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9F60A" w14:textId="77777777" w:rsidR="00D4785C" w:rsidRPr="00FD5CD3" w:rsidRDefault="00D4785C" w:rsidP="00D4785C">
      <w:pPr>
        <w:pStyle w:val="BodyText"/>
        <w:spacing w:line="260" w:lineRule="atLeast"/>
        <w:jc w:val="center"/>
        <w:rPr>
          <w:rFonts w:ascii="Arial" w:hAnsi="Arial" w:cs="Arial"/>
          <w:b/>
          <w:sz w:val="20"/>
          <w:u w:val="single"/>
        </w:rPr>
      </w:pPr>
      <w:bookmarkStart w:id="0" w:name="_GoBack"/>
      <w:bookmarkEnd w:id="0"/>
      <w:r w:rsidRPr="00FD5CD3">
        <w:rPr>
          <w:rFonts w:ascii="Arial" w:hAnsi="Arial" w:cs="Arial"/>
          <w:b/>
          <w:sz w:val="20"/>
          <w:u w:val="single"/>
        </w:rPr>
        <w:t>EXPLANATORY STATEMENT</w:t>
      </w:r>
    </w:p>
    <w:p w14:paraId="1DB0C21D" w14:textId="77777777" w:rsidR="00D4785C" w:rsidRPr="00F52A89" w:rsidRDefault="00D4785C" w:rsidP="00D4785C">
      <w:pPr>
        <w:pStyle w:val="BodyText"/>
        <w:spacing w:line="260" w:lineRule="atLeast"/>
        <w:jc w:val="center"/>
        <w:rPr>
          <w:rFonts w:ascii="Arial" w:hAnsi="Arial" w:cs="Arial"/>
          <w:b/>
          <w:sz w:val="20"/>
        </w:rPr>
      </w:pPr>
      <w:r w:rsidRPr="00F52A89">
        <w:rPr>
          <w:rFonts w:ascii="Arial" w:hAnsi="Arial" w:cs="Arial"/>
          <w:b/>
          <w:sz w:val="20"/>
        </w:rPr>
        <w:t>Issued by the Australian Communications and Media Authority</w:t>
      </w:r>
    </w:p>
    <w:p w14:paraId="21139C44" w14:textId="77777777" w:rsidR="00D4785C" w:rsidRPr="00F52A89" w:rsidRDefault="00D4785C" w:rsidP="00D4785C">
      <w:pPr>
        <w:pStyle w:val="BodyText"/>
        <w:spacing w:line="260" w:lineRule="atLeast"/>
        <w:jc w:val="center"/>
        <w:rPr>
          <w:rFonts w:ascii="Arial" w:hAnsi="Arial" w:cs="Arial"/>
          <w:b/>
          <w:i/>
          <w:sz w:val="20"/>
        </w:rPr>
      </w:pPr>
      <w:r w:rsidRPr="00F52A89">
        <w:rPr>
          <w:rFonts w:ascii="Arial" w:hAnsi="Arial" w:cs="Arial"/>
          <w:b/>
          <w:i/>
          <w:sz w:val="20"/>
        </w:rPr>
        <w:t>Radiocommunications (Low Interference Potential Devices) Class Licence Variation 20</w:t>
      </w:r>
      <w:r>
        <w:rPr>
          <w:rFonts w:ascii="Arial" w:hAnsi="Arial" w:cs="Arial"/>
          <w:b/>
          <w:i/>
          <w:sz w:val="20"/>
        </w:rPr>
        <w:t>16</w:t>
      </w:r>
      <w:r w:rsidRPr="00F52A89">
        <w:rPr>
          <w:rFonts w:ascii="Arial" w:hAnsi="Arial" w:cs="Arial"/>
          <w:b/>
          <w:i/>
          <w:sz w:val="20"/>
        </w:rPr>
        <w:t xml:space="preserve"> (No.</w:t>
      </w:r>
      <w:r>
        <w:rPr>
          <w:rFonts w:ascii="Arial" w:hAnsi="Arial" w:cs="Arial"/>
          <w:b/>
          <w:i/>
          <w:sz w:val="20"/>
        </w:rPr>
        <w:t xml:space="preserve"> 1</w:t>
      </w:r>
      <w:r w:rsidRPr="00F52A89">
        <w:rPr>
          <w:rFonts w:ascii="Arial" w:hAnsi="Arial" w:cs="Arial"/>
          <w:b/>
          <w:i/>
          <w:sz w:val="20"/>
        </w:rPr>
        <w:t>)</w:t>
      </w:r>
    </w:p>
    <w:p w14:paraId="085EAC5B" w14:textId="77777777" w:rsidR="00D4785C" w:rsidRDefault="00D4785C" w:rsidP="00D4785C">
      <w:pPr>
        <w:pStyle w:val="BodyText"/>
        <w:spacing w:line="260" w:lineRule="atLeast"/>
        <w:jc w:val="center"/>
        <w:rPr>
          <w:rFonts w:ascii="Arial" w:hAnsi="Arial" w:cs="Arial"/>
          <w:b/>
          <w:i/>
          <w:sz w:val="20"/>
        </w:rPr>
      </w:pPr>
      <w:r w:rsidRPr="00F52A89">
        <w:rPr>
          <w:rFonts w:ascii="Arial" w:hAnsi="Arial" w:cs="Arial"/>
          <w:b/>
          <w:i/>
          <w:sz w:val="20"/>
        </w:rPr>
        <w:t>Radiocommunications Act 1992</w:t>
      </w:r>
    </w:p>
    <w:p w14:paraId="3306D5C2" w14:textId="77777777" w:rsidR="00D4785C" w:rsidRPr="00F52A89" w:rsidRDefault="00D4785C" w:rsidP="00D4785C">
      <w:pPr>
        <w:pStyle w:val="BodyText"/>
        <w:spacing w:line="260" w:lineRule="atLeast"/>
        <w:jc w:val="center"/>
        <w:rPr>
          <w:rFonts w:ascii="Arial" w:hAnsi="Arial" w:cs="Arial"/>
          <w:b/>
          <w:i/>
          <w:sz w:val="20"/>
        </w:rPr>
      </w:pPr>
    </w:p>
    <w:p w14:paraId="28433DE2" w14:textId="77777777" w:rsidR="00D4785C" w:rsidRPr="00F52A89" w:rsidRDefault="00D4785C" w:rsidP="00D4785C">
      <w:pPr>
        <w:pStyle w:val="indenta"/>
        <w:tabs>
          <w:tab w:val="left" w:pos="720"/>
        </w:tabs>
        <w:spacing w:before="120" w:after="120"/>
        <w:ind w:left="0" w:firstLine="0"/>
        <w:jc w:val="both"/>
        <w:rPr>
          <w:rFonts w:ascii="Arial" w:hAnsi="Arial" w:cs="Arial"/>
          <w:b/>
          <w:sz w:val="20"/>
        </w:rPr>
      </w:pPr>
      <w:r w:rsidRPr="00F52A89">
        <w:rPr>
          <w:rFonts w:ascii="Arial" w:hAnsi="Arial" w:cs="Arial"/>
          <w:b/>
          <w:sz w:val="20"/>
        </w:rPr>
        <w:t>Purpose</w:t>
      </w:r>
    </w:p>
    <w:p w14:paraId="36A9C8BD" w14:textId="71EBE29A" w:rsidR="00D4785C" w:rsidRDefault="00D4785C" w:rsidP="00D4785C">
      <w:pPr>
        <w:pStyle w:val="BodyText"/>
        <w:spacing w:before="120" w:line="260" w:lineRule="atLeast"/>
        <w:jc w:val="both"/>
        <w:rPr>
          <w:rFonts w:ascii="Arial" w:hAnsi="Arial" w:cs="Arial"/>
          <w:sz w:val="20"/>
        </w:rPr>
      </w:pPr>
      <w:r w:rsidRPr="00F52A89">
        <w:rPr>
          <w:rFonts w:ascii="Arial" w:hAnsi="Arial" w:cs="Arial"/>
          <w:sz w:val="20"/>
        </w:rPr>
        <w:t xml:space="preserve">The </w:t>
      </w:r>
      <w:r w:rsidRPr="00E61A0F">
        <w:rPr>
          <w:rFonts w:ascii="Arial" w:hAnsi="Arial" w:cs="Arial"/>
          <w:i/>
          <w:sz w:val="20"/>
        </w:rPr>
        <w:t>Radiocommunications (Low Interference Potential Devices) Class Licence Variation 2016 (No. 1)</w:t>
      </w:r>
      <w:r w:rsidRPr="00BF4600">
        <w:rPr>
          <w:rFonts w:ascii="Arial" w:hAnsi="Arial" w:cs="Arial"/>
          <w:sz w:val="20"/>
        </w:rPr>
        <w:t xml:space="preserve"> </w:t>
      </w:r>
      <w:r w:rsidRPr="00F52A89">
        <w:rPr>
          <w:rFonts w:ascii="Arial" w:hAnsi="Arial" w:cs="Arial"/>
          <w:sz w:val="20"/>
        </w:rPr>
        <w:t>(</w:t>
      </w:r>
      <w:r w:rsidRPr="00FC72A5">
        <w:rPr>
          <w:rFonts w:ascii="Arial" w:hAnsi="Arial" w:cs="Arial"/>
          <w:b/>
          <w:sz w:val="20"/>
        </w:rPr>
        <w:t>the</w:t>
      </w:r>
      <w:r w:rsidRPr="00F52A89">
        <w:rPr>
          <w:rFonts w:ascii="Arial" w:hAnsi="Arial" w:cs="Arial"/>
          <w:sz w:val="20"/>
        </w:rPr>
        <w:t xml:space="preserve"> </w:t>
      </w:r>
      <w:r w:rsidRPr="00FC72A5">
        <w:rPr>
          <w:rFonts w:ascii="Arial" w:hAnsi="Arial" w:cs="Arial"/>
          <w:b/>
          <w:sz w:val="20"/>
        </w:rPr>
        <w:t>Variation</w:t>
      </w:r>
      <w:r w:rsidRPr="00F52A89">
        <w:rPr>
          <w:rFonts w:ascii="Arial" w:hAnsi="Arial" w:cs="Arial"/>
          <w:sz w:val="20"/>
        </w:rPr>
        <w:t xml:space="preserve">) </w:t>
      </w:r>
      <w:r>
        <w:rPr>
          <w:rFonts w:ascii="Arial" w:hAnsi="Arial" w:cs="Arial"/>
          <w:sz w:val="20"/>
        </w:rPr>
        <w:t xml:space="preserve">varies the </w:t>
      </w:r>
      <w:r w:rsidRPr="00E61A0F">
        <w:rPr>
          <w:rFonts w:ascii="Arial" w:hAnsi="Arial" w:cs="Arial"/>
          <w:i/>
          <w:sz w:val="20"/>
        </w:rPr>
        <w:t>Radiocommunications (Low Interference Potential Devices) Class Licence 2015</w:t>
      </w:r>
      <w:r>
        <w:rPr>
          <w:rFonts w:ascii="Arial" w:hAnsi="Arial" w:cs="Arial"/>
          <w:i/>
          <w:sz w:val="20"/>
        </w:rPr>
        <w:t xml:space="preserve"> </w:t>
      </w:r>
      <w:r w:rsidRPr="00F52A89">
        <w:rPr>
          <w:rFonts w:ascii="Arial" w:hAnsi="Arial" w:cs="Arial"/>
          <w:sz w:val="20"/>
        </w:rPr>
        <w:t>(</w:t>
      </w:r>
      <w:r w:rsidRPr="00E61A0F">
        <w:rPr>
          <w:rFonts w:ascii="Arial" w:hAnsi="Arial" w:cs="Arial"/>
          <w:b/>
          <w:sz w:val="20"/>
        </w:rPr>
        <w:t>the</w:t>
      </w:r>
      <w:r w:rsidRPr="00F52A89">
        <w:rPr>
          <w:rFonts w:ascii="Arial" w:hAnsi="Arial" w:cs="Arial"/>
          <w:sz w:val="20"/>
        </w:rPr>
        <w:t xml:space="preserve"> </w:t>
      </w:r>
      <w:r w:rsidRPr="00E61A0F">
        <w:rPr>
          <w:rFonts w:ascii="Arial" w:hAnsi="Arial" w:cs="Arial"/>
          <w:b/>
          <w:sz w:val="20"/>
        </w:rPr>
        <w:t>LIPD</w:t>
      </w:r>
      <w:r>
        <w:rPr>
          <w:rFonts w:ascii="Arial" w:hAnsi="Arial" w:cs="Arial"/>
          <w:sz w:val="20"/>
        </w:rPr>
        <w:t xml:space="preserve"> </w:t>
      </w:r>
      <w:r w:rsidRPr="00E61A0F">
        <w:rPr>
          <w:rFonts w:ascii="Arial" w:hAnsi="Arial" w:cs="Arial"/>
          <w:b/>
          <w:sz w:val="20"/>
        </w:rPr>
        <w:t>Class</w:t>
      </w:r>
      <w:r>
        <w:rPr>
          <w:rFonts w:ascii="Arial" w:hAnsi="Arial" w:cs="Arial"/>
          <w:sz w:val="20"/>
        </w:rPr>
        <w:t xml:space="preserve"> </w:t>
      </w:r>
      <w:r w:rsidRPr="00E61A0F">
        <w:rPr>
          <w:rFonts w:ascii="Arial" w:hAnsi="Arial" w:cs="Arial"/>
          <w:b/>
          <w:sz w:val="20"/>
        </w:rPr>
        <w:t>Licence</w:t>
      </w:r>
      <w:r w:rsidRPr="00F52A89">
        <w:rPr>
          <w:rFonts w:ascii="Arial" w:hAnsi="Arial" w:cs="Arial"/>
          <w:sz w:val="20"/>
        </w:rPr>
        <w:t>)</w:t>
      </w:r>
      <w:r>
        <w:rPr>
          <w:rFonts w:ascii="Arial" w:hAnsi="Arial" w:cs="Arial"/>
          <w:sz w:val="20"/>
        </w:rPr>
        <w:t xml:space="preserve"> to include updated references to laser safety information in the licence and to remove a number of limitations on the use of digital modulation transmitters to support the use of new low data rate “internet of things” devices.  The Variation also inserts new frequency bands </w:t>
      </w:r>
      <w:r w:rsidR="003630B3">
        <w:rPr>
          <w:rFonts w:ascii="Arial" w:hAnsi="Arial" w:cs="Arial"/>
          <w:sz w:val="20"/>
        </w:rPr>
        <w:t>for</w:t>
      </w:r>
      <w:r>
        <w:rPr>
          <w:rFonts w:ascii="Arial" w:hAnsi="Arial" w:cs="Arial"/>
          <w:sz w:val="20"/>
        </w:rPr>
        <w:t xml:space="preserve"> existing arrangements for level probing radar devices used in automated manufacturing systems and in-ground parking sensors, introduces new arrangements supporting building material analysis transmitters using Ultra-wideband (UWB) technology, and corrects an erroneous reference to the location of a particular radio-astronomy site. </w:t>
      </w:r>
    </w:p>
    <w:p w14:paraId="2A86D8FF" w14:textId="03A9AC6A" w:rsidR="00D4785C" w:rsidRPr="00FC72A5" w:rsidRDefault="00D4785C" w:rsidP="00D4785C">
      <w:pPr>
        <w:pStyle w:val="BodyText"/>
        <w:spacing w:before="120" w:line="260" w:lineRule="atLeast"/>
        <w:jc w:val="both"/>
        <w:rPr>
          <w:rFonts w:ascii="Arial" w:hAnsi="Arial" w:cs="Arial"/>
          <w:sz w:val="20"/>
        </w:rPr>
      </w:pPr>
      <w:r>
        <w:rPr>
          <w:rFonts w:ascii="Arial" w:hAnsi="Arial" w:cs="Arial"/>
          <w:sz w:val="20"/>
        </w:rPr>
        <w:t xml:space="preserve">The Variation authorises the use of </w:t>
      </w:r>
      <w:r w:rsidRPr="000F4BD7">
        <w:rPr>
          <w:rFonts w:ascii="Arial" w:hAnsi="Arial" w:cs="Arial"/>
          <w:sz w:val="20"/>
        </w:rPr>
        <w:t xml:space="preserve">new </w:t>
      </w:r>
      <w:r>
        <w:rPr>
          <w:rFonts w:ascii="Arial" w:hAnsi="Arial" w:cs="Arial"/>
          <w:sz w:val="20"/>
        </w:rPr>
        <w:t>systems</w:t>
      </w:r>
      <w:r w:rsidRPr="000F4BD7">
        <w:rPr>
          <w:rFonts w:ascii="Arial" w:hAnsi="Arial" w:cs="Arial"/>
          <w:sz w:val="20"/>
        </w:rPr>
        <w:t xml:space="preserve"> a</w:t>
      </w:r>
      <w:r>
        <w:rPr>
          <w:rFonts w:ascii="Arial" w:hAnsi="Arial" w:cs="Arial"/>
          <w:sz w:val="20"/>
        </w:rPr>
        <w:t xml:space="preserve">nd applications of radiocommunications technology </w:t>
      </w:r>
      <w:r w:rsidR="003630B3">
        <w:rPr>
          <w:rFonts w:ascii="Arial" w:hAnsi="Arial" w:cs="Arial"/>
          <w:sz w:val="20"/>
        </w:rPr>
        <w:t xml:space="preserve">as </w:t>
      </w:r>
      <w:r>
        <w:rPr>
          <w:rFonts w:ascii="Arial" w:hAnsi="Arial" w:cs="Arial"/>
          <w:sz w:val="20"/>
        </w:rPr>
        <w:t>i</w:t>
      </w:r>
      <w:r w:rsidRPr="00FC72A5">
        <w:rPr>
          <w:rFonts w:ascii="Arial" w:hAnsi="Arial" w:cs="Arial"/>
          <w:sz w:val="20"/>
        </w:rPr>
        <w:t xml:space="preserve">t is a requirement under the </w:t>
      </w:r>
      <w:r w:rsidRPr="00FC72A5">
        <w:rPr>
          <w:rFonts w:ascii="Arial" w:hAnsi="Arial" w:cs="Arial"/>
          <w:i/>
          <w:sz w:val="20"/>
        </w:rPr>
        <w:t>Radiocommunications Act 1992</w:t>
      </w:r>
      <w:r w:rsidRPr="00FC72A5">
        <w:rPr>
          <w:rFonts w:ascii="Arial" w:hAnsi="Arial" w:cs="Arial"/>
          <w:sz w:val="20"/>
        </w:rPr>
        <w:t xml:space="preserve"> (</w:t>
      </w:r>
      <w:r w:rsidRPr="005C1476">
        <w:rPr>
          <w:rFonts w:ascii="Arial" w:hAnsi="Arial" w:cs="Arial"/>
          <w:b/>
          <w:sz w:val="20"/>
        </w:rPr>
        <w:t>the Act</w:t>
      </w:r>
      <w:r w:rsidRPr="00FC72A5">
        <w:rPr>
          <w:rFonts w:ascii="Arial" w:hAnsi="Arial" w:cs="Arial"/>
          <w:sz w:val="20"/>
        </w:rPr>
        <w:t xml:space="preserve">) that radiocommunications transmitters must only be operated under authorisation of a licence (with some </w:t>
      </w:r>
      <w:r>
        <w:rPr>
          <w:rFonts w:ascii="Arial" w:hAnsi="Arial" w:cs="Arial"/>
          <w:sz w:val="20"/>
        </w:rPr>
        <w:t xml:space="preserve">limited </w:t>
      </w:r>
      <w:r w:rsidRPr="00FC72A5">
        <w:rPr>
          <w:rFonts w:ascii="Arial" w:hAnsi="Arial" w:cs="Arial"/>
          <w:sz w:val="20"/>
        </w:rPr>
        <w:t>exceptions</w:t>
      </w:r>
      <w:r>
        <w:rPr>
          <w:rFonts w:ascii="Arial" w:hAnsi="Arial" w:cs="Arial"/>
          <w:sz w:val="20"/>
        </w:rPr>
        <w:t>)</w:t>
      </w:r>
      <w:r w:rsidRPr="00FC72A5">
        <w:rPr>
          <w:rFonts w:ascii="Arial" w:hAnsi="Arial" w:cs="Arial"/>
          <w:sz w:val="20"/>
        </w:rPr>
        <w:t xml:space="preserve">. </w:t>
      </w:r>
    </w:p>
    <w:p w14:paraId="123F7C6A" w14:textId="77777777" w:rsidR="00D4785C" w:rsidRPr="00F52A89" w:rsidRDefault="00D4785C" w:rsidP="00D4785C">
      <w:pPr>
        <w:pStyle w:val="BodyText"/>
        <w:spacing w:before="120" w:line="260" w:lineRule="atLeast"/>
        <w:jc w:val="both"/>
        <w:rPr>
          <w:rFonts w:ascii="Arial" w:hAnsi="Arial" w:cs="Arial"/>
          <w:sz w:val="20"/>
        </w:rPr>
      </w:pPr>
    </w:p>
    <w:p w14:paraId="2894B6D1" w14:textId="77777777" w:rsidR="00D4785C" w:rsidRPr="00F52A89" w:rsidRDefault="00D4785C" w:rsidP="00D4785C">
      <w:pPr>
        <w:spacing w:before="120" w:after="120" w:line="260" w:lineRule="atLeast"/>
        <w:jc w:val="both"/>
        <w:rPr>
          <w:rFonts w:ascii="Arial" w:hAnsi="Arial" w:cs="Arial"/>
          <w:b/>
        </w:rPr>
      </w:pPr>
      <w:r w:rsidRPr="00F52A89">
        <w:rPr>
          <w:rFonts w:ascii="Arial" w:hAnsi="Arial" w:cs="Arial"/>
          <w:b/>
        </w:rPr>
        <w:t>Legislative Provisions</w:t>
      </w:r>
    </w:p>
    <w:p w14:paraId="6C362E44" w14:textId="77777777" w:rsidR="00D4785C" w:rsidRDefault="00D4785C" w:rsidP="00D4785C">
      <w:pPr>
        <w:spacing w:before="120" w:after="120" w:line="260" w:lineRule="atLeast"/>
        <w:jc w:val="both"/>
        <w:rPr>
          <w:rFonts w:ascii="Arial" w:hAnsi="Arial" w:cs="Arial"/>
        </w:rPr>
      </w:pPr>
      <w:r>
        <w:rPr>
          <w:rFonts w:ascii="Arial" w:hAnsi="Arial" w:cs="Arial"/>
        </w:rPr>
        <w:t xml:space="preserve">Section 132 </w:t>
      </w:r>
      <w:r w:rsidRPr="00F52A89">
        <w:rPr>
          <w:rFonts w:ascii="Arial" w:hAnsi="Arial" w:cs="Arial"/>
        </w:rPr>
        <w:t xml:space="preserve">of the </w:t>
      </w:r>
      <w:r>
        <w:rPr>
          <w:rFonts w:ascii="Arial" w:hAnsi="Arial" w:cs="Arial"/>
        </w:rPr>
        <w:t>Act</w:t>
      </w:r>
      <w:r w:rsidRPr="00F52A89">
        <w:rPr>
          <w:rFonts w:ascii="Arial" w:hAnsi="Arial" w:cs="Arial"/>
        </w:rPr>
        <w:t xml:space="preserve"> allows the Australian Communications and Media Authority (</w:t>
      </w:r>
      <w:r>
        <w:rPr>
          <w:rFonts w:ascii="Arial" w:hAnsi="Arial" w:cs="Arial"/>
        </w:rPr>
        <w:t>t</w:t>
      </w:r>
      <w:r w:rsidRPr="00FC72A5">
        <w:rPr>
          <w:rFonts w:ascii="Arial" w:hAnsi="Arial" w:cs="Arial"/>
          <w:b/>
        </w:rPr>
        <w:t>h</w:t>
      </w:r>
      <w:r>
        <w:rPr>
          <w:rFonts w:ascii="Arial" w:hAnsi="Arial" w:cs="Arial"/>
        </w:rPr>
        <w:t xml:space="preserve">e </w:t>
      </w:r>
      <w:r w:rsidRPr="00FC72A5">
        <w:rPr>
          <w:rFonts w:ascii="Arial" w:hAnsi="Arial" w:cs="Arial"/>
          <w:b/>
        </w:rPr>
        <w:t>ACMA</w:t>
      </w:r>
      <w:r w:rsidRPr="00F52A89">
        <w:rPr>
          <w:rFonts w:ascii="Arial" w:hAnsi="Arial" w:cs="Arial"/>
        </w:rPr>
        <w:t>)</w:t>
      </w:r>
      <w:r>
        <w:rPr>
          <w:rFonts w:ascii="Arial" w:hAnsi="Arial" w:cs="Arial"/>
        </w:rPr>
        <w:t>,</w:t>
      </w:r>
      <w:r w:rsidRPr="00F52A89">
        <w:rPr>
          <w:rFonts w:ascii="Arial" w:hAnsi="Arial" w:cs="Arial"/>
        </w:rPr>
        <w:t xml:space="preserve"> by </w:t>
      </w:r>
      <w:r>
        <w:rPr>
          <w:rFonts w:ascii="Arial" w:hAnsi="Arial" w:cs="Arial"/>
        </w:rPr>
        <w:t>legislative instrument, to issue</w:t>
      </w:r>
      <w:r w:rsidRPr="0061021A">
        <w:rPr>
          <w:rFonts w:ascii="Arial" w:hAnsi="Arial" w:cs="Arial"/>
        </w:rPr>
        <w:t xml:space="preserve"> class licences</w:t>
      </w:r>
      <w:r w:rsidRPr="00F52A89">
        <w:rPr>
          <w:rFonts w:ascii="Arial" w:hAnsi="Arial" w:cs="Arial"/>
        </w:rPr>
        <w:t>.</w:t>
      </w:r>
    </w:p>
    <w:p w14:paraId="7599C556" w14:textId="77777777" w:rsidR="00D4785C" w:rsidRDefault="00D4785C" w:rsidP="00D4785C">
      <w:pPr>
        <w:spacing w:before="120" w:after="120" w:line="260" w:lineRule="atLeast"/>
        <w:jc w:val="both"/>
        <w:rPr>
          <w:rFonts w:ascii="Arial" w:hAnsi="Arial" w:cs="Arial"/>
        </w:rPr>
      </w:pPr>
      <w:r>
        <w:rPr>
          <w:rFonts w:ascii="Arial" w:hAnsi="Arial" w:cs="Arial"/>
        </w:rPr>
        <w:t xml:space="preserve">Subsection 33(3) of the </w:t>
      </w:r>
      <w:r w:rsidRPr="00260D70">
        <w:rPr>
          <w:rFonts w:ascii="Arial" w:hAnsi="Arial" w:cs="Arial"/>
          <w:i/>
        </w:rPr>
        <w:t>Acts Interpretation Act 1901</w:t>
      </w:r>
      <w:r>
        <w:rPr>
          <w:rFonts w:ascii="Arial" w:hAnsi="Arial" w:cs="Arial"/>
          <w:i/>
        </w:rPr>
        <w:t xml:space="preserve"> </w:t>
      </w:r>
      <w:r>
        <w:rPr>
          <w:rFonts w:ascii="Arial" w:hAnsi="Arial" w:cs="Arial"/>
        </w:rPr>
        <w:t>(</w:t>
      </w:r>
      <w:r>
        <w:rPr>
          <w:rFonts w:ascii="Arial" w:hAnsi="Arial" w:cs="Arial"/>
          <w:b/>
        </w:rPr>
        <w:t>the AIA</w:t>
      </w:r>
      <w:r>
        <w:rPr>
          <w:rFonts w:ascii="Arial" w:hAnsi="Arial" w:cs="Arial"/>
        </w:rPr>
        <w:t>) relevantly provides that, where an Act confers a power to make, grant or issue an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7345DF8" w14:textId="77777777" w:rsidR="00D4785C" w:rsidRDefault="00D4785C" w:rsidP="00D4785C">
      <w:pPr>
        <w:spacing w:before="120" w:after="120" w:line="260" w:lineRule="atLeast"/>
        <w:jc w:val="both"/>
        <w:rPr>
          <w:rFonts w:ascii="Arial" w:hAnsi="Arial" w:cs="Arial"/>
        </w:rPr>
      </w:pPr>
      <w:r w:rsidRPr="00F52A89">
        <w:rPr>
          <w:rFonts w:ascii="Arial" w:hAnsi="Arial" w:cs="Arial"/>
        </w:rPr>
        <w:t>Section 134 of the Act</w:t>
      </w:r>
      <w:r>
        <w:rPr>
          <w:rFonts w:ascii="Arial" w:hAnsi="Arial" w:cs="Arial"/>
        </w:rPr>
        <w:t xml:space="preserve"> provides that, to avoid doubt, the power to vary a class licence in accordance with subsection 33(3) of the AIA includes the power to vary the class licence by including one or more further conditions; or revoking any conditions of the class licence.</w:t>
      </w:r>
      <w:r w:rsidRPr="00F52A89">
        <w:rPr>
          <w:rFonts w:ascii="Arial" w:hAnsi="Arial" w:cs="Arial"/>
        </w:rPr>
        <w:t xml:space="preserve"> </w:t>
      </w:r>
    </w:p>
    <w:p w14:paraId="1F05B1F6" w14:textId="77777777" w:rsidR="00D4785C" w:rsidRDefault="00D4785C" w:rsidP="00D4785C">
      <w:pPr>
        <w:spacing w:before="120" w:after="120" w:line="260" w:lineRule="atLeast"/>
        <w:jc w:val="both"/>
        <w:rPr>
          <w:rFonts w:ascii="Arial" w:hAnsi="Arial" w:cs="Arial"/>
        </w:rPr>
      </w:pPr>
      <w:r>
        <w:rPr>
          <w:rFonts w:ascii="Arial" w:hAnsi="Arial" w:cs="Arial"/>
        </w:rPr>
        <w:t>Subsection 136(1) of the Act provides that, before varying a class licence, the ACMA must cause to be published a written notice in accordance with subsection 136(2A).  Subsection 136(1A) provides that the ACMA must consult with all spectrum licensees who may be affected by the variation.  Details about the consultation undertaken are set out below.</w:t>
      </w:r>
    </w:p>
    <w:p w14:paraId="3888ED0E" w14:textId="77777777" w:rsidR="00D4785C" w:rsidRDefault="00D4785C" w:rsidP="00D4785C">
      <w:pPr>
        <w:spacing w:before="120" w:after="120" w:line="260" w:lineRule="atLeast"/>
        <w:jc w:val="both"/>
        <w:rPr>
          <w:rFonts w:ascii="Arial" w:hAnsi="Arial" w:cs="Arial"/>
        </w:rPr>
      </w:pPr>
      <w:r>
        <w:rPr>
          <w:rFonts w:ascii="Arial" w:hAnsi="Arial" w:cs="Arial"/>
        </w:rPr>
        <w:t>Subsection 136(1A) of the Act also provides that, if the variation of a class licence would affect the spectrum allocated, to be allocated or to be re-allocated by issuing or re-issuing spectrum licences, the ACMA must be satisfied that the variation of the class licence would not result in unacceptable levels of interference to the operation of radiocommunications devices operated, or likely to be operated, under spectrum licences, and that the variation of the class licence would be in the public interest.</w:t>
      </w:r>
    </w:p>
    <w:p w14:paraId="77FAFEE2" w14:textId="77777777" w:rsidR="00D4785C" w:rsidRDefault="00D4785C" w:rsidP="00D4785C">
      <w:pPr>
        <w:spacing w:before="120" w:after="120" w:line="260" w:lineRule="atLeast"/>
        <w:jc w:val="both"/>
        <w:rPr>
          <w:rFonts w:ascii="Arial" w:hAnsi="Arial" w:cs="Arial"/>
        </w:rPr>
      </w:pPr>
      <w:r>
        <w:rPr>
          <w:rFonts w:ascii="Arial" w:hAnsi="Arial" w:cs="Arial"/>
        </w:rPr>
        <w:t>Section 137 provides that the ACMA must not issue a class licence that is inconsistent with the spectrum plan or any relevant frequency band plans.  The ACMA has made the Variation in accordance with sections 132 and 136 of the Act, and subsection 33(3) of the AIA.</w:t>
      </w:r>
    </w:p>
    <w:p w14:paraId="73112B45" w14:textId="77777777" w:rsidR="00D4785C" w:rsidRPr="00BF3B5E" w:rsidRDefault="00D4785C" w:rsidP="00D4785C">
      <w:pPr>
        <w:spacing w:before="120" w:after="120" w:line="260" w:lineRule="atLeast"/>
        <w:jc w:val="both"/>
        <w:rPr>
          <w:rFonts w:ascii="Arial" w:hAnsi="Arial" w:cs="Arial"/>
          <w:i/>
        </w:rPr>
      </w:pPr>
      <w:r>
        <w:rPr>
          <w:rFonts w:ascii="Arial" w:hAnsi="Arial" w:cs="Arial"/>
        </w:rPr>
        <w:t xml:space="preserve">The Variation is a legislative instrument for the purposes of the </w:t>
      </w:r>
      <w:r>
        <w:rPr>
          <w:rFonts w:ascii="Arial" w:hAnsi="Arial" w:cs="Arial"/>
          <w:i/>
        </w:rPr>
        <w:t>Legislation Act 2003.</w:t>
      </w:r>
    </w:p>
    <w:p w14:paraId="74B5E9FA" w14:textId="77777777" w:rsidR="00D4785C" w:rsidRDefault="00D4785C" w:rsidP="00D4785C">
      <w:pPr>
        <w:spacing w:before="120" w:after="120" w:line="260" w:lineRule="atLeast"/>
        <w:jc w:val="both"/>
        <w:rPr>
          <w:rFonts w:ascii="Arial" w:hAnsi="Arial" w:cs="Arial"/>
        </w:rPr>
      </w:pPr>
    </w:p>
    <w:p w14:paraId="01DE1C07" w14:textId="77777777" w:rsidR="00D4785C" w:rsidRPr="00F52A89" w:rsidRDefault="00D4785C" w:rsidP="00D4785C">
      <w:pPr>
        <w:spacing w:before="120" w:after="120" w:line="260" w:lineRule="atLeast"/>
        <w:jc w:val="both"/>
        <w:rPr>
          <w:rFonts w:ascii="Arial" w:hAnsi="Arial" w:cs="Arial"/>
          <w:b/>
        </w:rPr>
      </w:pPr>
      <w:r w:rsidRPr="00F52A89">
        <w:rPr>
          <w:rFonts w:ascii="Arial" w:hAnsi="Arial" w:cs="Arial"/>
          <w:b/>
        </w:rPr>
        <w:t>Background</w:t>
      </w:r>
    </w:p>
    <w:p w14:paraId="40E5E3ED" w14:textId="77777777" w:rsidR="00D4785C" w:rsidRPr="00F52A89" w:rsidRDefault="00D4785C" w:rsidP="00D4785C">
      <w:pPr>
        <w:pStyle w:val="BodyText"/>
        <w:spacing w:before="120" w:line="260" w:lineRule="atLeast"/>
        <w:jc w:val="both"/>
        <w:rPr>
          <w:rFonts w:ascii="Arial" w:hAnsi="Arial" w:cs="Arial"/>
          <w:sz w:val="20"/>
        </w:rPr>
      </w:pPr>
      <w:r w:rsidRPr="00F52A89">
        <w:rPr>
          <w:rFonts w:ascii="Arial" w:hAnsi="Arial" w:cs="Arial"/>
          <w:sz w:val="20"/>
        </w:rPr>
        <w:t>It is general requirement of the Act</w:t>
      </w:r>
      <w:r w:rsidRPr="00F52A89">
        <w:rPr>
          <w:rFonts w:ascii="Arial" w:hAnsi="Arial" w:cs="Arial"/>
          <w:i/>
          <w:sz w:val="20"/>
        </w:rPr>
        <w:t xml:space="preserve"> </w:t>
      </w:r>
      <w:r w:rsidRPr="00F52A89">
        <w:rPr>
          <w:rFonts w:ascii="Arial" w:hAnsi="Arial" w:cs="Arial"/>
          <w:sz w:val="20"/>
        </w:rPr>
        <w:t xml:space="preserve">that the operation of all radiocommunications devices within Australia be authorised by a radiocommunications licence. </w:t>
      </w:r>
    </w:p>
    <w:p w14:paraId="4E65DB75" w14:textId="77777777" w:rsidR="00D4785C" w:rsidRPr="00F52A89" w:rsidRDefault="00D4785C" w:rsidP="00D4785C">
      <w:pPr>
        <w:pStyle w:val="BodyText"/>
        <w:spacing w:before="120" w:line="260" w:lineRule="atLeast"/>
        <w:jc w:val="both"/>
        <w:rPr>
          <w:rFonts w:ascii="Arial" w:hAnsi="Arial" w:cs="Arial"/>
          <w:sz w:val="20"/>
        </w:rPr>
      </w:pPr>
      <w:r w:rsidRPr="00F52A89">
        <w:rPr>
          <w:rFonts w:ascii="Arial" w:hAnsi="Arial" w:cs="Arial"/>
          <w:sz w:val="20"/>
        </w:rPr>
        <w:lastRenderedPageBreak/>
        <w:t xml:space="preserve">A class licence is one type of licence available to authorise the operation of radiocommunications devices. </w:t>
      </w:r>
      <w:r>
        <w:rPr>
          <w:rFonts w:ascii="Arial" w:hAnsi="Arial" w:cs="Arial"/>
          <w:sz w:val="20"/>
        </w:rPr>
        <w:t xml:space="preserve"> </w:t>
      </w:r>
      <w:r w:rsidRPr="00F52A89">
        <w:rPr>
          <w:rFonts w:ascii="Arial" w:hAnsi="Arial" w:cs="Arial"/>
          <w:sz w:val="20"/>
        </w:rPr>
        <w:t xml:space="preserve">It is an effective and efficient means of spectrum management for services where a limited set of common frequencies is employed, and equipment is operated under a common set of conditions. </w:t>
      </w:r>
      <w:r>
        <w:rPr>
          <w:rFonts w:ascii="Arial" w:hAnsi="Arial" w:cs="Arial"/>
          <w:sz w:val="20"/>
        </w:rPr>
        <w:t xml:space="preserve"> </w:t>
      </w:r>
      <w:r w:rsidRPr="00F52A89">
        <w:rPr>
          <w:rFonts w:ascii="Arial" w:hAnsi="Arial" w:cs="Arial"/>
          <w:sz w:val="20"/>
        </w:rPr>
        <w:t xml:space="preserve">A class licence is not issued to an individual user, and does not involve the payment of licence fees. </w:t>
      </w:r>
      <w:r>
        <w:rPr>
          <w:rFonts w:ascii="Arial" w:hAnsi="Arial" w:cs="Arial"/>
          <w:sz w:val="20"/>
        </w:rPr>
        <w:t xml:space="preserve"> A</w:t>
      </w:r>
      <w:r w:rsidRPr="00F52A89">
        <w:rPr>
          <w:rFonts w:ascii="Arial" w:hAnsi="Arial" w:cs="Arial"/>
          <w:sz w:val="20"/>
        </w:rPr>
        <w:t xml:space="preserve"> </w:t>
      </w:r>
      <w:r>
        <w:rPr>
          <w:rFonts w:ascii="Arial" w:hAnsi="Arial" w:cs="Arial"/>
          <w:sz w:val="20"/>
        </w:rPr>
        <w:t xml:space="preserve">class </w:t>
      </w:r>
      <w:r w:rsidRPr="00F52A89">
        <w:rPr>
          <w:rFonts w:ascii="Arial" w:hAnsi="Arial" w:cs="Arial"/>
          <w:sz w:val="20"/>
        </w:rPr>
        <w:t xml:space="preserve">licence </w:t>
      </w:r>
      <w:r>
        <w:rPr>
          <w:rFonts w:ascii="Arial" w:hAnsi="Arial" w:cs="Arial"/>
          <w:sz w:val="20"/>
        </w:rPr>
        <w:t>is</w:t>
      </w:r>
      <w:r w:rsidRPr="00F52A89">
        <w:rPr>
          <w:rFonts w:ascii="Arial" w:hAnsi="Arial" w:cs="Arial"/>
          <w:sz w:val="20"/>
        </w:rPr>
        <w:t xml:space="preserve"> issued by </w:t>
      </w:r>
      <w:r>
        <w:rPr>
          <w:rFonts w:ascii="Arial" w:hAnsi="Arial" w:cs="Arial"/>
          <w:sz w:val="20"/>
        </w:rPr>
        <w:t xml:space="preserve">the </w:t>
      </w:r>
      <w:r w:rsidRPr="00F52A89">
        <w:rPr>
          <w:rFonts w:ascii="Arial" w:hAnsi="Arial" w:cs="Arial"/>
          <w:sz w:val="20"/>
        </w:rPr>
        <w:t xml:space="preserve">ACMA as </w:t>
      </w:r>
      <w:r>
        <w:rPr>
          <w:rFonts w:ascii="Arial" w:hAnsi="Arial" w:cs="Arial"/>
          <w:sz w:val="20"/>
        </w:rPr>
        <w:t xml:space="preserve">a </w:t>
      </w:r>
      <w:r w:rsidRPr="00F52A89">
        <w:rPr>
          <w:rFonts w:ascii="Arial" w:hAnsi="Arial" w:cs="Arial"/>
          <w:sz w:val="20"/>
        </w:rPr>
        <w:t xml:space="preserve">legislative instrument registered on </w:t>
      </w:r>
      <w:r>
        <w:rPr>
          <w:rFonts w:ascii="Arial" w:hAnsi="Arial" w:cs="Arial"/>
          <w:sz w:val="20"/>
        </w:rPr>
        <w:t>the Federal Register of Legislation (</w:t>
      </w:r>
      <w:r w:rsidRPr="00BF3B5E">
        <w:rPr>
          <w:rFonts w:ascii="Arial" w:hAnsi="Arial" w:cs="Arial"/>
          <w:b/>
          <w:sz w:val="20"/>
        </w:rPr>
        <w:t>the</w:t>
      </w:r>
      <w:r>
        <w:rPr>
          <w:rFonts w:ascii="Arial" w:hAnsi="Arial" w:cs="Arial"/>
          <w:sz w:val="20"/>
        </w:rPr>
        <w:t xml:space="preserve"> </w:t>
      </w:r>
      <w:r w:rsidRPr="00BF3B5E">
        <w:rPr>
          <w:rFonts w:ascii="Arial" w:hAnsi="Arial" w:cs="Arial"/>
          <w:b/>
          <w:sz w:val="20"/>
        </w:rPr>
        <w:t>FRL</w:t>
      </w:r>
      <w:r>
        <w:rPr>
          <w:rFonts w:ascii="Arial" w:hAnsi="Arial" w:cs="Arial"/>
          <w:sz w:val="20"/>
        </w:rPr>
        <w:t>)</w:t>
      </w:r>
      <w:r w:rsidRPr="00F52A89">
        <w:rPr>
          <w:rFonts w:ascii="Arial" w:hAnsi="Arial" w:cs="Arial"/>
          <w:i/>
          <w:sz w:val="20"/>
        </w:rPr>
        <w:t xml:space="preserve">. </w:t>
      </w:r>
    </w:p>
    <w:p w14:paraId="34A0F89D" w14:textId="77777777" w:rsidR="00D4785C" w:rsidRDefault="00D4785C" w:rsidP="00D4785C">
      <w:pPr>
        <w:spacing w:before="120" w:after="120" w:line="260" w:lineRule="atLeast"/>
        <w:jc w:val="both"/>
        <w:rPr>
          <w:rFonts w:ascii="Arial" w:hAnsi="Arial" w:cs="Arial"/>
        </w:rPr>
      </w:pPr>
      <w:r w:rsidRPr="00F52A89">
        <w:rPr>
          <w:rFonts w:ascii="Arial" w:hAnsi="Arial" w:cs="Arial"/>
        </w:rPr>
        <w:t xml:space="preserve">The </w:t>
      </w:r>
      <w:r w:rsidRPr="003B640F">
        <w:rPr>
          <w:rFonts w:ascii="Arial" w:hAnsi="Arial" w:cs="Arial"/>
        </w:rPr>
        <w:t>L</w:t>
      </w:r>
      <w:r w:rsidRPr="00F52A89">
        <w:rPr>
          <w:rFonts w:ascii="Arial" w:hAnsi="Arial" w:cs="Arial"/>
        </w:rPr>
        <w:t>IPD Class Licence</w:t>
      </w:r>
      <w:r w:rsidRPr="00F52A89">
        <w:rPr>
          <w:rStyle w:val="Emphasis"/>
          <w:rFonts w:ascii="Arial" w:hAnsi="Arial" w:cs="Arial"/>
        </w:rPr>
        <w:t xml:space="preserve"> </w:t>
      </w:r>
      <w:r w:rsidRPr="00F52A89">
        <w:rPr>
          <w:rFonts w:ascii="Arial" w:hAnsi="Arial" w:cs="Arial"/>
        </w:rPr>
        <w:t xml:space="preserve">authorises the operation of a wide range of low </w:t>
      </w:r>
      <w:r>
        <w:rPr>
          <w:rFonts w:ascii="Arial" w:hAnsi="Arial" w:cs="Arial"/>
        </w:rPr>
        <w:t>interference</w:t>
      </w:r>
      <w:r w:rsidRPr="00F52A89">
        <w:rPr>
          <w:rFonts w:ascii="Arial" w:hAnsi="Arial" w:cs="Arial"/>
        </w:rPr>
        <w:t xml:space="preserve"> radiocommunications </w:t>
      </w:r>
      <w:r>
        <w:rPr>
          <w:rFonts w:ascii="Arial" w:hAnsi="Arial" w:cs="Arial"/>
        </w:rPr>
        <w:t>transmitters</w:t>
      </w:r>
      <w:r w:rsidRPr="00F52A89">
        <w:rPr>
          <w:rFonts w:ascii="Arial" w:hAnsi="Arial" w:cs="Arial"/>
        </w:rPr>
        <w:t xml:space="preserve"> in various segments of the radiofrequency spectrum. </w:t>
      </w:r>
      <w:r>
        <w:rPr>
          <w:rFonts w:ascii="Arial" w:hAnsi="Arial" w:cs="Arial"/>
        </w:rPr>
        <w:t xml:space="preserve"> </w:t>
      </w:r>
      <w:r w:rsidRPr="00F52A89">
        <w:rPr>
          <w:rFonts w:ascii="Arial" w:hAnsi="Arial" w:cs="Arial"/>
        </w:rPr>
        <w:t xml:space="preserve">The LIPD Class Licence sets out the conditions under which </w:t>
      </w:r>
      <w:r>
        <w:rPr>
          <w:rFonts w:ascii="Arial" w:hAnsi="Arial" w:cs="Arial"/>
        </w:rPr>
        <w:t>these</w:t>
      </w:r>
      <w:r w:rsidRPr="00F52A89">
        <w:rPr>
          <w:rFonts w:ascii="Arial" w:hAnsi="Arial" w:cs="Arial"/>
        </w:rPr>
        <w:t xml:space="preserve"> </w:t>
      </w:r>
      <w:r>
        <w:rPr>
          <w:rFonts w:ascii="Arial" w:hAnsi="Arial" w:cs="Arial"/>
        </w:rPr>
        <w:t>transmitters</w:t>
      </w:r>
      <w:r w:rsidRPr="00F52A89">
        <w:rPr>
          <w:rFonts w:ascii="Arial" w:hAnsi="Arial" w:cs="Arial"/>
        </w:rPr>
        <w:t xml:space="preserve"> may </w:t>
      </w:r>
      <w:r>
        <w:rPr>
          <w:rFonts w:ascii="Arial" w:hAnsi="Arial" w:cs="Arial"/>
        </w:rPr>
        <w:t xml:space="preserve">be </w:t>
      </w:r>
      <w:r w:rsidRPr="00F52A89">
        <w:rPr>
          <w:rFonts w:ascii="Arial" w:hAnsi="Arial" w:cs="Arial"/>
        </w:rPr>
        <w:t>operate</w:t>
      </w:r>
      <w:r>
        <w:rPr>
          <w:rFonts w:ascii="Arial" w:hAnsi="Arial" w:cs="Arial"/>
        </w:rPr>
        <w:t>d</w:t>
      </w:r>
      <w:r w:rsidRPr="00F52A89">
        <w:rPr>
          <w:rFonts w:ascii="Arial" w:hAnsi="Arial" w:cs="Arial"/>
        </w:rPr>
        <w:t xml:space="preserve">. </w:t>
      </w:r>
      <w:r>
        <w:rPr>
          <w:rFonts w:ascii="Arial" w:hAnsi="Arial" w:cs="Arial"/>
        </w:rPr>
        <w:t xml:space="preserve"> </w:t>
      </w:r>
      <w:r w:rsidRPr="00F52A89">
        <w:rPr>
          <w:rFonts w:ascii="Arial" w:hAnsi="Arial" w:cs="Arial"/>
        </w:rPr>
        <w:t xml:space="preserve">These transmitters do not require individual frequency coordination because of their low interference </w:t>
      </w:r>
      <w:r>
        <w:rPr>
          <w:rFonts w:ascii="Arial" w:hAnsi="Arial" w:cs="Arial"/>
        </w:rPr>
        <w:t xml:space="preserve">potential </w:t>
      </w:r>
      <w:r w:rsidRPr="00F52A89">
        <w:rPr>
          <w:rFonts w:ascii="Arial" w:hAnsi="Arial" w:cs="Arial"/>
        </w:rPr>
        <w:t>characteristics.</w:t>
      </w:r>
      <w:r>
        <w:rPr>
          <w:rFonts w:ascii="Arial" w:hAnsi="Arial" w:cs="Arial"/>
        </w:rPr>
        <w:t xml:space="preserve"> </w:t>
      </w:r>
      <w:r w:rsidRPr="00F52A89">
        <w:rPr>
          <w:rFonts w:ascii="Arial" w:hAnsi="Arial" w:cs="Arial"/>
        </w:rPr>
        <w:t xml:space="preserve"> Examples of </w:t>
      </w:r>
      <w:r>
        <w:rPr>
          <w:rFonts w:ascii="Arial" w:hAnsi="Arial" w:cs="Arial"/>
        </w:rPr>
        <w:t>transmitters</w:t>
      </w:r>
      <w:r w:rsidRPr="00F52A89">
        <w:rPr>
          <w:rFonts w:ascii="Arial" w:hAnsi="Arial" w:cs="Arial"/>
        </w:rPr>
        <w:t xml:space="preserve"> covered by the LIPD Class Licence include garage door openers, </w:t>
      </w:r>
      <w:r>
        <w:rPr>
          <w:rFonts w:ascii="Arial" w:hAnsi="Arial" w:cs="Arial"/>
        </w:rPr>
        <w:t>RFID</w:t>
      </w:r>
      <w:r w:rsidRPr="00F52A89">
        <w:rPr>
          <w:rFonts w:ascii="Arial" w:hAnsi="Arial" w:cs="Arial"/>
        </w:rPr>
        <w:t xml:space="preserve"> transmitters</w:t>
      </w:r>
      <w:r>
        <w:rPr>
          <w:rFonts w:ascii="Arial" w:hAnsi="Arial" w:cs="Arial"/>
        </w:rPr>
        <w:t>, WiFi equipment</w:t>
      </w:r>
      <w:r w:rsidRPr="00F52A89">
        <w:rPr>
          <w:rFonts w:ascii="Arial" w:hAnsi="Arial" w:cs="Arial"/>
        </w:rPr>
        <w:t xml:space="preserve"> and personal alarms.</w:t>
      </w:r>
      <w:r>
        <w:rPr>
          <w:rFonts w:ascii="Arial" w:hAnsi="Arial" w:cs="Arial"/>
        </w:rPr>
        <w:t xml:space="preserve"> </w:t>
      </w:r>
    </w:p>
    <w:p w14:paraId="1E6E6219" w14:textId="77777777" w:rsidR="00D4785C" w:rsidRPr="00F52A89" w:rsidRDefault="00D4785C" w:rsidP="00D4785C">
      <w:pPr>
        <w:spacing w:before="120" w:after="120" w:line="260" w:lineRule="atLeast"/>
        <w:jc w:val="both"/>
        <w:rPr>
          <w:rFonts w:ascii="Arial" w:hAnsi="Arial" w:cs="Arial"/>
        </w:rPr>
      </w:pPr>
    </w:p>
    <w:p w14:paraId="0BB6225E" w14:textId="77777777" w:rsidR="00D4785C" w:rsidRPr="00F52A89" w:rsidRDefault="00D4785C" w:rsidP="00D4785C">
      <w:pPr>
        <w:pStyle w:val="BodyText"/>
        <w:spacing w:before="120" w:line="260" w:lineRule="atLeast"/>
        <w:jc w:val="both"/>
        <w:rPr>
          <w:rFonts w:ascii="Arial" w:hAnsi="Arial" w:cs="Arial"/>
          <w:b/>
          <w:sz w:val="20"/>
        </w:rPr>
      </w:pPr>
      <w:r w:rsidRPr="00F52A89">
        <w:rPr>
          <w:rFonts w:ascii="Arial" w:hAnsi="Arial" w:cs="Arial"/>
          <w:b/>
          <w:sz w:val="20"/>
        </w:rPr>
        <w:t>Operation</w:t>
      </w:r>
    </w:p>
    <w:p w14:paraId="655115FC" w14:textId="016122D6" w:rsidR="00D4785C" w:rsidRDefault="00D4785C" w:rsidP="00D4785C">
      <w:pPr>
        <w:pStyle w:val="BodyText"/>
        <w:spacing w:before="120" w:line="260" w:lineRule="atLeast"/>
        <w:jc w:val="both"/>
        <w:rPr>
          <w:rFonts w:ascii="Arial" w:hAnsi="Arial" w:cs="Arial"/>
          <w:sz w:val="20"/>
        </w:rPr>
      </w:pPr>
      <w:r w:rsidRPr="00F52A89">
        <w:rPr>
          <w:rFonts w:ascii="Arial" w:hAnsi="Arial" w:cs="Arial"/>
          <w:sz w:val="20"/>
        </w:rPr>
        <w:t>Th</w:t>
      </w:r>
      <w:r w:rsidR="003630B3">
        <w:rPr>
          <w:rFonts w:ascii="Arial" w:hAnsi="Arial" w:cs="Arial"/>
          <w:sz w:val="20"/>
        </w:rPr>
        <w:t>e</w:t>
      </w:r>
      <w:r w:rsidRPr="00F52A89">
        <w:rPr>
          <w:rFonts w:ascii="Arial" w:hAnsi="Arial" w:cs="Arial"/>
          <w:sz w:val="20"/>
        </w:rPr>
        <w:t xml:space="preserve"> Variation makes a number of changes to the LIPD Class Licence</w:t>
      </w:r>
      <w:r>
        <w:rPr>
          <w:rFonts w:ascii="Arial" w:hAnsi="Arial" w:cs="Arial"/>
          <w:sz w:val="20"/>
        </w:rPr>
        <w:t xml:space="preserve">. </w:t>
      </w:r>
      <w:r w:rsidRPr="00F52A89">
        <w:rPr>
          <w:rFonts w:ascii="Arial" w:hAnsi="Arial" w:cs="Arial"/>
          <w:sz w:val="20"/>
        </w:rPr>
        <w:t>The individual changes introduced by the Variation are:</w:t>
      </w:r>
    </w:p>
    <w:p w14:paraId="72C55A55" w14:textId="77777777" w:rsidR="00D4785C" w:rsidRPr="00F52A89" w:rsidRDefault="00D4785C" w:rsidP="00D4785C">
      <w:pPr>
        <w:pStyle w:val="BodyText"/>
        <w:numPr>
          <w:ilvl w:val="0"/>
          <w:numId w:val="16"/>
        </w:numPr>
        <w:tabs>
          <w:tab w:val="left" w:pos="142"/>
        </w:tabs>
        <w:spacing w:before="120" w:line="260" w:lineRule="atLeast"/>
        <w:ind w:left="426"/>
        <w:jc w:val="both"/>
        <w:rPr>
          <w:rFonts w:ascii="Arial" w:hAnsi="Arial" w:cs="Arial"/>
          <w:b/>
          <w:sz w:val="20"/>
        </w:rPr>
      </w:pPr>
      <w:r>
        <w:rPr>
          <w:rFonts w:ascii="Arial" w:hAnsi="Arial" w:cs="Arial"/>
          <w:b/>
          <w:sz w:val="20"/>
        </w:rPr>
        <w:t xml:space="preserve">Change to subsection 3A(1), paragraph (c) of the definition of </w:t>
      </w:r>
      <w:r w:rsidRPr="00E44E7C">
        <w:rPr>
          <w:rFonts w:ascii="Arial" w:hAnsi="Arial" w:cs="Arial"/>
          <w:b/>
          <w:i/>
          <w:sz w:val="20"/>
        </w:rPr>
        <w:t>nominated distance of a specified Australian radio-astronomy site</w:t>
      </w:r>
      <w:r>
        <w:rPr>
          <w:rFonts w:ascii="Arial" w:hAnsi="Arial" w:cs="Arial"/>
          <w:b/>
          <w:i/>
          <w:sz w:val="20"/>
        </w:rPr>
        <w:t xml:space="preserve"> </w:t>
      </w:r>
      <w:r>
        <w:rPr>
          <w:rFonts w:ascii="Arial" w:hAnsi="Arial" w:cs="Arial"/>
          <w:b/>
          <w:sz w:val="20"/>
        </w:rPr>
        <w:t>– correction of coordinate</w:t>
      </w:r>
    </w:p>
    <w:p w14:paraId="18275D67" w14:textId="77777777" w:rsidR="00D4785C" w:rsidRPr="00A031FC" w:rsidRDefault="00D4785C" w:rsidP="00D4785C">
      <w:pPr>
        <w:pStyle w:val="BodyText"/>
        <w:spacing w:before="120" w:line="260" w:lineRule="atLeast"/>
        <w:jc w:val="both"/>
        <w:rPr>
          <w:rFonts w:ascii="Arial" w:hAnsi="Arial" w:cs="Arial"/>
          <w:b/>
          <w:sz w:val="20"/>
        </w:rPr>
      </w:pPr>
      <w:r>
        <w:rPr>
          <w:rFonts w:ascii="Arial" w:hAnsi="Arial" w:cs="Arial"/>
          <w:sz w:val="20"/>
        </w:rPr>
        <w:t>This change corrects an error in the latitude coordinate for the Canberra Deep Space Communications Complex.  The correct latitude coordinate for the Canberra Deep Space Communications Complex is 35º 23’ 48.39” south.</w:t>
      </w:r>
    </w:p>
    <w:p w14:paraId="3936E8E6" w14:textId="77777777" w:rsidR="00D4785C" w:rsidRPr="00F52A89" w:rsidRDefault="00D4785C" w:rsidP="00D4785C">
      <w:pPr>
        <w:pStyle w:val="BodyText"/>
        <w:numPr>
          <w:ilvl w:val="0"/>
          <w:numId w:val="16"/>
        </w:numPr>
        <w:tabs>
          <w:tab w:val="left" w:pos="360"/>
        </w:tabs>
        <w:spacing w:before="120" w:line="260" w:lineRule="atLeast"/>
        <w:ind w:left="426"/>
        <w:jc w:val="both"/>
        <w:rPr>
          <w:rFonts w:ascii="Arial" w:hAnsi="Arial" w:cs="Arial"/>
          <w:b/>
          <w:sz w:val="20"/>
        </w:rPr>
      </w:pPr>
      <w:r>
        <w:rPr>
          <w:rFonts w:ascii="Arial" w:hAnsi="Arial" w:cs="Arial"/>
          <w:b/>
          <w:sz w:val="20"/>
        </w:rPr>
        <w:t>Change to note 3 to subsection 5(4) – update of reference to particular standards</w:t>
      </w:r>
    </w:p>
    <w:p w14:paraId="0A91870A" w14:textId="77777777" w:rsidR="00D4785C" w:rsidRPr="007161E7" w:rsidRDefault="00D4785C" w:rsidP="00D4785C">
      <w:pPr>
        <w:pStyle w:val="BodyText"/>
        <w:spacing w:before="120" w:line="260" w:lineRule="atLeast"/>
        <w:jc w:val="both"/>
        <w:rPr>
          <w:rFonts w:ascii="Arial" w:hAnsi="Arial" w:cs="Arial"/>
          <w:b/>
          <w:sz w:val="20"/>
        </w:rPr>
      </w:pPr>
      <w:r>
        <w:rPr>
          <w:rFonts w:ascii="Arial" w:hAnsi="Arial" w:cs="Arial"/>
          <w:sz w:val="20"/>
        </w:rPr>
        <w:t xml:space="preserve">The reference to the Australia/New Zealand Standard detailing requirements for protecting persons from radiation from lasers is changed from AS/NZS 2211.10:2004 to two new standards: </w:t>
      </w:r>
      <w:r w:rsidRPr="003E7E3B">
        <w:rPr>
          <w:rFonts w:ascii="Arial" w:hAnsi="Arial" w:cs="Arial"/>
          <w:sz w:val="20"/>
        </w:rPr>
        <w:t xml:space="preserve">AS/NZS IEC 60825.14 </w:t>
      </w:r>
      <w:r w:rsidRPr="002E29B6">
        <w:rPr>
          <w:i/>
        </w:rPr>
        <w:t>Safety of laser products – A user’s guide</w:t>
      </w:r>
      <w:r>
        <w:t xml:space="preserve"> and </w:t>
      </w:r>
      <w:r w:rsidRPr="00DB0151">
        <w:rPr>
          <w:rFonts w:ascii="Arial" w:hAnsi="Arial" w:cs="Arial"/>
          <w:sz w:val="20"/>
        </w:rPr>
        <w:t>AS/NZS IEC 60825.1</w:t>
      </w:r>
      <w:r>
        <w:t xml:space="preserve"> </w:t>
      </w:r>
      <w:r w:rsidRPr="002E29B6">
        <w:rPr>
          <w:i/>
        </w:rPr>
        <w:t>Safety of laser products – Equipment classification and requirements</w:t>
      </w:r>
      <w:r>
        <w:rPr>
          <w:rFonts w:ascii="Arial" w:hAnsi="Arial" w:cs="Arial"/>
          <w:sz w:val="20"/>
        </w:rPr>
        <w:t xml:space="preserve">.  Copies of these standards are available from </w:t>
      </w:r>
      <w:hyperlink r:id="rId13" w:history="1">
        <w:r w:rsidRPr="00DB0151">
          <w:rPr>
            <w:rStyle w:val="Hyperlink"/>
            <w:rFonts w:ascii="Arial" w:hAnsi="Arial" w:cs="Arial"/>
            <w:sz w:val="20"/>
          </w:rPr>
          <w:t>SAI Global</w:t>
        </w:r>
      </w:hyperlink>
      <w:r>
        <w:rPr>
          <w:rFonts w:ascii="Arial" w:hAnsi="Arial" w:cs="Arial"/>
          <w:sz w:val="20"/>
        </w:rPr>
        <w:t>.</w:t>
      </w:r>
    </w:p>
    <w:p w14:paraId="0BF6490D" w14:textId="77777777" w:rsidR="00D4785C" w:rsidRDefault="00D4785C" w:rsidP="00D4785C">
      <w:pPr>
        <w:pStyle w:val="BodyText"/>
        <w:numPr>
          <w:ilvl w:val="0"/>
          <w:numId w:val="16"/>
        </w:numPr>
        <w:tabs>
          <w:tab w:val="left" w:pos="360"/>
        </w:tabs>
        <w:spacing w:before="120" w:line="260" w:lineRule="atLeast"/>
        <w:ind w:left="426"/>
        <w:jc w:val="both"/>
        <w:rPr>
          <w:rFonts w:ascii="Arial" w:hAnsi="Arial" w:cs="Arial"/>
          <w:b/>
          <w:sz w:val="20"/>
        </w:rPr>
      </w:pPr>
      <w:r>
        <w:rPr>
          <w:rFonts w:ascii="Arial" w:hAnsi="Arial" w:cs="Arial"/>
          <w:b/>
          <w:sz w:val="20"/>
        </w:rPr>
        <w:t>Change to Schedule 1, Item 23 – All transmitters</w:t>
      </w:r>
    </w:p>
    <w:p w14:paraId="025D36F7" w14:textId="77777777" w:rsidR="00D4785C" w:rsidRPr="00B06B6D" w:rsidRDefault="00D4785C" w:rsidP="00D4785C">
      <w:pPr>
        <w:pStyle w:val="BodyText"/>
        <w:spacing w:before="120" w:line="260" w:lineRule="atLeast"/>
        <w:jc w:val="both"/>
        <w:rPr>
          <w:rFonts w:ascii="Arial" w:hAnsi="Arial" w:cs="Arial"/>
          <w:sz w:val="20"/>
        </w:rPr>
      </w:pPr>
      <w:r w:rsidRPr="00117AE3">
        <w:rPr>
          <w:rFonts w:ascii="Arial" w:hAnsi="Arial" w:cs="Arial"/>
          <w:sz w:val="20"/>
        </w:rPr>
        <w:t xml:space="preserve">The </w:t>
      </w:r>
      <w:r>
        <w:rPr>
          <w:rFonts w:ascii="Arial" w:hAnsi="Arial" w:cs="Arial"/>
          <w:sz w:val="20"/>
        </w:rPr>
        <w:t>change adds to column 2 of this item two new permitted operating frequency bands.  The two new sub bands, 122250-123000 MHz and 244000-246000 MHz, have been identified overseas as bands for industrial scientific and medical use suitable for the development of new low power radiocommunications devices.</w:t>
      </w:r>
    </w:p>
    <w:p w14:paraId="4D1260E5" w14:textId="77777777" w:rsidR="00D4785C" w:rsidRDefault="00D4785C" w:rsidP="00D4785C">
      <w:pPr>
        <w:pStyle w:val="BodyText"/>
        <w:numPr>
          <w:ilvl w:val="0"/>
          <w:numId w:val="16"/>
        </w:numPr>
        <w:tabs>
          <w:tab w:val="left" w:pos="360"/>
        </w:tabs>
        <w:spacing w:before="120" w:line="260" w:lineRule="atLeast"/>
        <w:ind w:left="426"/>
        <w:jc w:val="both"/>
        <w:rPr>
          <w:rFonts w:ascii="Arial" w:hAnsi="Arial" w:cs="Arial"/>
          <w:b/>
          <w:sz w:val="20"/>
        </w:rPr>
      </w:pPr>
      <w:r>
        <w:rPr>
          <w:rFonts w:ascii="Arial" w:hAnsi="Arial" w:cs="Arial"/>
          <w:b/>
          <w:sz w:val="20"/>
        </w:rPr>
        <w:t>Change to Schedule 1, Item 58 – Digital modulation transmitters</w:t>
      </w:r>
    </w:p>
    <w:p w14:paraId="551C0FC1" w14:textId="77777777" w:rsidR="00D4785C" w:rsidRDefault="00D4785C" w:rsidP="00D4785C">
      <w:pPr>
        <w:pStyle w:val="BodyText"/>
        <w:tabs>
          <w:tab w:val="left" w:pos="360"/>
        </w:tabs>
        <w:spacing w:before="120" w:line="260" w:lineRule="atLeast"/>
        <w:jc w:val="both"/>
        <w:rPr>
          <w:rFonts w:ascii="Arial" w:hAnsi="Arial" w:cs="Arial"/>
          <w:sz w:val="20"/>
        </w:rPr>
      </w:pPr>
      <w:r>
        <w:rPr>
          <w:rFonts w:ascii="Arial" w:hAnsi="Arial" w:cs="Arial"/>
          <w:sz w:val="20"/>
        </w:rPr>
        <w:t xml:space="preserve">This item authorises the operation of digital modulation transmitters in the frequency band 915-928 MHz.  </w:t>
      </w:r>
      <w:r w:rsidRPr="00B06B6D">
        <w:rPr>
          <w:rFonts w:ascii="Arial" w:hAnsi="Arial" w:cs="Arial"/>
          <w:sz w:val="20"/>
        </w:rPr>
        <w:t xml:space="preserve">The </w:t>
      </w:r>
      <w:r>
        <w:rPr>
          <w:rFonts w:ascii="Arial" w:hAnsi="Arial" w:cs="Arial"/>
          <w:sz w:val="20"/>
        </w:rPr>
        <w:t xml:space="preserve">change to this item removes </w:t>
      </w:r>
      <w:r w:rsidRPr="00B06B6D">
        <w:rPr>
          <w:rFonts w:ascii="Arial" w:hAnsi="Arial" w:cs="Arial"/>
          <w:sz w:val="20"/>
        </w:rPr>
        <w:t>limitation</w:t>
      </w:r>
      <w:r>
        <w:rPr>
          <w:rFonts w:ascii="Arial" w:hAnsi="Arial" w:cs="Arial"/>
          <w:sz w:val="20"/>
        </w:rPr>
        <w:t xml:space="preserve"> (b) in column 4, which required such a transmitter to have a minimum 6 dB bandwidth of at least 500 kHz.  This limitation was originally put in place to encourage the development of broadband technologies; however, international technological development is currently focused on narrowband compatible services in this band supporting wireless links in the ‘internet of things’, rather than broadband technologies.</w:t>
      </w:r>
    </w:p>
    <w:p w14:paraId="3095326F" w14:textId="77777777" w:rsidR="00D4785C" w:rsidRDefault="00D4785C" w:rsidP="00D4785C">
      <w:pPr>
        <w:pStyle w:val="BodyText"/>
        <w:numPr>
          <w:ilvl w:val="0"/>
          <w:numId w:val="16"/>
        </w:numPr>
        <w:tabs>
          <w:tab w:val="left" w:pos="360"/>
        </w:tabs>
        <w:spacing w:before="120" w:line="260" w:lineRule="atLeast"/>
        <w:ind w:left="426"/>
        <w:jc w:val="both"/>
        <w:rPr>
          <w:rFonts w:ascii="Arial" w:hAnsi="Arial" w:cs="Arial"/>
          <w:b/>
          <w:sz w:val="20"/>
        </w:rPr>
      </w:pPr>
      <w:r>
        <w:rPr>
          <w:rFonts w:ascii="Arial" w:hAnsi="Arial" w:cs="Arial"/>
          <w:b/>
          <w:sz w:val="20"/>
        </w:rPr>
        <w:t>Change to Schedule 1, Item 59 – Digital modulation transmitters</w:t>
      </w:r>
    </w:p>
    <w:p w14:paraId="66BCA590" w14:textId="77777777" w:rsidR="00D4785C" w:rsidRDefault="00D4785C" w:rsidP="00D4785C">
      <w:pPr>
        <w:pStyle w:val="BodyText"/>
        <w:tabs>
          <w:tab w:val="left" w:pos="360"/>
        </w:tabs>
        <w:spacing w:before="120" w:line="260" w:lineRule="atLeast"/>
        <w:jc w:val="both"/>
        <w:rPr>
          <w:rFonts w:ascii="Arial" w:hAnsi="Arial" w:cs="Arial"/>
          <w:sz w:val="20"/>
        </w:rPr>
      </w:pPr>
      <w:r>
        <w:rPr>
          <w:rFonts w:ascii="Arial" w:hAnsi="Arial" w:cs="Arial"/>
          <w:sz w:val="20"/>
        </w:rPr>
        <w:t xml:space="preserve">This item authorises the operation of digital modulation transmitters in the frequency band 2400-2483.5 MHz.  </w:t>
      </w:r>
      <w:r w:rsidRPr="00B06B6D">
        <w:rPr>
          <w:rFonts w:ascii="Arial" w:hAnsi="Arial" w:cs="Arial"/>
          <w:sz w:val="20"/>
        </w:rPr>
        <w:t xml:space="preserve">The </w:t>
      </w:r>
      <w:r>
        <w:rPr>
          <w:rFonts w:ascii="Arial" w:hAnsi="Arial" w:cs="Arial"/>
          <w:sz w:val="20"/>
        </w:rPr>
        <w:t xml:space="preserve">change to this item removes </w:t>
      </w:r>
      <w:r w:rsidRPr="00B06B6D">
        <w:rPr>
          <w:rFonts w:ascii="Arial" w:hAnsi="Arial" w:cs="Arial"/>
          <w:sz w:val="20"/>
        </w:rPr>
        <w:t>limitation</w:t>
      </w:r>
      <w:r>
        <w:rPr>
          <w:rFonts w:ascii="Arial" w:hAnsi="Arial" w:cs="Arial"/>
          <w:sz w:val="20"/>
        </w:rPr>
        <w:t xml:space="preserve"> (b) in column 4, which required such a transmitter to have a minimum 6 dB bandwidth of at least 500 kHz.  This limitation was originally put in place to encourage the development of broadband technologies; however, international technological development is currently focused on narrowband compatible services in this band</w:t>
      </w:r>
      <w:r w:rsidRPr="00E14CC4">
        <w:rPr>
          <w:rFonts w:ascii="Arial" w:hAnsi="Arial" w:cs="Arial"/>
          <w:sz w:val="20"/>
        </w:rPr>
        <w:t xml:space="preserve"> </w:t>
      </w:r>
      <w:r>
        <w:rPr>
          <w:rFonts w:ascii="Arial" w:hAnsi="Arial" w:cs="Arial"/>
          <w:sz w:val="20"/>
        </w:rPr>
        <w:t>supporting wireless links in the ‘internet of things’, rather than broadband technologies.</w:t>
      </w:r>
    </w:p>
    <w:p w14:paraId="6E286BF6" w14:textId="77777777" w:rsidR="00D4785C" w:rsidRDefault="00D4785C" w:rsidP="00D4785C">
      <w:pPr>
        <w:pStyle w:val="BodyText"/>
        <w:numPr>
          <w:ilvl w:val="0"/>
          <w:numId w:val="16"/>
        </w:numPr>
        <w:tabs>
          <w:tab w:val="left" w:pos="360"/>
        </w:tabs>
        <w:spacing w:before="120" w:line="260" w:lineRule="atLeast"/>
        <w:ind w:left="426"/>
        <w:jc w:val="both"/>
        <w:rPr>
          <w:rFonts w:ascii="Arial" w:hAnsi="Arial" w:cs="Arial"/>
          <w:b/>
          <w:sz w:val="20"/>
        </w:rPr>
      </w:pPr>
      <w:r>
        <w:rPr>
          <w:rFonts w:ascii="Arial" w:hAnsi="Arial" w:cs="Arial"/>
          <w:b/>
          <w:sz w:val="20"/>
        </w:rPr>
        <w:t>Change to Schedule 1, Item 60 – Digital modulation transmitters</w:t>
      </w:r>
    </w:p>
    <w:p w14:paraId="1FC2B6BA" w14:textId="77777777" w:rsidR="00D4785C" w:rsidRDefault="00D4785C" w:rsidP="00D4785C">
      <w:pPr>
        <w:pStyle w:val="BodyText"/>
        <w:tabs>
          <w:tab w:val="left" w:pos="360"/>
        </w:tabs>
        <w:spacing w:before="120" w:line="260" w:lineRule="atLeast"/>
        <w:jc w:val="both"/>
        <w:rPr>
          <w:rFonts w:ascii="Arial" w:hAnsi="Arial" w:cs="Arial"/>
          <w:sz w:val="20"/>
        </w:rPr>
      </w:pPr>
      <w:r>
        <w:rPr>
          <w:rFonts w:ascii="Arial" w:hAnsi="Arial" w:cs="Arial"/>
          <w:sz w:val="20"/>
        </w:rPr>
        <w:t xml:space="preserve">This item authorises the operation of digital modulation transmitters in the frequency band 5725-5850 MHz.  </w:t>
      </w:r>
      <w:r w:rsidRPr="00B06B6D">
        <w:rPr>
          <w:rFonts w:ascii="Arial" w:hAnsi="Arial" w:cs="Arial"/>
          <w:sz w:val="20"/>
        </w:rPr>
        <w:t xml:space="preserve">The </w:t>
      </w:r>
      <w:r>
        <w:rPr>
          <w:rFonts w:ascii="Arial" w:hAnsi="Arial" w:cs="Arial"/>
          <w:sz w:val="20"/>
        </w:rPr>
        <w:t xml:space="preserve">change to this item removes </w:t>
      </w:r>
      <w:r w:rsidRPr="00B06B6D">
        <w:rPr>
          <w:rFonts w:ascii="Arial" w:hAnsi="Arial" w:cs="Arial"/>
          <w:sz w:val="20"/>
        </w:rPr>
        <w:t>limitation</w:t>
      </w:r>
      <w:r>
        <w:rPr>
          <w:rFonts w:ascii="Arial" w:hAnsi="Arial" w:cs="Arial"/>
          <w:sz w:val="20"/>
        </w:rPr>
        <w:t xml:space="preserve"> (b) in column 4, which required such a transmitter to have a minimum 6 dB bandwidth of at least 500 kHz.  This limitation was originally put in place to encourage the </w:t>
      </w:r>
      <w:r>
        <w:rPr>
          <w:rFonts w:ascii="Arial" w:hAnsi="Arial" w:cs="Arial"/>
          <w:sz w:val="20"/>
        </w:rPr>
        <w:lastRenderedPageBreak/>
        <w:t>development of broadband technologies; however, international technological development is currently focused on narrowband compatible services in this band</w:t>
      </w:r>
      <w:r w:rsidRPr="00E14CC4">
        <w:rPr>
          <w:rFonts w:ascii="Arial" w:hAnsi="Arial" w:cs="Arial"/>
          <w:sz w:val="20"/>
        </w:rPr>
        <w:t xml:space="preserve"> </w:t>
      </w:r>
      <w:r>
        <w:rPr>
          <w:rFonts w:ascii="Arial" w:hAnsi="Arial" w:cs="Arial"/>
          <w:sz w:val="20"/>
        </w:rPr>
        <w:t>supporting wireless links in the ‘internet of things’, rather than broadband technologies.</w:t>
      </w:r>
    </w:p>
    <w:p w14:paraId="0BE8C8E0" w14:textId="77777777" w:rsidR="00D4785C" w:rsidRDefault="00D4785C" w:rsidP="00D4785C">
      <w:pPr>
        <w:pStyle w:val="BodyText"/>
        <w:numPr>
          <w:ilvl w:val="0"/>
          <w:numId w:val="16"/>
        </w:numPr>
        <w:tabs>
          <w:tab w:val="left" w:pos="360"/>
        </w:tabs>
        <w:spacing w:before="120" w:line="260" w:lineRule="atLeast"/>
        <w:ind w:left="426"/>
        <w:jc w:val="both"/>
        <w:rPr>
          <w:rFonts w:ascii="Arial" w:hAnsi="Arial" w:cs="Arial"/>
          <w:b/>
          <w:sz w:val="20"/>
        </w:rPr>
      </w:pPr>
      <w:r>
        <w:rPr>
          <w:rFonts w:ascii="Arial" w:hAnsi="Arial" w:cs="Arial"/>
          <w:b/>
          <w:sz w:val="20"/>
        </w:rPr>
        <w:t>Change to Schedule 1, Item 71 – Radiodetermination transmitters</w:t>
      </w:r>
    </w:p>
    <w:p w14:paraId="7C6F01E7" w14:textId="77777777" w:rsidR="00D4785C" w:rsidRDefault="00D4785C" w:rsidP="00D4785C">
      <w:pPr>
        <w:pStyle w:val="BodyText"/>
        <w:tabs>
          <w:tab w:val="left" w:pos="360"/>
        </w:tabs>
        <w:spacing w:before="120" w:line="260" w:lineRule="atLeast"/>
        <w:jc w:val="both"/>
        <w:rPr>
          <w:rFonts w:ascii="Arial" w:hAnsi="Arial" w:cs="Arial"/>
          <w:sz w:val="20"/>
        </w:rPr>
      </w:pPr>
      <w:r w:rsidRPr="00B06B6D">
        <w:rPr>
          <w:rFonts w:ascii="Arial" w:hAnsi="Arial" w:cs="Arial"/>
          <w:sz w:val="20"/>
        </w:rPr>
        <w:t>Th</w:t>
      </w:r>
      <w:r>
        <w:rPr>
          <w:rFonts w:ascii="Arial" w:hAnsi="Arial" w:cs="Arial"/>
          <w:sz w:val="20"/>
        </w:rPr>
        <w:t>is</w:t>
      </w:r>
      <w:r w:rsidRPr="00B06B6D">
        <w:rPr>
          <w:rFonts w:ascii="Arial" w:hAnsi="Arial" w:cs="Arial"/>
          <w:sz w:val="20"/>
        </w:rPr>
        <w:t xml:space="preserve"> </w:t>
      </w:r>
      <w:r>
        <w:rPr>
          <w:rFonts w:ascii="Arial" w:hAnsi="Arial" w:cs="Arial"/>
          <w:sz w:val="20"/>
        </w:rPr>
        <w:t>change adds three bands for the operation of radiodetermination transmitters, in addition to the current permitted operating frequency band in column 2 of 75000-85000 MHz.  The new permitted operating frequency bands are 6000-8500 MHz, 24050-26500 MHz and 57000-64000 MHz.</w:t>
      </w:r>
    </w:p>
    <w:p w14:paraId="49A8F487" w14:textId="77777777" w:rsidR="00D4785C" w:rsidRDefault="00D4785C" w:rsidP="00D4785C">
      <w:pPr>
        <w:pStyle w:val="BodyText"/>
        <w:numPr>
          <w:ilvl w:val="0"/>
          <w:numId w:val="16"/>
        </w:numPr>
        <w:tabs>
          <w:tab w:val="left" w:pos="360"/>
        </w:tabs>
        <w:spacing w:before="120" w:line="260" w:lineRule="atLeast"/>
        <w:ind w:left="426"/>
        <w:jc w:val="both"/>
        <w:rPr>
          <w:rFonts w:ascii="Arial" w:hAnsi="Arial" w:cs="Arial"/>
          <w:b/>
          <w:sz w:val="20"/>
        </w:rPr>
      </w:pPr>
      <w:r>
        <w:rPr>
          <w:rFonts w:ascii="Arial" w:hAnsi="Arial" w:cs="Arial"/>
          <w:b/>
          <w:sz w:val="20"/>
        </w:rPr>
        <w:t>Change to Schedule 1, Item 79 – In-ground ultra-wideband transmitters</w:t>
      </w:r>
    </w:p>
    <w:p w14:paraId="71B9B163" w14:textId="77777777" w:rsidR="00D4785C" w:rsidRDefault="00D4785C" w:rsidP="00D4785C">
      <w:pPr>
        <w:pStyle w:val="BodyText"/>
        <w:tabs>
          <w:tab w:val="left" w:pos="360"/>
        </w:tabs>
        <w:spacing w:before="120" w:line="260" w:lineRule="atLeast"/>
        <w:jc w:val="both"/>
        <w:rPr>
          <w:rFonts w:ascii="Arial" w:hAnsi="Arial" w:cs="Arial"/>
          <w:sz w:val="20"/>
        </w:rPr>
      </w:pPr>
      <w:r w:rsidRPr="00B06B6D">
        <w:rPr>
          <w:rFonts w:ascii="Arial" w:hAnsi="Arial" w:cs="Arial"/>
          <w:sz w:val="20"/>
        </w:rPr>
        <w:t>Th</w:t>
      </w:r>
      <w:r>
        <w:rPr>
          <w:rFonts w:ascii="Arial" w:hAnsi="Arial" w:cs="Arial"/>
          <w:sz w:val="20"/>
        </w:rPr>
        <w:t>is</w:t>
      </w:r>
      <w:r w:rsidRPr="00B06B6D">
        <w:rPr>
          <w:rFonts w:ascii="Arial" w:hAnsi="Arial" w:cs="Arial"/>
          <w:sz w:val="20"/>
        </w:rPr>
        <w:t xml:space="preserve"> </w:t>
      </w:r>
      <w:r>
        <w:rPr>
          <w:rFonts w:ascii="Arial" w:hAnsi="Arial" w:cs="Arial"/>
          <w:sz w:val="20"/>
        </w:rPr>
        <w:t xml:space="preserve">change adds a band for the operation of in-ground ultra-wideband transmitters, in addition to the current permitted operating frequency band in column 2 of 4200-4800 MHz.  The new permitted operating frequency band is 6000-6800 MHz.  </w:t>
      </w:r>
    </w:p>
    <w:p w14:paraId="7BD714B4" w14:textId="77777777" w:rsidR="00D4785C" w:rsidRDefault="00D4785C" w:rsidP="00D4785C">
      <w:pPr>
        <w:pStyle w:val="BodyText"/>
        <w:numPr>
          <w:ilvl w:val="0"/>
          <w:numId w:val="16"/>
        </w:numPr>
        <w:tabs>
          <w:tab w:val="left" w:pos="360"/>
        </w:tabs>
        <w:spacing w:before="120" w:line="260" w:lineRule="atLeast"/>
        <w:ind w:left="426"/>
        <w:jc w:val="both"/>
        <w:rPr>
          <w:rFonts w:ascii="Arial" w:hAnsi="Arial" w:cs="Arial"/>
          <w:b/>
          <w:sz w:val="20"/>
        </w:rPr>
      </w:pPr>
      <w:r>
        <w:rPr>
          <w:rFonts w:ascii="Arial" w:hAnsi="Arial" w:cs="Arial"/>
          <w:b/>
          <w:sz w:val="20"/>
        </w:rPr>
        <w:t>Change to Schedule 1, insertion of new Item 80 – Building material analysis transmitters</w:t>
      </w:r>
    </w:p>
    <w:p w14:paraId="05423368" w14:textId="77777777" w:rsidR="00D4785C" w:rsidRDefault="00D4785C" w:rsidP="00D4785C">
      <w:pPr>
        <w:pStyle w:val="BodyText"/>
        <w:tabs>
          <w:tab w:val="left" w:pos="360"/>
        </w:tabs>
        <w:spacing w:before="120" w:line="260" w:lineRule="atLeast"/>
        <w:jc w:val="both"/>
        <w:rPr>
          <w:rFonts w:ascii="Arial" w:hAnsi="Arial" w:cs="Arial"/>
          <w:sz w:val="20"/>
        </w:rPr>
      </w:pPr>
      <w:r w:rsidRPr="00B06B6D">
        <w:rPr>
          <w:rFonts w:ascii="Arial" w:hAnsi="Arial" w:cs="Arial"/>
          <w:sz w:val="20"/>
        </w:rPr>
        <w:t>Th</w:t>
      </w:r>
      <w:r>
        <w:rPr>
          <w:rFonts w:ascii="Arial" w:hAnsi="Arial" w:cs="Arial"/>
          <w:sz w:val="20"/>
        </w:rPr>
        <w:t xml:space="preserve">is new item authorises the use of a class of transmitters (column 1), called building material analysis transmitters, used to detect inclusions in building materials such as nails in timber or pipes and wiring within walls.  The permitted frequency band (column 2) is set as 2200-8500 MHz.  This is an extremely broad frequency range and has been taken from the standard that defines these devices, the </w:t>
      </w:r>
      <w:r w:rsidRPr="002317EE">
        <w:rPr>
          <w:rFonts w:ascii="Arial" w:hAnsi="Arial" w:cs="Arial"/>
          <w:sz w:val="20"/>
        </w:rPr>
        <w:t>European Telecommunications Standards Institute Standard (ETSI)</w:t>
      </w:r>
      <w:r>
        <w:rPr>
          <w:rFonts w:ascii="Arial" w:hAnsi="Arial" w:cs="Arial"/>
          <w:sz w:val="20"/>
        </w:rPr>
        <w:t xml:space="preserve"> Standard EN 302 435.  This broad frequency range allows the use of different emissions to detect different size objects or inclusions in the building material being analysed.  The maximum EIRP for these devices is that set by EN 302 435, in accordance with the limitations imposed on the use of these devices (column 4). The maximum EIRP has been expressed this way as EN 302 435 places different levels across the permitted operating frequency band to protect radiocommunications services operated in those bands.  </w:t>
      </w:r>
    </w:p>
    <w:p w14:paraId="57BAD38D" w14:textId="77777777" w:rsidR="00D4785C" w:rsidRPr="002317EE" w:rsidRDefault="00D4785C" w:rsidP="00D4785C">
      <w:pPr>
        <w:pStyle w:val="BodyText"/>
        <w:tabs>
          <w:tab w:val="left" w:pos="360"/>
        </w:tabs>
        <w:spacing w:before="120" w:line="260" w:lineRule="atLeast"/>
        <w:jc w:val="both"/>
        <w:rPr>
          <w:rFonts w:ascii="Arial" w:hAnsi="Arial" w:cs="Arial"/>
          <w:sz w:val="20"/>
        </w:rPr>
      </w:pPr>
      <w:r>
        <w:rPr>
          <w:rFonts w:ascii="Arial" w:hAnsi="Arial" w:cs="Arial"/>
          <w:sz w:val="20"/>
        </w:rPr>
        <w:t xml:space="preserve">In addition to compliance with the maximum EIRP and other requirements imposed by EN 302 435, the use of this class of transmitter is subject to three other limitations.  The first additional limitation requires the transmitter to be used such that emissions are directed into the building material being analysed.  The second additional limitation is that devices must not be operated within the nominated distances of specified Australian radio-astronomy sites set out in the definitions section of the LIPD Class Licence, to minimise the risk of interference to the sensitive receivers at these sites.  The third additional limitation is that the transmitter must not operate in the 8400-8500 MHz band within the nominated distance of specified space research service (SRS) earth stations listed in the definitions section of the LIPD Class Licence. </w:t>
      </w:r>
    </w:p>
    <w:p w14:paraId="3552BFF6" w14:textId="77777777" w:rsidR="00D4785C" w:rsidRDefault="00D4785C" w:rsidP="00D4785C">
      <w:pPr>
        <w:pStyle w:val="BodyText"/>
        <w:numPr>
          <w:ilvl w:val="0"/>
          <w:numId w:val="16"/>
        </w:numPr>
        <w:tabs>
          <w:tab w:val="left" w:pos="360"/>
        </w:tabs>
        <w:spacing w:before="120" w:line="260" w:lineRule="atLeast"/>
        <w:ind w:left="426" w:hanging="426"/>
        <w:jc w:val="both"/>
        <w:rPr>
          <w:rFonts w:ascii="Arial" w:hAnsi="Arial" w:cs="Arial"/>
          <w:b/>
          <w:sz w:val="20"/>
        </w:rPr>
      </w:pPr>
      <w:r>
        <w:rPr>
          <w:rFonts w:ascii="Arial" w:hAnsi="Arial" w:cs="Arial"/>
          <w:b/>
          <w:sz w:val="20"/>
        </w:rPr>
        <w:t>Change to Schedule 2, insertion of new Item 13A – ETSI Standard EN 302 435</w:t>
      </w:r>
    </w:p>
    <w:p w14:paraId="429AFDE2" w14:textId="4B056138" w:rsidR="00D4785C" w:rsidRDefault="00D4785C" w:rsidP="00D4785C">
      <w:pPr>
        <w:pStyle w:val="BodyText"/>
        <w:tabs>
          <w:tab w:val="left" w:pos="360"/>
        </w:tabs>
        <w:spacing w:before="120" w:line="260" w:lineRule="atLeast"/>
        <w:jc w:val="both"/>
        <w:rPr>
          <w:rFonts w:ascii="Arial" w:hAnsi="Arial" w:cs="Arial"/>
          <w:sz w:val="20"/>
        </w:rPr>
      </w:pPr>
      <w:r w:rsidRPr="00C6141C">
        <w:rPr>
          <w:rFonts w:ascii="Arial" w:hAnsi="Arial" w:cs="Arial"/>
          <w:sz w:val="20"/>
        </w:rPr>
        <w:t>Th</w:t>
      </w:r>
      <w:r>
        <w:rPr>
          <w:rFonts w:ascii="Arial" w:hAnsi="Arial" w:cs="Arial"/>
          <w:sz w:val="20"/>
        </w:rPr>
        <w:t>is</w:t>
      </w:r>
      <w:r w:rsidRPr="00C6141C">
        <w:rPr>
          <w:rFonts w:ascii="Arial" w:hAnsi="Arial" w:cs="Arial"/>
          <w:sz w:val="20"/>
        </w:rPr>
        <w:t xml:space="preserve"> new item</w:t>
      </w:r>
      <w:r>
        <w:rPr>
          <w:rFonts w:ascii="Arial" w:hAnsi="Arial" w:cs="Arial"/>
          <w:sz w:val="20"/>
        </w:rPr>
        <w:t>,</w:t>
      </w:r>
      <w:r w:rsidRPr="00C6141C">
        <w:rPr>
          <w:rFonts w:ascii="Arial" w:hAnsi="Arial" w:cs="Arial"/>
          <w:sz w:val="20"/>
        </w:rPr>
        <w:t xml:space="preserve"> </w:t>
      </w:r>
      <w:r>
        <w:rPr>
          <w:rFonts w:ascii="Arial" w:hAnsi="Arial" w:cs="Arial"/>
          <w:sz w:val="20"/>
        </w:rPr>
        <w:t>included</w:t>
      </w:r>
      <w:r w:rsidRPr="00C6141C">
        <w:rPr>
          <w:rFonts w:ascii="Arial" w:hAnsi="Arial" w:cs="Arial"/>
          <w:sz w:val="20"/>
        </w:rPr>
        <w:t xml:space="preserve"> in </w:t>
      </w:r>
      <w:r>
        <w:rPr>
          <w:rFonts w:ascii="Arial" w:hAnsi="Arial" w:cs="Arial"/>
          <w:sz w:val="20"/>
        </w:rPr>
        <w:t xml:space="preserve">Schedule 2 to the LIPD Class Licence in </w:t>
      </w:r>
      <w:r w:rsidRPr="00C6141C">
        <w:rPr>
          <w:rFonts w:ascii="Arial" w:hAnsi="Arial" w:cs="Arial"/>
          <w:sz w:val="20"/>
        </w:rPr>
        <w:t xml:space="preserve">the </w:t>
      </w:r>
      <w:r>
        <w:rPr>
          <w:rFonts w:ascii="Arial" w:hAnsi="Arial" w:cs="Arial"/>
          <w:sz w:val="20"/>
        </w:rPr>
        <w:t xml:space="preserve">table of </w:t>
      </w:r>
      <w:r w:rsidR="003630B3">
        <w:rPr>
          <w:rFonts w:ascii="Arial" w:hAnsi="Arial" w:cs="Arial"/>
          <w:sz w:val="20"/>
        </w:rPr>
        <w:t>i</w:t>
      </w:r>
      <w:r>
        <w:rPr>
          <w:rFonts w:ascii="Arial" w:hAnsi="Arial" w:cs="Arial"/>
          <w:sz w:val="20"/>
        </w:rPr>
        <w:t xml:space="preserve">nstruments that apply to a transmitter, refers to the new ETSI standard introduced by the new item 80 added to Schedule 1. The instrument that applies to the transmitter is the </w:t>
      </w:r>
      <w:r w:rsidRPr="002317EE">
        <w:rPr>
          <w:rFonts w:ascii="Arial" w:hAnsi="Arial" w:cs="Arial"/>
          <w:sz w:val="20"/>
        </w:rPr>
        <w:t>international standard</w:t>
      </w:r>
      <w:r>
        <w:rPr>
          <w:rFonts w:ascii="Arial" w:hAnsi="Arial" w:cs="Arial"/>
          <w:sz w:val="20"/>
        </w:rPr>
        <w:t xml:space="preserve"> </w:t>
      </w:r>
      <w:r w:rsidRPr="002317EE">
        <w:rPr>
          <w:rFonts w:ascii="Arial" w:hAnsi="Arial" w:cs="Arial"/>
          <w:sz w:val="20"/>
        </w:rPr>
        <w:t xml:space="preserve">ETSI EN 302 </w:t>
      </w:r>
      <w:r>
        <w:rPr>
          <w:rFonts w:ascii="Arial" w:hAnsi="Arial" w:cs="Arial"/>
          <w:sz w:val="20"/>
        </w:rPr>
        <w:t>435</w:t>
      </w:r>
      <w:r w:rsidRPr="002317EE">
        <w:rPr>
          <w:rFonts w:ascii="Arial" w:hAnsi="Arial" w:cs="Arial"/>
          <w:sz w:val="20"/>
        </w:rPr>
        <w:t xml:space="preserve">: </w:t>
      </w:r>
      <w:r w:rsidRPr="00AD4C31">
        <w:rPr>
          <w:i/>
          <w:sz w:val="22"/>
          <w:szCs w:val="22"/>
        </w:rPr>
        <w:t>Electromagnetic compatibility and Radio spectrum Matters (ERM); Short Range Devices (SRD); Technical characteristics for SRD equipment using Ultra Wide</w:t>
      </w:r>
      <w:r>
        <w:rPr>
          <w:i/>
          <w:sz w:val="22"/>
          <w:szCs w:val="22"/>
        </w:rPr>
        <w:t>B</w:t>
      </w:r>
      <w:r w:rsidRPr="00AD4C31">
        <w:rPr>
          <w:i/>
          <w:sz w:val="22"/>
          <w:szCs w:val="22"/>
        </w:rPr>
        <w:t>and technology (UWB); Building Material Analysis and Classification equipment applications operating in the frequency band from 2,2 GHz to 8,5 GHz;</w:t>
      </w:r>
      <w:r>
        <w:rPr>
          <w:rFonts w:ascii="Arial" w:hAnsi="Arial" w:cs="Arial"/>
          <w:sz w:val="20"/>
        </w:rPr>
        <w:t xml:space="preserve">.  </w:t>
      </w:r>
      <w:r w:rsidRPr="002317EE">
        <w:rPr>
          <w:rFonts w:ascii="Arial" w:hAnsi="Arial" w:cs="Arial"/>
          <w:sz w:val="20"/>
        </w:rPr>
        <w:t>Copies of th</w:t>
      </w:r>
      <w:r>
        <w:rPr>
          <w:rFonts w:ascii="Arial" w:hAnsi="Arial" w:cs="Arial"/>
          <w:sz w:val="20"/>
        </w:rPr>
        <w:t>i</w:t>
      </w:r>
      <w:r w:rsidRPr="002317EE">
        <w:rPr>
          <w:rFonts w:ascii="Arial" w:hAnsi="Arial" w:cs="Arial"/>
          <w:sz w:val="20"/>
        </w:rPr>
        <w:t xml:space="preserve">s standard </w:t>
      </w:r>
      <w:r w:rsidR="003630B3">
        <w:rPr>
          <w:rFonts w:ascii="Arial" w:hAnsi="Arial" w:cs="Arial"/>
          <w:sz w:val="20"/>
        </w:rPr>
        <w:t>are</w:t>
      </w:r>
      <w:r w:rsidRPr="002317EE">
        <w:rPr>
          <w:rFonts w:ascii="Arial" w:hAnsi="Arial" w:cs="Arial"/>
          <w:sz w:val="20"/>
        </w:rPr>
        <w:t xml:space="preserve"> available from the ETSI website: </w:t>
      </w:r>
      <w:hyperlink r:id="rId14" w:history="1">
        <w:r w:rsidRPr="00000A06">
          <w:rPr>
            <w:rStyle w:val="Hyperlink"/>
            <w:rFonts w:ascii="Arial" w:hAnsi="Arial" w:cs="Arial"/>
            <w:sz w:val="20"/>
          </w:rPr>
          <w:t>www.etsi.org</w:t>
        </w:r>
      </w:hyperlink>
      <w:r w:rsidRPr="002317EE">
        <w:rPr>
          <w:rFonts w:ascii="Arial" w:hAnsi="Arial" w:cs="Arial"/>
          <w:sz w:val="20"/>
        </w:rPr>
        <w:t>.</w:t>
      </w:r>
    </w:p>
    <w:p w14:paraId="4F0AA5CF" w14:textId="77777777" w:rsidR="00D4785C" w:rsidRPr="002317EE" w:rsidRDefault="00D4785C" w:rsidP="00D4785C">
      <w:pPr>
        <w:pStyle w:val="BodyText"/>
        <w:spacing w:line="260" w:lineRule="atLeast"/>
        <w:jc w:val="both"/>
        <w:rPr>
          <w:rFonts w:ascii="Arial" w:hAnsi="Arial" w:cs="Arial"/>
          <w:sz w:val="20"/>
        </w:rPr>
      </w:pPr>
    </w:p>
    <w:p w14:paraId="6687E6D0" w14:textId="77777777" w:rsidR="00D4785C" w:rsidRDefault="00D4785C" w:rsidP="00D4785C">
      <w:pPr>
        <w:pStyle w:val="BodyText"/>
        <w:spacing w:before="120" w:line="260" w:lineRule="atLeast"/>
        <w:jc w:val="both"/>
        <w:rPr>
          <w:rFonts w:ascii="Arial" w:hAnsi="Arial" w:cs="Arial"/>
          <w:b/>
          <w:sz w:val="20"/>
        </w:rPr>
      </w:pPr>
      <w:r>
        <w:rPr>
          <w:rFonts w:ascii="Arial" w:hAnsi="Arial" w:cs="Arial"/>
          <w:b/>
          <w:sz w:val="20"/>
        </w:rPr>
        <w:t>Incorporation by reference</w:t>
      </w:r>
    </w:p>
    <w:p w14:paraId="06AEB9FE" w14:textId="286F8F39" w:rsidR="00D4785C" w:rsidRDefault="00D4785C" w:rsidP="00D4785C">
      <w:pPr>
        <w:pStyle w:val="BodyText"/>
        <w:spacing w:before="120" w:line="260" w:lineRule="atLeast"/>
        <w:jc w:val="both"/>
        <w:rPr>
          <w:rFonts w:ascii="Arial" w:hAnsi="Arial" w:cs="Arial"/>
          <w:sz w:val="20"/>
        </w:rPr>
      </w:pPr>
      <w:r>
        <w:rPr>
          <w:rFonts w:ascii="Arial" w:hAnsi="Arial" w:cs="Arial"/>
          <w:sz w:val="20"/>
        </w:rPr>
        <w:t>The Variation inserts into the LIPD Class Licence references to documents as existing at the commencement of the Variation, as permitted by section 314A of the Act.  These documents are:</w:t>
      </w:r>
    </w:p>
    <w:p w14:paraId="7822057C" w14:textId="77777777" w:rsidR="00D4785C" w:rsidRPr="002D7BC6" w:rsidRDefault="00D4785C" w:rsidP="00D4785C">
      <w:pPr>
        <w:pStyle w:val="BodyText"/>
        <w:numPr>
          <w:ilvl w:val="0"/>
          <w:numId w:val="22"/>
        </w:numPr>
        <w:spacing w:before="120" w:line="260" w:lineRule="atLeast"/>
        <w:jc w:val="both"/>
        <w:rPr>
          <w:rFonts w:ascii="Arial" w:hAnsi="Arial" w:cs="Arial"/>
          <w:sz w:val="20"/>
        </w:rPr>
      </w:pPr>
      <w:r>
        <w:rPr>
          <w:rFonts w:ascii="Arial" w:hAnsi="Arial" w:cs="Arial"/>
          <w:sz w:val="20"/>
        </w:rPr>
        <w:t xml:space="preserve">AS/NZS IEC 60825.14 </w:t>
      </w:r>
      <w:r>
        <w:rPr>
          <w:rFonts w:ascii="Arial" w:hAnsi="Arial" w:cs="Arial"/>
          <w:i/>
          <w:sz w:val="20"/>
        </w:rPr>
        <w:t>Safety of laser products – A user’s guide</w:t>
      </w:r>
    </w:p>
    <w:p w14:paraId="4C395970" w14:textId="77777777" w:rsidR="00D4785C" w:rsidRPr="002D7BC6" w:rsidRDefault="00D4785C" w:rsidP="00D4785C">
      <w:pPr>
        <w:pStyle w:val="BodyText"/>
        <w:numPr>
          <w:ilvl w:val="0"/>
          <w:numId w:val="22"/>
        </w:numPr>
        <w:spacing w:before="120" w:line="260" w:lineRule="atLeast"/>
        <w:jc w:val="both"/>
        <w:rPr>
          <w:rFonts w:ascii="Arial" w:hAnsi="Arial" w:cs="Arial"/>
          <w:sz w:val="20"/>
        </w:rPr>
      </w:pPr>
      <w:r>
        <w:rPr>
          <w:rFonts w:ascii="Arial" w:hAnsi="Arial" w:cs="Arial"/>
          <w:sz w:val="20"/>
        </w:rPr>
        <w:t xml:space="preserve">AS/NZS IEC 60825.1 </w:t>
      </w:r>
      <w:r>
        <w:rPr>
          <w:rFonts w:ascii="Arial" w:hAnsi="Arial" w:cs="Arial"/>
          <w:i/>
          <w:sz w:val="20"/>
        </w:rPr>
        <w:t>Safety of laser products – Equipment classification and requirements</w:t>
      </w:r>
    </w:p>
    <w:p w14:paraId="4F28ED09" w14:textId="77777777" w:rsidR="00D4785C" w:rsidRPr="002D7BC6" w:rsidRDefault="00D4785C" w:rsidP="00D4785C">
      <w:pPr>
        <w:pStyle w:val="BodyText"/>
        <w:numPr>
          <w:ilvl w:val="0"/>
          <w:numId w:val="22"/>
        </w:numPr>
        <w:spacing w:before="120" w:line="260" w:lineRule="atLeast"/>
        <w:jc w:val="both"/>
        <w:rPr>
          <w:rFonts w:ascii="Arial" w:hAnsi="Arial" w:cs="Arial"/>
          <w:sz w:val="20"/>
        </w:rPr>
      </w:pPr>
      <w:r>
        <w:rPr>
          <w:rFonts w:ascii="Arial" w:hAnsi="Arial" w:cs="Arial"/>
          <w:sz w:val="20"/>
        </w:rPr>
        <w:t xml:space="preserve">ETSI Standard EN 302 435 </w:t>
      </w:r>
      <w:r>
        <w:rPr>
          <w:rFonts w:ascii="Arial" w:hAnsi="Arial" w:cs="Arial"/>
          <w:i/>
          <w:sz w:val="20"/>
        </w:rPr>
        <w:t>Electromagnetic compatibility and Radio spectrum Matters (ERM); Short Range Devices (SRD); Technical characteristics for SRD equipment using Ultra WideBand technology (UWB); Building Material Analysis and Classification equipment applications operating in the frequency band from 2,2 GHZ to 8,5 GHz;</w:t>
      </w:r>
    </w:p>
    <w:p w14:paraId="701A59D1" w14:textId="77777777" w:rsidR="00D4785C" w:rsidRPr="002D7BC6" w:rsidRDefault="00D4785C" w:rsidP="00D4785C">
      <w:pPr>
        <w:pStyle w:val="BodyText"/>
        <w:spacing w:before="120" w:line="260" w:lineRule="atLeast"/>
        <w:jc w:val="both"/>
        <w:rPr>
          <w:rFonts w:ascii="Arial" w:hAnsi="Arial" w:cs="Arial"/>
          <w:sz w:val="20"/>
        </w:rPr>
      </w:pPr>
      <w:r>
        <w:rPr>
          <w:rFonts w:ascii="Arial" w:hAnsi="Arial" w:cs="Arial"/>
          <w:sz w:val="20"/>
        </w:rPr>
        <w:lastRenderedPageBreak/>
        <w:t xml:space="preserve">The AS/NZ Standards are available from </w:t>
      </w:r>
      <w:hyperlink r:id="rId15" w:history="1">
        <w:r w:rsidRPr="00DB0151">
          <w:rPr>
            <w:rStyle w:val="Hyperlink"/>
            <w:rFonts w:ascii="Arial" w:hAnsi="Arial" w:cs="Arial"/>
            <w:sz w:val="20"/>
          </w:rPr>
          <w:t>SAI Global</w:t>
        </w:r>
      </w:hyperlink>
      <w:r>
        <w:rPr>
          <w:rFonts w:ascii="Arial" w:hAnsi="Arial" w:cs="Arial"/>
          <w:sz w:val="20"/>
        </w:rPr>
        <w:t xml:space="preserve">.  The ETSI Standard is available from the ETSI website: </w:t>
      </w:r>
      <w:hyperlink r:id="rId16" w:history="1">
        <w:r w:rsidRPr="00027441">
          <w:rPr>
            <w:rStyle w:val="Hyperlink"/>
            <w:rFonts w:ascii="Arial" w:hAnsi="Arial" w:cs="Arial"/>
            <w:sz w:val="20"/>
          </w:rPr>
          <w:t>www.etsi.org</w:t>
        </w:r>
      </w:hyperlink>
      <w:r>
        <w:rPr>
          <w:rFonts w:ascii="Arial" w:hAnsi="Arial" w:cs="Arial"/>
          <w:sz w:val="20"/>
        </w:rPr>
        <w:t>.</w:t>
      </w:r>
    </w:p>
    <w:p w14:paraId="3DF4A82D" w14:textId="77777777" w:rsidR="00D4785C" w:rsidRDefault="00D4785C" w:rsidP="00D4785C">
      <w:pPr>
        <w:pStyle w:val="BodyText"/>
        <w:spacing w:before="120" w:line="260" w:lineRule="atLeast"/>
        <w:jc w:val="both"/>
        <w:rPr>
          <w:rFonts w:ascii="Arial" w:hAnsi="Arial" w:cs="Arial"/>
          <w:b/>
          <w:sz w:val="20"/>
        </w:rPr>
      </w:pPr>
    </w:p>
    <w:p w14:paraId="6DE4ACEC" w14:textId="77777777" w:rsidR="00D4785C" w:rsidRPr="002317EE" w:rsidRDefault="00D4785C" w:rsidP="00D4785C">
      <w:pPr>
        <w:pStyle w:val="BodyText"/>
        <w:spacing w:before="120" w:line="260" w:lineRule="atLeast"/>
        <w:jc w:val="both"/>
        <w:rPr>
          <w:rFonts w:ascii="Arial" w:hAnsi="Arial" w:cs="Arial"/>
          <w:b/>
          <w:sz w:val="20"/>
        </w:rPr>
      </w:pPr>
      <w:r w:rsidRPr="002317EE">
        <w:rPr>
          <w:rFonts w:ascii="Arial" w:hAnsi="Arial" w:cs="Arial"/>
          <w:b/>
          <w:sz w:val="20"/>
        </w:rPr>
        <w:t>Consultation</w:t>
      </w:r>
    </w:p>
    <w:p w14:paraId="78CACD1F" w14:textId="5AD64B2E" w:rsidR="00D4785C" w:rsidRDefault="00D4785C" w:rsidP="00D4785C">
      <w:pPr>
        <w:spacing w:before="120" w:after="120" w:line="260" w:lineRule="atLeast"/>
        <w:jc w:val="both"/>
        <w:rPr>
          <w:rFonts w:ascii="Arial" w:hAnsi="Arial" w:cs="Arial"/>
          <w:color w:val="000000"/>
        </w:rPr>
      </w:pPr>
      <w:r w:rsidRPr="002317EE">
        <w:rPr>
          <w:rFonts w:ascii="Arial" w:hAnsi="Arial" w:cs="Arial"/>
          <w:color w:val="000000"/>
        </w:rPr>
        <w:t xml:space="preserve">Section 17 of the </w:t>
      </w:r>
      <w:r w:rsidRPr="002317EE">
        <w:rPr>
          <w:rFonts w:ascii="Arial" w:hAnsi="Arial" w:cs="Arial"/>
          <w:i/>
          <w:color w:val="000000"/>
        </w:rPr>
        <w:t>Legislati</w:t>
      </w:r>
      <w:r>
        <w:rPr>
          <w:rFonts w:ascii="Arial" w:hAnsi="Arial" w:cs="Arial"/>
          <w:i/>
          <w:color w:val="000000"/>
        </w:rPr>
        <w:t>on</w:t>
      </w:r>
      <w:r w:rsidRPr="002317EE">
        <w:rPr>
          <w:rFonts w:ascii="Arial" w:hAnsi="Arial" w:cs="Arial"/>
          <w:i/>
          <w:color w:val="000000"/>
        </w:rPr>
        <w:t xml:space="preserve"> Act 2003 </w:t>
      </w:r>
      <w:r w:rsidRPr="002317EE">
        <w:rPr>
          <w:rFonts w:ascii="Arial" w:hAnsi="Arial" w:cs="Arial"/>
          <w:color w:val="000000"/>
        </w:rPr>
        <w:t>requires the ACMA to be satisfied tha</w:t>
      </w:r>
      <w:r>
        <w:rPr>
          <w:rFonts w:ascii="Arial" w:hAnsi="Arial" w:cs="Arial"/>
          <w:color w:val="000000"/>
        </w:rPr>
        <w:t xml:space="preserve">t any consultation it considers to be appropriate and reasonably practicable to undertake has been undertaken before making a legislative instrument. </w:t>
      </w:r>
      <w:r w:rsidR="00731406">
        <w:rPr>
          <w:rFonts w:ascii="Arial" w:hAnsi="Arial" w:cs="Arial"/>
          <w:color w:val="000000"/>
        </w:rPr>
        <w:t xml:space="preserve"> </w:t>
      </w:r>
      <w:r>
        <w:rPr>
          <w:rFonts w:ascii="Arial" w:hAnsi="Arial" w:cs="Arial"/>
          <w:color w:val="000000"/>
        </w:rPr>
        <w:t>Section 136 of the Act also requires that a notice setting out particular details of the</w:t>
      </w:r>
      <w:r w:rsidR="003630B3">
        <w:rPr>
          <w:rFonts w:ascii="Arial" w:hAnsi="Arial" w:cs="Arial"/>
          <w:color w:val="000000"/>
        </w:rPr>
        <w:t xml:space="preserve"> proposed</w:t>
      </w:r>
      <w:r>
        <w:rPr>
          <w:rFonts w:ascii="Arial" w:hAnsi="Arial" w:cs="Arial"/>
          <w:color w:val="000000"/>
        </w:rPr>
        <w:t xml:space="preserve"> variation be published on the ACMA’s website and in one or more other forms that are readily accessible by the public. The notice must allow for</w:t>
      </w:r>
      <w:r w:rsidRPr="00A35148">
        <w:rPr>
          <w:rFonts w:ascii="Arial" w:hAnsi="Arial" w:cs="Arial"/>
          <w:color w:val="000000"/>
        </w:rPr>
        <w:t xml:space="preserve"> a</w:t>
      </w:r>
      <w:r>
        <w:rPr>
          <w:rFonts w:ascii="Arial" w:hAnsi="Arial" w:cs="Arial"/>
          <w:i/>
          <w:color w:val="000000"/>
        </w:rPr>
        <w:t xml:space="preserve"> </w:t>
      </w:r>
      <w:r>
        <w:rPr>
          <w:rFonts w:ascii="Arial" w:hAnsi="Arial" w:cs="Arial"/>
          <w:color w:val="000000"/>
        </w:rPr>
        <w:t xml:space="preserve">period of at least one month for public comment. </w:t>
      </w:r>
    </w:p>
    <w:p w14:paraId="172C13FA" w14:textId="77777777" w:rsidR="00D4785C" w:rsidRDefault="00D4785C" w:rsidP="00D4785C">
      <w:pPr>
        <w:spacing w:before="120" w:after="120" w:line="260" w:lineRule="atLeast"/>
        <w:jc w:val="both"/>
        <w:rPr>
          <w:rFonts w:ascii="Arial" w:hAnsi="Arial" w:cs="Arial"/>
          <w:color w:val="000000"/>
        </w:rPr>
      </w:pPr>
      <w:r>
        <w:rPr>
          <w:rFonts w:ascii="Arial" w:hAnsi="Arial" w:cs="Arial"/>
          <w:color w:val="000000"/>
        </w:rPr>
        <w:t>Section 136 also requires the ACMA to consult with all licensees of spectrum licences who may be affected by the proposed variation of a class licence.</w:t>
      </w:r>
    </w:p>
    <w:p w14:paraId="11071F16" w14:textId="77777777" w:rsidR="00D4785C" w:rsidRDefault="00D4785C" w:rsidP="00D4785C">
      <w:pPr>
        <w:spacing w:before="120" w:after="120" w:line="260" w:lineRule="atLeast"/>
        <w:jc w:val="both"/>
        <w:rPr>
          <w:rFonts w:ascii="Arial" w:hAnsi="Arial" w:cs="Arial"/>
          <w:color w:val="000000"/>
        </w:rPr>
      </w:pPr>
      <w:r>
        <w:rPr>
          <w:rFonts w:ascii="Arial" w:hAnsi="Arial" w:cs="Arial"/>
          <w:color w:val="000000"/>
        </w:rPr>
        <w:t>O</w:t>
      </w:r>
      <w:r w:rsidRPr="00660D86">
        <w:rPr>
          <w:rFonts w:ascii="Arial" w:hAnsi="Arial" w:cs="Arial"/>
          <w:color w:val="000000"/>
        </w:rPr>
        <w:t xml:space="preserve">n </w:t>
      </w:r>
      <w:r>
        <w:rPr>
          <w:rFonts w:ascii="Arial" w:hAnsi="Arial" w:cs="Arial"/>
          <w:color w:val="000000"/>
        </w:rPr>
        <w:t>22</w:t>
      </w:r>
      <w:r w:rsidRPr="00C07E8B">
        <w:rPr>
          <w:rFonts w:ascii="Arial" w:hAnsi="Arial" w:cs="Arial"/>
          <w:color w:val="000000"/>
        </w:rPr>
        <w:t xml:space="preserve"> </w:t>
      </w:r>
      <w:r>
        <w:rPr>
          <w:rFonts w:ascii="Arial" w:hAnsi="Arial" w:cs="Arial"/>
          <w:color w:val="000000"/>
        </w:rPr>
        <w:t>December</w:t>
      </w:r>
      <w:r w:rsidRPr="00C07E8B">
        <w:rPr>
          <w:rFonts w:ascii="Arial" w:hAnsi="Arial" w:cs="Arial"/>
          <w:color w:val="000000"/>
        </w:rPr>
        <w:t xml:space="preserve"> 201</w:t>
      </w:r>
      <w:r>
        <w:rPr>
          <w:rFonts w:ascii="Arial" w:hAnsi="Arial" w:cs="Arial"/>
          <w:color w:val="000000"/>
        </w:rPr>
        <w:t>5</w:t>
      </w:r>
      <w:r w:rsidRPr="00660D86">
        <w:rPr>
          <w:rFonts w:ascii="Arial" w:hAnsi="Arial" w:cs="Arial"/>
          <w:color w:val="000000"/>
        </w:rPr>
        <w:t xml:space="preserve">, </w:t>
      </w:r>
      <w:r>
        <w:rPr>
          <w:rFonts w:ascii="Arial" w:hAnsi="Arial" w:cs="Arial"/>
          <w:color w:val="000000"/>
        </w:rPr>
        <w:t xml:space="preserve">the ACMA published a notice on its website and in the </w:t>
      </w:r>
      <w:r>
        <w:rPr>
          <w:rFonts w:ascii="Arial" w:hAnsi="Arial" w:cs="Arial"/>
          <w:i/>
          <w:color w:val="000000"/>
        </w:rPr>
        <w:t>Gazette</w:t>
      </w:r>
      <w:r>
        <w:rPr>
          <w:rFonts w:ascii="Arial" w:hAnsi="Arial" w:cs="Arial"/>
          <w:color w:val="000000"/>
        </w:rPr>
        <w:t>,</w:t>
      </w:r>
      <w:r>
        <w:rPr>
          <w:rFonts w:ascii="Arial" w:hAnsi="Arial" w:cs="Arial"/>
          <w:i/>
          <w:color w:val="000000"/>
        </w:rPr>
        <w:t xml:space="preserve"> </w:t>
      </w:r>
      <w:r w:rsidRPr="00660D86">
        <w:rPr>
          <w:rFonts w:ascii="Arial" w:hAnsi="Arial" w:cs="Arial"/>
          <w:color w:val="000000"/>
        </w:rPr>
        <w:t xml:space="preserve">inviting public </w:t>
      </w:r>
      <w:r>
        <w:rPr>
          <w:rFonts w:ascii="Arial" w:hAnsi="Arial" w:cs="Arial"/>
          <w:color w:val="000000"/>
        </w:rPr>
        <w:t xml:space="preserve">comment on the draft Variation </w:t>
      </w:r>
      <w:r w:rsidRPr="00660D86">
        <w:rPr>
          <w:rFonts w:ascii="Arial" w:hAnsi="Arial" w:cs="Arial"/>
          <w:color w:val="000000"/>
        </w:rPr>
        <w:t xml:space="preserve">until </w:t>
      </w:r>
      <w:r>
        <w:rPr>
          <w:rFonts w:ascii="Arial" w:hAnsi="Arial" w:cs="Arial"/>
          <w:color w:val="000000"/>
        </w:rPr>
        <w:t>26</w:t>
      </w:r>
      <w:r w:rsidRPr="003B640F">
        <w:rPr>
          <w:rFonts w:ascii="Arial" w:hAnsi="Arial" w:cs="Arial"/>
          <w:color w:val="000000"/>
        </w:rPr>
        <w:t> </w:t>
      </w:r>
      <w:r>
        <w:rPr>
          <w:rFonts w:ascii="Arial" w:hAnsi="Arial" w:cs="Arial"/>
          <w:color w:val="000000"/>
        </w:rPr>
        <w:t>February</w:t>
      </w:r>
      <w:r w:rsidRPr="003B640F">
        <w:rPr>
          <w:rFonts w:ascii="Arial" w:hAnsi="Arial" w:cs="Arial"/>
          <w:color w:val="000000"/>
        </w:rPr>
        <w:t xml:space="preserve"> 201</w:t>
      </w:r>
      <w:r>
        <w:rPr>
          <w:rFonts w:ascii="Arial" w:hAnsi="Arial" w:cs="Arial"/>
          <w:color w:val="000000"/>
        </w:rPr>
        <w:t>6</w:t>
      </w:r>
      <w:r w:rsidRPr="00660D86">
        <w:rPr>
          <w:rFonts w:ascii="Arial" w:hAnsi="Arial" w:cs="Arial"/>
          <w:color w:val="000000"/>
        </w:rPr>
        <w:t xml:space="preserve">. </w:t>
      </w:r>
      <w:r>
        <w:rPr>
          <w:rFonts w:ascii="Arial" w:hAnsi="Arial" w:cs="Arial"/>
          <w:color w:val="000000"/>
        </w:rPr>
        <w:t xml:space="preserve"> Individual notification was also sent to spectrum licensees who may be affected by the Variation.  </w:t>
      </w:r>
    </w:p>
    <w:p w14:paraId="59404A7C" w14:textId="6A0F1CDE" w:rsidR="00D4785C" w:rsidRDefault="00D4785C" w:rsidP="00D4785C">
      <w:pPr>
        <w:spacing w:before="120" w:after="120" w:line="260" w:lineRule="atLeast"/>
        <w:jc w:val="both"/>
        <w:rPr>
          <w:rFonts w:ascii="Arial" w:hAnsi="Arial" w:cs="Arial"/>
          <w:color w:val="000000"/>
        </w:rPr>
      </w:pPr>
      <w:r>
        <w:rPr>
          <w:rFonts w:ascii="Arial" w:hAnsi="Arial" w:cs="Arial"/>
          <w:color w:val="000000"/>
        </w:rPr>
        <w:t>Four submissions were received in response to the invitation for public comment. Three submissions supported the changes proposed in the draft Variation.  The fourth submission from the CSIRO requested additional restrictions on the use of building material analysis transmitters and industrial radiodetermination devices in the vicinity of SRS antenna</w:t>
      </w:r>
      <w:r w:rsidR="003630B3">
        <w:rPr>
          <w:rFonts w:ascii="Arial" w:hAnsi="Arial" w:cs="Arial"/>
          <w:color w:val="000000"/>
        </w:rPr>
        <w:t>e</w:t>
      </w:r>
      <w:r>
        <w:rPr>
          <w:rFonts w:ascii="Arial" w:hAnsi="Arial" w:cs="Arial"/>
          <w:color w:val="000000"/>
        </w:rPr>
        <w:t xml:space="preserve">.  However, the ACMA obtained information from European studies showing that such restrictions were not required, and this information was </w:t>
      </w:r>
      <w:r w:rsidR="003630B3">
        <w:rPr>
          <w:rFonts w:ascii="Arial" w:hAnsi="Arial" w:cs="Arial"/>
          <w:color w:val="000000"/>
        </w:rPr>
        <w:t>provided</w:t>
      </w:r>
      <w:r>
        <w:rPr>
          <w:rFonts w:ascii="Arial" w:hAnsi="Arial" w:cs="Arial"/>
          <w:color w:val="000000"/>
        </w:rPr>
        <w:t xml:space="preserve"> to the CSIRO. </w:t>
      </w:r>
    </w:p>
    <w:p w14:paraId="1276596E" w14:textId="77777777" w:rsidR="00D4785C" w:rsidRDefault="00D4785C" w:rsidP="00D4785C">
      <w:pPr>
        <w:spacing w:before="120" w:after="120" w:line="260" w:lineRule="atLeast"/>
        <w:jc w:val="both"/>
        <w:rPr>
          <w:rFonts w:ascii="Arial" w:hAnsi="Arial" w:cs="Arial"/>
          <w:color w:val="000000"/>
        </w:rPr>
      </w:pPr>
    </w:p>
    <w:p w14:paraId="61519764" w14:textId="77777777" w:rsidR="00D4785C" w:rsidRPr="00BF219C" w:rsidRDefault="00D4785C" w:rsidP="00D4785C">
      <w:pPr>
        <w:pStyle w:val="ACMAHeading3"/>
        <w:spacing w:before="120" w:after="120" w:line="360" w:lineRule="auto"/>
        <w:rPr>
          <w:sz w:val="20"/>
        </w:rPr>
      </w:pPr>
      <w:r w:rsidRPr="00BF219C">
        <w:rPr>
          <w:sz w:val="20"/>
        </w:rPr>
        <w:t xml:space="preserve">Statement of </w:t>
      </w:r>
      <w:r>
        <w:rPr>
          <w:sz w:val="20"/>
        </w:rPr>
        <w:t>C</w:t>
      </w:r>
      <w:r w:rsidRPr="00BF219C">
        <w:rPr>
          <w:sz w:val="20"/>
        </w:rPr>
        <w:t xml:space="preserve">ompatibility with </w:t>
      </w:r>
      <w:r>
        <w:rPr>
          <w:sz w:val="20"/>
        </w:rPr>
        <w:t>H</w:t>
      </w:r>
      <w:r w:rsidRPr="00BF219C">
        <w:rPr>
          <w:sz w:val="20"/>
        </w:rPr>
        <w:t xml:space="preserve">uman </w:t>
      </w:r>
      <w:r>
        <w:rPr>
          <w:sz w:val="20"/>
        </w:rPr>
        <w:t>R</w:t>
      </w:r>
      <w:r w:rsidRPr="00BF219C">
        <w:rPr>
          <w:sz w:val="20"/>
        </w:rPr>
        <w:t>ights</w:t>
      </w:r>
    </w:p>
    <w:p w14:paraId="1229CDA5" w14:textId="77777777" w:rsidR="00D4785C" w:rsidRDefault="00D4785C" w:rsidP="00D4785C">
      <w:pPr>
        <w:pStyle w:val="ListParagraph"/>
        <w:spacing w:before="80" w:after="120" w:line="280" w:lineRule="atLeast"/>
        <w:ind w:left="1"/>
        <w:contextualSpacing w:val="0"/>
        <w:jc w:val="both"/>
        <w:rPr>
          <w:rFonts w:cs="Arial"/>
          <w:color w:val="000000"/>
          <w:lang w:eastAsia="en-AU" w:bidi="ar-SA"/>
        </w:rPr>
      </w:pPr>
      <w:r>
        <w:rPr>
          <w:rFonts w:cs="Arial"/>
          <w:color w:val="000000"/>
          <w:lang w:eastAsia="en-AU" w:bidi="ar-SA"/>
        </w:rPr>
        <w:t>A</w:t>
      </w:r>
      <w:r w:rsidRPr="00FB1F75">
        <w:rPr>
          <w:rFonts w:cs="Arial"/>
          <w:color w:val="000000"/>
          <w:lang w:eastAsia="en-AU" w:bidi="ar-SA"/>
        </w:rPr>
        <w:t xml:space="preserve"> </w:t>
      </w:r>
      <w:r>
        <w:rPr>
          <w:rFonts w:cs="Arial"/>
          <w:color w:val="000000"/>
          <w:lang w:eastAsia="en-AU" w:bidi="ar-SA"/>
        </w:rPr>
        <w:t>S</w:t>
      </w:r>
      <w:r w:rsidRPr="00FB1F75">
        <w:rPr>
          <w:rFonts w:cs="Arial"/>
          <w:color w:val="000000"/>
          <w:lang w:eastAsia="en-AU" w:bidi="ar-SA"/>
        </w:rPr>
        <w:t>tatement</w:t>
      </w:r>
      <w:r>
        <w:rPr>
          <w:rFonts w:cs="Arial"/>
          <w:color w:val="000000"/>
          <w:lang w:eastAsia="en-AU" w:bidi="ar-SA"/>
        </w:rPr>
        <w:t xml:space="preserve"> of Compatibility with Human Rights for the purposes of Part 3 of the </w:t>
      </w:r>
      <w:r>
        <w:rPr>
          <w:rFonts w:cs="Arial"/>
          <w:i/>
          <w:color w:val="000000"/>
          <w:lang w:eastAsia="en-AU" w:bidi="ar-SA"/>
        </w:rPr>
        <w:t>Human Rights (Parliamentary Scrutiny) Act 2011</w:t>
      </w:r>
      <w:r w:rsidRPr="00FB1F75">
        <w:rPr>
          <w:rFonts w:cs="Arial"/>
          <w:color w:val="000000"/>
          <w:lang w:eastAsia="en-AU" w:bidi="ar-SA"/>
        </w:rPr>
        <w:t xml:space="preserve"> is </w:t>
      </w:r>
      <w:r>
        <w:rPr>
          <w:rFonts w:cs="Arial"/>
          <w:color w:val="000000"/>
          <w:lang w:eastAsia="en-AU" w:bidi="ar-SA"/>
        </w:rPr>
        <w:t>at</w:t>
      </w:r>
      <w:r w:rsidRPr="00FB1F75">
        <w:rPr>
          <w:rFonts w:cs="Arial"/>
          <w:color w:val="000000"/>
          <w:lang w:eastAsia="en-AU" w:bidi="ar-SA"/>
        </w:rPr>
        <w:t xml:space="preserve"> </w:t>
      </w:r>
      <w:r>
        <w:rPr>
          <w:rFonts w:cs="Arial"/>
          <w:color w:val="000000"/>
          <w:lang w:eastAsia="en-AU" w:bidi="ar-SA"/>
        </w:rPr>
        <w:t>A</w:t>
      </w:r>
      <w:r w:rsidRPr="00FB1F75">
        <w:rPr>
          <w:rFonts w:cs="Arial"/>
          <w:color w:val="000000"/>
          <w:lang w:eastAsia="en-AU" w:bidi="ar-SA"/>
        </w:rPr>
        <w:t>ttachment B.</w:t>
      </w:r>
    </w:p>
    <w:p w14:paraId="68C2DF26" w14:textId="77777777" w:rsidR="00D4785C" w:rsidRDefault="00D4785C" w:rsidP="00D4785C">
      <w:pPr>
        <w:pStyle w:val="ListParagraph"/>
        <w:spacing w:before="80" w:after="120" w:line="280" w:lineRule="atLeast"/>
        <w:ind w:left="1"/>
        <w:contextualSpacing w:val="0"/>
        <w:jc w:val="both"/>
        <w:rPr>
          <w:rFonts w:cs="Arial"/>
          <w:color w:val="000000"/>
          <w:lang w:eastAsia="en-AU" w:bidi="ar-SA"/>
        </w:rPr>
      </w:pPr>
    </w:p>
    <w:p w14:paraId="16F79517" w14:textId="77777777" w:rsidR="00D4785C" w:rsidRPr="00F52A89" w:rsidRDefault="00D4785C" w:rsidP="00D4785C">
      <w:pPr>
        <w:pStyle w:val="ACMAHeading3"/>
        <w:spacing w:before="120" w:after="120" w:line="260" w:lineRule="atLeast"/>
        <w:jc w:val="both"/>
        <w:rPr>
          <w:rFonts w:cs="Arial"/>
          <w:sz w:val="20"/>
        </w:rPr>
      </w:pPr>
      <w:r w:rsidRPr="00F52A89">
        <w:rPr>
          <w:rFonts w:cs="Arial"/>
          <w:sz w:val="20"/>
        </w:rPr>
        <w:t>Regulation Impact</w:t>
      </w:r>
      <w:r>
        <w:rPr>
          <w:rFonts w:cs="Arial"/>
          <w:sz w:val="20"/>
        </w:rPr>
        <w:t xml:space="preserve"> Statement</w:t>
      </w:r>
    </w:p>
    <w:p w14:paraId="331F567E" w14:textId="77777777" w:rsidR="00D4785C" w:rsidRDefault="00D4785C" w:rsidP="00D4785C">
      <w:pPr>
        <w:pStyle w:val="ListParagraph"/>
        <w:spacing w:before="80" w:after="120" w:line="280" w:lineRule="atLeast"/>
        <w:ind w:left="1"/>
        <w:contextualSpacing w:val="0"/>
        <w:jc w:val="both"/>
        <w:rPr>
          <w:rFonts w:cs="Arial"/>
          <w:color w:val="000000"/>
          <w:lang w:eastAsia="en-AU" w:bidi="ar-SA"/>
        </w:rPr>
      </w:pPr>
      <w:r>
        <w:rPr>
          <w:rFonts w:cs="Arial"/>
          <w:color w:val="000000"/>
          <w:lang w:eastAsia="en-AU" w:bidi="ar-SA"/>
        </w:rPr>
        <w:t>Prior to releasing the draft Variation for comment, the ACMA consulted with the</w:t>
      </w:r>
      <w:r w:rsidRPr="00FB1F75">
        <w:rPr>
          <w:rFonts w:cs="Arial"/>
          <w:color w:val="000000"/>
          <w:lang w:eastAsia="en-AU" w:bidi="ar-SA"/>
        </w:rPr>
        <w:t xml:space="preserve"> Office of Best Practice Regulation (</w:t>
      </w:r>
      <w:r w:rsidRPr="00220A6E">
        <w:rPr>
          <w:rFonts w:cs="Arial"/>
          <w:b/>
          <w:color w:val="000000"/>
          <w:lang w:eastAsia="en-AU" w:bidi="ar-SA"/>
        </w:rPr>
        <w:t>the</w:t>
      </w:r>
      <w:r>
        <w:rPr>
          <w:rFonts w:cs="Arial"/>
          <w:color w:val="000000"/>
          <w:lang w:eastAsia="en-AU" w:bidi="ar-SA"/>
        </w:rPr>
        <w:t xml:space="preserve"> </w:t>
      </w:r>
      <w:r w:rsidRPr="00220A6E">
        <w:rPr>
          <w:rFonts w:cs="Arial"/>
          <w:b/>
          <w:color w:val="000000"/>
          <w:lang w:eastAsia="en-AU" w:bidi="ar-SA"/>
        </w:rPr>
        <w:t>OBPR</w:t>
      </w:r>
      <w:r w:rsidRPr="00FB1F75">
        <w:rPr>
          <w:rFonts w:cs="Arial"/>
          <w:color w:val="000000"/>
          <w:lang w:eastAsia="en-AU" w:bidi="ar-SA"/>
        </w:rPr>
        <w:t>)</w:t>
      </w:r>
      <w:r>
        <w:rPr>
          <w:rFonts w:cs="Arial"/>
          <w:color w:val="000000"/>
          <w:lang w:eastAsia="en-AU" w:bidi="ar-SA"/>
        </w:rPr>
        <w:t xml:space="preserve"> on the requirement for a Regulation Impact Statement (</w:t>
      </w:r>
      <w:r>
        <w:rPr>
          <w:rFonts w:cs="Arial"/>
          <w:b/>
          <w:color w:val="000000"/>
          <w:lang w:eastAsia="en-AU" w:bidi="ar-SA"/>
        </w:rPr>
        <w:t>the RIS</w:t>
      </w:r>
      <w:r>
        <w:rPr>
          <w:rFonts w:cs="Arial"/>
          <w:color w:val="000000"/>
          <w:lang w:eastAsia="en-AU" w:bidi="ar-SA"/>
        </w:rPr>
        <w:t>) for this Variation.  The OBPR advised</w:t>
      </w:r>
      <w:r w:rsidRPr="00FB1F75">
        <w:rPr>
          <w:rFonts w:cs="Arial"/>
          <w:color w:val="000000"/>
          <w:lang w:eastAsia="en-AU" w:bidi="ar-SA"/>
        </w:rPr>
        <w:t xml:space="preserve"> that the </w:t>
      </w:r>
      <w:r>
        <w:rPr>
          <w:rFonts w:cs="Arial"/>
          <w:color w:val="000000"/>
          <w:lang w:eastAsia="en-AU" w:bidi="ar-SA"/>
        </w:rPr>
        <w:t xml:space="preserve">ACMA may self-assess the performance of the Variation and the </w:t>
      </w:r>
      <w:r w:rsidRPr="00FB1F75">
        <w:rPr>
          <w:rFonts w:cs="Arial"/>
          <w:color w:val="000000"/>
          <w:lang w:eastAsia="en-AU" w:bidi="ar-SA"/>
        </w:rPr>
        <w:t xml:space="preserve">regulatory change </w:t>
      </w:r>
      <w:r>
        <w:rPr>
          <w:rFonts w:cs="Arial"/>
          <w:color w:val="000000"/>
          <w:lang w:eastAsia="en-AU" w:bidi="ar-SA"/>
        </w:rPr>
        <w:t>made by the Variation.  The ACMA considers that the Variation does not give rise to the need for a RIS because it is only likely to have minor and machinery impacts.</w:t>
      </w:r>
      <w:r w:rsidRPr="00FB1F75">
        <w:rPr>
          <w:rFonts w:cs="Arial"/>
          <w:color w:val="000000"/>
          <w:lang w:eastAsia="en-AU" w:bidi="ar-SA"/>
        </w:rPr>
        <w:t xml:space="preserve"> </w:t>
      </w:r>
      <w:r>
        <w:rPr>
          <w:rFonts w:cs="Arial"/>
          <w:color w:val="000000"/>
          <w:lang w:eastAsia="en-AU" w:bidi="ar-SA"/>
        </w:rPr>
        <w:t xml:space="preserve">The </w:t>
      </w:r>
      <w:r w:rsidRPr="00FB1F75">
        <w:rPr>
          <w:rFonts w:cs="Arial"/>
          <w:color w:val="000000"/>
          <w:lang w:eastAsia="en-AU" w:bidi="ar-SA"/>
        </w:rPr>
        <w:t xml:space="preserve">OBPR reference </w:t>
      </w:r>
      <w:r>
        <w:rPr>
          <w:rFonts w:cs="Arial"/>
          <w:color w:val="000000"/>
          <w:lang w:eastAsia="en-AU" w:bidi="ar-SA"/>
        </w:rPr>
        <w:t>for this assessment is ID</w:t>
      </w:r>
      <w:r w:rsidRPr="00FB1F75">
        <w:rPr>
          <w:rFonts w:cs="Arial"/>
          <w:color w:val="000000"/>
          <w:lang w:eastAsia="en-AU" w:bidi="ar-SA"/>
        </w:rPr>
        <w:t xml:space="preserve"> 1</w:t>
      </w:r>
      <w:r>
        <w:rPr>
          <w:rFonts w:cs="Arial"/>
          <w:color w:val="000000"/>
          <w:lang w:eastAsia="en-AU" w:bidi="ar-SA"/>
        </w:rPr>
        <w:t>9895</w:t>
      </w:r>
      <w:r w:rsidRPr="00FB1F75">
        <w:rPr>
          <w:rFonts w:cs="Arial"/>
          <w:color w:val="000000"/>
          <w:lang w:eastAsia="en-AU" w:bidi="ar-SA"/>
        </w:rPr>
        <w:t>.</w:t>
      </w:r>
    </w:p>
    <w:p w14:paraId="5445F005" w14:textId="77777777" w:rsidR="00D4785C" w:rsidRPr="00FB1F75" w:rsidRDefault="00D4785C" w:rsidP="00D4785C">
      <w:pPr>
        <w:pStyle w:val="ListParagraph"/>
        <w:spacing w:before="80" w:after="120" w:line="280" w:lineRule="atLeast"/>
        <w:ind w:left="1"/>
        <w:contextualSpacing w:val="0"/>
        <w:jc w:val="both"/>
        <w:rPr>
          <w:rFonts w:cs="Arial"/>
          <w:color w:val="000000"/>
          <w:lang w:eastAsia="en-AU" w:bidi="ar-SA"/>
        </w:rPr>
      </w:pPr>
    </w:p>
    <w:p w14:paraId="1A15DE43" w14:textId="77777777" w:rsidR="00D4785C" w:rsidRPr="00FB1F75" w:rsidRDefault="00D4785C" w:rsidP="00D4785C">
      <w:pPr>
        <w:pStyle w:val="ACMAHeading3"/>
        <w:spacing w:before="120" w:after="120" w:line="260" w:lineRule="atLeast"/>
        <w:jc w:val="both"/>
        <w:rPr>
          <w:rFonts w:cs="Arial"/>
          <w:sz w:val="20"/>
        </w:rPr>
      </w:pPr>
      <w:r>
        <w:rPr>
          <w:rFonts w:cs="Arial"/>
          <w:sz w:val="20"/>
        </w:rPr>
        <w:t>Detailed description of the Variation</w:t>
      </w:r>
    </w:p>
    <w:p w14:paraId="53FC8023" w14:textId="77777777" w:rsidR="00D4785C" w:rsidRDefault="00D4785C" w:rsidP="00D4785C">
      <w:pPr>
        <w:pStyle w:val="RGPara"/>
        <w:spacing w:after="120" w:line="260" w:lineRule="atLeast"/>
        <w:rPr>
          <w:rFonts w:ascii="Arial" w:hAnsi="Arial" w:cs="Arial"/>
          <w:b/>
        </w:rPr>
      </w:pPr>
      <w:r>
        <w:rPr>
          <w:rFonts w:ascii="Arial" w:hAnsi="Arial" w:cs="Arial"/>
          <w:sz w:val="20"/>
        </w:rPr>
        <w:t xml:space="preserve">Details of the Variation are set out in </w:t>
      </w:r>
      <w:r w:rsidRPr="00F52A89">
        <w:rPr>
          <w:rFonts w:ascii="Arial" w:hAnsi="Arial" w:cs="Arial"/>
          <w:sz w:val="20"/>
        </w:rPr>
        <w:t>Attachment</w:t>
      </w:r>
      <w:r>
        <w:rPr>
          <w:rFonts w:ascii="Arial" w:hAnsi="Arial" w:cs="Arial"/>
          <w:sz w:val="20"/>
        </w:rPr>
        <w:t xml:space="preserve"> A</w:t>
      </w:r>
      <w:r w:rsidRPr="00F52A89">
        <w:rPr>
          <w:rFonts w:ascii="Arial" w:hAnsi="Arial" w:cs="Arial"/>
          <w:sz w:val="20"/>
        </w:rPr>
        <w:t>.</w:t>
      </w:r>
      <w:r>
        <w:rPr>
          <w:rFonts w:ascii="Arial" w:hAnsi="Arial" w:cs="Arial"/>
          <w:b/>
        </w:rPr>
        <w:br w:type="page"/>
      </w:r>
    </w:p>
    <w:p w14:paraId="18CCA9B7" w14:textId="77777777" w:rsidR="00D4785C" w:rsidRPr="00F52A89" w:rsidRDefault="00D4785C" w:rsidP="00D4785C">
      <w:pPr>
        <w:spacing w:before="120" w:after="120" w:line="260" w:lineRule="atLeast"/>
        <w:jc w:val="right"/>
        <w:rPr>
          <w:rFonts w:ascii="Arial" w:hAnsi="Arial" w:cs="Arial"/>
          <w:b/>
        </w:rPr>
      </w:pPr>
      <w:r w:rsidRPr="00F52A89">
        <w:rPr>
          <w:rFonts w:ascii="Arial" w:hAnsi="Arial" w:cs="Arial"/>
          <w:b/>
        </w:rPr>
        <w:lastRenderedPageBreak/>
        <w:t>ATTACHMENT</w:t>
      </w:r>
      <w:r>
        <w:rPr>
          <w:rFonts w:ascii="Arial" w:hAnsi="Arial" w:cs="Arial"/>
          <w:b/>
        </w:rPr>
        <w:t xml:space="preserve"> A</w:t>
      </w:r>
    </w:p>
    <w:p w14:paraId="7E9793A3" w14:textId="77777777" w:rsidR="00D4785C" w:rsidRPr="00D91672" w:rsidRDefault="00D4785C" w:rsidP="00D4785C">
      <w:pPr>
        <w:pStyle w:val="Heading5"/>
        <w:spacing w:before="120" w:after="120" w:line="260" w:lineRule="atLeast"/>
        <w:jc w:val="center"/>
        <w:rPr>
          <w:rFonts w:ascii="Arial" w:hAnsi="Arial" w:cs="Arial"/>
          <w:bCs w:val="0"/>
          <w:i w:val="0"/>
          <w:iCs w:val="0"/>
          <w:sz w:val="20"/>
          <w:szCs w:val="20"/>
        </w:rPr>
      </w:pPr>
      <w:r>
        <w:rPr>
          <w:rFonts w:ascii="Arial" w:hAnsi="Arial" w:cs="Arial"/>
          <w:i w:val="0"/>
          <w:sz w:val="20"/>
          <w:szCs w:val="20"/>
        </w:rPr>
        <w:t xml:space="preserve">Details of the </w:t>
      </w:r>
      <w:r>
        <w:rPr>
          <w:rFonts w:ascii="Arial" w:hAnsi="Arial" w:cs="Arial"/>
          <w:sz w:val="20"/>
          <w:szCs w:val="20"/>
        </w:rPr>
        <w:t>Radiocommunications (Low Interference Potential Devices) Class Licence Variation 2016 (No.1)</w:t>
      </w:r>
    </w:p>
    <w:p w14:paraId="1807E355" w14:textId="77777777" w:rsidR="00D4785C" w:rsidRPr="00552613" w:rsidRDefault="00D4785C" w:rsidP="00D4785C">
      <w:pPr>
        <w:spacing w:before="120" w:after="120" w:line="260" w:lineRule="atLeast"/>
        <w:jc w:val="both"/>
        <w:rPr>
          <w:rFonts w:ascii="Arial" w:hAnsi="Arial" w:cs="Arial"/>
          <w:b/>
        </w:rPr>
      </w:pPr>
      <w:r w:rsidRPr="00552613">
        <w:rPr>
          <w:rFonts w:ascii="Arial" w:hAnsi="Arial" w:cs="Arial"/>
          <w:b/>
        </w:rPr>
        <w:t>Section 1</w:t>
      </w:r>
      <w:r w:rsidRPr="00552613">
        <w:rPr>
          <w:rFonts w:ascii="Arial" w:hAnsi="Arial" w:cs="Arial"/>
        </w:rPr>
        <w:tab/>
      </w:r>
      <w:r w:rsidRPr="00552613">
        <w:rPr>
          <w:rFonts w:ascii="Arial" w:hAnsi="Arial" w:cs="Arial"/>
          <w:b/>
        </w:rPr>
        <w:t xml:space="preserve">Name of </w:t>
      </w:r>
      <w:r>
        <w:rPr>
          <w:rFonts w:ascii="Arial" w:hAnsi="Arial" w:cs="Arial"/>
          <w:b/>
        </w:rPr>
        <w:t>Variation</w:t>
      </w:r>
    </w:p>
    <w:p w14:paraId="01A8E4F6" w14:textId="436F1B94" w:rsidR="00D4785C" w:rsidRPr="00552613" w:rsidRDefault="00D4785C" w:rsidP="00D4785C">
      <w:pPr>
        <w:spacing w:before="120" w:after="120" w:line="260" w:lineRule="atLeast"/>
        <w:jc w:val="both"/>
        <w:rPr>
          <w:rFonts w:ascii="Arial" w:hAnsi="Arial" w:cs="Arial"/>
        </w:rPr>
      </w:pPr>
      <w:r w:rsidRPr="00552613">
        <w:rPr>
          <w:rFonts w:ascii="Arial" w:hAnsi="Arial" w:cs="Arial"/>
        </w:rPr>
        <w:t xml:space="preserve">Section 1 provides </w:t>
      </w:r>
      <w:r>
        <w:rPr>
          <w:rFonts w:ascii="Arial" w:hAnsi="Arial" w:cs="Arial"/>
        </w:rPr>
        <w:t>that the name of t</w:t>
      </w:r>
      <w:r w:rsidR="003630B3">
        <w:rPr>
          <w:rFonts w:ascii="Arial" w:hAnsi="Arial" w:cs="Arial"/>
        </w:rPr>
        <w:t>he Variation</w:t>
      </w:r>
      <w:r>
        <w:rPr>
          <w:rFonts w:ascii="Arial" w:hAnsi="Arial" w:cs="Arial"/>
        </w:rPr>
        <w:t xml:space="preserve"> is the </w:t>
      </w:r>
      <w:r>
        <w:rPr>
          <w:rFonts w:ascii="Arial" w:hAnsi="Arial" w:cs="Arial"/>
          <w:i/>
        </w:rPr>
        <w:t>Radiocommunications (Low Interference Potential Devices) Class Licence Variation 2016 (No.1)</w:t>
      </w:r>
      <w:r w:rsidRPr="00552613">
        <w:rPr>
          <w:rFonts w:ascii="Arial" w:hAnsi="Arial" w:cs="Arial"/>
        </w:rPr>
        <w:t>.</w:t>
      </w:r>
    </w:p>
    <w:p w14:paraId="476463DE" w14:textId="77777777" w:rsidR="00D4785C" w:rsidRPr="00552613" w:rsidRDefault="00D4785C" w:rsidP="00D4785C">
      <w:pPr>
        <w:spacing w:before="120" w:after="120" w:line="260" w:lineRule="atLeast"/>
        <w:jc w:val="both"/>
        <w:rPr>
          <w:rFonts w:ascii="Arial" w:hAnsi="Arial" w:cs="Arial"/>
        </w:rPr>
      </w:pPr>
      <w:r w:rsidRPr="00552613">
        <w:rPr>
          <w:rFonts w:ascii="Arial" w:hAnsi="Arial" w:cs="Arial"/>
          <w:b/>
        </w:rPr>
        <w:t>Section 2</w:t>
      </w:r>
      <w:r w:rsidRPr="00552613">
        <w:rPr>
          <w:rFonts w:ascii="Arial" w:hAnsi="Arial" w:cs="Arial"/>
        </w:rPr>
        <w:tab/>
      </w:r>
      <w:r w:rsidRPr="00552613">
        <w:rPr>
          <w:rFonts w:ascii="Arial" w:hAnsi="Arial" w:cs="Arial"/>
          <w:b/>
        </w:rPr>
        <w:t>Commencement</w:t>
      </w:r>
    </w:p>
    <w:p w14:paraId="715825D2" w14:textId="77777777" w:rsidR="00D4785C" w:rsidRPr="00552613" w:rsidRDefault="00D4785C" w:rsidP="00D4785C">
      <w:pPr>
        <w:spacing w:before="120" w:after="120" w:line="260" w:lineRule="atLeast"/>
        <w:jc w:val="both"/>
        <w:rPr>
          <w:rFonts w:ascii="Arial" w:hAnsi="Arial" w:cs="Arial"/>
        </w:rPr>
      </w:pPr>
      <w:r>
        <w:rPr>
          <w:rFonts w:ascii="Arial" w:hAnsi="Arial" w:cs="Arial"/>
        </w:rPr>
        <w:t>S</w:t>
      </w:r>
      <w:r w:rsidRPr="00552613">
        <w:rPr>
          <w:rFonts w:ascii="Arial" w:hAnsi="Arial" w:cs="Arial"/>
        </w:rPr>
        <w:t>ection</w:t>
      </w:r>
      <w:r>
        <w:rPr>
          <w:rFonts w:ascii="Arial" w:hAnsi="Arial" w:cs="Arial"/>
        </w:rPr>
        <w:t xml:space="preserve"> 2</w:t>
      </w:r>
      <w:r w:rsidRPr="00552613">
        <w:rPr>
          <w:rFonts w:ascii="Arial" w:hAnsi="Arial" w:cs="Arial"/>
        </w:rPr>
        <w:t xml:space="preserve"> provides </w:t>
      </w:r>
      <w:r>
        <w:rPr>
          <w:rFonts w:ascii="Arial" w:hAnsi="Arial" w:cs="Arial"/>
        </w:rPr>
        <w:t xml:space="preserve">that </w:t>
      </w:r>
      <w:r w:rsidRPr="00552613">
        <w:rPr>
          <w:rFonts w:ascii="Arial" w:hAnsi="Arial" w:cs="Arial"/>
        </w:rPr>
        <w:t>the Variation commence</w:t>
      </w:r>
      <w:r>
        <w:rPr>
          <w:rFonts w:ascii="Arial" w:hAnsi="Arial" w:cs="Arial"/>
        </w:rPr>
        <w:t>s</w:t>
      </w:r>
      <w:r w:rsidRPr="00552613">
        <w:rPr>
          <w:rFonts w:ascii="Arial" w:hAnsi="Arial" w:cs="Arial"/>
        </w:rPr>
        <w:t xml:space="preserve"> on the day after it is registered</w:t>
      </w:r>
      <w:r>
        <w:rPr>
          <w:rFonts w:ascii="Arial" w:hAnsi="Arial" w:cs="Arial"/>
        </w:rPr>
        <w:t xml:space="preserve"> on the Federal Register of Legislation.</w:t>
      </w:r>
    </w:p>
    <w:p w14:paraId="5DAFDD5A" w14:textId="77777777" w:rsidR="00D4785C" w:rsidRPr="00552613" w:rsidRDefault="00D4785C" w:rsidP="00D4785C">
      <w:pPr>
        <w:spacing w:before="120" w:after="120" w:line="260" w:lineRule="atLeast"/>
        <w:ind w:left="1440" w:hanging="1440"/>
        <w:jc w:val="both"/>
        <w:rPr>
          <w:rFonts w:ascii="Arial" w:hAnsi="Arial" w:cs="Arial"/>
        </w:rPr>
      </w:pPr>
      <w:r w:rsidRPr="00552613">
        <w:rPr>
          <w:rFonts w:ascii="Arial" w:hAnsi="Arial" w:cs="Arial"/>
          <w:b/>
        </w:rPr>
        <w:t>Section 3</w:t>
      </w:r>
      <w:r w:rsidRPr="00552613">
        <w:rPr>
          <w:rFonts w:ascii="Arial" w:hAnsi="Arial" w:cs="Arial"/>
        </w:rPr>
        <w:tab/>
      </w:r>
      <w:r w:rsidRPr="00552613">
        <w:rPr>
          <w:rFonts w:ascii="Arial" w:hAnsi="Arial" w:cs="Arial"/>
          <w:b/>
        </w:rPr>
        <w:t xml:space="preserve">Variation of </w:t>
      </w:r>
      <w:r w:rsidRPr="00552613">
        <w:rPr>
          <w:rFonts w:ascii="Arial" w:hAnsi="Arial" w:cs="Arial"/>
          <w:b/>
          <w:i/>
        </w:rPr>
        <w:t>Radiocommunications (Low Interference Potential Devices) Class Licence 20</w:t>
      </w:r>
      <w:r>
        <w:rPr>
          <w:rFonts w:ascii="Arial" w:hAnsi="Arial" w:cs="Arial"/>
          <w:b/>
          <w:i/>
        </w:rPr>
        <w:t>15</w:t>
      </w:r>
    </w:p>
    <w:p w14:paraId="3ECBAD79" w14:textId="5EAEB93E" w:rsidR="00D4785C" w:rsidRPr="00552613" w:rsidRDefault="00D4785C" w:rsidP="00D4785C">
      <w:pPr>
        <w:spacing w:before="120" w:after="120" w:line="260" w:lineRule="atLeast"/>
        <w:jc w:val="both"/>
        <w:rPr>
          <w:rFonts w:ascii="Arial" w:hAnsi="Arial" w:cs="Arial"/>
          <w:i/>
        </w:rPr>
      </w:pPr>
      <w:r>
        <w:rPr>
          <w:rFonts w:ascii="Arial" w:hAnsi="Arial" w:cs="Arial"/>
        </w:rPr>
        <w:t>S</w:t>
      </w:r>
      <w:r w:rsidRPr="00552613">
        <w:rPr>
          <w:rFonts w:ascii="Arial" w:hAnsi="Arial" w:cs="Arial"/>
        </w:rPr>
        <w:t>ection</w:t>
      </w:r>
      <w:r>
        <w:rPr>
          <w:rFonts w:ascii="Arial" w:hAnsi="Arial" w:cs="Arial"/>
        </w:rPr>
        <w:t xml:space="preserve"> 3</w:t>
      </w:r>
      <w:r w:rsidRPr="00552613">
        <w:rPr>
          <w:rFonts w:ascii="Arial" w:hAnsi="Arial" w:cs="Arial"/>
        </w:rPr>
        <w:t xml:space="preserve"> provides that</w:t>
      </w:r>
      <w:r>
        <w:rPr>
          <w:rFonts w:ascii="Arial" w:hAnsi="Arial" w:cs="Arial"/>
        </w:rPr>
        <w:t xml:space="preserve"> </w:t>
      </w:r>
      <w:r w:rsidRPr="00552613">
        <w:rPr>
          <w:rFonts w:ascii="Arial" w:hAnsi="Arial" w:cs="Arial"/>
        </w:rPr>
        <w:t xml:space="preserve">the </w:t>
      </w:r>
      <w:r w:rsidRPr="00552613">
        <w:rPr>
          <w:rFonts w:ascii="Arial" w:hAnsi="Arial" w:cs="Arial"/>
          <w:i/>
        </w:rPr>
        <w:t>Radiocommunications (Low Interference Potential Devices) Class Licence 20</w:t>
      </w:r>
      <w:r>
        <w:rPr>
          <w:rFonts w:ascii="Arial" w:hAnsi="Arial" w:cs="Arial"/>
          <w:i/>
        </w:rPr>
        <w:t xml:space="preserve">15 </w:t>
      </w:r>
      <w:r>
        <w:rPr>
          <w:rFonts w:ascii="Arial" w:hAnsi="Arial" w:cs="Arial"/>
        </w:rPr>
        <w:t>is varied as set out in Schedule 1 to the Variation</w:t>
      </w:r>
      <w:r w:rsidRPr="00552613">
        <w:rPr>
          <w:rFonts w:ascii="Arial" w:hAnsi="Arial" w:cs="Arial"/>
          <w:i/>
        </w:rPr>
        <w:t>.</w:t>
      </w:r>
    </w:p>
    <w:p w14:paraId="26CAC463" w14:textId="77777777" w:rsidR="00D4785C" w:rsidRDefault="00D4785C" w:rsidP="00D4785C">
      <w:pPr>
        <w:spacing w:before="120" w:after="120" w:line="260" w:lineRule="atLeast"/>
        <w:jc w:val="both"/>
        <w:rPr>
          <w:rFonts w:ascii="Arial" w:hAnsi="Arial" w:cs="Arial"/>
          <w:b/>
        </w:rPr>
      </w:pPr>
    </w:p>
    <w:p w14:paraId="4BDCE41A" w14:textId="77777777" w:rsidR="00D4785C" w:rsidRPr="00552613" w:rsidRDefault="00D4785C" w:rsidP="00D4785C">
      <w:pPr>
        <w:spacing w:before="120" w:after="120" w:line="260" w:lineRule="atLeast"/>
        <w:jc w:val="both"/>
        <w:rPr>
          <w:rFonts w:ascii="Arial" w:hAnsi="Arial" w:cs="Arial"/>
          <w:b/>
        </w:rPr>
      </w:pPr>
      <w:r w:rsidRPr="00552613">
        <w:rPr>
          <w:rFonts w:ascii="Arial" w:hAnsi="Arial" w:cs="Arial"/>
          <w:b/>
        </w:rPr>
        <w:t>Schedule 1</w:t>
      </w:r>
      <w:r w:rsidRPr="00552613">
        <w:rPr>
          <w:rFonts w:ascii="Arial" w:hAnsi="Arial" w:cs="Arial"/>
          <w:b/>
        </w:rPr>
        <w:tab/>
      </w:r>
      <w:r>
        <w:rPr>
          <w:rFonts w:ascii="Arial" w:hAnsi="Arial" w:cs="Arial"/>
          <w:b/>
        </w:rPr>
        <w:t>Variations</w:t>
      </w:r>
    </w:p>
    <w:p w14:paraId="7427A6FD" w14:textId="77777777" w:rsidR="00D4785C" w:rsidRPr="00F52A89" w:rsidRDefault="00D4785C" w:rsidP="00D4785C">
      <w:pPr>
        <w:pStyle w:val="BodyText"/>
        <w:tabs>
          <w:tab w:val="left" w:pos="360"/>
        </w:tabs>
        <w:spacing w:before="120" w:line="260" w:lineRule="atLeast"/>
        <w:jc w:val="both"/>
        <w:rPr>
          <w:rFonts w:ascii="Arial" w:hAnsi="Arial" w:cs="Arial"/>
          <w:b/>
          <w:sz w:val="20"/>
        </w:rPr>
      </w:pPr>
      <w:r>
        <w:rPr>
          <w:rFonts w:ascii="Arial" w:hAnsi="Arial" w:cs="Arial"/>
          <w:b/>
          <w:sz w:val="20"/>
        </w:rPr>
        <w:t>Item 1 – Subsection 3A</w:t>
      </w:r>
      <w:r w:rsidR="00731406">
        <w:rPr>
          <w:rFonts w:ascii="Arial" w:hAnsi="Arial" w:cs="Arial"/>
          <w:b/>
          <w:sz w:val="20"/>
        </w:rPr>
        <w:t xml:space="preserve"> </w:t>
      </w:r>
      <w:r>
        <w:rPr>
          <w:rFonts w:ascii="Arial" w:hAnsi="Arial" w:cs="Arial"/>
          <w:b/>
          <w:sz w:val="20"/>
        </w:rPr>
        <w:t xml:space="preserve">(1), paragraph (c) of the definition of </w:t>
      </w:r>
      <w:r w:rsidRPr="000267C3">
        <w:rPr>
          <w:rFonts w:ascii="Arial" w:hAnsi="Arial" w:cs="Arial"/>
          <w:b/>
          <w:i/>
          <w:sz w:val="20"/>
        </w:rPr>
        <w:t>nominated distance of a specified Australia radio-astronomy site</w:t>
      </w:r>
    </w:p>
    <w:p w14:paraId="303E272E" w14:textId="77777777" w:rsidR="00D4785C" w:rsidRDefault="00D4785C" w:rsidP="00D4785C">
      <w:pPr>
        <w:pStyle w:val="BodyText"/>
        <w:spacing w:before="120" w:line="260" w:lineRule="atLeast"/>
        <w:jc w:val="both"/>
        <w:rPr>
          <w:rFonts w:ascii="Arial" w:hAnsi="Arial" w:cs="Arial"/>
          <w:sz w:val="20"/>
        </w:rPr>
      </w:pPr>
      <w:r>
        <w:rPr>
          <w:rFonts w:ascii="Arial" w:hAnsi="Arial" w:cs="Arial"/>
          <w:sz w:val="20"/>
        </w:rPr>
        <w:t xml:space="preserve">Paragraph (c) of the definition of </w:t>
      </w:r>
      <w:r w:rsidRPr="000267C3">
        <w:rPr>
          <w:rFonts w:ascii="Arial" w:hAnsi="Arial" w:cs="Arial"/>
          <w:i/>
          <w:sz w:val="20"/>
        </w:rPr>
        <w:t>nominated distance of a specified Australia radio-astronomy site</w:t>
      </w:r>
      <w:r>
        <w:rPr>
          <w:rFonts w:ascii="Arial" w:hAnsi="Arial" w:cs="Arial"/>
          <w:sz w:val="20"/>
        </w:rPr>
        <w:t xml:space="preserve"> provides that the latitude coordinate for the Canberra Deep Space Communications is 32º 23’ 48.39” south. </w:t>
      </w:r>
      <w:r w:rsidR="00731406">
        <w:rPr>
          <w:rFonts w:ascii="Arial" w:hAnsi="Arial" w:cs="Arial"/>
          <w:sz w:val="20"/>
        </w:rPr>
        <w:t xml:space="preserve"> </w:t>
      </w:r>
      <w:r>
        <w:rPr>
          <w:rFonts w:ascii="Arial" w:hAnsi="Arial" w:cs="Arial"/>
          <w:sz w:val="20"/>
        </w:rPr>
        <w:t xml:space="preserve">This is erroneous. </w:t>
      </w:r>
    </w:p>
    <w:p w14:paraId="5B71DF82" w14:textId="7005753C" w:rsidR="00D4785C" w:rsidRPr="00777E51" w:rsidRDefault="00D4785C" w:rsidP="00D4785C">
      <w:pPr>
        <w:pStyle w:val="BodyText"/>
        <w:spacing w:before="120" w:line="260" w:lineRule="atLeast"/>
        <w:jc w:val="both"/>
        <w:rPr>
          <w:rFonts w:ascii="Arial" w:hAnsi="Arial" w:cs="Arial"/>
          <w:sz w:val="20"/>
        </w:rPr>
      </w:pPr>
      <w:r>
        <w:rPr>
          <w:rFonts w:ascii="Arial" w:hAnsi="Arial" w:cs="Arial"/>
          <w:sz w:val="20"/>
        </w:rPr>
        <w:t xml:space="preserve">Item 1 of Schedule 1 to the Variation </w:t>
      </w:r>
      <w:r w:rsidR="003630B3">
        <w:rPr>
          <w:rFonts w:ascii="Arial" w:hAnsi="Arial" w:cs="Arial"/>
          <w:sz w:val="20"/>
        </w:rPr>
        <w:t>substitutes</w:t>
      </w:r>
      <w:r>
        <w:rPr>
          <w:rFonts w:ascii="Arial" w:hAnsi="Arial" w:cs="Arial"/>
          <w:sz w:val="20"/>
        </w:rPr>
        <w:t xml:space="preserve"> the correct latitude coordinate for the Canberra Deep Space Communications, 35º 23’ 48.39” south.  </w:t>
      </w:r>
    </w:p>
    <w:p w14:paraId="3A98693A" w14:textId="77777777" w:rsidR="00D4785C" w:rsidRPr="00F52A89" w:rsidRDefault="00D4785C" w:rsidP="00D4785C">
      <w:pPr>
        <w:pStyle w:val="BodyText"/>
        <w:tabs>
          <w:tab w:val="left" w:pos="360"/>
        </w:tabs>
        <w:spacing w:before="120" w:line="260" w:lineRule="atLeast"/>
        <w:jc w:val="both"/>
        <w:rPr>
          <w:rFonts w:ascii="Arial" w:hAnsi="Arial" w:cs="Arial"/>
          <w:b/>
          <w:sz w:val="20"/>
        </w:rPr>
      </w:pPr>
      <w:r>
        <w:rPr>
          <w:rFonts w:ascii="Arial" w:hAnsi="Arial" w:cs="Arial"/>
          <w:b/>
          <w:sz w:val="20"/>
        </w:rPr>
        <w:t>Item 2 – Subsection 5(4), note 3</w:t>
      </w:r>
    </w:p>
    <w:p w14:paraId="0409983C" w14:textId="77777777" w:rsidR="00D4785C" w:rsidRDefault="00D4785C" w:rsidP="00D4785C">
      <w:pPr>
        <w:pStyle w:val="BodyText"/>
        <w:spacing w:before="120" w:line="260" w:lineRule="atLeast"/>
        <w:jc w:val="both"/>
        <w:rPr>
          <w:rFonts w:ascii="Arial" w:hAnsi="Arial" w:cs="Arial"/>
          <w:sz w:val="20"/>
        </w:rPr>
      </w:pPr>
      <w:r>
        <w:rPr>
          <w:rFonts w:ascii="Arial" w:hAnsi="Arial" w:cs="Arial"/>
          <w:sz w:val="20"/>
        </w:rPr>
        <w:t>Item 2 of Schedule 1 to the Variation removes an outdated reference to AS/NZS 2211.10:2004, and inserts new text referring to the two AS/NZS IEC standards mentioned above.</w:t>
      </w:r>
    </w:p>
    <w:p w14:paraId="7F21F82E" w14:textId="77777777" w:rsidR="00D4785C" w:rsidRDefault="00D4785C" w:rsidP="00D4785C">
      <w:pPr>
        <w:pStyle w:val="BodyText"/>
        <w:keepNext/>
        <w:keepLines/>
        <w:tabs>
          <w:tab w:val="left" w:pos="360"/>
        </w:tabs>
        <w:spacing w:before="120" w:line="260" w:lineRule="atLeast"/>
        <w:jc w:val="both"/>
        <w:rPr>
          <w:rFonts w:ascii="Arial" w:hAnsi="Arial" w:cs="Arial"/>
          <w:b/>
          <w:sz w:val="20"/>
        </w:rPr>
      </w:pPr>
      <w:r>
        <w:rPr>
          <w:rFonts w:ascii="Arial" w:hAnsi="Arial" w:cs="Arial"/>
          <w:b/>
          <w:sz w:val="20"/>
        </w:rPr>
        <w:t>Item 3 – Schedule 1, item 23, column 2, after paragraph (c)</w:t>
      </w:r>
    </w:p>
    <w:p w14:paraId="553AFA5D" w14:textId="77777777" w:rsidR="00D4785C" w:rsidRDefault="00D4785C" w:rsidP="00D4785C">
      <w:pPr>
        <w:pStyle w:val="BodyText"/>
        <w:keepNext/>
        <w:keepLines/>
        <w:spacing w:before="120" w:line="260" w:lineRule="atLeast"/>
        <w:jc w:val="both"/>
        <w:rPr>
          <w:rFonts w:ascii="Arial" w:hAnsi="Arial" w:cs="Arial"/>
          <w:sz w:val="20"/>
        </w:rPr>
      </w:pPr>
      <w:r>
        <w:rPr>
          <w:rFonts w:ascii="Arial" w:hAnsi="Arial" w:cs="Arial"/>
          <w:sz w:val="20"/>
        </w:rPr>
        <w:t>Item 3 of Schedule 1 to the Variation i</w:t>
      </w:r>
      <w:r w:rsidRPr="00743D8E">
        <w:rPr>
          <w:rFonts w:ascii="Arial" w:hAnsi="Arial" w:cs="Arial"/>
          <w:sz w:val="20"/>
        </w:rPr>
        <w:t xml:space="preserve">nserts </w:t>
      </w:r>
      <w:r>
        <w:rPr>
          <w:rFonts w:ascii="Arial" w:hAnsi="Arial" w:cs="Arial"/>
          <w:sz w:val="20"/>
        </w:rPr>
        <w:t xml:space="preserve">two </w:t>
      </w:r>
      <w:r w:rsidRPr="00743D8E">
        <w:rPr>
          <w:rFonts w:ascii="Arial" w:hAnsi="Arial" w:cs="Arial"/>
          <w:sz w:val="20"/>
        </w:rPr>
        <w:t xml:space="preserve">new </w:t>
      </w:r>
      <w:r>
        <w:rPr>
          <w:rFonts w:ascii="Arial" w:hAnsi="Arial" w:cs="Arial"/>
          <w:sz w:val="20"/>
        </w:rPr>
        <w:t>permitted operating frequency bands in relation to all transmitters.</w:t>
      </w:r>
    </w:p>
    <w:p w14:paraId="52A3B327" w14:textId="77777777" w:rsidR="00D4785C" w:rsidRDefault="00D4785C" w:rsidP="00D4785C">
      <w:pPr>
        <w:pStyle w:val="BodyText"/>
        <w:keepNext/>
        <w:keepLines/>
        <w:tabs>
          <w:tab w:val="left" w:pos="360"/>
        </w:tabs>
        <w:spacing w:before="120" w:line="260" w:lineRule="atLeast"/>
        <w:jc w:val="both"/>
        <w:rPr>
          <w:rFonts w:ascii="Arial" w:hAnsi="Arial" w:cs="Arial"/>
          <w:b/>
          <w:sz w:val="20"/>
        </w:rPr>
      </w:pPr>
      <w:r>
        <w:rPr>
          <w:rFonts w:ascii="Arial" w:hAnsi="Arial" w:cs="Arial"/>
          <w:b/>
          <w:sz w:val="20"/>
        </w:rPr>
        <w:t>Item 4 – Schedule 1, item 58, column 4</w:t>
      </w:r>
    </w:p>
    <w:p w14:paraId="6D1CB230" w14:textId="02A9ED97" w:rsidR="00D4785C" w:rsidRPr="00117AE3" w:rsidRDefault="00D4785C" w:rsidP="00D4785C">
      <w:pPr>
        <w:pStyle w:val="BodyText"/>
        <w:tabs>
          <w:tab w:val="left" w:pos="360"/>
        </w:tabs>
        <w:spacing w:before="120" w:line="260" w:lineRule="atLeast"/>
        <w:jc w:val="both"/>
        <w:rPr>
          <w:rFonts w:ascii="Arial" w:hAnsi="Arial" w:cs="Arial"/>
          <w:sz w:val="20"/>
        </w:rPr>
      </w:pPr>
      <w:r>
        <w:rPr>
          <w:rFonts w:ascii="Arial" w:hAnsi="Arial" w:cs="Arial"/>
          <w:sz w:val="20"/>
        </w:rPr>
        <w:t>Item 4 of Schedule 1 to t</w:t>
      </w:r>
      <w:r w:rsidRPr="00743D8E">
        <w:rPr>
          <w:rFonts w:ascii="Arial" w:hAnsi="Arial" w:cs="Arial"/>
          <w:sz w:val="20"/>
        </w:rPr>
        <w:t>h</w:t>
      </w:r>
      <w:r>
        <w:rPr>
          <w:rFonts w:ascii="Arial" w:hAnsi="Arial" w:cs="Arial"/>
          <w:sz w:val="20"/>
        </w:rPr>
        <w:t xml:space="preserve">e Variation removes the existing limitation at paragraph (b).  </w:t>
      </w:r>
      <w:r w:rsidR="003630B3">
        <w:rPr>
          <w:rFonts w:ascii="Arial" w:hAnsi="Arial" w:cs="Arial"/>
          <w:sz w:val="20"/>
        </w:rPr>
        <w:t>T</w:t>
      </w:r>
      <w:r>
        <w:rPr>
          <w:rFonts w:ascii="Arial" w:hAnsi="Arial" w:cs="Arial"/>
          <w:sz w:val="20"/>
        </w:rPr>
        <w:t>he only limitation retained is that the radiated peak power spectral density in any 3 kHz must not exceed 25 mW per 3 kHz.</w:t>
      </w:r>
    </w:p>
    <w:p w14:paraId="00ECBF2C" w14:textId="77777777" w:rsidR="00D4785C" w:rsidRDefault="00D4785C" w:rsidP="00D4785C">
      <w:pPr>
        <w:pStyle w:val="BodyText"/>
        <w:tabs>
          <w:tab w:val="left" w:pos="360"/>
        </w:tabs>
        <w:spacing w:before="120" w:line="260" w:lineRule="atLeast"/>
        <w:jc w:val="both"/>
        <w:rPr>
          <w:rFonts w:ascii="Arial" w:hAnsi="Arial" w:cs="Arial"/>
          <w:b/>
          <w:sz w:val="20"/>
        </w:rPr>
      </w:pPr>
      <w:r>
        <w:rPr>
          <w:rFonts w:ascii="Arial" w:hAnsi="Arial" w:cs="Arial"/>
          <w:b/>
          <w:sz w:val="20"/>
        </w:rPr>
        <w:t>Item 5 – Schedule 1, item 59, column 4</w:t>
      </w:r>
    </w:p>
    <w:p w14:paraId="156EA579" w14:textId="155D9573" w:rsidR="00D4785C" w:rsidRPr="00117AE3" w:rsidRDefault="00D4785C" w:rsidP="00D4785C">
      <w:pPr>
        <w:pStyle w:val="BodyText"/>
        <w:tabs>
          <w:tab w:val="left" w:pos="360"/>
        </w:tabs>
        <w:spacing w:before="120" w:line="260" w:lineRule="atLeast"/>
        <w:jc w:val="both"/>
        <w:rPr>
          <w:rFonts w:ascii="Arial" w:hAnsi="Arial" w:cs="Arial"/>
          <w:sz w:val="20"/>
        </w:rPr>
      </w:pPr>
      <w:r>
        <w:rPr>
          <w:rFonts w:ascii="Arial" w:hAnsi="Arial" w:cs="Arial"/>
          <w:sz w:val="20"/>
        </w:rPr>
        <w:t>Item 5 of Schedule 1 to t</w:t>
      </w:r>
      <w:r w:rsidRPr="00743D8E">
        <w:rPr>
          <w:rFonts w:ascii="Arial" w:hAnsi="Arial" w:cs="Arial"/>
          <w:sz w:val="20"/>
        </w:rPr>
        <w:t>h</w:t>
      </w:r>
      <w:r>
        <w:rPr>
          <w:rFonts w:ascii="Arial" w:hAnsi="Arial" w:cs="Arial"/>
          <w:sz w:val="20"/>
        </w:rPr>
        <w:t xml:space="preserve">is Variation removes the existing limitation at paragraph (b).  </w:t>
      </w:r>
      <w:r w:rsidR="003630B3">
        <w:rPr>
          <w:rFonts w:ascii="Arial" w:hAnsi="Arial" w:cs="Arial"/>
          <w:sz w:val="20"/>
        </w:rPr>
        <w:t>T</w:t>
      </w:r>
      <w:r>
        <w:rPr>
          <w:rFonts w:ascii="Arial" w:hAnsi="Arial" w:cs="Arial"/>
          <w:sz w:val="20"/>
        </w:rPr>
        <w:t>he only limitation retained is that the radiated peak power spectral density in any 3 kHz must not exceed 25 mW per 3 kHz.</w:t>
      </w:r>
    </w:p>
    <w:p w14:paraId="50CEC60F" w14:textId="77777777" w:rsidR="00D4785C" w:rsidRDefault="00D4785C" w:rsidP="00D4785C">
      <w:pPr>
        <w:pStyle w:val="BodyText"/>
        <w:tabs>
          <w:tab w:val="left" w:pos="360"/>
        </w:tabs>
        <w:spacing w:before="120" w:line="260" w:lineRule="atLeast"/>
        <w:jc w:val="both"/>
        <w:rPr>
          <w:rFonts w:ascii="Arial" w:hAnsi="Arial" w:cs="Arial"/>
          <w:b/>
          <w:sz w:val="20"/>
        </w:rPr>
      </w:pPr>
      <w:r>
        <w:rPr>
          <w:rFonts w:ascii="Arial" w:hAnsi="Arial" w:cs="Arial"/>
          <w:b/>
          <w:sz w:val="20"/>
        </w:rPr>
        <w:t>Item 6 – Schedule 1, item 60, column 4</w:t>
      </w:r>
    </w:p>
    <w:p w14:paraId="27910E25" w14:textId="72131AF1" w:rsidR="00D4785C" w:rsidRPr="00117AE3" w:rsidRDefault="00D4785C" w:rsidP="00D4785C">
      <w:pPr>
        <w:pStyle w:val="BodyText"/>
        <w:tabs>
          <w:tab w:val="left" w:pos="360"/>
        </w:tabs>
        <w:spacing w:before="120" w:line="260" w:lineRule="atLeast"/>
        <w:jc w:val="both"/>
        <w:rPr>
          <w:rFonts w:ascii="Arial" w:hAnsi="Arial" w:cs="Arial"/>
          <w:sz w:val="20"/>
        </w:rPr>
      </w:pPr>
      <w:r>
        <w:rPr>
          <w:rFonts w:ascii="Arial" w:hAnsi="Arial" w:cs="Arial"/>
          <w:sz w:val="20"/>
        </w:rPr>
        <w:t>Item 6 of Schedule 1 to t</w:t>
      </w:r>
      <w:r w:rsidRPr="00743D8E">
        <w:rPr>
          <w:rFonts w:ascii="Arial" w:hAnsi="Arial" w:cs="Arial"/>
          <w:sz w:val="20"/>
        </w:rPr>
        <w:t>h</w:t>
      </w:r>
      <w:r>
        <w:rPr>
          <w:rFonts w:ascii="Arial" w:hAnsi="Arial" w:cs="Arial"/>
          <w:sz w:val="20"/>
        </w:rPr>
        <w:t xml:space="preserve">e Variation removes the existing limitation at paragraph (b).  </w:t>
      </w:r>
      <w:r w:rsidR="003630B3">
        <w:rPr>
          <w:rFonts w:ascii="Arial" w:hAnsi="Arial" w:cs="Arial"/>
          <w:sz w:val="20"/>
        </w:rPr>
        <w:t>T</w:t>
      </w:r>
      <w:r>
        <w:rPr>
          <w:rFonts w:ascii="Arial" w:hAnsi="Arial" w:cs="Arial"/>
          <w:sz w:val="20"/>
        </w:rPr>
        <w:t>he only limitation retained is that the radiated peak power spectral density in any 3 kHz must not exceed 25 mW per 3 kHz.</w:t>
      </w:r>
    </w:p>
    <w:p w14:paraId="02D877C3" w14:textId="77777777" w:rsidR="00D4785C" w:rsidRDefault="00D4785C" w:rsidP="00D4785C">
      <w:pPr>
        <w:pStyle w:val="BodyText"/>
        <w:tabs>
          <w:tab w:val="left" w:pos="360"/>
        </w:tabs>
        <w:spacing w:before="120" w:line="260" w:lineRule="atLeast"/>
        <w:jc w:val="both"/>
        <w:rPr>
          <w:rFonts w:ascii="Arial" w:hAnsi="Arial" w:cs="Arial"/>
          <w:b/>
          <w:sz w:val="20"/>
        </w:rPr>
      </w:pPr>
      <w:r>
        <w:rPr>
          <w:rFonts w:ascii="Arial" w:hAnsi="Arial" w:cs="Arial"/>
          <w:b/>
          <w:sz w:val="20"/>
        </w:rPr>
        <w:t>Item 7 – Schedule 1, item 71, column 2</w:t>
      </w:r>
    </w:p>
    <w:p w14:paraId="457730E8" w14:textId="61FD882F" w:rsidR="00D4785C" w:rsidRPr="00117AE3" w:rsidRDefault="00D4785C" w:rsidP="00D4785C">
      <w:pPr>
        <w:pStyle w:val="BodyText"/>
        <w:tabs>
          <w:tab w:val="left" w:pos="360"/>
        </w:tabs>
        <w:spacing w:before="120" w:line="260" w:lineRule="atLeast"/>
        <w:ind w:left="66"/>
        <w:jc w:val="both"/>
        <w:rPr>
          <w:rFonts w:ascii="Arial" w:hAnsi="Arial" w:cs="Arial"/>
          <w:sz w:val="20"/>
        </w:rPr>
      </w:pPr>
      <w:r>
        <w:rPr>
          <w:rFonts w:ascii="Arial" w:hAnsi="Arial" w:cs="Arial"/>
          <w:sz w:val="20"/>
        </w:rPr>
        <w:t>Item 7 of Schedule 1 to t</w:t>
      </w:r>
      <w:r w:rsidRPr="00117AE3">
        <w:rPr>
          <w:rFonts w:ascii="Arial" w:hAnsi="Arial" w:cs="Arial"/>
          <w:sz w:val="20"/>
        </w:rPr>
        <w:t>h</w:t>
      </w:r>
      <w:r>
        <w:rPr>
          <w:rFonts w:ascii="Arial" w:hAnsi="Arial" w:cs="Arial"/>
          <w:sz w:val="20"/>
        </w:rPr>
        <w:t xml:space="preserve">e Variation adds the three new frequency bands of 6000-6500 MHz, 24050-26500 and 57000-64000, in addition to the existing frequency band of 75000-85000, as permitted operating frequency bands for the operation of radiodetermination transmitters. </w:t>
      </w:r>
    </w:p>
    <w:p w14:paraId="089C0F8D" w14:textId="77777777" w:rsidR="00D4785C" w:rsidRDefault="00D4785C" w:rsidP="00D4785C">
      <w:pPr>
        <w:pStyle w:val="BodyText"/>
        <w:tabs>
          <w:tab w:val="left" w:pos="360"/>
        </w:tabs>
        <w:spacing w:before="120" w:line="260" w:lineRule="atLeast"/>
        <w:jc w:val="both"/>
        <w:rPr>
          <w:rFonts w:ascii="Arial" w:hAnsi="Arial" w:cs="Arial"/>
          <w:b/>
          <w:sz w:val="20"/>
        </w:rPr>
      </w:pPr>
      <w:r>
        <w:rPr>
          <w:rFonts w:ascii="Arial" w:hAnsi="Arial" w:cs="Arial"/>
          <w:b/>
          <w:sz w:val="20"/>
        </w:rPr>
        <w:t>Item 8 – Schedule 1, item 79, column 2</w:t>
      </w:r>
    </w:p>
    <w:p w14:paraId="660D417A" w14:textId="77777777" w:rsidR="00D4785C" w:rsidRPr="00117AE3" w:rsidRDefault="00D4785C" w:rsidP="00D4785C">
      <w:pPr>
        <w:pStyle w:val="BodyText"/>
        <w:tabs>
          <w:tab w:val="left" w:pos="360"/>
        </w:tabs>
        <w:spacing w:before="120" w:line="260" w:lineRule="atLeast"/>
        <w:jc w:val="both"/>
        <w:rPr>
          <w:rFonts w:ascii="Arial" w:hAnsi="Arial" w:cs="Arial"/>
          <w:sz w:val="20"/>
        </w:rPr>
      </w:pPr>
      <w:r>
        <w:rPr>
          <w:rFonts w:ascii="Arial" w:hAnsi="Arial" w:cs="Arial"/>
          <w:sz w:val="20"/>
        </w:rPr>
        <w:lastRenderedPageBreak/>
        <w:t>Item 8 of Schedule 1 to t</w:t>
      </w:r>
      <w:r w:rsidRPr="00117AE3">
        <w:rPr>
          <w:rFonts w:ascii="Arial" w:hAnsi="Arial" w:cs="Arial"/>
          <w:sz w:val="20"/>
        </w:rPr>
        <w:t>h</w:t>
      </w:r>
      <w:r>
        <w:rPr>
          <w:rFonts w:ascii="Arial" w:hAnsi="Arial" w:cs="Arial"/>
          <w:sz w:val="20"/>
        </w:rPr>
        <w:t>e Variation effectively adds the new frequency band of 6000-6800 MHz as a permitted frequency band, in additional to the existing frequency band of 4200-4800, for the operation of in-ground ultra-wideband transmitters.</w:t>
      </w:r>
    </w:p>
    <w:p w14:paraId="2595DA6F" w14:textId="77777777" w:rsidR="00D4785C" w:rsidRDefault="00D4785C" w:rsidP="00D4785C">
      <w:pPr>
        <w:pStyle w:val="BodyText"/>
        <w:tabs>
          <w:tab w:val="left" w:pos="360"/>
        </w:tabs>
        <w:spacing w:before="120" w:line="260" w:lineRule="atLeast"/>
        <w:jc w:val="both"/>
        <w:rPr>
          <w:rFonts w:ascii="Arial" w:hAnsi="Arial" w:cs="Arial"/>
          <w:b/>
          <w:sz w:val="20"/>
        </w:rPr>
      </w:pPr>
      <w:r>
        <w:rPr>
          <w:rFonts w:ascii="Arial" w:hAnsi="Arial" w:cs="Arial"/>
          <w:b/>
          <w:sz w:val="20"/>
        </w:rPr>
        <w:t>Item 9 – Schedule 1, after item 79</w:t>
      </w:r>
    </w:p>
    <w:p w14:paraId="00E9AA7F" w14:textId="77777777" w:rsidR="00D4785C" w:rsidRDefault="00D4785C" w:rsidP="00D4785C">
      <w:pPr>
        <w:pStyle w:val="BodyText"/>
        <w:tabs>
          <w:tab w:val="left" w:pos="360"/>
        </w:tabs>
        <w:spacing w:before="120" w:line="260" w:lineRule="atLeast"/>
        <w:jc w:val="both"/>
        <w:rPr>
          <w:rFonts w:ascii="Arial" w:hAnsi="Arial" w:cs="Arial"/>
          <w:sz w:val="20"/>
        </w:rPr>
      </w:pPr>
      <w:r>
        <w:rPr>
          <w:rFonts w:ascii="Arial" w:hAnsi="Arial" w:cs="Arial"/>
          <w:sz w:val="20"/>
        </w:rPr>
        <w:t xml:space="preserve">Item 9 of Schedule 1 to the Variation inserts a new item in Schedule 1 to the LIPD Class Licence to authorise the use of building material analysis transmitters; the use of these transmitters must conform to the </w:t>
      </w:r>
      <w:r w:rsidRPr="002317EE">
        <w:rPr>
          <w:rFonts w:ascii="Arial" w:hAnsi="Arial" w:cs="Arial"/>
          <w:sz w:val="20"/>
        </w:rPr>
        <w:t>international standard</w:t>
      </w:r>
      <w:r>
        <w:rPr>
          <w:rFonts w:ascii="Arial" w:hAnsi="Arial" w:cs="Arial"/>
          <w:sz w:val="20"/>
        </w:rPr>
        <w:t xml:space="preserve"> from the</w:t>
      </w:r>
      <w:r w:rsidRPr="002317EE">
        <w:rPr>
          <w:rFonts w:ascii="Arial" w:hAnsi="Arial" w:cs="Arial"/>
          <w:sz w:val="20"/>
        </w:rPr>
        <w:t xml:space="preserve"> European Telecommunications Standards Institute Standard (ETSI) EN 302 </w:t>
      </w:r>
      <w:r>
        <w:rPr>
          <w:rFonts w:ascii="Arial" w:hAnsi="Arial" w:cs="Arial"/>
          <w:sz w:val="20"/>
        </w:rPr>
        <w:t>435.  These transmitters must also be operated in a position such that emissions are directed into building material, and must not operate within a nominated distance of a specified radio-astronomy site or SRS earth station.</w:t>
      </w:r>
    </w:p>
    <w:p w14:paraId="1F3E7945" w14:textId="77777777" w:rsidR="00D4785C" w:rsidRDefault="00D4785C" w:rsidP="00D4785C">
      <w:pPr>
        <w:pStyle w:val="BodyText"/>
        <w:tabs>
          <w:tab w:val="left" w:pos="360"/>
        </w:tabs>
        <w:spacing w:before="120" w:line="260" w:lineRule="atLeast"/>
        <w:jc w:val="both"/>
        <w:rPr>
          <w:rFonts w:ascii="Arial" w:hAnsi="Arial" w:cs="Arial"/>
          <w:b/>
          <w:sz w:val="20"/>
        </w:rPr>
      </w:pPr>
      <w:r w:rsidRPr="00EE664D">
        <w:rPr>
          <w:rFonts w:ascii="Arial" w:hAnsi="Arial" w:cs="Arial"/>
          <w:b/>
          <w:sz w:val="20"/>
        </w:rPr>
        <w:t xml:space="preserve">Item 10 – </w:t>
      </w:r>
      <w:r>
        <w:rPr>
          <w:rFonts w:ascii="Arial" w:hAnsi="Arial" w:cs="Arial"/>
          <w:b/>
          <w:sz w:val="20"/>
        </w:rPr>
        <w:t>Schedule 2, after Item 13</w:t>
      </w:r>
    </w:p>
    <w:p w14:paraId="3ABF0936" w14:textId="565E5DFF" w:rsidR="00D4785C" w:rsidRPr="00552613" w:rsidRDefault="00D4785C" w:rsidP="00D4785C">
      <w:pPr>
        <w:pStyle w:val="BodyText"/>
        <w:tabs>
          <w:tab w:val="left" w:pos="360"/>
        </w:tabs>
        <w:spacing w:before="120" w:line="260" w:lineRule="atLeast"/>
        <w:jc w:val="both"/>
        <w:rPr>
          <w:rFonts w:ascii="Arial" w:hAnsi="Arial" w:cs="Arial"/>
        </w:rPr>
      </w:pPr>
      <w:r>
        <w:rPr>
          <w:rFonts w:ascii="Arial" w:hAnsi="Arial" w:cs="Arial"/>
          <w:sz w:val="20"/>
        </w:rPr>
        <w:t>Item 10 of Schedule 1 to the Variation inserts a</w:t>
      </w:r>
      <w:r w:rsidRPr="00C6141C">
        <w:rPr>
          <w:rFonts w:ascii="Arial" w:hAnsi="Arial" w:cs="Arial"/>
          <w:sz w:val="20"/>
        </w:rPr>
        <w:t xml:space="preserve"> new item </w:t>
      </w:r>
      <w:r>
        <w:rPr>
          <w:rFonts w:ascii="Arial" w:hAnsi="Arial" w:cs="Arial"/>
          <w:sz w:val="20"/>
        </w:rPr>
        <w:t xml:space="preserve">to </w:t>
      </w:r>
      <w:r w:rsidRPr="00C6141C">
        <w:rPr>
          <w:rFonts w:ascii="Arial" w:hAnsi="Arial" w:cs="Arial"/>
          <w:sz w:val="20"/>
        </w:rPr>
        <w:t xml:space="preserve">the </w:t>
      </w:r>
      <w:r>
        <w:rPr>
          <w:rFonts w:ascii="Arial" w:hAnsi="Arial" w:cs="Arial"/>
          <w:sz w:val="20"/>
        </w:rPr>
        <w:t>table titled “Instruments that apply to a transmitter”</w:t>
      </w:r>
      <w:r w:rsidDel="00597378">
        <w:rPr>
          <w:rFonts w:ascii="Arial" w:hAnsi="Arial" w:cs="Arial"/>
          <w:sz w:val="20"/>
        </w:rPr>
        <w:t xml:space="preserve"> </w:t>
      </w:r>
      <w:r>
        <w:rPr>
          <w:rFonts w:ascii="Arial" w:hAnsi="Arial" w:cs="Arial"/>
          <w:sz w:val="20"/>
        </w:rPr>
        <w:t xml:space="preserve">in Schedule 2 of the LIPD Class Licence, in relation to building material analysis transmitters.  The new entry lists the </w:t>
      </w:r>
      <w:r w:rsidRPr="002317EE">
        <w:rPr>
          <w:rFonts w:ascii="Arial" w:hAnsi="Arial" w:cs="Arial"/>
          <w:sz w:val="20"/>
        </w:rPr>
        <w:t>ETSI</w:t>
      </w:r>
      <w:r>
        <w:rPr>
          <w:rFonts w:ascii="Arial" w:hAnsi="Arial" w:cs="Arial"/>
          <w:sz w:val="20"/>
        </w:rPr>
        <w:t xml:space="preserve"> Standard</w:t>
      </w:r>
      <w:r w:rsidRPr="002317EE">
        <w:rPr>
          <w:rFonts w:ascii="Arial" w:hAnsi="Arial" w:cs="Arial"/>
          <w:sz w:val="20"/>
        </w:rPr>
        <w:t xml:space="preserve"> EN 302 </w:t>
      </w:r>
      <w:r>
        <w:rPr>
          <w:rFonts w:ascii="Arial" w:hAnsi="Arial" w:cs="Arial"/>
          <w:sz w:val="20"/>
        </w:rPr>
        <w:t>435</w:t>
      </w:r>
      <w:r w:rsidRPr="002317EE">
        <w:rPr>
          <w:rFonts w:ascii="Arial" w:hAnsi="Arial" w:cs="Arial"/>
          <w:sz w:val="20"/>
        </w:rPr>
        <w:t xml:space="preserve">: </w:t>
      </w:r>
      <w:r w:rsidRPr="00AD4C31">
        <w:rPr>
          <w:i/>
          <w:sz w:val="22"/>
          <w:szCs w:val="22"/>
        </w:rPr>
        <w:t>Electromagnetic compatibility and Radio spectrum Matters (ERM); Short Range Devices (SRD); Technical characteristics for SRD equipment using Ultra Wide</w:t>
      </w:r>
      <w:r>
        <w:rPr>
          <w:i/>
          <w:sz w:val="22"/>
          <w:szCs w:val="22"/>
        </w:rPr>
        <w:t>B</w:t>
      </w:r>
      <w:r w:rsidRPr="00AD4C31">
        <w:rPr>
          <w:i/>
          <w:sz w:val="22"/>
          <w:szCs w:val="22"/>
        </w:rPr>
        <w:t>and technology (UWB); Building Material Analysis and Classification equipment applications operating in the frequency band from 2,2 GHz to 8,5 GHz;</w:t>
      </w:r>
      <w:r>
        <w:rPr>
          <w:rFonts w:ascii="Arial" w:hAnsi="Arial" w:cs="Arial"/>
          <w:sz w:val="20"/>
        </w:rPr>
        <w:t xml:space="preserve"> as applying to building material analysis transmitters.  </w:t>
      </w:r>
      <w:r w:rsidRPr="002317EE">
        <w:rPr>
          <w:rFonts w:ascii="Arial" w:hAnsi="Arial" w:cs="Arial"/>
          <w:sz w:val="20"/>
        </w:rPr>
        <w:t>Copies of th</w:t>
      </w:r>
      <w:r>
        <w:rPr>
          <w:rFonts w:ascii="Arial" w:hAnsi="Arial" w:cs="Arial"/>
          <w:sz w:val="20"/>
        </w:rPr>
        <w:t>i</w:t>
      </w:r>
      <w:r w:rsidRPr="002317EE">
        <w:rPr>
          <w:rFonts w:ascii="Arial" w:hAnsi="Arial" w:cs="Arial"/>
          <w:sz w:val="20"/>
        </w:rPr>
        <w:t xml:space="preserve">s standard </w:t>
      </w:r>
      <w:r w:rsidR="003630B3">
        <w:rPr>
          <w:rFonts w:ascii="Arial" w:hAnsi="Arial" w:cs="Arial"/>
          <w:sz w:val="20"/>
        </w:rPr>
        <w:t>are</w:t>
      </w:r>
      <w:r w:rsidRPr="002317EE">
        <w:rPr>
          <w:rFonts w:ascii="Arial" w:hAnsi="Arial" w:cs="Arial"/>
          <w:sz w:val="20"/>
        </w:rPr>
        <w:t xml:space="preserve"> available from the ETSI website: </w:t>
      </w:r>
      <w:hyperlink r:id="rId17" w:history="1">
        <w:r w:rsidRPr="00000A06">
          <w:rPr>
            <w:rStyle w:val="Hyperlink"/>
            <w:rFonts w:ascii="Arial" w:hAnsi="Arial" w:cs="Arial"/>
            <w:sz w:val="20"/>
          </w:rPr>
          <w:t>www.etsi.org</w:t>
        </w:r>
      </w:hyperlink>
      <w:r w:rsidRPr="002317EE">
        <w:rPr>
          <w:rFonts w:ascii="Arial" w:hAnsi="Arial" w:cs="Arial"/>
          <w:sz w:val="20"/>
        </w:rPr>
        <w:t>.</w:t>
      </w:r>
    </w:p>
    <w:p w14:paraId="4DD123FC" w14:textId="77777777" w:rsidR="00D4785C" w:rsidRDefault="00D4785C" w:rsidP="00D4785C">
      <w:pPr>
        <w:spacing w:before="120" w:after="120" w:line="260" w:lineRule="atLeast"/>
        <w:jc w:val="right"/>
        <w:rPr>
          <w:rFonts w:ascii="Arial" w:hAnsi="Arial" w:cs="Arial"/>
          <w:b/>
        </w:rPr>
      </w:pPr>
      <w:r>
        <w:br w:type="page"/>
      </w:r>
      <w:bookmarkStart w:id="1" w:name="_Toc290210739"/>
      <w:r w:rsidRPr="00EC223A">
        <w:rPr>
          <w:rFonts w:ascii="Arial" w:hAnsi="Arial" w:cs="Arial"/>
          <w:b/>
        </w:rPr>
        <w:lastRenderedPageBreak/>
        <w:t>A</w:t>
      </w:r>
      <w:r>
        <w:rPr>
          <w:rFonts w:ascii="Arial" w:hAnsi="Arial" w:cs="Arial"/>
          <w:b/>
        </w:rPr>
        <w:t>TTACHMENT</w:t>
      </w:r>
      <w:r w:rsidRPr="00EC223A">
        <w:rPr>
          <w:rFonts w:ascii="Arial" w:hAnsi="Arial" w:cs="Arial"/>
          <w:b/>
        </w:rPr>
        <w:t xml:space="preserve"> B</w:t>
      </w:r>
    </w:p>
    <w:p w14:paraId="6B5E6817" w14:textId="77777777" w:rsidR="00D4785C" w:rsidRDefault="009B2966" w:rsidP="00D4785C">
      <w:r>
        <w:rPr>
          <w:noProof/>
        </w:rPr>
        <w:pict w14:anchorId="1527FF87">
          <v:rect id="_x0000_s1028" style="position:absolute;margin-left:13.2pt;margin-top:4.55pt;width:481.8pt;height:666pt;z-index:251659264" fillcolor="#ddd8c2" strokeweight="6pt">
            <v:stroke linestyle="thickBetweenThin"/>
            <v:textbox style="mso-next-textbox:#_x0000_s1028" inset="5mm,,5mm">
              <w:txbxContent>
                <w:p w14:paraId="09ECFEDC" w14:textId="77777777" w:rsidR="00D4785C" w:rsidRPr="00F45FC8" w:rsidRDefault="00D4785C" w:rsidP="00D4785C">
                  <w:pPr>
                    <w:spacing w:before="360" w:after="120"/>
                    <w:jc w:val="center"/>
                    <w:rPr>
                      <w:rFonts w:ascii="Cambria" w:hAnsi="Cambria"/>
                      <w:b/>
                      <w:sz w:val="28"/>
                      <w:szCs w:val="28"/>
                    </w:rPr>
                  </w:pPr>
                  <w:r w:rsidRPr="00F45FC8">
                    <w:rPr>
                      <w:rFonts w:ascii="Cambria" w:hAnsi="Cambria"/>
                      <w:b/>
                      <w:sz w:val="28"/>
                      <w:szCs w:val="28"/>
                    </w:rPr>
                    <w:t>Statement of Compatibility with Human Rights</w:t>
                  </w:r>
                </w:p>
                <w:p w14:paraId="63F9F3F1" w14:textId="77777777" w:rsidR="00D4785C" w:rsidRPr="00F45FC8" w:rsidRDefault="00D4785C" w:rsidP="00D4785C">
                  <w:pPr>
                    <w:spacing w:before="120" w:after="120"/>
                    <w:jc w:val="center"/>
                    <w:rPr>
                      <w:rFonts w:ascii="Cambria" w:hAnsi="Cambria"/>
                    </w:rPr>
                  </w:pPr>
                  <w:r w:rsidRPr="00F45FC8">
                    <w:rPr>
                      <w:rFonts w:ascii="Cambria" w:hAnsi="Cambria"/>
                      <w:i/>
                    </w:rPr>
                    <w:t>Prepared in accordance with Part 3 of the Human Rights (Parliamentary Scrutiny) Act 2011</w:t>
                  </w:r>
                </w:p>
                <w:p w14:paraId="07106355" w14:textId="77777777" w:rsidR="00D4785C" w:rsidRPr="00F45FC8" w:rsidRDefault="00D4785C" w:rsidP="00D4785C">
                  <w:pPr>
                    <w:spacing w:before="120" w:after="120"/>
                    <w:jc w:val="center"/>
                    <w:rPr>
                      <w:rFonts w:ascii="Cambria" w:hAnsi="Cambria"/>
                      <w:sz w:val="24"/>
                      <w:szCs w:val="24"/>
                    </w:rPr>
                  </w:pPr>
                </w:p>
                <w:p w14:paraId="1ABF743F" w14:textId="77777777" w:rsidR="00D4785C" w:rsidRPr="005D3439" w:rsidRDefault="00D4785C" w:rsidP="00D4785C">
                  <w:pPr>
                    <w:spacing w:before="120" w:after="120"/>
                    <w:jc w:val="center"/>
                    <w:rPr>
                      <w:rFonts w:ascii="Cambria" w:hAnsi="Cambria"/>
                      <w:b/>
                      <w:i/>
                      <w:sz w:val="24"/>
                      <w:szCs w:val="24"/>
                    </w:rPr>
                  </w:pPr>
                  <w:r w:rsidRPr="005D3439">
                    <w:rPr>
                      <w:rFonts w:ascii="Cambria" w:hAnsi="Cambria"/>
                      <w:b/>
                      <w:i/>
                      <w:sz w:val="24"/>
                      <w:szCs w:val="24"/>
                    </w:rPr>
                    <w:t xml:space="preserve">Radiocommunications (Low Interference Potential Devices) Class Licence Variation 2016 (No.1) </w:t>
                  </w:r>
                </w:p>
                <w:p w14:paraId="3DDB497D" w14:textId="77777777" w:rsidR="00D4785C" w:rsidRPr="00A3197D" w:rsidRDefault="00D4785C" w:rsidP="00D4785C">
                  <w:pPr>
                    <w:spacing w:before="120" w:after="120"/>
                    <w:jc w:val="center"/>
                    <w:rPr>
                      <w:rFonts w:ascii="Cambria" w:hAnsi="Cambria"/>
                      <w:b/>
                      <w:sz w:val="24"/>
                      <w:szCs w:val="24"/>
                    </w:rPr>
                  </w:pPr>
                </w:p>
                <w:p w14:paraId="209F0785" w14:textId="77777777" w:rsidR="00D4785C" w:rsidRDefault="00D4785C" w:rsidP="00D4785C">
                  <w:pPr>
                    <w:spacing w:before="120" w:after="120"/>
                    <w:rPr>
                      <w:rFonts w:ascii="Cambria" w:hAnsi="Cambria"/>
                      <w:sz w:val="24"/>
                      <w:szCs w:val="24"/>
                    </w:rPr>
                  </w:pPr>
                  <w:r w:rsidRPr="00F45FC8">
                    <w:rPr>
                      <w:rFonts w:ascii="Cambria" w:hAnsi="Cambria"/>
                      <w:sz w:val="24"/>
                      <w:szCs w:val="24"/>
                    </w:rPr>
                    <w:t>Th</w:t>
                  </w:r>
                  <w:r>
                    <w:rPr>
                      <w:rFonts w:ascii="Cambria" w:hAnsi="Cambria"/>
                      <w:sz w:val="24"/>
                      <w:szCs w:val="24"/>
                    </w:rPr>
                    <w:t xml:space="preserve">e </w:t>
                  </w:r>
                  <w:r>
                    <w:rPr>
                      <w:rFonts w:ascii="Cambria" w:hAnsi="Cambria"/>
                      <w:i/>
                      <w:sz w:val="24"/>
                      <w:szCs w:val="24"/>
                    </w:rPr>
                    <w:t xml:space="preserve">Radiocommunications (Low Interference Potential Devices) Class Licence Variation 2016 (No.1) </w:t>
                  </w:r>
                  <w:r>
                    <w:rPr>
                      <w:rFonts w:ascii="Cambria" w:hAnsi="Cambria"/>
                      <w:sz w:val="24"/>
                      <w:szCs w:val="24"/>
                    </w:rPr>
                    <w:t>(</w:t>
                  </w:r>
                  <w:r w:rsidRPr="00EE664D">
                    <w:rPr>
                      <w:rFonts w:ascii="Cambria" w:hAnsi="Cambria"/>
                      <w:b/>
                      <w:sz w:val="24"/>
                      <w:szCs w:val="24"/>
                    </w:rPr>
                    <w:t>the Variation</w:t>
                  </w:r>
                  <w:r>
                    <w:rPr>
                      <w:rFonts w:ascii="Cambria" w:hAnsi="Cambria"/>
                      <w:sz w:val="24"/>
                      <w:szCs w:val="24"/>
                    </w:rPr>
                    <w:t xml:space="preserve">) </w:t>
                  </w:r>
                  <w:r w:rsidRPr="00F45FC8">
                    <w:rPr>
                      <w:rFonts w:ascii="Cambria" w:hAnsi="Cambria"/>
                      <w:sz w:val="24"/>
                      <w:szCs w:val="24"/>
                    </w:rPr>
                    <w:t xml:space="preserve">is compatible with the human rights </w:t>
                  </w:r>
                  <w:r>
                    <w:rPr>
                      <w:rFonts w:ascii="Cambria" w:hAnsi="Cambria"/>
                      <w:sz w:val="24"/>
                      <w:szCs w:val="24"/>
                    </w:rPr>
                    <w:t xml:space="preserve">and freedoms </w:t>
                  </w:r>
                  <w:r w:rsidRPr="00F45FC8">
                    <w:rPr>
                      <w:rFonts w:ascii="Cambria" w:hAnsi="Cambria"/>
                      <w:sz w:val="24"/>
                      <w:szCs w:val="24"/>
                    </w:rPr>
                    <w:t xml:space="preserve">recognised or declared in the international instruments </w:t>
                  </w:r>
                  <w:r>
                    <w:rPr>
                      <w:rFonts w:ascii="Cambria" w:hAnsi="Cambria"/>
                      <w:sz w:val="24"/>
                      <w:szCs w:val="24"/>
                    </w:rPr>
                    <w:t>listed</w:t>
                  </w:r>
                  <w:r w:rsidRPr="00F45FC8">
                    <w:rPr>
                      <w:rFonts w:ascii="Cambria" w:hAnsi="Cambria"/>
                      <w:sz w:val="24"/>
                      <w:szCs w:val="24"/>
                    </w:rPr>
                    <w:t xml:space="preserve"> in </w:t>
                  </w:r>
                  <w:r>
                    <w:rPr>
                      <w:rFonts w:ascii="Cambria" w:hAnsi="Cambria"/>
                      <w:sz w:val="24"/>
                      <w:szCs w:val="24"/>
                    </w:rPr>
                    <w:t xml:space="preserve">section 3 of </w:t>
                  </w:r>
                  <w:r w:rsidRPr="00F45FC8">
                    <w:rPr>
                      <w:rFonts w:ascii="Cambria" w:hAnsi="Cambria"/>
                      <w:sz w:val="24"/>
                      <w:szCs w:val="24"/>
                    </w:rPr>
                    <w:t xml:space="preserve">the </w:t>
                  </w:r>
                  <w:r w:rsidRPr="00ED6D18">
                    <w:rPr>
                      <w:rFonts w:ascii="Cambria" w:hAnsi="Cambria"/>
                      <w:i/>
                      <w:sz w:val="24"/>
                      <w:szCs w:val="24"/>
                    </w:rPr>
                    <w:t>Human Rights (Parliamentary Scrutiny) Act 2011</w:t>
                  </w:r>
                  <w:r w:rsidRPr="00F45FC8">
                    <w:rPr>
                      <w:rFonts w:ascii="Cambria" w:hAnsi="Cambria"/>
                      <w:sz w:val="24"/>
                      <w:szCs w:val="24"/>
                    </w:rPr>
                    <w:t>.</w:t>
                  </w:r>
                </w:p>
                <w:p w14:paraId="0FF03B42" w14:textId="77777777" w:rsidR="00D4785C" w:rsidRDefault="00D4785C" w:rsidP="00D4785C">
                  <w:pPr>
                    <w:spacing w:before="120" w:after="120"/>
                    <w:rPr>
                      <w:rFonts w:ascii="Cambria" w:hAnsi="Cambria"/>
                      <w:sz w:val="24"/>
                      <w:szCs w:val="24"/>
                    </w:rPr>
                  </w:pPr>
                </w:p>
                <w:p w14:paraId="0E1E0076" w14:textId="77777777" w:rsidR="00D4785C" w:rsidRPr="00F45FC8" w:rsidRDefault="00D4785C" w:rsidP="00D4785C">
                  <w:pPr>
                    <w:spacing w:before="120" w:after="120"/>
                    <w:jc w:val="both"/>
                    <w:rPr>
                      <w:rFonts w:ascii="Cambria" w:hAnsi="Cambria"/>
                      <w:b/>
                      <w:sz w:val="24"/>
                      <w:szCs w:val="24"/>
                    </w:rPr>
                  </w:pPr>
                  <w:r w:rsidRPr="00F45FC8">
                    <w:rPr>
                      <w:rFonts w:ascii="Cambria" w:hAnsi="Cambria"/>
                      <w:b/>
                      <w:sz w:val="24"/>
                      <w:szCs w:val="24"/>
                    </w:rPr>
                    <w:t>Overview of the Legislative Instrument</w:t>
                  </w:r>
                </w:p>
                <w:p w14:paraId="30046C29" w14:textId="7D48E131" w:rsidR="00D4785C" w:rsidRDefault="00D4785C" w:rsidP="00D4785C">
                  <w:pPr>
                    <w:spacing w:before="120" w:after="120"/>
                    <w:rPr>
                      <w:rFonts w:ascii="Cambria" w:hAnsi="Cambria"/>
                      <w:sz w:val="24"/>
                      <w:szCs w:val="24"/>
                    </w:rPr>
                  </w:pPr>
                  <w:r>
                    <w:rPr>
                      <w:rFonts w:ascii="Cambria" w:hAnsi="Cambria"/>
                      <w:sz w:val="24"/>
                      <w:szCs w:val="24"/>
                    </w:rPr>
                    <w:t xml:space="preserve">The Variation is a disallowable legislative instrument for the purposes of the </w:t>
                  </w:r>
                  <w:r w:rsidRPr="00AB3DC0">
                    <w:rPr>
                      <w:rFonts w:ascii="Cambria" w:hAnsi="Cambria"/>
                      <w:i/>
                      <w:sz w:val="24"/>
                      <w:szCs w:val="24"/>
                    </w:rPr>
                    <w:t>Legislati</w:t>
                  </w:r>
                  <w:r>
                    <w:rPr>
                      <w:rFonts w:ascii="Cambria" w:hAnsi="Cambria"/>
                      <w:i/>
                      <w:sz w:val="24"/>
                      <w:szCs w:val="24"/>
                    </w:rPr>
                    <w:t>on</w:t>
                  </w:r>
                  <w:r w:rsidRPr="00AB3DC0">
                    <w:rPr>
                      <w:rFonts w:ascii="Cambria" w:hAnsi="Cambria"/>
                      <w:i/>
                      <w:sz w:val="24"/>
                      <w:szCs w:val="24"/>
                    </w:rPr>
                    <w:t xml:space="preserve"> Act 2003</w:t>
                  </w:r>
                  <w:r>
                    <w:rPr>
                      <w:rFonts w:ascii="Cambria" w:hAnsi="Cambria"/>
                      <w:sz w:val="24"/>
                      <w:szCs w:val="24"/>
                    </w:rPr>
                    <w:t xml:space="preserve"> and is made by the Australian Communications and Media Authority (</w:t>
                  </w:r>
                  <w:r>
                    <w:rPr>
                      <w:rFonts w:ascii="Cambria" w:hAnsi="Cambria"/>
                      <w:b/>
                      <w:sz w:val="24"/>
                      <w:szCs w:val="24"/>
                    </w:rPr>
                    <w:t>the ACMA</w:t>
                  </w:r>
                  <w:r>
                    <w:rPr>
                      <w:rFonts w:ascii="Cambria" w:hAnsi="Cambria"/>
                      <w:sz w:val="24"/>
                      <w:szCs w:val="24"/>
                    </w:rPr>
                    <w:t xml:space="preserve">) under section 132 of the </w:t>
                  </w:r>
                  <w:r>
                    <w:rPr>
                      <w:rFonts w:ascii="Cambria" w:hAnsi="Cambria"/>
                      <w:i/>
                      <w:sz w:val="24"/>
                      <w:szCs w:val="24"/>
                    </w:rPr>
                    <w:t>Radiocommunications Act 199</w:t>
                  </w:r>
                  <w:r w:rsidR="003630B3">
                    <w:rPr>
                      <w:rFonts w:ascii="Cambria" w:hAnsi="Cambria"/>
                      <w:i/>
                      <w:sz w:val="24"/>
                      <w:szCs w:val="24"/>
                    </w:rPr>
                    <w:t>2</w:t>
                  </w:r>
                  <w:r>
                    <w:rPr>
                      <w:rFonts w:ascii="Cambria" w:hAnsi="Cambria"/>
                      <w:i/>
                      <w:sz w:val="24"/>
                      <w:szCs w:val="24"/>
                    </w:rPr>
                    <w:t xml:space="preserve"> </w:t>
                  </w:r>
                  <w:r>
                    <w:rPr>
                      <w:rFonts w:ascii="Cambria" w:hAnsi="Cambria"/>
                      <w:sz w:val="24"/>
                      <w:szCs w:val="24"/>
                    </w:rPr>
                    <w:t>(</w:t>
                  </w:r>
                  <w:r>
                    <w:rPr>
                      <w:rFonts w:ascii="Cambria" w:hAnsi="Cambria"/>
                      <w:b/>
                      <w:sz w:val="24"/>
                      <w:szCs w:val="24"/>
                    </w:rPr>
                    <w:t>the Act</w:t>
                  </w:r>
                  <w:r>
                    <w:rPr>
                      <w:rFonts w:ascii="Cambria" w:hAnsi="Cambria"/>
                      <w:sz w:val="24"/>
                      <w:szCs w:val="24"/>
                    </w:rPr>
                    <w:t xml:space="preserve">). </w:t>
                  </w:r>
                </w:p>
                <w:p w14:paraId="34B62AB3" w14:textId="58F70A36" w:rsidR="00D4785C" w:rsidRDefault="00D4785C" w:rsidP="00D4785C">
                  <w:pPr>
                    <w:pStyle w:val="BodyText"/>
                    <w:rPr>
                      <w:rFonts w:asciiTheme="majorHAnsi" w:hAnsiTheme="majorHAnsi" w:cs="Arial"/>
                      <w:szCs w:val="24"/>
                    </w:rPr>
                  </w:pPr>
                  <w:r w:rsidRPr="005D3439">
                    <w:rPr>
                      <w:rFonts w:asciiTheme="majorHAnsi" w:hAnsiTheme="majorHAnsi" w:cs="Arial"/>
                      <w:szCs w:val="24"/>
                    </w:rPr>
                    <w:t xml:space="preserve">The Variation </w:t>
                  </w:r>
                  <w:r>
                    <w:rPr>
                      <w:rFonts w:asciiTheme="majorHAnsi" w:hAnsiTheme="majorHAnsi" w:cs="Arial"/>
                      <w:szCs w:val="24"/>
                    </w:rPr>
                    <w:t>amends</w:t>
                  </w:r>
                  <w:r w:rsidRPr="005D3439">
                    <w:rPr>
                      <w:rFonts w:asciiTheme="majorHAnsi" w:hAnsiTheme="majorHAnsi" w:cs="Arial"/>
                      <w:szCs w:val="24"/>
                    </w:rPr>
                    <w:t xml:space="preserve"> various arrangements in the </w:t>
                  </w:r>
                  <w:r>
                    <w:rPr>
                      <w:rFonts w:asciiTheme="majorHAnsi" w:hAnsiTheme="majorHAnsi" w:cs="Arial"/>
                      <w:i/>
                      <w:szCs w:val="24"/>
                    </w:rPr>
                    <w:t xml:space="preserve">Radiocommunications (Low Interference Potential Devices) Class Licence 2015 </w:t>
                  </w:r>
                  <w:r>
                    <w:rPr>
                      <w:rFonts w:asciiTheme="majorHAnsi" w:hAnsiTheme="majorHAnsi" w:cs="Arial"/>
                      <w:szCs w:val="24"/>
                    </w:rPr>
                    <w:t>(</w:t>
                  </w:r>
                  <w:r w:rsidRPr="00EE664D">
                    <w:rPr>
                      <w:rFonts w:asciiTheme="majorHAnsi" w:hAnsiTheme="majorHAnsi" w:cs="Arial"/>
                      <w:b/>
                      <w:szCs w:val="24"/>
                    </w:rPr>
                    <w:t>the LIPD Class Licence</w:t>
                  </w:r>
                  <w:r>
                    <w:rPr>
                      <w:rFonts w:asciiTheme="majorHAnsi" w:hAnsiTheme="majorHAnsi" w:cs="Arial"/>
                      <w:szCs w:val="24"/>
                    </w:rPr>
                    <w:t>).  In particular, the Variation</w:t>
                  </w:r>
                  <w:r w:rsidRPr="005D3439">
                    <w:rPr>
                      <w:rFonts w:asciiTheme="majorHAnsi" w:hAnsiTheme="majorHAnsi" w:cs="Arial"/>
                      <w:szCs w:val="24"/>
                    </w:rPr>
                    <w:t xml:space="preserve"> </w:t>
                  </w:r>
                  <w:r>
                    <w:rPr>
                      <w:rFonts w:asciiTheme="majorHAnsi" w:hAnsiTheme="majorHAnsi" w:cs="Arial"/>
                      <w:szCs w:val="24"/>
                    </w:rPr>
                    <w:t>includes</w:t>
                  </w:r>
                  <w:r w:rsidRPr="005D3439">
                    <w:rPr>
                      <w:rFonts w:asciiTheme="majorHAnsi" w:hAnsiTheme="majorHAnsi" w:cs="Arial"/>
                      <w:szCs w:val="24"/>
                    </w:rPr>
                    <w:t xml:space="preserve"> updated references to laser safety information in the </w:t>
                  </w:r>
                  <w:r>
                    <w:rPr>
                      <w:rFonts w:asciiTheme="majorHAnsi" w:hAnsiTheme="majorHAnsi" w:cs="Arial"/>
                      <w:szCs w:val="24"/>
                    </w:rPr>
                    <w:t>LIPD Class L</w:t>
                  </w:r>
                  <w:r w:rsidRPr="005D3439">
                    <w:rPr>
                      <w:rFonts w:asciiTheme="majorHAnsi" w:hAnsiTheme="majorHAnsi" w:cs="Arial"/>
                      <w:szCs w:val="24"/>
                    </w:rPr>
                    <w:t>icence and remove</w:t>
                  </w:r>
                  <w:r>
                    <w:rPr>
                      <w:rFonts w:asciiTheme="majorHAnsi" w:hAnsiTheme="majorHAnsi" w:cs="Arial"/>
                      <w:szCs w:val="24"/>
                    </w:rPr>
                    <w:t>s</w:t>
                  </w:r>
                  <w:r w:rsidRPr="005D3439">
                    <w:rPr>
                      <w:rFonts w:asciiTheme="majorHAnsi" w:hAnsiTheme="majorHAnsi" w:cs="Arial"/>
                      <w:szCs w:val="24"/>
                    </w:rPr>
                    <w:t xml:space="preserve"> a number of current limitations on the use </w:t>
                  </w:r>
                  <w:r w:rsidR="003630B3">
                    <w:rPr>
                      <w:rFonts w:asciiTheme="majorHAnsi" w:hAnsiTheme="majorHAnsi" w:cs="Arial"/>
                      <w:szCs w:val="24"/>
                    </w:rPr>
                    <w:t xml:space="preserve">of </w:t>
                  </w:r>
                  <w:r w:rsidRPr="005D3439">
                    <w:rPr>
                      <w:rFonts w:asciiTheme="majorHAnsi" w:hAnsiTheme="majorHAnsi" w:cs="Arial"/>
                      <w:szCs w:val="24"/>
                    </w:rPr>
                    <w:t>digital modulation transmitters to support the use of new low data rate “internet of things” devices</w:t>
                  </w:r>
                  <w:r>
                    <w:rPr>
                      <w:rFonts w:asciiTheme="majorHAnsi" w:hAnsiTheme="majorHAnsi" w:cs="Arial"/>
                      <w:szCs w:val="24"/>
                    </w:rPr>
                    <w:t>.  The Variation also</w:t>
                  </w:r>
                  <w:r w:rsidRPr="005D3439">
                    <w:rPr>
                      <w:rFonts w:asciiTheme="majorHAnsi" w:hAnsiTheme="majorHAnsi" w:cs="Arial"/>
                      <w:szCs w:val="24"/>
                    </w:rPr>
                    <w:t xml:space="preserve"> insert</w:t>
                  </w:r>
                  <w:r>
                    <w:rPr>
                      <w:rFonts w:asciiTheme="majorHAnsi" w:hAnsiTheme="majorHAnsi" w:cs="Arial"/>
                      <w:szCs w:val="24"/>
                    </w:rPr>
                    <w:t>s</w:t>
                  </w:r>
                  <w:r w:rsidRPr="005D3439">
                    <w:rPr>
                      <w:rFonts w:asciiTheme="majorHAnsi" w:hAnsiTheme="majorHAnsi" w:cs="Arial"/>
                      <w:szCs w:val="24"/>
                    </w:rPr>
                    <w:t xml:space="preserve"> new frequency bands to existing </w:t>
                  </w:r>
                  <w:r>
                    <w:rPr>
                      <w:rFonts w:asciiTheme="majorHAnsi" w:hAnsiTheme="majorHAnsi" w:cs="Arial"/>
                      <w:szCs w:val="24"/>
                    </w:rPr>
                    <w:t>authorisations</w:t>
                  </w:r>
                  <w:r w:rsidRPr="005D3439">
                    <w:rPr>
                      <w:rFonts w:asciiTheme="majorHAnsi" w:hAnsiTheme="majorHAnsi" w:cs="Arial"/>
                      <w:szCs w:val="24"/>
                    </w:rPr>
                    <w:t xml:space="preserve"> for level probing radar devices </w:t>
                  </w:r>
                  <w:r>
                    <w:rPr>
                      <w:rFonts w:asciiTheme="majorHAnsi" w:hAnsiTheme="majorHAnsi" w:cs="Arial"/>
                      <w:szCs w:val="24"/>
                    </w:rPr>
                    <w:t xml:space="preserve">often </w:t>
                  </w:r>
                  <w:r w:rsidRPr="005D3439">
                    <w:rPr>
                      <w:rFonts w:asciiTheme="majorHAnsi" w:hAnsiTheme="majorHAnsi" w:cs="Arial"/>
                      <w:szCs w:val="24"/>
                    </w:rPr>
                    <w:t>used in automated manufacturing systems and in-ground parking sensors, introduce</w:t>
                  </w:r>
                  <w:r>
                    <w:rPr>
                      <w:rFonts w:asciiTheme="majorHAnsi" w:hAnsiTheme="majorHAnsi" w:cs="Arial"/>
                      <w:szCs w:val="24"/>
                    </w:rPr>
                    <w:t>s</w:t>
                  </w:r>
                  <w:r w:rsidRPr="005D3439">
                    <w:rPr>
                      <w:rFonts w:asciiTheme="majorHAnsi" w:hAnsiTheme="majorHAnsi" w:cs="Arial"/>
                      <w:szCs w:val="24"/>
                    </w:rPr>
                    <w:t xml:space="preserve"> new arrangements supporting building material analysis transmitters using Ultra-wideband (UWB) technology</w:t>
                  </w:r>
                  <w:r>
                    <w:rPr>
                      <w:rFonts w:asciiTheme="majorHAnsi" w:hAnsiTheme="majorHAnsi" w:cs="Arial"/>
                      <w:szCs w:val="24"/>
                    </w:rPr>
                    <w:t>, and corrects an error in the location of a radio-astronomy site</w:t>
                  </w:r>
                  <w:r w:rsidRPr="005D3439">
                    <w:rPr>
                      <w:rFonts w:asciiTheme="majorHAnsi" w:hAnsiTheme="majorHAnsi" w:cs="Arial"/>
                      <w:szCs w:val="24"/>
                    </w:rPr>
                    <w:t xml:space="preserve">. </w:t>
                  </w:r>
                </w:p>
                <w:p w14:paraId="4B90EBA5" w14:textId="77777777" w:rsidR="00D4785C" w:rsidRPr="005D3439" w:rsidRDefault="00D4785C" w:rsidP="00D4785C">
                  <w:pPr>
                    <w:pStyle w:val="BodyText"/>
                    <w:rPr>
                      <w:rFonts w:asciiTheme="majorHAnsi" w:hAnsiTheme="majorHAnsi"/>
                      <w:szCs w:val="24"/>
                    </w:rPr>
                  </w:pPr>
                </w:p>
                <w:p w14:paraId="11ACF1E2" w14:textId="77777777" w:rsidR="00D4785C" w:rsidRPr="00ED6D18" w:rsidRDefault="00D4785C" w:rsidP="00D4785C">
                  <w:pPr>
                    <w:spacing w:before="120" w:after="120"/>
                    <w:rPr>
                      <w:rFonts w:ascii="Cambria" w:hAnsi="Cambria"/>
                      <w:b/>
                      <w:sz w:val="24"/>
                      <w:szCs w:val="24"/>
                    </w:rPr>
                  </w:pPr>
                  <w:r w:rsidRPr="00ED6D18">
                    <w:rPr>
                      <w:rFonts w:ascii="Cambria" w:hAnsi="Cambria"/>
                      <w:b/>
                      <w:sz w:val="24"/>
                      <w:szCs w:val="24"/>
                    </w:rPr>
                    <w:t xml:space="preserve">Human </w:t>
                  </w:r>
                  <w:r>
                    <w:rPr>
                      <w:rFonts w:ascii="Cambria" w:hAnsi="Cambria"/>
                      <w:b/>
                      <w:sz w:val="24"/>
                      <w:szCs w:val="24"/>
                    </w:rPr>
                    <w:t>r</w:t>
                  </w:r>
                  <w:r w:rsidRPr="00ED6D18">
                    <w:rPr>
                      <w:rFonts w:ascii="Cambria" w:hAnsi="Cambria"/>
                      <w:b/>
                      <w:sz w:val="24"/>
                      <w:szCs w:val="24"/>
                    </w:rPr>
                    <w:t xml:space="preserve">ights </w:t>
                  </w:r>
                  <w:r>
                    <w:rPr>
                      <w:rFonts w:ascii="Cambria" w:hAnsi="Cambria"/>
                      <w:b/>
                      <w:sz w:val="24"/>
                      <w:szCs w:val="24"/>
                    </w:rPr>
                    <w:t>implications</w:t>
                  </w:r>
                </w:p>
                <w:p w14:paraId="32C835E2" w14:textId="77777777" w:rsidR="00D4785C" w:rsidRDefault="00D4785C" w:rsidP="00D4785C">
                  <w:pPr>
                    <w:spacing w:before="120" w:after="120"/>
                    <w:rPr>
                      <w:rFonts w:ascii="Cambria" w:hAnsi="Cambria"/>
                      <w:sz w:val="24"/>
                      <w:szCs w:val="24"/>
                    </w:rPr>
                  </w:pPr>
                  <w:r>
                    <w:rPr>
                      <w:rFonts w:ascii="Cambria" w:hAnsi="Cambria"/>
                      <w:sz w:val="24"/>
                      <w:szCs w:val="24"/>
                    </w:rPr>
                    <w:t>The Variation does not engage any of the applicable rights or freedoms.</w:t>
                  </w:r>
                </w:p>
                <w:p w14:paraId="45C7DD38" w14:textId="77777777" w:rsidR="00D4785C" w:rsidRPr="00F45FC8" w:rsidRDefault="00D4785C" w:rsidP="00D4785C">
                  <w:pPr>
                    <w:spacing w:before="120" w:after="120"/>
                    <w:rPr>
                      <w:rFonts w:ascii="Cambria" w:hAnsi="Cambria"/>
                      <w:sz w:val="24"/>
                      <w:szCs w:val="24"/>
                    </w:rPr>
                  </w:pPr>
                </w:p>
                <w:p w14:paraId="1F7E7713" w14:textId="77777777" w:rsidR="00D4785C" w:rsidRPr="00EE636E" w:rsidRDefault="00D4785C" w:rsidP="00D4785C">
                  <w:pPr>
                    <w:spacing w:before="120" w:after="120"/>
                    <w:rPr>
                      <w:rFonts w:ascii="Cambria" w:hAnsi="Cambria"/>
                      <w:b/>
                      <w:sz w:val="24"/>
                      <w:szCs w:val="24"/>
                    </w:rPr>
                  </w:pPr>
                  <w:r w:rsidRPr="00EE636E">
                    <w:rPr>
                      <w:rFonts w:ascii="Cambria" w:hAnsi="Cambria"/>
                      <w:b/>
                      <w:sz w:val="24"/>
                      <w:szCs w:val="24"/>
                    </w:rPr>
                    <w:t>Conclusion</w:t>
                  </w:r>
                </w:p>
                <w:p w14:paraId="51AAE38D" w14:textId="77777777" w:rsidR="00D4785C" w:rsidRDefault="00D4785C" w:rsidP="00D4785C">
                  <w:pPr>
                    <w:spacing w:before="120" w:after="120"/>
                    <w:rPr>
                      <w:rFonts w:ascii="Cambria" w:hAnsi="Cambria"/>
                      <w:sz w:val="24"/>
                      <w:szCs w:val="24"/>
                    </w:rPr>
                  </w:pPr>
                  <w:r>
                    <w:rPr>
                      <w:rFonts w:ascii="Cambria" w:hAnsi="Cambria"/>
                      <w:sz w:val="24"/>
                      <w:szCs w:val="24"/>
                    </w:rPr>
                    <w:t>The Variation is compatible with human rights as it does not raise any human rights issues.</w:t>
                  </w:r>
                </w:p>
                <w:p w14:paraId="23E87549" w14:textId="77777777" w:rsidR="00D4785C" w:rsidRPr="00F45FC8" w:rsidRDefault="00D4785C" w:rsidP="00D4785C">
                  <w:pPr>
                    <w:spacing w:before="120" w:after="120"/>
                    <w:rPr>
                      <w:rFonts w:ascii="Cambria" w:hAnsi="Cambria"/>
                      <w:sz w:val="24"/>
                      <w:szCs w:val="24"/>
                    </w:rPr>
                  </w:pPr>
                </w:p>
                <w:p w14:paraId="27E83BED" w14:textId="77777777" w:rsidR="00D4785C" w:rsidRPr="002B394B" w:rsidRDefault="00D4785C" w:rsidP="00D4785C">
                  <w:pPr>
                    <w:spacing w:before="120" w:after="120"/>
                    <w:rPr>
                      <w:rFonts w:ascii="Cambria" w:hAnsi="Cambria"/>
                    </w:rPr>
                  </w:pPr>
                  <w:r>
                    <w:rPr>
                      <w:rFonts w:ascii="Cambria" w:hAnsi="Cambria"/>
                      <w:b/>
                    </w:rPr>
                    <w:t>The Australian Communication and Media Authority</w:t>
                  </w:r>
                </w:p>
              </w:txbxContent>
            </v:textbox>
          </v:rect>
        </w:pict>
      </w:r>
    </w:p>
    <w:p w14:paraId="1FCC29A0" w14:textId="77777777" w:rsidR="00D4785C" w:rsidRDefault="00D4785C" w:rsidP="00D4785C">
      <w:pPr>
        <w:ind w:left="720" w:hanging="720"/>
      </w:pPr>
    </w:p>
    <w:p w14:paraId="7665AEEC" w14:textId="77777777" w:rsidR="00D4785C" w:rsidRDefault="00D4785C" w:rsidP="00D4785C">
      <w:pPr>
        <w:ind w:left="720" w:hanging="720"/>
      </w:pPr>
    </w:p>
    <w:p w14:paraId="35F47EBC" w14:textId="77777777" w:rsidR="00D4785C" w:rsidRDefault="00D4785C" w:rsidP="00D4785C">
      <w:pPr>
        <w:ind w:left="720" w:hanging="720"/>
      </w:pPr>
    </w:p>
    <w:p w14:paraId="7FAEB474" w14:textId="77777777" w:rsidR="00D4785C" w:rsidRDefault="00D4785C" w:rsidP="00D4785C">
      <w:pPr>
        <w:ind w:left="720" w:hanging="720"/>
      </w:pPr>
    </w:p>
    <w:p w14:paraId="6C4DD540" w14:textId="77777777" w:rsidR="00D4785C" w:rsidRDefault="00D4785C" w:rsidP="00D4785C">
      <w:pPr>
        <w:ind w:left="720" w:hanging="720"/>
      </w:pPr>
    </w:p>
    <w:p w14:paraId="00FAF60F" w14:textId="77777777" w:rsidR="00D4785C" w:rsidRDefault="00D4785C" w:rsidP="00D4785C">
      <w:pPr>
        <w:ind w:left="720" w:hanging="720"/>
      </w:pPr>
    </w:p>
    <w:p w14:paraId="36BE5007" w14:textId="77777777" w:rsidR="00D4785C" w:rsidRDefault="00D4785C" w:rsidP="00D4785C">
      <w:pPr>
        <w:ind w:left="720" w:hanging="720"/>
      </w:pPr>
    </w:p>
    <w:p w14:paraId="3E10E753" w14:textId="77777777" w:rsidR="00D4785C" w:rsidRDefault="00D4785C" w:rsidP="00D4785C">
      <w:pPr>
        <w:ind w:left="720" w:hanging="720"/>
      </w:pPr>
    </w:p>
    <w:p w14:paraId="298724BC" w14:textId="77777777" w:rsidR="00D4785C" w:rsidRDefault="00D4785C" w:rsidP="00D4785C">
      <w:pPr>
        <w:ind w:left="720" w:hanging="720"/>
      </w:pPr>
    </w:p>
    <w:p w14:paraId="40990202" w14:textId="77777777" w:rsidR="00D4785C" w:rsidRDefault="00D4785C" w:rsidP="00D4785C">
      <w:pPr>
        <w:ind w:left="720" w:hanging="720"/>
      </w:pPr>
    </w:p>
    <w:p w14:paraId="48EEEC08" w14:textId="77777777" w:rsidR="00D4785C" w:rsidRDefault="00D4785C" w:rsidP="00D4785C">
      <w:pPr>
        <w:ind w:left="720" w:hanging="720"/>
      </w:pPr>
    </w:p>
    <w:p w14:paraId="10E1B890" w14:textId="77777777" w:rsidR="00D4785C" w:rsidRDefault="00D4785C" w:rsidP="00D4785C">
      <w:pPr>
        <w:ind w:left="720" w:hanging="720"/>
      </w:pPr>
    </w:p>
    <w:p w14:paraId="3E7234FE" w14:textId="77777777" w:rsidR="00D4785C" w:rsidRDefault="00D4785C" w:rsidP="00D4785C">
      <w:pPr>
        <w:ind w:left="720" w:hanging="720"/>
      </w:pPr>
    </w:p>
    <w:p w14:paraId="3E67D575" w14:textId="77777777" w:rsidR="00D4785C" w:rsidRDefault="00D4785C" w:rsidP="00D4785C">
      <w:pPr>
        <w:ind w:left="720" w:hanging="720"/>
      </w:pPr>
    </w:p>
    <w:p w14:paraId="3074B389" w14:textId="77777777" w:rsidR="00D4785C" w:rsidRDefault="00D4785C" w:rsidP="00D4785C">
      <w:pPr>
        <w:ind w:left="720" w:hanging="720"/>
      </w:pPr>
    </w:p>
    <w:p w14:paraId="081853EF" w14:textId="77777777" w:rsidR="00D4785C" w:rsidRDefault="00D4785C" w:rsidP="00D4785C">
      <w:pPr>
        <w:ind w:left="720" w:hanging="720"/>
      </w:pPr>
    </w:p>
    <w:p w14:paraId="28589E0A" w14:textId="77777777" w:rsidR="00D4785C" w:rsidRDefault="00D4785C" w:rsidP="00D4785C">
      <w:pPr>
        <w:ind w:left="720" w:hanging="720"/>
      </w:pPr>
    </w:p>
    <w:p w14:paraId="6AB3B188" w14:textId="77777777" w:rsidR="00D4785C" w:rsidRDefault="00D4785C" w:rsidP="00D4785C">
      <w:pPr>
        <w:ind w:left="720" w:hanging="720"/>
      </w:pPr>
    </w:p>
    <w:p w14:paraId="0AAEAEB0" w14:textId="77777777" w:rsidR="00D4785C" w:rsidRDefault="00D4785C" w:rsidP="00D4785C">
      <w:pPr>
        <w:ind w:left="720" w:hanging="720"/>
      </w:pPr>
    </w:p>
    <w:p w14:paraId="6A704836" w14:textId="77777777" w:rsidR="00D4785C" w:rsidRDefault="00D4785C" w:rsidP="00D4785C">
      <w:pPr>
        <w:ind w:left="720" w:hanging="720"/>
      </w:pPr>
    </w:p>
    <w:p w14:paraId="708F3B3F" w14:textId="77777777" w:rsidR="00D4785C" w:rsidRDefault="00D4785C" w:rsidP="00D4785C">
      <w:pPr>
        <w:ind w:left="720" w:hanging="720"/>
      </w:pPr>
    </w:p>
    <w:bookmarkEnd w:id="1"/>
    <w:p w14:paraId="41E0D4DA" w14:textId="77777777" w:rsidR="00D4785C" w:rsidRDefault="00D4785C" w:rsidP="00D4785C">
      <w:pPr>
        <w:ind w:left="720" w:hanging="720"/>
      </w:pPr>
    </w:p>
    <w:p w14:paraId="69527780" w14:textId="77777777" w:rsidR="00D4785C" w:rsidRDefault="00D4785C" w:rsidP="00D4785C">
      <w:pPr>
        <w:spacing w:after="120" w:line="260" w:lineRule="atLeast"/>
      </w:pPr>
      <w:r>
        <w:t xml:space="preserve"> </w:t>
      </w:r>
    </w:p>
    <w:p w14:paraId="1BBF4E35" w14:textId="77777777" w:rsidR="0084122D" w:rsidRPr="00D4785C" w:rsidRDefault="0084122D" w:rsidP="00D4785C"/>
    <w:sectPr w:rsidR="0084122D" w:rsidRPr="00D4785C" w:rsidSect="00DB1ED0">
      <w:footerReference w:type="default" r:id="rId18"/>
      <w:pgSz w:w="11907" w:h="16840" w:code="9"/>
      <w:pgMar w:top="1134" w:right="1107"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C2253" w14:textId="77777777" w:rsidR="00F85978" w:rsidRDefault="00F85978">
      <w:r>
        <w:separator/>
      </w:r>
    </w:p>
  </w:endnote>
  <w:endnote w:type="continuationSeparator" w:id="0">
    <w:p w14:paraId="1B8BB25A" w14:textId="77777777" w:rsidR="00F85978" w:rsidRDefault="00F8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DD9E6" w14:textId="77777777" w:rsidR="00F85978" w:rsidRDefault="00E919EF">
    <w:pPr>
      <w:pStyle w:val="Footer"/>
      <w:framePr w:wrap="auto" w:vAnchor="text" w:hAnchor="margin" w:xAlign="center" w:y="1"/>
      <w:rPr>
        <w:rStyle w:val="PageNumber"/>
      </w:rPr>
    </w:pPr>
    <w:r>
      <w:rPr>
        <w:rStyle w:val="PageNumber"/>
      </w:rPr>
      <w:fldChar w:fldCharType="begin"/>
    </w:r>
    <w:r w:rsidR="00F85978">
      <w:rPr>
        <w:rStyle w:val="PageNumber"/>
      </w:rPr>
      <w:instrText xml:space="preserve">PAGE  </w:instrText>
    </w:r>
    <w:r>
      <w:rPr>
        <w:rStyle w:val="PageNumber"/>
      </w:rPr>
      <w:fldChar w:fldCharType="separate"/>
    </w:r>
    <w:r w:rsidR="009B2966">
      <w:rPr>
        <w:rStyle w:val="PageNumber"/>
        <w:noProof/>
      </w:rPr>
      <w:t>7</w:t>
    </w:r>
    <w:r>
      <w:rPr>
        <w:rStyle w:val="PageNumber"/>
      </w:rPr>
      <w:fldChar w:fldCharType="end"/>
    </w:r>
  </w:p>
  <w:p w14:paraId="105D4AE3" w14:textId="77777777" w:rsidR="00F85978" w:rsidRDefault="00F859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CA90D" w14:textId="77777777" w:rsidR="00F85978" w:rsidRDefault="00F85978">
      <w:r>
        <w:separator/>
      </w:r>
    </w:p>
  </w:footnote>
  <w:footnote w:type="continuationSeparator" w:id="0">
    <w:p w14:paraId="74F57C7F" w14:textId="77777777" w:rsidR="00F85978" w:rsidRDefault="00F85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E41DE9"/>
    <w:multiLevelType w:val="hybridMultilevel"/>
    <w:tmpl w:val="2A1862F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8232D0"/>
    <w:multiLevelType w:val="hybridMultilevel"/>
    <w:tmpl w:val="2CD09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2E5533"/>
    <w:multiLevelType w:val="hybridMultilevel"/>
    <w:tmpl w:val="A0BE1C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FC3B1B"/>
    <w:multiLevelType w:val="hybridMultilevel"/>
    <w:tmpl w:val="64F692A2"/>
    <w:lvl w:ilvl="0" w:tplc="0C09000F">
      <w:start w:val="1"/>
      <w:numFmt w:val="decimal"/>
      <w:lvlText w:val="%1."/>
      <w:lvlJc w:val="left"/>
      <w:pPr>
        <w:ind w:left="-1060" w:hanging="360"/>
      </w:pPr>
      <w:rPr>
        <w:rFonts w:hint="default"/>
      </w:rPr>
    </w:lvl>
    <w:lvl w:ilvl="1" w:tplc="0C090019">
      <w:start w:val="1"/>
      <w:numFmt w:val="lowerLetter"/>
      <w:lvlText w:val="%2."/>
      <w:lvlJc w:val="left"/>
      <w:pPr>
        <w:ind w:left="-340" w:hanging="360"/>
      </w:pPr>
    </w:lvl>
    <w:lvl w:ilvl="2" w:tplc="0C09001B" w:tentative="1">
      <w:start w:val="1"/>
      <w:numFmt w:val="lowerRoman"/>
      <w:lvlText w:val="%3."/>
      <w:lvlJc w:val="right"/>
      <w:pPr>
        <w:ind w:left="380" w:hanging="180"/>
      </w:pPr>
    </w:lvl>
    <w:lvl w:ilvl="3" w:tplc="0C09000F" w:tentative="1">
      <w:start w:val="1"/>
      <w:numFmt w:val="decimal"/>
      <w:lvlText w:val="%4."/>
      <w:lvlJc w:val="left"/>
      <w:pPr>
        <w:ind w:left="1100" w:hanging="360"/>
      </w:pPr>
    </w:lvl>
    <w:lvl w:ilvl="4" w:tplc="0C090019" w:tentative="1">
      <w:start w:val="1"/>
      <w:numFmt w:val="lowerLetter"/>
      <w:lvlText w:val="%5."/>
      <w:lvlJc w:val="left"/>
      <w:pPr>
        <w:ind w:left="1820" w:hanging="360"/>
      </w:pPr>
    </w:lvl>
    <w:lvl w:ilvl="5" w:tplc="0C09001B" w:tentative="1">
      <w:start w:val="1"/>
      <w:numFmt w:val="lowerRoman"/>
      <w:lvlText w:val="%6."/>
      <w:lvlJc w:val="right"/>
      <w:pPr>
        <w:ind w:left="2540" w:hanging="180"/>
      </w:pPr>
    </w:lvl>
    <w:lvl w:ilvl="6" w:tplc="0C09000F" w:tentative="1">
      <w:start w:val="1"/>
      <w:numFmt w:val="decimal"/>
      <w:lvlText w:val="%7."/>
      <w:lvlJc w:val="left"/>
      <w:pPr>
        <w:ind w:left="3260" w:hanging="360"/>
      </w:pPr>
    </w:lvl>
    <w:lvl w:ilvl="7" w:tplc="0C090019" w:tentative="1">
      <w:start w:val="1"/>
      <w:numFmt w:val="lowerLetter"/>
      <w:lvlText w:val="%8."/>
      <w:lvlJc w:val="left"/>
      <w:pPr>
        <w:ind w:left="3980" w:hanging="360"/>
      </w:pPr>
    </w:lvl>
    <w:lvl w:ilvl="8" w:tplc="0C09001B" w:tentative="1">
      <w:start w:val="1"/>
      <w:numFmt w:val="lowerRoman"/>
      <w:lvlText w:val="%9."/>
      <w:lvlJc w:val="right"/>
      <w:pPr>
        <w:ind w:left="4700" w:hanging="180"/>
      </w:pPr>
    </w:lvl>
  </w:abstractNum>
  <w:abstractNum w:abstractNumId="9">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385D1927"/>
    <w:multiLevelType w:val="hybridMultilevel"/>
    <w:tmpl w:val="2A1862F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8FC3BBF"/>
    <w:multiLevelType w:val="hybridMultilevel"/>
    <w:tmpl w:val="45FAF3A4"/>
    <w:lvl w:ilvl="0" w:tplc="0C09000F">
      <w:start w:val="1"/>
      <w:numFmt w:val="decimal"/>
      <w:lvlText w:val="%1."/>
      <w:lvlJc w:val="left"/>
      <w:pPr>
        <w:tabs>
          <w:tab w:val="num" w:pos="1440"/>
        </w:tabs>
        <w:ind w:left="1440" w:hanging="360"/>
      </w:pPr>
      <w:rPr>
        <w:rFonts w:hint="default"/>
      </w:rPr>
    </w:lvl>
    <w:lvl w:ilvl="1" w:tplc="0C090019">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2">
    <w:nsid w:val="547F445F"/>
    <w:multiLevelType w:val="hybridMultilevel"/>
    <w:tmpl w:val="554498A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5B592FCA"/>
    <w:multiLevelType w:val="hybridMultilevel"/>
    <w:tmpl w:val="3148FDF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64AA2BDC"/>
    <w:multiLevelType w:val="hybridMultilevel"/>
    <w:tmpl w:val="45FAF3A4"/>
    <w:lvl w:ilvl="0" w:tplc="0C09000F">
      <w:start w:val="1"/>
      <w:numFmt w:val="decimal"/>
      <w:lvlText w:val="%1."/>
      <w:lvlJc w:val="left"/>
      <w:pPr>
        <w:tabs>
          <w:tab w:val="num" w:pos="1440"/>
        </w:tabs>
        <w:ind w:left="1440" w:hanging="360"/>
      </w:pPr>
      <w:rPr>
        <w:rFonts w:hint="default"/>
      </w:rPr>
    </w:lvl>
    <w:lvl w:ilvl="1" w:tplc="0C090019">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nsid w:val="67AE4F76"/>
    <w:multiLevelType w:val="hybridMultilevel"/>
    <w:tmpl w:val="36CCA4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6A452F39"/>
    <w:multiLevelType w:val="hybridMultilevel"/>
    <w:tmpl w:val="BF500F30"/>
    <w:lvl w:ilvl="0" w:tplc="17D4842A">
      <w:numFmt w:val="bullet"/>
      <w:lvlText w:val=""/>
      <w:legacy w:legacy="1" w:legacySpace="0" w:legacyIndent="360"/>
      <w:lvlJc w:val="left"/>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CA97080"/>
    <w:multiLevelType w:val="hybridMultilevel"/>
    <w:tmpl w:val="2A1862F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DB57BDE"/>
    <w:multiLevelType w:val="hybridMultilevel"/>
    <w:tmpl w:val="7B5C1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7"/>
  </w:num>
  <w:num w:numId="5">
    <w:abstractNumId w:val="1"/>
  </w:num>
  <w:num w:numId="6">
    <w:abstractNumId w:val="0"/>
    <w:lvlOverride w:ilvl="0">
      <w:startOverride w:val="1"/>
    </w:lvlOverride>
  </w:num>
  <w:num w:numId="7">
    <w:abstractNumId w:val="0"/>
  </w:num>
  <w:num w:numId="8">
    <w:abstractNumId w:val="0"/>
  </w:num>
  <w:num w:numId="9">
    <w:abstractNumId w:val="0"/>
  </w:num>
  <w:num w:numId="10">
    <w:abstractNumId w:val="13"/>
  </w:num>
  <w:num w:numId="11">
    <w:abstractNumId w:val="12"/>
  </w:num>
  <w:num w:numId="12">
    <w:abstractNumId w:val="14"/>
  </w:num>
  <w:num w:numId="13">
    <w:abstractNumId w:val="16"/>
  </w:num>
  <w:num w:numId="14">
    <w:abstractNumId w:val="8"/>
  </w:num>
  <w:num w:numId="15">
    <w:abstractNumId w:val="11"/>
  </w:num>
  <w:num w:numId="16">
    <w:abstractNumId w:val="10"/>
  </w:num>
  <w:num w:numId="17">
    <w:abstractNumId w:val="4"/>
  </w:num>
  <w:num w:numId="18">
    <w:abstractNumId w:val="18"/>
  </w:num>
  <w:num w:numId="19">
    <w:abstractNumId w:val="15"/>
  </w:num>
  <w:num w:numId="20">
    <w:abstractNumId w:val="5"/>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16E24"/>
    <w:rsid w:val="00000B7A"/>
    <w:rsid w:val="00001C1F"/>
    <w:rsid w:val="00011F90"/>
    <w:rsid w:val="00012344"/>
    <w:rsid w:val="00013498"/>
    <w:rsid w:val="0002142F"/>
    <w:rsid w:val="00021BD3"/>
    <w:rsid w:val="00026C4F"/>
    <w:rsid w:val="00034416"/>
    <w:rsid w:val="0003746E"/>
    <w:rsid w:val="0004185E"/>
    <w:rsid w:val="0006128C"/>
    <w:rsid w:val="00061BC6"/>
    <w:rsid w:val="0006384A"/>
    <w:rsid w:val="00066546"/>
    <w:rsid w:val="00071913"/>
    <w:rsid w:val="000724A6"/>
    <w:rsid w:val="00082A94"/>
    <w:rsid w:val="00085421"/>
    <w:rsid w:val="0008777E"/>
    <w:rsid w:val="0009168E"/>
    <w:rsid w:val="00094807"/>
    <w:rsid w:val="00095926"/>
    <w:rsid w:val="000B3091"/>
    <w:rsid w:val="000B596F"/>
    <w:rsid w:val="000C0097"/>
    <w:rsid w:val="000D24BA"/>
    <w:rsid w:val="000E7C5D"/>
    <w:rsid w:val="000F0A0B"/>
    <w:rsid w:val="000F4BD7"/>
    <w:rsid w:val="00101AE8"/>
    <w:rsid w:val="001100C7"/>
    <w:rsid w:val="001106C7"/>
    <w:rsid w:val="00110F3A"/>
    <w:rsid w:val="00112DD3"/>
    <w:rsid w:val="00117AE3"/>
    <w:rsid w:val="00121D14"/>
    <w:rsid w:val="001253F0"/>
    <w:rsid w:val="001274AF"/>
    <w:rsid w:val="00127A2D"/>
    <w:rsid w:val="00130987"/>
    <w:rsid w:val="00133765"/>
    <w:rsid w:val="001360A6"/>
    <w:rsid w:val="0013723D"/>
    <w:rsid w:val="00141AA4"/>
    <w:rsid w:val="0014310F"/>
    <w:rsid w:val="00151C48"/>
    <w:rsid w:val="001559D8"/>
    <w:rsid w:val="0016149C"/>
    <w:rsid w:val="00162242"/>
    <w:rsid w:val="00162844"/>
    <w:rsid w:val="0017638E"/>
    <w:rsid w:val="00180DDF"/>
    <w:rsid w:val="0018114B"/>
    <w:rsid w:val="00184520"/>
    <w:rsid w:val="00184F15"/>
    <w:rsid w:val="00194BE7"/>
    <w:rsid w:val="001A0123"/>
    <w:rsid w:val="001B2CBF"/>
    <w:rsid w:val="001B33B3"/>
    <w:rsid w:val="001B34F3"/>
    <w:rsid w:val="001B3B04"/>
    <w:rsid w:val="001B5CEC"/>
    <w:rsid w:val="001B6C8A"/>
    <w:rsid w:val="001B7FF2"/>
    <w:rsid w:val="001C37A4"/>
    <w:rsid w:val="001C51E5"/>
    <w:rsid w:val="001D1FCB"/>
    <w:rsid w:val="001D2298"/>
    <w:rsid w:val="001D2AE4"/>
    <w:rsid w:val="001D4A68"/>
    <w:rsid w:val="001D51E4"/>
    <w:rsid w:val="001E05D1"/>
    <w:rsid w:val="001E5952"/>
    <w:rsid w:val="001E6A63"/>
    <w:rsid w:val="00203F19"/>
    <w:rsid w:val="00222214"/>
    <w:rsid w:val="00222818"/>
    <w:rsid w:val="00223AEF"/>
    <w:rsid w:val="00227270"/>
    <w:rsid w:val="00227C92"/>
    <w:rsid w:val="002303F5"/>
    <w:rsid w:val="002317EE"/>
    <w:rsid w:val="00241053"/>
    <w:rsid w:val="00243CA4"/>
    <w:rsid w:val="0025054D"/>
    <w:rsid w:val="00263421"/>
    <w:rsid w:val="00271F61"/>
    <w:rsid w:val="0027507F"/>
    <w:rsid w:val="002805C6"/>
    <w:rsid w:val="00281855"/>
    <w:rsid w:val="002860D4"/>
    <w:rsid w:val="0029210B"/>
    <w:rsid w:val="00296CA4"/>
    <w:rsid w:val="002A1726"/>
    <w:rsid w:val="002A6BF1"/>
    <w:rsid w:val="002A7C0A"/>
    <w:rsid w:val="002B397C"/>
    <w:rsid w:val="002B516A"/>
    <w:rsid w:val="002B6660"/>
    <w:rsid w:val="002C5294"/>
    <w:rsid w:val="002C7144"/>
    <w:rsid w:val="002E0B6D"/>
    <w:rsid w:val="002E4E04"/>
    <w:rsid w:val="002F467F"/>
    <w:rsid w:val="002F62E7"/>
    <w:rsid w:val="003016BC"/>
    <w:rsid w:val="00303594"/>
    <w:rsid w:val="0031074E"/>
    <w:rsid w:val="00311CAD"/>
    <w:rsid w:val="00315CD8"/>
    <w:rsid w:val="00321D33"/>
    <w:rsid w:val="0033012D"/>
    <w:rsid w:val="0033072E"/>
    <w:rsid w:val="00336479"/>
    <w:rsid w:val="00337CD4"/>
    <w:rsid w:val="003404CD"/>
    <w:rsid w:val="00343062"/>
    <w:rsid w:val="0035198E"/>
    <w:rsid w:val="00351D6F"/>
    <w:rsid w:val="0035542A"/>
    <w:rsid w:val="00356C37"/>
    <w:rsid w:val="0036139D"/>
    <w:rsid w:val="00361CAB"/>
    <w:rsid w:val="003630B3"/>
    <w:rsid w:val="00363322"/>
    <w:rsid w:val="003646C2"/>
    <w:rsid w:val="003745FB"/>
    <w:rsid w:val="00374818"/>
    <w:rsid w:val="00387BF1"/>
    <w:rsid w:val="00393980"/>
    <w:rsid w:val="003973A1"/>
    <w:rsid w:val="003A11EB"/>
    <w:rsid w:val="003A254D"/>
    <w:rsid w:val="003A31D4"/>
    <w:rsid w:val="003A7274"/>
    <w:rsid w:val="003B131A"/>
    <w:rsid w:val="003B3FAE"/>
    <w:rsid w:val="003B47B8"/>
    <w:rsid w:val="003B58FA"/>
    <w:rsid w:val="003B640F"/>
    <w:rsid w:val="003C39CB"/>
    <w:rsid w:val="003C50D8"/>
    <w:rsid w:val="003C5C06"/>
    <w:rsid w:val="003C6D6A"/>
    <w:rsid w:val="003C70CA"/>
    <w:rsid w:val="003D0A93"/>
    <w:rsid w:val="003D105C"/>
    <w:rsid w:val="003D2156"/>
    <w:rsid w:val="003D46FA"/>
    <w:rsid w:val="003E11BD"/>
    <w:rsid w:val="003E1F6F"/>
    <w:rsid w:val="003E7E3B"/>
    <w:rsid w:val="003F6F65"/>
    <w:rsid w:val="004019DA"/>
    <w:rsid w:val="00402507"/>
    <w:rsid w:val="004038E4"/>
    <w:rsid w:val="0040474A"/>
    <w:rsid w:val="00410BFA"/>
    <w:rsid w:val="00411A47"/>
    <w:rsid w:val="0042068C"/>
    <w:rsid w:val="00421E61"/>
    <w:rsid w:val="00427371"/>
    <w:rsid w:val="00431CF1"/>
    <w:rsid w:val="00436A45"/>
    <w:rsid w:val="004412A7"/>
    <w:rsid w:val="00441B1F"/>
    <w:rsid w:val="00450074"/>
    <w:rsid w:val="0045062B"/>
    <w:rsid w:val="00453352"/>
    <w:rsid w:val="00454180"/>
    <w:rsid w:val="00462FA5"/>
    <w:rsid w:val="00465C1C"/>
    <w:rsid w:val="00466294"/>
    <w:rsid w:val="00483A91"/>
    <w:rsid w:val="00484D36"/>
    <w:rsid w:val="00485987"/>
    <w:rsid w:val="00493763"/>
    <w:rsid w:val="00494C52"/>
    <w:rsid w:val="00495881"/>
    <w:rsid w:val="004A214E"/>
    <w:rsid w:val="004A4820"/>
    <w:rsid w:val="004C4CD8"/>
    <w:rsid w:val="004D173F"/>
    <w:rsid w:val="004F2483"/>
    <w:rsid w:val="004F397D"/>
    <w:rsid w:val="004F7235"/>
    <w:rsid w:val="005038F3"/>
    <w:rsid w:val="00506D1D"/>
    <w:rsid w:val="005138C2"/>
    <w:rsid w:val="005248BA"/>
    <w:rsid w:val="00532121"/>
    <w:rsid w:val="00533DD7"/>
    <w:rsid w:val="0053496C"/>
    <w:rsid w:val="005415F5"/>
    <w:rsid w:val="00546614"/>
    <w:rsid w:val="00552613"/>
    <w:rsid w:val="00553F68"/>
    <w:rsid w:val="005542FB"/>
    <w:rsid w:val="0055524C"/>
    <w:rsid w:val="005554F1"/>
    <w:rsid w:val="0056091E"/>
    <w:rsid w:val="005613D8"/>
    <w:rsid w:val="0056428D"/>
    <w:rsid w:val="00574F02"/>
    <w:rsid w:val="00576F3D"/>
    <w:rsid w:val="0058622D"/>
    <w:rsid w:val="005941CC"/>
    <w:rsid w:val="00595DC5"/>
    <w:rsid w:val="00596C41"/>
    <w:rsid w:val="00597D50"/>
    <w:rsid w:val="005A37B4"/>
    <w:rsid w:val="005A7C97"/>
    <w:rsid w:val="005C1B5F"/>
    <w:rsid w:val="005C23C1"/>
    <w:rsid w:val="005C240F"/>
    <w:rsid w:val="005D012F"/>
    <w:rsid w:val="005D1487"/>
    <w:rsid w:val="005E0358"/>
    <w:rsid w:val="005E2282"/>
    <w:rsid w:val="005F04B8"/>
    <w:rsid w:val="00602A2D"/>
    <w:rsid w:val="00605306"/>
    <w:rsid w:val="0060704F"/>
    <w:rsid w:val="00611933"/>
    <w:rsid w:val="006128C6"/>
    <w:rsid w:val="00612A55"/>
    <w:rsid w:val="006250DF"/>
    <w:rsid w:val="00627F2E"/>
    <w:rsid w:val="0064101F"/>
    <w:rsid w:val="00642CF7"/>
    <w:rsid w:val="006604F4"/>
    <w:rsid w:val="00660C1C"/>
    <w:rsid w:val="00660D86"/>
    <w:rsid w:val="00665726"/>
    <w:rsid w:val="006668ED"/>
    <w:rsid w:val="00667815"/>
    <w:rsid w:val="006735D8"/>
    <w:rsid w:val="0068073B"/>
    <w:rsid w:val="00680C0B"/>
    <w:rsid w:val="0068420E"/>
    <w:rsid w:val="00693771"/>
    <w:rsid w:val="00694E9E"/>
    <w:rsid w:val="006A2019"/>
    <w:rsid w:val="006B0096"/>
    <w:rsid w:val="006B04FF"/>
    <w:rsid w:val="006B09F0"/>
    <w:rsid w:val="006B4C2F"/>
    <w:rsid w:val="006C2078"/>
    <w:rsid w:val="006D1CD0"/>
    <w:rsid w:val="006D262A"/>
    <w:rsid w:val="006D2D21"/>
    <w:rsid w:val="006D467F"/>
    <w:rsid w:val="006E2A82"/>
    <w:rsid w:val="006E515A"/>
    <w:rsid w:val="006F028E"/>
    <w:rsid w:val="006F20CF"/>
    <w:rsid w:val="006F2D8B"/>
    <w:rsid w:val="006F316E"/>
    <w:rsid w:val="006F3D55"/>
    <w:rsid w:val="00711232"/>
    <w:rsid w:val="00711790"/>
    <w:rsid w:val="007125ED"/>
    <w:rsid w:val="00712D9B"/>
    <w:rsid w:val="00713D29"/>
    <w:rsid w:val="007161E7"/>
    <w:rsid w:val="007164E4"/>
    <w:rsid w:val="007262A3"/>
    <w:rsid w:val="00731406"/>
    <w:rsid w:val="00743CBF"/>
    <w:rsid w:val="00743D8E"/>
    <w:rsid w:val="00744EBF"/>
    <w:rsid w:val="007529CE"/>
    <w:rsid w:val="0075714C"/>
    <w:rsid w:val="007617E8"/>
    <w:rsid w:val="00762344"/>
    <w:rsid w:val="00762A84"/>
    <w:rsid w:val="00764FA4"/>
    <w:rsid w:val="00767814"/>
    <w:rsid w:val="007706DD"/>
    <w:rsid w:val="00780B4E"/>
    <w:rsid w:val="00785879"/>
    <w:rsid w:val="00790A80"/>
    <w:rsid w:val="007A3B4F"/>
    <w:rsid w:val="007B06E7"/>
    <w:rsid w:val="007B41D3"/>
    <w:rsid w:val="007B689E"/>
    <w:rsid w:val="007D11CD"/>
    <w:rsid w:val="007E6568"/>
    <w:rsid w:val="00800DD6"/>
    <w:rsid w:val="00810241"/>
    <w:rsid w:val="00820032"/>
    <w:rsid w:val="00820D3C"/>
    <w:rsid w:val="008231B8"/>
    <w:rsid w:val="00830827"/>
    <w:rsid w:val="00832969"/>
    <w:rsid w:val="00833359"/>
    <w:rsid w:val="0084122D"/>
    <w:rsid w:val="00853BCA"/>
    <w:rsid w:val="00861776"/>
    <w:rsid w:val="00865313"/>
    <w:rsid w:val="00877381"/>
    <w:rsid w:val="00882BEF"/>
    <w:rsid w:val="0088703A"/>
    <w:rsid w:val="008873A5"/>
    <w:rsid w:val="00890CF2"/>
    <w:rsid w:val="00895648"/>
    <w:rsid w:val="008977A7"/>
    <w:rsid w:val="008A155B"/>
    <w:rsid w:val="008A5DBD"/>
    <w:rsid w:val="008B5C75"/>
    <w:rsid w:val="008B7312"/>
    <w:rsid w:val="008C30F0"/>
    <w:rsid w:val="008C3A18"/>
    <w:rsid w:val="008C5F2E"/>
    <w:rsid w:val="008C6826"/>
    <w:rsid w:val="008D47B2"/>
    <w:rsid w:val="008D7BDA"/>
    <w:rsid w:val="008E567E"/>
    <w:rsid w:val="008E57D6"/>
    <w:rsid w:val="008F73ED"/>
    <w:rsid w:val="00901EEA"/>
    <w:rsid w:val="00916B50"/>
    <w:rsid w:val="00925910"/>
    <w:rsid w:val="009263A5"/>
    <w:rsid w:val="0092747D"/>
    <w:rsid w:val="009343B1"/>
    <w:rsid w:val="00935E9E"/>
    <w:rsid w:val="009423CA"/>
    <w:rsid w:val="00946DD8"/>
    <w:rsid w:val="00951B50"/>
    <w:rsid w:val="00957118"/>
    <w:rsid w:val="009619EF"/>
    <w:rsid w:val="00965E8F"/>
    <w:rsid w:val="00970DC2"/>
    <w:rsid w:val="00974F3E"/>
    <w:rsid w:val="0097786E"/>
    <w:rsid w:val="009779E8"/>
    <w:rsid w:val="00980F3C"/>
    <w:rsid w:val="0098243B"/>
    <w:rsid w:val="009877CD"/>
    <w:rsid w:val="0099744F"/>
    <w:rsid w:val="009A0BFF"/>
    <w:rsid w:val="009A285E"/>
    <w:rsid w:val="009A3F24"/>
    <w:rsid w:val="009A6EBF"/>
    <w:rsid w:val="009B2966"/>
    <w:rsid w:val="009C0B5E"/>
    <w:rsid w:val="009C4620"/>
    <w:rsid w:val="009C46FD"/>
    <w:rsid w:val="009C7DC9"/>
    <w:rsid w:val="009D05F2"/>
    <w:rsid w:val="009D0DE2"/>
    <w:rsid w:val="009D157F"/>
    <w:rsid w:val="009D2164"/>
    <w:rsid w:val="009E747C"/>
    <w:rsid w:val="009F4F06"/>
    <w:rsid w:val="00A00146"/>
    <w:rsid w:val="00A013DA"/>
    <w:rsid w:val="00A07DB4"/>
    <w:rsid w:val="00A335B4"/>
    <w:rsid w:val="00A35148"/>
    <w:rsid w:val="00A3580D"/>
    <w:rsid w:val="00A35D46"/>
    <w:rsid w:val="00A40DA5"/>
    <w:rsid w:val="00A40F90"/>
    <w:rsid w:val="00A41075"/>
    <w:rsid w:val="00A46B97"/>
    <w:rsid w:val="00A72A8C"/>
    <w:rsid w:val="00A87DB2"/>
    <w:rsid w:val="00A936BD"/>
    <w:rsid w:val="00AA5151"/>
    <w:rsid w:val="00AA64A3"/>
    <w:rsid w:val="00AC359D"/>
    <w:rsid w:val="00AC7CA6"/>
    <w:rsid w:val="00AD2205"/>
    <w:rsid w:val="00AF4B06"/>
    <w:rsid w:val="00AF5D62"/>
    <w:rsid w:val="00B00392"/>
    <w:rsid w:val="00B0468B"/>
    <w:rsid w:val="00B04C88"/>
    <w:rsid w:val="00B06B6D"/>
    <w:rsid w:val="00B107C5"/>
    <w:rsid w:val="00B118A4"/>
    <w:rsid w:val="00B157DA"/>
    <w:rsid w:val="00B21B3D"/>
    <w:rsid w:val="00B2451D"/>
    <w:rsid w:val="00B277D0"/>
    <w:rsid w:val="00B33E94"/>
    <w:rsid w:val="00B42368"/>
    <w:rsid w:val="00B44322"/>
    <w:rsid w:val="00B51DB9"/>
    <w:rsid w:val="00B55645"/>
    <w:rsid w:val="00B56133"/>
    <w:rsid w:val="00B5615A"/>
    <w:rsid w:val="00B57322"/>
    <w:rsid w:val="00B622A0"/>
    <w:rsid w:val="00B63132"/>
    <w:rsid w:val="00B714C1"/>
    <w:rsid w:val="00B73289"/>
    <w:rsid w:val="00B86EFB"/>
    <w:rsid w:val="00B90597"/>
    <w:rsid w:val="00BA0768"/>
    <w:rsid w:val="00BA076A"/>
    <w:rsid w:val="00BA3DB4"/>
    <w:rsid w:val="00BA49CE"/>
    <w:rsid w:val="00BB1F3C"/>
    <w:rsid w:val="00BB50B4"/>
    <w:rsid w:val="00BB5A3D"/>
    <w:rsid w:val="00BB62A3"/>
    <w:rsid w:val="00BB72BF"/>
    <w:rsid w:val="00BC2161"/>
    <w:rsid w:val="00BC47B6"/>
    <w:rsid w:val="00BC5AF3"/>
    <w:rsid w:val="00BD37CD"/>
    <w:rsid w:val="00BD6D3D"/>
    <w:rsid w:val="00BE2E1F"/>
    <w:rsid w:val="00BE41A4"/>
    <w:rsid w:val="00BE6C2E"/>
    <w:rsid w:val="00BF4600"/>
    <w:rsid w:val="00C02F94"/>
    <w:rsid w:val="00C04DB4"/>
    <w:rsid w:val="00C07E8B"/>
    <w:rsid w:val="00C07FA2"/>
    <w:rsid w:val="00C17187"/>
    <w:rsid w:val="00C1731B"/>
    <w:rsid w:val="00C33BF4"/>
    <w:rsid w:val="00C366CF"/>
    <w:rsid w:val="00C44FF3"/>
    <w:rsid w:val="00C45CF1"/>
    <w:rsid w:val="00C6141C"/>
    <w:rsid w:val="00C722F5"/>
    <w:rsid w:val="00C751CD"/>
    <w:rsid w:val="00C971E5"/>
    <w:rsid w:val="00CA5279"/>
    <w:rsid w:val="00CB0084"/>
    <w:rsid w:val="00CB6577"/>
    <w:rsid w:val="00CB77BC"/>
    <w:rsid w:val="00CD4E04"/>
    <w:rsid w:val="00CD6C63"/>
    <w:rsid w:val="00D134E3"/>
    <w:rsid w:val="00D16E24"/>
    <w:rsid w:val="00D21D87"/>
    <w:rsid w:val="00D2325C"/>
    <w:rsid w:val="00D23BF6"/>
    <w:rsid w:val="00D246AB"/>
    <w:rsid w:val="00D26314"/>
    <w:rsid w:val="00D32D9D"/>
    <w:rsid w:val="00D33DDE"/>
    <w:rsid w:val="00D42573"/>
    <w:rsid w:val="00D4453D"/>
    <w:rsid w:val="00D4785C"/>
    <w:rsid w:val="00D50847"/>
    <w:rsid w:val="00D644E8"/>
    <w:rsid w:val="00D657AA"/>
    <w:rsid w:val="00D71810"/>
    <w:rsid w:val="00D727AA"/>
    <w:rsid w:val="00D810DD"/>
    <w:rsid w:val="00D84134"/>
    <w:rsid w:val="00D866B9"/>
    <w:rsid w:val="00D9318D"/>
    <w:rsid w:val="00D94149"/>
    <w:rsid w:val="00DA1434"/>
    <w:rsid w:val="00DA3E5F"/>
    <w:rsid w:val="00DA6223"/>
    <w:rsid w:val="00DB0151"/>
    <w:rsid w:val="00DB1ED0"/>
    <w:rsid w:val="00DB3D21"/>
    <w:rsid w:val="00DD4CDB"/>
    <w:rsid w:val="00DD7E7A"/>
    <w:rsid w:val="00DF15F2"/>
    <w:rsid w:val="00E02009"/>
    <w:rsid w:val="00E05218"/>
    <w:rsid w:val="00E05974"/>
    <w:rsid w:val="00E14CC4"/>
    <w:rsid w:val="00E15777"/>
    <w:rsid w:val="00E17C09"/>
    <w:rsid w:val="00E2254A"/>
    <w:rsid w:val="00E27F21"/>
    <w:rsid w:val="00E3144B"/>
    <w:rsid w:val="00E46A08"/>
    <w:rsid w:val="00E53DD8"/>
    <w:rsid w:val="00E55CD5"/>
    <w:rsid w:val="00E5656B"/>
    <w:rsid w:val="00E719F2"/>
    <w:rsid w:val="00E76D1D"/>
    <w:rsid w:val="00E8086C"/>
    <w:rsid w:val="00E808DB"/>
    <w:rsid w:val="00E80F00"/>
    <w:rsid w:val="00E84B23"/>
    <w:rsid w:val="00E85984"/>
    <w:rsid w:val="00E87AA9"/>
    <w:rsid w:val="00E906F5"/>
    <w:rsid w:val="00E919EF"/>
    <w:rsid w:val="00E94931"/>
    <w:rsid w:val="00E95370"/>
    <w:rsid w:val="00E9587C"/>
    <w:rsid w:val="00E95BBD"/>
    <w:rsid w:val="00E97FE5"/>
    <w:rsid w:val="00EA6855"/>
    <w:rsid w:val="00EB2B35"/>
    <w:rsid w:val="00EC1988"/>
    <w:rsid w:val="00EC223A"/>
    <w:rsid w:val="00EC38D3"/>
    <w:rsid w:val="00EC38F0"/>
    <w:rsid w:val="00EC3CEF"/>
    <w:rsid w:val="00EC6417"/>
    <w:rsid w:val="00ED79C7"/>
    <w:rsid w:val="00EE3AF8"/>
    <w:rsid w:val="00EF1741"/>
    <w:rsid w:val="00EF41A0"/>
    <w:rsid w:val="00F0119C"/>
    <w:rsid w:val="00F07927"/>
    <w:rsid w:val="00F104BB"/>
    <w:rsid w:val="00F147CB"/>
    <w:rsid w:val="00F17975"/>
    <w:rsid w:val="00F33A8F"/>
    <w:rsid w:val="00F34F7E"/>
    <w:rsid w:val="00F40EFA"/>
    <w:rsid w:val="00F41311"/>
    <w:rsid w:val="00F463F1"/>
    <w:rsid w:val="00F46530"/>
    <w:rsid w:val="00F51837"/>
    <w:rsid w:val="00F5197B"/>
    <w:rsid w:val="00F53F79"/>
    <w:rsid w:val="00F620EA"/>
    <w:rsid w:val="00F66189"/>
    <w:rsid w:val="00F7140C"/>
    <w:rsid w:val="00F83081"/>
    <w:rsid w:val="00F85978"/>
    <w:rsid w:val="00F85D35"/>
    <w:rsid w:val="00F86429"/>
    <w:rsid w:val="00F90F44"/>
    <w:rsid w:val="00F93599"/>
    <w:rsid w:val="00FA11DC"/>
    <w:rsid w:val="00FA2EA5"/>
    <w:rsid w:val="00FA576B"/>
    <w:rsid w:val="00FB1F75"/>
    <w:rsid w:val="00FB2092"/>
    <w:rsid w:val="00FB2FBE"/>
    <w:rsid w:val="00FB3E92"/>
    <w:rsid w:val="00FC0EEB"/>
    <w:rsid w:val="00FC1A4D"/>
    <w:rsid w:val="00FC2219"/>
    <w:rsid w:val="00FC7B8C"/>
    <w:rsid w:val="00FD5CD3"/>
    <w:rsid w:val="00FD6832"/>
    <w:rsid w:val="00FE4C4A"/>
    <w:rsid w:val="00FF15D0"/>
    <w:rsid w:val="00FF1B28"/>
    <w:rsid w:val="00FF4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DEC37B2"/>
  <w15:docId w15:val="{94A780C3-1403-4D05-B3ED-EDB189DB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E24"/>
    <w:pPr>
      <w:overflowPunct w:val="0"/>
      <w:autoSpaceDE w:val="0"/>
      <w:autoSpaceDN w:val="0"/>
      <w:adjustRightInd w:val="0"/>
      <w:textAlignment w:val="baseline"/>
    </w:pPr>
  </w:style>
  <w:style w:type="paragraph" w:styleId="Heading1">
    <w:name w:val="heading 1"/>
    <w:basedOn w:val="ACMAHeading1"/>
    <w:next w:val="ACMABodyText"/>
    <w:qFormat/>
    <w:rsid w:val="0084122D"/>
    <w:pPr>
      <w:outlineLvl w:val="0"/>
    </w:pPr>
    <w:rPr>
      <w:rFonts w:cs="Arial"/>
      <w:bCs/>
    </w:rPr>
  </w:style>
  <w:style w:type="paragraph" w:styleId="Heading5">
    <w:name w:val="heading 5"/>
    <w:basedOn w:val="Normal"/>
    <w:next w:val="Normal"/>
    <w:qFormat/>
    <w:rsid w:val="00D16E2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link w:val="ACMABodyTextChar"/>
    <w:qFormat/>
    <w:rsid w:val="0084122D"/>
    <w:pPr>
      <w:suppressAutoHyphens/>
      <w:spacing w:before="80" w:after="120" w:line="280" w:lineRule="atLeast"/>
    </w:pPr>
    <w:rPr>
      <w:snapToGrid w:val="0"/>
      <w:sz w:val="24"/>
      <w:lang w:eastAsia="en-US"/>
    </w:rPr>
  </w:style>
  <w:style w:type="paragraph" w:customStyle="1" w:styleId="ACMABulletLevel1">
    <w:name w:val="ACMA Bullet Level 1"/>
    <w:rsid w:val="0084122D"/>
    <w:pPr>
      <w:numPr>
        <w:numId w:val="1"/>
      </w:numPr>
      <w:spacing w:after="120"/>
    </w:pPr>
    <w:rPr>
      <w:sz w:val="24"/>
      <w:lang w:eastAsia="en-US"/>
    </w:rPr>
  </w:style>
  <w:style w:type="paragraph" w:customStyle="1" w:styleId="ACMABulletLevel2">
    <w:name w:val="ACMA Bullet Level 2"/>
    <w:rsid w:val="0084122D"/>
    <w:pPr>
      <w:numPr>
        <w:numId w:val="2"/>
      </w:numPr>
      <w:spacing w:after="120"/>
    </w:pPr>
    <w:rPr>
      <w:sz w:val="24"/>
      <w:lang w:eastAsia="en-US"/>
    </w:rPr>
  </w:style>
  <w:style w:type="paragraph" w:customStyle="1" w:styleId="ACMAChapterHeading">
    <w:name w:val="ACMA Chapter Heading"/>
    <w:next w:val="ACMABodyText"/>
    <w:rsid w:val="0084122D"/>
    <w:pPr>
      <w:keepNext/>
      <w:suppressAutoHyphens/>
      <w:spacing w:before="2160" w:after="480"/>
      <w:outlineLvl w:val="0"/>
    </w:pPr>
    <w:rPr>
      <w:sz w:val="56"/>
      <w:szCs w:val="56"/>
      <w:lang w:eastAsia="en-US"/>
    </w:rPr>
  </w:style>
  <w:style w:type="paragraph" w:customStyle="1" w:styleId="ACMAConclusion">
    <w:name w:val="ACMA Conclusion"/>
    <w:rsid w:val="0084122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013498"/>
    <w:pPr>
      <w:spacing w:before="2160" w:after="480"/>
    </w:pPr>
    <w:rPr>
      <w:sz w:val="56"/>
      <w:szCs w:val="56"/>
      <w:lang w:eastAsia="en-US"/>
    </w:rPr>
  </w:style>
  <w:style w:type="paragraph" w:customStyle="1" w:styleId="ACMAFooterEven">
    <w:name w:val="ACMA Footer (Even)"/>
    <w:rsid w:val="0084122D"/>
    <w:pPr>
      <w:pBdr>
        <w:top w:val="single" w:sz="2" w:space="4" w:color="auto"/>
      </w:pBdr>
      <w:tabs>
        <w:tab w:val="right" w:pos="8959"/>
      </w:tabs>
    </w:pPr>
    <w:rPr>
      <w:lang w:eastAsia="en-US"/>
    </w:rPr>
  </w:style>
  <w:style w:type="paragraph" w:customStyle="1" w:styleId="ACMAFooterOdd">
    <w:name w:val="ACMA Footer (Odd)"/>
    <w:rsid w:val="0084122D"/>
    <w:pPr>
      <w:pBdr>
        <w:top w:val="single" w:sz="2" w:space="4" w:color="auto"/>
      </w:pBdr>
      <w:tabs>
        <w:tab w:val="right" w:pos="8959"/>
      </w:tabs>
    </w:pPr>
    <w:rPr>
      <w:lang w:eastAsia="en-US"/>
    </w:rPr>
  </w:style>
  <w:style w:type="paragraph" w:customStyle="1" w:styleId="ACMAFootnote">
    <w:name w:val="ACMA Footnote"/>
    <w:rsid w:val="0084122D"/>
    <w:pPr>
      <w:ind w:left="144" w:hanging="144"/>
    </w:pPr>
    <w:rPr>
      <w:sz w:val="16"/>
      <w:lang w:eastAsia="en-US"/>
    </w:rPr>
  </w:style>
  <w:style w:type="paragraph" w:customStyle="1" w:styleId="ACMAHeaderEven">
    <w:name w:val="ACMA Header (Even)"/>
    <w:rsid w:val="00013498"/>
    <w:rPr>
      <w:i/>
      <w:lang w:eastAsia="en-US"/>
    </w:rPr>
  </w:style>
  <w:style w:type="paragraph" w:customStyle="1" w:styleId="ACMAHeaderOdd">
    <w:name w:val="ACMA Header (Odd)"/>
    <w:rsid w:val="00013498"/>
    <w:pPr>
      <w:jc w:val="right"/>
    </w:pPr>
    <w:rPr>
      <w:i/>
      <w:lang w:eastAsia="en-US"/>
    </w:rPr>
  </w:style>
  <w:style w:type="paragraph" w:customStyle="1" w:styleId="ACMAHeading1">
    <w:name w:val="ACMA Heading 1"/>
    <w:next w:val="ACMABodyText"/>
    <w:rsid w:val="00013498"/>
    <w:pPr>
      <w:keepNext/>
      <w:suppressAutoHyphens/>
      <w:spacing w:before="320"/>
      <w:outlineLvl w:val="1"/>
    </w:pPr>
    <w:rPr>
      <w:rFonts w:ascii="Arial" w:hAnsi="Arial"/>
      <w:b/>
      <w:sz w:val="32"/>
      <w:szCs w:val="32"/>
      <w:lang w:eastAsia="en-US"/>
    </w:rPr>
  </w:style>
  <w:style w:type="paragraph" w:customStyle="1" w:styleId="ACMAHeading2">
    <w:name w:val="ACMA Heading 2"/>
    <w:next w:val="ACMABodyText"/>
    <w:rsid w:val="00013498"/>
    <w:pPr>
      <w:keepNext/>
      <w:suppressAutoHyphens/>
      <w:spacing w:before="240"/>
      <w:outlineLvl w:val="2"/>
    </w:pPr>
    <w:rPr>
      <w:rFonts w:ascii="Arial" w:hAnsi="Arial"/>
      <w:b/>
      <w:caps/>
      <w:sz w:val="26"/>
      <w:szCs w:val="26"/>
      <w:lang w:eastAsia="en-US"/>
    </w:rPr>
  </w:style>
  <w:style w:type="paragraph" w:customStyle="1" w:styleId="ACMAHeading3">
    <w:name w:val="ACMA Heading 3"/>
    <w:next w:val="ACMABodyText"/>
    <w:uiPriority w:val="99"/>
    <w:rsid w:val="00013498"/>
    <w:pPr>
      <w:keepNext/>
      <w:suppressAutoHyphens/>
      <w:spacing w:before="240"/>
      <w:outlineLvl w:val="3"/>
    </w:pPr>
    <w:rPr>
      <w:rFonts w:ascii="Arial" w:hAnsi="Arial"/>
      <w:b/>
      <w:sz w:val="24"/>
      <w:lang w:eastAsia="en-US"/>
    </w:rPr>
  </w:style>
  <w:style w:type="paragraph" w:customStyle="1" w:styleId="ACMAHeading4">
    <w:name w:val="ACMA Heading 4"/>
    <w:next w:val="ACMABodyText"/>
    <w:rsid w:val="0084122D"/>
    <w:pPr>
      <w:keepNext/>
      <w:suppressAutoHyphens/>
      <w:spacing w:before="80"/>
      <w:outlineLvl w:val="4"/>
    </w:pPr>
    <w:rPr>
      <w:rFonts w:ascii="Arial" w:hAnsi="Arial"/>
      <w:b/>
      <w:i/>
      <w:lang w:eastAsia="en-US"/>
    </w:rPr>
  </w:style>
  <w:style w:type="paragraph" w:customStyle="1" w:styleId="ACMAletteredlist">
    <w:name w:val="ACMA lettered list"/>
    <w:rsid w:val="0084122D"/>
    <w:pPr>
      <w:numPr>
        <w:numId w:val="3"/>
      </w:numPr>
      <w:spacing w:before="20" w:after="20"/>
    </w:pPr>
    <w:rPr>
      <w:sz w:val="24"/>
      <w:lang w:eastAsia="en-US"/>
    </w:rPr>
  </w:style>
  <w:style w:type="paragraph" w:customStyle="1" w:styleId="ACMANumberedList">
    <w:name w:val="ACMA Numbered List"/>
    <w:rsid w:val="0084122D"/>
    <w:pPr>
      <w:numPr>
        <w:numId w:val="4"/>
      </w:numPr>
      <w:spacing w:before="20" w:after="20"/>
    </w:pPr>
    <w:rPr>
      <w:sz w:val="24"/>
      <w:lang w:eastAsia="en-US"/>
    </w:rPr>
  </w:style>
  <w:style w:type="paragraph" w:customStyle="1" w:styleId="ACMAQuote">
    <w:name w:val="ACMA Quote"/>
    <w:rsid w:val="0084122D"/>
    <w:pPr>
      <w:spacing w:line="240" w:lineRule="atLeast"/>
      <w:ind w:left="562" w:right="562"/>
    </w:pPr>
    <w:rPr>
      <w:sz w:val="22"/>
      <w:lang w:eastAsia="en-US"/>
    </w:rPr>
  </w:style>
  <w:style w:type="paragraph" w:customStyle="1" w:styleId="ACMAReportDate">
    <w:name w:val="ACMA Report Date"/>
    <w:rsid w:val="0084122D"/>
    <w:rPr>
      <w:snapToGrid w:val="0"/>
      <w:lang w:eastAsia="en-US"/>
    </w:rPr>
  </w:style>
  <w:style w:type="paragraph" w:customStyle="1" w:styleId="ACMAReportImprint">
    <w:name w:val="ACMA Report Imprint"/>
    <w:rsid w:val="0084122D"/>
    <w:pPr>
      <w:spacing w:after="80"/>
    </w:pPr>
    <w:rPr>
      <w:rFonts w:cs="Arial"/>
      <w:lang w:eastAsia="en-US"/>
    </w:rPr>
  </w:style>
  <w:style w:type="paragraph" w:customStyle="1" w:styleId="ACMAReportImprintLast">
    <w:name w:val="ACMA Report Imprint Last"/>
    <w:basedOn w:val="ACMAReportImprint"/>
    <w:rsid w:val="0084122D"/>
    <w:pPr>
      <w:spacing w:before="480" w:after="420"/>
    </w:pPr>
  </w:style>
  <w:style w:type="paragraph" w:customStyle="1" w:styleId="ACMAReportSubtitle">
    <w:name w:val="ACMA Report Subtitle"/>
    <w:rsid w:val="0084122D"/>
    <w:pPr>
      <w:spacing w:before="1440"/>
    </w:pPr>
    <w:rPr>
      <w:sz w:val="36"/>
      <w:lang w:eastAsia="en-US"/>
    </w:rPr>
  </w:style>
  <w:style w:type="paragraph" w:customStyle="1" w:styleId="ACMAReportTitle">
    <w:name w:val="ACMA Report Title"/>
    <w:rsid w:val="0084122D"/>
    <w:pPr>
      <w:spacing w:before="1980"/>
    </w:pPr>
    <w:rPr>
      <w:sz w:val="80"/>
      <w:lang w:eastAsia="en-US"/>
    </w:rPr>
  </w:style>
  <w:style w:type="paragraph" w:customStyle="1" w:styleId="ACMATableBullet">
    <w:name w:val="ACMA Table Bullet"/>
    <w:rsid w:val="0084122D"/>
    <w:pPr>
      <w:numPr>
        <w:numId w:val="5"/>
      </w:numPr>
      <w:spacing w:before="40" w:after="40"/>
    </w:pPr>
    <w:rPr>
      <w:rFonts w:ascii="Arial" w:hAnsi="Arial"/>
      <w:lang w:eastAsia="en-US"/>
    </w:rPr>
  </w:style>
  <w:style w:type="paragraph" w:customStyle="1" w:styleId="ACMATableCaption">
    <w:name w:val="ACMA Table Caption"/>
    <w:rsid w:val="0084122D"/>
    <w:pPr>
      <w:spacing w:after="120"/>
    </w:pPr>
    <w:rPr>
      <w:rFonts w:ascii="Arial" w:hAnsi="Arial"/>
      <w:lang w:eastAsia="en-US"/>
    </w:rPr>
  </w:style>
  <w:style w:type="paragraph" w:customStyle="1" w:styleId="ACMATableHeading">
    <w:name w:val="ACMA Table Heading"/>
    <w:rsid w:val="0084122D"/>
    <w:pPr>
      <w:spacing w:before="40" w:after="40"/>
    </w:pPr>
    <w:rPr>
      <w:rFonts w:ascii="Arial" w:hAnsi="Arial"/>
      <w:b/>
      <w:lang w:eastAsia="en-US"/>
    </w:rPr>
  </w:style>
  <w:style w:type="paragraph" w:customStyle="1" w:styleId="ACMATableNumber">
    <w:name w:val="ACMA Table Number"/>
    <w:rsid w:val="0084122D"/>
    <w:pPr>
      <w:spacing w:before="160"/>
    </w:pPr>
    <w:rPr>
      <w:rFonts w:ascii="Arial" w:hAnsi="Arial"/>
      <w:b/>
      <w:lang w:eastAsia="en-US"/>
    </w:rPr>
  </w:style>
  <w:style w:type="paragraph" w:customStyle="1" w:styleId="ACMATableText">
    <w:name w:val="ACMA Table Text"/>
    <w:rsid w:val="0084122D"/>
    <w:pPr>
      <w:spacing w:before="40" w:after="40"/>
    </w:pPr>
    <w:rPr>
      <w:rFonts w:ascii="Arial" w:hAnsi="Arial"/>
      <w:lang w:eastAsia="en-US"/>
    </w:rPr>
  </w:style>
  <w:style w:type="paragraph" w:styleId="Footer">
    <w:name w:val="footer"/>
    <w:basedOn w:val="Normal"/>
    <w:rsid w:val="0084122D"/>
    <w:pPr>
      <w:tabs>
        <w:tab w:val="center" w:pos="4320"/>
        <w:tab w:val="right" w:pos="8640"/>
      </w:tabs>
    </w:pPr>
  </w:style>
  <w:style w:type="character" w:styleId="FootnoteReference">
    <w:name w:val="footnote reference"/>
    <w:basedOn w:val="DefaultParagraphFont"/>
    <w:semiHidden/>
    <w:rsid w:val="0084122D"/>
    <w:rPr>
      <w:vertAlign w:val="superscript"/>
    </w:rPr>
  </w:style>
  <w:style w:type="paragraph" w:styleId="FootnoteText">
    <w:name w:val="footnote text"/>
    <w:aliases w:val="ACMA Footnote Text"/>
    <w:rsid w:val="0084122D"/>
    <w:pPr>
      <w:tabs>
        <w:tab w:val="left" w:pos="284"/>
      </w:tabs>
      <w:ind w:left="288" w:hanging="288"/>
    </w:pPr>
    <w:rPr>
      <w:lang w:eastAsia="en-US"/>
    </w:rPr>
  </w:style>
  <w:style w:type="character" w:styleId="Hyperlink">
    <w:name w:val="Hyperlink"/>
    <w:basedOn w:val="DefaultParagraphFont"/>
    <w:rsid w:val="0084122D"/>
    <w:rPr>
      <w:color w:val="0000FF"/>
      <w:u w:val="single"/>
    </w:rPr>
  </w:style>
  <w:style w:type="paragraph" w:customStyle="1" w:styleId="LegislationLvl1">
    <w:name w:val="Legislation Lvl 1"/>
    <w:rsid w:val="0084122D"/>
    <w:pPr>
      <w:numPr>
        <w:numId w:val="9"/>
      </w:numPr>
    </w:pPr>
    <w:rPr>
      <w:bCs/>
      <w:sz w:val="22"/>
      <w:lang w:eastAsia="en-US"/>
    </w:rPr>
  </w:style>
  <w:style w:type="paragraph" w:customStyle="1" w:styleId="LegislationLvl2">
    <w:name w:val="Legislation Lvl 2"/>
    <w:rsid w:val="0084122D"/>
    <w:pPr>
      <w:numPr>
        <w:ilvl w:val="1"/>
        <w:numId w:val="9"/>
      </w:numPr>
    </w:pPr>
    <w:rPr>
      <w:sz w:val="22"/>
      <w:lang w:eastAsia="en-US"/>
    </w:rPr>
  </w:style>
  <w:style w:type="paragraph" w:customStyle="1" w:styleId="LegislationLvl3">
    <w:name w:val="Legislation Lvl 3"/>
    <w:rsid w:val="0084122D"/>
    <w:pPr>
      <w:numPr>
        <w:ilvl w:val="2"/>
        <w:numId w:val="9"/>
      </w:numPr>
    </w:pPr>
    <w:rPr>
      <w:sz w:val="22"/>
      <w:lang w:eastAsia="en-US"/>
    </w:rPr>
  </w:style>
  <w:style w:type="paragraph" w:customStyle="1" w:styleId="LegislationLvl4">
    <w:name w:val="Legislation Lvl 4"/>
    <w:rsid w:val="0084122D"/>
    <w:pPr>
      <w:numPr>
        <w:ilvl w:val="3"/>
        <w:numId w:val="9"/>
      </w:numPr>
    </w:pPr>
    <w:rPr>
      <w:sz w:val="22"/>
      <w:lang w:eastAsia="en-US"/>
    </w:rPr>
  </w:style>
  <w:style w:type="character" w:styleId="PageNumber">
    <w:name w:val="page number"/>
    <w:basedOn w:val="DefaultParagraphFont"/>
    <w:rsid w:val="0084122D"/>
    <w:rPr>
      <w:rFonts w:ascii="Times New Roman" w:hAnsi="Times New Roman"/>
      <w:sz w:val="20"/>
      <w:szCs w:val="20"/>
    </w:rPr>
  </w:style>
  <w:style w:type="paragraph" w:customStyle="1" w:styleId="Pre-NumberedLegisLvl1">
    <w:name w:val="Pre-Numbered Legis Lvl 1"/>
    <w:rsid w:val="0084122D"/>
    <w:pPr>
      <w:ind w:left="850" w:hanging="493"/>
    </w:pPr>
    <w:rPr>
      <w:sz w:val="22"/>
      <w:lang w:eastAsia="en-US"/>
    </w:rPr>
  </w:style>
  <w:style w:type="paragraph" w:customStyle="1" w:styleId="Pre-NumberedLegisLvl2">
    <w:name w:val="Pre-Numbered Legis Lvl 2"/>
    <w:rsid w:val="0084122D"/>
    <w:pPr>
      <w:ind w:left="1367" w:hanging="516"/>
    </w:pPr>
    <w:rPr>
      <w:sz w:val="22"/>
      <w:lang w:eastAsia="en-US"/>
    </w:rPr>
  </w:style>
  <w:style w:type="paragraph" w:customStyle="1" w:styleId="Pre-NumberedLegisLvl3">
    <w:name w:val="Pre-Numbered Legis Lvl 3"/>
    <w:rsid w:val="0084122D"/>
    <w:pPr>
      <w:ind w:left="1985" w:hanging="567"/>
    </w:pPr>
    <w:rPr>
      <w:sz w:val="22"/>
      <w:lang w:eastAsia="en-US"/>
    </w:rPr>
  </w:style>
  <w:style w:type="paragraph" w:customStyle="1" w:styleId="Pre-NumberedLegisLvl4">
    <w:name w:val="Pre-Numbered Legis Lvl 4"/>
    <w:rsid w:val="0084122D"/>
    <w:pPr>
      <w:ind w:left="2721" w:hanging="680"/>
    </w:pPr>
    <w:rPr>
      <w:sz w:val="22"/>
      <w:lang w:eastAsia="en-US"/>
    </w:rPr>
  </w:style>
  <w:style w:type="table" w:styleId="TableGrid">
    <w:name w:val="Table Grid"/>
    <w:basedOn w:val="TableNormal"/>
    <w:rsid w:val="0084122D"/>
    <w:pPr>
      <w:spacing w:before="80" w:after="12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ACMA 1"/>
    <w:rsid w:val="0084122D"/>
    <w:pPr>
      <w:spacing w:before="360"/>
    </w:pPr>
    <w:rPr>
      <w:rFonts w:ascii="Arial" w:hAnsi="Arial"/>
      <w:b/>
      <w:bCs/>
      <w:caps/>
      <w:szCs w:val="28"/>
      <w:lang w:eastAsia="en-US"/>
    </w:rPr>
  </w:style>
  <w:style w:type="paragraph" w:styleId="TOC2">
    <w:name w:val="toc 2"/>
    <w:aliases w:val="ACMA 2"/>
    <w:rsid w:val="0084122D"/>
    <w:pPr>
      <w:spacing w:before="240"/>
    </w:pPr>
    <w:rPr>
      <w:bCs/>
      <w:sz w:val="22"/>
      <w:szCs w:val="24"/>
      <w:lang w:eastAsia="en-US"/>
    </w:rPr>
  </w:style>
  <w:style w:type="paragraph" w:styleId="TOC3">
    <w:name w:val="toc 3"/>
    <w:aliases w:val="ACMA 3"/>
    <w:rsid w:val="0084122D"/>
    <w:pPr>
      <w:ind w:left="198"/>
    </w:pPr>
    <w:rPr>
      <w:sz w:val="22"/>
      <w:szCs w:val="24"/>
      <w:lang w:eastAsia="en-US"/>
    </w:rPr>
  </w:style>
  <w:style w:type="character" w:styleId="Emphasis">
    <w:name w:val="Emphasis"/>
    <w:basedOn w:val="DefaultParagraphFont"/>
    <w:qFormat/>
    <w:rsid w:val="00D16E24"/>
    <w:rPr>
      <w:i/>
    </w:rPr>
  </w:style>
  <w:style w:type="paragraph" w:styleId="BodyText">
    <w:name w:val="Body Text"/>
    <w:basedOn w:val="Normal"/>
    <w:link w:val="BodyTextChar"/>
    <w:rsid w:val="00D16E24"/>
    <w:pPr>
      <w:spacing w:after="120"/>
    </w:pPr>
    <w:rPr>
      <w:sz w:val="24"/>
    </w:rPr>
  </w:style>
  <w:style w:type="paragraph" w:customStyle="1" w:styleId="indenta">
    <w:name w:val="indent(a)"/>
    <w:aliases w:val="a"/>
    <w:basedOn w:val="Normal"/>
    <w:rsid w:val="00D16E24"/>
    <w:pPr>
      <w:tabs>
        <w:tab w:val="right" w:pos="1531"/>
      </w:tabs>
      <w:overflowPunct/>
      <w:autoSpaceDE/>
      <w:autoSpaceDN/>
      <w:adjustRightInd/>
      <w:spacing w:before="40" w:line="260" w:lineRule="atLeast"/>
      <w:ind w:left="1644" w:hanging="1644"/>
      <w:textAlignment w:val="auto"/>
    </w:pPr>
    <w:rPr>
      <w:rFonts w:ascii="Times" w:hAnsi="Times"/>
      <w:sz w:val="22"/>
      <w:lang w:eastAsia="en-US"/>
    </w:rPr>
  </w:style>
  <w:style w:type="paragraph" w:customStyle="1" w:styleId="RGPara">
    <w:name w:val="RGPara"/>
    <w:aliases w:val="Readers Guide Para"/>
    <w:basedOn w:val="Normal"/>
    <w:rsid w:val="00D16E24"/>
    <w:pPr>
      <w:overflowPunct/>
      <w:autoSpaceDE/>
      <w:autoSpaceDN/>
      <w:adjustRightInd/>
      <w:spacing w:before="120" w:line="260" w:lineRule="exact"/>
      <w:jc w:val="both"/>
      <w:textAlignment w:val="auto"/>
    </w:pPr>
    <w:rPr>
      <w:rFonts w:ascii="Times" w:hAnsi="Times"/>
      <w:sz w:val="24"/>
      <w:lang w:eastAsia="en-US"/>
    </w:rPr>
  </w:style>
  <w:style w:type="paragraph" w:styleId="BalloonText">
    <w:name w:val="Balloon Text"/>
    <w:basedOn w:val="Normal"/>
    <w:semiHidden/>
    <w:rsid w:val="0003746E"/>
    <w:rPr>
      <w:rFonts w:ascii="Tahoma" w:hAnsi="Tahoma" w:cs="Tahoma"/>
      <w:sz w:val="16"/>
      <w:szCs w:val="16"/>
    </w:rPr>
  </w:style>
  <w:style w:type="character" w:styleId="CommentReference">
    <w:name w:val="annotation reference"/>
    <w:basedOn w:val="DefaultParagraphFont"/>
    <w:uiPriority w:val="99"/>
    <w:semiHidden/>
    <w:rsid w:val="00AF5D62"/>
    <w:rPr>
      <w:sz w:val="16"/>
      <w:szCs w:val="16"/>
    </w:rPr>
  </w:style>
  <w:style w:type="paragraph" w:styleId="CommentText">
    <w:name w:val="annotation text"/>
    <w:basedOn w:val="Normal"/>
    <w:link w:val="CommentTextChar"/>
    <w:uiPriority w:val="99"/>
    <w:semiHidden/>
    <w:rsid w:val="00AF5D62"/>
  </w:style>
  <w:style w:type="paragraph" w:styleId="CommentSubject">
    <w:name w:val="annotation subject"/>
    <w:basedOn w:val="CommentText"/>
    <w:next w:val="CommentText"/>
    <w:semiHidden/>
    <w:rsid w:val="00AF5D62"/>
    <w:rPr>
      <w:b/>
      <w:bCs/>
    </w:rPr>
  </w:style>
  <w:style w:type="paragraph" w:styleId="ListParagraph">
    <w:name w:val="List Paragraph"/>
    <w:basedOn w:val="Normal"/>
    <w:uiPriority w:val="34"/>
    <w:qFormat/>
    <w:rsid w:val="00FB1F75"/>
    <w:pPr>
      <w:overflowPunct/>
      <w:autoSpaceDE/>
      <w:autoSpaceDN/>
      <w:adjustRightInd/>
      <w:ind w:left="720"/>
      <w:contextualSpacing/>
      <w:textAlignment w:val="auto"/>
    </w:pPr>
    <w:rPr>
      <w:rFonts w:ascii="Arial" w:hAnsi="Arial"/>
      <w:lang w:eastAsia="en-US" w:bidi="he-IL"/>
    </w:rPr>
  </w:style>
  <w:style w:type="character" w:customStyle="1" w:styleId="ACMABodyTextChar">
    <w:name w:val="ACMA Body Text Char"/>
    <w:basedOn w:val="DefaultParagraphFont"/>
    <w:link w:val="ACMABodyText"/>
    <w:rsid w:val="00DA1434"/>
    <w:rPr>
      <w:snapToGrid w:val="0"/>
      <w:sz w:val="24"/>
      <w:lang w:val="en-AU" w:eastAsia="en-US" w:bidi="ar-SA"/>
    </w:rPr>
  </w:style>
  <w:style w:type="character" w:customStyle="1" w:styleId="CommentTextChar">
    <w:name w:val="Comment Text Char"/>
    <w:basedOn w:val="DefaultParagraphFont"/>
    <w:link w:val="CommentText"/>
    <w:uiPriority w:val="99"/>
    <w:semiHidden/>
    <w:rsid w:val="00EC223A"/>
  </w:style>
  <w:style w:type="character" w:customStyle="1" w:styleId="BodyTextChar">
    <w:name w:val="Body Text Char"/>
    <w:basedOn w:val="DefaultParagraphFont"/>
    <w:link w:val="BodyText"/>
    <w:rsid w:val="003D105C"/>
    <w:rPr>
      <w:sz w:val="24"/>
    </w:rPr>
  </w:style>
  <w:style w:type="paragraph" w:styleId="Revision">
    <w:name w:val="Revision"/>
    <w:hidden/>
    <w:uiPriority w:val="99"/>
    <w:semiHidden/>
    <w:rsid w:val="00D4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infostore.saiglobal.com/stor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tsi.org" TargetMode="External"/><Relationship Id="rId2" Type="http://schemas.openxmlformats.org/officeDocument/2006/relationships/customXml" Target="../customXml/item2.xml"/><Relationship Id="rId16" Type="http://schemas.openxmlformats.org/officeDocument/2006/relationships/hyperlink" Target="http://www.ets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infostore.saiglobal.com/stor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033047a-93aa-421b-8aef-52cbfb63cf36" ContentTypeId="0x01010070E27D6A746B5B48ADF22C2128054D55" PreviousValue="false"/>
</file>

<file path=customXml/item2.xml><?xml version="1.0" encoding="utf-8"?>
<ct:contentTypeSchema xmlns:ct="http://schemas.microsoft.com/office/2006/metadata/contentType" xmlns:ma="http://schemas.microsoft.com/office/2006/metadata/properties/metaAttributes" ct:_="" ma:_="" ma:contentTypeName="Record" ma:contentTypeID="0x01010070E27D6A746B5B48ADF22C2128054D5500AC870C97817B1E48A79198D56D97F3A9" ma:contentTypeVersion="40" ma:contentTypeDescription="A document enhanced so that it is automatically captured by RecordPoint." ma:contentTypeScope="" ma:versionID="bb3915fd95b1be704774360eadf9c30b">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896b9581d9761de3c85179991bf0f8a9"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KNAH4PPFC442-3341-334</_dlc_DocId>
    <_dlc_DocIdUrl xmlns="6db8f3c6-01a1-4322-b043-a3b2a190f7a8">
      <Url>http://collaboration/organisation/Auth/Chair/Auth/_layouts/DocIdRedir.aspx?ID=KNAH4PPFC442-3341-334</Url>
      <Description>KNAH4PPFC442-3341-334</Description>
    </_dlc_DocIdUrl>
    <Record_x0020_Number xmlns="83630db1-6fc2-4dfd-b3fe-d61d34e1440c" xsi:nil="true"/>
    <Legacy_x0020_Record_x0020_Number xmlns="83630db1-6fc2-4dfd-b3fe-d61d34e1440c" xsi:nil="true"/>
    <IconOverlay xmlns="http://schemas.microsoft.com/sharepoint/v4" xsi:nil="true"/>
    <Category xmlns="5e268b55-9e20-462b-aba6-694451a37717">(none)</Category>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E9D2-2F6D-417A-A917-4032F77300A1}">
  <ds:schemaRefs>
    <ds:schemaRef ds:uri="Microsoft.SharePoint.Taxonomy.ContentTypeSync"/>
  </ds:schemaRefs>
</ds:datastoreItem>
</file>

<file path=customXml/itemProps2.xml><?xml version="1.0" encoding="utf-8"?>
<ds:datastoreItem xmlns:ds="http://schemas.openxmlformats.org/officeDocument/2006/customXml" ds:itemID="{88AF05D6-0B71-4FDD-9AD4-224CC7388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325EF-F0AD-4DE5-81C7-FC0ED1154678}">
  <ds:schemaRefs>
    <ds:schemaRef ds:uri="http://schemas.microsoft.com/sharepoint/v3/contenttype/forms"/>
  </ds:schemaRefs>
</ds:datastoreItem>
</file>

<file path=customXml/itemProps4.xml><?xml version="1.0" encoding="utf-8"?>
<ds:datastoreItem xmlns:ds="http://schemas.openxmlformats.org/officeDocument/2006/customXml" ds:itemID="{77D6B903-5542-46AE-A8A3-3DDA88EA6330}">
  <ds:schemaRefs>
    <ds:schemaRef ds:uri="http://schemas.microsoft.com/sharepoint/events"/>
  </ds:schemaRefs>
</ds:datastoreItem>
</file>

<file path=customXml/itemProps5.xml><?xml version="1.0" encoding="utf-8"?>
<ds:datastoreItem xmlns:ds="http://schemas.openxmlformats.org/officeDocument/2006/customXml" ds:itemID="{4E69D039-BCC9-4DEC-A4C3-E5FE8BC7DF46}">
  <ds:schemaRefs>
    <ds:schemaRef ds:uri="http://schemas.microsoft.com/office/2006/metadata/properties"/>
    <ds:schemaRef ds:uri="http://schemas.microsoft.com/office/infopath/2007/PartnerControls"/>
    <ds:schemaRef ds:uri="6db8f3c6-01a1-4322-b043-a3b2a190f7a8"/>
    <ds:schemaRef ds:uri="83630db1-6fc2-4dfd-b3fe-d61d34e1440c"/>
    <ds:schemaRef ds:uri="http://schemas.microsoft.com/sharepoint/v4"/>
    <ds:schemaRef ds:uri="5e268b55-9e20-462b-aba6-694451a37717"/>
  </ds:schemaRefs>
</ds:datastoreItem>
</file>

<file path=customXml/itemProps6.xml><?xml version="1.0" encoding="utf-8"?>
<ds:datastoreItem xmlns:ds="http://schemas.openxmlformats.org/officeDocument/2006/customXml" ds:itemID="{37318C93-CA44-47F9-9B8B-1BBC2B4C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2821</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Communications Media Authority</Company>
  <LinksUpToDate>false</LinksUpToDate>
  <CharactersWithSpaces>18868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dveitch</dc:creator>
  <cp:lastModifiedBy>Patrick Belton</cp:lastModifiedBy>
  <cp:revision>3</cp:revision>
  <cp:lastPrinted>2009-05-13T22:53:00Z</cp:lastPrinted>
  <dcterms:created xsi:type="dcterms:W3CDTF">2016-04-27T00:41:00Z</dcterms:created>
  <dcterms:modified xsi:type="dcterms:W3CDTF">2016-04-27T00:41:00Z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503b11f4-1dbf-468e-9ed4-2d0dc61a7eec</vt:lpwstr>
  </property>
  <property fmtid="{D5CDD505-2E9C-101B-9397-08002B2CF9AE}" pid="3" name="ContentTypeId">
    <vt:lpwstr>0x01010070E27D6A746B5B48ADF22C2128054D5500AC870C97817B1E48A79198D56D97F3A9</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{1798dda3-cac5-409b-ba9e-ce2495b2d0f3}</vt:lpwstr>
  </property>
  <property fmtid="{D5CDD505-2E9C-101B-9397-08002B2CF9AE}" pid="7" name="RecordPoint_RecordFormat">
    <vt:lpwstr/>
  </property>
  <property fmtid="{D5CDD505-2E9C-101B-9397-08002B2CF9AE}" pid="8" name="RecordPoint_ActiveItemUniqueId">
    <vt:lpwstr>{503b11f4-1dbf-468e-9ed4-2d0dc61a7eec}</vt:lpwstr>
  </property>
  <property fmtid="{D5CDD505-2E9C-101B-9397-08002B2CF9AE}" pid="9" name="RecordPoint_SubmissionCompleted">
    <vt:lpwstr/>
  </property>
  <property fmtid="{D5CDD505-2E9C-101B-9397-08002B2CF9AE}" pid="10" name="RecordPoint_ActiveItemMoved">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