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81642" w14:textId="77777777" w:rsidR="002436BD" w:rsidRPr="002C6D26" w:rsidRDefault="002436BD" w:rsidP="004303EC">
      <w:pPr>
        <w:pStyle w:val="Heading"/>
        <w:spacing w:after="240"/>
        <w:jc w:val="center"/>
        <w:rPr>
          <w:rFonts w:ascii="Times New Roman" w:hAnsi="Times New Roman"/>
          <w:sz w:val="24"/>
          <w:szCs w:val="24"/>
        </w:rPr>
      </w:pPr>
      <w:bookmarkStart w:id="0" w:name="_GoBack"/>
      <w:bookmarkEnd w:id="0"/>
      <w:r w:rsidRPr="002C6D26">
        <w:rPr>
          <w:rFonts w:ascii="Times New Roman" w:hAnsi="Times New Roman"/>
          <w:sz w:val="24"/>
          <w:szCs w:val="24"/>
        </w:rPr>
        <w:t xml:space="preserve">Banking (prudential standard) determination No. </w:t>
      </w:r>
      <w:r w:rsidR="00EE042A">
        <w:rPr>
          <w:rFonts w:ascii="Times New Roman" w:hAnsi="Times New Roman"/>
          <w:sz w:val="24"/>
          <w:szCs w:val="24"/>
        </w:rPr>
        <w:t>1</w:t>
      </w:r>
      <w:r w:rsidR="005E520A">
        <w:rPr>
          <w:rFonts w:ascii="Times New Roman" w:hAnsi="Times New Roman"/>
          <w:sz w:val="24"/>
          <w:szCs w:val="24"/>
        </w:rPr>
        <w:t xml:space="preserve"> of 2016</w:t>
      </w:r>
    </w:p>
    <w:p w14:paraId="5C6AC927" w14:textId="77777777" w:rsidR="002436BD" w:rsidRPr="002C6D26" w:rsidRDefault="002436BD" w:rsidP="004303EC">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07B3C70C" w14:textId="77777777" w:rsidR="002436BD" w:rsidRPr="002C6D26" w:rsidRDefault="002436BD" w:rsidP="004303EC">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16E7BDBA" w14:textId="77777777" w:rsidR="002436BD" w:rsidRPr="002C6D26" w:rsidRDefault="002436BD" w:rsidP="004303EC">
      <w:pPr>
        <w:pStyle w:val="Heading"/>
        <w:tabs>
          <w:tab w:val="left" w:pos="360"/>
        </w:tabs>
        <w:spacing w:after="240"/>
        <w:jc w:val="center"/>
        <w:rPr>
          <w:rFonts w:ascii="Times New Roman" w:hAnsi="Times New Roman"/>
          <w:b w:val="0"/>
          <w:sz w:val="24"/>
          <w:szCs w:val="24"/>
        </w:rPr>
      </w:pPr>
      <w:r w:rsidRPr="002C6D26">
        <w:rPr>
          <w:rFonts w:ascii="Times New Roman" w:hAnsi="Times New Roman"/>
          <w:b w:val="0"/>
          <w:i/>
          <w:sz w:val="24"/>
          <w:szCs w:val="24"/>
        </w:rPr>
        <w:t>Banking Act 1959</w:t>
      </w:r>
      <w:r w:rsidRPr="002C6D26">
        <w:rPr>
          <w:rFonts w:ascii="Times New Roman" w:hAnsi="Times New Roman"/>
          <w:b w:val="0"/>
          <w:sz w:val="24"/>
          <w:szCs w:val="24"/>
        </w:rPr>
        <w:t xml:space="preserve">, </w:t>
      </w:r>
      <w:r w:rsidRPr="002C6D26">
        <w:rPr>
          <w:rFonts w:ascii="Times New Roman" w:hAnsi="Times New Roman"/>
          <w:b w:val="0"/>
          <w:color w:val="000000"/>
          <w:sz w:val="24"/>
          <w:szCs w:val="24"/>
        </w:rPr>
        <w:t>section 11AF</w:t>
      </w:r>
    </w:p>
    <w:p w14:paraId="53663C0C" w14:textId="77777777" w:rsidR="002436BD" w:rsidRPr="002C6D26" w:rsidRDefault="002436BD" w:rsidP="00893B1F">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11AF(1) of the </w:t>
      </w:r>
      <w:r w:rsidRPr="002C6D26">
        <w:rPr>
          <w:rFonts w:ascii="Times New Roman" w:hAnsi="Times New Roman"/>
          <w:i/>
          <w:sz w:val="24"/>
          <w:szCs w:val="24"/>
        </w:rPr>
        <w:t>Banking Act 1959</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has the power to determine standards </w:t>
      </w:r>
      <w:r w:rsidRPr="007428D4">
        <w:rPr>
          <w:rFonts w:ascii="Times New Roman" w:hAnsi="Times New Roman"/>
          <w:sz w:val="24"/>
          <w:szCs w:val="24"/>
        </w:rPr>
        <w:t>(prudential standards),</w:t>
      </w:r>
      <w:r w:rsidRPr="002C6D26">
        <w:rPr>
          <w:rFonts w:ascii="Times New Roman" w:hAnsi="Times New Roman"/>
          <w:sz w:val="24"/>
          <w:szCs w:val="24"/>
        </w:rPr>
        <w:t xml:space="preserve"> in writing, in relation to prudential matters to be complied with by authorised deposit-taking institutions </w:t>
      </w:r>
      <w:r w:rsidRPr="007428D4">
        <w:rPr>
          <w:rFonts w:ascii="Times New Roman" w:hAnsi="Times New Roman"/>
          <w:sz w:val="24"/>
          <w:szCs w:val="24"/>
        </w:rPr>
        <w:t>(ADIs)</w:t>
      </w:r>
      <w:r w:rsidRPr="002C6D26">
        <w:rPr>
          <w:rFonts w:ascii="Times New Roman" w:hAnsi="Times New Roman"/>
          <w:sz w:val="24"/>
          <w:szCs w:val="24"/>
        </w:rPr>
        <w:t xml:space="preserve"> and authorised non-operating holding companies </w:t>
      </w:r>
      <w:r w:rsidRPr="007428D4">
        <w:rPr>
          <w:rFonts w:ascii="Times New Roman" w:hAnsi="Times New Roman"/>
          <w:sz w:val="24"/>
          <w:szCs w:val="24"/>
        </w:rPr>
        <w:t>(authorised NOHCs).</w:t>
      </w:r>
      <w:r w:rsidR="00F30C81" w:rsidRPr="00F30C81">
        <w:rPr>
          <w:rFonts w:ascii="Times New Roman" w:hAnsi="Times New Roman"/>
          <w:sz w:val="24"/>
          <w:szCs w:val="24"/>
        </w:rPr>
        <w:t xml:space="preserve"> Under subsection 11AF(3) of the Act, APRA may, in writing, vary or revoke a prudential standard.</w:t>
      </w:r>
    </w:p>
    <w:p w14:paraId="141A6A09" w14:textId="0CAD2BD4" w:rsidR="00246723" w:rsidRDefault="002436BD" w:rsidP="00893B1F">
      <w:pPr>
        <w:widowControl w:val="0"/>
        <w:spacing w:after="240"/>
        <w:jc w:val="both"/>
        <w:rPr>
          <w:rFonts w:ascii="Times New Roman" w:hAnsi="Times New Roman"/>
          <w:sz w:val="24"/>
          <w:szCs w:val="24"/>
        </w:rPr>
      </w:pPr>
      <w:r>
        <w:rPr>
          <w:rFonts w:ascii="Times New Roman" w:hAnsi="Times New Roman"/>
          <w:sz w:val="24"/>
          <w:szCs w:val="24"/>
        </w:rPr>
        <w:t xml:space="preserve">On </w:t>
      </w:r>
      <w:r w:rsidR="00893B1F">
        <w:rPr>
          <w:rFonts w:ascii="Times New Roman" w:hAnsi="Times New Roman"/>
          <w:sz w:val="24"/>
          <w:szCs w:val="24"/>
        </w:rPr>
        <w:t>28 April 2016</w:t>
      </w:r>
      <w:r w:rsidRPr="00893B1F">
        <w:rPr>
          <w:rFonts w:ascii="Times New Roman" w:hAnsi="Times New Roman"/>
          <w:sz w:val="24"/>
          <w:szCs w:val="24"/>
        </w:rPr>
        <w:t>,</w:t>
      </w:r>
      <w:r>
        <w:rPr>
          <w:rFonts w:ascii="Times New Roman" w:hAnsi="Times New Roman"/>
          <w:sz w:val="24"/>
          <w:szCs w:val="24"/>
        </w:rPr>
        <w:t xml:space="preserve"> APRA made </w:t>
      </w:r>
      <w:r w:rsidRPr="002C6D26">
        <w:rPr>
          <w:rFonts w:ascii="Times New Roman" w:hAnsi="Times New Roman"/>
          <w:sz w:val="24"/>
          <w:szCs w:val="24"/>
        </w:rPr>
        <w:t xml:space="preserve">Banking (prudential standard) determination No. </w:t>
      </w:r>
      <w:r w:rsidR="00EE042A">
        <w:rPr>
          <w:rFonts w:ascii="Times New Roman" w:hAnsi="Times New Roman"/>
          <w:sz w:val="24"/>
          <w:szCs w:val="24"/>
        </w:rPr>
        <w:t>1</w:t>
      </w:r>
      <w:r w:rsidR="005E520A">
        <w:rPr>
          <w:rFonts w:ascii="Times New Roman" w:hAnsi="Times New Roman"/>
          <w:sz w:val="24"/>
          <w:szCs w:val="24"/>
        </w:rPr>
        <w:t xml:space="preserve"> of 2016</w:t>
      </w:r>
      <w:r w:rsidRPr="002C6D26">
        <w:rPr>
          <w:rFonts w:ascii="Times New Roman" w:hAnsi="Times New Roman"/>
          <w:sz w:val="24"/>
          <w:szCs w:val="24"/>
        </w:rPr>
        <w:t xml:space="preserve"> </w:t>
      </w:r>
      <w:r>
        <w:rPr>
          <w:rFonts w:ascii="Times New Roman" w:hAnsi="Times New Roman"/>
          <w:sz w:val="24"/>
          <w:szCs w:val="24"/>
        </w:rPr>
        <w:t xml:space="preserve">(the instrument) which </w:t>
      </w:r>
      <w:r w:rsidR="009927BF">
        <w:rPr>
          <w:rFonts w:ascii="Times New Roman" w:hAnsi="Times New Roman"/>
          <w:sz w:val="24"/>
          <w:szCs w:val="24"/>
        </w:rPr>
        <w:t xml:space="preserve">revokes </w:t>
      </w:r>
      <w:r w:rsidR="0066787D">
        <w:rPr>
          <w:rFonts w:ascii="Times New Roman" w:hAnsi="Times New Roman"/>
          <w:sz w:val="24"/>
          <w:szCs w:val="24"/>
        </w:rPr>
        <w:t xml:space="preserve">Determination of Prudential Standard APS 240 Risk Management of Credit Card Activities, including </w:t>
      </w:r>
      <w:r w:rsidR="005E520A">
        <w:rPr>
          <w:rFonts w:ascii="Times New Roman" w:hAnsi="Times New Roman"/>
          <w:i/>
          <w:sz w:val="24"/>
          <w:szCs w:val="24"/>
        </w:rPr>
        <w:t>Prudential Standard APS 240</w:t>
      </w:r>
      <w:r w:rsidR="0066787D">
        <w:rPr>
          <w:rFonts w:ascii="Times New Roman" w:hAnsi="Times New Roman"/>
          <w:i/>
          <w:sz w:val="24"/>
          <w:szCs w:val="24"/>
        </w:rPr>
        <w:t xml:space="preserve"> –</w:t>
      </w:r>
      <w:r w:rsidR="005E520A">
        <w:rPr>
          <w:rFonts w:ascii="Times New Roman" w:hAnsi="Times New Roman"/>
          <w:i/>
          <w:sz w:val="24"/>
          <w:szCs w:val="24"/>
        </w:rPr>
        <w:t xml:space="preserve"> Risk Management of Credit Card Activities</w:t>
      </w:r>
      <w:r w:rsidR="007C79D3">
        <w:rPr>
          <w:rFonts w:ascii="Times New Roman" w:hAnsi="Times New Roman"/>
          <w:i/>
          <w:sz w:val="24"/>
          <w:szCs w:val="24"/>
        </w:rPr>
        <w:t xml:space="preserve"> </w:t>
      </w:r>
      <w:r w:rsidR="007C79D3">
        <w:rPr>
          <w:rFonts w:ascii="Times New Roman" w:hAnsi="Times New Roman"/>
          <w:sz w:val="24"/>
          <w:szCs w:val="24"/>
        </w:rPr>
        <w:t>(APS 240)</w:t>
      </w:r>
      <w:r w:rsidR="005E520A">
        <w:rPr>
          <w:rFonts w:ascii="Times New Roman" w:hAnsi="Times New Roman"/>
          <w:sz w:val="24"/>
          <w:szCs w:val="24"/>
        </w:rPr>
        <w:t>.</w:t>
      </w:r>
      <w:r w:rsidR="00003D3A" w:rsidRPr="00003D3A">
        <w:t xml:space="preserve"> </w:t>
      </w:r>
    </w:p>
    <w:p w14:paraId="54628E4B" w14:textId="5969672D" w:rsidR="002436BD" w:rsidRDefault="00246723" w:rsidP="00893B1F">
      <w:pPr>
        <w:widowControl w:val="0"/>
        <w:spacing w:after="240"/>
        <w:jc w:val="both"/>
        <w:rPr>
          <w:rFonts w:ascii="Times New Roman" w:hAnsi="Times New Roman"/>
          <w:sz w:val="24"/>
          <w:szCs w:val="24"/>
        </w:rPr>
      </w:pPr>
      <w:r>
        <w:rPr>
          <w:rFonts w:ascii="Times New Roman" w:hAnsi="Times New Roman"/>
          <w:sz w:val="24"/>
          <w:szCs w:val="24"/>
        </w:rPr>
        <w:t xml:space="preserve">The instrument </w:t>
      </w:r>
      <w:r w:rsidR="00033887">
        <w:rPr>
          <w:rFonts w:ascii="Times New Roman" w:hAnsi="Times New Roman"/>
          <w:sz w:val="24"/>
          <w:szCs w:val="24"/>
        </w:rPr>
        <w:t xml:space="preserve">takes effect upon registration </w:t>
      </w:r>
      <w:r w:rsidR="00423839">
        <w:rPr>
          <w:rFonts w:ascii="Times New Roman" w:hAnsi="Times New Roman"/>
          <w:sz w:val="24"/>
          <w:szCs w:val="24"/>
        </w:rPr>
        <w:t>on the Federal Register of Legislation.</w:t>
      </w:r>
      <w:r w:rsidR="002436BD" w:rsidRPr="002C6D26">
        <w:rPr>
          <w:rFonts w:ascii="Times New Roman" w:hAnsi="Times New Roman"/>
          <w:sz w:val="24"/>
          <w:szCs w:val="24"/>
        </w:rPr>
        <w:t xml:space="preserve"> </w:t>
      </w:r>
    </w:p>
    <w:p w14:paraId="63F9C7D5" w14:textId="77777777" w:rsidR="002436BD" w:rsidRDefault="002436BD" w:rsidP="00893B1F">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00742880" w14:textId="3BA805E2" w:rsidR="00423839" w:rsidRPr="00D768D2" w:rsidRDefault="00423839" w:rsidP="00893B1F">
      <w:pPr>
        <w:pStyle w:val="Heading"/>
        <w:keepNext/>
        <w:spacing w:after="240"/>
        <w:rPr>
          <w:rFonts w:ascii="Times New Roman" w:hAnsi="Times New Roman"/>
          <w:b w:val="0"/>
          <w:sz w:val="24"/>
          <w:szCs w:val="24"/>
        </w:rPr>
      </w:pPr>
      <w:r w:rsidRPr="00D768D2">
        <w:rPr>
          <w:rFonts w:ascii="Times New Roman" w:hAnsi="Times New Roman"/>
          <w:b w:val="0"/>
          <w:sz w:val="24"/>
          <w:szCs w:val="24"/>
        </w:rPr>
        <w:t>Specialist credit card institutions (SCCIs) were</w:t>
      </w:r>
      <w:r w:rsidR="007C79D3">
        <w:rPr>
          <w:rFonts w:ascii="Times New Roman" w:hAnsi="Times New Roman"/>
          <w:b w:val="0"/>
          <w:sz w:val="24"/>
          <w:szCs w:val="24"/>
        </w:rPr>
        <w:t xml:space="preserve"> a special class of ADI </w:t>
      </w:r>
      <w:r w:rsidRPr="00D768D2">
        <w:rPr>
          <w:rFonts w:ascii="Times New Roman" w:hAnsi="Times New Roman"/>
          <w:b w:val="0"/>
          <w:sz w:val="24"/>
          <w:szCs w:val="24"/>
        </w:rPr>
        <w:t xml:space="preserve">that were authorised to carry on credit card issuing and/or acquiring, but no other banking business. Under Regulation 4 of the </w:t>
      </w:r>
      <w:r w:rsidRPr="00D768D2">
        <w:rPr>
          <w:rFonts w:ascii="Times New Roman" w:hAnsi="Times New Roman"/>
          <w:b w:val="0"/>
          <w:i/>
          <w:sz w:val="24"/>
          <w:szCs w:val="24"/>
        </w:rPr>
        <w:t xml:space="preserve">Banking Regulations 1966 </w:t>
      </w:r>
      <w:r w:rsidRPr="00D768D2">
        <w:rPr>
          <w:rFonts w:ascii="Times New Roman" w:hAnsi="Times New Roman"/>
          <w:b w:val="0"/>
          <w:sz w:val="24"/>
          <w:szCs w:val="24"/>
        </w:rPr>
        <w:t xml:space="preserve">(the Banking Regulations), the activities of credit card issuing and acquiring were ‘banking business’ for the purposes of the </w:t>
      </w:r>
      <w:r w:rsidRPr="00D768D2">
        <w:rPr>
          <w:rFonts w:ascii="Times New Roman" w:hAnsi="Times New Roman"/>
          <w:b w:val="0"/>
          <w:i/>
          <w:sz w:val="24"/>
          <w:szCs w:val="24"/>
        </w:rPr>
        <w:t xml:space="preserve">Banking Act 1959 </w:t>
      </w:r>
      <w:r w:rsidRPr="00D768D2">
        <w:rPr>
          <w:rFonts w:ascii="Times New Roman" w:hAnsi="Times New Roman"/>
          <w:b w:val="0"/>
          <w:sz w:val="24"/>
          <w:szCs w:val="24"/>
        </w:rPr>
        <w:t xml:space="preserve">(the Banking Act), if performed by a participant in a credit card scheme that was designated </w:t>
      </w:r>
      <w:r w:rsidRPr="00B43879">
        <w:rPr>
          <w:rFonts w:ascii="Times New Roman" w:hAnsi="Times New Roman"/>
          <w:b w:val="0"/>
          <w:sz w:val="24"/>
          <w:szCs w:val="24"/>
        </w:rPr>
        <w:t>as a payment system</w:t>
      </w:r>
      <w:r w:rsidRPr="00D768D2">
        <w:rPr>
          <w:rFonts w:ascii="Times New Roman" w:hAnsi="Times New Roman"/>
          <w:b w:val="0"/>
          <w:sz w:val="24"/>
          <w:szCs w:val="24"/>
        </w:rPr>
        <w:t xml:space="preserve"> under s 11 of the </w:t>
      </w:r>
      <w:r w:rsidRPr="00D768D2">
        <w:rPr>
          <w:rFonts w:ascii="Times New Roman" w:hAnsi="Times New Roman"/>
          <w:b w:val="0"/>
          <w:i/>
          <w:sz w:val="24"/>
          <w:szCs w:val="24"/>
        </w:rPr>
        <w:t>Payments Systems (Regulation) Act 1998</w:t>
      </w:r>
      <w:r w:rsidRPr="00D768D2">
        <w:rPr>
          <w:rFonts w:ascii="Times New Roman" w:hAnsi="Times New Roman"/>
          <w:b w:val="0"/>
          <w:sz w:val="24"/>
          <w:szCs w:val="24"/>
        </w:rPr>
        <w:t xml:space="preserve"> on 11 April 2001. SCCIs were supervised by APRA and subject to broadly similar authorisation and prudential requirements as other ADIs. </w:t>
      </w:r>
    </w:p>
    <w:p w14:paraId="03425C1E" w14:textId="30026861" w:rsidR="00423839" w:rsidRPr="00D768D2" w:rsidRDefault="00423839" w:rsidP="00893B1F">
      <w:pPr>
        <w:pStyle w:val="Heading"/>
        <w:keepNext/>
        <w:spacing w:after="240"/>
        <w:rPr>
          <w:rFonts w:ascii="Times New Roman" w:hAnsi="Times New Roman"/>
          <w:b w:val="0"/>
          <w:sz w:val="24"/>
          <w:szCs w:val="24"/>
        </w:rPr>
      </w:pPr>
      <w:r w:rsidRPr="00D768D2">
        <w:rPr>
          <w:rFonts w:ascii="Times New Roman" w:hAnsi="Times New Roman"/>
          <w:b w:val="0"/>
          <w:sz w:val="24"/>
          <w:szCs w:val="24"/>
        </w:rPr>
        <w:t xml:space="preserve">In 2003, APRA finalised its regulatory arrangements for authorising and supervising SCCIs. APRA determined APS 240 which required ADIs to implement prudent measures to monitor and control the risks associated with their credit card activities. </w:t>
      </w:r>
    </w:p>
    <w:p w14:paraId="23D4A56C" w14:textId="77777777" w:rsidR="00423839" w:rsidRPr="00470375" w:rsidRDefault="00423839" w:rsidP="00893B1F">
      <w:pPr>
        <w:pStyle w:val="Heading"/>
        <w:keepNext/>
        <w:spacing w:after="240"/>
        <w:rPr>
          <w:rFonts w:ascii="Times New Roman" w:hAnsi="Times New Roman"/>
          <w:b w:val="0"/>
          <w:sz w:val="24"/>
          <w:szCs w:val="24"/>
        </w:rPr>
      </w:pPr>
      <w:r w:rsidRPr="00D768D2">
        <w:rPr>
          <w:rFonts w:ascii="Times New Roman" w:hAnsi="Times New Roman"/>
          <w:b w:val="0"/>
          <w:sz w:val="24"/>
          <w:szCs w:val="24"/>
        </w:rPr>
        <w:t>Following the Payment Card Access Review in 2013-14, the Australian Government agreed to open up access to the approved card schemes by removing the requirement for issuers and acquirers to be ADIs. As part of these reforms, the SCCI framework was abolished from 1 January 2015 through the repeal of Regulation 4 of the Banking Regulations</w:t>
      </w:r>
      <w:r w:rsidRPr="00D768D2">
        <w:rPr>
          <w:rFonts w:ascii="Times New Roman" w:hAnsi="Times New Roman"/>
          <w:b w:val="0"/>
          <w:i/>
          <w:sz w:val="24"/>
          <w:szCs w:val="24"/>
        </w:rPr>
        <w:t xml:space="preserve"> </w:t>
      </w:r>
      <w:r w:rsidRPr="00D768D2">
        <w:rPr>
          <w:rFonts w:ascii="Times New Roman" w:hAnsi="Times New Roman"/>
          <w:b w:val="0"/>
          <w:sz w:val="24"/>
          <w:szCs w:val="24"/>
        </w:rPr>
        <w:t xml:space="preserve">by the </w:t>
      </w:r>
      <w:r w:rsidRPr="00D768D2">
        <w:rPr>
          <w:rFonts w:ascii="Times New Roman" w:hAnsi="Times New Roman"/>
          <w:b w:val="0"/>
          <w:i/>
          <w:sz w:val="24"/>
          <w:szCs w:val="24"/>
        </w:rPr>
        <w:t>Banking Amendment (Credit Card) Regulation 2014</w:t>
      </w:r>
      <w:r w:rsidRPr="00D768D2">
        <w:rPr>
          <w:rFonts w:ascii="Times New Roman" w:hAnsi="Times New Roman"/>
          <w:b w:val="0"/>
          <w:sz w:val="24"/>
          <w:szCs w:val="24"/>
        </w:rPr>
        <w:t xml:space="preserve">.  </w:t>
      </w:r>
    </w:p>
    <w:p w14:paraId="2FDAD9E4" w14:textId="77777777" w:rsidR="002436BD" w:rsidRDefault="002436BD" w:rsidP="00893B1F">
      <w:pPr>
        <w:pStyle w:val="Heading"/>
        <w:keepNext/>
        <w:numPr>
          <w:ilvl w:val="0"/>
          <w:numId w:val="2"/>
        </w:numPr>
        <w:spacing w:after="240"/>
        <w:ind w:left="0" w:firstLine="0"/>
        <w:outlineLvl w:val="0"/>
        <w:rPr>
          <w:rFonts w:ascii="Times New Roman" w:hAnsi="Times New Roman"/>
          <w:sz w:val="24"/>
          <w:szCs w:val="24"/>
        </w:rPr>
      </w:pPr>
      <w:bookmarkStart w:id="4" w:name="bkBackground"/>
      <w:bookmarkEnd w:id="4"/>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79E5CD1D" w14:textId="77777777" w:rsidR="00423839" w:rsidRPr="00D768D2" w:rsidRDefault="00423839" w:rsidP="00893B1F">
      <w:pPr>
        <w:spacing w:after="240"/>
        <w:jc w:val="both"/>
        <w:rPr>
          <w:rFonts w:ascii="Times New Roman" w:hAnsi="Times New Roman"/>
          <w:sz w:val="24"/>
          <w:szCs w:val="24"/>
        </w:rPr>
      </w:pPr>
      <w:bookmarkStart w:id="5" w:name="bkPurpose"/>
      <w:bookmarkEnd w:id="5"/>
      <w:r w:rsidRPr="00D768D2">
        <w:rPr>
          <w:rFonts w:ascii="Times New Roman" w:hAnsi="Times New Roman"/>
          <w:sz w:val="24"/>
          <w:szCs w:val="24"/>
        </w:rPr>
        <w:t>APS 240 was made to ensure that ADIs implemented</w:t>
      </w:r>
      <w:r w:rsidR="0019643E">
        <w:rPr>
          <w:rFonts w:ascii="Times New Roman" w:hAnsi="Times New Roman"/>
          <w:sz w:val="24"/>
          <w:szCs w:val="24"/>
        </w:rPr>
        <w:t xml:space="preserve"> prudent</w:t>
      </w:r>
      <w:r w:rsidRPr="00D768D2">
        <w:rPr>
          <w:rFonts w:ascii="Times New Roman" w:hAnsi="Times New Roman"/>
          <w:sz w:val="24"/>
          <w:szCs w:val="24"/>
        </w:rPr>
        <w:t xml:space="preserve"> measures to monitor and control the risks associated with their credit card activities. It contained granular risk management provisions that sought to address the concentration of risks that arose as a result of operating a single business line. </w:t>
      </w:r>
    </w:p>
    <w:p w14:paraId="7FFACC74" w14:textId="77777777" w:rsidR="00423839" w:rsidRPr="00D768D2" w:rsidRDefault="00423839" w:rsidP="00893B1F">
      <w:pPr>
        <w:spacing w:after="240"/>
        <w:jc w:val="both"/>
        <w:rPr>
          <w:rFonts w:ascii="Times New Roman" w:hAnsi="Times New Roman"/>
          <w:sz w:val="24"/>
          <w:szCs w:val="24"/>
        </w:rPr>
      </w:pPr>
    </w:p>
    <w:p w14:paraId="53826A90" w14:textId="77777777" w:rsidR="00423839" w:rsidRPr="00D768D2" w:rsidRDefault="00423839" w:rsidP="00893B1F">
      <w:pPr>
        <w:spacing w:after="240"/>
        <w:jc w:val="both"/>
        <w:rPr>
          <w:rFonts w:ascii="Times New Roman" w:hAnsi="Times New Roman"/>
          <w:sz w:val="24"/>
          <w:szCs w:val="24"/>
        </w:rPr>
      </w:pPr>
      <w:r w:rsidRPr="00D768D2">
        <w:rPr>
          <w:rFonts w:ascii="Times New Roman" w:hAnsi="Times New Roman"/>
          <w:sz w:val="24"/>
          <w:szCs w:val="24"/>
        </w:rPr>
        <w:lastRenderedPageBreak/>
        <w:t xml:space="preserve">The revocation of APS 240 is premised on the recognition that the standard had become outdated and contained obsolete provisions in its references to SCCIs. The prudential framework has evolved since APS 240 was introduced in 2003, with the requirements for appropriate credit card risk management now replicated within other prudential standards that focus on discrete risk areas (ie, credit, liquidity, operational risks) on a portfolio basis, rather than at the granular product level. This approach ensures the prudential framework more comprehensively addresses appropriate standards of risk management across all areas of an ADI’s business, relative to when APS 240 was introduced. </w:t>
      </w:r>
      <w:r w:rsidR="00C03128">
        <w:rPr>
          <w:rFonts w:ascii="Times New Roman" w:hAnsi="Times New Roman"/>
          <w:sz w:val="24"/>
          <w:szCs w:val="24"/>
        </w:rPr>
        <w:t>The revocation</w:t>
      </w:r>
      <w:r w:rsidRPr="00D768D2">
        <w:rPr>
          <w:rFonts w:ascii="Times New Roman" w:hAnsi="Times New Roman"/>
          <w:sz w:val="24"/>
          <w:szCs w:val="24"/>
        </w:rPr>
        <w:t xml:space="preserve"> of APS 240 does not, therefore, detract from the quality of APRA’s prud</w:t>
      </w:r>
      <w:r w:rsidR="00865B4C">
        <w:rPr>
          <w:rFonts w:ascii="Times New Roman" w:hAnsi="Times New Roman"/>
          <w:sz w:val="24"/>
          <w:szCs w:val="24"/>
        </w:rPr>
        <w:t xml:space="preserve">ential framework. </w:t>
      </w:r>
    </w:p>
    <w:p w14:paraId="019E64B5" w14:textId="77777777" w:rsidR="00423839" w:rsidRPr="00423839" w:rsidRDefault="00423839" w:rsidP="00893B1F">
      <w:pPr>
        <w:spacing w:after="240"/>
        <w:jc w:val="both"/>
        <w:rPr>
          <w:rFonts w:ascii="Times New Roman" w:hAnsi="Times New Roman"/>
          <w:sz w:val="24"/>
          <w:szCs w:val="24"/>
        </w:rPr>
      </w:pPr>
      <w:r w:rsidRPr="00D768D2">
        <w:rPr>
          <w:rFonts w:ascii="Times New Roman" w:hAnsi="Times New Roman"/>
          <w:sz w:val="24"/>
          <w:szCs w:val="24"/>
        </w:rPr>
        <w:t xml:space="preserve">The purpose of the </w:t>
      </w:r>
      <w:r w:rsidR="00663649">
        <w:rPr>
          <w:rFonts w:ascii="Times New Roman" w:hAnsi="Times New Roman"/>
          <w:sz w:val="24"/>
          <w:szCs w:val="24"/>
        </w:rPr>
        <w:t>instrument</w:t>
      </w:r>
      <w:r w:rsidRPr="00D768D2">
        <w:rPr>
          <w:rFonts w:ascii="Times New Roman" w:hAnsi="Times New Roman"/>
          <w:sz w:val="24"/>
          <w:szCs w:val="24"/>
        </w:rPr>
        <w:t xml:space="preserve"> is to revoke APS 240 so as to align APRA’s prudential framework with the Australian Government’s abolition of the SCCI </w:t>
      </w:r>
      <w:r w:rsidR="00865B4C">
        <w:rPr>
          <w:rFonts w:ascii="Times New Roman" w:hAnsi="Times New Roman"/>
          <w:sz w:val="24"/>
          <w:szCs w:val="24"/>
        </w:rPr>
        <w:t>regime</w:t>
      </w:r>
      <w:r w:rsidRPr="00D768D2">
        <w:rPr>
          <w:rFonts w:ascii="Times New Roman" w:hAnsi="Times New Roman"/>
          <w:sz w:val="24"/>
          <w:szCs w:val="24"/>
        </w:rPr>
        <w:t xml:space="preserve">. This does not signify a loosening in the standards of </w:t>
      </w:r>
      <w:r w:rsidR="00865B4C">
        <w:rPr>
          <w:rFonts w:ascii="Times New Roman" w:hAnsi="Times New Roman"/>
          <w:sz w:val="24"/>
          <w:szCs w:val="24"/>
        </w:rPr>
        <w:t>risk management</w:t>
      </w:r>
      <w:r w:rsidRPr="00D768D2">
        <w:rPr>
          <w:rFonts w:ascii="Times New Roman" w:hAnsi="Times New Roman"/>
          <w:sz w:val="24"/>
          <w:szCs w:val="24"/>
        </w:rPr>
        <w:t xml:space="preserve"> expected by APRA of ADIs that engage in credit card activities. </w:t>
      </w:r>
    </w:p>
    <w:p w14:paraId="348A27AE" w14:textId="77777777" w:rsidR="002436BD" w:rsidRDefault="002436BD" w:rsidP="00893B1F">
      <w:pPr>
        <w:pStyle w:val="Heading"/>
        <w:numPr>
          <w:ilvl w:val="0"/>
          <w:numId w:val="2"/>
        </w:numPr>
        <w:spacing w:after="240"/>
        <w:rPr>
          <w:rFonts w:ascii="Times New Roman" w:hAnsi="Times New Roman"/>
          <w:sz w:val="24"/>
          <w:szCs w:val="24"/>
        </w:rPr>
      </w:pPr>
      <w:bookmarkStart w:id="6" w:name="bkoperation"/>
      <w:bookmarkStart w:id="7" w:name="bkConsultationNo"/>
      <w:bookmarkEnd w:id="6"/>
      <w:bookmarkEnd w:id="7"/>
      <w:r w:rsidRPr="002C6D26">
        <w:rPr>
          <w:rFonts w:ascii="Times New Roman" w:hAnsi="Times New Roman"/>
          <w:sz w:val="24"/>
          <w:szCs w:val="24"/>
        </w:rPr>
        <w:t>Consultation</w:t>
      </w:r>
    </w:p>
    <w:p w14:paraId="33211355" w14:textId="6B0BA07B" w:rsidR="00B64B2E" w:rsidRDefault="00663649" w:rsidP="00893B1F">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APRA did not </w:t>
      </w:r>
      <w:r w:rsidR="003A0F0D">
        <w:rPr>
          <w:rFonts w:ascii="Times New Roman" w:hAnsi="Times New Roman"/>
          <w:b w:val="0"/>
          <w:sz w:val="24"/>
          <w:szCs w:val="24"/>
        </w:rPr>
        <w:t>consult on the revocation of APS 240</w:t>
      </w:r>
      <w:r w:rsidR="00F956B4">
        <w:rPr>
          <w:rFonts w:ascii="Times New Roman" w:hAnsi="Times New Roman"/>
          <w:b w:val="0"/>
          <w:sz w:val="24"/>
          <w:szCs w:val="24"/>
        </w:rPr>
        <w:t xml:space="preserve"> as the </w:t>
      </w:r>
      <w:r w:rsidR="00C77FF8">
        <w:rPr>
          <w:rFonts w:ascii="Times New Roman" w:hAnsi="Times New Roman"/>
          <w:b w:val="0"/>
          <w:sz w:val="24"/>
          <w:szCs w:val="24"/>
        </w:rPr>
        <w:t xml:space="preserve">repeal of this standard is a </w:t>
      </w:r>
      <w:r w:rsidR="00F956B4">
        <w:rPr>
          <w:rFonts w:ascii="Times New Roman" w:hAnsi="Times New Roman"/>
          <w:b w:val="0"/>
          <w:sz w:val="24"/>
          <w:szCs w:val="24"/>
        </w:rPr>
        <w:t>minor and machinery</w:t>
      </w:r>
      <w:r w:rsidR="00C77FF8">
        <w:rPr>
          <w:rFonts w:ascii="Times New Roman" w:hAnsi="Times New Roman"/>
          <w:b w:val="0"/>
          <w:sz w:val="24"/>
          <w:szCs w:val="24"/>
        </w:rPr>
        <w:t xml:space="preserve"> change, which </w:t>
      </w:r>
      <w:r w:rsidR="00F956B4">
        <w:rPr>
          <w:rFonts w:ascii="Times New Roman" w:hAnsi="Times New Roman"/>
          <w:b w:val="0"/>
          <w:sz w:val="24"/>
          <w:szCs w:val="24"/>
        </w:rPr>
        <w:t xml:space="preserve">is consequential to the Australian Government’s abolition of the SCCI framework. Prior to the abolition of the SCCI framework, both the Reserve Bank of Australia and the Australian Department of Treasury consulted with industry representatives and other stakeholders during the period 2013-14. </w:t>
      </w:r>
    </w:p>
    <w:p w14:paraId="16EF700C" w14:textId="77777777" w:rsidR="002436BD" w:rsidRDefault="00DF524E" w:rsidP="00893B1F">
      <w:pPr>
        <w:pStyle w:val="Heading"/>
        <w:tabs>
          <w:tab w:val="left" w:pos="360"/>
        </w:tabs>
        <w:spacing w:after="240"/>
        <w:rPr>
          <w:rFonts w:ascii="Times New Roman" w:hAnsi="Times New Roman"/>
          <w:sz w:val="24"/>
          <w:szCs w:val="24"/>
        </w:rPr>
      </w:pPr>
      <w:bookmarkStart w:id="8" w:name="bkConsultation"/>
      <w:bookmarkStart w:id="9" w:name="bkRISNO"/>
      <w:bookmarkStart w:id="10" w:name="bkRIS"/>
      <w:bookmarkEnd w:id="8"/>
      <w:bookmarkEnd w:id="9"/>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bookmarkEnd w:id="10"/>
    <w:p w14:paraId="7AAA351D" w14:textId="77777777" w:rsidR="00885F41" w:rsidRDefault="00885F41" w:rsidP="00893B1F">
      <w:pPr>
        <w:pStyle w:val="Heading"/>
        <w:spacing w:after="240"/>
        <w:rPr>
          <w:rFonts w:ascii="Times New Roman" w:hAnsi="Times New Roman"/>
          <w:b w:val="0"/>
          <w:sz w:val="24"/>
          <w:szCs w:val="24"/>
        </w:rPr>
      </w:pPr>
      <w:r w:rsidRPr="00885F41">
        <w:rPr>
          <w:rFonts w:ascii="Times New Roman" w:hAnsi="Times New Roman"/>
          <w:b w:val="0"/>
          <w:sz w:val="24"/>
          <w:szCs w:val="24"/>
        </w:rPr>
        <w:t>The Office of Best Practice Regulation has advised that a Regulation Impact Statement is not required for this legislative instrument.</w:t>
      </w:r>
    </w:p>
    <w:p w14:paraId="6EC49D4B" w14:textId="77777777" w:rsidR="002436BD" w:rsidRPr="00B3165F" w:rsidRDefault="00DF524E" w:rsidP="00893B1F">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Statement of compatibility prepared in accordance with Part 3 of the Human Rights (Parliamentary Scrutiny) Act 2011</w:t>
      </w:r>
    </w:p>
    <w:p w14:paraId="07D3434E" w14:textId="77777777" w:rsidR="002436BD" w:rsidRDefault="0030506B" w:rsidP="00893B1F">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4EC9C0F5" w14:textId="77777777" w:rsidR="00890E7B" w:rsidRDefault="00890E7B">
      <w:r>
        <w:br w:type="page"/>
      </w:r>
    </w:p>
    <w:p w14:paraId="2CFC44A2" w14:textId="77777777" w:rsidR="00890E7B" w:rsidRPr="00D768D2" w:rsidRDefault="00890E7B" w:rsidP="00890E7B">
      <w:pPr>
        <w:pStyle w:val="Heading"/>
        <w:spacing w:after="120"/>
        <w:rPr>
          <w:rFonts w:ascii="Times New Roman" w:hAnsi="Times New Roman"/>
          <w:b w:val="0"/>
          <w:sz w:val="24"/>
          <w:szCs w:val="24"/>
        </w:rPr>
      </w:pPr>
      <w:r w:rsidRPr="00D768D2">
        <w:rPr>
          <w:rFonts w:ascii="Times New Roman" w:hAnsi="Times New Roman"/>
          <w:sz w:val="24"/>
          <w:szCs w:val="24"/>
        </w:rPr>
        <w:lastRenderedPageBreak/>
        <w:t xml:space="preserve">ATTACHMENT A </w:t>
      </w:r>
    </w:p>
    <w:p w14:paraId="64E1B538" w14:textId="77777777" w:rsidR="00890E7B" w:rsidRPr="00D768D2" w:rsidRDefault="00890E7B" w:rsidP="00890E7B">
      <w:pPr>
        <w:autoSpaceDE w:val="0"/>
        <w:autoSpaceDN w:val="0"/>
        <w:adjustRightInd w:val="0"/>
        <w:spacing w:after="240"/>
        <w:jc w:val="center"/>
        <w:rPr>
          <w:rFonts w:ascii="Times New Roman" w:hAnsi="Times New Roman"/>
          <w:b/>
          <w:sz w:val="24"/>
          <w:szCs w:val="24"/>
        </w:rPr>
      </w:pPr>
      <w:r w:rsidRPr="00D768D2">
        <w:rPr>
          <w:rFonts w:ascii="Times New Roman" w:hAnsi="Times New Roman"/>
          <w:sz w:val="24"/>
          <w:szCs w:val="24"/>
        </w:rPr>
        <w:t xml:space="preserve"> </w:t>
      </w:r>
      <w:r w:rsidRPr="00D768D2">
        <w:rPr>
          <w:rFonts w:ascii="Times New Roman" w:hAnsi="Times New Roman"/>
          <w:b/>
          <w:sz w:val="24"/>
          <w:szCs w:val="24"/>
        </w:rPr>
        <w:t>Statement of Compatibility with Human Rights</w:t>
      </w:r>
    </w:p>
    <w:p w14:paraId="41F2124A" w14:textId="77777777" w:rsidR="00890E7B" w:rsidRPr="00D768D2" w:rsidRDefault="00890E7B" w:rsidP="00890E7B">
      <w:pPr>
        <w:autoSpaceDE w:val="0"/>
        <w:autoSpaceDN w:val="0"/>
        <w:adjustRightInd w:val="0"/>
        <w:spacing w:after="240"/>
        <w:jc w:val="center"/>
        <w:rPr>
          <w:rFonts w:ascii="Times New Roman" w:hAnsi="Times New Roman"/>
          <w:i/>
          <w:sz w:val="24"/>
          <w:szCs w:val="24"/>
        </w:rPr>
      </w:pPr>
      <w:r w:rsidRPr="00D768D2">
        <w:rPr>
          <w:rFonts w:ascii="Times New Roman" w:hAnsi="Times New Roman"/>
          <w:i/>
          <w:sz w:val="24"/>
          <w:szCs w:val="24"/>
        </w:rPr>
        <w:t>Prepared in accordance with Part 3 of the Human Rights (Parliamentary Scrutiny) Act 2011</w:t>
      </w:r>
    </w:p>
    <w:p w14:paraId="7EB47EC4" w14:textId="77777777" w:rsidR="00890E7B" w:rsidRPr="00D768D2" w:rsidRDefault="00890E7B" w:rsidP="00890E7B">
      <w:pPr>
        <w:pStyle w:val="Heading"/>
        <w:spacing w:before="120" w:after="240"/>
        <w:jc w:val="center"/>
        <w:rPr>
          <w:rFonts w:ascii="Times New Roman" w:hAnsi="Times New Roman"/>
          <w:sz w:val="24"/>
          <w:szCs w:val="24"/>
        </w:rPr>
      </w:pPr>
      <w:r w:rsidRPr="00D768D2">
        <w:rPr>
          <w:rFonts w:ascii="Times New Roman" w:hAnsi="Times New Roman"/>
          <w:sz w:val="24"/>
          <w:szCs w:val="24"/>
        </w:rPr>
        <w:t xml:space="preserve">Banking (prudential standard) determination </w:t>
      </w:r>
      <w:r w:rsidR="00EE042A" w:rsidRPr="005A6231">
        <w:rPr>
          <w:rFonts w:ascii="Times New Roman" w:hAnsi="Times New Roman"/>
          <w:sz w:val="24"/>
          <w:szCs w:val="24"/>
        </w:rPr>
        <w:t xml:space="preserve">No. </w:t>
      </w:r>
      <w:r w:rsidR="00EE042A">
        <w:rPr>
          <w:rFonts w:ascii="Times New Roman" w:hAnsi="Times New Roman"/>
          <w:sz w:val="24"/>
          <w:szCs w:val="24"/>
        </w:rPr>
        <w:t>1</w:t>
      </w:r>
      <w:r w:rsidRPr="00D768D2">
        <w:rPr>
          <w:rFonts w:ascii="Times New Roman" w:hAnsi="Times New Roman"/>
          <w:sz w:val="24"/>
          <w:szCs w:val="24"/>
        </w:rPr>
        <w:t xml:space="preserve"> of 2016 </w:t>
      </w:r>
    </w:p>
    <w:p w14:paraId="6D7015E5" w14:textId="77777777" w:rsidR="00890E7B" w:rsidRPr="00D768D2" w:rsidRDefault="00890E7B" w:rsidP="00893B1F">
      <w:pPr>
        <w:pStyle w:val="BodyText"/>
        <w:spacing w:after="240"/>
        <w:jc w:val="both"/>
        <w:rPr>
          <w:rFonts w:ascii="Times New Roman" w:hAnsi="Times New Roman"/>
          <w:i/>
          <w:sz w:val="24"/>
          <w:szCs w:val="24"/>
        </w:rPr>
      </w:pPr>
      <w:r w:rsidRPr="00D768D2">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D768D2">
        <w:rPr>
          <w:rFonts w:ascii="Times New Roman" w:hAnsi="Times New Roman"/>
          <w:i/>
          <w:sz w:val="24"/>
          <w:szCs w:val="24"/>
        </w:rPr>
        <w:t>Human Rights (Parliamentary Scrutiny) Act 2011</w:t>
      </w:r>
      <w:r w:rsidRPr="00D768D2">
        <w:rPr>
          <w:rFonts w:ascii="Times New Roman" w:hAnsi="Times New Roman"/>
          <w:sz w:val="24"/>
          <w:szCs w:val="24"/>
        </w:rPr>
        <w:t xml:space="preserve"> (HRPS Act)</w:t>
      </w:r>
      <w:r w:rsidRPr="00D768D2">
        <w:rPr>
          <w:rFonts w:ascii="Times New Roman" w:hAnsi="Times New Roman"/>
          <w:i/>
          <w:sz w:val="24"/>
          <w:szCs w:val="24"/>
        </w:rPr>
        <w:t>.</w:t>
      </w:r>
    </w:p>
    <w:p w14:paraId="0004D33A" w14:textId="77777777" w:rsidR="00890E7B" w:rsidRPr="00D768D2" w:rsidRDefault="00890E7B" w:rsidP="00893B1F">
      <w:pPr>
        <w:pStyle w:val="BodyText"/>
        <w:keepNext/>
        <w:spacing w:after="240"/>
        <w:jc w:val="both"/>
        <w:rPr>
          <w:rFonts w:ascii="Times New Roman" w:hAnsi="Times New Roman"/>
          <w:b/>
          <w:sz w:val="24"/>
          <w:szCs w:val="24"/>
        </w:rPr>
      </w:pPr>
      <w:r w:rsidRPr="00D768D2">
        <w:rPr>
          <w:rFonts w:ascii="Times New Roman" w:hAnsi="Times New Roman"/>
          <w:b/>
          <w:sz w:val="24"/>
          <w:szCs w:val="24"/>
        </w:rPr>
        <w:t>Overview of the Legislative Instruments</w:t>
      </w:r>
    </w:p>
    <w:p w14:paraId="5428143D" w14:textId="1A3E12D7" w:rsidR="00890E7B" w:rsidRPr="00D768D2" w:rsidRDefault="00890E7B" w:rsidP="00893B1F">
      <w:pPr>
        <w:pStyle w:val="BodyText"/>
        <w:keepNext/>
        <w:spacing w:after="240"/>
        <w:jc w:val="both"/>
        <w:rPr>
          <w:rFonts w:ascii="Times New Roman" w:hAnsi="Times New Roman"/>
          <w:sz w:val="24"/>
          <w:szCs w:val="24"/>
        </w:rPr>
      </w:pPr>
      <w:r w:rsidRPr="00D768D2">
        <w:rPr>
          <w:rFonts w:ascii="Times New Roman" w:hAnsi="Times New Roman"/>
          <w:sz w:val="24"/>
          <w:szCs w:val="24"/>
        </w:rPr>
        <w:t>This legislative instrument revokes Determination of Prudential Standard APS 240 Risk Management of Credit Card Activities</w:t>
      </w:r>
      <w:r w:rsidR="009B7255">
        <w:rPr>
          <w:rFonts w:ascii="Times New Roman" w:hAnsi="Times New Roman"/>
          <w:sz w:val="24"/>
          <w:szCs w:val="24"/>
        </w:rPr>
        <w:t xml:space="preserve">, including </w:t>
      </w:r>
      <w:r w:rsidR="009B7255" w:rsidRPr="00C85F48">
        <w:rPr>
          <w:rFonts w:ascii="Times New Roman" w:hAnsi="Times New Roman"/>
          <w:i/>
          <w:sz w:val="24"/>
          <w:szCs w:val="24"/>
        </w:rPr>
        <w:t>Prudential Standard APS 240 – Risk Management of Credit Card Activities</w:t>
      </w:r>
      <w:r w:rsidR="009B7255">
        <w:rPr>
          <w:rFonts w:ascii="Times New Roman" w:hAnsi="Times New Roman"/>
          <w:sz w:val="24"/>
          <w:szCs w:val="24"/>
        </w:rPr>
        <w:t xml:space="preserve"> made under that Determination</w:t>
      </w:r>
      <w:r w:rsidRPr="00D768D2">
        <w:rPr>
          <w:rFonts w:ascii="Times New Roman" w:hAnsi="Times New Roman"/>
          <w:sz w:val="24"/>
          <w:szCs w:val="24"/>
        </w:rPr>
        <w:t xml:space="preserve">. </w:t>
      </w:r>
    </w:p>
    <w:p w14:paraId="209D3C88" w14:textId="77777777" w:rsidR="00890E7B" w:rsidRPr="00D768D2" w:rsidRDefault="00890E7B" w:rsidP="00893B1F">
      <w:pPr>
        <w:pStyle w:val="BodyText"/>
        <w:keepNext/>
        <w:spacing w:after="240"/>
        <w:jc w:val="both"/>
        <w:rPr>
          <w:rFonts w:ascii="Times New Roman" w:hAnsi="Times New Roman"/>
          <w:b/>
          <w:sz w:val="24"/>
          <w:szCs w:val="24"/>
        </w:rPr>
      </w:pPr>
      <w:r w:rsidRPr="00D768D2">
        <w:rPr>
          <w:rFonts w:ascii="Times New Roman" w:hAnsi="Times New Roman"/>
          <w:b/>
          <w:sz w:val="24"/>
          <w:szCs w:val="24"/>
        </w:rPr>
        <w:t>Human rights implications</w:t>
      </w:r>
    </w:p>
    <w:p w14:paraId="4B2802F9" w14:textId="77777777" w:rsidR="00890E7B" w:rsidRPr="00D768D2" w:rsidRDefault="00890E7B" w:rsidP="00893B1F">
      <w:pPr>
        <w:spacing w:after="240"/>
        <w:jc w:val="both"/>
        <w:rPr>
          <w:rFonts w:ascii="Times New Roman" w:hAnsi="Times New Roman"/>
          <w:sz w:val="24"/>
          <w:szCs w:val="24"/>
        </w:rPr>
      </w:pPr>
      <w:r w:rsidRPr="00D768D2">
        <w:rPr>
          <w:rFonts w:ascii="Times New Roman" w:hAnsi="Times New Roman"/>
          <w:sz w:val="24"/>
          <w:szCs w:val="24"/>
        </w:rPr>
        <w:t>APRA has assessed this Legislative Instrument and is of the view that it does not engage any of the applicable rights or freedoms recognised or declared in the international instruments listed in section 3 of the HRPS Act. Accordingly, in APRA’s assessment, the instrument is compatible with human rights.</w:t>
      </w:r>
    </w:p>
    <w:p w14:paraId="5906F4EE" w14:textId="77777777" w:rsidR="00890E7B" w:rsidRPr="00D768D2" w:rsidRDefault="00890E7B" w:rsidP="00893B1F">
      <w:pPr>
        <w:pStyle w:val="BodyText"/>
        <w:keepNext/>
        <w:spacing w:after="240"/>
        <w:jc w:val="both"/>
        <w:rPr>
          <w:rFonts w:ascii="Times New Roman" w:hAnsi="Times New Roman"/>
          <w:b/>
          <w:sz w:val="24"/>
          <w:szCs w:val="24"/>
        </w:rPr>
      </w:pPr>
      <w:r w:rsidRPr="00D768D2">
        <w:rPr>
          <w:rFonts w:ascii="Times New Roman" w:hAnsi="Times New Roman"/>
          <w:b/>
          <w:sz w:val="24"/>
          <w:szCs w:val="24"/>
        </w:rPr>
        <w:t>Conclusion</w:t>
      </w:r>
    </w:p>
    <w:p w14:paraId="7AEF2C91" w14:textId="77777777" w:rsidR="00890E7B" w:rsidRPr="00D768D2" w:rsidRDefault="00890E7B" w:rsidP="00893B1F">
      <w:pPr>
        <w:pStyle w:val="BodyText"/>
        <w:spacing w:after="240"/>
        <w:jc w:val="both"/>
        <w:rPr>
          <w:rFonts w:ascii="Times New Roman" w:hAnsi="Times New Roman"/>
          <w:b/>
          <w:sz w:val="24"/>
          <w:szCs w:val="24"/>
        </w:rPr>
      </w:pPr>
      <w:r w:rsidRPr="00D768D2">
        <w:rPr>
          <w:rFonts w:ascii="Times New Roman" w:hAnsi="Times New Roman"/>
          <w:sz w:val="24"/>
          <w:szCs w:val="24"/>
        </w:rPr>
        <w:t xml:space="preserve">This Legislative Instrument is compatible with human rights as it does not raise any human rights issues. </w:t>
      </w:r>
    </w:p>
    <w:p w14:paraId="448DBC46" w14:textId="77777777" w:rsidR="00B04B20" w:rsidRPr="00FA5345" w:rsidRDefault="00B04B20" w:rsidP="004303EC">
      <w:pPr>
        <w:spacing w:after="240"/>
      </w:pPr>
    </w:p>
    <w:sectPr w:rsidR="00B04B20" w:rsidRPr="00FA5345" w:rsidSect="003D5032">
      <w:footerReference w:type="default" r:id="rId8"/>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C436D" w14:textId="77777777" w:rsidR="00542641" w:rsidRDefault="00542641" w:rsidP="004303EC">
      <w:r>
        <w:separator/>
      </w:r>
    </w:p>
  </w:endnote>
  <w:endnote w:type="continuationSeparator" w:id="0">
    <w:p w14:paraId="5BE71AC7" w14:textId="77777777" w:rsidR="00542641" w:rsidRDefault="00542641" w:rsidP="0043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082579"/>
      <w:docPartObj>
        <w:docPartGallery w:val="Page Numbers (Top of Page)"/>
        <w:docPartUnique/>
      </w:docPartObj>
    </w:sdtPr>
    <w:sdtEndPr>
      <w:rPr>
        <w:rFonts w:ascii="Times New Roman" w:hAnsi="Times New Roman"/>
        <w:sz w:val="24"/>
        <w:szCs w:val="24"/>
      </w:rPr>
    </w:sdtEndPr>
    <w:sdtContent>
      <w:p w14:paraId="3BF1406B" w14:textId="299A9696" w:rsidR="004303EC" w:rsidRPr="00893B1F" w:rsidRDefault="004303EC" w:rsidP="00893B1F">
        <w:pPr>
          <w:pStyle w:val="Footer"/>
          <w:jc w:val="center"/>
          <w:rPr>
            <w:rFonts w:ascii="Times New Roman" w:hAnsi="Times New Roman"/>
            <w:sz w:val="24"/>
            <w:szCs w:val="24"/>
          </w:rPr>
        </w:pPr>
        <w:r w:rsidRPr="004303EC">
          <w:rPr>
            <w:rFonts w:ascii="Times New Roman" w:hAnsi="Times New Roman"/>
            <w:bCs/>
            <w:sz w:val="24"/>
            <w:szCs w:val="24"/>
          </w:rPr>
          <w:fldChar w:fldCharType="begin"/>
        </w:r>
        <w:r w:rsidRPr="004303EC">
          <w:rPr>
            <w:rFonts w:ascii="Times New Roman" w:hAnsi="Times New Roman"/>
            <w:bCs/>
            <w:sz w:val="24"/>
            <w:szCs w:val="24"/>
          </w:rPr>
          <w:instrText xml:space="preserve"> PAGE </w:instrText>
        </w:r>
        <w:r w:rsidRPr="004303EC">
          <w:rPr>
            <w:rFonts w:ascii="Times New Roman" w:hAnsi="Times New Roman"/>
            <w:bCs/>
            <w:sz w:val="24"/>
            <w:szCs w:val="24"/>
          </w:rPr>
          <w:fldChar w:fldCharType="separate"/>
        </w:r>
        <w:r w:rsidR="000360E3">
          <w:rPr>
            <w:rFonts w:ascii="Times New Roman" w:hAnsi="Times New Roman"/>
            <w:bCs/>
            <w:noProof/>
            <w:sz w:val="24"/>
            <w:szCs w:val="24"/>
          </w:rPr>
          <w:t>2</w:t>
        </w:r>
        <w:r w:rsidRPr="004303EC">
          <w:rPr>
            <w:rFonts w:ascii="Times New Roman" w:hAnsi="Times New Roman"/>
            <w:bCs/>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B79EA" w14:textId="77777777" w:rsidR="00542641" w:rsidRDefault="00542641" w:rsidP="004303EC">
      <w:r>
        <w:separator/>
      </w:r>
    </w:p>
  </w:footnote>
  <w:footnote w:type="continuationSeparator" w:id="0">
    <w:p w14:paraId="14FCF0BB" w14:textId="77777777" w:rsidR="00542641" w:rsidRDefault="00542641" w:rsidP="00430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0267"/>
    <w:multiLevelType w:val="hybridMultilevel"/>
    <w:tmpl w:val="CE505FE6"/>
    <w:lvl w:ilvl="0" w:tplc="30CC5ED0">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1DA3D61"/>
    <w:multiLevelType w:val="hybridMultilevel"/>
    <w:tmpl w:val="E304CF48"/>
    <w:lvl w:ilvl="0" w:tplc="6D76CA0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41"/>
    <w:rsid w:val="00003D3A"/>
    <w:rsid w:val="00033887"/>
    <w:rsid w:val="000360E3"/>
    <w:rsid w:val="000401FC"/>
    <w:rsid w:val="000C6312"/>
    <w:rsid w:val="000E369C"/>
    <w:rsid w:val="000F0C67"/>
    <w:rsid w:val="00103AEB"/>
    <w:rsid w:val="001521CA"/>
    <w:rsid w:val="00155C61"/>
    <w:rsid w:val="00157F44"/>
    <w:rsid w:val="0016350D"/>
    <w:rsid w:val="00170562"/>
    <w:rsid w:val="00182FA1"/>
    <w:rsid w:val="00190592"/>
    <w:rsid w:val="0019643E"/>
    <w:rsid w:val="002436BD"/>
    <w:rsid w:val="00246723"/>
    <w:rsid w:val="002A73BD"/>
    <w:rsid w:val="002B579E"/>
    <w:rsid w:val="002F7E93"/>
    <w:rsid w:val="0030506B"/>
    <w:rsid w:val="00354CB8"/>
    <w:rsid w:val="003866AD"/>
    <w:rsid w:val="003A0F0D"/>
    <w:rsid w:val="003D5032"/>
    <w:rsid w:val="0040175E"/>
    <w:rsid w:val="004029F8"/>
    <w:rsid w:val="00422164"/>
    <w:rsid w:val="00423839"/>
    <w:rsid w:val="004303EC"/>
    <w:rsid w:val="00443A02"/>
    <w:rsid w:val="00457BCF"/>
    <w:rsid w:val="00457C57"/>
    <w:rsid w:val="00461C6D"/>
    <w:rsid w:val="00470375"/>
    <w:rsid w:val="004C0906"/>
    <w:rsid w:val="004C3D07"/>
    <w:rsid w:val="004E2008"/>
    <w:rsid w:val="00542641"/>
    <w:rsid w:val="0056141D"/>
    <w:rsid w:val="005A6231"/>
    <w:rsid w:val="005E520A"/>
    <w:rsid w:val="005E5910"/>
    <w:rsid w:val="00613CBF"/>
    <w:rsid w:val="00622480"/>
    <w:rsid w:val="00647D58"/>
    <w:rsid w:val="00657678"/>
    <w:rsid w:val="00663649"/>
    <w:rsid w:val="0066787D"/>
    <w:rsid w:val="006811AD"/>
    <w:rsid w:val="00682865"/>
    <w:rsid w:val="00684F73"/>
    <w:rsid w:val="006B093F"/>
    <w:rsid w:val="007031F4"/>
    <w:rsid w:val="007049CF"/>
    <w:rsid w:val="007368AD"/>
    <w:rsid w:val="007428D4"/>
    <w:rsid w:val="0074572A"/>
    <w:rsid w:val="00747AFF"/>
    <w:rsid w:val="00785CDC"/>
    <w:rsid w:val="007C79D3"/>
    <w:rsid w:val="007E4B2A"/>
    <w:rsid w:val="007F4268"/>
    <w:rsid w:val="00830F66"/>
    <w:rsid w:val="00865B4C"/>
    <w:rsid w:val="00885F41"/>
    <w:rsid w:val="00890E7B"/>
    <w:rsid w:val="00893B1F"/>
    <w:rsid w:val="008C0C2E"/>
    <w:rsid w:val="00914B18"/>
    <w:rsid w:val="00932EFA"/>
    <w:rsid w:val="009669EA"/>
    <w:rsid w:val="00967D16"/>
    <w:rsid w:val="009927BF"/>
    <w:rsid w:val="009B7255"/>
    <w:rsid w:val="009C1DC7"/>
    <w:rsid w:val="009C5368"/>
    <w:rsid w:val="00A279AF"/>
    <w:rsid w:val="00A4133B"/>
    <w:rsid w:val="00A54A7E"/>
    <w:rsid w:val="00A6325C"/>
    <w:rsid w:val="00A63A2B"/>
    <w:rsid w:val="00A94110"/>
    <w:rsid w:val="00AB21B1"/>
    <w:rsid w:val="00AC2517"/>
    <w:rsid w:val="00AC7A56"/>
    <w:rsid w:val="00AE5B49"/>
    <w:rsid w:val="00B04B20"/>
    <w:rsid w:val="00B43879"/>
    <w:rsid w:val="00B6126F"/>
    <w:rsid w:val="00B64B2E"/>
    <w:rsid w:val="00B85B6E"/>
    <w:rsid w:val="00B90200"/>
    <w:rsid w:val="00BA0B36"/>
    <w:rsid w:val="00BB1678"/>
    <w:rsid w:val="00BF2953"/>
    <w:rsid w:val="00C03128"/>
    <w:rsid w:val="00C302FA"/>
    <w:rsid w:val="00C73019"/>
    <w:rsid w:val="00C77FF8"/>
    <w:rsid w:val="00C85F48"/>
    <w:rsid w:val="00C948AA"/>
    <w:rsid w:val="00CA0C6D"/>
    <w:rsid w:val="00CA6CB3"/>
    <w:rsid w:val="00CB384A"/>
    <w:rsid w:val="00CD1947"/>
    <w:rsid w:val="00CE1BB4"/>
    <w:rsid w:val="00D17ABC"/>
    <w:rsid w:val="00D64906"/>
    <w:rsid w:val="00D81CC2"/>
    <w:rsid w:val="00D87E36"/>
    <w:rsid w:val="00DF524E"/>
    <w:rsid w:val="00E15497"/>
    <w:rsid w:val="00E16789"/>
    <w:rsid w:val="00E201A8"/>
    <w:rsid w:val="00E52DFE"/>
    <w:rsid w:val="00E758B5"/>
    <w:rsid w:val="00E90C89"/>
    <w:rsid w:val="00EC5653"/>
    <w:rsid w:val="00EE042A"/>
    <w:rsid w:val="00EF1CBC"/>
    <w:rsid w:val="00EF2518"/>
    <w:rsid w:val="00F30C81"/>
    <w:rsid w:val="00F436BC"/>
    <w:rsid w:val="00F7706D"/>
    <w:rsid w:val="00F956B4"/>
    <w:rsid w:val="00FA5345"/>
    <w:rsid w:val="00FD5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F6EB9D"/>
  <w15:docId w15:val="{931CD038-1C1A-4499-AE69-B02DE73E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4303EC"/>
    <w:pPr>
      <w:tabs>
        <w:tab w:val="center" w:pos="4513"/>
        <w:tab w:val="right" w:pos="9026"/>
      </w:tabs>
    </w:pPr>
  </w:style>
  <w:style w:type="character" w:customStyle="1" w:styleId="HeaderChar">
    <w:name w:val="Header Char"/>
    <w:basedOn w:val="DefaultParagraphFont"/>
    <w:link w:val="Header"/>
    <w:uiPriority w:val="99"/>
    <w:rsid w:val="004303EC"/>
    <w:rPr>
      <w:rFonts w:ascii="Trebuchet MS" w:eastAsia="Times New Roman" w:hAnsi="Trebuchet MS"/>
      <w:sz w:val="22"/>
    </w:rPr>
  </w:style>
  <w:style w:type="paragraph" w:styleId="Footer">
    <w:name w:val="footer"/>
    <w:basedOn w:val="Normal"/>
    <w:link w:val="FooterChar"/>
    <w:uiPriority w:val="99"/>
    <w:unhideWhenUsed/>
    <w:rsid w:val="004303EC"/>
    <w:pPr>
      <w:tabs>
        <w:tab w:val="center" w:pos="4513"/>
        <w:tab w:val="right" w:pos="9026"/>
      </w:tabs>
    </w:pPr>
  </w:style>
  <w:style w:type="character" w:customStyle="1" w:styleId="FooterChar">
    <w:name w:val="Footer Char"/>
    <w:basedOn w:val="DefaultParagraphFont"/>
    <w:link w:val="Footer"/>
    <w:uiPriority w:val="99"/>
    <w:rsid w:val="004303EC"/>
    <w:rPr>
      <w:rFonts w:ascii="Trebuchet MS" w:eastAsia="Times New Roman" w:hAnsi="Trebuchet MS"/>
      <w:sz w:val="22"/>
    </w:rPr>
  </w:style>
  <w:style w:type="paragraph" w:styleId="BodyText">
    <w:name w:val="Body Text"/>
    <w:basedOn w:val="Normal"/>
    <w:link w:val="BodyTextChar"/>
    <w:unhideWhenUsed/>
    <w:rsid w:val="00890E7B"/>
    <w:rPr>
      <w:rFonts w:eastAsia="Calibri"/>
      <w:szCs w:val="22"/>
      <w:lang w:eastAsia="en-US"/>
    </w:rPr>
  </w:style>
  <w:style w:type="character" w:customStyle="1" w:styleId="BodyTextChar">
    <w:name w:val="Body Text Char"/>
    <w:basedOn w:val="DefaultParagraphFont"/>
    <w:link w:val="BodyText"/>
    <w:rsid w:val="00890E7B"/>
    <w:rPr>
      <w:rFonts w:ascii="Trebuchet MS" w:hAnsi="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prudential%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0A090-E5CB-4B58-A2A8-0725FA1B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prudential standard (April 2016).dotx</Template>
  <TotalTime>1</TotalTime>
  <Pages>3</Pages>
  <Words>871</Words>
  <Characters>4894</Characters>
  <Application>Microsoft Office Word</Application>
  <DocSecurity>0</DocSecurity>
  <Lines>87</Lines>
  <Paragraphs>32</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Spudic</dc:creator>
  <cp:keywords>[SEC=UNCLASSIFIED]</cp:keywords>
  <cp:lastModifiedBy>Watson, Jill</cp:lastModifiedBy>
  <cp:revision>2</cp:revision>
  <cp:lastPrinted>2016-04-27T05:55:00Z</cp:lastPrinted>
  <dcterms:created xsi:type="dcterms:W3CDTF">2016-04-28T23:56:00Z</dcterms:created>
  <dcterms:modified xsi:type="dcterms:W3CDTF">2016-04-28T23:56:00Z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444F01160448A97DEE1911854EE3A69FDCCD1A76</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E04D12187DB3D2090D8FE999797304DC6BB90C47</vt:lpwstr>
  </property>
  <property fmtid="{D5CDD505-2E9C-101B-9397-08002B2CF9AE}" pid="7" name="PM_InsertionValue">
    <vt:lpwstr>UNCLASSIFIED</vt:lpwstr>
  </property>
  <property fmtid="{D5CDD505-2E9C-101B-9397-08002B2CF9AE}" pid="8" name="PM_Hash_Salt">
    <vt:lpwstr>1D8DFD27C611E1CC2A93D76027900CC3</vt:lpwstr>
  </property>
  <property fmtid="{D5CDD505-2E9C-101B-9397-08002B2CF9AE}" pid="9" name="PM_Hash_Version">
    <vt:lpwstr>2014.2</vt:lpwstr>
  </property>
  <property fmtid="{D5CDD505-2E9C-101B-9397-08002B2CF9AE}" pid="10" name="PM_Hash_Salt_Prev">
    <vt:lpwstr>7DC1322113F96D6687F98DF6412E8EFB</vt:lpwstr>
  </property>
  <property fmtid="{D5CDD505-2E9C-101B-9397-08002B2CF9AE}" pid="11" name="PM_Caveats_Count">
    <vt:lpwstr>0</vt:lpwstr>
  </property>
  <property fmtid="{D5CDD505-2E9C-101B-9397-08002B2CF9AE}" pid="12" name="PM_SecurityClassification_Prev">
    <vt:lpwstr>UNCLASSIFIED</vt:lpwstr>
  </property>
  <property fmtid="{D5CDD505-2E9C-101B-9397-08002B2CF9AE}" pid="13" name="PM_Qualifier_Prev">
    <vt:lpwstr/>
  </property>
</Properties>
</file>