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2584D7" w14:textId="77777777" w:rsidR="004A3487" w:rsidRPr="00F064ED" w:rsidRDefault="004A3487" w:rsidP="004A3487">
      <w:pPr>
        <w:pStyle w:val="Heading2"/>
        <w:spacing w:before="120"/>
        <w:jc w:val="center"/>
        <w:rPr>
          <w:rFonts w:ascii="Times New Roman" w:hAnsi="Times New Roman" w:cs="Times New Roman"/>
          <w:bCs w:val="0"/>
          <w:iCs w:val="0"/>
          <w:caps/>
          <w:smallCaps w:val="0"/>
          <w:color w:val="auto"/>
          <w:sz w:val="24"/>
          <w:szCs w:val="20"/>
        </w:rPr>
      </w:pPr>
      <w:bookmarkStart w:id="0" w:name="_Toc321133389"/>
      <w:bookmarkStart w:id="1" w:name="_Toc321134068"/>
      <w:bookmarkStart w:id="2" w:name="_Toc321134165"/>
      <w:bookmarkStart w:id="3" w:name="_Toc405808758"/>
      <w:bookmarkStart w:id="4" w:name="_Toc406155128"/>
      <w:bookmarkStart w:id="5" w:name="_Toc406424581"/>
      <w:bookmarkStart w:id="6" w:name="_Toc408413459"/>
      <w:bookmarkStart w:id="7" w:name="_Toc408414173"/>
      <w:bookmarkStart w:id="8" w:name="_Toc409191080"/>
      <w:bookmarkStart w:id="9" w:name="_Toc409618513"/>
      <w:bookmarkStart w:id="10" w:name="_Toc409630044"/>
      <w:bookmarkStart w:id="11" w:name="_Toc410229536"/>
      <w:bookmarkStart w:id="12" w:name="_Toc410302171"/>
      <w:r w:rsidRPr="00F064ED">
        <w:rPr>
          <w:rFonts w:ascii="Times New Roman" w:hAnsi="Times New Roman" w:cs="Times New Roman"/>
          <w:bCs w:val="0"/>
          <w:iCs w:val="0"/>
          <w:caps/>
          <w:smallCaps w:val="0"/>
          <w:color w:val="auto"/>
          <w:sz w:val="24"/>
          <w:szCs w:val="20"/>
        </w:rPr>
        <w:t>Explanatory Statement</w:t>
      </w:r>
    </w:p>
    <w:p w14:paraId="5B65EDBE" w14:textId="77777777" w:rsidR="004A3487" w:rsidRPr="00F064ED" w:rsidRDefault="004A3487" w:rsidP="004A3487">
      <w:pPr>
        <w:jc w:val="center"/>
        <w:rPr>
          <w:rFonts w:ascii="Times New Roman" w:hAnsi="Times New Roman"/>
          <w:sz w:val="24"/>
          <w:szCs w:val="24"/>
        </w:rPr>
      </w:pPr>
      <w:r w:rsidRPr="00F064ED">
        <w:rPr>
          <w:rFonts w:ascii="Times New Roman" w:hAnsi="Times New Roman"/>
          <w:sz w:val="24"/>
          <w:szCs w:val="24"/>
        </w:rPr>
        <w:t xml:space="preserve">Issued by the </w:t>
      </w:r>
      <w:r>
        <w:rPr>
          <w:rFonts w:ascii="Times New Roman" w:hAnsi="Times New Roman"/>
          <w:sz w:val="24"/>
          <w:szCs w:val="24"/>
        </w:rPr>
        <w:t>a</w:t>
      </w:r>
      <w:r w:rsidRPr="00F064ED">
        <w:rPr>
          <w:rFonts w:ascii="Times New Roman" w:hAnsi="Times New Roman"/>
          <w:sz w:val="24"/>
          <w:szCs w:val="24"/>
        </w:rPr>
        <w:t xml:space="preserve">uthority of the </w:t>
      </w:r>
      <w:r>
        <w:rPr>
          <w:rFonts w:ascii="Times New Roman" w:hAnsi="Times New Roman"/>
          <w:sz w:val="24"/>
          <w:szCs w:val="24"/>
        </w:rPr>
        <w:t>Minister for Small Business and Assistant Treasurer</w:t>
      </w:r>
    </w:p>
    <w:p w14:paraId="705E705B" w14:textId="77777777" w:rsidR="004A3487" w:rsidRPr="00F064ED" w:rsidRDefault="004A3487" w:rsidP="004A3487">
      <w:pPr>
        <w:jc w:val="center"/>
        <w:rPr>
          <w:rFonts w:ascii="Times New Roman" w:hAnsi="Times New Roman"/>
          <w:i/>
          <w:sz w:val="24"/>
          <w:szCs w:val="24"/>
        </w:rPr>
      </w:pPr>
      <w:r w:rsidRPr="00F064ED">
        <w:rPr>
          <w:rFonts w:ascii="Times New Roman" w:hAnsi="Times New Roman"/>
          <w:i/>
          <w:sz w:val="24"/>
          <w:szCs w:val="24"/>
        </w:rPr>
        <w:t>Terrorism Insurance Act 2003</w:t>
      </w:r>
      <w:r>
        <w:rPr>
          <w:rFonts w:ascii="Times New Roman" w:hAnsi="Times New Roman"/>
          <w:i/>
          <w:sz w:val="24"/>
          <w:szCs w:val="24"/>
        </w:rPr>
        <w:t xml:space="preserve"> - Premiums Direction 2015</w:t>
      </w:r>
    </w:p>
    <w:p w14:paraId="72094732" w14:textId="798B0DFD" w:rsidR="004A3487" w:rsidRPr="00F064ED" w:rsidRDefault="004A3487" w:rsidP="004A3487">
      <w:pPr>
        <w:rPr>
          <w:rFonts w:ascii="Times New Roman" w:hAnsi="Times New Roman"/>
          <w:sz w:val="24"/>
          <w:szCs w:val="24"/>
        </w:rPr>
      </w:pPr>
      <w:r>
        <w:rPr>
          <w:rFonts w:ascii="Times New Roman" w:hAnsi="Times New Roman"/>
          <w:sz w:val="24"/>
          <w:szCs w:val="24"/>
        </w:rPr>
        <w:t>Paragraph</w:t>
      </w:r>
      <w:r w:rsidRPr="00F064ED">
        <w:rPr>
          <w:rFonts w:ascii="Times New Roman" w:hAnsi="Times New Roman"/>
          <w:sz w:val="24"/>
          <w:szCs w:val="24"/>
        </w:rPr>
        <w:t xml:space="preserve"> 38(2</w:t>
      </w:r>
      <w:proofErr w:type="gramStart"/>
      <w:r w:rsidRPr="00F064ED">
        <w:rPr>
          <w:rFonts w:ascii="Times New Roman" w:hAnsi="Times New Roman"/>
          <w:sz w:val="24"/>
          <w:szCs w:val="24"/>
        </w:rPr>
        <w:t>)(</w:t>
      </w:r>
      <w:proofErr w:type="gramEnd"/>
      <w:r w:rsidRPr="00F064ED">
        <w:rPr>
          <w:rFonts w:ascii="Times New Roman" w:hAnsi="Times New Roman"/>
          <w:sz w:val="24"/>
          <w:szCs w:val="24"/>
        </w:rPr>
        <w:t xml:space="preserve">d) of the </w:t>
      </w:r>
      <w:r w:rsidRPr="00F064ED">
        <w:rPr>
          <w:rFonts w:ascii="Times New Roman" w:hAnsi="Times New Roman"/>
          <w:i/>
          <w:sz w:val="24"/>
          <w:szCs w:val="24"/>
        </w:rPr>
        <w:t>Terrorism Insurance Act 2003</w:t>
      </w:r>
      <w:r w:rsidRPr="00F064ED">
        <w:rPr>
          <w:rFonts w:ascii="Times New Roman" w:hAnsi="Times New Roman"/>
          <w:sz w:val="24"/>
          <w:szCs w:val="24"/>
        </w:rPr>
        <w:t xml:space="preserve"> (the Act) provides that the </w:t>
      </w:r>
      <w:r>
        <w:rPr>
          <w:rFonts w:ascii="Times New Roman" w:hAnsi="Times New Roman"/>
          <w:sz w:val="24"/>
          <w:szCs w:val="24"/>
        </w:rPr>
        <w:t>Minister</w:t>
      </w:r>
      <w:r w:rsidRPr="00F064ED">
        <w:rPr>
          <w:rFonts w:ascii="Times New Roman" w:hAnsi="Times New Roman"/>
          <w:sz w:val="24"/>
          <w:szCs w:val="24"/>
        </w:rPr>
        <w:t xml:space="preserve"> may give written directions to the Australian Reinsurance Pool Corporation (ARPC) setting premiums that the ARPC is to charge in respect of contracts of </w:t>
      </w:r>
      <w:r w:rsidR="00733F94">
        <w:rPr>
          <w:rFonts w:ascii="Times New Roman" w:hAnsi="Times New Roman"/>
          <w:sz w:val="24"/>
          <w:szCs w:val="24"/>
        </w:rPr>
        <w:t>re</w:t>
      </w:r>
      <w:r w:rsidRPr="00F064ED">
        <w:rPr>
          <w:rFonts w:ascii="Times New Roman" w:hAnsi="Times New Roman"/>
          <w:sz w:val="24"/>
          <w:szCs w:val="24"/>
        </w:rPr>
        <w:t xml:space="preserve">insurance.  The Act established the </w:t>
      </w:r>
      <w:r>
        <w:rPr>
          <w:rFonts w:ascii="Times New Roman" w:hAnsi="Times New Roman"/>
          <w:sz w:val="24"/>
          <w:szCs w:val="24"/>
        </w:rPr>
        <w:t xml:space="preserve">ARPC and the </w:t>
      </w:r>
      <w:r w:rsidRPr="00F064ED">
        <w:rPr>
          <w:rFonts w:ascii="Times New Roman" w:hAnsi="Times New Roman"/>
          <w:sz w:val="24"/>
          <w:szCs w:val="24"/>
        </w:rPr>
        <w:t>framework for the Government’s terrorism insurance scheme</w:t>
      </w:r>
      <w:r>
        <w:rPr>
          <w:rFonts w:ascii="Times New Roman" w:hAnsi="Times New Roman"/>
          <w:sz w:val="24"/>
          <w:szCs w:val="24"/>
        </w:rPr>
        <w:t xml:space="preserve">.  The Act </w:t>
      </w:r>
      <w:r w:rsidRPr="00F064ED">
        <w:rPr>
          <w:rFonts w:ascii="Times New Roman" w:hAnsi="Times New Roman"/>
          <w:sz w:val="24"/>
          <w:szCs w:val="24"/>
        </w:rPr>
        <w:t xml:space="preserve">effectively deems </w:t>
      </w:r>
      <w:r>
        <w:rPr>
          <w:rFonts w:ascii="Times New Roman" w:hAnsi="Times New Roman"/>
          <w:sz w:val="24"/>
          <w:szCs w:val="24"/>
        </w:rPr>
        <w:t xml:space="preserve">terrorism risk cover into </w:t>
      </w:r>
      <w:r w:rsidRPr="00F064ED">
        <w:rPr>
          <w:rFonts w:ascii="Times New Roman" w:hAnsi="Times New Roman"/>
          <w:sz w:val="24"/>
          <w:szCs w:val="24"/>
        </w:rPr>
        <w:t xml:space="preserve">eligible insurance contracts </w:t>
      </w:r>
      <w:r>
        <w:rPr>
          <w:rFonts w:ascii="Times New Roman" w:hAnsi="Times New Roman"/>
          <w:sz w:val="24"/>
          <w:szCs w:val="24"/>
        </w:rPr>
        <w:t>by rendering terrorism exclusion clauses void</w:t>
      </w:r>
      <w:r w:rsidRPr="00F064ED">
        <w:rPr>
          <w:rFonts w:ascii="Times New Roman" w:hAnsi="Times New Roman"/>
          <w:sz w:val="24"/>
          <w:szCs w:val="24"/>
        </w:rPr>
        <w:t>.</w:t>
      </w:r>
      <w:r>
        <w:rPr>
          <w:rFonts w:ascii="Times New Roman" w:hAnsi="Times New Roman"/>
          <w:sz w:val="24"/>
          <w:szCs w:val="24"/>
        </w:rPr>
        <w:t xml:space="preserve">  Insurance companies may then reinsure their additional risk with the ARPC, in which case a premium is payable to the ARPC.  The premium payable is calculated according to a system of tiers which are set by reference to postcodes.  The tiers are set to reflect the risk in various locations. </w:t>
      </w:r>
    </w:p>
    <w:p w14:paraId="68FD37D5" w14:textId="203A69EC" w:rsidR="004A3487" w:rsidRPr="00DB3C51" w:rsidRDefault="004A3487" w:rsidP="004A3487">
      <w:pPr>
        <w:tabs>
          <w:tab w:val="left" w:pos="1701"/>
          <w:tab w:val="right" w:pos="9072"/>
        </w:tabs>
        <w:ind w:right="91"/>
        <w:rPr>
          <w:rFonts w:ascii="Times New Roman" w:hAnsi="Times New Roman"/>
          <w:sz w:val="24"/>
          <w:szCs w:val="24"/>
        </w:rPr>
      </w:pPr>
      <w:r w:rsidRPr="00F064ED">
        <w:rPr>
          <w:rFonts w:ascii="Times New Roman" w:hAnsi="Times New Roman"/>
          <w:sz w:val="24"/>
          <w:szCs w:val="24"/>
        </w:rPr>
        <w:t xml:space="preserve">Section 41 of the Act requires that a review of the need for the Act to continue in operation </w:t>
      </w:r>
      <w:r>
        <w:rPr>
          <w:rFonts w:ascii="Times New Roman" w:hAnsi="Times New Roman"/>
          <w:sz w:val="24"/>
          <w:szCs w:val="24"/>
        </w:rPr>
        <w:t xml:space="preserve">must </w:t>
      </w:r>
      <w:r w:rsidRPr="00F064ED">
        <w:rPr>
          <w:rFonts w:ascii="Times New Roman" w:hAnsi="Times New Roman"/>
          <w:sz w:val="24"/>
          <w:szCs w:val="24"/>
        </w:rPr>
        <w:t>be undertaken at least</w:t>
      </w:r>
      <w:r>
        <w:rPr>
          <w:rFonts w:ascii="Times New Roman" w:hAnsi="Times New Roman"/>
          <w:sz w:val="24"/>
          <w:szCs w:val="24"/>
        </w:rPr>
        <w:t xml:space="preserve"> once</w:t>
      </w:r>
      <w:r w:rsidRPr="00F064ED">
        <w:rPr>
          <w:rFonts w:ascii="Times New Roman" w:hAnsi="Times New Roman"/>
          <w:sz w:val="24"/>
          <w:szCs w:val="24"/>
        </w:rPr>
        <w:t xml:space="preserve"> every three year</w:t>
      </w:r>
      <w:r>
        <w:rPr>
          <w:rFonts w:ascii="Times New Roman" w:hAnsi="Times New Roman"/>
          <w:sz w:val="24"/>
          <w:szCs w:val="24"/>
        </w:rPr>
        <w:t>s after commencement.  The most recent</w:t>
      </w:r>
      <w:r w:rsidRPr="00F064ED">
        <w:rPr>
          <w:rFonts w:ascii="Times New Roman" w:hAnsi="Times New Roman"/>
          <w:sz w:val="24"/>
          <w:szCs w:val="24"/>
        </w:rPr>
        <w:t xml:space="preserve"> revi</w:t>
      </w:r>
      <w:r>
        <w:rPr>
          <w:rFonts w:ascii="Times New Roman" w:hAnsi="Times New Roman"/>
          <w:sz w:val="24"/>
          <w:szCs w:val="24"/>
        </w:rPr>
        <w:t xml:space="preserve">ew </w:t>
      </w:r>
      <w:r w:rsidR="00C305A0">
        <w:rPr>
          <w:rFonts w:ascii="Times New Roman" w:hAnsi="Times New Roman"/>
          <w:sz w:val="24"/>
          <w:szCs w:val="24"/>
        </w:rPr>
        <w:t xml:space="preserve">was </w:t>
      </w:r>
      <w:r w:rsidRPr="00F064ED">
        <w:rPr>
          <w:rFonts w:ascii="Times New Roman" w:hAnsi="Times New Roman"/>
          <w:sz w:val="24"/>
          <w:szCs w:val="24"/>
        </w:rPr>
        <w:t xml:space="preserve">released by the </w:t>
      </w:r>
      <w:r w:rsidR="00EA2965">
        <w:rPr>
          <w:rFonts w:ascii="Times New Roman" w:hAnsi="Times New Roman"/>
          <w:sz w:val="24"/>
          <w:szCs w:val="24"/>
        </w:rPr>
        <w:t>Government</w:t>
      </w:r>
      <w:r w:rsidRPr="00F064ED">
        <w:rPr>
          <w:rFonts w:ascii="Times New Roman" w:hAnsi="Times New Roman"/>
          <w:sz w:val="24"/>
          <w:szCs w:val="24"/>
        </w:rPr>
        <w:t xml:space="preserve"> </w:t>
      </w:r>
      <w:r>
        <w:rPr>
          <w:rFonts w:ascii="Times New Roman" w:hAnsi="Times New Roman"/>
          <w:sz w:val="24"/>
          <w:szCs w:val="24"/>
        </w:rPr>
        <w:t>in December 2015</w:t>
      </w:r>
      <w:r w:rsidRPr="00F064ED">
        <w:rPr>
          <w:rFonts w:ascii="Times New Roman" w:hAnsi="Times New Roman"/>
          <w:sz w:val="24"/>
          <w:szCs w:val="24"/>
        </w:rPr>
        <w:t xml:space="preserve">.  </w:t>
      </w:r>
      <w:r>
        <w:rPr>
          <w:rFonts w:ascii="Times New Roman" w:hAnsi="Times New Roman"/>
          <w:sz w:val="24"/>
          <w:szCs w:val="24"/>
        </w:rPr>
        <w:t xml:space="preserve">The </w:t>
      </w:r>
      <w:r w:rsidRPr="00E901CD">
        <w:rPr>
          <w:rFonts w:ascii="Times New Roman" w:hAnsi="Times New Roman"/>
          <w:i/>
          <w:sz w:val="24"/>
          <w:szCs w:val="24"/>
        </w:rPr>
        <w:t>Terrorism Insurance Act 2003 - Premiums Direction 2015</w:t>
      </w:r>
      <w:r>
        <w:rPr>
          <w:rFonts w:ascii="Times New Roman" w:hAnsi="Times New Roman"/>
          <w:sz w:val="24"/>
          <w:szCs w:val="24"/>
        </w:rPr>
        <w:t xml:space="preserve"> (the Direction) repeals </w:t>
      </w:r>
      <w:r w:rsidR="00AD343E">
        <w:rPr>
          <w:rFonts w:ascii="Times New Roman" w:hAnsi="Times New Roman"/>
          <w:sz w:val="24"/>
          <w:szCs w:val="24"/>
        </w:rPr>
        <w:t>t</w:t>
      </w:r>
      <w:r w:rsidR="00AD343E" w:rsidRPr="00AD343E">
        <w:rPr>
          <w:rFonts w:ascii="Times New Roman" w:hAnsi="Times New Roman"/>
          <w:sz w:val="24"/>
          <w:szCs w:val="24"/>
        </w:rPr>
        <w:t xml:space="preserve">he </w:t>
      </w:r>
      <w:r w:rsidR="00AD343E" w:rsidRPr="00AD343E">
        <w:rPr>
          <w:rFonts w:ascii="Times New Roman" w:hAnsi="Times New Roman"/>
          <w:i/>
          <w:sz w:val="24"/>
          <w:szCs w:val="24"/>
        </w:rPr>
        <w:t>Treasurer to Australian Reinsurance Pool Corporation (Premiums) Direction 2003</w:t>
      </w:r>
      <w:r w:rsidR="00AD343E">
        <w:rPr>
          <w:rFonts w:ascii="Times New Roman" w:hAnsi="Times New Roman"/>
          <w:sz w:val="24"/>
          <w:szCs w:val="24"/>
        </w:rPr>
        <w:t>,</w:t>
      </w:r>
      <w:r w:rsidR="00AD343E" w:rsidRPr="00AD343E">
        <w:rPr>
          <w:rFonts w:ascii="Times New Roman" w:hAnsi="Times New Roman"/>
          <w:sz w:val="24"/>
          <w:szCs w:val="24"/>
        </w:rPr>
        <w:t xml:space="preserve"> </w:t>
      </w:r>
      <w:r>
        <w:rPr>
          <w:rFonts w:ascii="Times New Roman" w:hAnsi="Times New Roman"/>
          <w:sz w:val="24"/>
          <w:szCs w:val="24"/>
        </w:rPr>
        <w:t xml:space="preserve">the </w:t>
      </w:r>
      <w:r>
        <w:rPr>
          <w:rFonts w:ascii="Times New Roman" w:hAnsi="Times New Roman"/>
          <w:i/>
          <w:sz w:val="24"/>
          <w:szCs w:val="24"/>
        </w:rPr>
        <w:t xml:space="preserve">Assistant </w:t>
      </w:r>
      <w:r w:rsidRPr="00F064ED">
        <w:rPr>
          <w:rFonts w:ascii="Times New Roman" w:hAnsi="Times New Roman"/>
          <w:i/>
          <w:sz w:val="24"/>
          <w:szCs w:val="24"/>
        </w:rPr>
        <w:t>Treasurer to Australian Reinsurance Pool Corpo</w:t>
      </w:r>
      <w:r>
        <w:rPr>
          <w:rFonts w:ascii="Times New Roman" w:hAnsi="Times New Roman"/>
          <w:i/>
          <w:sz w:val="24"/>
          <w:szCs w:val="24"/>
        </w:rPr>
        <w:t xml:space="preserve">ration (Premiums) Directions 2011, </w:t>
      </w:r>
      <w:r>
        <w:rPr>
          <w:rFonts w:ascii="Times New Roman" w:hAnsi="Times New Roman"/>
          <w:sz w:val="24"/>
          <w:szCs w:val="24"/>
        </w:rPr>
        <w:t xml:space="preserve">and implements one of the recommendations of the review. </w:t>
      </w:r>
    </w:p>
    <w:p w14:paraId="5553CB28" w14:textId="77777777" w:rsidR="004A3487" w:rsidRDefault="004A3487" w:rsidP="004A3487">
      <w:pPr>
        <w:tabs>
          <w:tab w:val="left" w:pos="1701"/>
          <w:tab w:val="right" w:pos="9072"/>
        </w:tabs>
        <w:ind w:right="91"/>
        <w:rPr>
          <w:rFonts w:ascii="Times New Roman" w:hAnsi="Times New Roman"/>
          <w:sz w:val="24"/>
          <w:szCs w:val="24"/>
        </w:rPr>
      </w:pPr>
      <w:r>
        <w:rPr>
          <w:rFonts w:ascii="Times New Roman" w:hAnsi="Times New Roman"/>
          <w:sz w:val="24"/>
          <w:szCs w:val="24"/>
        </w:rPr>
        <w:t xml:space="preserve">The Direction allocates all Australian postcodes to one of three ‘tiers’ which are broadly representative of risk.  Postcodes allocated to Tier </w:t>
      </w:r>
      <w:proofErr w:type="gramStart"/>
      <w:r>
        <w:rPr>
          <w:rFonts w:ascii="Times New Roman" w:hAnsi="Times New Roman"/>
          <w:sz w:val="24"/>
          <w:szCs w:val="24"/>
        </w:rPr>
        <w:t>A</w:t>
      </w:r>
      <w:proofErr w:type="gramEnd"/>
      <w:r>
        <w:rPr>
          <w:rFonts w:ascii="Times New Roman" w:hAnsi="Times New Roman"/>
          <w:sz w:val="24"/>
          <w:szCs w:val="24"/>
        </w:rPr>
        <w:t xml:space="preserve"> are those covering the CBD areas of Australian cities with a population of over one million.  Postcodes allocated to Tier B are those covering the urban areas of all State capital cities and cities with a population of over 100,000.  Postcodes allocated to Tier C are those postcodes not allocated to either Tier A or B.  The Direction also specifies a premium amount payable to the ARPC according to tiers. </w:t>
      </w:r>
    </w:p>
    <w:p w14:paraId="0AA5A323" w14:textId="77777777" w:rsidR="004A3487" w:rsidRDefault="004A3487" w:rsidP="004A3487">
      <w:pPr>
        <w:tabs>
          <w:tab w:val="left" w:pos="1701"/>
          <w:tab w:val="right" w:pos="9072"/>
        </w:tabs>
        <w:ind w:right="91"/>
        <w:rPr>
          <w:rFonts w:ascii="Times New Roman" w:hAnsi="Times New Roman"/>
          <w:sz w:val="24"/>
          <w:szCs w:val="24"/>
        </w:rPr>
      </w:pPr>
      <w:r>
        <w:rPr>
          <w:rFonts w:ascii="Times New Roman" w:hAnsi="Times New Roman"/>
          <w:sz w:val="24"/>
          <w:szCs w:val="24"/>
        </w:rPr>
        <w:t>As recommended by the review, the Direction formalises the adjustment to r</w:t>
      </w:r>
      <w:r w:rsidRPr="00F064ED">
        <w:rPr>
          <w:rFonts w:ascii="Times New Roman" w:hAnsi="Times New Roman"/>
          <w:sz w:val="24"/>
          <w:szCs w:val="24"/>
        </w:rPr>
        <w:t xml:space="preserve">einsurance premiums </w:t>
      </w:r>
      <w:r>
        <w:rPr>
          <w:rFonts w:ascii="Times New Roman" w:hAnsi="Times New Roman"/>
          <w:sz w:val="24"/>
          <w:szCs w:val="24"/>
        </w:rPr>
        <w:t xml:space="preserve">payable to the ARPC to 16 per cent, 5.3 per cent and 2.6 </w:t>
      </w:r>
      <w:r w:rsidRPr="00F064ED">
        <w:rPr>
          <w:rFonts w:ascii="Times New Roman" w:hAnsi="Times New Roman"/>
          <w:sz w:val="24"/>
          <w:szCs w:val="24"/>
        </w:rPr>
        <w:t xml:space="preserve">per cent of </w:t>
      </w:r>
      <w:r>
        <w:rPr>
          <w:rFonts w:ascii="Times New Roman" w:hAnsi="Times New Roman"/>
          <w:sz w:val="24"/>
          <w:szCs w:val="24"/>
        </w:rPr>
        <w:t xml:space="preserve">the insurer’s </w:t>
      </w:r>
      <w:r w:rsidRPr="00F064ED">
        <w:rPr>
          <w:rFonts w:ascii="Times New Roman" w:hAnsi="Times New Roman"/>
          <w:sz w:val="24"/>
          <w:szCs w:val="24"/>
        </w:rPr>
        <w:t xml:space="preserve">underlying </w:t>
      </w:r>
      <w:r>
        <w:rPr>
          <w:rFonts w:ascii="Times New Roman" w:hAnsi="Times New Roman"/>
          <w:sz w:val="24"/>
          <w:szCs w:val="24"/>
        </w:rPr>
        <w:t xml:space="preserve">premium income, for insured properties in postcodes in Tiers A, B and C respectively.  These rates have previously remained unchanged since they were set by the </w:t>
      </w:r>
      <w:r w:rsidRPr="00F064ED">
        <w:rPr>
          <w:rFonts w:ascii="Times New Roman" w:hAnsi="Times New Roman"/>
          <w:i/>
          <w:sz w:val="24"/>
          <w:szCs w:val="24"/>
        </w:rPr>
        <w:t>Treasurer to Australian Reinsurance Pool Corpo</w:t>
      </w:r>
      <w:r>
        <w:rPr>
          <w:rFonts w:ascii="Times New Roman" w:hAnsi="Times New Roman"/>
          <w:i/>
          <w:sz w:val="24"/>
          <w:szCs w:val="24"/>
        </w:rPr>
        <w:t>ration (Premiums) Direction 2003</w:t>
      </w:r>
      <w:r>
        <w:rPr>
          <w:rFonts w:ascii="Times New Roman" w:hAnsi="Times New Roman"/>
          <w:sz w:val="24"/>
          <w:szCs w:val="24"/>
        </w:rPr>
        <w:t xml:space="preserve">. </w:t>
      </w:r>
    </w:p>
    <w:p w14:paraId="0F7034E2" w14:textId="77777777" w:rsidR="004A3487" w:rsidRPr="00F064ED" w:rsidRDefault="004A3487" w:rsidP="004A3487">
      <w:pPr>
        <w:tabs>
          <w:tab w:val="left" w:pos="1701"/>
          <w:tab w:val="right" w:pos="9072"/>
        </w:tabs>
        <w:ind w:right="91"/>
        <w:rPr>
          <w:rFonts w:ascii="Times New Roman" w:hAnsi="Times New Roman"/>
          <w:sz w:val="24"/>
          <w:szCs w:val="24"/>
        </w:rPr>
      </w:pPr>
      <w:r>
        <w:rPr>
          <w:rFonts w:ascii="Times New Roman" w:hAnsi="Times New Roman"/>
          <w:sz w:val="24"/>
          <w:szCs w:val="24"/>
        </w:rPr>
        <w:t xml:space="preserve">The </w:t>
      </w:r>
      <w:r w:rsidRPr="00F064ED">
        <w:rPr>
          <w:rFonts w:ascii="Times New Roman" w:hAnsi="Times New Roman"/>
          <w:sz w:val="24"/>
          <w:szCs w:val="24"/>
        </w:rPr>
        <w:t xml:space="preserve">Direction is a legislative instrument for the purposes of the </w:t>
      </w:r>
      <w:r w:rsidRPr="00F064ED">
        <w:rPr>
          <w:rFonts w:ascii="Times New Roman" w:hAnsi="Times New Roman"/>
          <w:i/>
          <w:sz w:val="24"/>
          <w:szCs w:val="24"/>
        </w:rPr>
        <w:t>Legislative Instruments Act 2003</w:t>
      </w:r>
      <w:r w:rsidRPr="00F064ED">
        <w:rPr>
          <w:rFonts w:ascii="Times New Roman" w:hAnsi="Times New Roman"/>
          <w:sz w:val="24"/>
          <w:szCs w:val="24"/>
        </w:rPr>
        <w:t>.</w:t>
      </w:r>
      <w:r>
        <w:rPr>
          <w:rFonts w:ascii="Times New Roman" w:hAnsi="Times New Roman"/>
          <w:sz w:val="24"/>
          <w:szCs w:val="24"/>
        </w:rPr>
        <w:t xml:space="preserve"> </w:t>
      </w:r>
    </w:p>
    <w:p w14:paraId="5EA97A4C" w14:textId="77777777" w:rsidR="004A3487" w:rsidRPr="00307E21" w:rsidRDefault="004A3487" w:rsidP="004A3487">
      <w:pPr>
        <w:rPr>
          <w:rFonts w:ascii="Times New Roman" w:hAnsi="Times New Roman"/>
          <w:sz w:val="24"/>
        </w:rPr>
      </w:pPr>
      <w:r w:rsidRPr="00307E21">
        <w:rPr>
          <w:rFonts w:ascii="Times New Roman" w:hAnsi="Times New Roman"/>
          <w:sz w:val="24"/>
        </w:rPr>
        <w:t xml:space="preserve">The Regulation Impact Statement prepared for the purposes </w:t>
      </w:r>
      <w:r>
        <w:rPr>
          <w:rFonts w:ascii="Times New Roman" w:hAnsi="Times New Roman"/>
          <w:sz w:val="24"/>
        </w:rPr>
        <w:t>of the review is attached</w:t>
      </w:r>
      <w:r w:rsidRPr="00307E21">
        <w:rPr>
          <w:rFonts w:ascii="Times New Roman" w:hAnsi="Times New Roman"/>
          <w:sz w:val="24"/>
        </w:rPr>
        <w:t xml:space="preserve"> to this explanatory statement.  Consultation on the </w:t>
      </w:r>
      <w:r>
        <w:rPr>
          <w:rFonts w:ascii="Times New Roman" w:hAnsi="Times New Roman"/>
          <w:sz w:val="24"/>
        </w:rPr>
        <w:t>premiums is detailed at page 22 of the Attachment</w:t>
      </w:r>
      <w:r w:rsidRPr="00307E21">
        <w:rPr>
          <w:rFonts w:ascii="Times New Roman" w:hAnsi="Times New Roman"/>
          <w:sz w:val="24"/>
        </w:rPr>
        <w:t>.</w:t>
      </w:r>
      <w:r>
        <w:rPr>
          <w:rFonts w:ascii="Times New Roman" w:hAnsi="Times New Roman"/>
          <w:sz w:val="24"/>
        </w:rPr>
        <w:t xml:space="preserve"> </w:t>
      </w:r>
    </w:p>
    <w:p w14:paraId="26C5984B" w14:textId="77777777" w:rsidR="004A3487" w:rsidRDefault="004A3487" w:rsidP="004A3487">
      <w:pPr>
        <w:tabs>
          <w:tab w:val="left" w:pos="1701"/>
          <w:tab w:val="right" w:pos="9072"/>
        </w:tabs>
        <w:ind w:right="91"/>
        <w:rPr>
          <w:rFonts w:ascii="Times New Roman" w:hAnsi="Times New Roman"/>
          <w:sz w:val="24"/>
          <w:szCs w:val="24"/>
        </w:rPr>
      </w:pPr>
      <w:r>
        <w:rPr>
          <w:rFonts w:ascii="Times New Roman" w:hAnsi="Times New Roman"/>
          <w:sz w:val="24"/>
          <w:szCs w:val="24"/>
        </w:rPr>
        <w:t>The Direction commences</w:t>
      </w:r>
      <w:r w:rsidRPr="00F064ED">
        <w:rPr>
          <w:rFonts w:ascii="Times New Roman" w:hAnsi="Times New Roman"/>
          <w:sz w:val="24"/>
          <w:szCs w:val="24"/>
        </w:rPr>
        <w:t xml:space="preserve"> on </w:t>
      </w:r>
      <w:r>
        <w:rPr>
          <w:rFonts w:ascii="Times New Roman" w:hAnsi="Times New Roman"/>
          <w:sz w:val="24"/>
          <w:szCs w:val="24"/>
        </w:rPr>
        <w:t xml:space="preserve">1 April 2016. </w:t>
      </w:r>
    </w:p>
    <w:p w14:paraId="05703131" w14:textId="77777777" w:rsidR="004A3487" w:rsidRDefault="004A3487" w:rsidP="004A3487">
      <w:pPr>
        <w:spacing w:after="200" w:line="276" w:lineRule="auto"/>
        <w:jc w:val="left"/>
        <w:rPr>
          <w:rFonts w:ascii="Times New Roman" w:hAnsi="Times New Roman"/>
          <w:sz w:val="24"/>
          <w:szCs w:val="24"/>
        </w:rPr>
      </w:pPr>
      <w:r>
        <w:rPr>
          <w:rFonts w:ascii="Times New Roman" w:hAnsi="Times New Roman"/>
          <w:sz w:val="24"/>
          <w:szCs w:val="24"/>
        </w:rPr>
        <w:br w:type="page"/>
      </w:r>
    </w:p>
    <w:p w14:paraId="3C1BE444" w14:textId="77777777" w:rsidR="004A3487" w:rsidRPr="000D4F3C" w:rsidRDefault="004A3487" w:rsidP="004A3487">
      <w:pPr>
        <w:jc w:val="center"/>
        <w:rPr>
          <w:rFonts w:ascii="Times New Roman" w:hAnsi="Times New Roman"/>
          <w:i/>
          <w:sz w:val="24"/>
          <w:szCs w:val="24"/>
        </w:rPr>
      </w:pPr>
      <w:r w:rsidRPr="000D4F3C">
        <w:rPr>
          <w:rFonts w:ascii="Times New Roman" w:hAnsi="Times New Roman"/>
          <w:i/>
          <w:sz w:val="24"/>
          <w:szCs w:val="24"/>
        </w:rPr>
        <w:lastRenderedPageBreak/>
        <w:t>Prepared in accordance with Part 3 of the Human Rights (Parliamentary Scrutiny) Act 2011</w:t>
      </w:r>
    </w:p>
    <w:p w14:paraId="1510D8C7" w14:textId="77777777" w:rsidR="004A3487" w:rsidRPr="00F064ED" w:rsidRDefault="004A3487" w:rsidP="004A3487">
      <w:pPr>
        <w:jc w:val="center"/>
        <w:rPr>
          <w:rFonts w:ascii="Times New Roman" w:hAnsi="Times New Roman"/>
          <w:i/>
          <w:sz w:val="24"/>
          <w:szCs w:val="24"/>
        </w:rPr>
      </w:pPr>
      <w:r w:rsidRPr="00F064ED">
        <w:rPr>
          <w:rFonts w:ascii="Times New Roman" w:hAnsi="Times New Roman"/>
          <w:i/>
          <w:sz w:val="24"/>
          <w:szCs w:val="24"/>
        </w:rPr>
        <w:t>Terrorism Insurance Act 2003</w:t>
      </w:r>
      <w:r>
        <w:rPr>
          <w:rFonts w:ascii="Times New Roman" w:hAnsi="Times New Roman"/>
          <w:i/>
          <w:sz w:val="24"/>
          <w:szCs w:val="24"/>
        </w:rPr>
        <w:t xml:space="preserve"> - Premiums Direction 2015</w:t>
      </w:r>
    </w:p>
    <w:p w14:paraId="4258F620" w14:textId="77777777" w:rsidR="004A3487" w:rsidRPr="000D4F3C" w:rsidRDefault="004A3487" w:rsidP="004A3487">
      <w:pPr>
        <w:jc w:val="left"/>
        <w:rPr>
          <w:rFonts w:ascii="Times New Roman" w:hAnsi="Times New Roman"/>
          <w:sz w:val="24"/>
          <w:szCs w:val="24"/>
        </w:rPr>
      </w:pPr>
      <w:r w:rsidRPr="000D4F3C">
        <w:rPr>
          <w:rFonts w:ascii="Times New Roman" w:hAnsi="Times New Roman"/>
          <w:sz w:val="24"/>
          <w:szCs w:val="24"/>
        </w:rPr>
        <w:t xml:space="preserve">This Legislative Instrument is compatible with the human rights and freedoms recognised or declared in the international instruments listed in section 3 of the </w:t>
      </w:r>
      <w:r w:rsidRPr="008038DD">
        <w:rPr>
          <w:rFonts w:ascii="Times New Roman" w:hAnsi="Times New Roman"/>
          <w:i/>
          <w:sz w:val="24"/>
          <w:szCs w:val="24"/>
        </w:rPr>
        <w:t>Human Rights (Parliamentary Scrutiny) Act 2011</w:t>
      </w:r>
      <w:r w:rsidRPr="000D4F3C">
        <w:rPr>
          <w:rFonts w:ascii="Times New Roman" w:hAnsi="Times New Roman"/>
          <w:sz w:val="24"/>
          <w:szCs w:val="24"/>
        </w:rPr>
        <w:t>.</w:t>
      </w:r>
    </w:p>
    <w:p w14:paraId="69E70D6D" w14:textId="77777777" w:rsidR="004A3487" w:rsidRPr="000D4F3C" w:rsidRDefault="004A3487" w:rsidP="004A3487">
      <w:pPr>
        <w:jc w:val="left"/>
        <w:rPr>
          <w:rFonts w:ascii="Times New Roman" w:hAnsi="Times New Roman"/>
          <w:b/>
          <w:sz w:val="24"/>
          <w:szCs w:val="24"/>
        </w:rPr>
      </w:pPr>
      <w:r w:rsidRPr="000D4F3C">
        <w:rPr>
          <w:rFonts w:ascii="Times New Roman" w:hAnsi="Times New Roman"/>
          <w:b/>
          <w:sz w:val="24"/>
          <w:szCs w:val="24"/>
        </w:rPr>
        <w:t>Overview of the Legislative Instrument</w:t>
      </w:r>
    </w:p>
    <w:p w14:paraId="5FFB0CB3" w14:textId="77777777" w:rsidR="004A3487" w:rsidRPr="000D4F3C" w:rsidRDefault="004A3487" w:rsidP="004A3487">
      <w:pPr>
        <w:jc w:val="left"/>
        <w:rPr>
          <w:rFonts w:ascii="Times New Roman" w:hAnsi="Times New Roman"/>
          <w:sz w:val="24"/>
          <w:szCs w:val="24"/>
        </w:rPr>
      </w:pPr>
      <w:r w:rsidRPr="000D4F3C">
        <w:rPr>
          <w:rFonts w:ascii="Times New Roman" w:hAnsi="Times New Roman"/>
          <w:sz w:val="24"/>
          <w:szCs w:val="24"/>
        </w:rPr>
        <w:t xml:space="preserve">The </w:t>
      </w:r>
      <w:r w:rsidRPr="00F064ED">
        <w:rPr>
          <w:rFonts w:ascii="Times New Roman" w:hAnsi="Times New Roman"/>
          <w:i/>
          <w:sz w:val="24"/>
          <w:szCs w:val="24"/>
        </w:rPr>
        <w:t>Terrorism Insurance Act 2003</w:t>
      </w:r>
      <w:r>
        <w:rPr>
          <w:rFonts w:ascii="Times New Roman" w:hAnsi="Times New Roman"/>
          <w:i/>
          <w:sz w:val="24"/>
          <w:szCs w:val="24"/>
        </w:rPr>
        <w:t xml:space="preserve"> - Premiums Direction 2015 </w:t>
      </w:r>
      <w:r>
        <w:rPr>
          <w:rFonts w:ascii="Times New Roman" w:hAnsi="Times New Roman"/>
          <w:sz w:val="24"/>
          <w:szCs w:val="24"/>
        </w:rPr>
        <w:t xml:space="preserve">(the Direction) allocates all Australian postcodes to one of three ‘tiers’ which are broadly representative of risk.  The Direction also sets the premiums payable to the Australian Reinsurance Pool Corporation for each of the three tiers. </w:t>
      </w:r>
    </w:p>
    <w:p w14:paraId="3D2323C4" w14:textId="77777777" w:rsidR="004A3487" w:rsidRPr="000D4F3C" w:rsidRDefault="004A3487" w:rsidP="004A3487">
      <w:pPr>
        <w:jc w:val="left"/>
        <w:rPr>
          <w:rFonts w:ascii="Times New Roman" w:hAnsi="Times New Roman"/>
          <w:b/>
          <w:sz w:val="24"/>
          <w:szCs w:val="24"/>
        </w:rPr>
      </w:pPr>
      <w:r w:rsidRPr="000D4F3C">
        <w:rPr>
          <w:rFonts w:ascii="Times New Roman" w:hAnsi="Times New Roman"/>
          <w:b/>
          <w:sz w:val="24"/>
          <w:szCs w:val="24"/>
        </w:rPr>
        <w:t>Human rights implications</w:t>
      </w:r>
    </w:p>
    <w:p w14:paraId="081FEFE5" w14:textId="77777777" w:rsidR="004A3487" w:rsidRPr="000D4F3C" w:rsidRDefault="004A3487" w:rsidP="004A3487">
      <w:pPr>
        <w:jc w:val="left"/>
        <w:rPr>
          <w:rFonts w:ascii="Times New Roman" w:hAnsi="Times New Roman"/>
          <w:sz w:val="24"/>
          <w:szCs w:val="24"/>
        </w:rPr>
      </w:pPr>
      <w:r w:rsidRPr="000D4F3C">
        <w:rPr>
          <w:rFonts w:ascii="Times New Roman" w:hAnsi="Times New Roman"/>
          <w:sz w:val="24"/>
          <w:szCs w:val="24"/>
        </w:rPr>
        <w:t>This Legislative Instrument does not engage any of the applicable rights or freedoms.</w:t>
      </w:r>
    </w:p>
    <w:p w14:paraId="4C42E7ED" w14:textId="77777777" w:rsidR="004A3487" w:rsidRPr="000D4F3C" w:rsidRDefault="004A3487" w:rsidP="004A3487">
      <w:pPr>
        <w:jc w:val="left"/>
        <w:rPr>
          <w:rFonts w:ascii="Times New Roman" w:hAnsi="Times New Roman"/>
          <w:b/>
          <w:sz w:val="24"/>
          <w:szCs w:val="24"/>
        </w:rPr>
      </w:pPr>
      <w:r w:rsidRPr="000D4F3C">
        <w:rPr>
          <w:rFonts w:ascii="Times New Roman" w:hAnsi="Times New Roman"/>
          <w:b/>
          <w:sz w:val="24"/>
          <w:szCs w:val="24"/>
        </w:rPr>
        <w:t>Conclusion</w:t>
      </w:r>
      <w:bookmarkStart w:id="13" w:name="_GoBack"/>
      <w:bookmarkEnd w:id="13"/>
    </w:p>
    <w:p w14:paraId="3DC850BB" w14:textId="77777777" w:rsidR="004A3487" w:rsidRDefault="004A3487" w:rsidP="004A3487">
      <w:pPr>
        <w:jc w:val="left"/>
        <w:rPr>
          <w:rFonts w:ascii="Times New Roman" w:hAnsi="Times New Roman"/>
          <w:sz w:val="24"/>
          <w:szCs w:val="24"/>
        </w:rPr>
      </w:pPr>
      <w:r w:rsidRPr="000D4F3C">
        <w:rPr>
          <w:rFonts w:ascii="Times New Roman" w:hAnsi="Times New Roman"/>
          <w:sz w:val="24"/>
          <w:szCs w:val="24"/>
        </w:rPr>
        <w:t xml:space="preserve">This Legislative Instrument is compatible with human rights as it does not raise any human </w:t>
      </w:r>
      <w:proofErr w:type="gramStart"/>
      <w:r w:rsidRPr="000D4F3C">
        <w:rPr>
          <w:rFonts w:ascii="Times New Roman" w:hAnsi="Times New Roman"/>
          <w:sz w:val="24"/>
          <w:szCs w:val="24"/>
        </w:rPr>
        <w:t>rights</w:t>
      </w:r>
      <w:proofErr w:type="gramEnd"/>
      <w:r w:rsidRPr="000D4F3C">
        <w:rPr>
          <w:rFonts w:ascii="Times New Roman" w:hAnsi="Times New Roman"/>
          <w:sz w:val="24"/>
          <w:szCs w:val="24"/>
        </w:rPr>
        <w:t xml:space="preserve"> issues.</w:t>
      </w:r>
    </w:p>
    <w:p w14:paraId="3B7AF3E8" w14:textId="77777777" w:rsidR="004A3487" w:rsidRDefault="004A3487" w:rsidP="00477DED">
      <w:pPr>
        <w:pStyle w:val="Figuregraphic"/>
        <w:spacing w:after="0" w:line="240" w:lineRule="auto"/>
        <w:rPr>
          <w:sz w:val="2"/>
          <w:szCs w:val="2"/>
        </w:rPr>
        <w:sectPr w:rsidR="004A3487" w:rsidSect="004A3487">
          <w:headerReference w:type="even" r:id="rId14"/>
          <w:headerReference w:type="default" r:id="rId15"/>
          <w:footerReference w:type="default" r:id="rId16"/>
          <w:pgSz w:w="11906" w:h="16838" w:code="9"/>
          <w:pgMar w:top="1440" w:right="1440" w:bottom="1440" w:left="1440" w:header="709" w:footer="709" w:gutter="0"/>
          <w:pgNumType w:fmt="lowerRoman" w:start="1"/>
          <w:cols w:space="708"/>
          <w:titlePg/>
          <w:docGrid w:linePitch="360"/>
        </w:sectPr>
      </w:pPr>
    </w:p>
    <w:p w14:paraId="7AA8BC71" w14:textId="046F4371" w:rsidR="009136F7" w:rsidRPr="00477DED" w:rsidRDefault="009136F7" w:rsidP="00477DED">
      <w:pPr>
        <w:pStyle w:val="Figuregraphic"/>
        <w:spacing w:after="0" w:line="240" w:lineRule="auto"/>
        <w:rPr>
          <w:sz w:val="2"/>
          <w:szCs w:val="2"/>
        </w:rPr>
      </w:pPr>
      <w:r w:rsidRPr="00477DED">
        <w:rPr>
          <w:noProof/>
          <w:sz w:val="2"/>
          <w:szCs w:val="2"/>
        </w:rPr>
        <w:lastRenderedPageBreak/>
        <w:drawing>
          <wp:anchor distT="0" distB="0" distL="114300" distR="114300" simplePos="0" relativeHeight="251658241" behindDoc="0" locked="0" layoutInCell="1" allowOverlap="1" wp14:anchorId="2AF91278" wp14:editId="30465B3D">
            <wp:simplePos x="0" y="0"/>
            <wp:positionH relativeFrom="margin">
              <wp:posOffset>2105660</wp:posOffset>
            </wp:positionH>
            <wp:positionV relativeFrom="paragraph">
              <wp:posOffset>-3590925</wp:posOffset>
            </wp:positionV>
            <wp:extent cx="1572260" cy="972185"/>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Treasury_stacked.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72260" cy="972185"/>
                    </a:xfrm>
                    <a:prstGeom prst="rect">
                      <a:avLst/>
                    </a:prstGeom>
                  </pic:spPr>
                </pic:pic>
              </a:graphicData>
            </a:graphic>
            <wp14:sizeRelH relativeFrom="page">
              <wp14:pctWidth>0</wp14:pctWidth>
            </wp14:sizeRelH>
            <wp14:sizeRelV relativeFrom="page">
              <wp14:pctHeight>0</wp14:pctHeight>
            </wp14:sizeRelV>
          </wp:anchor>
        </w:drawing>
      </w:r>
    </w:p>
    <w:p w14:paraId="36523BA1" w14:textId="77777777" w:rsidR="00D85D73" w:rsidRPr="00477DED" w:rsidRDefault="00D85D73" w:rsidP="00477DED">
      <w:pPr>
        <w:pStyle w:val="CoverTitleMain"/>
      </w:pPr>
      <w:r w:rsidRPr="00477DED">
        <w:t>Terrorism Insurance Act</w:t>
      </w:r>
      <w:bookmarkEnd w:id="0"/>
      <w:bookmarkEnd w:id="1"/>
      <w:bookmarkEnd w:id="2"/>
      <w:bookmarkEnd w:id="3"/>
      <w:bookmarkEnd w:id="4"/>
      <w:bookmarkEnd w:id="5"/>
      <w:bookmarkEnd w:id="6"/>
      <w:bookmarkEnd w:id="7"/>
      <w:bookmarkEnd w:id="8"/>
      <w:bookmarkEnd w:id="9"/>
      <w:bookmarkEnd w:id="10"/>
      <w:bookmarkEnd w:id="11"/>
      <w:bookmarkEnd w:id="12"/>
    </w:p>
    <w:p w14:paraId="0BC65DA4" w14:textId="73946931" w:rsidR="00D85D73" w:rsidRDefault="00D85D73" w:rsidP="00477DED">
      <w:pPr>
        <w:pStyle w:val="CoverTitleSub"/>
      </w:pPr>
      <w:bookmarkStart w:id="14" w:name="_Toc321133390"/>
      <w:bookmarkStart w:id="15" w:name="_Toc321134069"/>
      <w:bookmarkStart w:id="16" w:name="_Toc321134166"/>
      <w:bookmarkStart w:id="17" w:name="_Toc405808759"/>
      <w:bookmarkStart w:id="18" w:name="_Toc406155129"/>
      <w:bookmarkStart w:id="19" w:name="_Toc406424582"/>
      <w:bookmarkStart w:id="20" w:name="_Toc408413460"/>
      <w:bookmarkStart w:id="21" w:name="_Toc408414174"/>
      <w:bookmarkStart w:id="22" w:name="_Toc409191081"/>
      <w:bookmarkStart w:id="23" w:name="_Toc409618514"/>
      <w:bookmarkStart w:id="24" w:name="_Toc409630045"/>
      <w:bookmarkStart w:id="25" w:name="_Toc410229537"/>
      <w:bookmarkStart w:id="26" w:name="_Toc410302172"/>
      <w:r w:rsidRPr="00082936">
        <w:t>Review: 201</w:t>
      </w:r>
      <w:bookmarkEnd w:id="14"/>
      <w:bookmarkEnd w:id="15"/>
      <w:bookmarkEnd w:id="16"/>
      <w:r w:rsidRPr="00082936">
        <w:t>5</w:t>
      </w:r>
      <w:bookmarkEnd w:id="17"/>
      <w:bookmarkEnd w:id="18"/>
      <w:bookmarkEnd w:id="19"/>
      <w:bookmarkEnd w:id="20"/>
      <w:bookmarkEnd w:id="21"/>
      <w:bookmarkEnd w:id="22"/>
      <w:bookmarkEnd w:id="23"/>
      <w:bookmarkEnd w:id="24"/>
      <w:bookmarkEnd w:id="25"/>
      <w:bookmarkEnd w:id="26"/>
    </w:p>
    <w:p w14:paraId="5403215D" w14:textId="77777777" w:rsidR="00D85D73" w:rsidRDefault="00D85D73" w:rsidP="00477DED">
      <w:pPr>
        <w:pStyle w:val="CoverTitleSub"/>
        <w:sectPr w:rsidR="00D85D73" w:rsidSect="00FC1F7A">
          <w:pgSz w:w="11906" w:h="16838" w:code="9"/>
          <w:pgMar w:top="1440" w:right="1440" w:bottom="1440" w:left="1440" w:header="709" w:footer="709" w:gutter="0"/>
          <w:pgNumType w:fmt="lowerRoman" w:start="1"/>
          <w:cols w:space="708"/>
          <w:vAlign w:val="center"/>
          <w:titlePg/>
          <w:docGrid w:linePitch="360"/>
        </w:sectPr>
      </w:pPr>
    </w:p>
    <w:p w14:paraId="1723BCE3" w14:textId="77777777" w:rsidR="00843828" w:rsidRPr="00843828" w:rsidRDefault="00843828" w:rsidP="00843828">
      <w:pPr>
        <w:rPr>
          <w:rFonts w:eastAsia="Calibri"/>
        </w:rPr>
      </w:pPr>
      <w:r w:rsidRPr="00843828">
        <w:rPr>
          <w:rFonts w:eastAsia="Calibri"/>
        </w:rPr>
        <w:lastRenderedPageBreak/>
        <w:t>© Commonwealth of Australia 2015</w:t>
      </w:r>
    </w:p>
    <w:p w14:paraId="51120A9C" w14:textId="77777777" w:rsidR="00843828" w:rsidRPr="00843828" w:rsidRDefault="00843828" w:rsidP="00843828">
      <w:pPr>
        <w:rPr>
          <w:rFonts w:eastAsia="Calibri"/>
        </w:rPr>
      </w:pPr>
      <w:r w:rsidRPr="00843828">
        <w:rPr>
          <w:rFonts w:eastAsia="Calibri"/>
        </w:rPr>
        <w:t>ISBN 978</w:t>
      </w:r>
      <w:r w:rsidR="008A07A0">
        <w:rPr>
          <w:rFonts w:eastAsia="Calibri"/>
        </w:rPr>
        <w:noBreakHyphen/>
      </w:r>
      <w:r w:rsidRPr="00843828">
        <w:rPr>
          <w:rFonts w:eastAsia="Calibri"/>
        </w:rPr>
        <w:t>1</w:t>
      </w:r>
      <w:r w:rsidR="008A07A0">
        <w:rPr>
          <w:rFonts w:eastAsia="Calibri"/>
        </w:rPr>
        <w:noBreakHyphen/>
      </w:r>
      <w:r w:rsidRPr="00843828">
        <w:rPr>
          <w:rFonts w:eastAsia="Calibri"/>
        </w:rPr>
        <w:t>925220</w:t>
      </w:r>
      <w:r w:rsidR="008A07A0">
        <w:rPr>
          <w:rFonts w:eastAsia="Calibri"/>
        </w:rPr>
        <w:noBreakHyphen/>
      </w:r>
      <w:r w:rsidRPr="00843828">
        <w:rPr>
          <w:rFonts w:eastAsia="Calibri"/>
        </w:rPr>
        <w:t>35</w:t>
      </w:r>
      <w:r w:rsidR="008A07A0">
        <w:rPr>
          <w:rFonts w:eastAsia="Calibri"/>
        </w:rPr>
        <w:noBreakHyphen/>
      </w:r>
      <w:r w:rsidRPr="00843828">
        <w:rPr>
          <w:rFonts w:eastAsia="Calibri"/>
        </w:rPr>
        <w:t>3</w:t>
      </w:r>
    </w:p>
    <w:p w14:paraId="3C2DDAB7" w14:textId="77777777" w:rsidR="00843828" w:rsidRPr="00843828" w:rsidRDefault="00843828" w:rsidP="00843828">
      <w:pPr>
        <w:rPr>
          <w:rFonts w:eastAsia="Calibri"/>
        </w:rPr>
      </w:pPr>
      <w:r w:rsidRPr="00843828">
        <w:rPr>
          <w:rFonts w:eastAsia="Calibri"/>
        </w:rPr>
        <w:t xml:space="preserve">This publication is available for your use under a </w:t>
      </w:r>
      <w:hyperlink r:id="rId18" w:history="1">
        <w:r w:rsidRPr="00843828">
          <w:rPr>
            <w:rStyle w:val="Hyperlink"/>
            <w:rFonts w:eastAsia="Calibri"/>
          </w:rPr>
          <w:t>Creative Commons BY Attribution 3.0 Australia</w:t>
        </w:r>
      </w:hyperlink>
      <w:r w:rsidRPr="00843828">
        <w:rPr>
          <w:rFonts w:eastAsia="Calibri"/>
        </w:rPr>
        <w:t xml:space="preserve"> licence, with the exception of the Commonwealth Coat of Arms, the Treasury logo, photographs, images, signatures and where otherwise stated. The full licence terms are available from </w:t>
      </w:r>
      <w:hyperlink r:id="rId19" w:history="1">
        <w:r w:rsidRPr="00843828">
          <w:rPr>
            <w:rStyle w:val="Hyperlink"/>
            <w:rFonts w:eastAsia="Calibri"/>
          </w:rPr>
          <w:t>http://creativecommons.org/licenses/by/3.0/au/legalcode</w:t>
        </w:r>
      </w:hyperlink>
      <w:r w:rsidRPr="00843828">
        <w:rPr>
          <w:rFonts w:eastAsia="Calibri"/>
        </w:rPr>
        <w:t>.</w:t>
      </w:r>
    </w:p>
    <w:p w14:paraId="462C625E" w14:textId="77777777" w:rsidR="00843828" w:rsidRPr="00843828" w:rsidRDefault="00843828" w:rsidP="00843828">
      <w:pPr>
        <w:tabs>
          <w:tab w:val="left" w:pos="1650"/>
        </w:tabs>
        <w:spacing w:before="100" w:beforeAutospacing="1" w:after="100" w:afterAutospacing="1" w:line="276" w:lineRule="auto"/>
        <w:jc w:val="left"/>
        <w:rPr>
          <w:rFonts w:eastAsia="Calibri" w:cs="Calibri"/>
          <w:sz w:val="24"/>
          <w:szCs w:val="24"/>
          <w:lang w:eastAsia="en-US"/>
        </w:rPr>
      </w:pPr>
      <w:r>
        <w:rPr>
          <w:rFonts w:eastAsia="Calibri" w:cs="Calibri"/>
          <w:noProof/>
          <w:sz w:val="24"/>
          <w:szCs w:val="24"/>
        </w:rPr>
        <w:drawing>
          <wp:inline distT="0" distB="0" distL="0" distR="0" wp14:anchorId="1626FE3E" wp14:editId="70F44425">
            <wp:extent cx="814070" cy="283210"/>
            <wp:effectExtent l="0" t="0" r="5080" b="2540"/>
            <wp:docPr id="3" name="Picture 3" descr="CC by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4070" cy="283210"/>
                    </a:xfrm>
                    <a:prstGeom prst="rect">
                      <a:avLst/>
                    </a:prstGeom>
                    <a:noFill/>
                    <a:ln>
                      <a:noFill/>
                    </a:ln>
                  </pic:spPr>
                </pic:pic>
              </a:graphicData>
            </a:graphic>
          </wp:inline>
        </w:drawing>
      </w:r>
    </w:p>
    <w:p w14:paraId="2FC6795B" w14:textId="77777777" w:rsidR="00843828" w:rsidRPr="00843828" w:rsidRDefault="00843828" w:rsidP="00843828">
      <w:pPr>
        <w:rPr>
          <w:rFonts w:eastAsia="Calibri"/>
        </w:rPr>
      </w:pPr>
      <w:r w:rsidRPr="00843828">
        <w:rPr>
          <w:rFonts w:eastAsia="Calibri"/>
        </w:rPr>
        <w:t xml:space="preserve">Use of Treasury material under a </w:t>
      </w:r>
      <w:hyperlink r:id="rId21" w:history="1">
        <w:r w:rsidRPr="00843828">
          <w:rPr>
            <w:rStyle w:val="Hyperlink"/>
            <w:rFonts w:eastAsia="Calibri"/>
          </w:rPr>
          <w:t>Creative Commons BY Attribution 3.0 Australia</w:t>
        </w:r>
      </w:hyperlink>
      <w:r w:rsidRPr="00843828">
        <w:rPr>
          <w:rFonts w:eastAsia="Calibri"/>
        </w:rPr>
        <w:t xml:space="preserve"> licence requires you to attribute the work (but not in any way that suggests that the Treasury endorses you or your use of the work).</w:t>
      </w:r>
    </w:p>
    <w:p w14:paraId="6C2A5D4A" w14:textId="77777777" w:rsidR="00843828" w:rsidRPr="00843828" w:rsidRDefault="00843828" w:rsidP="00843828">
      <w:pPr>
        <w:spacing w:after="200" w:line="276" w:lineRule="auto"/>
        <w:ind w:firstLine="720"/>
        <w:jc w:val="left"/>
        <w:rPr>
          <w:rFonts w:eastAsia="Calibri"/>
          <w:i/>
          <w:color w:val="auto"/>
          <w:szCs w:val="22"/>
          <w:lang w:eastAsia="en-US"/>
        </w:rPr>
      </w:pPr>
      <w:proofErr w:type="gramStart"/>
      <w:r w:rsidRPr="00843828">
        <w:rPr>
          <w:rFonts w:eastAsia="Calibri"/>
          <w:i/>
          <w:color w:val="auto"/>
          <w:szCs w:val="22"/>
          <w:lang w:eastAsia="en-US"/>
        </w:rPr>
        <w:t xml:space="preserve">Treasury material used </w:t>
      </w:r>
      <w:r w:rsidR="008A07A0">
        <w:rPr>
          <w:rFonts w:eastAsia="Calibri"/>
          <w:i/>
          <w:color w:val="auto"/>
          <w:szCs w:val="22"/>
          <w:lang w:eastAsia="en-US"/>
        </w:rPr>
        <w:t>‘</w:t>
      </w:r>
      <w:r w:rsidRPr="00843828">
        <w:rPr>
          <w:rFonts w:eastAsia="Calibri"/>
          <w:i/>
          <w:color w:val="auto"/>
          <w:szCs w:val="22"/>
          <w:lang w:eastAsia="en-US"/>
        </w:rPr>
        <w:t>as supplied</w:t>
      </w:r>
      <w:r w:rsidR="008A07A0">
        <w:rPr>
          <w:rFonts w:eastAsia="Calibri"/>
          <w:i/>
          <w:color w:val="auto"/>
          <w:szCs w:val="22"/>
          <w:lang w:eastAsia="en-US"/>
        </w:rPr>
        <w:t>’</w:t>
      </w:r>
      <w:r w:rsidRPr="00843828">
        <w:rPr>
          <w:rFonts w:eastAsia="Calibri"/>
          <w:i/>
          <w:color w:val="auto"/>
          <w:szCs w:val="22"/>
          <w:lang w:eastAsia="en-US"/>
        </w:rPr>
        <w:t>.</w:t>
      </w:r>
      <w:proofErr w:type="gramEnd"/>
    </w:p>
    <w:p w14:paraId="3049D9CB" w14:textId="77777777" w:rsidR="00843828" w:rsidRPr="00843828" w:rsidRDefault="00843828" w:rsidP="00843828">
      <w:pPr>
        <w:rPr>
          <w:rFonts w:eastAsia="Calibri"/>
        </w:rPr>
      </w:pPr>
      <w:r w:rsidRPr="00843828">
        <w:rPr>
          <w:rFonts w:eastAsia="Calibri"/>
        </w:rPr>
        <w:t>Provided you have not modified or transformed Treasury material in any way including, for example, by changing the Treasury text; calculating percentage changes; graphing or charting data; or deriving new statistics from published Treasury statistics — then Treasury prefers the following attribution:</w:t>
      </w:r>
    </w:p>
    <w:p w14:paraId="1C35089B" w14:textId="77777777" w:rsidR="00843828" w:rsidRPr="00843828" w:rsidRDefault="00843828" w:rsidP="00843828">
      <w:pPr>
        <w:spacing w:after="200" w:line="276" w:lineRule="auto"/>
        <w:ind w:firstLine="720"/>
        <w:jc w:val="left"/>
        <w:rPr>
          <w:rFonts w:eastAsia="Calibri"/>
          <w:color w:val="auto"/>
          <w:szCs w:val="22"/>
          <w:lang w:eastAsia="en-US"/>
        </w:rPr>
      </w:pPr>
      <w:r w:rsidRPr="00843828">
        <w:rPr>
          <w:rFonts w:eastAsia="Calibri"/>
          <w:i/>
          <w:color w:val="auto"/>
          <w:szCs w:val="22"/>
          <w:lang w:eastAsia="en-US"/>
        </w:rPr>
        <w:t xml:space="preserve">Source: The </w:t>
      </w:r>
      <w:r w:rsidRPr="00843828">
        <w:rPr>
          <w:rFonts w:eastAsia="Calibri"/>
          <w:i/>
          <w:iCs/>
          <w:color w:val="auto"/>
          <w:szCs w:val="22"/>
          <w:lang w:eastAsia="en-US"/>
        </w:rPr>
        <w:t>Australian Government the Treasury</w:t>
      </w:r>
      <w:r>
        <w:rPr>
          <w:rFonts w:eastAsia="Calibri"/>
          <w:i/>
          <w:iCs/>
          <w:color w:val="auto"/>
          <w:szCs w:val="22"/>
          <w:lang w:eastAsia="en-US"/>
        </w:rPr>
        <w:t>.</w:t>
      </w:r>
    </w:p>
    <w:p w14:paraId="3997DD34" w14:textId="77777777" w:rsidR="00843828" w:rsidRPr="00843828" w:rsidRDefault="00843828" w:rsidP="00843828">
      <w:pPr>
        <w:spacing w:after="200" w:line="276" w:lineRule="auto"/>
        <w:jc w:val="left"/>
        <w:rPr>
          <w:rFonts w:eastAsia="Calibri"/>
          <w:b/>
          <w:color w:val="auto"/>
          <w:szCs w:val="22"/>
          <w:lang w:eastAsia="en-US"/>
        </w:rPr>
      </w:pPr>
      <w:r w:rsidRPr="00843828">
        <w:rPr>
          <w:rFonts w:eastAsia="Calibri"/>
          <w:b/>
          <w:color w:val="auto"/>
          <w:szCs w:val="22"/>
          <w:lang w:eastAsia="en-US"/>
        </w:rPr>
        <w:t>Derivative material</w:t>
      </w:r>
    </w:p>
    <w:p w14:paraId="120DE4E4" w14:textId="77777777" w:rsidR="00843828" w:rsidRPr="00843828" w:rsidRDefault="00843828" w:rsidP="00843828">
      <w:pPr>
        <w:rPr>
          <w:rFonts w:eastAsia="Calibri"/>
        </w:rPr>
      </w:pPr>
      <w:r w:rsidRPr="00843828">
        <w:rPr>
          <w:rFonts w:eastAsia="Calibri"/>
        </w:rPr>
        <w:t>If you have modified or transformed Treasury material, or derived new material from those of the Treasury in any way, then Treasury prefers the following attribution:</w:t>
      </w:r>
    </w:p>
    <w:p w14:paraId="3A12BFDE" w14:textId="77777777" w:rsidR="00843828" w:rsidRPr="00843828" w:rsidRDefault="00843828" w:rsidP="00843828">
      <w:pPr>
        <w:spacing w:after="200" w:line="276" w:lineRule="auto"/>
        <w:ind w:firstLine="720"/>
        <w:jc w:val="left"/>
        <w:rPr>
          <w:rFonts w:eastAsia="Calibri"/>
          <w:color w:val="auto"/>
          <w:szCs w:val="22"/>
          <w:lang w:eastAsia="en-US"/>
        </w:rPr>
      </w:pPr>
      <w:proofErr w:type="gramStart"/>
      <w:r w:rsidRPr="00843828">
        <w:rPr>
          <w:rFonts w:eastAsia="Calibri"/>
          <w:i/>
          <w:color w:val="auto"/>
          <w:szCs w:val="22"/>
          <w:lang w:eastAsia="en-US"/>
        </w:rPr>
        <w:t>Based on The Australian Government the Treasury data</w:t>
      </w:r>
      <w:r>
        <w:rPr>
          <w:rFonts w:eastAsia="Calibri"/>
          <w:i/>
          <w:color w:val="auto"/>
          <w:szCs w:val="22"/>
          <w:lang w:eastAsia="en-US"/>
        </w:rPr>
        <w:t>.</w:t>
      </w:r>
      <w:proofErr w:type="gramEnd"/>
    </w:p>
    <w:p w14:paraId="7C577499" w14:textId="77777777" w:rsidR="00843828" w:rsidRPr="00843828" w:rsidRDefault="00843828" w:rsidP="00843828">
      <w:pPr>
        <w:spacing w:after="40" w:line="276" w:lineRule="auto"/>
        <w:jc w:val="left"/>
        <w:rPr>
          <w:rFonts w:eastAsia="Calibri"/>
          <w:b/>
          <w:color w:val="auto"/>
          <w:szCs w:val="22"/>
          <w:lang w:eastAsia="en-US"/>
        </w:rPr>
      </w:pPr>
      <w:r w:rsidRPr="00843828">
        <w:rPr>
          <w:rFonts w:eastAsia="Calibri"/>
          <w:b/>
          <w:color w:val="auto"/>
          <w:szCs w:val="22"/>
          <w:lang w:eastAsia="en-US"/>
        </w:rPr>
        <w:t>Use of the Coat of Arms</w:t>
      </w:r>
    </w:p>
    <w:p w14:paraId="42210054" w14:textId="77777777" w:rsidR="00843828" w:rsidRPr="00843828" w:rsidRDefault="00843828" w:rsidP="00843828">
      <w:pPr>
        <w:rPr>
          <w:rFonts w:eastAsia="Calibri"/>
        </w:rPr>
      </w:pPr>
      <w:r w:rsidRPr="00843828">
        <w:rPr>
          <w:rFonts w:eastAsia="Calibri"/>
        </w:rPr>
        <w:t>The terms under which the Coat of Arms can be used are set out on the It</w:t>
      </w:r>
      <w:r w:rsidR="008A07A0">
        <w:rPr>
          <w:rFonts w:eastAsia="Calibri"/>
        </w:rPr>
        <w:t>’</w:t>
      </w:r>
      <w:r w:rsidRPr="00843828">
        <w:rPr>
          <w:rFonts w:eastAsia="Calibri"/>
        </w:rPr>
        <w:t>s an Honour website (see </w:t>
      </w:r>
      <w:hyperlink r:id="rId22" w:history="1">
        <w:r w:rsidRPr="00843828">
          <w:rPr>
            <w:rStyle w:val="Hyperlink"/>
            <w:rFonts w:eastAsia="Calibri"/>
          </w:rPr>
          <w:t>www.itsanhonour.gov.au</w:t>
        </w:r>
      </w:hyperlink>
      <w:r w:rsidRPr="00843828">
        <w:rPr>
          <w:rFonts w:eastAsia="Calibri"/>
        </w:rPr>
        <w:t>).</w:t>
      </w:r>
    </w:p>
    <w:p w14:paraId="07165BD4" w14:textId="77777777" w:rsidR="00843828" w:rsidRPr="00843828" w:rsidRDefault="00843828" w:rsidP="00843828">
      <w:pPr>
        <w:spacing w:after="40" w:line="276" w:lineRule="auto"/>
        <w:jc w:val="left"/>
        <w:rPr>
          <w:rFonts w:eastAsia="Calibri"/>
          <w:b/>
          <w:color w:val="auto"/>
          <w:szCs w:val="22"/>
          <w:lang w:eastAsia="en-US"/>
        </w:rPr>
      </w:pPr>
      <w:r w:rsidRPr="00843828">
        <w:rPr>
          <w:rFonts w:eastAsia="Calibri"/>
          <w:b/>
          <w:color w:val="auto"/>
          <w:szCs w:val="22"/>
          <w:lang w:eastAsia="en-US"/>
        </w:rPr>
        <w:t>Other Uses</w:t>
      </w:r>
    </w:p>
    <w:p w14:paraId="7FCD882A" w14:textId="77777777" w:rsidR="00843828" w:rsidRPr="00843828" w:rsidRDefault="00843828" w:rsidP="00843828">
      <w:pPr>
        <w:rPr>
          <w:rFonts w:eastAsia="Calibri"/>
        </w:rPr>
      </w:pPr>
      <w:r w:rsidRPr="00843828">
        <w:rPr>
          <w:rFonts w:eastAsia="Calibri"/>
        </w:rPr>
        <w:t>Inquiries regarding this licence and any other use of this document are welcome at:</w:t>
      </w:r>
    </w:p>
    <w:p w14:paraId="0AED9D49" w14:textId="77777777" w:rsidR="00843828" w:rsidRPr="00843828" w:rsidRDefault="00843828" w:rsidP="00843828">
      <w:pPr>
        <w:spacing w:after="0" w:line="276" w:lineRule="auto"/>
        <w:ind w:left="720"/>
        <w:jc w:val="left"/>
        <w:rPr>
          <w:rFonts w:eastAsia="Calibri"/>
          <w:color w:val="auto"/>
          <w:szCs w:val="22"/>
          <w:lang w:eastAsia="en-US"/>
        </w:rPr>
      </w:pPr>
      <w:r w:rsidRPr="00843828">
        <w:rPr>
          <w:rFonts w:eastAsia="Calibri"/>
          <w:color w:val="auto"/>
          <w:szCs w:val="22"/>
          <w:lang w:eastAsia="en-US"/>
        </w:rPr>
        <w:t>Manager</w:t>
      </w:r>
    </w:p>
    <w:p w14:paraId="58B7ADE5" w14:textId="77777777" w:rsidR="00843828" w:rsidRPr="00843828" w:rsidRDefault="00843828" w:rsidP="00843828">
      <w:pPr>
        <w:spacing w:after="0" w:line="276" w:lineRule="auto"/>
        <w:ind w:left="720"/>
        <w:jc w:val="left"/>
        <w:rPr>
          <w:rFonts w:eastAsia="Calibri"/>
          <w:color w:val="auto"/>
          <w:szCs w:val="22"/>
          <w:lang w:eastAsia="en-US"/>
        </w:rPr>
      </w:pPr>
      <w:r w:rsidRPr="00843828">
        <w:rPr>
          <w:rFonts w:eastAsia="Calibri"/>
          <w:color w:val="auto"/>
          <w:szCs w:val="22"/>
          <w:lang w:eastAsia="en-US"/>
        </w:rPr>
        <w:t>Communications</w:t>
      </w:r>
    </w:p>
    <w:p w14:paraId="199702C2" w14:textId="77777777" w:rsidR="00843828" w:rsidRPr="00843828" w:rsidRDefault="00843828" w:rsidP="00843828">
      <w:pPr>
        <w:spacing w:after="0" w:line="276" w:lineRule="auto"/>
        <w:ind w:left="720"/>
        <w:jc w:val="left"/>
        <w:rPr>
          <w:rFonts w:eastAsia="Calibri"/>
          <w:color w:val="auto"/>
          <w:szCs w:val="22"/>
          <w:lang w:eastAsia="en-US"/>
        </w:rPr>
      </w:pPr>
      <w:r w:rsidRPr="00843828">
        <w:rPr>
          <w:rFonts w:eastAsia="Calibri"/>
          <w:color w:val="auto"/>
          <w:szCs w:val="22"/>
          <w:lang w:eastAsia="en-US"/>
        </w:rPr>
        <w:t>The Treasury</w:t>
      </w:r>
    </w:p>
    <w:p w14:paraId="51519AC7" w14:textId="77777777" w:rsidR="00843828" w:rsidRPr="00843828" w:rsidRDefault="00843828" w:rsidP="00843828">
      <w:pPr>
        <w:spacing w:after="0" w:line="276" w:lineRule="auto"/>
        <w:ind w:left="720"/>
        <w:jc w:val="left"/>
        <w:rPr>
          <w:rFonts w:eastAsia="Calibri"/>
          <w:color w:val="auto"/>
          <w:szCs w:val="22"/>
          <w:lang w:eastAsia="en-US"/>
        </w:rPr>
      </w:pPr>
      <w:r w:rsidRPr="00843828">
        <w:rPr>
          <w:rFonts w:eastAsia="Calibri"/>
          <w:color w:val="auto"/>
          <w:szCs w:val="22"/>
          <w:lang w:eastAsia="en-US"/>
        </w:rPr>
        <w:t>Langton Crescent Parkes</w:t>
      </w:r>
      <w:proofErr w:type="gramStart"/>
      <w:r w:rsidRPr="00843828">
        <w:rPr>
          <w:rFonts w:eastAsia="Calibri"/>
          <w:color w:val="auto"/>
          <w:szCs w:val="22"/>
          <w:lang w:eastAsia="en-US"/>
        </w:rPr>
        <w:t>  ACT</w:t>
      </w:r>
      <w:proofErr w:type="gramEnd"/>
      <w:r w:rsidRPr="00843828">
        <w:rPr>
          <w:rFonts w:eastAsia="Calibri"/>
          <w:color w:val="auto"/>
          <w:szCs w:val="22"/>
          <w:lang w:eastAsia="en-US"/>
        </w:rPr>
        <w:t>  2600</w:t>
      </w:r>
    </w:p>
    <w:p w14:paraId="42AB9704" w14:textId="77777777" w:rsidR="00843828" w:rsidRPr="00843828" w:rsidRDefault="00843828" w:rsidP="00843828">
      <w:pPr>
        <w:spacing w:after="0" w:line="276" w:lineRule="auto"/>
        <w:ind w:left="720"/>
        <w:jc w:val="left"/>
        <w:rPr>
          <w:rFonts w:eastAsia="Calibri"/>
          <w:color w:val="auto"/>
          <w:szCs w:val="22"/>
          <w:lang w:eastAsia="en-US"/>
        </w:rPr>
      </w:pPr>
      <w:r w:rsidRPr="00843828">
        <w:rPr>
          <w:rFonts w:eastAsia="Calibri"/>
          <w:color w:val="auto"/>
          <w:szCs w:val="22"/>
          <w:lang w:eastAsia="en-US"/>
        </w:rPr>
        <w:t xml:space="preserve">Email: </w:t>
      </w:r>
      <w:hyperlink r:id="rId23" w:history="1">
        <w:r w:rsidRPr="00843828">
          <w:rPr>
            <w:rFonts w:eastAsia="Calibri"/>
            <w:color w:val="auto"/>
            <w:szCs w:val="22"/>
            <w:lang w:eastAsia="en-US"/>
          </w:rPr>
          <w:t>medialiaison@treasury.gov.au</w:t>
        </w:r>
      </w:hyperlink>
    </w:p>
    <w:p w14:paraId="01F1ED9A" w14:textId="77777777" w:rsidR="000C5EE4" w:rsidRDefault="000C5EE4" w:rsidP="00082936">
      <w:pPr>
        <w:shd w:val="clear" w:color="auto" w:fill="FFFFFF"/>
        <w:rPr>
          <w:rFonts w:cstheme="minorHAnsi"/>
        </w:rPr>
        <w:sectPr w:rsidR="000C5EE4" w:rsidSect="009A5D17">
          <w:footerReference w:type="first" r:id="rId24"/>
          <w:pgSz w:w="11906" w:h="16838" w:code="9"/>
          <w:pgMar w:top="1440" w:right="1440" w:bottom="1440" w:left="1440" w:header="709" w:footer="709" w:gutter="0"/>
          <w:cols w:space="708"/>
          <w:titlePg/>
          <w:docGrid w:linePitch="360"/>
        </w:sectPr>
      </w:pPr>
    </w:p>
    <w:p w14:paraId="2AA02A67" w14:textId="77777777" w:rsidR="00D85D73" w:rsidRPr="00082936" w:rsidRDefault="00D85D73" w:rsidP="00082936">
      <w:pPr>
        <w:pStyle w:val="ContentsHeading"/>
        <w:rPr>
          <w:b/>
        </w:rPr>
      </w:pPr>
      <w:bookmarkStart w:id="27" w:name="_Toc321133391"/>
      <w:bookmarkStart w:id="28" w:name="_Toc321134070"/>
      <w:bookmarkStart w:id="29" w:name="_Toc321134167"/>
      <w:bookmarkStart w:id="30" w:name="_Toc405808760"/>
      <w:bookmarkStart w:id="31" w:name="_Toc406155130"/>
      <w:bookmarkStart w:id="32" w:name="_Toc406424583"/>
      <w:bookmarkStart w:id="33" w:name="_Toc408413461"/>
      <w:bookmarkStart w:id="34" w:name="_Toc408414175"/>
      <w:bookmarkStart w:id="35" w:name="_Toc409191082"/>
      <w:bookmarkStart w:id="36" w:name="_Toc409618515"/>
      <w:bookmarkStart w:id="37" w:name="_Toc409630046"/>
      <w:bookmarkStart w:id="38" w:name="_Toc410229538"/>
      <w:bookmarkStart w:id="39" w:name="_Toc410302173"/>
      <w:r w:rsidRPr="00082936">
        <w:rPr>
          <w:b/>
        </w:rPr>
        <w:lastRenderedPageBreak/>
        <w:t>Contents</w:t>
      </w:r>
      <w:bookmarkEnd w:id="27"/>
      <w:bookmarkEnd w:id="28"/>
      <w:bookmarkEnd w:id="29"/>
      <w:bookmarkEnd w:id="30"/>
      <w:bookmarkEnd w:id="31"/>
      <w:bookmarkEnd w:id="32"/>
      <w:bookmarkEnd w:id="33"/>
      <w:bookmarkEnd w:id="34"/>
      <w:bookmarkEnd w:id="35"/>
      <w:bookmarkEnd w:id="36"/>
      <w:bookmarkEnd w:id="37"/>
      <w:bookmarkEnd w:id="38"/>
      <w:bookmarkEnd w:id="39"/>
    </w:p>
    <w:p w14:paraId="4F981560" w14:textId="44288610" w:rsidR="00340A45" w:rsidRDefault="00951A43">
      <w:pPr>
        <w:pStyle w:val="TOC1"/>
        <w:rPr>
          <w:rFonts w:asciiTheme="minorHAnsi" w:eastAsiaTheme="minorEastAsia" w:hAnsiTheme="minorHAnsi" w:cstheme="minorBidi"/>
          <w:b w:val="0"/>
          <w:smallCaps w:val="0"/>
          <w:noProof/>
          <w:color w:val="auto"/>
        </w:rPr>
      </w:pPr>
      <w:r>
        <w:rPr>
          <w:rFonts w:asciiTheme="majorHAnsi" w:hAnsiTheme="majorHAnsi"/>
          <w:b w:val="0"/>
          <w:smallCaps w:val="0"/>
          <w:color w:val="4F81BD" w:themeColor="accent1"/>
        </w:rPr>
        <w:fldChar w:fldCharType="begin"/>
      </w:r>
      <w:r>
        <w:rPr>
          <w:rFonts w:asciiTheme="majorHAnsi" w:hAnsiTheme="majorHAnsi"/>
          <w:b w:val="0"/>
          <w:smallCaps w:val="0"/>
          <w:color w:val="4F81BD" w:themeColor="accent1"/>
        </w:rPr>
        <w:instrText xml:space="preserve"> TOC \o "1-2" \u </w:instrText>
      </w:r>
      <w:r>
        <w:rPr>
          <w:rFonts w:asciiTheme="majorHAnsi" w:hAnsiTheme="majorHAnsi"/>
          <w:b w:val="0"/>
          <w:smallCaps w:val="0"/>
          <w:color w:val="4F81BD" w:themeColor="accent1"/>
        </w:rPr>
        <w:fldChar w:fldCharType="separate"/>
      </w:r>
      <w:r w:rsidR="00340A45">
        <w:rPr>
          <w:noProof/>
        </w:rPr>
        <w:t>List of Acronyms and Abbreviations</w:t>
      </w:r>
      <w:r w:rsidR="00340A45">
        <w:rPr>
          <w:noProof/>
        </w:rPr>
        <w:tab/>
      </w:r>
    </w:p>
    <w:p w14:paraId="1878D9D2" w14:textId="77777777" w:rsidR="00340A45" w:rsidRDefault="00340A45">
      <w:pPr>
        <w:pStyle w:val="TOC1"/>
        <w:rPr>
          <w:rFonts w:asciiTheme="minorHAnsi" w:eastAsiaTheme="minorEastAsia" w:hAnsiTheme="minorHAnsi" w:cstheme="minorBidi"/>
          <w:b w:val="0"/>
          <w:smallCaps w:val="0"/>
          <w:noProof/>
          <w:color w:val="auto"/>
        </w:rPr>
      </w:pPr>
      <w:r>
        <w:rPr>
          <w:noProof/>
        </w:rPr>
        <w:t>Executive Summary</w:t>
      </w:r>
      <w:r>
        <w:rPr>
          <w:noProof/>
        </w:rPr>
        <w:tab/>
      </w:r>
      <w:r>
        <w:rPr>
          <w:noProof/>
        </w:rPr>
        <w:fldChar w:fldCharType="begin"/>
      </w:r>
      <w:r>
        <w:rPr>
          <w:noProof/>
        </w:rPr>
        <w:instrText xml:space="preserve"> PAGEREF _Toc437877547 \h </w:instrText>
      </w:r>
      <w:r>
        <w:rPr>
          <w:noProof/>
        </w:rPr>
      </w:r>
      <w:r>
        <w:rPr>
          <w:noProof/>
        </w:rPr>
        <w:fldChar w:fldCharType="separate"/>
      </w:r>
      <w:r w:rsidR="00726E65">
        <w:rPr>
          <w:noProof/>
        </w:rPr>
        <w:t>1</w:t>
      </w:r>
      <w:r>
        <w:rPr>
          <w:noProof/>
        </w:rPr>
        <w:fldChar w:fldCharType="end"/>
      </w:r>
    </w:p>
    <w:p w14:paraId="6F490DE0" w14:textId="77777777" w:rsidR="00340A45" w:rsidRDefault="00340A45">
      <w:pPr>
        <w:pStyle w:val="TOC2"/>
        <w:rPr>
          <w:rFonts w:asciiTheme="minorHAnsi" w:eastAsiaTheme="minorEastAsia" w:hAnsiTheme="minorHAnsi" w:cstheme="minorBidi"/>
          <w:noProof/>
          <w:color w:val="auto"/>
          <w:sz w:val="22"/>
          <w:szCs w:val="22"/>
        </w:rPr>
      </w:pPr>
      <w:r>
        <w:rPr>
          <w:noProof/>
        </w:rPr>
        <w:t>Australia’s Terrorism Insurance Scheme</w:t>
      </w:r>
      <w:r>
        <w:rPr>
          <w:noProof/>
        </w:rPr>
        <w:tab/>
      </w:r>
      <w:r>
        <w:rPr>
          <w:noProof/>
        </w:rPr>
        <w:fldChar w:fldCharType="begin"/>
      </w:r>
      <w:r>
        <w:rPr>
          <w:noProof/>
        </w:rPr>
        <w:instrText xml:space="preserve"> PAGEREF _Toc437877548 \h </w:instrText>
      </w:r>
      <w:r>
        <w:rPr>
          <w:noProof/>
        </w:rPr>
      </w:r>
      <w:r>
        <w:rPr>
          <w:noProof/>
        </w:rPr>
        <w:fldChar w:fldCharType="separate"/>
      </w:r>
      <w:r w:rsidR="00726E65">
        <w:rPr>
          <w:noProof/>
        </w:rPr>
        <w:t>1</w:t>
      </w:r>
      <w:r>
        <w:rPr>
          <w:noProof/>
        </w:rPr>
        <w:fldChar w:fldCharType="end"/>
      </w:r>
    </w:p>
    <w:p w14:paraId="60A63A3E" w14:textId="77777777" w:rsidR="00340A45" w:rsidRDefault="00340A45">
      <w:pPr>
        <w:pStyle w:val="TOC1"/>
        <w:rPr>
          <w:rFonts w:asciiTheme="minorHAnsi" w:eastAsiaTheme="minorEastAsia" w:hAnsiTheme="minorHAnsi" w:cstheme="minorBidi"/>
          <w:b w:val="0"/>
          <w:smallCaps w:val="0"/>
          <w:noProof/>
          <w:color w:val="auto"/>
        </w:rPr>
      </w:pPr>
      <w:r>
        <w:rPr>
          <w:noProof/>
        </w:rPr>
        <w:t>Chapter 1:  Introduction</w:t>
      </w:r>
      <w:r>
        <w:rPr>
          <w:noProof/>
        </w:rPr>
        <w:tab/>
      </w:r>
      <w:r>
        <w:rPr>
          <w:noProof/>
        </w:rPr>
        <w:fldChar w:fldCharType="begin"/>
      </w:r>
      <w:r>
        <w:rPr>
          <w:noProof/>
        </w:rPr>
        <w:instrText xml:space="preserve"> PAGEREF _Toc437877549 \h </w:instrText>
      </w:r>
      <w:r>
        <w:rPr>
          <w:noProof/>
        </w:rPr>
      </w:r>
      <w:r>
        <w:rPr>
          <w:noProof/>
        </w:rPr>
        <w:fldChar w:fldCharType="separate"/>
      </w:r>
      <w:r w:rsidR="00726E65">
        <w:rPr>
          <w:noProof/>
        </w:rPr>
        <w:t>5</w:t>
      </w:r>
      <w:r>
        <w:rPr>
          <w:noProof/>
        </w:rPr>
        <w:fldChar w:fldCharType="end"/>
      </w:r>
    </w:p>
    <w:p w14:paraId="64153DB4" w14:textId="77777777" w:rsidR="00340A45" w:rsidRDefault="00340A45">
      <w:pPr>
        <w:pStyle w:val="TOC2"/>
        <w:rPr>
          <w:rFonts w:asciiTheme="minorHAnsi" w:eastAsiaTheme="minorEastAsia" w:hAnsiTheme="minorHAnsi" w:cstheme="minorBidi"/>
          <w:noProof/>
          <w:color w:val="auto"/>
          <w:sz w:val="22"/>
          <w:szCs w:val="22"/>
        </w:rPr>
      </w:pPr>
      <w:r>
        <w:rPr>
          <w:noProof/>
        </w:rPr>
        <w:t>Rationale of the scheme</w:t>
      </w:r>
      <w:r>
        <w:rPr>
          <w:noProof/>
        </w:rPr>
        <w:tab/>
      </w:r>
      <w:r>
        <w:rPr>
          <w:noProof/>
        </w:rPr>
        <w:fldChar w:fldCharType="begin"/>
      </w:r>
      <w:r>
        <w:rPr>
          <w:noProof/>
        </w:rPr>
        <w:instrText xml:space="preserve"> PAGEREF _Toc437877550 \h </w:instrText>
      </w:r>
      <w:r>
        <w:rPr>
          <w:noProof/>
        </w:rPr>
      </w:r>
      <w:r>
        <w:rPr>
          <w:noProof/>
        </w:rPr>
        <w:fldChar w:fldCharType="separate"/>
      </w:r>
      <w:r w:rsidR="00726E65">
        <w:rPr>
          <w:noProof/>
        </w:rPr>
        <w:t>5</w:t>
      </w:r>
      <w:r>
        <w:rPr>
          <w:noProof/>
        </w:rPr>
        <w:fldChar w:fldCharType="end"/>
      </w:r>
    </w:p>
    <w:p w14:paraId="1DED12C9" w14:textId="77777777" w:rsidR="00340A45" w:rsidRDefault="00340A45">
      <w:pPr>
        <w:pStyle w:val="TOC1"/>
        <w:rPr>
          <w:rFonts w:asciiTheme="minorHAnsi" w:eastAsiaTheme="minorEastAsia" w:hAnsiTheme="minorHAnsi" w:cstheme="minorBidi"/>
          <w:b w:val="0"/>
          <w:smallCaps w:val="0"/>
          <w:noProof/>
          <w:color w:val="auto"/>
        </w:rPr>
      </w:pPr>
      <w:r>
        <w:rPr>
          <w:noProof/>
        </w:rPr>
        <w:t>Chapter 2:  Continuation of the act</w:t>
      </w:r>
      <w:r>
        <w:rPr>
          <w:noProof/>
        </w:rPr>
        <w:tab/>
      </w:r>
      <w:r>
        <w:rPr>
          <w:noProof/>
        </w:rPr>
        <w:fldChar w:fldCharType="begin"/>
      </w:r>
      <w:r>
        <w:rPr>
          <w:noProof/>
        </w:rPr>
        <w:instrText xml:space="preserve"> PAGEREF _Toc437877551 \h </w:instrText>
      </w:r>
      <w:r>
        <w:rPr>
          <w:noProof/>
        </w:rPr>
      </w:r>
      <w:r>
        <w:rPr>
          <w:noProof/>
        </w:rPr>
        <w:fldChar w:fldCharType="separate"/>
      </w:r>
      <w:r w:rsidR="00726E65">
        <w:rPr>
          <w:noProof/>
        </w:rPr>
        <w:t>9</w:t>
      </w:r>
      <w:r>
        <w:rPr>
          <w:noProof/>
        </w:rPr>
        <w:fldChar w:fldCharType="end"/>
      </w:r>
    </w:p>
    <w:p w14:paraId="2AF66E2E" w14:textId="77777777" w:rsidR="00340A45" w:rsidRDefault="00340A45">
      <w:pPr>
        <w:pStyle w:val="TOC2"/>
        <w:rPr>
          <w:rFonts w:asciiTheme="minorHAnsi" w:eastAsiaTheme="minorEastAsia" w:hAnsiTheme="minorHAnsi" w:cstheme="minorBidi"/>
          <w:noProof/>
          <w:color w:val="auto"/>
          <w:sz w:val="22"/>
          <w:szCs w:val="22"/>
        </w:rPr>
      </w:pPr>
      <w:r>
        <w:rPr>
          <w:noProof/>
        </w:rPr>
        <w:t>Issue</w:t>
      </w:r>
      <w:r>
        <w:rPr>
          <w:noProof/>
        </w:rPr>
        <w:tab/>
      </w:r>
      <w:r>
        <w:rPr>
          <w:noProof/>
        </w:rPr>
        <w:fldChar w:fldCharType="begin"/>
      </w:r>
      <w:r>
        <w:rPr>
          <w:noProof/>
        </w:rPr>
        <w:instrText xml:space="preserve"> PAGEREF _Toc437877552 \h </w:instrText>
      </w:r>
      <w:r>
        <w:rPr>
          <w:noProof/>
        </w:rPr>
      </w:r>
      <w:r>
        <w:rPr>
          <w:noProof/>
        </w:rPr>
        <w:fldChar w:fldCharType="separate"/>
      </w:r>
      <w:r w:rsidR="00726E65">
        <w:rPr>
          <w:noProof/>
        </w:rPr>
        <w:t>9</w:t>
      </w:r>
      <w:r>
        <w:rPr>
          <w:noProof/>
        </w:rPr>
        <w:fldChar w:fldCharType="end"/>
      </w:r>
    </w:p>
    <w:p w14:paraId="4AEDA74A" w14:textId="77777777" w:rsidR="00340A45" w:rsidRDefault="00340A45">
      <w:pPr>
        <w:pStyle w:val="TOC2"/>
        <w:rPr>
          <w:rFonts w:asciiTheme="minorHAnsi" w:eastAsiaTheme="minorEastAsia" w:hAnsiTheme="minorHAnsi" w:cstheme="minorBidi"/>
          <w:noProof/>
          <w:color w:val="auto"/>
          <w:sz w:val="22"/>
          <w:szCs w:val="22"/>
        </w:rPr>
      </w:pPr>
      <w:r>
        <w:rPr>
          <w:noProof/>
        </w:rPr>
        <w:t>Recommendation</w:t>
      </w:r>
      <w:r>
        <w:rPr>
          <w:noProof/>
        </w:rPr>
        <w:tab/>
      </w:r>
      <w:r>
        <w:rPr>
          <w:noProof/>
        </w:rPr>
        <w:fldChar w:fldCharType="begin"/>
      </w:r>
      <w:r>
        <w:rPr>
          <w:noProof/>
        </w:rPr>
        <w:instrText xml:space="preserve"> PAGEREF _Toc437877553 \h </w:instrText>
      </w:r>
      <w:r>
        <w:rPr>
          <w:noProof/>
        </w:rPr>
      </w:r>
      <w:r>
        <w:rPr>
          <w:noProof/>
        </w:rPr>
        <w:fldChar w:fldCharType="separate"/>
      </w:r>
      <w:r w:rsidR="00726E65">
        <w:rPr>
          <w:noProof/>
        </w:rPr>
        <w:t>9</w:t>
      </w:r>
      <w:r>
        <w:rPr>
          <w:noProof/>
        </w:rPr>
        <w:fldChar w:fldCharType="end"/>
      </w:r>
    </w:p>
    <w:p w14:paraId="1A378DCA" w14:textId="77777777" w:rsidR="00340A45" w:rsidRDefault="00340A45">
      <w:pPr>
        <w:pStyle w:val="TOC2"/>
        <w:rPr>
          <w:rFonts w:asciiTheme="minorHAnsi" w:eastAsiaTheme="minorEastAsia" w:hAnsiTheme="minorHAnsi" w:cstheme="minorBidi"/>
          <w:noProof/>
          <w:color w:val="auto"/>
          <w:sz w:val="22"/>
          <w:szCs w:val="22"/>
        </w:rPr>
      </w:pPr>
      <w:r>
        <w:rPr>
          <w:noProof/>
        </w:rPr>
        <w:t>Assessment</w:t>
      </w:r>
      <w:r>
        <w:rPr>
          <w:noProof/>
        </w:rPr>
        <w:tab/>
      </w:r>
      <w:r>
        <w:rPr>
          <w:noProof/>
        </w:rPr>
        <w:fldChar w:fldCharType="begin"/>
      </w:r>
      <w:r>
        <w:rPr>
          <w:noProof/>
        </w:rPr>
        <w:instrText xml:space="preserve"> PAGEREF _Toc437877554 \h </w:instrText>
      </w:r>
      <w:r>
        <w:rPr>
          <w:noProof/>
        </w:rPr>
      </w:r>
      <w:r>
        <w:rPr>
          <w:noProof/>
        </w:rPr>
        <w:fldChar w:fldCharType="separate"/>
      </w:r>
      <w:r w:rsidR="00726E65">
        <w:rPr>
          <w:noProof/>
        </w:rPr>
        <w:t>9</w:t>
      </w:r>
      <w:r>
        <w:rPr>
          <w:noProof/>
        </w:rPr>
        <w:fldChar w:fldCharType="end"/>
      </w:r>
    </w:p>
    <w:p w14:paraId="604731EF" w14:textId="77777777" w:rsidR="00340A45" w:rsidRDefault="00340A45">
      <w:pPr>
        <w:pStyle w:val="TOC1"/>
        <w:rPr>
          <w:rFonts w:asciiTheme="minorHAnsi" w:eastAsiaTheme="minorEastAsia" w:hAnsiTheme="minorHAnsi" w:cstheme="minorBidi"/>
          <w:b w:val="0"/>
          <w:smallCaps w:val="0"/>
          <w:noProof/>
          <w:color w:val="auto"/>
        </w:rPr>
      </w:pPr>
      <w:r>
        <w:rPr>
          <w:noProof/>
        </w:rPr>
        <w:t>Chapter 3:  Ownership structure of the ARPC</w:t>
      </w:r>
      <w:r>
        <w:rPr>
          <w:noProof/>
        </w:rPr>
        <w:tab/>
      </w:r>
      <w:r>
        <w:rPr>
          <w:noProof/>
        </w:rPr>
        <w:fldChar w:fldCharType="begin"/>
      </w:r>
      <w:r>
        <w:rPr>
          <w:noProof/>
        </w:rPr>
        <w:instrText xml:space="preserve"> PAGEREF _Toc437877555 \h </w:instrText>
      </w:r>
      <w:r>
        <w:rPr>
          <w:noProof/>
        </w:rPr>
      </w:r>
      <w:r>
        <w:rPr>
          <w:noProof/>
        </w:rPr>
        <w:fldChar w:fldCharType="separate"/>
      </w:r>
      <w:r w:rsidR="00726E65">
        <w:rPr>
          <w:noProof/>
        </w:rPr>
        <w:t>13</w:t>
      </w:r>
      <w:r>
        <w:rPr>
          <w:noProof/>
        </w:rPr>
        <w:fldChar w:fldCharType="end"/>
      </w:r>
    </w:p>
    <w:p w14:paraId="26537677" w14:textId="77777777" w:rsidR="00340A45" w:rsidRDefault="00340A45">
      <w:pPr>
        <w:pStyle w:val="TOC2"/>
        <w:rPr>
          <w:rFonts w:asciiTheme="minorHAnsi" w:eastAsiaTheme="minorEastAsia" w:hAnsiTheme="minorHAnsi" w:cstheme="minorBidi"/>
          <w:noProof/>
          <w:color w:val="auto"/>
          <w:sz w:val="22"/>
          <w:szCs w:val="22"/>
        </w:rPr>
      </w:pPr>
      <w:r>
        <w:rPr>
          <w:noProof/>
        </w:rPr>
        <w:t>Issue</w:t>
      </w:r>
      <w:r>
        <w:rPr>
          <w:noProof/>
        </w:rPr>
        <w:tab/>
      </w:r>
      <w:r>
        <w:rPr>
          <w:noProof/>
        </w:rPr>
        <w:fldChar w:fldCharType="begin"/>
      </w:r>
      <w:r>
        <w:rPr>
          <w:noProof/>
        </w:rPr>
        <w:instrText xml:space="preserve"> PAGEREF _Toc437877556 \h </w:instrText>
      </w:r>
      <w:r>
        <w:rPr>
          <w:noProof/>
        </w:rPr>
      </w:r>
      <w:r>
        <w:rPr>
          <w:noProof/>
        </w:rPr>
        <w:fldChar w:fldCharType="separate"/>
      </w:r>
      <w:r w:rsidR="00726E65">
        <w:rPr>
          <w:noProof/>
        </w:rPr>
        <w:t>13</w:t>
      </w:r>
      <w:r>
        <w:rPr>
          <w:noProof/>
        </w:rPr>
        <w:fldChar w:fldCharType="end"/>
      </w:r>
    </w:p>
    <w:p w14:paraId="6AF4887F" w14:textId="77777777" w:rsidR="00340A45" w:rsidRDefault="00340A45">
      <w:pPr>
        <w:pStyle w:val="TOC2"/>
        <w:rPr>
          <w:rFonts w:asciiTheme="minorHAnsi" w:eastAsiaTheme="minorEastAsia" w:hAnsiTheme="minorHAnsi" w:cstheme="minorBidi"/>
          <w:noProof/>
          <w:color w:val="auto"/>
          <w:sz w:val="22"/>
          <w:szCs w:val="22"/>
        </w:rPr>
      </w:pPr>
      <w:r>
        <w:rPr>
          <w:noProof/>
        </w:rPr>
        <w:t>Recommendation</w:t>
      </w:r>
      <w:r>
        <w:rPr>
          <w:noProof/>
        </w:rPr>
        <w:tab/>
      </w:r>
      <w:r>
        <w:rPr>
          <w:noProof/>
        </w:rPr>
        <w:fldChar w:fldCharType="begin"/>
      </w:r>
      <w:r>
        <w:rPr>
          <w:noProof/>
        </w:rPr>
        <w:instrText xml:space="preserve"> PAGEREF _Toc437877557 \h </w:instrText>
      </w:r>
      <w:r>
        <w:rPr>
          <w:noProof/>
        </w:rPr>
      </w:r>
      <w:r>
        <w:rPr>
          <w:noProof/>
        </w:rPr>
        <w:fldChar w:fldCharType="separate"/>
      </w:r>
      <w:r w:rsidR="00726E65">
        <w:rPr>
          <w:noProof/>
        </w:rPr>
        <w:t>13</w:t>
      </w:r>
      <w:r>
        <w:rPr>
          <w:noProof/>
        </w:rPr>
        <w:fldChar w:fldCharType="end"/>
      </w:r>
    </w:p>
    <w:p w14:paraId="4225651A" w14:textId="77777777" w:rsidR="00340A45" w:rsidRDefault="00340A45">
      <w:pPr>
        <w:pStyle w:val="TOC2"/>
        <w:rPr>
          <w:rFonts w:asciiTheme="minorHAnsi" w:eastAsiaTheme="minorEastAsia" w:hAnsiTheme="minorHAnsi" w:cstheme="minorBidi"/>
          <w:noProof/>
          <w:color w:val="auto"/>
          <w:sz w:val="22"/>
          <w:szCs w:val="22"/>
        </w:rPr>
      </w:pPr>
      <w:r>
        <w:rPr>
          <w:noProof/>
        </w:rPr>
        <w:t>Assessment</w:t>
      </w:r>
      <w:r>
        <w:rPr>
          <w:noProof/>
        </w:rPr>
        <w:tab/>
      </w:r>
      <w:r>
        <w:rPr>
          <w:noProof/>
        </w:rPr>
        <w:fldChar w:fldCharType="begin"/>
      </w:r>
      <w:r>
        <w:rPr>
          <w:noProof/>
        </w:rPr>
        <w:instrText xml:space="preserve"> PAGEREF _Toc437877558 \h </w:instrText>
      </w:r>
      <w:r>
        <w:rPr>
          <w:noProof/>
        </w:rPr>
      </w:r>
      <w:r>
        <w:rPr>
          <w:noProof/>
        </w:rPr>
        <w:fldChar w:fldCharType="separate"/>
      </w:r>
      <w:r w:rsidR="00726E65">
        <w:rPr>
          <w:noProof/>
        </w:rPr>
        <w:t>13</w:t>
      </w:r>
      <w:r>
        <w:rPr>
          <w:noProof/>
        </w:rPr>
        <w:fldChar w:fldCharType="end"/>
      </w:r>
    </w:p>
    <w:p w14:paraId="2FA45EC1" w14:textId="77777777" w:rsidR="00340A45" w:rsidRDefault="00340A45">
      <w:pPr>
        <w:pStyle w:val="TOC1"/>
        <w:rPr>
          <w:rFonts w:asciiTheme="minorHAnsi" w:eastAsiaTheme="minorEastAsia" w:hAnsiTheme="minorHAnsi" w:cstheme="minorBidi"/>
          <w:b w:val="0"/>
          <w:smallCaps w:val="0"/>
          <w:noProof/>
          <w:color w:val="auto"/>
        </w:rPr>
      </w:pPr>
      <w:r>
        <w:rPr>
          <w:noProof/>
        </w:rPr>
        <w:t>Chapter 4:  Ensuring Financial Sustainability of the Scheme</w:t>
      </w:r>
      <w:r>
        <w:rPr>
          <w:noProof/>
        </w:rPr>
        <w:tab/>
      </w:r>
      <w:r>
        <w:rPr>
          <w:noProof/>
        </w:rPr>
        <w:fldChar w:fldCharType="begin"/>
      </w:r>
      <w:r>
        <w:rPr>
          <w:noProof/>
        </w:rPr>
        <w:instrText xml:space="preserve"> PAGEREF _Toc437877559 \h </w:instrText>
      </w:r>
      <w:r>
        <w:rPr>
          <w:noProof/>
        </w:rPr>
      </w:r>
      <w:r>
        <w:rPr>
          <w:noProof/>
        </w:rPr>
        <w:fldChar w:fldCharType="separate"/>
      </w:r>
      <w:r w:rsidR="00726E65">
        <w:rPr>
          <w:noProof/>
        </w:rPr>
        <w:t>17</w:t>
      </w:r>
      <w:r>
        <w:rPr>
          <w:noProof/>
        </w:rPr>
        <w:fldChar w:fldCharType="end"/>
      </w:r>
    </w:p>
    <w:p w14:paraId="4FD3D074" w14:textId="77777777" w:rsidR="00340A45" w:rsidRDefault="00340A45">
      <w:pPr>
        <w:pStyle w:val="TOC2"/>
        <w:rPr>
          <w:rFonts w:asciiTheme="minorHAnsi" w:eastAsiaTheme="minorEastAsia" w:hAnsiTheme="minorHAnsi" w:cstheme="minorBidi"/>
          <w:noProof/>
          <w:color w:val="auto"/>
          <w:sz w:val="22"/>
          <w:szCs w:val="22"/>
        </w:rPr>
      </w:pPr>
      <w:r>
        <w:rPr>
          <w:noProof/>
        </w:rPr>
        <w:t>Industry retentions</w:t>
      </w:r>
      <w:r>
        <w:rPr>
          <w:noProof/>
        </w:rPr>
        <w:tab/>
      </w:r>
      <w:r>
        <w:rPr>
          <w:noProof/>
        </w:rPr>
        <w:fldChar w:fldCharType="begin"/>
      </w:r>
      <w:r>
        <w:rPr>
          <w:noProof/>
        </w:rPr>
        <w:instrText xml:space="preserve"> PAGEREF _Toc437877560 \h </w:instrText>
      </w:r>
      <w:r>
        <w:rPr>
          <w:noProof/>
        </w:rPr>
      </w:r>
      <w:r>
        <w:rPr>
          <w:noProof/>
        </w:rPr>
        <w:fldChar w:fldCharType="separate"/>
      </w:r>
      <w:r w:rsidR="00726E65">
        <w:rPr>
          <w:noProof/>
        </w:rPr>
        <w:t>17</w:t>
      </w:r>
      <w:r>
        <w:rPr>
          <w:noProof/>
        </w:rPr>
        <w:fldChar w:fldCharType="end"/>
      </w:r>
    </w:p>
    <w:p w14:paraId="0BF0D0C7" w14:textId="77777777" w:rsidR="00340A45" w:rsidRDefault="00340A45">
      <w:pPr>
        <w:pStyle w:val="TOC2"/>
        <w:rPr>
          <w:rFonts w:asciiTheme="minorHAnsi" w:eastAsiaTheme="minorEastAsia" w:hAnsiTheme="minorHAnsi" w:cstheme="minorBidi"/>
          <w:noProof/>
          <w:color w:val="auto"/>
          <w:sz w:val="22"/>
          <w:szCs w:val="22"/>
        </w:rPr>
      </w:pPr>
      <w:r>
        <w:rPr>
          <w:noProof/>
        </w:rPr>
        <w:t>Continuation of Retrocession Program</w:t>
      </w:r>
      <w:r>
        <w:rPr>
          <w:noProof/>
        </w:rPr>
        <w:tab/>
      </w:r>
      <w:r>
        <w:rPr>
          <w:noProof/>
        </w:rPr>
        <w:fldChar w:fldCharType="begin"/>
      </w:r>
      <w:r>
        <w:rPr>
          <w:noProof/>
        </w:rPr>
        <w:instrText xml:space="preserve"> PAGEREF _Toc437877561 \h </w:instrText>
      </w:r>
      <w:r>
        <w:rPr>
          <w:noProof/>
        </w:rPr>
      </w:r>
      <w:r>
        <w:rPr>
          <w:noProof/>
        </w:rPr>
        <w:fldChar w:fldCharType="separate"/>
      </w:r>
      <w:r w:rsidR="00726E65">
        <w:rPr>
          <w:noProof/>
        </w:rPr>
        <w:t>18</w:t>
      </w:r>
      <w:r>
        <w:rPr>
          <w:noProof/>
        </w:rPr>
        <w:fldChar w:fldCharType="end"/>
      </w:r>
    </w:p>
    <w:p w14:paraId="30862594" w14:textId="77777777" w:rsidR="00340A45" w:rsidRDefault="00340A45">
      <w:pPr>
        <w:pStyle w:val="TOC2"/>
        <w:rPr>
          <w:rFonts w:asciiTheme="minorHAnsi" w:eastAsiaTheme="minorEastAsia" w:hAnsiTheme="minorHAnsi" w:cstheme="minorBidi"/>
          <w:noProof/>
          <w:color w:val="auto"/>
          <w:sz w:val="22"/>
          <w:szCs w:val="22"/>
        </w:rPr>
      </w:pPr>
      <w:r>
        <w:rPr>
          <w:noProof/>
        </w:rPr>
        <w:t>Compensation to government</w:t>
      </w:r>
      <w:r>
        <w:rPr>
          <w:noProof/>
        </w:rPr>
        <w:tab/>
      </w:r>
      <w:r>
        <w:rPr>
          <w:noProof/>
        </w:rPr>
        <w:fldChar w:fldCharType="begin"/>
      </w:r>
      <w:r>
        <w:rPr>
          <w:noProof/>
        </w:rPr>
        <w:instrText xml:space="preserve"> PAGEREF _Toc437877562 \h </w:instrText>
      </w:r>
      <w:r>
        <w:rPr>
          <w:noProof/>
        </w:rPr>
      </w:r>
      <w:r>
        <w:rPr>
          <w:noProof/>
        </w:rPr>
        <w:fldChar w:fldCharType="separate"/>
      </w:r>
      <w:r w:rsidR="00726E65">
        <w:rPr>
          <w:noProof/>
        </w:rPr>
        <w:t>19</w:t>
      </w:r>
      <w:r>
        <w:rPr>
          <w:noProof/>
        </w:rPr>
        <w:fldChar w:fldCharType="end"/>
      </w:r>
    </w:p>
    <w:p w14:paraId="255C7CF4" w14:textId="77777777" w:rsidR="00340A45" w:rsidRDefault="00340A45">
      <w:pPr>
        <w:pStyle w:val="TOC2"/>
        <w:rPr>
          <w:rFonts w:asciiTheme="minorHAnsi" w:eastAsiaTheme="minorEastAsia" w:hAnsiTheme="minorHAnsi" w:cstheme="minorBidi"/>
          <w:noProof/>
          <w:color w:val="auto"/>
          <w:sz w:val="22"/>
          <w:szCs w:val="22"/>
        </w:rPr>
      </w:pPr>
      <w:r>
        <w:rPr>
          <w:noProof/>
        </w:rPr>
        <w:t>Premium pricing</w:t>
      </w:r>
      <w:r>
        <w:rPr>
          <w:noProof/>
        </w:rPr>
        <w:tab/>
      </w:r>
      <w:r>
        <w:rPr>
          <w:noProof/>
        </w:rPr>
        <w:fldChar w:fldCharType="begin"/>
      </w:r>
      <w:r>
        <w:rPr>
          <w:noProof/>
        </w:rPr>
        <w:instrText xml:space="preserve"> PAGEREF _Toc437877563 \h </w:instrText>
      </w:r>
      <w:r>
        <w:rPr>
          <w:noProof/>
        </w:rPr>
      </w:r>
      <w:r>
        <w:rPr>
          <w:noProof/>
        </w:rPr>
        <w:fldChar w:fldCharType="separate"/>
      </w:r>
      <w:r w:rsidR="00726E65">
        <w:rPr>
          <w:noProof/>
        </w:rPr>
        <w:t>22</w:t>
      </w:r>
      <w:r>
        <w:rPr>
          <w:noProof/>
        </w:rPr>
        <w:fldChar w:fldCharType="end"/>
      </w:r>
    </w:p>
    <w:p w14:paraId="68325C7A" w14:textId="77777777" w:rsidR="00340A45" w:rsidRDefault="00340A45">
      <w:pPr>
        <w:pStyle w:val="TOC1"/>
        <w:rPr>
          <w:rFonts w:asciiTheme="minorHAnsi" w:eastAsiaTheme="minorEastAsia" w:hAnsiTheme="minorHAnsi" w:cstheme="minorBidi"/>
          <w:b w:val="0"/>
          <w:smallCaps w:val="0"/>
          <w:noProof/>
          <w:color w:val="auto"/>
        </w:rPr>
      </w:pPr>
      <w:r>
        <w:rPr>
          <w:noProof/>
        </w:rPr>
        <w:t>Chapter 5:  Clarifying the coverage of the scheme</w:t>
      </w:r>
      <w:r>
        <w:rPr>
          <w:noProof/>
        </w:rPr>
        <w:tab/>
      </w:r>
      <w:r>
        <w:rPr>
          <w:noProof/>
        </w:rPr>
        <w:fldChar w:fldCharType="begin"/>
      </w:r>
      <w:r>
        <w:rPr>
          <w:noProof/>
        </w:rPr>
        <w:instrText xml:space="preserve"> PAGEREF _Toc437877564 \h </w:instrText>
      </w:r>
      <w:r>
        <w:rPr>
          <w:noProof/>
        </w:rPr>
      </w:r>
      <w:r>
        <w:rPr>
          <w:noProof/>
        </w:rPr>
        <w:fldChar w:fldCharType="separate"/>
      </w:r>
      <w:r w:rsidR="00726E65">
        <w:rPr>
          <w:noProof/>
        </w:rPr>
        <w:t>25</w:t>
      </w:r>
      <w:r>
        <w:rPr>
          <w:noProof/>
        </w:rPr>
        <w:fldChar w:fldCharType="end"/>
      </w:r>
    </w:p>
    <w:p w14:paraId="6F12AB3B" w14:textId="77777777" w:rsidR="00340A45" w:rsidRDefault="00340A45">
      <w:pPr>
        <w:pStyle w:val="TOC2"/>
        <w:rPr>
          <w:rFonts w:asciiTheme="minorHAnsi" w:eastAsiaTheme="minorEastAsia" w:hAnsiTheme="minorHAnsi" w:cstheme="minorBidi"/>
          <w:noProof/>
          <w:color w:val="auto"/>
          <w:sz w:val="22"/>
          <w:szCs w:val="22"/>
        </w:rPr>
      </w:pPr>
      <w:r>
        <w:rPr>
          <w:noProof/>
        </w:rPr>
        <w:t>Mixed</w:t>
      </w:r>
      <w:r>
        <w:rPr>
          <w:noProof/>
        </w:rPr>
        <w:noBreakHyphen/>
        <w:t>use and high</w:t>
      </w:r>
      <w:r>
        <w:rPr>
          <w:noProof/>
        </w:rPr>
        <w:noBreakHyphen/>
        <w:t>rise residential building cover</w:t>
      </w:r>
      <w:r>
        <w:rPr>
          <w:noProof/>
        </w:rPr>
        <w:tab/>
      </w:r>
      <w:r>
        <w:rPr>
          <w:noProof/>
        </w:rPr>
        <w:fldChar w:fldCharType="begin"/>
      </w:r>
      <w:r>
        <w:rPr>
          <w:noProof/>
        </w:rPr>
        <w:instrText xml:space="preserve"> PAGEREF _Toc437877565 \h </w:instrText>
      </w:r>
      <w:r>
        <w:rPr>
          <w:noProof/>
        </w:rPr>
      </w:r>
      <w:r>
        <w:rPr>
          <w:noProof/>
        </w:rPr>
        <w:fldChar w:fldCharType="separate"/>
      </w:r>
      <w:r w:rsidR="00726E65">
        <w:rPr>
          <w:noProof/>
        </w:rPr>
        <w:t>25</w:t>
      </w:r>
      <w:r>
        <w:rPr>
          <w:noProof/>
        </w:rPr>
        <w:fldChar w:fldCharType="end"/>
      </w:r>
    </w:p>
    <w:p w14:paraId="3A3FDA63" w14:textId="77777777" w:rsidR="00340A45" w:rsidRDefault="00340A45">
      <w:pPr>
        <w:pStyle w:val="TOC2"/>
        <w:rPr>
          <w:rFonts w:asciiTheme="minorHAnsi" w:eastAsiaTheme="minorEastAsia" w:hAnsiTheme="minorHAnsi" w:cstheme="minorBidi"/>
          <w:noProof/>
          <w:color w:val="auto"/>
          <w:sz w:val="22"/>
          <w:szCs w:val="22"/>
        </w:rPr>
      </w:pPr>
      <w:r>
        <w:rPr>
          <w:noProof/>
        </w:rPr>
        <w:t>Impact of exclusions in insurance policies</w:t>
      </w:r>
      <w:r>
        <w:rPr>
          <w:noProof/>
        </w:rPr>
        <w:tab/>
      </w:r>
      <w:r>
        <w:rPr>
          <w:noProof/>
        </w:rPr>
        <w:fldChar w:fldCharType="begin"/>
      </w:r>
      <w:r>
        <w:rPr>
          <w:noProof/>
        </w:rPr>
        <w:instrText xml:space="preserve"> PAGEREF _Toc437877566 \h </w:instrText>
      </w:r>
      <w:r>
        <w:rPr>
          <w:noProof/>
        </w:rPr>
      </w:r>
      <w:r>
        <w:rPr>
          <w:noProof/>
        </w:rPr>
        <w:fldChar w:fldCharType="separate"/>
      </w:r>
      <w:r w:rsidR="00726E65">
        <w:rPr>
          <w:noProof/>
        </w:rPr>
        <w:t>27</w:t>
      </w:r>
      <w:r>
        <w:rPr>
          <w:noProof/>
        </w:rPr>
        <w:fldChar w:fldCharType="end"/>
      </w:r>
    </w:p>
    <w:p w14:paraId="3EA9EDA5" w14:textId="77777777" w:rsidR="00340A45" w:rsidRDefault="00340A45">
      <w:pPr>
        <w:pStyle w:val="TOC1"/>
        <w:rPr>
          <w:rFonts w:asciiTheme="minorHAnsi" w:eastAsiaTheme="minorEastAsia" w:hAnsiTheme="minorHAnsi" w:cstheme="minorBidi"/>
          <w:b w:val="0"/>
          <w:smallCaps w:val="0"/>
          <w:noProof/>
          <w:color w:val="auto"/>
        </w:rPr>
      </w:pPr>
      <w:r>
        <w:rPr>
          <w:noProof/>
        </w:rPr>
        <w:t>Appendix A:  Terms of reference</w:t>
      </w:r>
      <w:r>
        <w:rPr>
          <w:noProof/>
        </w:rPr>
        <w:tab/>
      </w:r>
      <w:r>
        <w:rPr>
          <w:noProof/>
        </w:rPr>
        <w:fldChar w:fldCharType="begin"/>
      </w:r>
      <w:r>
        <w:rPr>
          <w:noProof/>
        </w:rPr>
        <w:instrText xml:space="preserve"> PAGEREF _Toc437877567 \h </w:instrText>
      </w:r>
      <w:r>
        <w:rPr>
          <w:noProof/>
        </w:rPr>
      </w:r>
      <w:r>
        <w:rPr>
          <w:noProof/>
        </w:rPr>
        <w:fldChar w:fldCharType="separate"/>
      </w:r>
      <w:r w:rsidR="00726E65">
        <w:rPr>
          <w:noProof/>
        </w:rPr>
        <w:t>29</w:t>
      </w:r>
      <w:r>
        <w:rPr>
          <w:noProof/>
        </w:rPr>
        <w:fldChar w:fldCharType="end"/>
      </w:r>
    </w:p>
    <w:p w14:paraId="180E9914" w14:textId="77777777" w:rsidR="00340A45" w:rsidRDefault="00340A45">
      <w:pPr>
        <w:pStyle w:val="TOC1"/>
        <w:rPr>
          <w:rFonts w:asciiTheme="minorHAnsi" w:eastAsiaTheme="minorEastAsia" w:hAnsiTheme="minorHAnsi" w:cstheme="minorBidi"/>
          <w:b w:val="0"/>
          <w:smallCaps w:val="0"/>
          <w:noProof/>
          <w:color w:val="auto"/>
        </w:rPr>
      </w:pPr>
      <w:r>
        <w:rPr>
          <w:noProof/>
        </w:rPr>
        <w:t>Appendix B:  International approaches</w:t>
      </w:r>
      <w:r>
        <w:rPr>
          <w:noProof/>
        </w:rPr>
        <w:tab/>
      </w:r>
      <w:r>
        <w:rPr>
          <w:noProof/>
        </w:rPr>
        <w:fldChar w:fldCharType="begin"/>
      </w:r>
      <w:r>
        <w:rPr>
          <w:noProof/>
        </w:rPr>
        <w:instrText xml:space="preserve"> PAGEREF _Toc437877568 \h </w:instrText>
      </w:r>
      <w:r>
        <w:rPr>
          <w:noProof/>
        </w:rPr>
      </w:r>
      <w:r>
        <w:rPr>
          <w:noProof/>
        </w:rPr>
        <w:fldChar w:fldCharType="separate"/>
      </w:r>
      <w:r w:rsidR="00726E65">
        <w:rPr>
          <w:noProof/>
        </w:rPr>
        <w:t>31</w:t>
      </w:r>
      <w:r>
        <w:rPr>
          <w:noProof/>
        </w:rPr>
        <w:fldChar w:fldCharType="end"/>
      </w:r>
    </w:p>
    <w:p w14:paraId="03134858" w14:textId="77777777" w:rsidR="00340A45" w:rsidRDefault="00340A45">
      <w:pPr>
        <w:pStyle w:val="TOC2"/>
        <w:rPr>
          <w:rFonts w:asciiTheme="minorHAnsi" w:eastAsiaTheme="minorEastAsia" w:hAnsiTheme="minorHAnsi" w:cstheme="minorBidi"/>
          <w:noProof/>
          <w:color w:val="auto"/>
          <w:sz w:val="22"/>
          <w:szCs w:val="22"/>
        </w:rPr>
      </w:pPr>
      <w:r>
        <w:rPr>
          <w:noProof/>
        </w:rPr>
        <w:t>Recent developments in the United Kingdom and United States</w:t>
      </w:r>
      <w:r>
        <w:rPr>
          <w:noProof/>
        </w:rPr>
        <w:tab/>
      </w:r>
      <w:r>
        <w:rPr>
          <w:noProof/>
        </w:rPr>
        <w:fldChar w:fldCharType="begin"/>
      </w:r>
      <w:r>
        <w:rPr>
          <w:noProof/>
        </w:rPr>
        <w:instrText xml:space="preserve"> PAGEREF _Toc437877569 \h </w:instrText>
      </w:r>
      <w:r>
        <w:rPr>
          <w:noProof/>
        </w:rPr>
      </w:r>
      <w:r>
        <w:rPr>
          <w:noProof/>
        </w:rPr>
        <w:fldChar w:fldCharType="separate"/>
      </w:r>
      <w:r w:rsidR="00726E65">
        <w:rPr>
          <w:noProof/>
        </w:rPr>
        <w:t>31</w:t>
      </w:r>
      <w:r>
        <w:rPr>
          <w:noProof/>
        </w:rPr>
        <w:fldChar w:fldCharType="end"/>
      </w:r>
    </w:p>
    <w:p w14:paraId="15CB14AA" w14:textId="77777777" w:rsidR="00340A45" w:rsidRDefault="00340A45">
      <w:pPr>
        <w:pStyle w:val="TOC2"/>
        <w:rPr>
          <w:rFonts w:asciiTheme="minorHAnsi" w:eastAsiaTheme="minorEastAsia" w:hAnsiTheme="minorHAnsi" w:cstheme="minorBidi"/>
          <w:noProof/>
          <w:color w:val="auto"/>
          <w:sz w:val="22"/>
          <w:szCs w:val="22"/>
        </w:rPr>
      </w:pPr>
      <w:r>
        <w:rPr>
          <w:noProof/>
        </w:rPr>
        <w:t>How the Australian scheme compares with other schemes</w:t>
      </w:r>
      <w:r>
        <w:rPr>
          <w:noProof/>
        </w:rPr>
        <w:tab/>
      </w:r>
      <w:r>
        <w:rPr>
          <w:noProof/>
        </w:rPr>
        <w:fldChar w:fldCharType="begin"/>
      </w:r>
      <w:r>
        <w:rPr>
          <w:noProof/>
        </w:rPr>
        <w:instrText xml:space="preserve"> PAGEREF _Toc437877570 \h </w:instrText>
      </w:r>
      <w:r>
        <w:rPr>
          <w:noProof/>
        </w:rPr>
      </w:r>
      <w:r>
        <w:rPr>
          <w:noProof/>
        </w:rPr>
        <w:fldChar w:fldCharType="separate"/>
      </w:r>
      <w:r w:rsidR="00726E65">
        <w:rPr>
          <w:noProof/>
        </w:rPr>
        <w:t>32</w:t>
      </w:r>
      <w:r>
        <w:rPr>
          <w:noProof/>
        </w:rPr>
        <w:fldChar w:fldCharType="end"/>
      </w:r>
    </w:p>
    <w:p w14:paraId="2AE4762F" w14:textId="26085FA9" w:rsidR="00340A45" w:rsidRDefault="00340A45">
      <w:pPr>
        <w:pStyle w:val="TOC1"/>
        <w:rPr>
          <w:rFonts w:asciiTheme="minorHAnsi" w:eastAsiaTheme="minorEastAsia" w:hAnsiTheme="minorHAnsi" w:cstheme="minorBidi"/>
          <w:b w:val="0"/>
          <w:smallCaps w:val="0"/>
          <w:noProof/>
          <w:color w:val="auto"/>
        </w:rPr>
      </w:pPr>
      <w:r>
        <w:rPr>
          <w:noProof/>
        </w:rPr>
        <w:t>Annex A:  Pottinger Report</w:t>
      </w:r>
      <w:r>
        <w:rPr>
          <w:noProof/>
        </w:rPr>
        <w:tab/>
      </w:r>
    </w:p>
    <w:p w14:paraId="1996AAF0" w14:textId="2A4A9D94" w:rsidR="00340A45" w:rsidRDefault="00340A45">
      <w:pPr>
        <w:pStyle w:val="TOC1"/>
        <w:rPr>
          <w:rFonts w:asciiTheme="minorHAnsi" w:eastAsiaTheme="minorEastAsia" w:hAnsiTheme="minorHAnsi" w:cstheme="minorBidi"/>
          <w:b w:val="0"/>
          <w:smallCaps w:val="0"/>
          <w:noProof/>
          <w:color w:val="auto"/>
        </w:rPr>
      </w:pPr>
      <w:r>
        <w:rPr>
          <w:noProof/>
        </w:rPr>
        <w:t>Annex B:  Finity Report</w:t>
      </w:r>
      <w:r>
        <w:rPr>
          <w:noProof/>
        </w:rPr>
        <w:tab/>
      </w:r>
    </w:p>
    <w:p w14:paraId="7FE81869" w14:textId="77777777" w:rsidR="00D85D73" w:rsidRDefault="00951A43" w:rsidP="00951A43">
      <w:r>
        <w:fldChar w:fldCharType="end"/>
      </w:r>
    </w:p>
    <w:p w14:paraId="078A59C5" w14:textId="77777777" w:rsidR="00B03C85" w:rsidRDefault="00B03C85" w:rsidP="00951A43">
      <w:pPr>
        <w:pStyle w:val="Heading1"/>
        <w:sectPr w:rsidR="00B03C85" w:rsidSect="000C5EE4">
          <w:type w:val="oddPage"/>
          <w:pgSz w:w="11906" w:h="16838" w:code="9"/>
          <w:pgMar w:top="1440" w:right="1440" w:bottom="1440" w:left="1440" w:header="709" w:footer="709" w:gutter="0"/>
          <w:cols w:space="708"/>
          <w:titlePg/>
          <w:docGrid w:linePitch="360"/>
        </w:sectPr>
      </w:pPr>
      <w:bookmarkStart w:id="40" w:name="_Toc321134071"/>
      <w:bookmarkStart w:id="41" w:name="_Toc405808761"/>
      <w:bookmarkStart w:id="42" w:name="_Toc406155131"/>
      <w:bookmarkStart w:id="43" w:name="_Toc406424584"/>
      <w:bookmarkStart w:id="44" w:name="_Toc408413462"/>
      <w:bookmarkStart w:id="45" w:name="_Toc408414176"/>
      <w:bookmarkStart w:id="46" w:name="_Toc409191083"/>
      <w:bookmarkStart w:id="47" w:name="_Toc409618516"/>
      <w:bookmarkStart w:id="48" w:name="_Toc409630047"/>
      <w:bookmarkStart w:id="49" w:name="_Toc410229539"/>
      <w:bookmarkStart w:id="50" w:name="_Toc410302174"/>
    </w:p>
    <w:p w14:paraId="49E73434" w14:textId="128251BA" w:rsidR="00D85D73" w:rsidRPr="001021F2" w:rsidRDefault="00D85D73" w:rsidP="00951A43">
      <w:pPr>
        <w:pStyle w:val="Heading1"/>
      </w:pPr>
      <w:bookmarkStart w:id="51" w:name="_Toc437876662"/>
      <w:bookmarkStart w:id="52" w:name="_Toc437877546"/>
      <w:r>
        <w:lastRenderedPageBreak/>
        <w:t>List of Acronyms and Abbreviations</w:t>
      </w:r>
      <w:bookmarkEnd w:id="40"/>
      <w:bookmarkEnd w:id="41"/>
      <w:bookmarkEnd w:id="42"/>
      <w:bookmarkEnd w:id="43"/>
      <w:bookmarkEnd w:id="44"/>
      <w:bookmarkEnd w:id="45"/>
      <w:bookmarkEnd w:id="46"/>
      <w:bookmarkEnd w:id="47"/>
      <w:bookmarkEnd w:id="48"/>
      <w:bookmarkEnd w:id="49"/>
      <w:bookmarkEnd w:id="50"/>
      <w:bookmarkEnd w:id="51"/>
      <w:bookmarkEnd w:id="52"/>
    </w:p>
    <w:tbl>
      <w:tblPr>
        <w:tblW w:w="0" w:type="auto"/>
        <w:tblLook w:val="01E0" w:firstRow="1" w:lastRow="1" w:firstColumn="1" w:lastColumn="1" w:noHBand="0" w:noVBand="0"/>
      </w:tblPr>
      <w:tblGrid>
        <w:gridCol w:w="1526"/>
        <w:gridCol w:w="7654"/>
      </w:tblGrid>
      <w:tr w:rsidR="00D85D73" w14:paraId="085E9BEC" w14:textId="77777777" w:rsidTr="00B33414">
        <w:tc>
          <w:tcPr>
            <w:tcW w:w="1526" w:type="dxa"/>
          </w:tcPr>
          <w:p w14:paraId="45CA8D60" w14:textId="77777777" w:rsidR="00D85D73" w:rsidRDefault="00D85D73" w:rsidP="00082936">
            <w:pPr>
              <w:spacing w:before="120" w:after="120"/>
            </w:pPr>
            <w:r>
              <w:t>AGA</w:t>
            </w:r>
          </w:p>
        </w:tc>
        <w:tc>
          <w:tcPr>
            <w:tcW w:w="7654" w:type="dxa"/>
          </w:tcPr>
          <w:p w14:paraId="069E7797" w14:textId="77777777" w:rsidR="00D85D73" w:rsidRPr="00734FDA" w:rsidRDefault="00D85D73" w:rsidP="00082936">
            <w:pPr>
              <w:spacing w:before="120" w:after="120"/>
            </w:pPr>
            <w:r>
              <w:t>Australian Government Actuary</w:t>
            </w:r>
          </w:p>
        </w:tc>
      </w:tr>
      <w:tr w:rsidR="00D85D73" w14:paraId="29241254" w14:textId="77777777" w:rsidTr="00B33414">
        <w:tc>
          <w:tcPr>
            <w:tcW w:w="1526" w:type="dxa"/>
          </w:tcPr>
          <w:p w14:paraId="30906BD3" w14:textId="77777777" w:rsidR="00D85D73" w:rsidRDefault="00D85D73" w:rsidP="00082936">
            <w:pPr>
              <w:spacing w:before="120" w:after="120"/>
            </w:pPr>
            <w:r>
              <w:t>ARPC</w:t>
            </w:r>
          </w:p>
        </w:tc>
        <w:tc>
          <w:tcPr>
            <w:tcW w:w="7654" w:type="dxa"/>
          </w:tcPr>
          <w:p w14:paraId="2F85553F" w14:textId="77777777" w:rsidR="00D85D73" w:rsidRPr="00734FDA" w:rsidRDefault="00D85D73" w:rsidP="00082936">
            <w:pPr>
              <w:spacing w:before="120" w:after="120"/>
            </w:pPr>
            <w:r w:rsidRPr="00734FDA">
              <w:t>Australian Reinsurance Pool Corporation</w:t>
            </w:r>
          </w:p>
        </w:tc>
      </w:tr>
      <w:tr w:rsidR="00D85D73" w14:paraId="0709F90D" w14:textId="77777777" w:rsidTr="00B33414">
        <w:tc>
          <w:tcPr>
            <w:tcW w:w="1526" w:type="dxa"/>
          </w:tcPr>
          <w:p w14:paraId="41B6A576" w14:textId="77777777" w:rsidR="00D85D73" w:rsidRPr="00734FDA" w:rsidRDefault="00D85D73" w:rsidP="00082936">
            <w:pPr>
              <w:spacing w:before="120" w:after="120"/>
            </w:pPr>
            <w:r w:rsidRPr="00734FDA">
              <w:t>DTI</w:t>
            </w:r>
          </w:p>
        </w:tc>
        <w:tc>
          <w:tcPr>
            <w:tcW w:w="7654" w:type="dxa"/>
          </w:tcPr>
          <w:p w14:paraId="16F66EEB" w14:textId="77777777" w:rsidR="00D85D73" w:rsidRPr="00734FDA" w:rsidRDefault="00D85D73" w:rsidP="00082936">
            <w:pPr>
              <w:spacing w:before="120" w:after="120"/>
            </w:pPr>
            <w:r w:rsidRPr="00734FDA">
              <w:t xml:space="preserve">Declared Terrorist Incident as defined in the </w:t>
            </w:r>
            <w:r w:rsidRPr="00734FDA">
              <w:rPr>
                <w:rStyle w:val="Italic0"/>
              </w:rPr>
              <w:t>Terrorism Insurance Act</w:t>
            </w:r>
            <w:r>
              <w:rPr>
                <w:rStyle w:val="Italic0"/>
              </w:rPr>
              <w:t> </w:t>
            </w:r>
            <w:r w:rsidRPr="00734FDA">
              <w:rPr>
                <w:rStyle w:val="Italic0"/>
              </w:rPr>
              <w:t>2003</w:t>
            </w:r>
          </w:p>
        </w:tc>
      </w:tr>
      <w:tr w:rsidR="00D85D73" w14:paraId="6A65BF53" w14:textId="77777777" w:rsidTr="00B33414">
        <w:tc>
          <w:tcPr>
            <w:tcW w:w="1526" w:type="dxa"/>
          </w:tcPr>
          <w:p w14:paraId="156BEB0C" w14:textId="77777777" w:rsidR="00D85D73" w:rsidRPr="009A5979" w:rsidRDefault="00D85D73" w:rsidP="00082936">
            <w:pPr>
              <w:spacing w:before="120" w:after="120"/>
            </w:pPr>
            <w:r w:rsidRPr="009A5979">
              <w:t>OECD</w:t>
            </w:r>
          </w:p>
        </w:tc>
        <w:tc>
          <w:tcPr>
            <w:tcW w:w="7654" w:type="dxa"/>
          </w:tcPr>
          <w:p w14:paraId="6824E4AD" w14:textId="77777777" w:rsidR="00D85D73" w:rsidRPr="009A5979" w:rsidRDefault="00D85D73" w:rsidP="00082936">
            <w:pPr>
              <w:spacing w:before="120" w:after="120"/>
            </w:pPr>
            <w:r w:rsidRPr="009A5979">
              <w:t>Organisation for Economic Co</w:t>
            </w:r>
            <w:r w:rsidR="008A07A0">
              <w:noBreakHyphen/>
            </w:r>
            <w:r w:rsidRPr="009A5979">
              <w:t>operation and Development</w:t>
            </w:r>
          </w:p>
        </w:tc>
      </w:tr>
      <w:tr w:rsidR="00D85D73" w14:paraId="55812EF6" w14:textId="77777777" w:rsidTr="00B33414">
        <w:tc>
          <w:tcPr>
            <w:tcW w:w="1526" w:type="dxa"/>
          </w:tcPr>
          <w:p w14:paraId="35BFCBD3" w14:textId="77777777" w:rsidR="00D85D73" w:rsidRPr="004C0766" w:rsidRDefault="00D85D73" w:rsidP="00082936">
            <w:pPr>
              <w:spacing w:before="120" w:after="120"/>
            </w:pPr>
            <w:r w:rsidRPr="004C0766">
              <w:t>NBCR</w:t>
            </w:r>
          </w:p>
        </w:tc>
        <w:tc>
          <w:tcPr>
            <w:tcW w:w="7654" w:type="dxa"/>
          </w:tcPr>
          <w:p w14:paraId="19FB3732" w14:textId="77777777" w:rsidR="00D85D73" w:rsidRPr="009A5979" w:rsidRDefault="00D85D73" w:rsidP="00082936">
            <w:pPr>
              <w:spacing w:before="120" w:after="120"/>
            </w:pPr>
            <w:r w:rsidRPr="004C0766">
              <w:t>Nuclear, biological, chemical and radiological risks</w:t>
            </w:r>
          </w:p>
        </w:tc>
      </w:tr>
    </w:tbl>
    <w:p w14:paraId="57F37D3D" w14:textId="77777777" w:rsidR="00D85D73" w:rsidRPr="00B33414" w:rsidRDefault="00D85D73" w:rsidP="00B33414"/>
    <w:p w14:paraId="6313F328" w14:textId="77777777" w:rsidR="000C5EE4" w:rsidRDefault="000C5EE4" w:rsidP="00B02419">
      <w:pPr>
        <w:pStyle w:val="Heading1"/>
        <w:sectPr w:rsidR="000C5EE4" w:rsidSect="000C5EE4">
          <w:type w:val="oddPage"/>
          <w:pgSz w:w="11906" w:h="16838" w:code="9"/>
          <w:pgMar w:top="1440" w:right="1440" w:bottom="1440" w:left="1440" w:header="709" w:footer="709" w:gutter="0"/>
          <w:cols w:space="708"/>
          <w:titlePg/>
          <w:docGrid w:linePitch="360"/>
        </w:sectPr>
      </w:pPr>
      <w:bookmarkStart w:id="53" w:name="_Toc321134072"/>
      <w:bookmarkStart w:id="54" w:name="_Toc405808762"/>
      <w:bookmarkStart w:id="55" w:name="_Toc406155132"/>
      <w:bookmarkStart w:id="56" w:name="_Toc406424585"/>
      <w:bookmarkStart w:id="57" w:name="_Toc408413463"/>
      <w:bookmarkStart w:id="58" w:name="_Toc408414177"/>
      <w:bookmarkStart w:id="59" w:name="_Toc409191084"/>
      <w:bookmarkStart w:id="60" w:name="_Toc409618517"/>
      <w:bookmarkStart w:id="61" w:name="_Toc409630048"/>
      <w:bookmarkStart w:id="62" w:name="_Toc410229540"/>
      <w:bookmarkStart w:id="63" w:name="_Toc410302175"/>
    </w:p>
    <w:p w14:paraId="7BB9D106" w14:textId="12496165" w:rsidR="00D85D73" w:rsidRPr="00691B0C" w:rsidRDefault="00D85D73" w:rsidP="00B02419">
      <w:pPr>
        <w:pStyle w:val="Heading1"/>
      </w:pPr>
      <w:bookmarkStart w:id="64" w:name="_Toc437877547"/>
      <w:r w:rsidRPr="00691B0C">
        <w:lastRenderedPageBreak/>
        <w:t>Executive Summary</w:t>
      </w:r>
      <w:bookmarkEnd w:id="53"/>
      <w:bookmarkEnd w:id="54"/>
      <w:bookmarkEnd w:id="55"/>
      <w:bookmarkEnd w:id="56"/>
      <w:bookmarkEnd w:id="57"/>
      <w:bookmarkEnd w:id="58"/>
      <w:bookmarkEnd w:id="59"/>
      <w:bookmarkEnd w:id="60"/>
      <w:bookmarkEnd w:id="61"/>
      <w:bookmarkEnd w:id="62"/>
      <w:bookmarkEnd w:id="63"/>
      <w:bookmarkEnd w:id="64"/>
    </w:p>
    <w:p w14:paraId="2294D2EF" w14:textId="77777777" w:rsidR="00D85D73" w:rsidRDefault="00D85D73" w:rsidP="00B02419">
      <w:pPr>
        <w:pStyle w:val="Heading2"/>
      </w:pPr>
      <w:bookmarkStart w:id="65" w:name="_Toc321133394"/>
      <w:bookmarkStart w:id="66" w:name="_Toc321134073"/>
      <w:bookmarkStart w:id="67" w:name="_Toc437877548"/>
      <w:r w:rsidRPr="00436986">
        <w:t>Australia</w:t>
      </w:r>
      <w:r w:rsidR="008A07A0">
        <w:t>’</w:t>
      </w:r>
      <w:r w:rsidRPr="00436986">
        <w:t>s Terrorism Insurance Scheme</w:t>
      </w:r>
      <w:bookmarkEnd w:id="65"/>
      <w:bookmarkEnd w:id="66"/>
      <w:bookmarkEnd w:id="67"/>
    </w:p>
    <w:p w14:paraId="426CE920" w14:textId="77777777" w:rsidR="00DE4AC2" w:rsidRDefault="00DE4AC2" w:rsidP="00B02419">
      <w:pPr>
        <w:pStyle w:val="Heading3"/>
      </w:pPr>
      <w:bookmarkStart w:id="68" w:name="_Toc321133395"/>
      <w:bookmarkStart w:id="69" w:name="_Toc321134074"/>
      <w:r>
        <w:t>Background to Review</w:t>
      </w:r>
    </w:p>
    <w:p w14:paraId="67384358" w14:textId="03D1D34C" w:rsidR="00E148B2" w:rsidRPr="00755335" w:rsidRDefault="00E148B2" w:rsidP="00FF537F">
      <w:r w:rsidRPr="00755335">
        <w:t xml:space="preserve">The Terrorism Insurance Scheme </w:t>
      </w:r>
      <w:r w:rsidR="003A43E0" w:rsidRPr="00755335">
        <w:t xml:space="preserve">(the scheme) </w:t>
      </w:r>
      <w:r w:rsidRPr="00755335">
        <w:t xml:space="preserve">was </w:t>
      </w:r>
      <w:r w:rsidR="008D5F98">
        <w:t>intended</w:t>
      </w:r>
      <w:r w:rsidRPr="00755335">
        <w:t xml:space="preserve"> as an interim measure to operate while terrorism insurance cover </w:t>
      </w:r>
      <w:r w:rsidR="00197D4F" w:rsidRPr="00755335">
        <w:t>wa</w:t>
      </w:r>
      <w:r w:rsidRPr="00755335">
        <w:t xml:space="preserve">s unavailable </w:t>
      </w:r>
      <w:r w:rsidR="00197D4F" w:rsidRPr="00755335">
        <w:t>in the private market</w:t>
      </w:r>
      <w:r w:rsidRPr="00755335">
        <w:t>. The</w:t>
      </w:r>
      <w:r w:rsidR="008368E1" w:rsidRPr="00755335">
        <w:t xml:space="preserve"> scheme was set up under the</w:t>
      </w:r>
      <w:r w:rsidRPr="00755335">
        <w:t xml:space="preserve"> </w:t>
      </w:r>
      <w:r w:rsidR="004A36DD" w:rsidRPr="009F7DAD">
        <w:rPr>
          <w:i/>
        </w:rPr>
        <w:t xml:space="preserve">Terrorism Insurance </w:t>
      </w:r>
      <w:r w:rsidRPr="009F7DAD">
        <w:rPr>
          <w:i/>
        </w:rPr>
        <w:t>Act</w:t>
      </w:r>
      <w:r w:rsidR="004A36DD" w:rsidRPr="009F7DAD">
        <w:rPr>
          <w:i/>
        </w:rPr>
        <w:t xml:space="preserve"> 2003</w:t>
      </w:r>
      <w:r w:rsidR="004A36DD" w:rsidRPr="00755335">
        <w:t xml:space="preserve"> (the Act)</w:t>
      </w:r>
      <w:r w:rsidR="008368E1" w:rsidRPr="00755335">
        <w:t>, and is operated by the Australian Reinsurance Pool Corporation (the ARPC). The Act</w:t>
      </w:r>
      <w:r w:rsidRPr="00755335">
        <w:t xml:space="preserve"> requires that the Minister prepare a report that reviews the need for the Act to continue in operation</w:t>
      </w:r>
      <w:r w:rsidR="00C465F7" w:rsidRPr="00755335">
        <w:t xml:space="preserve"> at least once every three</w:t>
      </w:r>
      <w:r w:rsidR="00F34A1D">
        <w:t> </w:t>
      </w:r>
      <w:r w:rsidR="00C465F7" w:rsidRPr="00755335">
        <w:t>years</w:t>
      </w:r>
      <w:r w:rsidRPr="00755335">
        <w:t>.</w:t>
      </w:r>
      <w:r w:rsidRPr="00873A0A">
        <w:rPr>
          <w:rStyle w:val="FootnoteReference"/>
        </w:rPr>
        <w:footnoteReference w:id="2"/>
      </w:r>
      <w:r w:rsidR="004E0C48" w:rsidRPr="00755335">
        <w:t xml:space="preserve"> Previous reviews in 2006, 2009 and 2012 have concluded </w:t>
      </w:r>
      <w:r w:rsidR="00A7164C">
        <w:t xml:space="preserve">that </w:t>
      </w:r>
      <w:r w:rsidR="004E0C48" w:rsidRPr="00755335">
        <w:t>there was insufficient commercial market terrorism insurance available at affordable rates</w:t>
      </w:r>
      <w:r w:rsidR="00A7164C">
        <w:t xml:space="preserve"> and</w:t>
      </w:r>
      <w:r w:rsidR="004E0C48" w:rsidRPr="00755335">
        <w:t xml:space="preserve"> that the </w:t>
      </w:r>
      <w:r w:rsidR="00BA711D">
        <w:t>scheme</w:t>
      </w:r>
      <w:r w:rsidR="004E0C48" w:rsidRPr="00755335">
        <w:t xml:space="preserve"> should continue to operate.</w:t>
      </w:r>
    </w:p>
    <w:p w14:paraId="747C752F" w14:textId="11D9FC43" w:rsidR="003A43E0" w:rsidRPr="00755335" w:rsidRDefault="000707DF" w:rsidP="00FF537F">
      <w:r w:rsidRPr="00755335">
        <w:t>The terms of reference for this review appear at A</w:t>
      </w:r>
      <w:r w:rsidR="00377A4D">
        <w:t>ppendix</w:t>
      </w:r>
      <w:r w:rsidRPr="00755335">
        <w:t xml:space="preserve"> </w:t>
      </w:r>
      <w:r w:rsidR="00D672D8">
        <w:t>A</w:t>
      </w:r>
      <w:r w:rsidR="008A07A0">
        <w:t xml:space="preserve">. </w:t>
      </w:r>
      <w:r w:rsidR="005D2DF3" w:rsidRPr="00755335">
        <w:t xml:space="preserve">It is not the purpose of </w:t>
      </w:r>
      <w:r w:rsidR="00BA711D">
        <w:t xml:space="preserve">this </w:t>
      </w:r>
      <w:r w:rsidR="003A43E0" w:rsidRPr="00755335">
        <w:t>review to consider the level of risk of terrorism</w:t>
      </w:r>
      <w:r w:rsidR="008A07A0">
        <w:t xml:space="preserve">. </w:t>
      </w:r>
      <w:r w:rsidR="005D2DF3" w:rsidRPr="00755335">
        <w:t xml:space="preserve">That is the function of other branches of government. </w:t>
      </w:r>
      <w:r w:rsidR="003A43E0" w:rsidRPr="00755335">
        <w:t>Nevertheless, recent events</w:t>
      </w:r>
      <w:r w:rsidR="008A07A0">
        <w:t xml:space="preserve"> — </w:t>
      </w:r>
      <w:r w:rsidR="003A43E0" w:rsidRPr="00755335">
        <w:t>in Sydney and Paris</w:t>
      </w:r>
      <w:r w:rsidR="001137ED">
        <w:t>,</w:t>
      </w:r>
      <w:r w:rsidR="003A43E0" w:rsidRPr="00755335">
        <w:t xml:space="preserve"> for example</w:t>
      </w:r>
      <w:r w:rsidR="008A07A0">
        <w:t xml:space="preserve"> — </w:t>
      </w:r>
      <w:r w:rsidR="003A43E0" w:rsidRPr="00755335">
        <w:t>highlight that terrorism is an ongoing threat</w:t>
      </w:r>
      <w:r w:rsidR="008A07A0">
        <w:t xml:space="preserve">. </w:t>
      </w:r>
      <w:r w:rsidR="003A43E0" w:rsidRPr="00755335">
        <w:t xml:space="preserve">The Sydney event in December 2014 gave rise to the first and only activation of the scheme since its inception. </w:t>
      </w:r>
    </w:p>
    <w:p w14:paraId="62369F48" w14:textId="4CA96653" w:rsidR="003371F8" w:rsidRDefault="006E702E" w:rsidP="00FF537F">
      <w:r w:rsidRPr="00755335">
        <w:t xml:space="preserve">This comes at a time when the scheme has been in operation </w:t>
      </w:r>
      <w:r w:rsidR="001137ED">
        <w:t>more than</w:t>
      </w:r>
      <w:r w:rsidRPr="00755335">
        <w:t xml:space="preserve"> a decade</w:t>
      </w:r>
      <w:r w:rsidR="008A07A0">
        <w:t xml:space="preserve">. </w:t>
      </w:r>
      <w:r w:rsidR="003371F8">
        <w:t>Last year, the National Commission of Audit, in expressing a view on the future of a number of Australian Government bodies, said of the ARPC:</w:t>
      </w:r>
    </w:p>
    <w:p w14:paraId="04D56C65" w14:textId="349290D8" w:rsidR="003371F8" w:rsidRDefault="003371F8" w:rsidP="003371F8">
      <w:pPr>
        <w:ind w:left="720"/>
      </w:pPr>
      <w:r>
        <w:t>“With continued recovery in terrorism insurance markets, there is scope for a gradual Commonwealth exit over the coming years.”</w:t>
      </w:r>
      <w:r>
        <w:rPr>
          <w:rStyle w:val="FootnoteReference"/>
        </w:rPr>
        <w:footnoteReference w:id="3"/>
      </w:r>
    </w:p>
    <w:p w14:paraId="46272F31" w14:textId="5D886D5C" w:rsidR="00785FE0" w:rsidRDefault="00785FE0" w:rsidP="00785FE0">
      <w:r>
        <w:t xml:space="preserve">Against that background, this review has closely </w:t>
      </w:r>
      <w:r w:rsidRPr="00755335">
        <w:t>consider</w:t>
      </w:r>
      <w:r>
        <w:t>ed</w:t>
      </w:r>
      <w:r w:rsidRPr="00755335">
        <w:t xml:space="preserve"> the </w:t>
      </w:r>
      <w:r>
        <w:t xml:space="preserve">scope for government withdrawal from the market, and </w:t>
      </w:r>
      <w:r w:rsidRPr="00755335">
        <w:t>whether alternative structures for the ARPC, including full or partial private ownership, would be viable</w:t>
      </w:r>
      <w:r>
        <w:t>.  To assist in exploring these issues, an external consultant</w:t>
      </w:r>
      <w:r w:rsidRPr="00755335">
        <w:t xml:space="preserve"> (</w:t>
      </w:r>
      <w:proofErr w:type="spellStart"/>
      <w:r w:rsidRPr="00755335">
        <w:t>Pottinger</w:t>
      </w:r>
      <w:proofErr w:type="spellEnd"/>
      <w:r w:rsidRPr="00755335">
        <w:t xml:space="preserve">) </w:t>
      </w:r>
      <w:r>
        <w:t>was engaged by Treasury</w:t>
      </w:r>
      <w:r w:rsidRPr="00755335">
        <w:t>.</w:t>
      </w:r>
      <w:r w:rsidR="009D5510">
        <w:t xml:space="preserve">  In addition, in finalising this review, consultations were held with industry representatives on </w:t>
      </w:r>
      <w:r w:rsidR="00347F50">
        <w:t xml:space="preserve">a </w:t>
      </w:r>
      <w:r w:rsidR="009D5510">
        <w:t>draft</w:t>
      </w:r>
      <w:r w:rsidR="00347F50">
        <w:t xml:space="preserve"> of the Report</w:t>
      </w:r>
      <w:r w:rsidR="009D5510">
        <w:t>.</w:t>
      </w:r>
    </w:p>
    <w:p w14:paraId="684A350D" w14:textId="359DA0CE" w:rsidR="00785FE0" w:rsidRPr="00755335" w:rsidRDefault="00CD575C" w:rsidP="00785FE0">
      <w:r>
        <w:t>F</w:t>
      </w:r>
      <w:r w:rsidR="00785FE0" w:rsidRPr="00755335">
        <w:t xml:space="preserve">or the reasons set out in </w:t>
      </w:r>
      <w:r>
        <w:t>detail in the chapters below</w:t>
      </w:r>
      <w:r w:rsidR="00785FE0" w:rsidRPr="00755335">
        <w:t xml:space="preserve">, the recommendation of this review is that the current </w:t>
      </w:r>
      <w:r>
        <w:t xml:space="preserve">ownership and administration </w:t>
      </w:r>
      <w:r w:rsidR="00785FE0" w:rsidRPr="00755335">
        <w:t xml:space="preserve">structure </w:t>
      </w:r>
      <w:r>
        <w:t xml:space="preserve">of the scheme </w:t>
      </w:r>
      <w:r w:rsidR="00785FE0" w:rsidRPr="00755335">
        <w:t xml:space="preserve">as set out in the Act be retained, </w:t>
      </w:r>
      <w:r>
        <w:t>while noting that</w:t>
      </w:r>
      <w:r w:rsidR="00785FE0" w:rsidRPr="00755335">
        <w:t xml:space="preserve"> there is scope to revisit alternative structures </w:t>
      </w:r>
      <w:r w:rsidR="00785FE0">
        <w:t xml:space="preserve">in </w:t>
      </w:r>
      <w:r>
        <w:t>future if there is</w:t>
      </w:r>
      <w:r w:rsidR="00785FE0">
        <w:t xml:space="preserve"> a</w:t>
      </w:r>
      <w:r w:rsidR="00785FE0" w:rsidRPr="00755335">
        <w:t xml:space="preserve"> significant change in market conditions.</w:t>
      </w:r>
    </w:p>
    <w:p w14:paraId="0F36E4AA" w14:textId="6519AF28" w:rsidR="00734BEA" w:rsidRPr="00755335" w:rsidRDefault="00CD575C" w:rsidP="00CD575C">
      <w:r>
        <w:t>Nevertheless, a</w:t>
      </w:r>
      <w:r w:rsidR="00734BEA" w:rsidRPr="00755335">
        <w:t xml:space="preserve">s the need for the scheme has persisted for more than a decade, the policy framework against which its operation is assessed </w:t>
      </w:r>
      <w:r w:rsidR="00354CA3" w:rsidRPr="00755335">
        <w:t>should no</w:t>
      </w:r>
      <w:r>
        <w:t xml:space="preserve"> longer</w:t>
      </w:r>
      <w:r w:rsidR="00354CA3" w:rsidRPr="00755335">
        <w:t xml:space="preserve"> be limited to</w:t>
      </w:r>
      <w:r w:rsidR="00734BEA" w:rsidRPr="00755335">
        <w:t xml:space="preserve"> one that conceives of the scheme as a</w:t>
      </w:r>
      <w:r>
        <w:t xml:space="preserve"> </w:t>
      </w:r>
      <w:r w:rsidR="00734BEA" w:rsidRPr="00755335">
        <w:t>short</w:t>
      </w:r>
      <w:r w:rsidR="008A07A0">
        <w:noBreakHyphen/>
      </w:r>
      <w:r w:rsidR="00734BEA" w:rsidRPr="00755335">
        <w:t>term, temporary measure</w:t>
      </w:r>
      <w:r w:rsidR="008A07A0">
        <w:t xml:space="preserve">. </w:t>
      </w:r>
      <w:r w:rsidR="00734BEA" w:rsidRPr="00755335">
        <w:t>Whil</w:t>
      </w:r>
      <w:r w:rsidR="001137ED">
        <w:t>e</w:t>
      </w:r>
      <w:r w:rsidR="00734BEA" w:rsidRPr="00755335">
        <w:t xml:space="preserve"> the ongoing need for the scheme should </w:t>
      </w:r>
      <w:r w:rsidR="00A7164C">
        <w:t>continue to</w:t>
      </w:r>
      <w:r w:rsidR="00734BEA" w:rsidRPr="00755335">
        <w:t xml:space="preserve"> be periodically reviewed, the fact that it has matured into at least a medium</w:t>
      </w:r>
      <w:r w:rsidR="001137ED">
        <w:t>-</w:t>
      </w:r>
      <w:r w:rsidR="00734BEA" w:rsidRPr="00755335">
        <w:t>term policy response should be recognised and reflected in decisions about the nature and scope of its operation.</w:t>
      </w:r>
    </w:p>
    <w:p w14:paraId="47EF0ECC" w14:textId="1A98B05F" w:rsidR="007B304B" w:rsidRPr="00755335" w:rsidRDefault="00354CA3" w:rsidP="00FF537F">
      <w:r w:rsidRPr="00755335">
        <w:lastRenderedPageBreak/>
        <w:t xml:space="preserve">Reflecting the </w:t>
      </w:r>
      <w:r w:rsidR="007B3BBA">
        <w:t>considerations outlined above</w:t>
      </w:r>
      <w:r w:rsidR="007B304B" w:rsidRPr="00755335">
        <w:t>, the recommendations in this report</w:t>
      </w:r>
      <w:r w:rsidR="00734BEA" w:rsidRPr="00755335">
        <w:t xml:space="preserve"> </w:t>
      </w:r>
      <w:r w:rsidR="007B304B" w:rsidRPr="00755335">
        <w:t>are motivated by the desire to ensure that:</w:t>
      </w:r>
    </w:p>
    <w:p w14:paraId="39177510" w14:textId="233AA1A0" w:rsidR="007B304B" w:rsidRPr="00755335" w:rsidRDefault="00D03DA6" w:rsidP="00755335">
      <w:pPr>
        <w:pStyle w:val="Bullet"/>
      </w:pPr>
      <w:r>
        <w:t>t</w:t>
      </w:r>
      <w:r w:rsidR="007B304B" w:rsidRPr="00755335">
        <w:t>hose who benefit most from the scheme</w:t>
      </w:r>
      <w:r w:rsidR="008A07A0">
        <w:t xml:space="preserve"> — </w:t>
      </w:r>
      <w:r w:rsidR="007B304B" w:rsidRPr="00755335">
        <w:t>insured parties and the insurance i</w:t>
      </w:r>
      <w:r w:rsidR="00D02AE1" w:rsidRPr="00755335">
        <w:t>ndustry</w:t>
      </w:r>
      <w:r w:rsidR="001137ED">
        <w:t xml:space="preserve"> – </w:t>
      </w:r>
      <w:r w:rsidR="00D02AE1" w:rsidRPr="00755335">
        <w:t xml:space="preserve">take an appropriate level of responsibility for </w:t>
      </w:r>
      <w:r w:rsidR="00A7164C">
        <w:t>its</w:t>
      </w:r>
      <w:r w:rsidR="00D02AE1" w:rsidRPr="00755335">
        <w:t xml:space="preserve"> </w:t>
      </w:r>
      <w:r w:rsidR="007B304B" w:rsidRPr="00755335">
        <w:t xml:space="preserve">sustainable operation; </w:t>
      </w:r>
    </w:p>
    <w:p w14:paraId="53F2AF31" w14:textId="0BCACF5B" w:rsidR="007B304B" w:rsidRPr="00755335" w:rsidRDefault="00B97B26" w:rsidP="00755335">
      <w:pPr>
        <w:pStyle w:val="Bullet"/>
      </w:pPr>
      <w:r>
        <w:t>the g</w:t>
      </w:r>
      <w:r w:rsidR="007B304B" w:rsidRPr="00755335">
        <w:t>overnment and taxpayers are fairly compensated for any financial support provided to scheme;</w:t>
      </w:r>
    </w:p>
    <w:p w14:paraId="2037D67A" w14:textId="77777777" w:rsidR="007B304B" w:rsidRPr="00755335" w:rsidRDefault="00D03DA6" w:rsidP="00755335">
      <w:pPr>
        <w:pStyle w:val="Bullet"/>
      </w:pPr>
      <w:r>
        <w:t>t</w:t>
      </w:r>
      <w:r w:rsidR="007B304B" w:rsidRPr="00755335">
        <w:t>he scheme operates equitably and effectively to provide terrorism cover where it is unavailable in the private market; and</w:t>
      </w:r>
    </w:p>
    <w:p w14:paraId="192BBA79" w14:textId="77777777" w:rsidR="007B304B" w:rsidRPr="00755335" w:rsidRDefault="00D03DA6" w:rsidP="00755335">
      <w:pPr>
        <w:pStyle w:val="Bullet"/>
      </w:pPr>
      <w:proofErr w:type="gramStart"/>
      <w:r>
        <w:t>t</w:t>
      </w:r>
      <w:r w:rsidR="007B304B" w:rsidRPr="00755335">
        <w:t>here</w:t>
      </w:r>
      <w:proofErr w:type="gramEnd"/>
      <w:r w:rsidR="007B304B" w:rsidRPr="00755335">
        <w:t xml:space="preserve"> is an appropriate level of certainty around the operation of the scheme.</w:t>
      </w:r>
    </w:p>
    <w:p w14:paraId="3FEFA491" w14:textId="77777777" w:rsidR="006E702E" w:rsidRDefault="006E702E" w:rsidP="00B02419">
      <w:pPr>
        <w:pStyle w:val="Heading3"/>
      </w:pPr>
      <w:r w:rsidRPr="00FD04F8">
        <w:t>Recommendations</w:t>
      </w:r>
    </w:p>
    <w:p w14:paraId="12C4AE90" w14:textId="77777777" w:rsidR="00351A38" w:rsidRPr="00B02419" w:rsidRDefault="00351A38" w:rsidP="00B02419">
      <w:pPr>
        <w:pStyle w:val="Heading4"/>
      </w:pPr>
      <w:r w:rsidRPr="00B02419">
        <w:t>Structure of the ARPC</w:t>
      </w:r>
    </w:p>
    <w:p w14:paraId="4746C92A" w14:textId="4315BE97" w:rsidR="0004480C" w:rsidRDefault="0004480C" w:rsidP="0004480C">
      <w:r w:rsidRPr="0004480C">
        <w:rPr>
          <w:i/>
        </w:rPr>
        <w:t>Recommendation 1</w:t>
      </w:r>
      <w:r>
        <w:t xml:space="preserve">: </w:t>
      </w:r>
      <w:r w:rsidR="00685DAA">
        <w:t>That t</w:t>
      </w:r>
      <w:r w:rsidR="001A425F" w:rsidRPr="00B02419">
        <w:t xml:space="preserve">he Act </w:t>
      </w:r>
      <w:r w:rsidR="001275D2" w:rsidRPr="00B02419">
        <w:t>remain</w:t>
      </w:r>
      <w:r w:rsidR="00C71289">
        <w:t>s</w:t>
      </w:r>
      <w:r w:rsidR="001275D2" w:rsidRPr="00B02419">
        <w:t xml:space="preserve"> in force</w:t>
      </w:r>
      <w:r w:rsidR="005C3408" w:rsidRPr="00B02419">
        <w:t>, subject to future three</w:t>
      </w:r>
      <w:r w:rsidR="008A07A0">
        <w:noBreakHyphen/>
      </w:r>
      <w:r w:rsidR="005C3408" w:rsidRPr="00B02419">
        <w:t>year</w:t>
      </w:r>
      <w:r w:rsidR="00D03DA6">
        <w:t>ly statutory reviews</w:t>
      </w:r>
      <w:r>
        <w:t>.</w:t>
      </w:r>
    </w:p>
    <w:p w14:paraId="4E7ED1E7" w14:textId="3F5369D2" w:rsidR="00D03137" w:rsidRPr="00B02419" w:rsidRDefault="0004480C" w:rsidP="0004480C">
      <w:r w:rsidRPr="0004480C">
        <w:rPr>
          <w:i/>
        </w:rPr>
        <w:t>Recommendation 2</w:t>
      </w:r>
      <w:r>
        <w:t xml:space="preserve">: </w:t>
      </w:r>
      <w:r w:rsidR="007B666A">
        <w:t>That t</w:t>
      </w:r>
      <w:r w:rsidR="000001DC" w:rsidRPr="00B02419">
        <w:t xml:space="preserve">he </w:t>
      </w:r>
      <w:r w:rsidR="00685DAA">
        <w:t xml:space="preserve">current </w:t>
      </w:r>
      <w:r w:rsidR="00CE6ED4">
        <w:t xml:space="preserve">administration </w:t>
      </w:r>
      <w:r w:rsidR="00B3184E" w:rsidRPr="00B02419">
        <w:t xml:space="preserve">structure of the </w:t>
      </w:r>
      <w:r w:rsidR="000001DC" w:rsidRPr="00B02419">
        <w:t xml:space="preserve">ARPC </w:t>
      </w:r>
      <w:r w:rsidR="00B3184E" w:rsidRPr="00B02419">
        <w:t>as set out in the Act be retained</w:t>
      </w:r>
      <w:r w:rsidR="005C3408" w:rsidRPr="00B02419">
        <w:t>.</w:t>
      </w:r>
    </w:p>
    <w:p w14:paraId="72475D90" w14:textId="77777777" w:rsidR="001F6F3E" w:rsidRPr="006C15D2" w:rsidRDefault="001F6F3E" w:rsidP="00B02419">
      <w:pPr>
        <w:pStyle w:val="Heading4"/>
      </w:pPr>
      <w:r w:rsidRPr="006C15D2">
        <w:t>Retentions</w:t>
      </w:r>
    </w:p>
    <w:p w14:paraId="568A7E93" w14:textId="77777777" w:rsidR="0004480C" w:rsidRPr="00843660" w:rsidRDefault="0004480C" w:rsidP="0004480C">
      <w:r w:rsidRPr="0004480C">
        <w:rPr>
          <w:i/>
        </w:rPr>
        <w:t>Recommendation 3</w:t>
      </w:r>
      <w:r>
        <w:t>: T</w:t>
      </w:r>
      <w:r w:rsidRPr="00843660">
        <w:t>he four per cent rate of gross fire and industrial special risk premium (less any fire services levy) shoul</w:t>
      </w:r>
      <w:r>
        <w:t>d be increased to five per cent.</w:t>
      </w:r>
    </w:p>
    <w:p w14:paraId="1A269EC7" w14:textId="25771D83" w:rsidR="0004480C" w:rsidRPr="00843660" w:rsidRDefault="0004480C" w:rsidP="0004480C">
      <w:r w:rsidRPr="0004480C">
        <w:rPr>
          <w:i/>
        </w:rPr>
        <w:t>Recommendation 4</w:t>
      </w:r>
      <w:r>
        <w:t>: C</w:t>
      </w:r>
      <w:r w:rsidRPr="00843660">
        <w:t xml:space="preserve">urrent maximum retention levels for individual insurers </w:t>
      </w:r>
      <w:r>
        <w:t>should be removed.</w:t>
      </w:r>
    </w:p>
    <w:p w14:paraId="56A5F5CF" w14:textId="77777777" w:rsidR="0004480C" w:rsidRPr="00843660" w:rsidRDefault="0004480C" w:rsidP="0004480C">
      <w:r w:rsidRPr="0004480C">
        <w:rPr>
          <w:i/>
        </w:rPr>
        <w:t>Recommendation 5</w:t>
      </w:r>
      <w:r>
        <w:t>: T</w:t>
      </w:r>
      <w:r w:rsidRPr="00843660">
        <w:t xml:space="preserve">he maximum industry retention </w:t>
      </w:r>
      <w:r>
        <w:t xml:space="preserve">should </w:t>
      </w:r>
      <w:r w:rsidRPr="00843660">
        <w:t>be increased from $100 million to $200 million.</w:t>
      </w:r>
    </w:p>
    <w:p w14:paraId="5982A362" w14:textId="77777777" w:rsidR="00903C67" w:rsidRPr="00B02419" w:rsidRDefault="00903C67" w:rsidP="00903C67">
      <w:pPr>
        <w:pStyle w:val="Heading4"/>
      </w:pPr>
      <w:r w:rsidRPr="00B02419">
        <w:t>Retrocession</w:t>
      </w:r>
    </w:p>
    <w:p w14:paraId="03C2C684" w14:textId="23E5D847" w:rsidR="00903C67" w:rsidRPr="00B359E3" w:rsidRDefault="00903C67" w:rsidP="00903C67">
      <w:r>
        <w:rPr>
          <w:i/>
        </w:rPr>
        <w:t>Recommendation 6</w:t>
      </w:r>
      <w:r w:rsidRPr="0004480C">
        <w:rPr>
          <w:i/>
        </w:rPr>
        <w:t xml:space="preserve">: </w:t>
      </w:r>
      <w:r w:rsidRPr="008277D6">
        <w:t>That the ARPC continue to have the discretion to purchase retrocession, subject to the APRC assessing</w:t>
      </w:r>
      <w:r w:rsidRPr="00AF5B6D">
        <w:t xml:space="preserve"> the need for</w:t>
      </w:r>
      <w:r w:rsidR="007B666A">
        <w:t>,</w:t>
      </w:r>
      <w:r w:rsidRPr="00AF5B6D">
        <w:t xml:space="preserve"> and levels of</w:t>
      </w:r>
      <w:r w:rsidR="007B666A">
        <w:t>,</w:t>
      </w:r>
      <w:r w:rsidRPr="00AF5B6D">
        <w:t xml:space="preserve"> </w:t>
      </w:r>
      <w:r w:rsidRPr="00D779FA">
        <w:t xml:space="preserve">its retrocession programme </w:t>
      </w:r>
      <w:r>
        <w:t>and</w:t>
      </w:r>
      <w:r w:rsidRPr="00D779FA">
        <w:t xml:space="preserve"> value for money.</w:t>
      </w:r>
    </w:p>
    <w:p w14:paraId="5316DBA8" w14:textId="77777777" w:rsidR="00EE3F50" w:rsidRDefault="006C15D2" w:rsidP="00B02419">
      <w:pPr>
        <w:pStyle w:val="Heading4"/>
      </w:pPr>
      <w:r w:rsidRPr="006C15D2">
        <w:t>Fee for the government guarantee</w:t>
      </w:r>
    </w:p>
    <w:p w14:paraId="272E901D" w14:textId="5DB95BDB" w:rsidR="00903C67" w:rsidRDefault="00903C67" w:rsidP="00903C67">
      <w:r>
        <w:rPr>
          <w:i/>
        </w:rPr>
        <w:t>Recommendation 7</w:t>
      </w:r>
      <w:r w:rsidRPr="007B666A">
        <w:rPr>
          <w:i/>
        </w:rPr>
        <w:t>:</w:t>
      </w:r>
      <w:r>
        <w:t xml:space="preserve"> That the ARPC pay to the Commonwealth each year</w:t>
      </w:r>
      <w:r w:rsidR="007B666A">
        <w:t>, commencing in 2016-17</w:t>
      </w:r>
      <w:r>
        <w:t>:</w:t>
      </w:r>
    </w:p>
    <w:p w14:paraId="405B7A0F" w14:textId="77777777" w:rsidR="00903C67" w:rsidRDefault="00903C67" w:rsidP="00903C67">
      <w:pPr>
        <w:pStyle w:val="Bullet"/>
        <w:numPr>
          <w:ilvl w:val="0"/>
          <w:numId w:val="39"/>
        </w:numPr>
      </w:pPr>
      <w:r>
        <w:t>a fee of $55 million in respect of the Commonwealth guarantee of the ARPC’s liabilities; and</w:t>
      </w:r>
    </w:p>
    <w:p w14:paraId="10665CE8" w14:textId="4793B162" w:rsidR="00903C67" w:rsidRDefault="00903C67" w:rsidP="00FE628B">
      <w:pPr>
        <w:pStyle w:val="Bullet"/>
        <w:numPr>
          <w:ilvl w:val="0"/>
          <w:numId w:val="39"/>
        </w:numPr>
        <w:tabs>
          <w:tab w:val="clear" w:pos="397"/>
          <w:tab w:val="left" w:pos="426"/>
        </w:tabs>
        <w:ind w:left="397" w:hanging="397"/>
      </w:pPr>
      <w:proofErr w:type="gramStart"/>
      <w:r>
        <w:t>an</w:t>
      </w:r>
      <w:proofErr w:type="gramEnd"/>
      <w:r>
        <w:t xml:space="preserve"> additional amount of $35 million per annum to reflect the Commonwealth’s support in</w:t>
      </w:r>
      <w:r w:rsidR="00C71289">
        <w:t xml:space="preserve"> </w:t>
      </w:r>
      <w:r>
        <w:t>making the ARPC reserves available for payment of claims.</w:t>
      </w:r>
    </w:p>
    <w:p w14:paraId="6C90A5D7" w14:textId="77777777" w:rsidR="00D35F25" w:rsidRPr="001A7E19" w:rsidRDefault="00D35F25" w:rsidP="00B02419">
      <w:pPr>
        <w:pStyle w:val="Heading4"/>
      </w:pPr>
      <w:r w:rsidRPr="001A7E19">
        <w:t xml:space="preserve">Premiums </w:t>
      </w:r>
    </w:p>
    <w:p w14:paraId="1C49C5D4" w14:textId="4C7C87C3" w:rsidR="00CE6ED4" w:rsidRPr="00CE6ED4" w:rsidRDefault="00092072" w:rsidP="009D66B7">
      <w:pPr>
        <w:pStyle w:val="Bullet"/>
        <w:numPr>
          <w:ilvl w:val="0"/>
          <w:numId w:val="0"/>
        </w:numPr>
        <w:rPr>
          <w:szCs w:val="22"/>
        </w:rPr>
      </w:pPr>
      <w:r>
        <w:rPr>
          <w:i/>
        </w:rPr>
        <w:t>Recommendation 8</w:t>
      </w:r>
      <w:r w:rsidR="0004480C">
        <w:t xml:space="preserve">: </w:t>
      </w:r>
      <w:r w:rsidR="00FD11EF">
        <w:t>T</w:t>
      </w:r>
      <w:r w:rsidR="0074499E">
        <w:t>hat the premiums charged by the ARPC be increased</w:t>
      </w:r>
      <w:r w:rsidR="009D66B7">
        <w:t>, with effect from 1 April 2016</w:t>
      </w:r>
      <w:r w:rsidR="0074499E">
        <w:t xml:space="preserve"> to</w:t>
      </w:r>
      <w:r w:rsidR="00CE6ED4">
        <w:t>:</w:t>
      </w:r>
    </w:p>
    <w:p w14:paraId="729B088A" w14:textId="65B3DE5D" w:rsidR="00CE6ED4" w:rsidRPr="00CE6ED4" w:rsidRDefault="0074499E" w:rsidP="00CE6ED4">
      <w:pPr>
        <w:pStyle w:val="Dash"/>
        <w:rPr>
          <w:szCs w:val="22"/>
        </w:rPr>
      </w:pPr>
      <w:r>
        <w:t>1</w:t>
      </w:r>
      <w:r w:rsidR="00BF4048">
        <w:t>6</w:t>
      </w:r>
      <w:r>
        <w:t xml:space="preserve"> per cent for Tier A, </w:t>
      </w:r>
    </w:p>
    <w:p w14:paraId="5EDC7236" w14:textId="40668355" w:rsidR="00CE6ED4" w:rsidRPr="00CE6ED4" w:rsidRDefault="00BF4048" w:rsidP="00CE6ED4">
      <w:pPr>
        <w:pStyle w:val="Dash"/>
        <w:rPr>
          <w:szCs w:val="22"/>
        </w:rPr>
      </w:pPr>
      <w:r>
        <w:t>5.3</w:t>
      </w:r>
      <w:r w:rsidR="0074499E">
        <w:t> per cent for Tier B</w:t>
      </w:r>
      <w:r w:rsidR="00CE6ED4">
        <w:t>,</w:t>
      </w:r>
      <w:r w:rsidR="0074499E">
        <w:t xml:space="preserve"> and </w:t>
      </w:r>
    </w:p>
    <w:p w14:paraId="043709C4" w14:textId="37C91CC9" w:rsidR="0074499E" w:rsidRPr="001A7E19" w:rsidRDefault="00BF4048" w:rsidP="00CE6ED4">
      <w:pPr>
        <w:pStyle w:val="Dash"/>
        <w:rPr>
          <w:szCs w:val="22"/>
        </w:rPr>
      </w:pPr>
      <w:r>
        <w:t>2.</w:t>
      </w:r>
      <w:r w:rsidR="007B73B1">
        <w:t>6</w:t>
      </w:r>
      <w:r w:rsidR="0074499E">
        <w:t> per cent for Tier C.</w:t>
      </w:r>
    </w:p>
    <w:p w14:paraId="15D9A2DA" w14:textId="0A312C5E" w:rsidR="00084B44" w:rsidRPr="00D8469D" w:rsidRDefault="00FF537F" w:rsidP="0004480C">
      <w:pPr>
        <w:pStyle w:val="Heading4"/>
      </w:pPr>
      <w:r>
        <w:br w:type="page"/>
      </w:r>
      <w:r w:rsidR="00351A38" w:rsidRPr="00811B1B">
        <w:lastRenderedPageBreak/>
        <w:t>Scope of the scheme</w:t>
      </w:r>
    </w:p>
    <w:p w14:paraId="59492F87" w14:textId="6E2C328F" w:rsidR="00CC6401" w:rsidRDefault="0004480C" w:rsidP="00FE628B">
      <w:pPr>
        <w:rPr>
          <w:szCs w:val="22"/>
        </w:rPr>
      </w:pPr>
      <w:r w:rsidRPr="00FE628B">
        <w:rPr>
          <w:i/>
        </w:rPr>
        <w:t xml:space="preserve">Recommendation 9: </w:t>
      </w:r>
      <w:r w:rsidR="00CC6401" w:rsidRPr="00FE628B">
        <w:t xml:space="preserve">That the scope of the scheme </w:t>
      </w:r>
      <w:proofErr w:type="gramStart"/>
      <w:r w:rsidR="00CC6401" w:rsidRPr="00FE628B">
        <w:t>be</w:t>
      </w:r>
      <w:proofErr w:type="gramEnd"/>
      <w:r w:rsidR="00CC6401" w:rsidRPr="00FE628B">
        <w:t xml:space="preserve"> </w:t>
      </w:r>
      <w:r w:rsidR="00FC1F7A" w:rsidRPr="00FE628B">
        <w:t>extended so that it applies to:</w:t>
      </w:r>
    </w:p>
    <w:p w14:paraId="67B13FEF" w14:textId="77777777" w:rsidR="00CC6401" w:rsidRPr="00FE628B" w:rsidRDefault="00007AA3" w:rsidP="00FE628B">
      <w:pPr>
        <w:pStyle w:val="Bullet"/>
        <w:numPr>
          <w:ilvl w:val="0"/>
          <w:numId w:val="44"/>
        </w:numPr>
        <w:tabs>
          <w:tab w:val="clear" w:pos="397"/>
          <w:tab w:val="left" w:pos="426"/>
        </w:tabs>
      </w:pPr>
      <w:r w:rsidRPr="00FE628B">
        <w:t>b</w:t>
      </w:r>
      <w:r w:rsidR="00CC6401" w:rsidRPr="00FE628B">
        <w:t>uildings in which at least 20</w:t>
      </w:r>
      <w:r w:rsidR="009F7DAD" w:rsidRPr="00FE628B">
        <w:t xml:space="preserve"> per cent</w:t>
      </w:r>
      <w:r w:rsidR="00CC6401" w:rsidRPr="00FE628B">
        <w:t xml:space="preserve"> of floor space is used for commercial purposes; and</w:t>
      </w:r>
    </w:p>
    <w:p w14:paraId="15EE9143" w14:textId="77777777" w:rsidR="00CC6401" w:rsidRPr="0004480C" w:rsidRDefault="00007AA3" w:rsidP="00FE628B">
      <w:pPr>
        <w:pStyle w:val="Bullet"/>
        <w:numPr>
          <w:ilvl w:val="0"/>
          <w:numId w:val="44"/>
        </w:numPr>
        <w:tabs>
          <w:tab w:val="clear" w:pos="397"/>
          <w:tab w:val="left" w:pos="426"/>
        </w:tabs>
        <w:ind w:left="397" w:hanging="397"/>
      </w:pPr>
      <w:proofErr w:type="gramStart"/>
      <w:r w:rsidRPr="00FE628B">
        <w:t>b</w:t>
      </w:r>
      <w:r w:rsidR="00CC6401" w:rsidRPr="00FE628B">
        <w:t>uildings</w:t>
      </w:r>
      <w:proofErr w:type="gramEnd"/>
      <w:r w:rsidR="00CC6401" w:rsidRPr="00FE628B">
        <w:t xml:space="preserve"> with a sum</w:t>
      </w:r>
      <w:r w:rsidR="008A07A0" w:rsidRPr="00FE628B">
        <w:noBreakHyphen/>
      </w:r>
      <w:r w:rsidR="00CC6401" w:rsidRPr="00FE628B">
        <w:t>insured value of at least $50 million, whether used for commercial or other purposes</w:t>
      </w:r>
      <w:r w:rsidR="00CC6401" w:rsidRPr="0004480C">
        <w:t>.</w:t>
      </w:r>
    </w:p>
    <w:p w14:paraId="69046E8C" w14:textId="3B8B2A96" w:rsidR="007B73B1" w:rsidRPr="0004480C" w:rsidRDefault="0004480C" w:rsidP="007B73B1">
      <w:r w:rsidRPr="0004480C">
        <w:rPr>
          <w:i/>
        </w:rPr>
        <w:t xml:space="preserve">Recommendation 10: </w:t>
      </w:r>
      <w:bookmarkStart w:id="70" w:name="_Toc408413464"/>
      <w:bookmarkStart w:id="71" w:name="_Toc408414178"/>
      <w:r w:rsidR="007B73B1" w:rsidRPr="0004480C">
        <w:t xml:space="preserve">That the application of the Act be clarified by amendments that remove doubt about </w:t>
      </w:r>
      <w:r w:rsidR="007B73B1">
        <w:t>whether certain losses would be covered under the scheme</w:t>
      </w:r>
      <w:r w:rsidR="00F90D19">
        <w:t>;</w:t>
      </w:r>
      <w:r w:rsidR="00FD11EF">
        <w:t xml:space="preserve"> in particular, losses attributable to terrorism </w:t>
      </w:r>
      <w:r w:rsidR="00E358A1">
        <w:t>attacks that use chemi</w:t>
      </w:r>
      <w:r w:rsidR="00FD11EF">
        <w:t xml:space="preserve">cal or biological </w:t>
      </w:r>
      <w:r w:rsidR="00E358A1">
        <w:t>means.</w:t>
      </w:r>
    </w:p>
    <w:p w14:paraId="7C477E38" w14:textId="0145ACD7" w:rsidR="005938C3" w:rsidRPr="0004480C" w:rsidRDefault="005938C3" w:rsidP="0004480C"/>
    <w:p w14:paraId="64A9A8FE" w14:textId="77777777" w:rsidR="000C5EE4" w:rsidRDefault="000C5EE4" w:rsidP="00951A43">
      <w:pPr>
        <w:pStyle w:val="Heading1"/>
        <w:sectPr w:rsidR="000C5EE4" w:rsidSect="00781757">
          <w:headerReference w:type="even" r:id="rId25"/>
          <w:footerReference w:type="even" r:id="rId26"/>
          <w:footerReference w:type="first" r:id="rId27"/>
          <w:type w:val="oddPage"/>
          <w:pgSz w:w="11906" w:h="16838" w:code="9"/>
          <w:pgMar w:top="1440" w:right="1440" w:bottom="1440" w:left="1440" w:header="709" w:footer="709" w:gutter="0"/>
          <w:pgNumType w:start="1"/>
          <w:cols w:space="708"/>
          <w:titlePg/>
          <w:docGrid w:linePitch="360"/>
        </w:sectPr>
      </w:pPr>
      <w:bookmarkStart w:id="72" w:name="_Toc409191085"/>
      <w:bookmarkStart w:id="73" w:name="_Toc409618518"/>
      <w:bookmarkStart w:id="74" w:name="_Toc409630049"/>
      <w:bookmarkStart w:id="75" w:name="_Toc410229541"/>
      <w:bookmarkStart w:id="76" w:name="_Toc410302176"/>
    </w:p>
    <w:p w14:paraId="3B809E12" w14:textId="50666153" w:rsidR="00DE4AC2" w:rsidRDefault="00DE4AC2" w:rsidP="00951A43">
      <w:pPr>
        <w:pStyle w:val="Heading1"/>
      </w:pPr>
      <w:bookmarkStart w:id="77" w:name="_Toc437877549"/>
      <w:r>
        <w:lastRenderedPageBreak/>
        <w:t>Chapter 1:</w:t>
      </w:r>
      <w:r w:rsidR="00951A43">
        <w:t xml:space="preserve">  </w:t>
      </w:r>
      <w:r>
        <w:t>Introduction</w:t>
      </w:r>
      <w:bookmarkEnd w:id="70"/>
      <w:bookmarkEnd w:id="71"/>
      <w:bookmarkEnd w:id="72"/>
      <w:bookmarkEnd w:id="73"/>
      <w:bookmarkEnd w:id="74"/>
      <w:bookmarkEnd w:id="75"/>
      <w:bookmarkEnd w:id="76"/>
      <w:bookmarkEnd w:id="77"/>
    </w:p>
    <w:p w14:paraId="503CE8C9" w14:textId="77777777" w:rsidR="00D85D73" w:rsidRPr="00F46513" w:rsidRDefault="009F7138" w:rsidP="00B02419">
      <w:pPr>
        <w:pStyle w:val="Heading2"/>
        <w:rPr>
          <w:rFonts w:cstheme="minorHAnsi"/>
        </w:rPr>
      </w:pPr>
      <w:bookmarkStart w:id="78" w:name="_Toc437877550"/>
      <w:r>
        <w:t>Rational</w:t>
      </w:r>
      <w:r w:rsidR="00243252">
        <w:t>e</w:t>
      </w:r>
      <w:r>
        <w:t xml:space="preserve"> </w:t>
      </w:r>
      <w:r w:rsidR="00D85D73">
        <w:t>of the scheme</w:t>
      </w:r>
      <w:bookmarkEnd w:id="68"/>
      <w:bookmarkEnd w:id="69"/>
      <w:bookmarkEnd w:id="78"/>
    </w:p>
    <w:p w14:paraId="4BBB5577" w14:textId="6C633352" w:rsidR="00042D76" w:rsidRDefault="004E0C48" w:rsidP="00755335">
      <w:pPr>
        <w:rPr>
          <w:rFonts w:cstheme="minorHAnsi"/>
        </w:rPr>
      </w:pPr>
      <w:r w:rsidRPr="009104A5">
        <w:t xml:space="preserve">The lack of affordable terrorism insurance </w:t>
      </w:r>
      <w:r>
        <w:t xml:space="preserve">following </w:t>
      </w:r>
      <w:r w:rsidR="00353987">
        <w:t xml:space="preserve">terrorism events on </w:t>
      </w:r>
      <w:r w:rsidRPr="00901B7D">
        <w:t>11 September 2001</w:t>
      </w:r>
      <w:r>
        <w:t xml:space="preserve"> </w:t>
      </w:r>
      <w:r w:rsidRPr="009104A5">
        <w:t>forced Australia</w:t>
      </w:r>
      <w:r w:rsidR="008A07A0">
        <w:t>’</w:t>
      </w:r>
      <w:r w:rsidRPr="009104A5">
        <w:t>s commercial property owners</w:t>
      </w:r>
      <w:r w:rsidR="005C38E2">
        <w:t>, developers</w:t>
      </w:r>
      <w:r w:rsidR="00D8469D">
        <w:t xml:space="preserve"> and investors </w:t>
      </w:r>
      <w:r w:rsidR="00353987">
        <w:t>(</w:t>
      </w:r>
      <w:r w:rsidR="00D8469D">
        <w:t>such as</w:t>
      </w:r>
      <w:r w:rsidRPr="009104A5">
        <w:t xml:space="preserve"> banks, superannuation funds and fund managers</w:t>
      </w:r>
      <w:r w:rsidR="00353987">
        <w:t>)</w:t>
      </w:r>
      <w:r w:rsidRPr="009104A5">
        <w:t xml:space="preserve"> to assume their own terrorism risk, as existing policies expired and renewal policies expl</w:t>
      </w:r>
      <w:r>
        <w:t>icitly excluded terrorism cover.</w:t>
      </w:r>
      <w:r w:rsidR="005C38E2">
        <w:t xml:space="preserve"> Effects included a substantial</w:t>
      </w:r>
      <w:r w:rsidR="005C38E2">
        <w:rPr>
          <w:rFonts w:cstheme="minorHAnsi"/>
        </w:rPr>
        <w:t xml:space="preserve"> reduction in commercial building activity.</w:t>
      </w:r>
      <w:r w:rsidR="00574ABA">
        <w:rPr>
          <w:rFonts w:cstheme="minorHAnsi"/>
        </w:rPr>
        <w:t xml:space="preserve"> As a result, in May 2002</w:t>
      </w:r>
      <w:r w:rsidR="00D85D73">
        <w:rPr>
          <w:rFonts w:cstheme="minorHAnsi"/>
        </w:rPr>
        <w:t xml:space="preserve"> the G</w:t>
      </w:r>
      <w:r w:rsidR="00D85D73" w:rsidRPr="00F46513">
        <w:rPr>
          <w:rFonts w:cstheme="minorHAnsi"/>
        </w:rPr>
        <w:t>overnment announced that it would act to protect the Australian economy from the negative effects of the withdrawa</w:t>
      </w:r>
      <w:r w:rsidR="00D85D73">
        <w:rPr>
          <w:rFonts w:cstheme="minorHAnsi"/>
        </w:rPr>
        <w:t>l of terrorism insurance cover.</w:t>
      </w:r>
    </w:p>
    <w:p w14:paraId="6CCA8607" w14:textId="77777777" w:rsidR="003A43E0" w:rsidRDefault="00D85D73" w:rsidP="00755335">
      <w:pPr>
        <w:rPr>
          <w:rFonts w:cstheme="minorHAnsi"/>
        </w:rPr>
      </w:pPr>
      <w:r w:rsidRPr="00F46513">
        <w:rPr>
          <w:rFonts w:cstheme="minorHAnsi"/>
        </w:rPr>
        <w:t xml:space="preserve">Subsequently, </w:t>
      </w:r>
      <w:r w:rsidR="00042D76">
        <w:rPr>
          <w:rFonts w:cstheme="minorHAnsi"/>
        </w:rPr>
        <w:t>a</w:t>
      </w:r>
      <w:r w:rsidRPr="00F46513">
        <w:rPr>
          <w:rFonts w:cstheme="minorHAnsi"/>
        </w:rPr>
        <w:t xml:space="preserve"> scheme was established under the </w:t>
      </w:r>
      <w:r w:rsidRPr="00F46513">
        <w:rPr>
          <w:rFonts w:cstheme="minorHAnsi"/>
          <w:i/>
        </w:rPr>
        <w:t>Terrorism Insurance Act 2003</w:t>
      </w:r>
      <w:r w:rsidRPr="00F46513">
        <w:rPr>
          <w:rFonts w:cstheme="minorHAnsi"/>
        </w:rPr>
        <w:t xml:space="preserve"> (the Act) to replace terrorism insurance coverage for commercial property and associated business interruption losses and public liability claims. Under the Act, the scheme is administered by the ARPC</w:t>
      </w:r>
      <w:r w:rsidR="00042D76">
        <w:rPr>
          <w:rFonts w:cstheme="minorHAnsi"/>
        </w:rPr>
        <w:t xml:space="preserve">, a </w:t>
      </w:r>
      <w:r w:rsidR="003A43E0">
        <w:rPr>
          <w:rFonts w:cstheme="minorHAnsi"/>
        </w:rPr>
        <w:t xml:space="preserve">Commonwealth </w:t>
      </w:r>
      <w:r w:rsidR="00042D76">
        <w:rPr>
          <w:rFonts w:cstheme="minorHAnsi"/>
        </w:rPr>
        <w:t>statutory corporation</w:t>
      </w:r>
      <w:r w:rsidR="008A07A0">
        <w:rPr>
          <w:rFonts w:cstheme="minorHAnsi"/>
        </w:rPr>
        <w:t xml:space="preserve">. </w:t>
      </w:r>
      <w:r w:rsidRPr="00F46513">
        <w:rPr>
          <w:rFonts w:cstheme="minorHAnsi"/>
        </w:rPr>
        <w:t>The scheme commenced on 1 July 2003.</w:t>
      </w:r>
    </w:p>
    <w:p w14:paraId="3084A58B" w14:textId="77777777" w:rsidR="00465F4F" w:rsidRPr="00B84A93" w:rsidRDefault="00465F4F" w:rsidP="00843660">
      <w:pPr>
        <w:pStyle w:val="Heading3"/>
      </w:pPr>
      <w:r w:rsidRPr="00B84A93">
        <w:t>Operation and coverage</w:t>
      </w:r>
    </w:p>
    <w:p w14:paraId="6BCF87A8" w14:textId="66BE3256" w:rsidR="001D147D" w:rsidRDefault="00465F4F" w:rsidP="00755335">
      <w:r w:rsidRPr="008A688D">
        <w:t>The Act operates by overriding terrorism exclusion clauses i</w:t>
      </w:r>
      <w:r w:rsidR="002A4390">
        <w:t>n eligible insurance contracts</w:t>
      </w:r>
      <w:r w:rsidRPr="008A688D">
        <w:t xml:space="preserve"> to the extent the losses excluded a</w:t>
      </w:r>
      <w:r w:rsidR="002A4390">
        <w:t>re eligible terrorism losses</w:t>
      </w:r>
      <w:r w:rsidRPr="008A688D">
        <w:t xml:space="preserve"> arising fro</w:t>
      </w:r>
      <w:r w:rsidR="002A4390">
        <w:t>m a declared terrorist incident</w:t>
      </w:r>
      <w:r>
        <w:t xml:space="preserve"> (DTI)</w:t>
      </w:r>
      <w:r w:rsidRPr="008A688D">
        <w:t>.</w:t>
      </w:r>
      <w:r w:rsidRPr="008A688D">
        <w:rPr>
          <w:rStyle w:val="FootnoteReference"/>
          <w:rFonts w:cstheme="minorHAnsi"/>
        </w:rPr>
        <w:footnoteReference w:id="4"/>
      </w:r>
      <w:r w:rsidRPr="008A688D">
        <w:t xml:space="preserve"> This requires insurers to meet eligible claims in accordance with the other terms and conditions of their policies.</w:t>
      </w:r>
    </w:p>
    <w:p w14:paraId="139420C9" w14:textId="53DFD5FD" w:rsidR="00376FD6" w:rsidRPr="008A688D" w:rsidRDefault="00042D76" w:rsidP="00755335">
      <w:r w:rsidRPr="008A688D">
        <w:t xml:space="preserve">Insurance companies </w:t>
      </w:r>
      <w:r w:rsidR="00583D2F">
        <w:t>can</w:t>
      </w:r>
      <w:r w:rsidRPr="008A688D">
        <w:t xml:space="preserve"> </w:t>
      </w:r>
      <w:r w:rsidR="00971BDA">
        <w:t>(</w:t>
      </w:r>
      <w:r>
        <w:t xml:space="preserve">but </w:t>
      </w:r>
      <w:r w:rsidR="00583D2F">
        <w:t xml:space="preserve">are </w:t>
      </w:r>
      <w:r>
        <w:t xml:space="preserve">not required </w:t>
      </w:r>
      <w:r w:rsidRPr="008A688D">
        <w:t>to</w:t>
      </w:r>
      <w:r w:rsidR="00971BDA">
        <w:t>)</w:t>
      </w:r>
      <w:r w:rsidRPr="008A688D">
        <w:t xml:space="preserve"> reinsure the risk of claims for eligible terrorism losses through the ARPC, in which case premiums are payable to the ARPC</w:t>
      </w:r>
      <w:r w:rsidR="00755539">
        <w:t xml:space="preserve"> at rates set by the Minister</w:t>
      </w:r>
      <w:r w:rsidRPr="008A688D">
        <w:t>.</w:t>
      </w:r>
      <w:r w:rsidR="002A4390">
        <w:t xml:space="preserve"> Insurance companies can choose to reinsure through the private reinsurance market.</w:t>
      </w:r>
    </w:p>
    <w:p w14:paraId="34BA6FF3" w14:textId="77777777" w:rsidR="00465F4F" w:rsidRPr="008A688D" w:rsidRDefault="00465F4F" w:rsidP="00755335">
      <w:r>
        <w:t>An eligible insurance contract</w:t>
      </w:r>
      <w:r w:rsidRPr="008A688D">
        <w:t xml:space="preserve"> is a contract that provides insurance coverage for:</w:t>
      </w:r>
    </w:p>
    <w:p w14:paraId="6F658834" w14:textId="72FE8E98" w:rsidR="00465F4F" w:rsidRPr="00843660" w:rsidRDefault="00465F4F" w:rsidP="00843660">
      <w:pPr>
        <w:pStyle w:val="Bullet"/>
      </w:pPr>
      <w:r w:rsidRPr="00843660">
        <w:t>loss of, or damage to, eligible property owned by the insured;</w:t>
      </w:r>
      <w:r w:rsidR="00506367" w:rsidRPr="00843660">
        <w:tab/>
      </w:r>
    </w:p>
    <w:p w14:paraId="2527254F" w14:textId="36CA7856" w:rsidR="00465F4F" w:rsidRPr="00843660" w:rsidRDefault="00465F4F" w:rsidP="00843660">
      <w:pPr>
        <w:pStyle w:val="Bullet"/>
      </w:pPr>
      <w:r w:rsidRPr="00843660">
        <w:t>business interruption and consequential loss arising from loss of, or damage to, eligible property that is owned or occupied by the insured or an inability to use all or part of such property; or</w:t>
      </w:r>
    </w:p>
    <w:p w14:paraId="69CF0942" w14:textId="2AB15122" w:rsidR="00465F4F" w:rsidRPr="00843660" w:rsidRDefault="00465F4F" w:rsidP="00843660">
      <w:pPr>
        <w:pStyle w:val="Bullet"/>
      </w:pPr>
      <w:proofErr w:type="gramStart"/>
      <w:r w:rsidRPr="00843660">
        <w:t>liability</w:t>
      </w:r>
      <w:proofErr w:type="gramEnd"/>
      <w:r w:rsidRPr="00843660">
        <w:t xml:space="preserve"> of the insured that arises </w:t>
      </w:r>
      <w:r w:rsidR="00BD531D">
        <w:t>from</w:t>
      </w:r>
      <w:r w:rsidRPr="00843660">
        <w:t xml:space="preserve"> the insured being the owner or occupier of eligible property.</w:t>
      </w:r>
      <w:r w:rsidRPr="00843660">
        <w:rPr>
          <w:rStyle w:val="FootnoteReference"/>
        </w:rPr>
        <w:footnoteReference w:id="5"/>
      </w:r>
    </w:p>
    <w:p w14:paraId="46A326B5" w14:textId="77777777" w:rsidR="00465F4F" w:rsidRPr="00843660" w:rsidRDefault="008A07A0" w:rsidP="00755335">
      <w:r>
        <w:t>‘</w:t>
      </w:r>
      <w:r w:rsidR="00465F4F" w:rsidRPr="00843660">
        <w:t>Eligible property</w:t>
      </w:r>
      <w:r>
        <w:t>’</w:t>
      </w:r>
      <w:r w:rsidR="00465F4F" w:rsidRPr="00843660">
        <w:t xml:space="preserve"> is defined under the Act as the following property that is located in Australia:</w:t>
      </w:r>
    </w:p>
    <w:p w14:paraId="7C10BFA6" w14:textId="77777777" w:rsidR="00465F4F" w:rsidRPr="00843660" w:rsidRDefault="00465F4F" w:rsidP="00843660">
      <w:pPr>
        <w:pStyle w:val="Bullet"/>
      </w:pPr>
      <w:r w:rsidRPr="00843660">
        <w:t>buildings (including fixtures) or other structures or works on, in or under land;</w:t>
      </w:r>
    </w:p>
    <w:p w14:paraId="2995319A" w14:textId="77777777" w:rsidR="00465F4F" w:rsidRPr="00843660" w:rsidRDefault="00465F4F" w:rsidP="00843660">
      <w:pPr>
        <w:pStyle w:val="Bullet"/>
      </w:pPr>
      <w:r w:rsidRPr="00843660">
        <w:t>tangible property that is located in, or on, such property; and</w:t>
      </w:r>
    </w:p>
    <w:p w14:paraId="5B9CA2CE" w14:textId="77777777" w:rsidR="00465F4F" w:rsidRDefault="00465F4F" w:rsidP="00843660">
      <w:pPr>
        <w:pStyle w:val="Bullet"/>
      </w:pPr>
      <w:proofErr w:type="gramStart"/>
      <w:r w:rsidRPr="00843660">
        <w:t>property</w:t>
      </w:r>
      <w:proofErr w:type="gramEnd"/>
      <w:r w:rsidRPr="00843660">
        <w:t xml:space="preserve"> prescribed by regulation.</w:t>
      </w:r>
      <w:r w:rsidRPr="005938C3">
        <w:rPr>
          <w:rStyle w:val="FootnoteReference"/>
        </w:rPr>
        <w:footnoteReference w:id="6"/>
      </w:r>
    </w:p>
    <w:p w14:paraId="4D2128F2" w14:textId="7D1323FE" w:rsidR="00971BDA" w:rsidRPr="00843660" w:rsidRDefault="00971BDA" w:rsidP="00971BDA">
      <w:pPr>
        <w:pStyle w:val="Bullet"/>
        <w:numPr>
          <w:ilvl w:val="0"/>
          <w:numId w:val="0"/>
        </w:numPr>
        <w:ind w:left="397" w:hanging="397"/>
      </w:pPr>
      <w:r>
        <w:t xml:space="preserve">Note that there </w:t>
      </w:r>
      <w:r w:rsidR="00C71289">
        <w:t xml:space="preserve">is </w:t>
      </w:r>
      <w:r>
        <w:t xml:space="preserve">a range of exclusions set out in the </w:t>
      </w:r>
      <w:r w:rsidRPr="00971BDA">
        <w:rPr>
          <w:i/>
        </w:rPr>
        <w:t>Terrorism Insurance Regulations 2003</w:t>
      </w:r>
      <w:r>
        <w:t>.</w:t>
      </w:r>
    </w:p>
    <w:p w14:paraId="231EAC14" w14:textId="77777777" w:rsidR="00465F4F" w:rsidRPr="00C879ED" w:rsidRDefault="00997403" w:rsidP="00755335">
      <w:pPr>
        <w:pStyle w:val="Heading3"/>
        <w:spacing w:before="0"/>
      </w:pPr>
      <w:r>
        <w:lastRenderedPageBreak/>
        <w:t xml:space="preserve">How </w:t>
      </w:r>
      <w:r w:rsidR="00762C43">
        <w:t>a claim</w:t>
      </w:r>
      <w:r>
        <w:t xml:space="preserve"> is funded</w:t>
      </w:r>
    </w:p>
    <w:p w14:paraId="6ABC3CAD" w14:textId="5C0A2D91" w:rsidR="00C03209" w:rsidRPr="00BD7D43" w:rsidRDefault="00BD7D43" w:rsidP="00755335">
      <w:pPr>
        <w:rPr>
          <w:lang w:val="en"/>
        </w:rPr>
      </w:pPr>
      <w:r w:rsidRPr="00BD7D43">
        <w:rPr>
          <w:lang w:val="en"/>
        </w:rPr>
        <w:t xml:space="preserve">In the event of a DTI, claims would </w:t>
      </w:r>
      <w:r w:rsidR="00BD531D">
        <w:rPr>
          <w:lang w:val="en"/>
        </w:rPr>
        <w:t>progress along the following sequence</w:t>
      </w:r>
      <w:r w:rsidR="002A4390">
        <w:rPr>
          <w:lang w:val="en"/>
        </w:rPr>
        <w:t xml:space="preserve"> (see also Figure 1)</w:t>
      </w:r>
      <w:r w:rsidR="00C03209" w:rsidRPr="00BD7D43">
        <w:rPr>
          <w:lang w:val="en"/>
        </w:rPr>
        <w:t>:</w:t>
      </w:r>
    </w:p>
    <w:p w14:paraId="5270A8A4" w14:textId="55E7ED25" w:rsidR="00C03209" w:rsidRPr="00BD7D43" w:rsidRDefault="00BD7D43" w:rsidP="00843660">
      <w:pPr>
        <w:pStyle w:val="OutlineNumbered1"/>
        <w:rPr>
          <w:lang w:val="en"/>
        </w:rPr>
      </w:pPr>
      <w:r w:rsidRPr="00BD7D43">
        <w:rPr>
          <w:lang w:val="en"/>
        </w:rPr>
        <w:t xml:space="preserve">Losses would be met first </w:t>
      </w:r>
      <w:r w:rsidR="002A4390">
        <w:rPr>
          <w:lang w:val="en"/>
        </w:rPr>
        <w:t>by</w:t>
      </w:r>
      <w:r w:rsidRPr="00BD7D43">
        <w:rPr>
          <w:lang w:val="en"/>
        </w:rPr>
        <w:t xml:space="preserve"> </w:t>
      </w:r>
      <w:r w:rsidR="00C03209" w:rsidRPr="00BD7D43">
        <w:rPr>
          <w:lang w:val="en"/>
        </w:rPr>
        <w:t xml:space="preserve">industry </w:t>
      </w:r>
      <w:r w:rsidR="002A4390">
        <w:rPr>
          <w:lang w:val="en"/>
        </w:rPr>
        <w:t>up to the level of each insurer</w:t>
      </w:r>
      <w:r w:rsidR="008A07A0">
        <w:rPr>
          <w:lang w:val="en"/>
        </w:rPr>
        <w:t>’</w:t>
      </w:r>
      <w:r w:rsidR="002A4390">
        <w:rPr>
          <w:lang w:val="en"/>
        </w:rPr>
        <w:t xml:space="preserve">s </w:t>
      </w:r>
      <w:r w:rsidR="00C03209" w:rsidRPr="00BD7D43">
        <w:rPr>
          <w:lang w:val="en"/>
        </w:rPr>
        <w:t>retention</w:t>
      </w:r>
      <w:r w:rsidR="00001646">
        <w:rPr>
          <w:lang w:val="en"/>
        </w:rPr>
        <w:t>;</w:t>
      </w:r>
      <w:r w:rsidRPr="00BD7D43">
        <w:rPr>
          <w:lang w:val="en"/>
        </w:rPr>
        <w:t xml:space="preserve"> then</w:t>
      </w:r>
    </w:p>
    <w:p w14:paraId="470275B7" w14:textId="77777777" w:rsidR="00C03209" w:rsidRPr="00BD7D43" w:rsidRDefault="00843660" w:rsidP="00843660">
      <w:pPr>
        <w:pStyle w:val="OutlineNumbered1"/>
        <w:rPr>
          <w:lang w:val="en"/>
        </w:rPr>
      </w:pPr>
      <w:r>
        <w:rPr>
          <w:lang w:val="en"/>
        </w:rPr>
        <w:t>F</w:t>
      </w:r>
      <w:r w:rsidR="00BD7D43" w:rsidRPr="00BD7D43">
        <w:rPr>
          <w:lang w:val="en"/>
        </w:rPr>
        <w:t xml:space="preserve">rom </w:t>
      </w:r>
      <w:r w:rsidR="00C03209" w:rsidRPr="00BD7D43">
        <w:rPr>
          <w:lang w:val="en"/>
        </w:rPr>
        <w:t xml:space="preserve">ARPC </w:t>
      </w:r>
      <w:r w:rsidR="00BD7D43" w:rsidRPr="00BD7D43">
        <w:rPr>
          <w:lang w:val="en"/>
        </w:rPr>
        <w:t xml:space="preserve">capital </w:t>
      </w:r>
      <w:r w:rsidR="002A4390">
        <w:rPr>
          <w:lang w:val="en"/>
        </w:rPr>
        <w:t xml:space="preserve">up </w:t>
      </w:r>
      <w:r w:rsidR="00BD7D43" w:rsidRPr="00BD7D43">
        <w:rPr>
          <w:lang w:val="en"/>
        </w:rPr>
        <w:t>to the value of the deductible on retrocession cover</w:t>
      </w:r>
      <w:r w:rsidR="00E70FAE">
        <w:rPr>
          <w:lang w:val="en"/>
        </w:rPr>
        <w:t>;</w:t>
      </w:r>
      <w:r w:rsidR="00BD7D43" w:rsidRPr="00BD7D43">
        <w:rPr>
          <w:lang w:val="en"/>
        </w:rPr>
        <w:t xml:space="preserve"> then</w:t>
      </w:r>
    </w:p>
    <w:p w14:paraId="446ADB07" w14:textId="5B37DF17" w:rsidR="00C03209" w:rsidRPr="00BD7D43" w:rsidRDefault="00843660" w:rsidP="00843660">
      <w:pPr>
        <w:pStyle w:val="OutlineNumbered1"/>
        <w:rPr>
          <w:lang w:val="en"/>
        </w:rPr>
      </w:pPr>
      <w:r>
        <w:rPr>
          <w:lang w:val="en"/>
        </w:rPr>
        <w:t>F</w:t>
      </w:r>
      <w:r w:rsidR="00E70FAE">
        <w:rPr>
          <w:lang w:val="en"/>
        </w:rPr>
        <w:t>rom</w:t>
      </w:r>
      <w:r w:rsidR="00BD7D43" w:rsidRPr="00BD7D43">
        <w:rPr>
          <w:lang w:val="en"/>
        </w:rPr>
        <w:t xml:space="preserve"> the </w:t>
      </w:r>
      <w:r w:rsidR="00C03209" w:rsidRPr="00BD7D43">
        <w:rPr>
          <w:lang w:val="en"/>
        </w:rPr>
        <w:t>retrocession program</w:t>
      </w:r>
      <w:r w:rsidR="00BD7D43" w:rsidRPr="00BD7D43">
        <w:rPr>
          <w:lang w:val="en"/>
        </w:rPr>
        <w:t xml:space="preserve">, </w:t>
      </w:r>
      <w:r w:rsidR="00F64173">
        <w:rPr>
          <w:lang w:val="en"/>
        </w:rPr>
        <w:t>(</w:t>
      </w:r>
      <w:r w:rsidR="00BD7D43" w:rsidRPr="00BD7D43">
        <w:rPr>
          <w:lang w:val="en"/>
        </w:rPr>
        <w:t>with a</w:t>
      </w:r>
      <w:r w:rsidR="00F64173">
        <w:rPr>
          <w:lang w:val="en"/>
        </w:rPr>
        <w:t>ny</w:t>
      </w:r>
      <w:r w:rsidR="00BD7D43" w:rsidRPr="00BD7D43">
        <w:rPr>
          <w:lang w:val="en"/>
        </w:rPr>
        <w:t xml:space="preserve"> co</w:t>
      </w:r>
      <w:r w:rsidR="008A07A0">
        <w:rPr>
          <w:lang w:val="en"/>
        </w:rPr>
        <w:noBreakHyphen/>
      </w:r>
      <w:r w:rsidR="00BD7D43" w:rsidRPr="00BD7D43">
        <w:rPr>
          <w:lang w:val="en"/>
        </w:rPr>
        <w:t>contribution being made from ARPC capital</w:t>
      </w:r>
      <w:r w:rsidR="002C7CF8">
        <w:rPr>
          <w:lang w:val="en"/>
        </w:rPr>
        <w:t xml:space="preserve"> and then through the government guarantee</w:t>
      </w:r>
      <w:r w:rsidR="00F64173">
        <w:rPr>
          <w:lang w:val="en"/>
        </w:rPr>
        <w:t>)</w:t>
      </w:r>
      <w:r w:rsidR="00001646">
        <w:rPr>
          <w:lang w:val="en"/>
        </w:rPr>
        <w:t xml:space="preserve">; </w:t>
      </w:r>
      <w:r w:rsidR="00BD7D43" w:rsidRPr="00BD7D43">
        <w:rPr>
          <w:lang w:val="en"/>
        </w:rPr>
        <w:t>and finally</w:t>
      </w:r>
    </w:p>
    <w:p w14:paraId="52616473" w14:textId="12ED72D7" w:rsidR="00C03209" w:rsidRPr="00BD7D43" w:rsidRDefault="00843660" w:rsidP="00843660">
      <w:pPr>
        <w:pStyle w:val="OutlineNumbered1"/>
        <w:rPr>
          <w:lang w:val="en"/>
        </w:rPr>
      </w:pPr>
      <w:r>
        <w:rPr>
          <w:lang w:val="en"/>
        </w:rPr>
        <w:t>Through</w:t>
      </w:r>
      <w:r w:rsidR="00BD7D43" w:rsidRPr="00BD7D43">
        <w:rPr>
          <w:lang w:val="en"/>
        </w:rPr>
        <w:t xml:space="preserve"> the </w:t>
      </w:r>
      <w:r w:rsidR="00297D28">
        <w:rPr>
          <w:lang w:val="en"/>
        </w:rPr>
        <w:t>government</w:t>
      </w:r>
      <w:r w:rsidR="00297D28" w:rsidRPr="00BD7D43">
        <w:rPr>
          <w:lang w:val="en"/>
        </w:rPr>
        <w:t xml:space="preserve"> </w:t>
      </w:r>
      <w:r w:rsidR="00C03209" w:rsidRPr="00BD7D43">
        <w:rPr>
          <w:lang w:val="en"/>
        </w:rPr>
        <w:t>guarantee</w:t>
      </w:r>
      <w:r w:rsidR="00762C43">
        <w:rPr>
          <w:lang w:val="en"/>
        </w:rPr>
        <w:t>,</w:t>
      </w:r>
      <w:r w:rsidR="00BD7D43" w:rsidRPr="00BD7D43">
        <w:rPr>
          <w:lang w:val="en"/>
        </w:rPr>
        <w:t xml:space="preserve"> u</w:t>
      </w:r>
      <w:r w:rsidR="00F64173">
        <w:rPr>
          <w:lang w:val="en"/>
        </w:rPr>
        <w:t>p to the $10 billion cap</w:t>
      </w:r>
      <w:r w:rsidR="00C03209" w:rsidRPr="00BD7D43">
        <w:rPr>
          <w:lang w:val="en"/>
        </w:rPr>
        <w:t>.</w:t>
      </w:r>
    </w:p>
    <w:p w14:paraId="7D575F7F" w14:textId="078018AA" w:rsidR="00BD7D43" w:rsidRDefault="002A4390" w:rsidP="00755335">
      <w:pPr>
        <w:rPr>
          <w:lang w:val="en"/>
        </w:rPr>
      </w:pPr>
      <w:r>
        <w:rPr>
          <w:lang w:val="en"/>
        </w:rPr>
        <w:t xml:space="preserve">The sum of these tiers represents the maximum claimable amount under the scheme. </w:t>
      </w:r>
      <w:r w:rsidR="00BD7D43">
        <w:rPr>
          <w:lang w:val="en"/>
        </w:rPr>
        <w:t xml:space="preserve">Should the total claimed losses exceed the capital of the ARPC, the value of retrocession cover purchased and the $10 billion government guarantee, </w:t>
      </w:r>
      <w:r w:rsidR="00F64173">
        <w:rPr>
          <w:lang w:val="en"/>
        </w:rPr>
        <w:t xml:space="preserve">a ‘reduction percentage’ would be applied and </w:t>
      </w:r>
      <w:r w:rsidR="00BD7D43">
        <w:rPr>
          <w:lang w:val="en"/>
        </w:rPr>
        <w:t xml:space="preserve">claims </w:t>
      </w:r>
      <w:r w:rsidR="00762C43">
        <w:rPr>
          <w:lang w:val="en"/>
        </w:rPr>
        <w:t xml:space="preserve">would </w:t>
      </w:r>
      <w:r w:rsidR="00BD7D43">
        <w:rPr>
          <w:lang w:val="en"/>
        </w:rPr>
        <w:t xml:space="preserve">be paid </w:t>
      </w:r>
      <w:r w:rsidR="00762C43">
        <w:rPr>
          <w:lang w:val="en"/>
        </w:rPr>
        <w:t>on a</w:t>
      </w:r>
      <w:r w:rsidR="00BD7D43">
        <w:rPr>
          <w:lang w:val="en"/>
        </w:rPr>
        <w:t xml:space="preserve"> pro rata</w:t>
      </w:r>
      <w:r w:rsidR="00762C43">
        <w:rPr>
          <w:lang w:val="en"/>
        </w:rPr>
        <w:t xml:space="preserve"> basis</w:t>
      </w:r>
      <w:r w:rsidR="00BD7D43">
        <w:rPr>
          <w:lang w:val="en"/>
        </w:rPr>
        <w:t>.</w:t>
      </w:r>
    </w:p>
    <w:p w14:paraId="1BF79588" w14:textId="77777777" w:rsidR="00A967F2" w:rsidRPr="00BD7D43" w:rsidRDefault="00A967F2" w:rsidP="00755335">
      <w:pPr>
        <w:rPr>
          <w:lang w:val="en"/>
        </w:rPr>
      </w:pPr>
      <w:r w:rsidRPr="00BD7D43">
        <w:rPr>
          <w:lang w:val="en"/>
        </w:rPr>
        <w:t>Insurers that reinsure their terrorism risks with ARPC retain part of the cost from a DTI. The retention</w:t>
      </w:r>
      <w:r w:rsidR="00762C43">
        <w:rPr>
          <w:lang w:val="en"/>
        </w:rPr>
        <w:t>, similar to</w:t>
      </w:r>
      <w:r w:rsidRPr="00BD7D43">
        <w:rPr>
          <w:lang w:val="en"/>
        </w:rPr>
        <w:t xml:space="preserve"> an excess or deductible, requires the insurer to pay the first part of any claim. Retentions </w:t>
      </w:r>
      <w:r w:rsidR="00762C43">
        <w:rPr>
          <w:lang w:val="en"/>
        </w:rPr>
        <w:t>for individual insurers</w:t>
      </w:r>
      <w:r w:rsidRPr="00BD7D43">
        <w:rPr>
          <w:lang w:val="en"/>
        </w:rPr>
        <w:t xml:space="preserve"> are calculated as </w:t>
      </w:r>
      <w:r w:rsidR="0060526C">
        <w:rPr>
          <w:lang w:val="en"/>
        </w:rPr>
        <w:t>4</w:t>
      </w:r>
      <w:r w:rsidRPr="00BD7D43">
        <w:rPr>
          <w:lang w:val="en"/>
        </w:rPr>
        <w:t xml:space="preserve"> per cent of fire and industrial special risk premiums collected by the insurer, with a minimum retention of $100,000 and a maximum retention of $10 million.</w:t>
      </w:r>
    </w:p>
    <w:p w14:paraId="043048C5" w14:textId="77777777" w:rsidR="005C1B0A" w:rsidRPr="005938C3" w:rsidRDefault="00762C43" w:rsidP="00755335">
      <w:pPr>
        <w:rPr>
          <w:lang w:val="en"/>
        </w:rPr>
      </w:pPr>
      <w:r>
        <w:rPr>
          <w:lang w:val="en"/>
        </w:rPr>
        <w:t>T</w:t>
      </w:r>
      <w:r w:rsidR="00C7748A">
        <w:rPr>
          <w:lang w:val="en"/>
        </w:rPr>
        <w:t xml:space="preserve">he </w:t>
      </w:r>
      <w:r w:rsidR="00A967F2" w:rsidRPr="00BD7D43">
        <w:rPr>
          <w:lang w:val="en"/>
        </w:rPr>
        <w:t>ARPC</w:t>
      </w:r>
      <w:r w:rsidR="008A07A0">
        <w:rPr>
          <w:lang w:val="en"/>
        </w:rPr>
        <w:t>’</w:t>
      </w:r>
      <w:r w:rsidR="00A967F2" w:rsidRPr="00BD7D43">
        <w:rPr>
          <w:lang w:val="en"/>
        </w:rPr>
        <w:t xml:space="preserve">s reinsurance agreement </w:t>
      </w:r>
      <w:r>
        <w:rPr>
          <w:lang w:val="en"/>
        </w:rPr>
        <w:t xml:space="preserve">also </w:t>
      </w:r>
      <w:r w:rsidR="00A967F2" w:rsidRPr="00BD7D43">
        <w:rPr>
          <w:lang w:val="en"/>
        </w:rPr>
        <w:t xml:space="preserve">provides for </w:t>
      </w:r>
      <w:proofErr w:type="gramStart"/>
      <w:r w:rsidR="00755335">
        <w:rPr>
          <w:lang w:val="en"/>
        </w:rPr>
        <w:t>a maximum</w:t>
      </w:r>
      <w:proofErr w:type="gramEnd"/>
      <w:r w:rsidR="00A967F2" w:rsidRPr="00BD7D43">
        <w:rPr>
          <w:lang w:val="en"/>
        </w:rPr>
        <w:t xml:space="preserve"> industry retention of $100 million. If the </w:t>
      </w:r>
      <w:r w:rsidR="002228AD">
        <w:rPr>
          <w:lang w:val="en"/>
        </w:rPr>
        <w:t xml:space="preserve">sum of the </w:t>
      </w:r>
      <w:r w:rsidR="002228AD" w:rsidRPr="00BD7D43">
        <w:rPr>
          <w:lang w:val="en"/>
        </w:rPr>
        <w:t xml:space="preserve">retentions of </w:t>
      </w:r>
      <w:r w:rsidR="002228AD">
        <w:rPr>
          <w:lang w:val="en"/>
        </w:rPr>
        <w:t xml:space="preserve">individual </w:t>
      </w:r>
      <w:r w:rsidR="002228AD" w:rsidRPr="00BD7D43">
        <w:rPr>
          <w:lang w:val="en"/>
        </w:rPr>
        <w:t>insurers in respect of all eligible terrorism losses caused by a single DTI exceeds</w:t>
      </w:r>
      <w:r w:rsidR="00A967F2" w:rsidRPr="00BD7D43">
        <w:rPr>
          <w:lang w:val="en"/>
        </w:rPr>
        <w:t xml:space="preserve"> the maximum industry retention of $100 million, </w:t>
      </w:r>
      <w:r w:rsidR="002228AD">
        <w:rPr>
          <w:lang w:val="en"/>
        </w:rPr>
        <w:t xml:space="preserve">then </w:t>
      </w:r>
      <w:r>
        <w:rPr>
          <w:lang w:val="en"/>
        </w:rPr>
        <w:t>each</w:t>
      </w:r>
      <w:r w:rsidR="00A967F2" w:rsidRPr="00BD7D43">
        <w:rPr>
          <w:lang w:val="en"/>
        </w:rPr>
        <w:t xml:space="preserve"> insurer</w:t>
      </w:r>
      <w:r w:rsidR="008A07A0">
        <w:rPr>
          <w:lang w:val="en"/>
        </w:rPr>
        <w:t>’</w:t>
      </w:r>
      <w:r w:rsidR="00A967F2" w:rsidRPr="00BD7D43">
        <w:rPr>
          <w:lang w:val="en"/>
        </w:rPr>
        <w:t>s retention is reduced proportionately.</w:t>
      </w:r>
      <w:r w:rsidR="00E70FAE">
        <w:rPr>
          <w:rStyle w:val="FootnoteReference"/>
          <w:lang w:val="en"/>
        </w:rPr>
        <w:footnoteReference w:id="7"/>
      </w:r>
    </w:p>
    <w:p w14:paraId="6264F1C4" w14:textId="6B8BAEE3" w:rsidR="000022E1" w:rsidRDefault="000022E1" w:rsidP="000022E1">
      <w:pPr>
        <w:pStyle w:val="ChartGraphic"/>
      </w:pPr>
      <w:r>
        <w:br w:type="page"/>
      </w:r>
    </w:p>
    <w:p w14:paraId="559BCC1C" w14:textId="77777777" w:rsidR="00D9103C" w:rsidRDefault="00465F4F" w:rsidP="000022E1">
      <w:pPr>
        <w:pStyle w:val="FigureHeading"/>
      </w:pPr>
      <w:r w:rsidRPr="00BE2F72">
        <w:lastRenderedPageBreak/>
        <w:t xml:space="preserve">Figure 1: </w:t>
      </w:r>
      <w:r w:rsidR="0099789F">
        <w:t>2015</w:t>
      </w:r>
      <w:r w:rsidR="0099789F" w:rsidRPr="00BE2F72">
        <w:t xml:space="preserve"> </w:t>
      </w:r>
      <w:r w:rsidRPr="00BE2F72">
        <w:t xml:space="preserve">ARPC </w:t>
      </w:r>
      <w:r w:rsidR="001B6A78">
        <w:t xml:space="preserve">scheme </w:t>
      </w:r>
      <w:proofErr w:type="gramStart"/>
      <w:r w:rsidRPr="00BE2F72">
        <w:t>capacity</w:t>
      </w:r>
      <w:proofErr w:type="gramEnd"/>
    </w:p>
    <w:p w14:paraId="54F23B31" w14:textId="77777777" w:rsidR="00A52006" w:rsidRDefault="000022E1" w:rsidP="00082936">
      <w:pPr>
        <w:pStyle w:val="Figuregraphic"/>
      </w:pPr>
      <w:bookmarkStart w:id="79" w:name="_Toc406424586"/>
      <w:r>
        <w:rPr>
          <w:noProof/>
        </w:rPr>
        <w:drawing>
          <wp:anchor distT="0" distB="0" distL="114300" distR="114300" simplePos="0" relativeHeight="251658240" behindDoc="0" locked="0" layoutInCell="1" allowOverlap="1" wp14:anchorId="65E74569" wp14:editId="745EC4A7">
            <wp:simplePos x="0" y="0"/>
            <wp:positionH relativeFrom="margin">
              <wp:align>center</wp:align>
            </wp:positionH>
            <wp:positionV relativeFrom="paragraph">
              <wp:posOffset>210693</wp:posOffset>
            </wp:positionV>
            <wp:extent cx="4340591" cy="6300000"/>
            <wp:effectExtent l="0" t="0" r="3175"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PC scheme structure 15011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40591" cy="6300000"/>
                    </a:xfrm>
                    <a:prstGeom prst="rect">
                      <a:avLst/>
                    </a:prstGeom>
                    <a:ln w="3175">
                      <a:noFill/>
                    </a:ln>
                  </pic:spPr>
                </pic:pic>
              </a:graphicData>
            </a:graphic>
            <wp14:sizeRelH relativeFrom="page">
              <wp14:pctWidth>0</wp14:pctWidth>
            </wp14:sizeRelH>
            <wp14:sizeRelV relativeFrom="page">
              <wp14:pctHeight>0</wp14:pctHeight>
            </wp14:sizeRelV>
          </wp:anchor>
        </w:drawing>
      </w:r>
    </w:p>
    <w:p w14:paraId="6BD5ABA7" w14:textId="77777777" w:rsidR="000022E1" w:rsidRDefault="000022E1" w:rsidP="00082936"/>
    <w:p w14:paraId="7F27123C" w14:textId="77777777" w:rsidR="000022E1" w:rsidRDefault="000022E1" w:rsidP="00082936"/>
    <w:p w14:paraId="18F38FA5" w14:textId="77777777" w:rsidR="000022E1" w:rsidRDefault="000022E1" w:rsidP="00082936"/>
    <w:p w14:paraId="52DA6C8E" w14:textId="77777777" w:rsidR="000022E1" w:rsidRDefault="000022E1" w:rsidP="00082936"/>
    <w:p w14:paraId="20836598" w14:textId="77777777" w:rsidR="000022E1" w:rsidRDefault="000022E1" w:rsidP="00082936"/>
    <w:p w14:paraId="6BDD422C" w14:textId="77777777" w:rsidR="000022E1" w:rsidRDefault="000022E1" w:rsidP="00082936"/>
    <w:p w14:paraId="2240768A" w14:textId="77777777" w:rsidR="000022E1" w:rsidRDefault="000022E1" w:rsidP="00082936"/>
    <w:p w14:paraId="1E105CD5" w14:textId="77777777" w:rsidR="000022E1" w:rsidRDefault="000022E1" w:rsidP="00082936"/>
    <w:p w14:paraId="74C622E7" w14:textId="77777777" w:rsidR="000022E1" w:rsidRDefault="000022E1" w:rsidP="00082936"/>
    <w:p w14:paraId="7035FBB7" w14:textId="77777777" w:rsidR="000022E1" w:rsidRDefault="000022E1" w:rsidP="00082936"/>
    <w:p w14:paraId="620688CD" w14:textId="77777777" w:rsidR="000022E1" w:rsidRDefault="000022E1" w:rsidP="00082936"/>
    <w:p w14:paraId="2FBAFAEA" w14:textId="77777777" w:rsidR="000022E1" w:rsidRDefault="000022E1" w:rsidP="00082936"/>
    <w:p w14:paraId="33389FB3" w14:textId="77777777" w:rsidR="000022E1" w:rsidRDefault="000022E1" w:rsidP="00082936"/>
    <w:p w14:paraId="1E5374D0" w14:textId="77777777" w:rsidR="000022E1" w:rsidRDefault="000022E1" w:rsidP="00082936"/>
    <w:p w14:paraId="02B520CA" w14:textId="77777777" w:rsidR="000022E1" w:rsidRDefault="000022E1" w:rsidP="00082936"/>
    <w:p w14:paraId="79B794F6" w14:textId="77777777" w:rsidR="000022E1" w:rsidRDefault="000022E1" w:rsidP="00082936"/>
    <w:p w14:paraId="12DA8853" w14:textId="77777777" w:rsidR="000022E1" w:rsidRDefault="000022E1" w:rsidP="00082936"/>
    <w:p w14:paraId="64AC9238" w14:textId="77777777" w:rsidR="000022E1" w:rsidRDefault="000022E1" w:rsidP="00082936"/>
    <w:p w14:paraId="4B7265C7" w14:textId="77777777" w:rsidR="000022E1" w:rsidRDefault="000022E1" w:rsidP="00082936"/>
    <w:p w14:paraId="37AB5FFF" w14:textId="77777777" w:rsidR="000C5EE4" w:rsidRDefault="000C5EE4" w:rsidP="00951A43">
      <w:pPr>
        <w:pStyle w:val="Heading1"/>
        <w:sectPr w:rsidR="000C5EE4" w:rsidSect="000C5EE4">
          <w:type w:val="oddPage"/>
          <w:pgSz w:w="11906" w:h="16838" w:code="9"/>
          <w:pgMar w:top="1440" w:right="1440" w:bottom="1440" w:left="1440" w:header="709" w:footer="709" w:gutter="0"/>
          <w:cols w:space="708"/>
          <w:titlePg/>
          <w:docGrid w:linePitch="360"/>
        </w:sectPr>
      </w:pPr>
      <w:bookmarkStart w:id="80" w:name="_Toc408413465"/>
      <w:bookmarkStart w:id="81" w:name="_Toc408414179"/>
      <w:bookmarkStart w:id="82" w:name="_Toc409191086"/>
      <w:bookmarkStart w:id="83" w:name="_Toc409618519"/>
      <w:bookmarkStart w:id="84" w:name="_Toc409630050"/>
      <w:bookmarkStart w:id="85" w:name="_Toc410229542"/>
      <w:bookmarkStart w:id="86" w:name="_Toc410302177"/>
    </w:p>
    <w:p w14:paraId="733874D2" w14:textId="77777777" w:rsidR="00AB5F14" w:rsidRDefault="00AB5F14" w:rsidP="00951A43">
      <w:pPr>
        <w:pStyle w:val="Heading1"/>
      </w:pPr>
      <w:bookmarkStart w:id="87" w:name="_Toc437877551"/>
      <w:r w:rsidRPr="00BC183D">
        <w:lastRenderedPageBreak/>
        <w:t xml:space="preserve">Chapter </w:t>
      </w:r>
      <w:r w:rsidR="00FE266A">
        <w:t>2</w:t>
      </w:r>
      <w:r w:rsidR="00951A43">
        <w:t xml:space="preserve">:  </w:t>
      </w:r>
      <w:r w:rsidR="00B87057">
        <w:t>Continuation of</w:t>
      </w:r>
      <w:r>
        <w:t xml:space="preserve"> the act</w:t>
      </w:r>
      <w:bookmarkEnd w:id="79"/>
      <w:bookmarkEnd w:id="80"/>
      <w:bookmarkEnd w:id="81"/>
      <w:bookmarkEnd w:id="82"/>
      <w:bookmarkEnd w:id="83"/>
      <w:bookmarkEnd w:id="84"/>
      <w:bookmarkEnd w:id="85"/>
      <w:bookmarkEnd w:id="86"/>
      <w:bookmarkEnd w:id="87"/>
    </w:p>
    <w:p w14:paraId="57E6888F" w14:textId="77777777" w:rsidR="004D70CF" w:rsidRDefault="004D70CF" w:rsidP="00843660">
      <w:pPr>
        <w:pStyle w:val="Heading2"/>
      </w:pPr>
      <w:bookmarkStart w:id="88" w:name="_Toc437877552"/>
      <w:r>
        <w:t>Issue</w:t>
      </w:r>
      <w:bookmarkEnd w:id="88"/>
      <w:r>
        <w:t xml:space="preserve"> </w:t>
      </w:r>
    </w:p>
    <w:p w14:paraId="4211C1EC" w14:textId="67993ED9" w:rsidR="004D70CF" w:rsidRDefault="00710003" w:rsidP="00755335">
      <w:r>
        <w:t>This chapter examines whether</w:t>
      </w:r>
      <w:r w:rsidR="004D70CF" w:rsidRPr="009104A5">
        <w:t xml:space="preserve"> </w:t>
      </w:r>
      <w:r w:rsidR="0030282A">
        <w:t xml:space="preserve">there </w:t>
      </w:r>
      <w:r>
        <w:t>is</w:t>
      </w:r>
      <w:r w:rsidR="004D70CF" w:rsidRPr="009104A5">
        <w:t xml:space="preserve"> a need for the </w:t>
      </w:r>
      <w:r w:rsidR="004D70CF">
        <w:t xml:space="preserve">Act </w:t>
      </w:r>
      <w:r w:rsidR="004D70CF" w:rsidRPr="009104A5">
        <w:t xml:space="preserve">to continue </w:t>
      </w:r>
      <w:r w:rsidR="00EB1E1E">
        <w:t xml:space="preserve">to deem cover for losses suffered due to a terrorism incident into eligible insurance contracts and </w:t>
      </w:r>
      <w:r w:rsidR="00876AC5">
        <w:t>whether</w:t>
      </w:r>
      <w:r w:rsidR="00EB1E1E">
        <w:t xml:space="preserve"> the </w:t>
      </w:r>
      <w:r w:rsidR="00B97B26">
        <w:t>g</w:t>
      </w:r>
      <w:r w:rsidR="00EB1E1E">
        <w:t xml:space="preserve">overnment should continue to provide </w:t>
      </w:r>
      <w:r w:rsidR="00D9035F">
        <w:t xml:space="preserve">a </w:t>
      </w:r>
      <w:r w:rsidR="00EB1E1E">
        <w:t xml:space="preserve">reinsurance </w:t>
      </w:r>
      <w:r w:rsidR="00D9035F">
        <w:t xml:space="preserve">scheme </w:t>
      </w:r>
      <w:r w:rsidR="00EB1E1E">
        <w:t>for this risk. Considerations include to what extent</w:t>
      </w:r>
      <w:r w:rsidR="004D70CF" w:rsidRPr="009104A5">
        <w:t xml:space="preserve"> there continues to be a market failure </w:t>
      </w:r>
      <w:r w:rsidR="005B3B9F">
        <w:t xml:space="preserve">in the provision of terrorism insurance </w:t>
      </w:r>
      <w:r w:rsidR="004D70CF" w:rsidRPr="009104A5">
        <w:t xml:space="preserve">and what the impact would be if the Act were </w:t>
      </w:r>
      <w:r w:rsidR="005B3B9F">
        <w:t>to be abolished</w:t>
      </w:r>
      <w:r w:rsidR="004D70CF" w:rsidRPr="009104A5">
        <w:t>.</w:t>
      </w:r>
    </w:p>
    <w:p w14:paraId="792DA739" w14:textId="11441264" w:rsidR="00F64173" w:rsidRDefault="00F64173" w:rsidP="00F64173">
      <w:r>
        <w:t>As noted above, the National Commission of Audit, in expressing a view on the future of a number of Australian Government bodies, said of the ARPC:</w:t>
      </w:r>
    </w:p>
    <w:p w14:paraId="67751D7B" w14:textId="77777777" w:rsidR="00F64173" w:rsidRDefault="00F64173" w:rsidP="00F64173">
      <w:pPr>
        <w:ind w:left="720"/>
      </w:pPr>
      <w:r>
        <w:t>“With continued recovery in terrorism insurance markets, there is scope for a gradual Commonwealth exit over the coming years.”</w:t>
      </w:r>
      <w:r>
        <w:rPr>
          <w:rStyle w:val="FootnoteReference"/>
        </w:rPr>
        <w:footnoteReference w:id="8"/>
      </w:r>
    </w:p>
    <w:p w14:paraId="4AFEF514" w14:textId="7B823FB8" w:rsidR="00F64173" w:rsidRDefault="00F64173" w:rsidP="00755335">
      <w:r>
        <w:t>The scope for any short term Commonwealth exit is considered below.</w:t>
      </w:r>
    </w:p>
    <w:p w14:paraId="3E494AC2" w14:textId="77777777" w:rsidR="004D70CF" w:rsidRPr="0048105B" w:rsidRDefault="004D70CF" w:rsidP="00843660">
      <w:pPr>
        <w:pStyle w:val="Heading2"/>
      </w:pPr>
      <w:bookmarkStart w:id="89" w:name="_Toc437877553"/>
      <w:r w:rsidRPr="0048105B">
        <w:t>Recommendation</w:t>
      </w:r>
      <w:bookmarkEnd w:id="89"/>
    </w:p>
    <w:p w14:paraId="459041EB" w14:textId="0B902166" w:rsidR="00F64173" w:rsidRDefault="00804745" w:rsidP="00755335">
      <w:r>
        <w:rPr>
          <w:noProof/>
        </w:rPr>
        <mc:AlternateContent>
          <mc:Choice Requires="wps">
            <w:drawing>
              <wp:anchor distT="0" distB="0" distL="114300" distR="114300" simplePos="0" relativeHeight="251658243" behindDoc="0" locked="0" layoutInCell="1" allowOverlap="1" wp14:anchorId="5E5F7A35" wp14:editId="37B082C7">
                <wp:simplePos x="0" y="0"/>
                <wp:positionH relativeFrom="column">
                  <wp:posOffset>351155</wp:posOffset>
                </wp:positionH>
                <wp:positionV relativeFrom="paragraph">
                  <wp:posOffset>739775</wp:posOffset>
                </wp:positionV>
                <wp:extent cx="4981575" cy="600075"/>
                <wp:effectExtent l="0" t="0" r="2857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6000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40E1B70" w14:textId="30B669BC" w:rsidR="00036AEB" w:rsidRDefault="00036AEB">
                            <w:r w:rsidRPr="00804745">
                              <w:rPr>
                                <w:i/>
                              </w:rPr>
                              <w:t>Recommendation 1</w:t>
                            </w:r>
                            <w:r>
                              <w:t>: T</w:t>
                            </w:r>
                            <w:r w:rsidRPr="00B02419">
                              <w:t>hat the Act remain</w:t>
                            </w:r>
                            <w:r>
                              <w:t>s</w:t>
                            </w:r>
                            <w:r w:rsidRPr="00B02419">
                              <w:t xml:space="preserve"> in force, subject to future three</w:t>
                            </w:r>
                            <w:r>
                              <w:noBreakHyphen/>
                            </w:r>
                            <w:r w:rsidRPr="00B02419">
                              <w:t>year</w:t>
                            </w:r>
                            <w:r>
                              <w:t>ly statutory reviews.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65pt;margin-top:58.25pt;width:392.25pt;height:47.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" fillcolor="white [3201]" strokecolor="#4f81bd [3204]" strokeweight="2pt">
                <v:textbox>
                  <w:txbxContent>
                    <w:p w14:paraId="540E1B70" w14:textId="30B669BC" w:rsidR="00036AEB" w:rsidRDefault="00036AEB">
                      <w:r w:rsidRPr="00804745">
                        <w:rPr>
                          <w:i/>
                        </w:rPr>
                        <w:t>Recommendation 1</w:t>
                      </w:r>
                      <w:r>
                        <w:t>: T</w:t>
                      </w:r>
                      <w:r w:rsidRPr="00B02419">
                        <w:t>hat the Act remain</w:t>
                      </w:r>
                      <w:r>
                        <w:t>s</w:t>
                      </w:r>
                      <w:r w:rsidRPr="00B02419">
                        <w:t xml:space="preserve"> in force, subject to future three</w:t>
                      </w:r>
                      <w:r>
                        <w:noBreakHyphen/>
                      </w:r>
                      <w:r w:rsidRPr="00B02419">
                        <w:t>year</w:t>
                      </w:r>
                      <w:r>
                        <w:t>ly statutory reviews.</w:t>
                      </w:r>
                    </w:p>
                  </w:txbxContent>
                </v:textbox>
              </v:shape>
            </w:pict>
          </mc:Fallback>
        </mc:AlternateContent>
      </w:r>
      <w:r w:rsidR="005B3B9F">
        <w:t>T</w:t>
      </w:r>
      <w:r w:rsidR="004D70CF" w:rsidRPr="009104A5">
        <w:t xml:space="preserve">he </w:t>
      </w:r>
      <w:r w:rsidR="00755539">
        <w:t xml:space="preserve">restriction on availability of terrorism insurance and reinsurance cover in the private </w:t>
      </w:r>
      <w:r w:rsidR="004D70CF" w:rsidRPr="009104A5">
        <w:t xml:space="preserve">market </w:t>
      </w:r>
      <w:r w:rsidR="002033A4">
        <w:t>remains</w:t>
      </w:r>
      <w:r w:rsidR="008A07A0">
        <w:t xml:space="preserve">. </w:t>
      </w:r>
      <w:r w:rsidR="00755539">
        <w:t>There is some cover available, but this falls well short</w:t>
      </w:r>
      <w:r w:rsidR="002033A4">
        <w:t xml:space="preserve"> </w:t>
      </w:r>
      <w:r w:rsidR="00755539">
        <w:t>of</w:t>
      </w:r>
      <w:r w:rsidR="00791072">
        <w:t xml:space="preserve"> </w:t>
      </w:r>
      <w:r w:rsidR="0019107F">
        <w:t>the current</w:t>
      </w:r>
      <w:r w:rsidR="00791072">
        <w:t xml:space="preserve"> level</w:t>
      </w:r>
      <w:r w:rsidR="0019107F">
        <w:t xml:space="preserve"> provided under the scheme</w:t>
      </w:r>
      <w:r w:rsidR="004D70CF" w:rsidRPr="009104A5">
        <w:t>.</w:t>
      </w:r>
      <w:r w:rsidR="00791072">
        <w:t xml:space="preserve"> </w:t>
      </w:r>
      <w:r w:rsidR="00FE7B78">
        <w:t xml:space="preserve">This is unlikely to change in the short to medium term. As a result, </w:t>
      </w:r>
      <w:r w:rsidR="00F64173">
        <w:t>it is recommended that:</w:t>
      </w:r>
    </w:p>
    <w:p w14:paraId="6B144CF3" w14:textId="0ACA3CEE" w:rsidR="00804745" w:rsidRDefault="00804745" w:rsidP="00755335"/>
    <w:p w14:paraId="0995D62D" w14:textId="77777777" w:rsidR="00804745" w:rsidRDefault="00804745" w:rsidP="00755335"/>
    <w:p w14:paraId="6B7D4B9D" w14:textId="22E42750" w:rsidR="00071ABB" w:rsidRDefault="00BD531D" w:rsidP="00755335">
      <w:r>
        <w:t>In relation</w:t>
      </w:r>
      <w:r w:rsidR="00071ABB">
        <w:t xml:space="preserve"> to the size of the scheme, </w:t>
      </w:r>
      <w:r w:rsidR="002E36D4">
        <w:t>the current capacity is</w:t>
      </w:r>
      <w:r w:rsidR="00755539">
        <w:t xml:space="preserve"> considered an appropriate</w:t>
      </w:r>
      <w:r w:rsidR="00EB1E1E">
        <w:t xml:space="preserve"> level of </w:t>
      </w:r>
      <w:r w:rsidR="002E36D4">
        <w:t>cover</w:t>
      </w:r>
      <w:r w:rsidR="00EB1E1E">
        <w:t xml:space="preserve">, in that </w:t>
      </w:r>
      <w:r w:rsidR="00647E68">
        <w:t xml:space="preserve">modelling indicates </w:t>
      </w:r>
      <w:r w:rsidR="00EB1E1E">
        <w:t xml:space="preserve">it would </w:t>
      </w:r>
      <w:r w:rsidR="00AB3D0A">
        <w:t xml:space="preserve">adequately </w:t>
      </w:r>
      <w:r w:rsidR="00EB1E1E">
        <w:t>cover</w:t>
      </w:r>
      <w:r w:rsidR="002E36D4">
        <w:t xml:space="preserve"> the cost of a single explosion event</w:t>
      </w:r>
      <w:r w:rsidR="00EB1E1E">
        <w:t xml:space="preserve"> and provide a good level of cover for a multiple explosion event</w:t>
      </w:r>
      <w:r w:rsidR="002E36D4">
        <w:t xml:space="preserve">. </w:t>
      </w:r>
    </w:p>
    <w:p w14:paraId="40CAAFE9" w14:textId="77777777" w:rsidR="00EB1E1E" w:rsidRPr="0039678B" w:rsidRDefault="00EB1E1E" w:rsidP="00843660">
      <w:pPr>
        <w:pStyle w:val="Heading2"/>
      </w:pPr>
      <w:bookmarkStart w:id="90" w:name="_Toc437877554"/>
      <w:r w:rsidRPr="0039678B">
        <w:t>Assessment</w:t>
      </w:r>
      <w:bookmarkEnd w:id="90"/>
    </w:p>
    <w:p w14:paraId="3ACB4A72" w14:textId="77777777" w:rsidR="00A663C6" w:rsidRDefault="00A663C6" w:rsidP="00843660">
      <w:pPr>
        <w:pStyle w:val="Heading3"/>
      </w:pPr>
      <w:r>
        <w:t>Appropriate level of terrorism cover</w:t>
      </w:r>
    </w:p>
    <w:p w14:paraId="23F3D839" w14:textId="507C4374" w:rsidR="00EB1E1E" w:rsidRPr="00FC1F7A" w:rsidRDefault="00755539" w:rsidP="00755335">
      <w:pPr>
        <w:rPr>
          <w:sz w:val="20"/>
        </w:rPr>
      </w:pPr>
      <w:r>
        <w:rPr>
          <w:sz w:val="24"/>
        </w:rPr>
        <w:t xml:space="preserve">The </w:t>
      </w:r>
      <w:r w:rsidR="00C53B6D" w:rsidRPr="00D25398">
        <w:t>ARPC</w:t>
      </w:r>
      <w:r w:rsidR="008A07A0">
        <w:t>’</w:t>
      </w:r>
      <w:r w:rsidR="00C53B6D" w:rsidRPr="00D25398">
        <w:t>s modelling demonstrates that</w:t>
      </w:r>
      <w:r w:rsidR="00BD531D">
        <w:t>,</w:t>
      </w:r>
      <w:r w:rsidR="00C53B6D" w:rsidRPr="00D25398">
        <w:t xml:space="preserve"> if a loss was to occur in the Sydney or Melbourne central business districts from a large blast, ARPC</w:t>
      </w:r>
      <w:r w:rsidR="008A07A0">
        <w:t>’</w:t>
      </w:r>
      <w:r w:rsidR="00C53B6D" w:rsidRPr="00D25398">
        <w:t>s pool of funds plus the retrocession program would cover almost all probable events.</w:t>
      </w:r>
      <w:r w:rsidR="00C53B6D" w:rsidRPr="00B16624">
        <w:rPr>
          <w:rStyle w:val="FootnoteReference"/>
          <w:color w:val="221E1F"/>
        </w:rPr>
        <w:footnoteReference w:id="9"/>
      </w:r>
      <w:r w:rsidR="00161D7B">
        <w:rPr>
          <w:sz w:val="20"/>
        </w:rPr>
        <w:t xml:space="preserve"> </w:t>
      </w:r>
      <w:r w:rsidR="00EB1E1E">
        <w:t xml:space="preserve">Multiple explosion events have not been modelled </w:t>
      </w:r>
      <w:r>
        <w:t>and</w:t>
      </w:r>
      <w:r w:rsidR="00EB1E1E">
        <w:t xml:space="preserve"> </w:t>
      </w:r>
      <w:r w:rsidR="00C53B6D">
        <w:t>w</w:t>
      </w:r>
      <w:r w:rsidR="00EB1E1E">
        <w:t xml:space="preserve">ould lead to larger losses. </w:t>
      </w:r>
      <w:r>
        <w:t>D</w:t>
      </w:r>
      <w:r w:rsidR="00EB1E1E">
        <w:t xml:space="preserve">etermining </w:t>
      </w:r>
      <w:r>
        <w:t xml:space="preserve">an appropriate capacity </w:t>
      </w:r>
      <w:r w:rsidR="00843660">
        <w:t>for the</w:t>
      </w:r>
      <w:r w:rsidR="00EB1E1E">
        <w:t xml:space="preserve"> scheme </w:t>
      </w:r>
      <w:r>
        <w:t>is challenging due to the lack of certainty of the probability of substantial events</w:t>
      </w:r>
      <w:r w:rsidR="008A07A0">
        <w:t xml:space="preserve">. </w:t>
      </w:r>
      <w:r>
        <w:t>However, the ARPC</w:t>
      </w:r>
      <w:r w:rsidR="008A07A0">
        <w:t>’</w:t>
      </w:r>
      <w:r>
        <w:t>s conclusion that</w:t>
      </w:r>
      <w:r w:rsidR="00EB1E1E">
        <w:t xml:space="preserve"> the current </w:t>
      </w:r>
      <w:r>
        <w:t>capacity</w:t>
      </w:r>
      <w:r w:rsidR="00EB1E1E">
        <w:t xml:space="preserve"> </w:t>
      </w:r>
      <w:r w:rsidR="00222FD3">
        <w:t xml:space="preserve">of $13 billion </w:t>
      </w:r>
      <w:r>
        <w:t xml:space="preserve">is adequate to </w:t>
      </w:r>
      <w:r w:rsidR="000808B4">
        <w:t xml:space="preserve">comfortably </w:t>
      </w:r>
      <w:r>
        <w:t xml:space="preserve">cover most </w:t>
      </w:r>
      <w:r w:rsidR="009857BC">
        <w:t xml:space="preserve">foreseeable </w:t>
      </w:r>
      <w:r>
        <w:t xml:space="preserve">outcomes of </w:t>
      </w:r>
      <w:r w:rsidR="000808B4">
        <w:t xml:space="preserve">a major </w:t>
      </w:r>
      <w:r w:rsidR="00FB5A77">
        <w:t xml:space="preserve">explosion </w:t>
      </w:r>
      <w:r w:rsidR="000808B4">
        <w:t xml:space="preserve">event in a large Australian city provides a basis on which to maintain the current level of </w:t>
      </w:r>
      <w:r w:rsidR="000808B4">
        <w:lastRenderedPageBreak/>
        <w:t>cover under the scheme</w:t>
      </w:r>
      <w:r w:rsidR="008A07A0">
        <w:t xml:space="preserve">. </w:t>
      </w:r>
      <w:r w:rsidR="000808B4">
        <w:t>I</w:t>
      </w:r>
      <w:r w:rsidR="008E7BEF">
        <w:t>f</w:t>
      </w:r>
      <w:r w:rsidR="000808B4">
        <w:t xml:space="preserve"> ARPC </w:t>
      </w:r>
      <w:r w:rsidR="00843660">
        <w:t>reserves</w:t>
      </w:r>
      <w:r w:rsidR="000808B4">
        <w:t xml:space="preserve"> were depleted after such an event, </w:t>
      </w:r>
      <w:r w:rsidR="00843660">
        <w:t>consideration</w:t>
      </w:r>
      <w:r w:rsidR="000808B4">
        <w:t xml:space="preserve"> would be given as to how best to replenish those reserves in preparation for any further event</w:t>
      </w:r>
      <w:r w:rsidR="008A07A0">
        <w:t xml:space="preserve">. </w:t>
      </w:r>
    </w:p>
    <w:p w14:paraId="5CBAD042" w14:textId="77777777" w:rsidR="00A663C6" w:rsidRDefault="00A663C6" w:rsidP="00843660">
      <w:pPr>
        <w:pStyle w:val="Heading3"/>
      </w:pPr>
      <w:r>
        <w:t>Market failure</w:t>
      </w:r>
    </w:p>
    <w:p w14:paraId="05D44DBF" w14:textId="7F28CE18" w:rsidR="00AF4EEF" w:rsidRPr="00A61F7E" w:rsidRDefault="00AF4EEF" w:rsidP="00755335">
      <w:r w:rsidRPr="00A61F7E">
        <w:t xml:space="preserve">The report </w:t>
      </w:r>
      <w:r w:rsidR="00B837E1">
        <w:t xml:space="preserve">prepared by external consulting firm </w:t>
      </w:r>
      <w:proofErr w:type="spellStart"/>
      <w:r w:rsidR="00B837E1">
        <w:t>Pottinger</w:t>
      </w:r>
      <w:proofErr w:type="spellEnd"/>
      <w:r w:rsidR="00B837E1">
        <w:t xml:space="preserve"> </w:t>
      </w:r>
      <w:r w:rsidR="00EB1E1E">
        <w:t>considered the availability of reinsurance for terrorism risk in detail. It c</w:t>
      </w:r>
      <w:r w:rsidRPr="00A61F7E">
        <w:t>oncludes that the availability and pricing of private sector terrorism insurance has improved over time</w:t>
      </w:r>
      <w:r w:rsidR="000A1A96" w:rsidRPr="00A61F7E">
        <w:t xml:space="preserve"> </w:t>
      </w:r>
      <w:r w:rsidR="00A27E81" w:rsidRPr="00A61F7E">
        <w:t xml:space="preserve">due to the low incidence of major terrorism claims, better risk modelling and greater competition among reinsurers. </w:t>
      </w:r>
      <w:r w:rsidR="007A563A" w:rsidRPr="00A61F7E">
        <w:t>Terrorism loss</w:t>
      </w:r>
      <w:r w:rsidR="00A27E81" w:rsidRPr="00A61F7E">
        <w:t xml:space="preserve"> reinsurance prices have also fallen over time.</w:t>
      </w:r>
      <w:r w:rsidR="001D5755">
        <w:t xml:space="preserve"> In addition, coverage has improved for small events</w:t>
      </w:r>
      <w:r w:rsidR="00AC1F66">
        <w:t>.</w:t>
      </w:r>
    </w:p>
    <w:p w14:paraId="3CB73CBA" w14:textId="08B87416" w:rsidR="000A1A96" w:rsidRPr="00A61F7E" w:rsidRDefault="00AF4EEF" w:rsidP="00755335">
      <w:r w:rsidRPr="00A61F7E">
        <w:t>Nonethel</w:t>
      </w:r>
      <w:r w:rsidR="00A27E81" w:rsidRPr="00A61F7E">
        <w:t>e</w:t>
      </w:r>
      <w:r w:rsidRPr="00A61F7E">
        <w:t>ss,</w:t>
      </w:r>
      <w:r w:rsidR="004D70CF" w:rsidRPr="00A61F7E">
        <w:t xml:space="preserve"> </w:t>
      </w:r>
      <w:r w:rsidR="008E7BEF">
        <w:t xml:space="preserve">there is still a </w:t>
      </w:r>
      <w:r w:rsidR="004D70CF" w:rsidRPr="00A61F7E">
        <w:t>partial market failure</w:t>
      </w:r>
      <w:r w:rsidR="008A07A0">
        <w:t xml:space="preserve">. </w:t>
      </w:r>
      <w:r w:rsidR="004534B8">
        <w:t>T</w:t>
      </w:r>
      <w:r w:rsidR="00084B44">
        <w:t xml:space="preserve">he </w:t>
      </w:r>
      <w:proofErr w:type="spellStart"/>
      <w:r w:rsidR="00084B44">
        <w:t>Pottinger</w:t>
      </w:r>
      <w:proofErr w:type="spellEnd"/>
      <w:r w:rsidR="00084B44">
        <w:t xml:space="preserve"> report estimates that</w:t>
      </w:r>
      <w:r w:rsidR="000A1A96" w:rsidRPr="00A61F7E">
        <w:t xml:space="preserve"> t</w:t>
      </w:r>
      <w:r w:rsidR="004D70CF" w:rsidRPr="00A61F7E">
        <w:t xml:space="preserve">errorism risk retrocessions available </w:t>
      </w:r>
      <w:r w:rsidR="00E30E2D">
        <w:t>to</w:t>
      </w:r>
      <w:r w:rsidR="00E30E2D" w:rsidRPr="00A61F7E">
        <w:t xml:space="preserve"> Australia</w:t>
      </w:r>
      <w:r w:rsidR="00E30E2D">
        <w:t>n insurers</w:t>
      </w:r>
      <w:r w:rsidR="00E30E2D" w:rsidRPr="00A61F7E">
        <w:t xml:space="preserve"> </w:t>
      </w:r>
      <w:r w:rsidRPr="00A61F7E">
        <w:t xml:space="preserve">at a reasonable </w:t>
      </w:r>
      <w:r w:rsidR="00161D7B">
        <w:t>price</w:t>
      </w:r>
      <w:r w:rsidRPr="00A61F7E">
        <w:t xml:space="preserve"> </w:t>
      </w:r>
      <w:r w:rsidR="000A1A96" w:rsidRPr="00A61F7E">
        <w:t>total</w:t>
      </w:r>
      <w:r w:rsidRPr="00A61F7E">
        <w:t xml:space="preserve"> around $5 </w:t>
      </w:r>
      <w:r w:rsidR="00161D7B">
        <w:t>b</w:t>
      </w:r>
      <w:r w:rsidRPr="00A61F7E">
        <w:t xml:space="preserve">illion, </w:t>
      </w:r>
      <w:r w:rsidR="008E7BEF">
        <w:t xml:space="preserve">which is </w:t>
      </w:r>
      <w:r w:rsidRPr="00A61F7E">
        <w:t xml:space="preserve">well below </w:t>
      </w:r>
      <w:r w:rsidR="004D70CF" w:rsidRPr="00A61F7E">
        <w:t>th</w:t>
      </w:r>
      <w:r w:rsidRPr="00A61F7E">
        <w:t xml:space="preserve">e </w:t>
      </w:r>
      <w:r w:rsidR="00481861">
        <w:t xml:space="preserve">approximately </w:t>
      </w:r>
      <w:r w:rsidRPr="00A61F7E">
        <w:t>$13 billion</w:t>
      </w:r>
      <w:r w:rsidR="004D70CF" w:rsidRPr="00A61F7E">
        <w:t xml:space="preserve"> of </w:t>
      </w:r>
      <w:r w:rsidR="004534B8">
        <w:t xml:space="preserve">reinsurance </w:t>
      </w:r>
      <w:r w:rsidR="004D70CF" w:rsidRPr="00A61F7E">
        <w:t xml:space="preserve">cover provided by the </w:t>
      </w:r>
      <w:r w:rsidRPr="00A61F7E">
        <w:t>scheme</w:t>
      </w:r>
      <w:r w:rsidR="004D70CF" w:rsidRPr="00A61F7E">
        <w:t xml:space="preserve">. </w:t>
      </w:r>
    </w:p>
    <w:p w14:paraId="5CA18914" w14:textId="28EBE9AF" w:rsidR="00A27E81" w:rsidRDefault="008E7BEF" w:rsidP="00755335">
      <w:r>
        <w:t>There also seems to be</w:t>
      </w:r>
      <w:r w:rsidR="00AB3F76" w:rsidRPr="00A61F7E">
        <w:t xml:space="preserve"> </w:t>
      </w:r>
      <w:r w:rsidR="004D70CF" w:rsidRPr="00A61F7E">
        <w:t>no material likelihood of market conditions changing such that adequate private sector supply of terrorism insurance becomes available over the near to medium term</w:t>
      </w:r>
      <w:r w:rsidR="004721AE" w:rsidRPr="00A61F7E">
        <w:t>.</w:t>
      </w:r>
      <w:r w:rsidR="001D5755">
        <w:t xml:space="preserve"> </w:t>
      </w:r>
      <w:r w:rsidR="00BE4D6A">
        <w:t>T</w:t>
      </w:r>
      <w:r w:rsidR="00AB3F76">
        <w:t xml:space="preserve">he development of a private market for terrorism insurance in Australia depends on further growth in the capacity of global reinsurance markets for terrorism risk. </w:t>
      </w:r>
      <w:r w:rsidR="00394373">
        <w:t xml:space="preserve">Recent developments overseas indicate that government support of terrorism insurance arrangements continues to be required. </w:t>
      </w:r>
      <w:r w:rsidR="00394373" w:rsidRPr="007F7689">
        <w:t>The US</w:t>
      </w:r>
      <w:r w:rsidR="00873A0A">
        <w:t> </w:t>
      </w:r>
      <w:r w:rsidR="00394373" w:rsidRPr="007F7689">
        <w:t>Parliament</w:t>
      </w:r>
      <w:r>
        <w:t>, for example,</w:t>
      </w:r>
      <w:r w:rsidR="00394373" w:rsidRPr="007F7689">
        <w:t xml:space="preserve"> recently voted to reinstate the national terrorist insurance scheme, which had lapsed in December 2014.</w:t>
      </w:r>
      <w:r w:rsidR="00394373">
        <w:t xml:space="preserve"> </w:t>
      </w:r>
      <w:r w:rsidR="00394373" w:rsidRPr="007F7689">
        <w:t xml:space="preserve">The Bill passed with bipartisan support. </w:t>
      </w:r>
    </w:p>
    <w:p w14:paraId="3C14B87B" w14:textId="26AE2565" w:rsidR="00A27E81" w:rsidRDefault="00FD30B1" w:rsidP="00755335">
      <w:r>
        <w:t>C</w:t>
      </w:r>
      <w:r w:rsidR="000A1A96">
        <w:t xml:space="preserve">urrent conditions do not imply </w:t>
      </w:r>
      <w:r w:rsidR="00A27E81">
        <w:t xml:space="preserve">the </w:t>
      </w:r>
      <w:r w:rsidR="000A1A96">
        <w:t xml:space="preserve">continued </w:t>
      </w:r>
      <w:r w:rsidR="00A27E81">
        <w:t>availability of private sector terrorism insurance at an economic price over the medium to longer term, particularly in the event of a major claim in Australia or overseas. Further, the report indicates that</w:t>
      </w:r>
      <w:r w:rsidR="008E7BEF">
        <w:t>,</w:t>
      </w:r>
      <w:r w:rsidR="00A27E81">
        <w:t xml:space="preserve"> while there is increasing capacity to insure the risk pool managed by the ARPC, there is no guarantee that the same capacity would be available to individual insurers</w:t>
      </w:r>
      <w:r w:rsidR="00727B12">
        <w:t>. The report identifies</w:t>
      </w:r>
      <w:r w:rsidR="00A27E81">
        <w:t xml:space="preserve"> </w:t>
      </w:r>
      <w:r w:rsidR="000A1A96">
        <w:t>the</w:t>
      </w:r>
      <w:r w:rsidR="00A27E81">
        <w:t xml:space="preserve"> risk</w:t>
      </w:r>
      <w:r w:rsidR="008E7BEF">
        <w:t>-</w:t>
      </w:r>
      <w:r w:rsidR="00A27E81">
        <w:t xml:space="preserve">pooling mechanism </w:t>
      </w:r>
      <w:r w:rsidR="00727B12">
        <w:t>as</w:t>
      </w:r>
      <w:r w:rsidR="008E7BEF">
        <w:t xml:space="preserve"> </w:t>
      </w:r>
      <w:r w:rsidR="00A27E81">
        <w:t>a key factor in providing cost</w:t>
      </w:r>
      <w:r w:rsidR="008A07A0">
        <w:noBreakHyphen/>
      </w:r>
      <w:r w:rsidR="00A27E81">
        <w:t>effective reinsurance of terrorism risk.</w:t>
      </w:r>
    </w:p>
    <w:p w14:paraId="01F615F6" w14:textId="77777777" w:rsidR="00A663C6" w:rsidRDefault="00A663C6" w:rsidP="00843660">
      <w:pPr>
        <w:pStyle w:val="Heading3"/>
      </w:pPr>
      <w:r>
        <w:t>Impact on competition</w:t>
      </w:r>
    </w:p>
    <w:p w14:paraId="58B53896" w14:textId="3A5CBA78" w:rsidR="00222FD3" w:rsidRDefault="00FC1DD0" w:rsidP="00755335">
      <w:r>
        <w:t xml:space="preserve">A second consideration is whether continuation of the scheme is preventing </w:t>
      </w:r>
      <w:r w:rsidR="008E7BEF">
        <w:t xml:space="preserve">the re-emergence of </w:t>
      </w:r>
      <w:r>
        <w:t>a private market for terrorism insurance</w:t>
      </w:r>
      <w:r w:rsidR="00AB3F76">
        <w:t xml:space="preserve">. </w:t>
      </w:r>
      <w:r w:rsidR="00BE4D6A">
        <w:t>Again, the capacity of Australian insurers depends on the global market for reinsurance. In this context</w:t>
      </w:r>
      <w:r>
        <w:t xml:space="preserve">, </w:t>
      </w:r>
      <w:r w:rsidR="00BE4D6A">
        <w:t>the</w:t>
      </w:r>
      <w:r>
        <w:t xml:space="preserve"> current government</w:t>
      </w:r>
      <w:r w:rsidR="008A07A0">
        <w:noBreakHyphen/>
      </w:r>
      <w:r>
        <w:t>supported sc</w:t>
      </w:r>
      <w:r w:rsidR="00BE4D6A">
        <w:t>heme in Australia is likely to have little effect on the development of the market</w:t>
      </w:r>
      <w:r w:rsidR="00AB3F76">
        <w:t>.</w:t>
      </w:r>
      <w:r w:rsidR="00BE4D6A">
        <w:t xml:space="preserve"> </w:t>
      </w:r>
      <w:r w:rsidR="00AF3546">
        <w:t xml:space="preserve">Supporting this conclusion is </w:t>
      </w:r>
      <w:r w:rsidR="002C7CF8">
        <w:t xml:space="preserve">the </w:t>
      </w:r>
      <w:proofErr w:type="spellStart"/>
      <w:r w:rsidR="00AF3546">
        <w:t>Finity</w:t>
      </w:r>
      <w:proofErr w:type="spellEnd"/>
      <w:r w:rsidR="00AF3546">
        <w:t xml:space="preserve"> report</w:t>
      </w:r>
      <w:r w:rsidR="008E7BEF">
        <w:t>’s finding</w:t>
      </w:r>
      <w:r w:rsidR="00AF3546">
        <w:t xml:space="preserve"> that no market solution </w:t>
      </w:r>
      <w:r w:rsidR="008E7BEF">
        <w:t xml:space="preserve">has </w:t>
      </w:r>
      <w:r w:rsidR="00AF3546">
        <w:t>emerge</w:t>
      </w:r>
      <w:r w:rsidR="008E7BEF">
        <w:t>d</w:t>
      </w:r>
      <w:r w:rsidR="00AF3546">
        <w:t xml:space="preserve"> in relation to</w:t>
      </w:r>
      <w:r w:rsidR="00F34A1D">
        <w:br/>
      </w:r>
      <w:r w:rsidR="00AF3546">
        <w:t>high</w:t>
      </w:r>
      <w:r w:rsidR="008A07A0">
        <w:noBreakHyphen/>
      </w:r>
      <w:r w:rsidR="00AF3546">
        <w:t>rise residential and mixed</w:t>
      </w:r>
      <w:r w:rsidR="008A07A0">
        <w:noBreakHyphen/>
      </w:r>
      <w:r w:rsidR="00AF3546">
        <w:t xml:space="preserve">use buildings </w:t>
      </w:r>
      <w:r w:rsidR="00FC1F7A">
        <w:t>not covered by the scheme</w:t>
      </w:r>
      <w:r w:rsidR="008E7BEF">
        <w:t>.</w:t>
      </w:r>
    </w:p>
    <w:p w14:paraId="3B48B181" w14:textId="77777777" w:rsidR="00AF3546" w:rsidRDefault="00222FD3" w:rsidP="00755335">
      <w:r>
        <w:t>The low impact of the scheme on the development of a market solution is consistent with the view of insurance industry stakeholders that the scheme should remain in largely its current form and is of benefit to them in a market where terrorism insurance is lacking</w:t>
      </w:r>
      <w:r w:rsidR="00A663C6">
        <w:t xml:space="preserve">. </w:t>
      </w:r>
      <w:r w:rsidR="00AF3546">
        <w:t>In fact, the successful retrocession program operated by the ARPC is viewed by stakeholders as having a positive effect on Australian insurers</w:t>
      </w:r>
      <w:r w:rsidR="008A07A0">
        <w:t>’</w:t>
      </w:r>
      <w:r w:rsidR="00AF3546">
        <w:t xml:space="preserve"> access to global reinsurance markets.</w:t>
      </w:r>
    </w:p>
    <w:p w14:paraId="6ECE78A1" w14:textId="77777777" w:rsidR="00A663C6" w:rsidRDefault="00A663C6" w:rsidP="00843660">
      <w:pPr>
        <w:pStyle w:val="Heading3"/>
      </w:pPr>
      <w:r>
        <w:t>Impact of removal of the scheme</w:t>
      </w:r>
    </w:p>
    <w:p w14:paraId="01F69F5E" w14:textId="77777777" w:rsidR="00151886" w:rsidRDefault="00A663C6" w:rsidP="00755335">
      <w:r w:rsidRPr="00A663C6">
        <w:t>A final consideration is whether the removal of the scheme would have any negative impacts.</w:t>
      </w:r>
    </w:p>
    <w:p w14:paraId="6D4C9BC2" w14:textId="0D9D3D71" w:rsidR="001D5755" w:rsidRDefault="00A663C6" w:rsidP="00755335">
      <w:r w:rsidRPr="00A663C6">
        <w:t>The likely negative economic impacts are difficult to assess. There are indications from some stakeholders that removing the scheme may not initially concern   the market more generally. However, conditions have not materially changed so that funding of large</w:t>
      </w:r>
      <w:r w:rsidR="008A07A0">
        <w:noBreakHyphen/>
      </w:r>
      <w:r w:rsidRPr="00A663C6">
        <w:t xml:space="preserve">scale commercial projects </w:t>
      </w:r>
      <w:r w:rsidRPr="00A663C6">
        <w:lastRenderedPageBreak/>
        <w:t xml:space="preserve">would be viable without insurance. In current conditions, the pricing of the scheme suggests that insurers </w:t>
      </w:r>
      <w:r w:rsidR="008E7BEF">
        <w:t>see</w:t>
      </w:r>
      <w:r w:rsidR="008E7BEF" w:rsidRPr="00A663C6">
        <w:t xml:space="preserve"> </w:t>
      </w:r>
      <w:r w:rsidRPr="00A663C6">
        <w:t xml:space="preserve">little likelihood </w:t>
      </w:r>
      <w:r w:rsidR="008E7BEF">
        <w:t>of</w:t>
      </w:r>
      <w:r w:rsidR="008E7BEF" w:rsidRPr="00A663C6">
        <w:t xml:space="preserve"> </w:t>
      </w:r>
      <w:r w:rsidRPr="00A663C6">
        <w:t>a large</w:t>
      </w:r>
      <w:r w:rsidR="008E7BEF">
        <w:t>-</w:t>
      </w:r>
      <w:r w:rsidRPr="00A663C6">
        <w:t>s</w:t>
      </w:r>
      <w:r w:rsidR="008E7BEF">
        <w:t>c</w:t>
      </w:r>
      <w:r w:rsidRPr="00A663C6">
        <w:t>ale loss</w:t>
      </w:r>
      <w:r w:rsidR="008A07A0">
        <w:t xml:space="preserve">. </w:t>
      </w:r>
      <w:r w:rsidRPr="00A663C6">
        <w:t xml:space="preserve">Yet there </w:t>
      </w:r>
      <w:r w:rsidR="008E7BEF">
        <w:t>seems to be</w:t>
      </w:r>
      <w:r w:rsidR="008E7BEF" w:rsidRPr="00A663C6">
        <w:t xml:space="preserve"> </w:t>
      </w:r>
      <w:r w:rsidRPr="00A663C6">
        <w:t>no reason to think that a future large terrorist event would not have a similar effect on large commercial building activity to that in 2001.</w:t>
      </w:r>
    </w:p>
    <w:p w14:paraId="2F004DAD" w14:textId="03997C12" w:rsidR="001D5755" w:rsidRPr="00082936" w:rsidRDefault="00151886" w:rsidP="00755335">
      <w:r>
        <w:t xml:space="preserve">A further issue is </w:t>
      </w:r>
      <w:proofErr w:type="gramStart"/>
      <w:r>
        <w:t>that</w:t>
      </w:r>
      <w:r w:rsidR="00EF75E3">
        <w:t>,</w:t>
      </w:r>
      <w:proofErr w:type="gramEnd"/>
      <w:r w:rsidR="001D5755">
        <w:t xml:space="preserve"> if </w:t>
      </w:r>
      <w:r>
        <w:t xml:space="preserve">sufficient </w:t>
      </w:r>
      <w:r w:rsidR="001D5755">
        <w:t xml:space="preserve">terrorism insurance is not available </w:t>
      </w:r>
      <w:r>
        <w:t>in the private market</w:t>
      </w:r>
      <w:r w:rsidR="001D5755">
        <w:t xml:space="preserve">, then the </w:t>
      </w:r>
      <w:r w:rsidR="00B97B26">
        <w:t>g</w:t>
      </w:r>
      <w:r w:rsidR="001D5755">
        <w:t xml:space="preserve">overnment may be </w:t>
      </w:r>
      <w:r w:rsidR="00FC1DD0">
        <w:t>called on to provide open</w:t>
      </w:r>
      <w:r w:rsidR="000670D2">
        <w:t>-</w:t>
      </w:r>
      <w:r w:rsidR="00FC1DD0">
        <w:t>ended support in the event of a terrorist incident.</w:t>
      </w:r>
      <w:r w:rsidR="001D5755">
        <w:t xml:space="preserve"> </w:t>
      </w:r>
      <w:r w:rsidR="00FC1DD0">
        <w:t>Existence of a</w:t>
      </w:r>
      <w:r w:rsidR="00394373">
        <w:t>n explicit guarantee</w:t>
      </w:r>
      <w:r w:rsidR="00FC1DD0">
        <w:t xml:space="preserve"> provides certainty and enables the </w:t>
      </w:r>
      <w:r w:rsidR="00B97B26">
        <w:t>g</w:t>
      </w:r>
      <w:r w:rsidR="00FC1DD0">
        <w:t>overnment and tax payers to be fairly compensated for the provision of the guarantee.</w:t>
      </w:r>
      <w:r w:rsidR="001D5755">
        <w:t xml:space="preserve"> </w:t>
      </w:r>
    </w:p>
    <w:p w14:paraId="39B0BB57" w14:textId="7040C324" w:rsidR="00134843" w:rsidRDefault="00FC1DD0" w:rsidP="00755335">
      <w:r>
        <w:t>T</w:t>
      </w:r>
      <w:r w:rsidR="001D5755">
        <w:t>he need for the scheme was highlighted recently through the certainty it provided in the</w:t>
      </w:r>
      <w:r w:rsidR="00F34A1D">
        <w:br/>
      </w:r>
      <w:r w:rsidR="001D5755">
        <w:t xml:space="preserve">December Sydney siege events where it was activated for the first time. Although losses are </w:t>
      </w:r>
      <w:r w:rsidR="00222FD3">
        <w:t>predicted</w:t>
      </w:r>
      <w:r w:rsidR="001D5755">
        <w:t xml:space="preserve"> to </w:t>
      </w:r>
      <w:r w:rsidR="00222FD3">
        <w:t>be</w:t>
      </w:r>
      <w:r w:rsidR="001D5755">
        <w:t xml:space="preserve"> below the level of activation of the government guarantee, the scheme has provided a mechanism for communication between insurers and the </w:t>
      </w:r>
      <w:r w:rsidR="00B97B26">
        <w:t>g</w:t>
      </w:r>
      <w:r w:rsidR="001D5755">
        <w:t>overnment and provided certainty to claimants.</w:t>
      </w:r>
      <w:r w:rsidR="00134843">
        <w:t xml:space="preserve"> </w:t>
      </w:r>
    </w:p>
    <w:p w14:paraId="4C0FDC1C" w14:textId="77777777" w:rsidR="00A663C6" w:rsidRDefault="00A663C6" w:rsidP="00843660">
      <w:pPr>
        <w:pStyle w:val="Heading3"/>
      </w:pPr>
      <w:r>
        <w:t>Ongoing reviews</w:t>
      </w:r>
    </w:p>
    <w:p w14:paraId="177C0068" w14:textId="54E6192C" w:rsidR="00222FD3" w:rsidRPr="009104A5" w:rsidRDefault="00222FD3" w:rsidP="00755335">
      <w:r>
        <w:t xml:space="preserve">The </w:t>
      </w:r>
      <w:proofErr w:type="spellStart"/>
      <w:r>
        <w:t>Pottinger</w:t>
      </w:r>
      <w:proofErr w:type="spellEnd"/>
      <w:r>
        <w:t xml:space="preserve"> report recommends making the scheme permanent given the apparent ongoing need for the Act</w:t>
      </w:r>
      <w:r w:rsidR="003420BE">
        <w:t>, and posits reviews once every 5 years</w:t>
      </w:r>
      <w:r>
        <w:t>.</w:t>
      </w:r>
      <w:r w:rsidR="003420BE">
        <w:t xml:space="preserve"> While this review recognises that the temporary nature of the scheme needs to be reassessed given the persistent need for it, </w:t>
      </w:r>
      <w:r w:rsidR="00D9035F">
        <w:t>it is considered that tri</w:t>
      </w:r>
      <w:r w:rsidR="00736EC3">
        <w:t>ennial</w:t>
      </w:r>
      <w:r w:rsidR="00D9035F">
        <w:t xml:space="preserve"> reviews should remain in place to ensure that the ongoing need for the scheme is closely monitored, but also to ensure that the parameters of the scheme are appropriately set.</w:t>
      </w:r>
      <w:r>
        <w:t xml:space="preserve"> </w:t>
      </w:r>
    </w:p>
    <w:p w14:paraId="5C44108C" w14:textId="77777777" w:rsidR="000C5EE4" w:rsidRDefault="000C5EE4" w:rsidP="00951A43">
      <w:pPr>
        <w:pStyle w:val="Heading1"/>
        <w:sectPr w:rsidR="000C5EE4" w:rsidSect="000C5EE4">
          <w:type w:val="oddPage"/>
          <w:pgSz w:w="11906" w:h="16838" w:code="9"/>
          <w:pgMar w:top="1440" w:right="1440" w:bottom="1440" w:left="1440" w:header="709" w:footer="709" w:gutter="0"/>
          <w:cols w:space="708"/>
          <w:titlePg/>
          <w:docGrid w:linePitch="360"/>
        </w:sectPr>
      </w:pPr>
      <w:bookmarkStart w:id="91" w:name="_Toc405808765"/>
      <w:bookmarkStart w:id="92" w:name="_Toc406424588"/>
      <w:bookmarkStart w:id="93" w:name="_Toc408413466"/>
      <w:bookmarkStart w:id="94" w:name="_Toc408414180"/>
      <w:bookmarkStart w:id="95" w:name="_Toc409191087"/>
      <w:bookmarkStart w:id="96" w:name="_Toc409618520"/>
      <w:bookmarkStart w:id="97" w:name="_Toc409630051"/>
      <w:bookmarkStart w:id="98" w:name="_Toc410229543"/>
      <w:bookmarkStart w:id="99" w:name="_Toc410302178"/>
      <w:bookmarkStart w:id="100" w:name="_Toc321134078"/>
    </w:p>
    <w:p w14:paraId="2537825F" w14:textId="03534E0C" w:rsidR="00FE549F" w:rsidRPr="00436986" w:rsidRDefault="00FE549F" w:rsidP="00951A43">
      <w:pPr>
        <w:pStyle w:val="Heading1"/>
      </w:pPr>
      <w:bookmarkStart w:id="101" w:name="_Toc437877555"/>
      <w:r>
        <w:lastRenderedPageBreak/>
        <w:t xml:space="preserve">Chapter </w:t>
      </w:r>
      <w:bookmarkStart w:id="102" w:name="_Toc405808766"/>
      <w:bookmarkStart w:id="103" w:name="_Toc406155136"/>
      <w:bookmarkEnd w:id="91"/>
      <w:r w:rsidR="00FE266A">
        <w:t>3</w:t>
      </w:r>
      <w:r>
        <w:t>:</w:t>
      </w:r>
      <w:r w:rsidR="00951A43">
        <w:t xml:space="preserve">  </w:t>
      </w:r>
      <w:r w:rsidR="00BA6A4F">
        <w:t>O</w:t>
      </w:r>
      <w:r>
        <w:t xml:space="preserve">wnership </w:t>
      </w:r>
      <w:r w:rsidR="00B87057">
        <w:t xml:space="preserve">structure </w:t>
      </w:r>
      <w:r>
        <w:t xml:space="preserve">of </w:t>
      </w:r>
      <w:r w:rsidR="00B87057">
        <w:t>the</w:t>
      </w:r>
      <w:r>
        <w:t xml:space="preserve"> </w:t>
      </w:r>
      <w:r w:rsidR="00240C90">
        <w:t>ARPC</w:t>
      </w:r>
      <w:bookmarkEnd w:id="92"/>
      <w:bookmarkEnd w:id="93"/>
      <w:bookmarkEnd w:id="94"/>
      <w:bookmarkEnd w:id="95"/>
      <w:bookmarkEnd w:id="96"/>
      <w:bookmarkEnd w:id="97"/>
      <w:bookmarkEnd w:id="98"/>
      <w:bookmarkEnd w:id="99"/>
      <w:bookmarkEnd w:id="102"/>
      <w:bookmarkEnd w:id="103"/>
      <w:bookmarkEnd w:id="101"/>
    </w:p>
    <w:p w14:paraId="5D913779" w14:textId="77777777" w:rsidR="00FE549F" w:rsidRPr="00B4027E" w:rsidRDefault="00FE549F" w:rsidP="00843660">
      <w:pPr>
        <w:pStyle w:val="Heading2"/>
      </w:pPr>
      <w:bookmarkStart w:id="104" w:name="_Toc437877556"/>
      <w:r>
        <w:t>Iss</w:t>
      </w:r>
      <w:r w:rsidRPr="006367E9">
        <w:t>ue</w:t>
      </w:r>
      <w:bookmarkEnd w:id="104"/>
      <w:r w:rsidR="002539F8">
        <w:t xml:space="preserve"> </w:t>
      </w:r>
    </w:p>
    <w:p w14:paraId="270A094E" w14:textId="696D1C6E" w:rsidR="00A602EB" w:rsidRDefault="00817157" w:rsidP="00755335">
      <w:r>
        <w:t>While the Act and the ARPC are necessary and likely to be so over the longer term, there may be</w:t>
      </w:r>
      <w:r w:rsidR="00A602EB">
        <w:t xml:space="preserve"> alternative</w:t>
      </w:r>
      <w:r w:rsidR="00FE549F" w:rsidRPr="009104A5">
        <w:t xml:space="preserve"> options </w:t>
      </w:r>
      <w:r w:rsidR="00E87539">
        <w:t xml:space="preserve">available </w:t>
      </w:r>
      <w:r w:rsidR="00FE549F" w:rsidRPr="009104A5">
        <w:t>for ownership of the ARPC</w:t>
      </w:r>
      <w:r>
        <w:t>. This chapter considers alternative options for the ARPC and</w:t>
      </w:r>
      <w:r w:rsidR="00804745">
        <w:t xml:space="preserve"> </w:t>
      </w:r>
      <w:r w:rsidR="00A602EB">
        <w:t xml:space="preserve">whether </w:t>
      </w:r>
      <w:r>
        <w:t>the</w:t>
      </w:r>
      <w:r w:rsidR="00A602EB">
        <w:t xml:space="preserve"> ownership </w:t>
      </w:r>
      <w:r w:rsidR="00804745">
        <w:t xml:space="preserve">or administration </w:t>
      </w:r>
      <w:r w:rsidR="00A602EB">
        <w:t xml:space="preserve">structure should be </w:t>
      </w:r>
      <w:r>
        <w:t>changed</w:t>
      </w:r>
      <w:r w:rsidR="00A602EB">
        <w:t>.</w:t>
      </w:r>
    </w:p>
    <w:p w14:paraId="4713C1D6" w14:textId="77777777" w:rsidR="004B263D" w:rsidRPr="004B263D" w:rsidRDefault="004B263D" w:rsidP="00843660">
      <w:pPr>
        <w:pStyle w:val="Heading2"/>
      </w:pPr>
      <w:bookmarkStart w:id="105" w:name="_Toc437877557"/>
      <w:r>
        <w:t>Recommendation</w:t>
      </w:r>
      <w:bookmarkEnd w:id="105"/>
    </w:p>
    <w:p w14:paraId="0C21ECBE" w14:textId="77777777" w:rsidR="00804745" w:rsidRDefault="00804745" w:rsidP="00755335">
      <w:r>
        <w:rPr>
          <w:noProof/>
        </w:rPr>
        <mc:AlternateContent>
          <mc:Choice Requires="wps">
            <w:drawing>
              <wp:anchor distT="0" distB="0" distL="114300" distR="114300" simplePos="0" relativeHeight="251658242" behindDoc="0" locked="0" layoutInCell="1" allowOverlap="1" wp14:anchorId="7EBA10D3" wp14:editId="2757310B">
                <wp:simplePos x="0" y="0"/>
                <wp:positionH relativeFrom="column">
                  <wp:align>center</wp:align>
                </wp:positionH>
                <wp:positionV relativeFrom="paragraph">
                  <wp:posOffset>0</wp:posOffset>
                </wp:positionV>
                <wp:extent cx="5257800" cy="5048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5048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BA9F5EC" w14:textId="322F3EC9" w:rsidR="00036AEB" w:rsidRDefault="00036AEB">
                            <w:r w:rsidRPr="00804745">
                              <w:rPr>
                                <w:i/>
                              </w:rPr>
                              <w:t>Recommendation 2</w:t>
                            </w:r>
                            <w:r>
                              <w:t xml:space="preserve">: </w:t>
                            </w:r>
                            <w:r w:rsidRPr="00804745">
                              <w:t xml:space="preserve">That the current administration structure of the ARPC as set out in the Act be retained.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0;width:414pt;height:39.75pt;z-index:25165824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" fillcolor="white [3201]" strokecolor="#4f81bd [3204]" strokeweight="2pt">
                <v:textbox>
                  <w:txbxContent>
                    <w:p w14:paraId="3BA9F5EC" w14:textId="322F3EC9" w:rsidR="00036AEB" w:rsidRDefault="00036AEB">
                      <w:r w:rsidRPr="00804745">
                        <w:rPr>
                          <w:i/>
                        </w:rPr>
                        <w:t>Recommendation 2</w:t>
                      </w:r>
                      <w:r>
                        <w:t xml:space="preserve">: </w:t>
                      </w:r>
                      <w:r w:rsidRPr="00804745">
                        <w:t xml:space="preserve">That the current administration structure of the ARPC as set out in the Act be retained.   </w:t>
                      </w:r>
                    </w:p>
                  </w:txbxContent>
                </v:textbox>
              </v:shape>
            </w:pict>
          </mc:Fallback>
        </mc:AlternateContent>
      </w:r>
    </w:p>
    <w:p w14:paraId="04652CF7" w14:textId="77777777" w:rsidR="00804745" w:rsidRDefault="00804745" w:rsidP="00843660">
      <w:pPr>
        <w:pStyle w:val="Heading2"/>
      </w:pPr>
    </w:p>
    <w:p w14:paraId="0AF3CFAC" w14:textId="77777777" w:rsidR="00240C90" w:rsidRPr="00734A1D" w:rsidRDefault="00DC41E1" w:rsidP="00843660">
      <w:pPr>
        <w:pStyle w:val="Heading2"/>
      </w:pPr>
      <w:bookmarkStart w:id="106" w:name="_Toc437877558"/>
      <w:r>
        <w:t>Assessment</w:t>
      </w:r>
      <w:bookmarkEnd w:id="106"/>
    </w:p>
    <w:p w14:paraId="4672AB63" w14:textId="58D94146" w:rsidR="00BA6A4F" w:rsidRDefault="00BA6A4F" w:rsidP="00755335">
      <w:r>
        <w:t>The introduction of the scheme in 200</w:t>
      </w:r>
      <w:r w:rsidR="00C40FB9">
        <w:t>3</w:t>
      </w:r>
      <w:r>
        <w:t xml:space="preserve"> was to counter a significant impact on economic activity</w:t>
      </w:r>
      <w:r w:rsidR="000670D2">
        <w:t xml:space="preserve"> </w:t>
      </w:r>
      <w:r>
        <w:t xml:space="preserve">due to a lack of insurance for </w:t>
      </w:r>
      <w:r w:rsidRPr="00F46513">
        <w:rPr>
          <w:rFonts w:cstheme="minorHAnsi"/>
        </w:rPr>
        <w:t>commercial property and associated business interruption losses and public liability claims</w:t>
      </w:r>
      <w:r>
        <w:rPr>
          <w:rFonts w:cstheme="minorHAnsi"/>
        </w:rPr>
        <w:t>.</w:t>
      </w:r>
      <w:r>
        <w:t xml:space="preserve"> At the time, it was recognised that creation of the ARPC, a government</w:t>
      </w:r>
      <w:r w:rsidR="008A07A0">
        <w:noBreakHyphen/>
      </w:r>
      <w:r>
        <w:t xml:space="preserve">owned statutory corporation, would increase </w:t>
      </w:r>
      <w:r w:rsidR="00B97B26">
        <w:t>g</w:t>
      </w:r>
      <w:r>
        <w:t>overnment involvement in the insurance market, operate as a competitor to private</w:t>
      </w:r>
      <w:r w:rsidR="008A07A0">
        <w:noBreakHyphen/>
      </w:r>
      <w:r>
        <w:t xml:space="preserve">sector reinsurers, and increase the risk faced by the </w:t>
      </w:r>
      <w:r w:rsidR="00B97B26">
        <w:t>g</w:t>
      </w:r>
      <w:r>
        <w:t>overnment through the provision of a government guarantee. For these reasons, the scheme was intended to be temporary until a market</w:t>
      </w:r>
      <w:r w:rsidR="008A07A0">
        <w:noBreakHyphen/>
      </w:r>
      <w:r>
        <w:t>based solution re</w:t>
      </w:r>
      <w:r w:rsidR="008A07A0">
        <w:noBreakHyphen/>
      </w:r>
      <w:r>
        <w:t>emerged.</w:t>
      </w:r>
    </w:p>
    <w:p w14:paraId="3825CDC1" w14:textId="3AF5CDD9" w:rsidR="00BA6A4F" w:rsidRPr="00A602EB" w:rsidRDefault="00890F2D" w:rsidP="00755335">
      <w:r>
        <w:t>This</w:t>
      </w:r>
      <w:r w:rsidR="00B7715C">
        <w:t xml:space="preserve"> review finds that there is no near</w:t>
      </w:r>
      <w:r w:rsidR="008A07A0">
        <w:noBreakHyphen/>
      </w:r>
      <w:r w:rsidR="00B7715C">
        <w:t xml:space="preserve">term possibility of </w:t>
      </w:r>
      <w:r w:rsidR="0029060C">
        <w:t>a</w:t>
      </w:r>
      <w:r w:rsidR="00B7715C">
        <w:t xml:space="preserve"> market</w:t>
      </w:r>
      <w:r w:rsidR="0029060C">
        <w:t xml:space="preserve">-based solution emerging and that the scheme should continue.  However, the </w:t>
      </w:r>
      <w:proofErr w:type="gramStart"/>
      <w:r w:rsidR="0029060C">
        <w:t>review also considers whether there is scope for</w:t>
      </w:r>
      <w:r w:rsidR="00B7715C">
        <w:t xml:space="preserve"> alternative ownership </w:t>
      </w:r>
      <w:r w:rsidR="0029060C">
        <w:t xml:space="preserve">or administration </w:t>
      </w:r>
      <w:r w:rsidR="00B7715C">
        <w:t xml:space="preserve">structures for the ARPC that </w:t>
      </w:r>
      <w:r w:rsidR="0029060C">
        <w:t>might</w:t>
      </w:r>
      <w:r w:rsidR="00B7715C">
        <w:t xml:space="preserve"> increase industry responsibility for the scheme</w:t>
      </w:r>
      <w:r w:rsidR="008A07A0">
        <w:t>’</w:t>
      </w:r>
      <w:r w:rsidR="00B7715C">
        <w:t xml:space="preserve">s continued operation, </w:t>
      </w:r>
      <w:r w:rsidR="0029060C">
        <w:t>and facilitate</w:t>
      </w:r>
      <w:proofErr w:type="gramEnd"/>
      <w:r w:rsidR="0029060C">
        <w:t xml:space="preserve"> a gradual wit</w:t>
      </w:r>
      <w:r w:rsidR="00B97B26">
        <w:t>hdrawal from the market by the g</w:t>
      </w:r>
      <w:r w:rsidR="0029060C">
        <w:t>overnment. An e</w:t>
      </w:r>
      <w:r w:rsidR="00B7715C">
        <w:t>xternal consulting firm</w:t>
      </w:r>
      <w:r w:rsidR="0029060C">
        <w:t>,</w:t>
      </w:r>
      <w:r w:rsidR="00B7715C">
        <w:t xml:space="preserve"> </w:t>
      </w:r>
      <w:proofErr w:type="spellStart"/>
      <w:r w:rsidR="00B7715C">
        <w:t>Pottinger</w:t>
      </w:r>
      <w:proofErr w:type="spellEnd"/>
      <w:r w:rsidR="0029060C">
        <w:t>,</w:t>
      </w:r>
      <w:r w:rsidR="00B7715C">
        <w:t xml:space="preserve"> was engaged by Treasury to provide advice on alternatives for this review</w:t>
      </w:r>
      <w:r w:rsidR="00DC065C">
        <w:t xml:space="preserve"> (</w:t>
      </w:r>
      <w:r w:rsidR="0089533B">
        <w:t>report attached as Annex A</w:t>
      </w:r>
      <w:r w:rsidR="00DC065C">
        <w:t>)</w:t>
      </w:r>
      <w:r w:rsidR="00B7715C">
        <w:t>.</w:t>
      </w:r>
    </w:p>
    <w:p w14:paraId="1D534852" w14:textId="101D21A1" w:rsidR="00980394" w:rsidRDefault="005363E0" w:rsidP="00755335">
      <w:proofErr w:type="spellStart"/>
      <w:r>
        <w:t>Pottinger</w:t>
      </w:r>
      <w:r w:rsidR="00B837E1">
        <w:t>’s</w:t>
      </w:r>
      <w:proofErr w:type="spellEnd"/>
      <w:r>
        <w:t xml:space="preserve"> report canvasses ownership </w:t>
      </w:r>
      <w:r w:rsidR="0029060C">
        <w:t xml:space="preserve">and administration </w:t>
      </w:r>
      <w:r>
        <w:t xml:space="preserve">structures used </w:t>
      </w:r>
      <w:r w:rsidR="0029060C">
        <w:t xml:space="preserve">for similar schemes </w:t>
      </w:r>
      <w:r>
        <w:t xml:space="preserve">overseas and </w:t>
      </w:r>
      <w:r w:rsidR="0029060C">
        <w:t>considers costs and benefits i</w:t>
      </w:r>
      <w:r>
        <w:t xml:space="preserve">f these options </w:t>
      </w:r>
      <w:r w:rsidR="0029060C">
        <w:t xml:space="preserve">were to be adapted for use </w:t>
      </w:r>
      <w:r>
        <w:t xml:space="preserve">in the Australian context. </w:t>
      </w:r>
      <w:r w:rsidR="0029060C">
        <w:t xml:space="preserve">Drawing on </w:t>
      </w:r>
      <w:proofErr w:type="spellStart"/>
      <w:r w:rsidR="0029060C">
        <w:t>Pottinger’s</w:t>
      </w:r>
      <w:proofErr w:type="spellEnd"/>
      <w:r w:rsidR="0029060C">
        <w:t xml:space="preserve"> work, t</w:t>
      </w:r>
      <w:r w:rsidR="00BB5CF8">
        <w:t xml:space="preserve">his review considers two </w:t>
      </w:r>
      <w:r w:rsidR="00DC41E1">
        <w:t xml:space="preserve">broad </w:t>
      </w:r>
      <w:r w:rsidR="00BB5CF8">
        <w:t xml:space="preserve">alternative options for ownership of the ARPC that would allow for significantly lower </w:t>
      </w:r>
      <w:r w:rsidR="00B97B26">
        <w:t>g</w:t>
      </w:r>
      <w:r w:rsidR="00BB5CF8">
        <w:t xml:space="preserve">overnment involvement: a private sale and a mutual structure. If one of these options were to be pursued, a transition </w:t>
      </w:r>
      <w:r w:rsidR="00D23C8D">
        <w:t xml:space="preserve">plan </w:t>
      </w:r>
      <w:r w:rsidR="00A602EB">
        <w:t xml:space="preserve">would need to </w:t>
      </w:r>
      <w:r w:rsidR="00D23C8D">
        <w:t>be established</w:t>
      </w:r>
      <w:r w:rsidR="00BB5CF8">
        <w:t xml:space="preserve"> to ensure the success of the transfer.</w:t>
      </w:r>
    </w:p>
    <w:p w14:paraId="1F0A3826" w14:textId="62D039CC" w:rsidR="00834239" w:rsidRDefault="00834239" w:rsidP="00755335">
      <w:r>
        <w:t xml:space="preserve">Both options </w:t>
      </w:r>
      <w:r w:rsidR="004538EC">
        <w:t xml:space="preserve">presented here </w:t>
      </w:r>
      <w:r>
        <w:t xml:space="preserve">retain a mechanism to pool risk. Terrorism risk is different to other insurable risks as the potential loss from a single event is very high, events happen at very low frequency and are unpredictable, and the actions of the </w:t>
      </w:r>
      <w:r w:rsidR="00B97B26">
        <w:t>g</w:t>
      </w:r>
      <w:r>
        <w:t xml:space="preserve">overnment can have an impact on the probability of an event. The </w:t>
      </w:r>
      <w:proofErr w:type="spellStart"/>
      <w:r>
        <w:t>Pottinger</w:t>
      </w:r>
      <w:proofErr w:type="spellEnd"/>
      <w:r>
        <w:t xml:space="preserve"> report concludes that a risk pool, such as </w:t>
      </w:r>
      <w:r w:rsidR="00B837E1">
        <w:t xml:space="preserve">the one </w:t>
      </w:r>
      <w:r>
        <w:t>operated by the ARPC, is the most cost</w:t>
      </w:r>
      <w:r w:rsidR="008A07A0">
        <w:noBreakHyphen/>
      </w:r>
      <w:r>
        <w:t xml:space="preserve">efficient way to provide access to retrocession markets. The report </w:t>
      </w:r>
      <w:r w:rsidR="00F12530">
        <w:lastRenderedPageBreak/>
        <w:t>concludes</w:t>
      </w:r>
      <w:r>
        <w:t xml:space="preserve"> that the same level of retrocessions may not be available to individual insurers outside a risk pool.</w:t>
      </w:r>
      <w:r>
        <w:rPr>
          <w:rStyle w:val="FootnoteReference"/>
        </w:rPr>
        <w:footnoteReference w:id="10"/>
      </w:r>
      <w:r w:rsidR="00C40FB9">
        <w:t xml:space="preserve">  This view was reinforced in consultations with the industry.</w:t>
      </w:r>
    </w:p>
    <w:p w14:paraId="615B3FB6" w14:textId="3803677E" w:rsidR="007C177B" w:rsidRDefault="00834239" w:rsidP="00755335">
      <w:r>
        <w:t xml:space="preserve">Both options also contemplate the continuation of the government guarantee. </w:t>
      </w:r>
      <w:r w:rsidR="00F27515">
        <w:t>T</w:t>
      </w:r>
      <w:r>
        <w:t xml:space="preserve">he </w:t>
      </w:r>
      <w:proofErr w:type="spellStart"/>
      <w:r>
        <w:t>Pottinger</w:t>
      </w:r>
      <w:proofErr w:type="spellEnd"/>
      <w:r>
        <w:t xml:space="preserve"> report estimates that the private sector</w:t>
      </w:r>
      <w:r w:rsidR="00F12530">
        <w:t xml:space="preserve"> currently </w:t>
      </w:r>
      <w:r>
        <w:t>can provide only $3</w:t>
      </w:r>
      <w:r w:rsidR="00FE088B">
        <w:t xml:space="preserve"> billion</w:t>
      </w:r>
      <w:r w:rsidR="00F700FC">
        <w:t xml:space="preserve"> — $</w:t>
      </w:r>
      <w:r>
        <w:t xml:space="preserve">5 billion in </w:t>
      </w:r>
      <w:r w:rsidR="00F27515">
        <w:t xml:space="preserve">retrocession </w:t>
      </w:r>
      <w:r>
        <w:t>coverage for terrorism risk in Australia</w:t>
      </w:r>
      <w:r w:rsidR="00F27515">
        <w:t xml:space="preserve">, below the </w:t>
      </w:r>
      <w:r w:rsidR="007C177B">
        <w:t xml:space="preserve">current size of the scheme and the </w:t>
      </w:r>
      <w:r w:rsidR="00F27515">
        <w:t>estimated maximum losses under a single large terrorist incident</w:t>
      </w:r>
      <w:r>
        <w:t xml:space="preserve">. In the event of a terrorist incident where losses exceeded those covered by the private sector, it is likely that the </w:t>
      </w:r>
      <w:r w:rsidR="009C525F">
        <w:t>G</w:t>
      </w:r>
      <w:r>
        <w:t xml:space="preserve">overnment would be called upon to provide additional financial support. An explicit government guarantee reduces uncertainty, decreases insurance premiums, and ensures that the </w:t>
      </w:r>
      <w:r w:rsidR="00B97B26">
        <w:t>g</w:t>
      </w:r>
      <w:r>
        <w:t>overnment receives adequate compensation for the risk faced in acting as an insurer.</w:t>
      </w:r>
      <w:r w:rsidR="007C177B">
        <w:t xml:space="preserve"> Most foreign schemes have </w:t>
      </w:r>
      <w:r w:rsidR="00F12530">
        <w:t xml:space="preserve">some form of </w:t>
      </w:r>
      <w:r w:rsidR="007C177B">
        <w:t>government support.</w:t>
      </w:r>
    </w:p>
    <w:p w14:paraId="04A80908" w14:textId="77777777" w:rsidR="00DC41E1" w:rsidRPr="005E58A6" w:rsidRDefault="00DC41E1" w:rsidP="00843828">
      <w:pPr>
        <w:pStyle w:val="Heading3"/>
      </w:pPr>
      <w:r w:rsidRPr="005E58A6">
        <w:t>Sale of the ARPC by trade sale or initial public offering</w:t>
      </w:r>
    </w:p>
    <w:p w14:paraId="3D6F1833" w14:textId="07AADE95" w:rsidR="00F36C4E" w:rsidRDefault="00EB6EC1" w:rsidP="00755335">
      <w:r>
        <w:t>A p</w:t>
      </w:r>
      <w:r w:rsidR="00F36C4E">
        <w:t xml:space="preserve">rivate sale of the ARPC </w:t>
      </w:r>
      <w:r>
        <w:t xml:space="preserve">has the potential to reduce </w:t>
      </w:r>
      <w:r w:rsidR="00B97B26">
        <w:t>g</w:t>
      </w:r>
      <w:r w:rsidR="00F36C4E">
        <w:t>overnment involvement and risk</w:t>
      </w:r>
      <w:r w:rsidR="004538EC">
        <w:t xml:space="preserve"> taken by the </w:t>
      </w:r>
      <w:r w:rsidR="00B97B26">
        <w:t>g</w:t>
      </w:r>
      <w:r w:rsidR="004538EC">
        <w:t>overnment</w:t>
      </w:r>
      <w:r w:rsidR="00F36C4E">
        <w:t xml:space="preserve">, as well as realising value for the </w:t>
      </w:r>
      <w:r w:rsidR="00B97B26">
        <w:t>g</w:t>
      </w:r>
      <w:r w:rsidR="00F36C4E">
        <w:t>overnment that is currently tied up in the ARPC.</w:t>
      </w:r>
      <w:r>
        <w:t xml:space="preserve"> </w:t>
      </w:r>
      <w:r w:rsidR="00F27515">
        <w:t xml:space="preserve">The </w:t>
      </w:r>
      <w:r w:rsidR="00B97B26">
        <w:t>g</w:t>
      </w:r>
      <w:r w:rsidR="00F27515">
        <w:t>overnment</w:t>
      </w:r>
      <w:r w:rsidR="00442601">
        <w:t xml:space="preserve"> could </w:t>
      </w:r>
      <w:r w:rsidR="00F27515">
        <w:t xml:space="preserve">seek to retain majority ownership through a limited share offer or </w:t>
      </w:r>
      <w:r w:rsidR="004538EC">
        <w:t>pursue</w:t>
      </w:r>
      <w:r w:rsidR="00F27515">
        <w:t xml:space="preserve"> full privatisation</w:t>
      </w:r>
      <w:r>
        <w:t>.</w:t>
      </w:r>
      <w:r w:rsidR="00F27515">
        <w:t xml:space="preserve"> </w:t>
      </w:r>
    </w:p>
    <w:p w14:paraId="6A004161" w14:textId="2B171D47" w:rsidR="002F2F28" w:rsidRDefault="00DC41E1" w:rsidP="00755335">
      <w:r w:rsidRPr="004F25D4">
        <w:t>E</w:t>
      </w:r>
      <w:r>
        <w:t xml:space="preserve">stablishing </w:t>
      </w:r>
      <w:r w:rsidR="00C80F6A">
        <w:t xml:space="preserve">a likely purchase </w:t>
      </w:r>
      <w:r>
        <w:t xml:space="preserve">value for the ARPC is difficult without exact knowledge of how the scheme would operate after a sale. </w:t>
      </w:r>
      <w:r w:rsidR="002F2F28">
        <w:t xml:space="preserve">The factors to be considered include how much control the private entity would have over premiums and the ability of the purchaser to diversify risk; market sounding reports suggest that few market participants would be interested in purchasing an insurer that only covered terrorism risk. The value would also be affected by </w:t>
      </w:r>
      <w:r w:rsidR="00A750CA">
        <w:t xml:space="preserve">any </w:t>
      </w:r>
      <w:r w:rsidR="002F2F28">
        <w:t>minimum prudential capital requirements</w:t>
      </w:r>
      <w:r w:rsidR="00A750CA">
        <w:t xml:space="preserve"> that might be applied</w:t>
      </w:r>
      <w:r w:rsidR="002F2F28">
        <w:t>, required provisions for charges following a major claim, and whether the Act will continue to deem insurance cover for losses caused by terrorism inc</w:t>
      </w:r>
      <w:r w:rsidR="00FC1F7A">
        <w:t>idents into eligible contracts.</w:t>
      </w:r>
    </w:p>
    <w:p w14:paraId="26D912D0" w14:textId="3227A768" w:rsidR="004C0E03" w:rsidRDefault="00442601" w:rsidP="00755335">
      <w:r>
        <w:rPr>
          <w:rFonts w:cs="Arial"/>
        </w:rPr>
        <w:t xml:space="preserve">If the scheme </w:t>
      </w:r>
      <w:r w:rsidR="002F2F28">
        <w:rPr>
          <w:rFonts w:cs="Arial"/>
        </w:rPr>
        <w:t xml:space="preserve">settings remain as </w:t>
      </w:r>
      <w:r w:rsidR="00890F2D">
        <w:rPr>
          <w:rFonts w:cs="Arial"/>
        </w:rPr>
        <w:t>they are</w:t>
      </w:r>
      <w:r w:rsidR="00A750CA">
        <w:rPr>
          <w:rFonts w:cs="Arial"/>
        </w:rPr>
        <w:t xml:space="preserve">, </w:t>
      </w:r>
      <w:proofErr w:type="spellStart"/>
      <w:r w:rsidR="00DC41E1">
        <w:rPr>
          <w:rFonts w:cs="Arial"/>
        </w:rPr>
        <w:t>Pottinger</w:t>
      </w:r>
      <w:proofErr w:type="spellEnd"/>
      <w:r w:rsidR="00DC41E1">
        <w:rPr>
          <w:rFonts w:cs="Arial"/>
        </w:rPr>
        <w:t xml:space="preserve"> </w:t>
      </w:r>
      <w:r w:rsidR="00A750CA">
        <w:rPr>
          <w:rFonts w:cs="Arial"/>
        </w:rPr>
        <w:t>consider</w:t>
      </w:r>
      <w:r w:rsidR="00DC41E1">
        <w:rPr>
          <w:rFonts w:cs="Arial"/>
        </w:rPr>
        <w:t xml:space="preserve">s that private sector buyers would place little value on the ARPC. </w:t>
      </w:r>
      <w:r w:rsidR="00D24319">
        <w:rPr>
          <w:rFonts w:cs="Arial"/>
        </w:rPr>
        <w:t xml:space="preserve">The </w:t>
      </w:r>
      <w:proofErr w:type="spellStart"/>
      <w:r w:rsidR="00D24319">
        <w:t>Pottinger</w:t>
      </w:r>
      <w:proofErr w:type="spellEnd"/>
      <w:r w:rsidR="00D24319">
        <w:t xml:space="preserve"> report estimates that </w:t>
      </w:r>
      <w:r w:rsidR="00DC41E1">
        <w:t xml:space="preserve">the </w:t>
      </w:r>
      <w:r w:rsidR="007C177B">
        <w:t xml:space="preserve">current premium and cost structure of the </w:t>
      </w:r>
      <w:r w:rsidR="00DC41E1">
        <w:t>ARPC</w:t>
      </w:r>
      <w:r w:rsidR="00F36C4E">
        <w:t xml:space="preserve"> </w:t>
      </w:r>
      <w:r w:rsidR="00D24319">
        <w:t>would generate</w:t>
      </w:r>
      <w:r>
        <w:t xml:space="preserve"> </w:t>
      </w:r>
      <w:r w:rsidR="007C177B">
        <w:t>a</w:t>
      </w:r>
      <w:r w:rsidR="00DC41E1">
        <w:t xml:space="preserve"> return on </w:t>
      </w:r>
      <w:r w:rsidR="00EB6EC1">
        <w:t xml:space="preserve">equity </w:t>
      </w:r>
      <w:r w:rsidR="007C177B">
        <w:t xml:space="preserve">below that </w:t>
      </w:r>
      <w:r w:rsidR="00EB6EC1">
        <w:t>of other listed insurers</w:t>
      </w:r>
      <w:r w:rsidR="00DC41E1">
        <w:t>.</w:t>
      </w:r>
      <w:r w:rsidR="002F2F28">
        <w:t xml:space="preserve"> </w:t>
      </w:r>
      <w:r w:rsidR="00CE3EE8">
        <w:t>The</w:t>
      </w:r>
      <w:r w:rsidR="00980394">
        <w:t xml:space="preserve"> potential purchaser may </w:t>
      </w:r>
      <w:r w:rsidR="00CE3EE8">
        <w:t xml:space="preserve">also </w:t>
      </w:r>
      <w:r w:rsidR="00980394">
        <w:t xml:space="preserve">be required to inject capital into the ARPC </w:t>
      </w:r>
      <w:r w:rsidR="008D1906">
        <w:t xml:space="preserve">to meet prudential capital requirements </w:t>
      </w:r>
      <w:r w:rsidR="00980394">
        <w:t xml:space="preserve">if </w:t>
      </w:r>
      <w:r w:rsidR="00CE3EE8">
        <w:t>the ARPC</w:t>
      </w:r>
      <w:r w:rsidR="00980394">
        <w:t xml:space="preserve"> </w:t>
      </w:r>
      <w:r w:rsidR="00616E43">
        <w:t xml:space="preserve">was </w:t>
      </w:r>
      <w:r w:rsidR="00980394">
        <w:t>privately owned</w:t>
      </w:r>
      <w:r w:rsidR="00CE3EE8">
        <w:t>, lowering the value to a potential purchaser</w:t>
      </w:r>
      <w:r w:rsidR="00FE088B">
        <w:t>.</w:t>
      </w:r>
    </w:p>
    <w:p w14:paraId="70B3709A" w14:textId="77777777" w:rsidR="00742E58" w:rsidRDefault="00980394" w:rsidP="00755335">
      <w:r>
        <w:t xml:space="preserve">While the settings of the scheme can be changed to facilitate a sale, </w:t>
      </w:r>
      <w:r w:rsidR="004C0E03">
        <w:t xml:space="preserve">a clear transition plan to establish and maintain the value </w:t>
      </w:r>
      <w:r w:rsidR="00FE088B">
        <w:t>of the ARPC would be required.</w:t>
      </w:r>
    </w:p>
    <w:p w14:paraId="2EF3C93E" w14:textId="77777777" w:rsidR="00F27515" w:rsidRPr="004538EC" w:rsidRDefault="004C0E03" w:rsidP="00755335">
      <w:r>
        <w:t xml:space="preserve">A </w:t>
      </w:r>
      <w:r w:rsidR="004538EC">
        <w:t>significant</w:t>
      </w:r>
      <w:r w:rsidR="00834239">
        <w:t xml:space="preserve"> </w:t>
      </w:r>
      <w:r>
        <w:t>policy issue is that a privately</w:t>
      </w:r>
      <w:r w:rsidR="008A07A0">
        <w:noBreakHyphen/>
      </w:r>
      <w:r>
        <w:t>owned ARPC would likely operate as the sole provider of terrorism reinsurance in Australia</w:t>
      </w:r>
      <w:r w:rsidR="00AE0280">
        <w:t xml:space="preserve">. Creation of a systemically important financial institution operating as a monopoly </w:t>
      </w:r>
      <w:r w:rsidR="00834239">
        <w:t xml:space="preserve">provider of terrorism reinsurance </w:t>
      </w:r>
      <w:r w:rsidR="00742E58">
        <w:t xml:space="preserve">may trigger </w:t>
      </w:r>
      <w:r w:rsidR="00834239">
        <w:t>financial system stability concerns. In particular, it may be necessary to identify</w:t>
      </w:r>
      <w:r w:rsidR="00983AF1">
        <w:t xml:space="preserve"> how the entity would recapitalise after a large claim</w:t>
      </w:r>
      <w:r w:rsidR="00AE0280">
        <w:t>.</w:t>
      </w:r>
      <w:r w:rsidR="00F27515">
        <w:t xml:space="preserve"> </w:t>
      </w:r>
      <w:r w:rsidR="00CE3EE8">
        <w:t>Privatisation may also impact on the prudential capital requirements of insurers reinsuring with the ARPC.</w:t>
      </w:r>
    </w:p>
    <w:p w14:paraId="597C2EC2" w14:textId="77777777" w:rsidR="007D4A78" w:rsidRPr="00FE266A" w:rsidRDefault="007D4A78" w:rsidP="00843828">
      <w:pPr>
        <w:pStyle w:val="Heading3"/>
      </w:pPr>
      <w:r w:rsidRPr="004B53C1">
        <w:lastRenderedPageBreak/>
        <w:t>Transfer to a mutual structure</w:t>
      </w:r>
    </w:p>
    <w:p w14:paraId="0C1A9D26" w14:textId="65F239D3" w:rsidR="0073085A" w:rsidRPr="00ED78DD" w:rsidRDefault="00D6783D" w:rsidP="00755335">
      <w:r>
        <w:t xml:space="preserve">A second </w:t>
      </w:r>
      <w:r w:rsidR="004538EC">
        <w:t>o</w:t>
      </w:r>
      <w:r w:rsidR="0081626C">
        <w:t>ption is for the ARPC to adopt</w:t>
      </w:r>
      <w:r>
        <w:t xml:space="preserve"> a mutual structure</w:t>
      </w:r>
      <w:r w:rsidR="0081626C">
        <w:t xml:space="preserve">.  Members could be </w:t>
      </w:r>
      <w:r>
        <w:t xml:space="preserve">either the </w:t>
      </w:r>
      <w:r w:rsidR="0081626C">
        <w:t xml:space="preserve">property insurers or </w:t>
      </w:r>
      <w:r>
        <w:t xml:space="preserve">the insured property holders. </w:t>
      </w:r>
      <w:r w:rsidR="00D01296">
        <w:t>An i</w:t>
      </w:r>
      <w:r w:rsidR="00D01296" w:rsidRPr="00ED78DD">
        <w:t>nternational precedent exist</w:t>
      </w:r>
      <w:r w:rsidR="00D01296">
        <w:t>s</w:t>
      </w:r>
      <w:r w:rsidR="00D01296" w:rsidRPr="00ED78DD">
        <w:t xml:space="preserve"> for </w:t>
      </w:r>
      <w:r w:rsidR="00D01296">
        <w:t xml:space="preserve">a mutual structure owned by insurers </w:t>
      </w:r>
      <w:r w:rsidR="0081626C">
        <w:t>-</w:t>
      </w:r>
      <w:r w:rsidR="00D01296">
        <w:t xml:space="preserve"> the UK </w:t>
      </w:r>
      <w:r w:rsidR="00C40FB9">
        <w:t xml:space="preserve">Pool Re </w:t>
      </w:r>
      <w:r w:rsidR="00D01296">
        <w:t>scheme</w:t>
      </w:r>
      <w:r w:rsidR="006B239B">
        <w:t>.</w:t>
      </w:r>
    </w:p>
    <w:p w14:paraId="740B7805" w14:textId="595F2AAB" w:rsidR="009739E6" w:rsidRPr="00ED78DD" w:rsidRDefault="00D6783D" w:rsidP="00755335">
      <w:r>
        <w:t>M</w:t>
      </w:r>
      <w:r w:rsidRPr="00ED78DD">
        <w:t xml:space="preserve">utualisation </w:t>
      </w:r>
      <w:r>
        <w:t>of the ARPC offers several advantages. It could</w:t>
      </w:r>
      <w:r w:rsidR="007D4A78" w:rsidRPr="00ED78DD">
        <w:t xml:space="preserve"> increase industry </w:t>
      </w:r>
      <w:r>
        <w:t xml:space="preserve">involvement and </w:t>
      </w:r>
      <w:r w:rsidR="007D4A78" w:rsidRPr="00ED78DD">
        <w:t>responsibility</w:t>
      </w:r>
      <w:r w:rsidR="00D01296">
        <w:t xml:space="preserve"> </w:t>
      </w:r>
      <w:r>
        <w:t>and align incentives</w:t>
      </w:r>
      <w:r w:rsidR="00382239" w:rsidRPr="00ED78DD">
        <w:t xml:space="preserve"> between the </w:t>
      </w:r>
      <w:r>
        <w:t>administrators</w:t>
      </w:r>
      <w:r w:rsidR="00382239" w:rsidRPr="00ED78DD">
        <w:t xml:space="preserve"> of the scheme and those who benefit from the availability of terrorism insurance.</w:t>
      </w:r>
      <w:r w:rsidR="00D01296">
        <w:t xml:space="preserve"> The private sector would also take a much larger role in operating the scheme, reducing the administrative burden on the </w:t>
      </w:r>
      <w:r w:rsidR="00B97B26">
        <w:t>g</w:t>
      </w:r>
      <w:r w:rsidR="00D01296">
        <w:t>overnment</w:t>
      </w:r>
      <w:r w:rsidR="008A07A0">
        <w:t xml:space="preserve">. </w:t>
      </w:r>
      <w:r w:rsidR="00D01296">
        <w:t xml:space="preserve">However, </w:t>
      </w:r>
      <w:r w:rsidR="00D01296" w:rsidRPr="00ED78DD">
        <w:t>mutualisation is unlikely to</w:t>
      </w:r>
      <w:r w:rsidR="00B97B26">
        <w:t xml:space="preserve"> reduce the risks faced by the g</w:t>
      </w:r>
      <w:r w:rsidR="00D01296" w:rsidRPr="00ED78DD">
        <w:t xml:space="preserve">overnment. </w:t>
      </w:r>
      <w:r w:rsidR="00D01296">
        <w:t>As discussed, for the</w:t>
      </w:r>
      <w:r w:rsidR="00DC5EFB">
        <w:t xml:space="preserve"> capacity</w:t>
      </w:r>
      <w:r w:rsidR="00D01296">
        <w:t xml:space="preserve"> of the scheme to be maintained</w:t>
      </w:r>
      <w:r w:rsidR="00225624">
        <w:t>,</w:t>
      </w:r>
      <w:r w:rsidR="00D01296">
        <w:t xml:space="preserve"> a government guarantee would be required. Existing mutual schemes overseas also receive government support.</w:t>
      </w:r>
    </w:p>
    <w:p w14:paraId="77084103" w14:textId="29D51797" w:rsidR="00F27515" w:rsidRDefault="00F27515" w:rsidP="00755335">
      <w:r>
        <w:t>A</w:t>
      </w:r>
      <w:r w:rsidR="00D70F3F">
        <w:t>gain</w:t>
      </w:r>
      <w:r>
        <w:t xml:space="preserve"> </w:t>
      </w:r>
      <w:proofErr w:type="spellStart"/>
      <w:r>
        <w:t>Pottinger</w:t>
      </w:r>
      <w:proofErr w:type="spellEnd"/>
      <w:r>
        <w:t xml:space="preserve"> </w:t>
      </w:r>
      <w:r w:rsidR="00D70F3F">
        <w:t>considers</w:t>
      </w:r>
      <w:r>
        <w:t xml:space="preserve"> that clarification of uncertain aspects of the scheme would </w:t>
      </w:r>
      <w:r w:rsidR="004538EC">
        <w:t>be required</w:t>
      </w:r>
      <w:r w:rsidR="00CA2C94">
        <w:t xml:space="preserve"> before the scheme could be mutualised</w:t>
      </w:r>
      <w:r>
        <w:t xml:space="preserve">. This list includes </w:t>
      </w:r>
      <w:r w:rsidR="00CA2C94">
        <w:t>clarification of the regulatory framework for</w:t>
      </w:r>
      <w:r>
        <w:t xml:space="preserve"> the mutual structure and </w:t>
      </w:r>
      <w:r w:rsidR="00CA2C94">
        <w:t xml:space="preserve">any </w:t>
      </w:r>
      <w:r>
        <w:t xml:space="preserve">regulatory capital requirements; </w:t>
      </w:r>
      <w:r w:rsidR="005363E0">
        <w:t>the mutual</w:t>
      </w:r>
      <w:r w:rsidR="00CA2C94">
        <w:t xml:space="preserve"> entity’s</w:t>
      </w:r>
      <w:r w:rsidR="005363E0">
        <w:t xml:space="preserve"> ability to set prices</w:t>
      </w:r>
      <w:r>
        <w:t xml:space="preserve">; </w:t>
      </w:r>
      <w:r w:rsidR="00CA2C94">
        <w:t xml:space="preserve">the process for </w:t>
      </w:r>
      <w:r>
        <w:t xml:space="preserve">recapitalisation after a large claim; </w:t>
      </w:r>
      <w:r w:rsidR="00A84D68">
        <w:t xml:space="preserve">the nature of the government guarantee; </w:t>
      </w:r>
      <w:r>
        <w:t xml:space="preserve">and </w:t>
      </w:r>
      <w:r w:rsidR="00CA2C94">
        <w:t xml:space="preserve">the </w:t>
      </w:r>
      <w:r>
        <w:t xml:space="preserve">coverage of the scheme. In addition, the governance and voting rights within a mutual would need to be considered </w:t>
      </w:r>
      <w:r w:rsidR="005363E0">
        <w:t xml:space="preserve">to ensure </w:t>
      </w:r>
      <w:r w:rsidR="00CA2C94">
        <w:t xml:space="preserve">the </w:t>
      </w:r>
      <w:r w:rsidR="005363E0">
        <w:rPr>
          <w:rFonts w:cs="Calibri"/>
        </w:rPr>
        <w:t>appropriate balance of interest</w:t>
      </w:r>
      <w:r w:rsidR="00CA2C94">
        <w:rPr>
          <w:rFonts w:cs="Calibri"/>
        </w:rPr>
        <w:t>s</w:t>
      </w:r>
      <w:r w:rsidR="005363E0">
        <w:rPr>
          <w:rFonts w:cs="Calibri"/>
        </w:rPr>
        <w:t xml:space="preserve"> between stakeholders</w:t>
      </w:r>
      <w:r w:rsidR="00D70F3F">
        <w:t>. A comprehensive</w:t>
      </w:r>
      <w:r>
        <w:t xml:space="preserve"> transition plan would be required to ensure the success of </w:t>
      </w:r>
      <w:r w:rsidR="00D70F3F">
        <w:t>any</w:t>
      </w:r>
      <w:r>
        <w:t xml:space="preserve"> </w:t>
      </w:r>
      <w:r w:rsidR="009739E6" w:rsidRPr="00ED78DD">
        <w:t>mutualisation</w:t>
      </w:r>
      <w:r w:rsidR="00FC1F7A">
        <w:t>.</w:t>
      </w:r>
    </w:p>
    <w:p w14:paraId="12B31132" w14:textId="420698DE" w:rsidR="00C747CE" w:rsidRDefault="00F27515" w:rsidP="00755335">
      <w:r>
        <w:t>M</w:t>
      </w:r>
      <w:r w:rsidR="00C747CE">
        <w:t>utualisation</w:t>
      </w:r>
      <w:r w:rsidR="009739E6" w:rsidRPr="00ED78DD">
        <w:t xml:space="preserve"> </w:t>
      </w:r>
      <w:r w:rsidR="00C747CE">
        <w:t xml:space="preserve">would not necessarily release capital to the </w:t>
      </w:r>
      <w:r w:rsidR="00B97B26">
        <w:t>g</w:t>
      </w:r>
      <w:r w:rsidR="00C747CE">
        <w:t xml:space="preserve">overnment. </w:t>
      </w:r>
      <w:r w:rsidR="00284B04">
        <w:t xml:space="preserve">The </w:t>
      </w:r>
      <w:proofErr w:type="spellStart"/>
      <w:r w:rsidR="00284B04">
        <w:t>Pottinger</w:t>
      </w:r>
      <w:proofErr w:type="spellEnd"/>
      <w:r w:rsidR="00284B04">
        <w:t xml:space="preserve"> report argues that</w:t>
      </w:r>
      <w:r w:rsidR="00C747CE">
        <w:t xml:space="preserve"> </w:t>
      </w:r>
      <w:r w:rsidR="00C40FB9">
        <w:t xml:space="preserve">a </w:t>
      </w:r>
      <w:r w:rsidR="00C747CE">
        <w:t xml:space="preserve">mutual structure </w:t>
      </w:r>
      <w:r w:rsidR="00D01296">
        <w:t>may</w:t>
      </w:r>
      <w:r w:rsidR="007E22BD">
        <w:t xml:space="preserve"> be</w:t>
      </w:r>
      <w:r w:rsidR="00C747CE">
        <w:t xml:space="preserve"> subject to prudential capital requirements </w:t>
      </w:r>
      <w:r w:rsidR="00284B04">
        <w:t xml:space="preserve">or may wish to hold capital </w:t>
      </w:r>
      <w:r w:rsidR="00C747CE">
        <w:t>in a similar way to a private entity. One implication is that</w:t>
      </w:r>
      <w:r w:rsidR="00C747CE" w:rsidRPr="00ED78DD">
        <w:t xml:space="preserve"> it may be necessary for the </w:t>
      </w:r>
      <w:r w:rsidR="00B97B26">
        <w:t>g</w:t>
      </w:r>
      <w:r w:rsidR="00C747CE" w:rsidRPr="00ED78DD">
        <w:t xml:space="preserve">overnment to </w:t>
      </w:r>
      <w:r w:rsidR="008A07A0">
        <w:t>‘</w:t>
      </w:r>
      <w:r w:rsidR="00C747CE" w:rsidRPr="00ED78DD">
        <w:t>gift</w:t>
      </w:r>
      <w:r w:rsidR="008A07A0">
        <w:t>’</w:t>
      </w:r>
      <w:r w:rsidR="00C747CE" w:rsidRPr="00ED78DD">
        <w:t xml:space="preserve"> </w:t>
      </w:r>
      <w:r w:rsidR="00C747CE">
        <w:t>the existing</w:t>
      </w:r>
      <w:r w:rsidR="00C747CE" w:rsidRPr="00ED78DD">
        <w:t xml:space="preserve"> capital to the scheme without compens</w:t>
      </w:r>
      <w:r w:rsidR="00FE088B">
        <w:t>ation.</w:t>
      </w:r>
    </w:p>
    <w:p w14:paraId="7AA75D70" w14:textId="4D436125" w:rsidR="007D4A78" w:rsidRPr="00FC1F7A" w:rsidRDefault="00057704" w:rsidP="00843828">
      <w:pPr>
        <w:pStyle w:val="Heading3"/>
      </w:pPr>
      <w:r>
        <w:t>Assessment</w:t>
      </w:r>
      <w:r w:rsidR="007D4A78" w:rsidRPr="004B53C1">
        <w:t xml:space="preserve"> </w:t>
      </w:r>
    </w:p>
    <w:p w14:paraId="4994E468" w14:textId="04C9C59A" w:rsidR="00057704" w:rsidRDefault="00057704" w:rsidP="00755335">
      <w:r>
        <w:t>The options outlined above may be viable in the longer term but do not present as at</w:t>
      </w:r>
      <w:r w:rsidR="00D71DA6">
        <w:t xml:space="preserve">tractive short-term solutions. </w:t>
      </w:r>
      <w:r>
        <w:t xml:space="preserve">None of the viable options identified by </w:t>
      </w:r>
      <w:proofErr w:type="spellStart"/>
      <w:r>
        <w:t>Pottinger</w:t>
      </w:r>
      <w:proofErr w:type="spellEnd"/>
      <w:r>
        <w:t xml:space="preserve"> involve complete withdrawal of government support, and would require major adjustments to the scheme, including heavily increasing the burden on the users of the scheme, if they were to release capital to the Commonwealth.</w:t>
      </w:r>
    </w:p>
    <w:p w14:paraId="01B88D53" w14:textId="1C751E77" w:rsidR="00234F28" w:rsidRDefault="00394736" w:rsidP="00755335">
      <w:r>
        <w:t xml:space="preserve">The current </w:t>
      </w:r>
      <w:r w:rsidR="00057704">
        <w:t xml:space="preserve">administrative </w:t>
      </w:r>
      <w:r>
        <w:t xml:space="preserve">structure is well </w:t>
      </w:r>
      <w:r w:rsidR="00A22A63">
        <w:t>established</w:t>
      </w:r>
      <w:r>
        <w:t xml:space="preserve"> and </w:t>
      </w:r>
      <w:r w:rsidR="00A22A63">
        <w:t>provid</w:t>
      </w:r>
      <w:r w:rsidR="00234F28">
        <w:t>es</w:t>
      </w:r>
      <w:r>
        <w:t xml:space="preserve"> terrorism </w:t>
      </w:r>
      <w:r w:rsidR="00A22A63">
        <w:t>insurance that cannot be provided to the same degree in the private market</w:t>
      </w:r>
      <w:r>
        <w:t xml:space="preserve">. </w:t>
      </w:r>
      <w:r w:rsidR="00234F28">
        <w:t>In addition, the current scheme provides a high level of cost</w:t>
      </w:r>
      <w:r w:rsidR="00234F28">
        <w:noBreakHyphen/>
        <w:t>effective access to international reinsurance markets for terrorism risk, with the ARPC being able to build a sizeable retrocession program.</w:t>
      </w:r>
      <w:r w:rsidR="007176BF">
        <w:t xml:space="preserve"> </w:t>
      </w:r>
      <w:r w:rsidR="006F23DD">
        <w:t>Market participants widely support the continuation of the current scheme in its structure and operation.</w:t>
      </w:r>
    </w:p>
    <w:p w14:paraId="20125164" w14:textId="3738FE28" w:rsidR="00234F28" w:rsidRDefault="007509DA" w:rsidP="00755335">
      <w:r>
        <w:t>Following</w:t>
      </w:r>
      <w:r w:rsidR="00234F28">
        <w:t xml:space="preserve"> the events </w:t>
      </w:r>
      <w:r>
        <w:t xml:space="preserve">at the Lindt Café </w:t>
      </w:r>
      <w:r w:rsidR="00234F28">
        <w:t>in Sydney</w:t>
      </w:r>
      <w:r w:rsidR="00C40FB9">
        <w:t xml:space="preserve"> in December 2014</w:t>
      </w:r>
      <w:r w:rsidR="00234F28">
        <w:t xml:space="preserve">, the scheme provided certainty to claimants and allowed for effective communication between industry and the </w:t>
      </w:r>
      <w:r w:rsidR="00B97B26">
        <w:t>g</w:t>
      </w:r>
      <w:r w:rsidR="00234F28">
        <w:t>overnment. Government control of the scheme ensures that the scheme will continue to be operated in the public interest</w:t>
      </w:r>
      <w:r w:rsidR="00093F06">
        <w:t>,</w:t>
      </w:r>
      <w:r w:rsidR="00234F28">
        <w:t xml:space="preserve"> </w:t>
      </w:r>
      <w:r w:rsidR="00093F06">
        <w:t>including in the event of a</w:t>
      </w:r>
      <w:r w:rsidR="00234F28">
        <w:t xml:space="preserve"> large claim.</w:t>
      </w:r>
    </w:p>
    <w:p w14:paraId="367F2FB0" w14:textId="72976267" w:rsidR="000022E1" w:rsidRDefault="007509DA" w:rsidP="00755335">
      <w:r>
        <w:t>Against this background, there appears to be no compelling case</w:t>
      </w:r>
      <w:r w:rsidR="009222D1">
        <w:t xml:space="preserve"> for a major change in the </w:t>
      </w:r>
      <w:r w:rsidR="006F23DD">
        <w:t xml:space="preserve">ownership or administration </w:t>
      </w:r>
      <w:r w:rsidR="009222D1">
        <w:t>stru</w:t>
      </w:r>
      <w:r>
        <w:t xml:space="preserve">cture of the ARPC </w:t>
      </w:r>
      <w:r w:rsidR="00057704">
        <w:t>in the short term</w:t>
      </w:r>
      <w:r w:rsidR="00EC110F">
        <w:t xml:space="preserve">. </w:t>
      </w:r>
      <w:r>
        <w:t>If market considerations change</w:t>
      </w:r>
      <w:r w:rsidR="00225624">
        <w:t>,</w:t>
      </w:r>
      <w:r w:rsidR="009222D1">
        <w:t xml:space="preserve"> further consideration could be given to these options</w:t>
      </w:r>
      <w:r w:rsidR="00EC110F">
        <w:t xml:space="preserve">. </w:t>
      </w:r>
      <w:r w:rsidR="009222D1">
        <w:t xml:space="preserve">The appropriate next step </w:t>
      </w:r>
      <w:r w:rsidR="00057704">
        <w:t>would be to undertake a</w:t>
      </w:r>
      <w:r w:rsidR="009222D1">
        <w:t xml:space="preserve"> comprehensive scoping study</w:t>
      </w:r>
      <w:r w:rsidR="00D71DA6">
        <w:t xml:space="preserve"> to</w:t>
      </w:r>
      <w:r w:rsidR="009222D1">
        <w:t xml:space="preserve"> further consider </w:t>
      </w:r>
      <w:r w:rsidR="0089533B">
        <w:t xml:space="preserve">the </w:t>
      </w:r>
      <w:r w:rsidR="009222D1">
        <w:t>viability</w:t>
      </w:r>
      <w:r w:rsidR="0089533B">
        <w:t xml:space="preserve"> of alternative options</w:t>
      </w:r>
      <w:bookmarkStart w:id="107" w:name="_Toc409618521"/>
      <w:bookmarkEnd w:id="100"/>
      <w:r w:rsidR="00057704">
        <w:t xml:space="preserve"> </w:t>
      </w:r>
      <w:r w:rsidR="00057704">
        <w:lastRenderedPageBreak/>
        <w:t>and set out an implementation plan for a preferred option</w:t>
      </w:r>
      <w:r w:rsidR="00AC77A3">
        <w:t>. In the meantime, greater private sector participation can be encouraged by adjustments to the scheme parameters as set out in this review.</w:t>
      </w:r>
    </w:p>
    <w:p w14:paraId="731EEA61" w14:textId="77777777" w:rsidR="000C5EE4" w:rsidRDefault="008B64B7" w:rsidP="000C5EE4">
      <w:pPr>
        <w:jc w:val="left"/>
        <w:sectPr w:rsidR="000C5EE4" w:rsidSect="000C5EE4">
          <w:type w:val="oddPage"/>
          <w:pgSz w:w="11906" w:h="16838" w:code="9"/>
          <w:pgMar w:top="1440" w:right="1440" w:bottom="1440" w:left="1440" w:header="709" w:footer="709" w:gutter="0"/>
          <w:cols w:space="708"/>
          <w:titlePg/>
          <w:docGrid w:linePitch="360"/>
        </w:sectPr>
      </w:pPr>
      <w:r>
        <w:t>T</w:t>
      </w:r>
      <w:r w:rsidR="00AA6307">
        <w:t>he North</w:t>
      </w:r>
      <w:r w:rsidR="00BD4697">
        <w:t xml:space="preserve">ern Australia Insurance Premiums Task Force is </w:t>
      </w:r>
      <w:r>
        <w:t>assessing the feasibility of a reinsurance pool for cyclone risk</w:t>
      </w:r>
      <w:r w:rsidR="00CA791F">
        <w:t xml:space="preserve">, </w:t>
      </w:r>
      <w:r w:rsidR="00CA791F" w:rsidRPr="00C71289">
        <w:rPr>
          <w:color w:val="auto"/>
        </w:rPr>
        <w:t>among other options</w:t>
      </w:r>
      <w:r>
        <w:t>.  Its interim report notes that the ARPC could potentially be used to offer a cyclone reinsurance contract (although the cyclone and terrorism pools would need to be completely segregated from each other).</w:t>
      </w:r>
      <w:bookmarkStart w:id="108" w:name="_Toc409630052"/>
      <w:bookmarkStart w:id="109" w:name="_Toc410229544"/>
      <w:bookmarkStart w:id="110" w:name="_Toc410302179"/>
    </w:p>
    <w:p w14:paraId="0B69803A" w14:textId="77777777" w:rsidR="00321498" w:rsidRDefault="00D85D73" w:rsidP="00951A43">
      <w:pPr>
        <w:pStyle w:val="Heading1"/>
      </w:pPr>
      <w:bookmarkStart w:id="111" w:name="_Toc437877559"/>
      <w:r>
        <w:lastRenderedPageBreak/>
        <w:t xml:space="preserve">Chapter </w:t>
      </w:r>
      <w:r w:rsidR="00CD26F2">
        <w:t>4</w:t>
      </w:r>
      <w:r>
        <w:t>:</w:t>
      </w:r>
      <w:r w:rsidR="00951A43">
        <w:t xml:space="preserve">  </w:t>
      </w:r>
      <w:r w:rsidR="005B3B9F">
        <w:t xml:space="preserve">Ensuring </w:t>
      </w:r>
      <w:r w:rsidR="007B6BBE">
        <w:t xml:space="preserve">Financial </w:t>
      </w:r>
      <w:r w:rsidR="005B3B9F">
        <w:t>Sustainability of the Scheme</w:t>
      </w:r>
      <w:bookmarkEnd w:id="107"/>
      <w:bookmarkEnd w:id="108"/>
      <w:bookmarkEnd w:id="109"/>
      <w:bookmarkEnd w:id="110"/>
      <w:bookmarkEnd w:id="111"/>
    </w:p>
    <w:p w14:paraId="6968EC56" w14:textId="77EA0610" w:rsidR="00722914" w:rsidRPr="00082936" w:rsidRDefault="00173A91" w:rsidP="000022E1">
      <w:pPr>
        <w:rPr>
          <w:rFonts w:eastAsiaTheme="minorHAnsi"/>
          <w:bCs/>
          <w:lang w:eastAsia="en-US"/>
        </w:rPr>
      </w:pPr>
      <w:r>
        <w:rPr>
          <w:rFonts w:eastAsiaTheme="minorHAnsi"/>
          <w:lang w:eastAsia="en-US"/>
        </w:rPr>
        <w:t xml:space="preserve">Although introduced on a temporary basis, the Act has been required to operate over a </w:t>
      </w:r>
      <w:proofErr w:type="gramStart"/>
      <w:r>
        <w:rPr>
          <w:rFonts w:eastAsiaTheme="minorHAnsi"/>
          <w:lang w:eastAsia="en-US"/>
        </w:rPr>
        <w:t>longer  period</w:t>
      </w:r>
      <w:proofErr w:type="gramEnd"/>
      <w:r>
        <w:rPr>
          <w:rFonts w:eastAsiaTheme="minorHAnsi"/>
          <w:lang w:eastAsia="en-US"/>
        </w:rPr>
        <w:t xml:space="preserve"> than initial</w:t>
      </w:r>
      <w:r w:rsidR="001B656A">
        <w:rPr>
          <w:rFonts w:eastAsiaTheme="minorHAnsi"/>
          <w:lang w:eastAsia="en-US"/>
        </w:rPr>
        <w:t>ly</w:t>
      </w:r>
      <w:r>
        <w:rPr>
          <w:rFonts w:eastAsiaTheme="minorHAnsi"/>
          <w:lang w:eastAsia="en-US"/>
        </w:rPr>
        <w:t xml:space="preserve"> contemplated. The current pricing of the government guarantee and premiums</w:t>
      </w:r>
      <w:r w:rsidR="00E150BF">
        <w:rPr>
          <w:rFonts w:eastAsiaTheme="minorHAnsi"/>
          <w:lang w:eastAsia="en-US"/>
        </w:rPr>
        <w:t>,</w:t>
      </w:r>
      <w:r>
        <w:rPr>
          <w:rFonts w:eastAsiaTheme="minorHAnsi"/>
          <w:lang w:eastAsia="en-US"/>
        </w:rPr>
        <w:t xml:space="preserve"> as well as settings relating to the purchase of retrocession and retention levels</w:t>
      </w:r>
      <w:r w:rsidR="00E150BF">
        <w:rPr>
          <w:rFonts w:eastAsiaTheme="minorHAnsi"/>
          <w:lang w:eastAsia="en-US"/>
        </w:rPr>
        <w:t>,</w:t>
      </w:r>
      <w:r>
        <w:rPr>
          <w:rFonts w:eastAsiaTheme="minorHAnsi"/>
          <w:lang w:eastAsia="en-US"/>
        </w:rPr>
        <w:t xml:space="preserve"> should be reviewed to ensure the scheme is sustainable over the medium term and that </w:t>
      </w:r>
      <w:r w:rsidR="00843828">
        <w:rPr>
          <w:rFonts w:eastAsiaTheme="minorHAnsi"/>
          <w:lang w:eastAsia="en-US"/>
        </w:rPr>
        <w:t>industry takes</w:t>
      </w:r>
      <w:r>
        <w:rPr>
          <w:rFonts w:eastAsiaTheme="minorHAnsi"/>
          <w:lang w:eastAsia="en-US"/>
        </w:rPr>
        <w:t xml:space="preserve"> an appropriate level of responsibility.</w:t>
      </w:r>
    </w:p>
    <w:p w14:paraId="793F9314" w14:textId="77777777" w:rsidR="00722914" w:rsidRDefault="00722914" w:rsidP="000022E1">
      <w:r>
        <w:t>This chapter considers:</w:t>
      </w:r>
    </w:p>
    <w:p w14:paraId="2C504879" w14:textId="77777777" w:rsidR="005F6857" w:rsidRPr="00843660" w:rsidRDefault="005F6857" w:rsidP="005F6857">
      <w:pPr>
        <w:pStyle w:val="Bullet"/>
        <w:rPr>
          <w:rFonts w:eastAsiaTheme="minorHAnsi"/>
        </w:rPr>
      </w:pPr>
      <w:r w:rsidRPr="00843660">
        <w:rPr>
          <w:rFonts w:eastAsiaTheme="minorHAnsi"/>
        </w:rPr>
        <w:t>the level of industry retentions;</w:t>
      </w:r>
    </w:p>
    <w:p w14:paraId="718EDB52" w14:textId="21E0C44B" w:rsidR="005F6857" w:rsidRDefault="005F6857" w:rsidP="005F6857">
      <w:pPr>
        <w:pStyle w:val="Bullet"/>
        <w:rPr>
          <w:rFonts w:eastAsiaTheme="minorHAnsi"/>
        </w:rPr>
      </w:pPr>
      <w:r w:rsidRPr="00843660">
        <w:rPr>
          <w:rFonts w:eastAsiaTheme="minorHAnsi"/>
        </w:rPr>
        <w:t xml:space="preserve">the </w:t>
      </w:r>
      <w:r w:rsidR="004C4546">
        <w:rPr>
          <w:rFonts w:eastAsiaTheme="minorHAnsi"/>
        </w:rPr>
        <w:t>purchase</w:t>
      </w:r>
      <w:r w:rsidRPr="00843660">
        <w:rPr>
          <w:rFonts w:eastAsiaTheme="minorHAnsi"/>
        </w:rPr>
        <w:t xml:space="preserve"> of retrocession </w:t>
      </w:r>
      <w:r w:rsidR="004C4546">
        <w:rPr>
          <w:rFonts w:eastAsiaTheme="minorHAnsi"/>
        </w:rPr>
        <w:t>b</w:t>
      </w:r>
      <w:r w:rsidRPr="00843660">
        <w:rPr>
          <w:rFonts w:eastAsiaTheme="minorHAnsi"/>
        </w:rPr>
        <w:t>y the ARPC</w:t>
      </w:r>
      <w:r>
        <w:rPr>
          <w:rFonts w:eastAsiaTheme="minorHAnsi"/>
        </w:rPr>
        <w:t>;</w:t>
      </w:r>
    </w:p>
    <w:p w14:paraId="16FA5F6D" w14:textId="757433AC" w:rsidR="00722914" w:rsidRPr="00843660" w:rsidRDefault="00722914" w:rsidP="005F6857">
      <w:pPr>
        <w:pStyle w:val="Bullet"/>
        <w:rPr>
          <w:rFonts w:eastAsiaTheme="minorHAnsi"/>
        </w:rPr>
      </w:pPr>
      <w:r w:rsidRPr="00843660">
        <w:rPr>
          <w:rFonts w:eastAsiaTheme="minorHAnsi"/>
        </w:rPr>
        <w:t xml:space="preserve">the fair level of compensation received by the </w:t>
      </w:r>
      <w:r w:rsidR="00B97B26">
        <w:rPr>
          <w:rFonts w:eastAsiaTheme="minorHAnsi"/>
        </w:rPr>
        <w:t>g</w:t>
      </w:r>
      <w:r w:rsidRPr="00843660">
        <w:rPr>
          <w:rFonts w:eastAsiaTheme="minorHAnsi"/>
        </w:rPr>
        <w:t>overnment for the provision of the $10 billion guarantee and the retention of capital by the ARPC;</w:t>
      </w:r>
      <w:r w:rsidR="005F6857">
        <w:rPr>
          <w:rFonts w:eastAsiaTheme="minorHAnsi"/>
        </w:rPr>
        <w:t xml:space="preserve"> and</w:t>
      </w:r>
    </w:p>
    <w:p w14:paraId="489E0972" w14:textId="4A676DBA" w:rsidR="00D349E1" w:rsidRPr="00843660" w:rsidRDefault="00E2369E" w:rsidP="00843660">
      <w:pPr>
        <w:pStyle w:val="Bullet"/>
        <w:rPr>
          <w:rFonts w:eastAsiaTheme="minorHAnsi"/>
        </w:rPr>
      </w:pPr>
      <w:proofErr w:type="gramStart"/>
      <w:r w:rsidRPr="00843660">
        <w:rPr>
          <w:rFonts w:eastAsiaTheme="minorHAnsi"/>
        </w:rPr>
        <w:t>the</w:t>
      </w:r>
      <w:proofErr w:type="gramEnd"/>
      <w:r w:rsidRPr="00843660">
        <w:rPr>
          <w:rFonts w:eastAsiaTheme="minorHAnsi"/>
        </w:rPr>
        <w:t xml:space="preserve"> appropriate level of premiums.</w:t>
      </w:r>
    </w:p>
    <w:p w14:paraId="2A98A03E" w14:textId="77777777" w:rsidR="005F6857" w:rsidRPr="00843660" w:rsidRDefault="005F6857" w:rsidP="005F6857">
      <w:pPr>
        <w:pStyle w:val="Heading2"/>
      </w:pPr>
      <w:bookmarkStart w:id="112" w:name="_Toc437877560"/>
      <w:r w:rsidRPr="00843660">
        <w:t>Industry retentions</w:t>
      </w:r>
      <w:bookmarkEnd w:id="112"/>
    </w:p>
    <w:p w14:paraId="3C483ED1" w14:textId="77777777" w:rsidR="005F6857" w:rsidRPr="00843660" w:rsidRDefault="005F6857" w:rsidP="005F6857">
      <w:pPr>
        <w:pStyle w:val="Heading3"/>
      </w:pPr>
      <w:r w:rsidRPr="00843660">
        <w:t>Issue</w:t>
      </w:r>
    </w:p>
    <w:p w14:paraId="3A9EBF07" w14:textId="77777777" w:rsidR="005F6857" w:rsidRDefault="005F6857" w:rsidP="005F6857">
      <w:r>
        <w:t>Whether:</w:t>
      </w:r>
    </w:p>
    <w:p w14:paraId="771346FB" w14:textId="77777777" w:rsidR="005F6857" w:rsidRPr="00843660" w:rsidRDefault="005F6857" w:rsidP="005F6857">
      <w:pPr>
        <w:pStyle w:val="Bullet"/>
      </w:pPr>
      <w:r w:rsidRPr="00843660">
        <w:t xml:space="preserve">the current level and structure of retentions </w:t>
      </w:r>
      <w:r>
        <w:t>that</w:t>
      </w:r>
      <w:r w:rsidRPr="00843660">
        <w:t xml:space="preserve"> apply to individual entities </w:t>
      </w:r>
      <w:r>
        <w:t>that</w:t>
      </w:r>
      <w:r w:rsidRPr="00843660">
        <w:t xml:space="preserve"> reinsure with the ARPC are appropriate;</w:t>
      </w:r>
    </w:p>
    <w:p w14:paraId="39970A6A" w14:textId="77777777" w:rsidR="005F6857" w:rsidRPr="00843660" w:rsidRDefault="005F6857" w:rsidP="005F6857">
      <w:pPr>
        <w:pStyle w:val="Bullet"/>
      </w:pPr>
      <w:r w:rsidRPr="00843660">
        <w:t>the overall industry retention per incident is appropriate; and</w:t>
      </w:r>
    </w:p>
    <w:p w14:paraId="72774851" w14:textId="77777777" w:rsidR="005F6857" w:rsidRPr="00843660" w:rsidRDefault="005F6857" w:rsidP="005F6857">
      <w:pPr>
        <w:pStyle w:val="Bullet"/>
      </w:pPr>
      <w:proofErr w:type="gramStart"/>
      <w:r w:rsidRPr="00843660">
        <w:t>increasing</w:t>
      </w:r>
      <w:proofErr w:type="gramEnd"/>
      <w:r w:rsidRPr="00843660">
        <w:t xml:space="preserve"> this retention would encourage insurers to seek out reinsurance privately.</w:t>
      </w:r>
    </w:p>
    <w:p w14:paraId="651E3406" w14:textId="77777777" w:rsidR="005F6857" w:rsidRDefault="005F6857" w:rsidP="005F6857">
      <w:pPr>
        <w:pStyle w:val="Heading3"/>
      </w:pPr>
      <w:r>
        <w:t>Recommendations</w:t>
      </w:r>
    </w:p>
    <w:p w14:paraId="6061C9B8" w14:textId="77777777" w:rsidR="0004480C" w:rsidRDefault="0004480C" w:rsidP="0004480C">
      <w:r>
        <w:rPr>
          <w:noProof/>
        </w:rPr>
        <mc:AlternateContent>
          <mc:Choice Requires="wps">
            <w:drawing>
              <wp:anchor distT="0" distB="0" distL="114300" distR="114300" simplePos="0" relativeHeight="251658244" behindDoc="0" locked="0" layoutInCell="1" allowOverlap="1" wp14:anchorId="77A72698" wp14:editId="0D8AFE50">
                <wp:simplePos x="0" y="0"/>
                <wp:positionH relativeFrom="column">
                  <wp:align>center</wp:align>
                </wp:positionH>
                <wp:positionV relativeFrom="paragraph">
                  <wp:posOffset>0</wp:posOffset>
                </wp:positionV>
                <wp:extent cx="4838700" cy="1571625"/>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5716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5433FD2" w14:textId="1EAB99BB" w:rsidR="00036AEB" w:rsidRPr="00843660" w:rsidRDefault="00036AEB" w:rsidP="0004480C">
                            <w:r w:rsidRPr="0004480C">
                              <w:rPr>
                                <w:i/>
                              </w:rPr>
                              <w:t>Recommendation 3</w:t>
                            </w:r>
                            <w:r>
                              <w:t>: T</w:t>
                            </w:r>
                            <w:r w:rsidRPr="00843660">
                              <w:t>he four per cent rate of gross fire and industrial special risk premium (less any fire services levy) shoul</w:t>
                            </w:r>
                            <w:r>
                              <w:t>d be increased to five per cent.</w:t>
                            </w:r>
                          </w:p>
                          <w:p w14:paraId="1FF42C37" w14:textId="090027EE" w:rsidR="00036AEB" w:rsidRPr="00843660" w:rsidRDefault="00036AEB" w:rsidP="0004480C">
                            <w:r w:rsidRPr="0004480C">
                              <w:rPr>
                                <w:i/>
                              </w:rPr>
                              <w:t>Recommendation 4</w:t>
                            </w:r>
                            <w:r>
                              <w:t>: C</w:t>
                            </w:r>
                            <w:r w:rsidRPr="00843660">
                              <w:t xml:space="preserve">urrent maximum retention levels for individual insurers </w:t>
                            </w:r>
                            <w:r>
                              <w:t>should be removed.</w:t>
                            </w:r>
                          </w:p>
                          <w:p w14:paraId="7550F40C" w14:textId="15D941C6" w:rsidR="00036AEB" w:rsidRPr="00843660" w:rsidRDefault="00036AEB" w:rsidP="0004480C">
                            <w:r w:rsidRPr="0004480C">
                              <w:rPr>
                                <w:i/>
                              </w:rPr>
                              <w:t>Recommendation 5</w:t>
                            </w:r>
                            <w:r>
                              <w:t>: T</w:t>
                            </w:r>
                            <w:r w:rsidRPr="00843660">
                              <w:t xml:space="preserve">he maximum industry retention </w:t>
                            </w:r>
                            <w:r>
                              <w:t xml:space="preserve">should </w:t>
                            </w:r>
                            <w:r w:rsidRPr="00843660">
                              <w:t>be increased from $100 million to $200 million.</w:t>
                            </w:r>
                          </w:p>
                          <w:p w14:paraId="26F854FA" w14:textId="2FEFD8BB" w:rsidR="00036AEB" w:rsidRDefault="00036A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0;width:381pt;height:123.75pt;z-index:2516582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" fillcolor="white [3201]" strokecolor="#4f81bd [3204]" strokeweight="2pt">
                <v:textbox>
                  <w:txbxContent>
                    <w:p w14:paraId="25433FD2" w14:textId="1EAB99BB" w:rsidR="00036AEB" w:rsidRPr="00843660" w:rsidRDefault="00036AEB" w:rsidP="0004480C">
                      <w:r w:rsidRPr="0004480C">
                        <w:rPr>
                          <w:i/>
                        </w:rPr>
                        <w:t>Recommendation 3</w:t>
                      </w:r>
                      <w:r>
                        <w:t>: T</w:t>
                      </w:r>
                      <w:r w:rsidRPr="00843660">
                        <w:t>he four per cent rate of gross fire and industrial special risk premium (less any fire services levy) shoul</w:t>
                      </w:r>
                      <w:r>
                        <w:t>d be increased to five per cent.</w:t>
                      </w:r>
                    </w:p>
                    <w:p w14:paraId="1FF42C37" w14:textId="090027EE" w:rsidR="00036AEB" w:rsidRPr="00843660" w:rsidRDefault="00036AEB" w:rsidP="0004480C">
                      <w:r w:rsidRPr="0004480C">
                        <w:rPr>
                          <w:i/>
                        </w:rPr>
                        <w:t>Recommendation 4</w:t>
                      </w:r>
                      <w:r>
                        <w:t>: C</w:t>
                      </w:r>
                      <w:r w:rsidRPr="00843660">
                        <w:t xml:space="preserve">urrent maximum retention levels for individual insurers </w:t>
                      </w:r>
                      <w:r>
                        <w:t>should be removed.</w:t>
                      </w:r>
                    </w:p>
                    <w:p w14:paraId="7550F40C" w14:textId="15D941C6" w:rsidR="00036AEB" w:rsidRPr="00843660" w:rsidRDefault="00036AEB" w:rsidP="0004480C">
                      <w:r w:rsidRPr="0004480C">
                        <w:rPr>
                          <w:i/>
                        </w:rPr>
                        <w:t>Recommendation 5</w:t>
                      </w:r>
                      <w:r>
                        <w:t>: T</w:t>
                      </w:r>
                      <w:r w:rsidRPr="00843660">
                        <w:t xml:space="preserve">he maximum industry retention </w:t>
                      </w:r>
                      <w:r>
                        <w:t xml:space="preserve">should </w:t>
                      </w:r>
                      <w:r w:rsidRPr="00843660">
                        <w:t>be increased from $100 million to $200 million.</w:t>
                      </w:r>
                    </w:p>
                    <w:p w14:paraId="26F854FA" w14:textId="2FEFD8BB" w:rsidR="00036AEB" w:rsidRDefault="00036AEB"/>
                  </w:txbxContent>
                </v:textbox>
              </v:shape>
            </w:pict>
          </mc:Fallback>
        </mc:AlternateContent>
      </w:r>
    </w:p>
    <w:p w14:paraId="395740DC" w14:textId="778FBD65" w:rsidR="0004480C" w:rsidRDefault="0004480C" w:rsidP="0004480C"/>
    <w:p w14:paraId="4CE768A1" w14:textId="77777777" w:rsidR="0004480C" w:rsidRDefault="0004480C" w:rsidP="0004480C"/>
    <w:p w14:paraId="4B4B2F10" w14:textId="77777777" w:rsidR="0004480C" w:rsidRDefault="0004480C" w:rsidP="0004480C"/>
    <w:p w14:paraId="1E596649" w14:textId="77777777" w:rsidR="0004480C" w:rsidRDefault="0004480C" w:rsidP="0004480C"/>
    <w:p w14:paraId="4C9B5956" w14:textId="77777777" w:rsidR="0004480C" w:rsidRPr="0004480C" w:rsidRDefault="0004480C" w:rsidP="0004480C"/>
    <w:p w14:paraId="1334D2FC" w14:textId="77777777" w:rsidR="005F6857" w:rsidRDefault="005F6857" w:rsidP="005F6857">
      <w:pPr>
        <w:pStyle w:val="Heading3"/>
      </w:pPr>
      <w:r>
        <w:t>Background</w:t>
      </w:r>
    </w:p>
    <w:p w14:paraId="6C8EC165" w14:textId="0344235D" w:rsidR="005F6857" w:rsidRDefault="005F6857" w:rsidP="005F6857">
      <w:r>
        <w:t xml:space="preserve">When the scheme began in 2003, the Act required insurers who </w:t>
      </w:r>
      <w:r w:rsidR="00C40FB9">
        <w:t>bought</w:t>
      </w:r>
      <w:r>
        <w:t xml:space="preserve"> reinsurance from </w:t>
      </w:r>
      <w:r w:rsidR="00A12317">
        <w:t xml:space="preserve">the </w:t>
      </w:r>
      <w:r>
        <w:t xml:space="preserve">ARPC to retain </w:t>
      </w:r>
      <w:r w:rsidR="003D5A50">
        <w:t xml:space="preserve">risk at </w:t>
      </w:r>
      <w:r>
        <w:t>a minimum of nil and a maximum of $1 m</w:t>
      </w:r>
      <w:r w:rsidR="003D5A50">
        <w:t xml:space="preserve">illion, with the maximum industry wide </w:t>
      </w:r>
      <w:r>
        <w:t>retention set at $10 million. Retentions were</w:t>
      </w:r>
      <w:r w:rsidR="00B20B39">
        <w:t xml:space="preserve"> based on 4</w:t>
      </w:r>
      <w:r>
        <w:t xml:space="preserve"> per cent of the </w:t>
      </w:r>
      <w:proofErr w:type="spellStart"/>
      <w:r>
        <w:t>reinsured’s</w:t>
      </w:r>
      <w:proofErr w:type="spellEnd"/>
      <w:r>
        <w:t xml:space="preserve"> gross fire and industrial special risk premium less any fire service levy.</w:t>
      </w:r>
    </w:p>
    <w:p w14:paraId="3B9E3435" w14:textId="35F2FB5D" w:rsidR="005F6857" w:rsidRDefault="005F6857" w:rsidP="005F6857">
      <w:r>
        <w:lastRenderedPageBreak/>
        <w:t xml:space="preserve">The 2006 review of the Act recommended that, as the insurance industry had developed, retentions under the scheme should increase to a minimum of $100,000 and a maximum of $10 million, with </w:t>
      </w:r>
      <w:proofErr w:type="gramStart"/>
      <w:r>
        <w:t>a</w:t>
      </w:r>
      <w:r w:rsidR="001634D0">
        <w:t>n industry</w:t>
      </w:r>
      <w:proofErr w:type="gramEnd"/>
      <w:r>
        <w:t xml:space="preserve"> retention of $100 million. Retentions were gradually increased </w:t>
      </w:r>
      <w:r w:rsidR="001634D0">
        <w:t>as a result.</w:t>
      </w:r>
      <w:r>
        <w:t xml:space="preserve"> The 2012 review of the Act recommended no change to retention levels. </w:t>
      </w:r>
    </w:p>
    <w:p w14:paraId="3F459A1D" w14:textId="77777777" w:rsidR="005F6857" w:rsidRDefault="005F6857" w:rsidP="005F6857">
      <w:pPr>
        <w:pStyle w:val="Heading3"/>
      </w:pPr>
      <w:r>
        <w:t>Assessment</w:t>
      </w:r>
    </w:p>
    <w:p w14:paraId="6C362199" w14:textId="726C3FC8" w:rsidR="005F6857" w:rsidRDefault="005F6857" w:rsidP="005F6857">
      <w:r>
        <w:t>An analysis of ARPC’s portfolio indicates that fiv</w:t>
      </w:r>
      <w:r w:rsidR="00832A09">
        <w:t>e insurers benefit from the $10 </w:t>
      </w:r>
      <w:r>
        <w:t xml:space="preserve">million maximum retention and many insurers would have </w:t>
      </w:r>
      <w:proofErr w:type="gramStart"/>
      <w:r>
        <w:t>a retention</w:t>
      </w:r>
      <w:proofErr w:type="gramEnd"/>
      <w:r>
        <w:t xml:space="preserve"> of less than $100,000 if the minimum was not applied. That is, smaller insurers are made to retain more than 4 per cent of relevant premiums, yet large insurers have their retention capped under the current arrangements at less than 4 per cent.</w:t>
      </w:r>
    </w:p>
    <w:p w14:paraId="2532EA5B" w14:textId="104766FC" w:rsidR="00EA3F51" w:rsidRDefault="00EA3F51" w:rsidP="005F6857">
      <w:r>
        <w:t xml:space="preserve">Further, some consolidation of insurance licenses has led to a situation where some insurance groups have effectively reduced their maximum exposure under the scheme by reducing the number of insurance companies they own that are subject to an individual cap of $10 million. </w:t>
      </w:r>
    </w:p>
    <w:p w14:paraId="3BB52AD0" w14:textId="27305BBB" w:rsidR="00EA3F51" w:rsidRDefault="00EA3F51" w:rsidP="005F6857">
      <w:r>
        <w:t>T</w:t>
      </w:r>
      <w:r w:rsidR="005F6857">
        <w:t xml:space="preserve">he ARPC advises that insurer’s retentions under the ARPC’s terrorism reinsurance agreements are much lower than those used in natural catastrophe reinsurance, even though the ARPC retentions are more generous in that they are the maximum retention per year rather than per event. </w:t>
      </w:r>
    </w:p>
    <w:p w14:paraId="73B3ED54" w14:textId="09D61398" w:rsidR="005F6857" w:rsidRPr="008277D6" w:rsidRDefault="00EA3F51" w:rsidP="005F6857">
      <w:r>
        <w:t>Based on the above</w:t>
      </w:r>
      <w:r w:rsidR="00897189">
        <w:t>,</w:t>
      </w:r>
      <w:r>
        <w:t xml:space="preserve"> the case can be made for</w:t>
      </w:r>
      <w:r w:rsidR="005F6857">
        <w:t xml:space="preserve"> increasing the retention level </w:t>
      </w:r>
      <w:r w:rsidR="001C7033">
        <w:t xml:space="preserve">and removing the </w:t>
      </w:r>
      <w:r w:rsidR="00897189">
        <w:t>maximum individual</w:t>
      </w:r>
      <w:r w:rsidR="001C7033">
        <w:t xml:space="preserve"> retention </w:t>
      </w:r>
      <w:r w:rsidR="005F6857">
        <w:t xml:space="preserve">in ARPC agreements </w:t>
      </w:r>
      <w:r>
        <w:t>to</w:t>
      </w:r>
      <w:r w:rsidR="005F6857">
        <w:t xml:space="preserve"> ensure that the insurance industry take</w:t>
      </w:r>
      <w:r w:rsidR="00616E43">
        <w:t>s</w:t>
      </w:r>
      <w:r w:rsidR="005F6857">
        <w:t xml:space="preserve"> an appropriate level of responsibility </w:t>
      </w:r>
      <w:r>
        <w:t xml:space="preserve">in the event of a major claim </w:t>
      </w:r>
      <w:r w:rsidR="005F6857">
        <w:t>under the scheme.</w:t>
      </w:r>
      <w:r w:rsidR="00FE0204">
        <w:t xml:space="preserve"> Removing the maximum retention will also ensure a more even distribution of retention burden.</w:t>
      </w:r>
      <w:r w:rsidR="001C7033">
        <w:t xml:space="preserve"> </w:t>
      </w:r>
      <w:r w:rsidR="00897189">
        <w:t xml:space="preserve">Minimum retentions should be maintained to ensure that insurers retain a non-trivial level of responsibility under the scheme. </w:t>
      </w:r>
    </w:p>
    <w:p w14:paraId="28F65C68" w14:textId="2EBC554D" w:rsidR="00BF4048" w:rsidRDefault="005F6857" w:rsidP="005F6857">
      <w:r w:rsidRPr="0043324C">
        <w:t>One of the underlying principles of the scheme is that it should be designed to allow the</w:t>
      </w:r>
      <w:r>
        <w:br/>
      </w:r>
      <w:r w:rsidRPr="0043324C">
        <w:t>re</w:t>
      </w:r>
      <w:r>
        <w:noBreakHyphen/>
      </w:r>
      <w:r w:rsidRPr="0043324C">
        <w:t>emergence of the commercial ma</w:t>
      </w:r>
      <w:r>
        <w:t xml:space="preserve">rket for terrorism risk cover. </w:t>
      </w:r>
      <w:r w:rsidRPr="0043324C">
        <w:t xml:space="preserve">Raising retention levels requires insurers to retain a greater amount of terrorism risk, </w:t>
      </w:r>
      <w:r>
        <w:t xml:space="preserve">for </w:t>
      </w:r>
      <w:r w:rsidRPr="0043324C">
        <w:t>which</w:t>
      </w:r>
      <w:r w:rsidR="00EA3F51">
        <w:t xml:space="preserve"> they</w:t>
      </w:r>
      <w:r w:rsidRPr="0043324C">
        <w:t xml:space="preserve"> can self</w:t>
      </w:r>
      <w:r>
        <w:noBreakHyphen/>
      </w:r>
      <w:r w:rsidRPr="0043324C">
        <w:t>insure or seek to commercially reinsure. Either course of action increases private sector involvement in the provision of terrorism risk cover. Increasing retentions also increases the relative attracti</w:t>
      </w:r>
      <w:r>
        <w:t>veness of commercial terrorism reinsurance.</w:t>
      </w:r>
    </w:p>
    <w:p w14:paraId="40C239EB" w14:textId="77777777" w:rsidR="005F6857" w:rsidRDefault="005F6857" w:rsidP="005F6857">
      <w:pPr>
        <w:pStyle w:val="Heading2"/>
      </w:pPr>
      <w:bookmarkStart w:id="113" w:name="_Toc437877561"/>
      <w:r>
        <w:t>Continuation of Retrocession Program</w:t>
      </w:r>
      <w:bookmarkEnd w:id="113"/>
    </w:p>
    <w:p w14:paraId="7634CA2E" w14:textId="77777777" w:rsidR="005F6857" w:rsidRPr="00843660" w:rsidRDefault="005F6857" w:rsidP="005F6857">
      <w:pPr>
        <w:pStyle w:val="Heading3"/>
      </w:pPr>
      <w:r w:rsidRPr="00843660">
        <w:t>Issue</w:t>
      </w:r>
    </w:p>
    <w:p w14:paraId="623D306F" w14:textId="77777777" w:rsidR="005F6857" w:rsidRDefault="005F6857" w:rsidP="005F6857">
      <w:proofErr w:type="gramStart"/>
      <w:r>
        <w:t>Whether the ARPC should continue to have the discretion to purchase retrocession in the private market.</w:t>
      </w:r>
      <w:proofErr w:type="gramEnd"/>
    </w:p>
    <w:p w14:paraId="6077F78D" w14:textId="77777777" w:rsidR="005F6857" w:rsidRDefault="005F6857" w:rsidP="005F6857">
      <w:pPr>
        <w:pStyle w:val="Heading3"/>
      </w:pPr>
      <w:r w:rsidRPr="00843660">
        <w:t>Recommendation</w:t>
      </w:r>
    </w:p>
    <w:p w14:paraId="55208008" w14:textId="77777777" w:rsidR="00092072" w:rsidRDefault="00092072" w:rsidP="00092072">
      <w:r>
        <w:rPr>
          <w:noProof/>
        </w:rPr>
        <mc:AlternateContent>
          <mc:Choice Requires="wps">
            <w:drawing>
              <wp:anchor distT="0" distB="0" distL="114300" distR="114300" simplePos="0" relativeHeight="251658246" behindDoc="0" locked="0" layoutInCell="1" allowOverlap="1" wp14:anchorId="47B3C1CA" wp14:editId="4DEC5A0C">
                <wp:simplePos x="0" y="0"/>
                <wp:positionH relativeFrom="column">
                  <wp:align>center</wp:align>
                </wp:positionH>
                <wp:positionV relativeFrom="paragraph">
                  <wp:posOffset>0</wp:posOffset>
                </wp:positionV>
                <wp:extent cx="4886325" cy="704850"/>
                <wp:effectExtent l="0" t="0" r="28575"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7048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B6CA11E" w14:textId="3F249A6E" w:rsidR="00036AEB" w:rsidRPr="00B359E3" w:rsidRDefault="00036AEB" w:rsidP="00092072">
                            <w:r>
                              <w:rPr>
                                <w:i/>
                              </w:rPr>
                              <w:t>Recommendation 6</w:t>
                            </w:r>
                            <w:r w:rsidRPr="0004480C">
                              <w:rPr>
                                <w:i/>
                              </w:rPr>
                              <w:t xml:space="preserve">: </w:t>
                            </w:r>
                            <w:r w:rsidRPr="008277D6">
                              <w:t>That the ARPC continue to have the discretion to purchase retrocession, subject to the APRC assessing</w:t>
                            </w:r>
                            <w:r w:rsidRPr="00AF5B6D">
                              <w:t xml:space="preserve"> the need for</w:t>
                            </w:r>
                            <w:r>
                              <w:t>,</w:t>
                            </w:r>
                            <w:r w:rsidRPr="00AF5B6D">
                              <w:t xml:space="preserve"> and levels of</w:t>
                            </w:r>
                            <w:r>
                              <w:t>,</w:t>
                            </w:r>
                            <w:r w:rsidRPr="00AF5B6D">
                              <w:t xml:space="preserve"> </w:t>
                            </w:r>
                            <w:r w:rsidRPr="00D779FA">
                              <w:t xml:space="preserve">its retrocession programme </w:t>
                            </w:r>
                            <w:r>
                              <w:t>and</w:t>
                            </w:r>
                            <w:r w:rsidRPr="00D779FA">
                              <w:t xml:space="preserve"> value for money.</w:t>
                            </w:r>
                          </w:p>
                          <w:p w14:paraId="006D1E94" w14:textId="08435DA8" w:rsidR="00036AEB" w:rsidRPr="0004480C" w:rsidRDefault="00036AEB" w:rsidP="00092072">
                            <w:pPr>
                              <w:rPr>
                                <w:i/>
                              </w:rPr>
                            </w:pPr>
                          </w:p>
                          <w:p w14:paraId="3B100137" w14:textId="38DD2C41" w:rsidR="00036AEB" w:rsidRDefault="00036A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0;width:384.75pt;height:55.5pt;z-index:25165824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" fillcolor="white [3201]" strokecolor="#4f81bd [3204]" strokeweight="2pt">
                <v:textbox>
                  <w:txbxContent>
                    <w:p w14:paraId="1B6CA11E" w14:textId="3F249A6E" w:rsidR="00036AEB" w:rsidRPr="00B359E3" w:rsidRDefault="00036AEB" w:rsidP="00092072">
                      <w:r>
                        <w:rPr>
                          <w:i/>
                        </w:rPr>
                        <w:t>Recommendation 6</w:t>
                      </w:r>
                      <w:r w:rsidRPr="0004480C">
                        <w:rPr>
                          <w:i/>
                        </w:rPr>
                        <w:t xml:space="preserve">: </w:t>
                      </w:r>
                      <w:r w:rsidRPr="008277D6">
                        <w:t>That the ARPC continue to have the discretion to purchase retrocession, subject to the APRC assessing</w:t>
                      </w:r>
                      <w:r w:rsidRPr="00AF5B6D">
                        <w:t xml:space="preserve"> the need for</w:t>
                      </w:r>
                      <w:r>
                        <w:t>,</w:t>
                      </w:r>
                      <w:r w:rsidRPr="00AF5B6D">
                        <w:t xml:space="preserve"> and levels of</w:t>
                      </w:r>
                      <w:r>
                        <w:t>,</w:t>
                      </w:r>
                      <w:r w:rsidRPr="00AF5B6D">
                        <w:t xml:space="preserve"> </w:t>
                      </w:r>
                      <w:r w:rsidRPr="00D779FA">
                        <w:t xml:space="preserve">its retrocession programme </w:t>
                      </w:r>
                      <w:r>
                        <w:t>and</w:t>
                      </w:r>
                      <w:r w:rsidRPr="00D779FA">
                        <w:t xml:space="preserve"> value for money.</w:t>
                      </w:r>
                    </w:p>
                    <w:p w14:paraId="006D1E94" w14:textId="08435DA8" w:rsidR="00036AEB" w:rsidRPr="0004480C" w:rsidRDefault="00036AEB" w:rsidP="00092072">
                      <w:pPr>
                        <w:rPr>
                          <w:i/>
                        </w:rPr>
                      </w:pPr>
                    </w:p>
                    <w:p w14:paraId="3B100137" w14:textId="38DD2C41" w:rsidR="00036AEB" w:rsidRDefault="00036AEB"/>
                  </w:txbxContent>
                </v:textbox>
              </v:shape>
            </w:pict>
          </mc:Fallback>
        </mc:AlternateContent>
      </w:r>
    </w:p>
    <w:p w14:paraId="03E6E4D4" w14:textId="603E67C9" w:rsidR="00092072" w:rsidRDefault="00092072" w:rsidP="00092072"/>
    <w:p w14:paraId="3A4C9F76" w14:textId="1BA1068C" w:rsidR="00092072" w:rsidRDefault="00092072" w:rsidP="00092072"/>
    <w:p w14:paraId="1C7CDB3C" w14:textId="77777777" w:rsidR="005F6857" w:rsidRPr="00843660" w:rsidRDefault="005F6857" w:rsidP="005F6857">
      <w:pPr>
        <w:pStyle w:val="Heading3"/>
      </w:pPr>
      <w:r w:rsidRPr="00843660">
        <w:lastRenderedPageBreak/>
        <w:t>Background</w:t>
      </w:r>
    </w:p>
    <w:p w14:paraId="7CF34750" w14:textId="77777777" w:rsidR="005F6857" w:rsidRDefault="005F6857" w:rsidP="005F6857">
      <w:r>
        <w:t>For the first six years of the scheme, the ARPC did not purchase retrocession. Instead, premiums were used to build capital within the ARPC to extend the size of the scheme and provide a buffer before the unfunded government guarantee was called upon. However, once sufficient capital had built up within the scheme, the ARPC was given the discretion to purchase additional retrocession cover from the private market.</w:t>
      </w:r>
    </w:p>
    <w:p w14:paraId="1C03C2F3" w14:textId="4780BDE5" w:rsidR="005F6857" w:rsidRDefault="005F6857" w:rsidP="005F6857">
      <w:r>
        <w:t>The ARPC has purchased retrocession every year since 2009. It initially provided cover of $2.3 billion, but this amount has increased over time to a maximum of $3.2 billion in 2014. In 2015, retrocession co</w:t>
      </w:r>
      <w:r w:rsidR="00F92CD2">
        <w:t>ver was slightly lower at $2.9 b</w:t>
      </w:r>
      <w:r>
        <w:t>illion.</w:t>
      </w:r>
      <w:r w:rsidRPr="000B6F29">
        <w:t xml:space="preserve"> </w:t>
      </w:r>
    </w:p>
    <w:p w14:paraId="575A938E" w14:textId="77777777" w:rsidR="005F6857" w:rsidRPr="00843660" w:rsidRDefault="005F6857" w:rsidP="005F6857">
      <w:pPr>
        <w:pStyle w:val="Heading3"/>
      </w:pPr>
      <w:r w:rsidRPr="00843660">
        <w:t>Assessment</w:t>
      </w:r>
    </w:p>
    <w:p w14:paraId="48DBA007" w14:textId="77777777" w:rsidR="005F6857" w:rsidRPr="006C7099" w:rsidRDefault="005F6857" w:rsidP="005F6857">
      <w:r>
        <w:t>The purchase of retrocession creates a role for the private market in providing terrorism insurance under the scheme and ensures that the insurance of private sector assets is provided to the greatest degree possible by the private market. A strong argument</w:t>
      </w:r>
      <w:r w:rsidRPr="006C7099">
        <w:t xml:space="preserve"> can be made in support of continuing the </w:t>
      </w:r>
      <w:r>
        <w:t>retrocession program, in that it:</w:t>
      </w:r>
    </w:p>
    <w:p w14:paraId="2C970689" w14:textId="77777777" w:rsidR="005F6857" w:rsidRPr="00843660" w:rsidRDefault="005F6857" w:rsidP="005F6857">
      <w:pPr>
        <w:pStyle w:val="Bullet"/>
      </w:pPr>
      <w:r w:rsidRPr="00843660">
        <w:t>supports the private sector provision of terrorism insurance and reinsurance;</w:t>
      </w:r>
    </w:p>
    <w:p w14:paraId="38E26F04" w14:textId="77777777" w:rsidR="005F6857" w:rsidRPr="00843660" w:rsidRDefault="005F6857" w:rsidP="002961FE">
      <w:pPr>
        <w:pStyle w:val="Bullet"/>
        <w:ind w:left="397" w:hanging="397"/>
      </w:pPr>
      <w:r w:rsidRPr="00843660">
        <w:t xml:space="preserve">provides an indication of </w:t>
      </w:r>
      <w:r>
        <w:t xml:space="preserve">both </w:t>
      </w:r>
      <w:r w:rsidRPr="00843660">
        <w:t xml:space="preserve">the market price for terrorism insurance and the availability of terrorism reinsurance in the private sector; </w:t>
      </w:r>
    </w:p>
    <w:p w14:paraId="61C9BD99" w14:textId="4B47A8F6" w:rsidR="005F6857" w:rsidRPr="00843660" w:rsidRDefault="005F6857" w:rsidP="005F6857">
      <w:pPr>
        <w:pStyle w:val="Bullet"/>
      </w:pPr>
      <w:r w:rsidRPr="00843660">
        <w:t>increases the</w:t>
      </w:r>
      <w:r w:rsidR="002E543F">
        <w:t xml:space="preserve"> overall capacity of the scheme</w:t>
      </w:r>
      <w:r w:rsidRPr="00843660">
        <w:t xml:space="preserve"> </w:t>
      </w:r>
      <w:r w:rsidR="002E543F">
        <w:t>(</w:t>
      </w:r>
      <w:r w:rsidRPr="00843660">
        <w:t>currently by around $3 billion</w:t>
      </w:r>
      <w:r w:rsidR="002E543F">
        <w:t>)</w:t>
      </w:r>
      <w:r w:rsidRPr="00843660">
        <w:t>; and</w:t>
      </w:r>
    </w:p>
    <w:p w14:paraId="137B8BEC" w14:textId="1C03B3A2" w:rsidR="005F6857" w:rsidRPr="00843660" w:rsidRDefault="006B6710" w:rsidP="005F6857">
      <w:pPr>
        <w:pStyle w:val="Bullet"/>
      </w:pPr>
      <w:proofErr w:type="gramStart"/>
      <w:r>
        <w:t>reduces</w:t>
      </w:r>
      <w:proofErr w:type="gramEnd"/>
      <w:r>
        <w:t xml:space="preserve"> the risk that the government guarantee will be called upon</w:t>
      </w:r>
      <w:r w:rsidR="005F6857" w:rsidRPr="00843660">
        <w:t>.</w:t>
      </w:r>
    </w:p>
    <w:p w14:paraId="05B3A173" w14:textId="005292CB" w:rsidR="005F6857" w:rsidRDefault="005F6857" w:rsidP="005F6857">
      <w:r>
        <w:t>During consultation, industry stakeholders did not express particular views on the ARPC’s retrocession program. Insurers generally benefit under current arrangements; the purchase of retrocession by the ARPC increases the size of the scheme and, therefore, the amount of reinsurance c</w:t>
      </w:r>
      <w:r w:rsidR="002E543F">
        <w:t>over purchased by insurers</w:t>
      </w:r>
      <w:r>
        <w:t>.</w:t>
      </w:r>
    </w:p>
    <w:p w14:paraId="57455B8B" w14:textId="4A84E996" w:rsidR="005F6857" w:rsidRDefault="005F6857" w:rsidP="005F6857">
      <w:r>
        <w:t>On balance, it is prudent for the ARPC to maintain its retrocession programme</w:t>
      </w:r>
      <w:r w:rsidR="002E543F">
        <w:t xml:space="preserve">, at a level that represents the best value for money having regard to the ARPC’s other commitments, </w:t>
      </w:r>
      <w:r>
        <w:t>to</w:t>
      </w:r>
      <w:r w:rsidR="002E543F">
        <w:t xml:space="preserve"> ensure that the private </w:t>
      </w:r>
      <w:r>
        <w:t xml:space="preserve">reinsurance market </w:t>
      </w:r>
      <w:r w:rsidR="002E543F">
        <w:t xml:space="preserve">for terrorism cover </w:t>
      </w:r>
      <w:r>
        <w:t xml:space="preserve">continues to operate in Australia, and to give information about the availability and price of private terrorism reinsurance. This approach would </w:t>
      </w:r>
      <w:r w:rsidR="002E543F">
        <w:t>assist in a</w:t>
      </w:r>
      <w:r>
        <w:t xml:space="preserve"> </w:t>
      </w:r>
      <w:r w:rsidR="00B97B26">
        <w:t>g</w:t>
      </w:r>
      <w:r>
        <w:t xml:space="preserve">overnment </w:t>
      </w:r>
      <w:r w:rsidR="002E543F">
        <w:t>withdrawal from the</w:t>
      </w:r>
      <w:r>
        <w:t xml:space="preserve"> market</w:t>
      </w:r>
      <w:r w:rsidR="002E543F">
        <w:t xml:space="preserve"> in future </w:t>
      </w:r>
      <w:r>
        <w:t xml:space="preserve">if conditions improved. </w:t>
      </w:r>
    </w:p>
    <w:p w14:paraId="01397A30" w14:textId="0CCEF1D3" w:rsidR="00994617" w:rsidRDefault="00975AE9" w:rsidP="00843660">
      <w:pPr>
        <w:pStyle w:val="Heading2"/>
      </w:pPr>
      <w:bookmarkStart w:id="114" w:name="_Toc437877562"/>
      <w:r>
        <w:t>C</w:t>
      </w:r>
      <w:r w:rsidR="0028269C">
        <w:t>ompensation to</w:t>
      </w:r>
      <w:r w:rsidR="00B719A4">
        <w:t xml:space="preserve"> government</w:t>
      </w:r>
      <w:bookmarkEnd w:id="114"/>
    </w:p>
    <w:p w14:paraId="15113844" w14:textId="77777777" w:rsidR="004B636E" w:rsidRDefault="00595CB4" w:rsidP="00843660">
      <w:pPr>
        <w:pStyle w:val="Heading3"/>
      </w:pPr>
      <w:r>
        <w:t>Issue</w:t>
      </w:r>
    </w:p>
    <w:p w14:paraId="50A83E5A" w14:textId="07A488C0" w:rsidR="0028269C" w:rsidRDefault="00722914" w:rsidP="000022E1">
      <w:r>
        <w:t xml:space="preserve">Whether </w:t>
      </w:r>
      <w:r w:rsidR="00BC7D46">
        <w:t>and to what extent</w:t>
      </w:r>
      <w:r>
        <w:t xml:space="preserve"> the </w:t>
      </w:r>
      <w:r w:rsidR="00B97B26">
        <w:t>g</w:t>
      </w:r>
      <w:r>
        <w:t xml:space="preserve">overnment should be compensated for </w:t>
      </w:r>
      <w:r w:rsidR="0028269C">
        <w:t>the financial benefit</w:t>
      </w:r>
      <w:r w:rsidR="00F53FDA">
        <w:t>s</w:t>
      </w:r>
      <w:r w:rsidR="0028269C">
        <w:t xml:space="preserve"> it provides to the ARPC.</w:t>
      </w:r>
    </w:p>
    <w:p w14:paraId="616CEA22" w14:textId="77777777" w:rsidR="00BC7D46" w:rsidRDefault="00BC7D46" w:rsidP="00843660">
      <w:pPr>
        <w:pStyle w:val="Heading3"/>
      </w:pPr>
      <w:r>
        <w:t>Recommendation</w:t>
      </w:r>
    </w:p>
    <w:p w14:paraId="07551769" w14:textId="77777777" w:rsidR="00903C67" w:rsidRDefault="00903C67" w:rsidP="00903C67">
      <w:r>
        <w:rPr>
          <w:noProof/>
        </w:rPr>
        <mc:AlternateContent>
          <mc:Choice Requires="wps">
            <w:drawing>
              <wp:anchor distT="0" distB="0" distL="114300" distR="114300" simplePos="0" relativeHeight="251658249" behindDoc="0" locked="0" layoutInCell="1" allowOverlap="1" wp14:anchorId="7A64F00F" wp14:editId="12571F59">
                <wp:simplePos x="0" y="0"/>
                <wp:positionH relativeFrom="column">
                  <wp:align>center</wp:align>
                </wp:positionH>
                <wp:positionV relativeFrom="paragraph">
                  <wp:posOffset>0</wp:posOffset>
                </wp:positionV>
                <wp:extent cx="5286375" cy="1371600"/>
                <wp:effectExtent l="0" t="0" r="28575"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13716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3341902" w14:textId="48B96810" w:rsidR="00036AEB" w:rsidRDefault="00036AEB" w:rsidP="00903C67">
                            <w:r>
                              <w:rPr>
                                <w:i/>
                              </w:rPr>
                              <w:t>Recommendation 7</w:t>
                            </w:r>
                            <w:r>
                              <w:t>: That the ARPC pay to the Commonwealth each year, commencing in 2016-17:</w:t>
                            </w:r>
                          </w:p>
                          <w:p w14:paraId="60B050B2" w14:textId="77777777" w:rsidR="00036AEB" w:rsidRDefault="00036AEB" w:rsidP="002261E5">
                            <w:pPr>
                              <w:pStyle w:val="Bullet"/>
                              <w:numPr>
                                <w:ilvl w:val="0"/>
                                <w:numId w:val="39"/>
                              </w:numPr>
                              <w:tabs>
                                <w:tab w:val="clear" w:pos="566"/>
                                <w:tab w:val="num" w:pos="426"/>
                                <w:tab w:val="left" w:pos="709"/>
                                <w:tab w:val="left" w:pos="851"/>
                              </w:tabs>
                              <w:ind w:left="397" w:hanging="397"/>
                            </w:pPr>
                            <w:r>
                              <w:t>a fee of $55 million in respect of the Commonwealth guarantee of the ARPC’s liabilities; and</w:t>
                            </w:r>
                          </w:p>
                          <w:p w14:paraId="671496E0" w14:textId="77777777" w:rsidR="00036AEB" w:rsidRDefault="00036AEB" w:rsidP="002261E5">
                            <w:pPr>
                              <w:pStyle w:val="Bullet"/>
                              <w:numPr>
                                <w:ilvl w:val="0"/>
                                <w:numId w:val="39"/>
                              </w:numPr>
                              <w:tabs>
                                <w:tab w:val="clear" w:pos="566"/>
                                <w:tab w:val="left" w:pos="426"/>
                                <w:tab w:val="left" w:pos="709"/>
                              </w:tabs>
                              <w:ind w:left="397" w:hanging="397"/>
                            </w:pPr>
                            <w:proofErr w:type="gramStart"/>
                            <w:r>
                              <w:t>an</w:t>
                            </w:r>
                            <w:proofErr w:type="gramEnd"/>
                            <w:r>
                              <w:t xml:space="preserve"> additional amount of $35 million per annum to reflect the Commonwealth’s support in making the ARPC reserves available for payment of claims.</w:t>
                            </w:r>
                          </w:p>
                          <w:p w14:paraId="48FB28B7" w14:textId="17F98523" w:rsidR="00036AEB" w:rsidRDefault="00036A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0;width:416.25pt;height:108pt;z-index:251658249;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" fillcolor="white [3201]" strokecolor="#4f81bd [3204]" strokeweight="2pt">
                <v:textbox>
                  <w:txbxContent>
                    <w:p w14:paraId="63341902" w14:textId="48B96810" w:rsidR="00036AEB" w:rsidRDefault="00036AEB" w:rsidP="00903C67">
                      <w:r>
                        <w:rPr>
                          <w:i/>
                        </w:rPr>
                        <w:t>Recommendation 7</w:t>
                      </w:r>
                      <w:r>
                        <w:t>: That the ARPC pay to the Commonwealth each year, commencing in 2016-17:</w:t>
                      </w:r>
                    </w:p>
                    <w:p w14:paraId="60B050B2" w14:textId="77777777" w:rsidR="00036AEB" w:rsidRDefault="00036AEB" w:rsidP="002261E5">
                      <w:pPr>
                        <w:pStyle w:val="Bullet"/>
                        <w:numPr>
                          <w:ilvl w:val="0"/>
                          <w:numId w:val="39"/>
                        </w:numPr>
                        <w:tabs>
                          <w:tab w:val="clear" w:pos="566"/>
                          <w:tab w:val="num" w:pos="426"/>
                          <w:tab w:val="left" w:pos="709"/>
                          <w:tab w:val="left" w:pos="851"/>
                        </w:tabs>
                        <w:ind w:left="397" w:hanging="397"/>
                      </w:pPr>
                      <w:r>
                        <w:t>a fee of $55 million in respect of the Commonwealth guarantee of the ARPC’s liabilities; and</w:t>
                      </w:r>
                    </w:p>
                    <w:p w14:paraId="671496E0" w14:textId="77777777" w:rsidR="00036AEB" w:rsidRDefault="00036AEB" w:rsidP="002261E5">
                      <w:pPr>
                        <w:pStyle w:val="Bullet"/>
                        <w:numPr>
                          <w:ilvl w:val="0"/>
                          <w:numId w:val="39"/>
                        </w:numPr>
                        <w:tabs>
                          <w:tab w:val="clear" w:pos="566"/>
                          <w:tab w:val="left" w:pos="426"/>
                          <w:tab w:val="left" w:pos="709"/>
                        </w:tabs>
                        <w:ind w:left="397" w:hanging="397"/>
                      </w:pPr>
                      <w:proofErr w:type="gramStart"/>
                      <w:r>
                        <w:t>an</w:t>
                      </w:r>
                      <w:proofErr w:type="gramEnd"/>
                      <w:r>
                        <w:t xml:space="preserve"> additional amount of $35 million per annum to reflect the Commonwealth’s support in making the ARPC reserves available for payment of claims.</w:t>
                      </w:r>
                    </w:p>
                    <w:p w14:paraId="48FB28B7" w14:textId="17F98523" w:rsidR="00036AEB" w:rsidRDefault="00036AEB"/>
                  </w:txbxContent>
                </v:textbox>
              </v:shape>
            </w:pict>
          </mc:Fallback>
        </mc:AlternateContent>
      </w:r>
    </w:p>
    <w:p w14:paraId="4F03E0F0" w14:textId="08AA463C" w:rsidR="00903C67" w:rsidRDefault="00903C67" w:rsidP="00903C67"/>
    <w:p w14:paraId="785462F6" w14:textId="77777777" w:rsidR="00903C67" w:rsidRDefault="00903C67" w:rsidP="00903C67"/>
    <w:p w14:paraId="193E531F" w14:textId="77777777" w:rsidR="006A488B" w:rsidRDefault="006A488B" w:rsidP="00843660">
      <w:pPr>
        <w:pStyle w:val="Heading3"/>
      </w:pPr>
      <w:r>
        <w:lastRenderedPageBreak/>
        <w:t xml:space="preserve">Background </w:t>
      </w:r>
    </w:p>
    <w:p w14:paraId="0707970B" w14:textId="18CF9DEF" w:rsidR="00A9249A" w:rsidRPr="00843660" w:rsidRDefault="0096202F" w:rsidP="00A9249A">
      <w:r>
        <w:t>The ARPC</w:t>
      </w:r>
      <w:r w:rsidR="00B97B26">
        <w:t xml:space="preserve"> is not a mutual pool. It is a g</w:t>
      </w:r>
      <w:r>
        <w:t xml:space="preserve">overnment owned reinsurance agency that provides reinsurance cover to industry on the same basis as that provided by commercial reinsurers. The premiums charged by the ARPC represent compensation for the risk of a claim occurring during the period of insurance. </w:t>
      </w:r>
      <w:r w:rsidR="00F53FDA">
        <w:t xml:space="preserve"> T</w:t>
      </w:r>
      <w:r w:rsidR="00A9249A">
        <w:t>he government bears considerable risk in the event of a claim. In the first instance</w:t>
      </w:r>
      <w:r w:rsidR="00E150BF">
        <w:t>,</w:t>
      </w:r>
      <w:r w:rsidR="00A9249A">
        <w:t xml:space="preserve"> the government’s equity in the ARPC would be reduced as claims are paid out of its pool. Further, in the event of a large claim that exhausts the capital retained in the ARPC and any retrocession purchased by the ARPC, the government will be called upon to cover losses.</w:t>
      </w:r>
    </w:p>
    <w:p w14:paraId="5A940543" w14:textId="14F44188" w:rsidR="0028269C" w:rsidRDefault="00A04ADC" w:rsidP="00D10BA5">
      <w:r w:rsidRPr="00843660">
        <w:t xml:space="preserve">Since its inception, the </w:t>
      </w:r>
      <w:r w:rsidR="00DC4810">
        <w:t>ARPC</w:t>
      </w:r>
      <w:r w:rsidRPr="00843660">
        <w:t xml:space="preserve"> has been backed by a government guarantee of the ARPC</w:t>
      </w:r>
      <w:r>
        <w:t>’</w:t>
      </w:r>
      <w:r w:rsidRPr="00843660">
        <w:t xml:space="preserve">s liabilities to the amount of $10 billion. </w:t>
      </w:r>
      <w:r w:rsidR="0028269C">
        <w:t>From the scheme’s commencement, it was intended that the Commonwealth be compensated for the risk it assumed in providing its guarantee</w:t>
      </w:r>
      <w:r w:rsidR="00F53FDA">
        <w:t xml:space="preserve">. </w:t>
      </w:r>
      <w:r w:rsidR="0028269C">
        <w:t>As outlined in the Revised Explanatory Memorandum to the Terrorism Insurance Bill 2002, the intention was</w:t>
      </w:r>
      <w:r w:rsidR="00E150BF">
        <w:t xml:space="preserve"> </w:t>
      </w:r>
      <w:r w:rsidR="0028269C">
        <w:t xml:space="preserve">“that risk transferred to the Commonwealth is appropriately priced and that the Commonwealth is compensated by those benefiting from the assistance”. </w:t>
      </w:r>
    </w:p>
    <w:p w14:paraId="7B9AD159" w14:textId="795EE12F" w:rsidR="00B719A4" w:rsidRDefault="0028269C" w:rsidP="0028269C">
      <w:r>
        <w:t>Initially no charge was made for the Commonwealth’s assistance to the scheme, allowing i</w:t>
      </w:r>
      <w:r w:rsidR="00595CB4">
        <w:t>ncome</w:t>
      </w:r>
      <w:r w:rsidR="00F34A1D">
        <w:t> </w:t>
      </w:r>
      <w:r w:rsidR="00595CB4">
        <w:t xml:space="preserve">from premiums </w:t>
      </w:r>
      <w:r w:rsidR="007D508D">
        <w:t xml:space="preserve">to be used </w:t>
      </w:r>
      <w:r w:rsidR="00595CB4">
        <w:t>to</w:t>
      </w:r>
      <w:r w:rsidR="00B719A4">
        <w:t xml:space="preserve"> build up capital </w:t>
      </w:r>
      <w:r w:rsidR="00595CB4">
        <w:t xml:space="preserve">within the ARPC as a </w:t>
      </w:r>
      <w:r w:rsidR="00B719A4">
        <w:t>reserve</w:t>
      </w:r>
      <w:r w:rsidR="00FE6852">
        <w:t xml:space="preserve"> fund</w:t>
      </w:r>
      <w:r w:rsidR="00935D63">
        <w:t xml:space="preserve"> to act as a buffer against a claim on the </w:t>
      </w:r>
      <w:r w:rsidR="00595CB4">
        <w:t xml:space="preserve">government </w:t>
      </w:r>
      <w:r w:rsidR="00935D63">
        <w:t>guarantee.</w:t>
      </w:r>
      <w:r w:rsidR="00595CB4">
        <w:t xml:space="preserve"> </w:t>
      </w:r>
    </w:p>
    <w:p w14:paraId="7D5E46C1" w14:textId="77777777" w:rsidR="00A9249A" w:rsidRDefault="00A9249A" w:rsidP="0089533B">
      <w:pPr>
        <w:pStyle w:val="Heading3"/>
      </w:pPr>
      <w:r>
        <w:t>Nature of Government Support</w:t>
      </w:r>
    </w:p>
    <w:p w14:paraId="35676DB1" w14:textId="055108CA" w:rsidR="00C36CF7" w:rsidRPr="003654D2" w:rsidRDefault="00C36CF7" w:rsidP="00C36CF7">
      <w:pPr>
        <w:rPr>
          <w:color w:val="auto"/>
        </w:rPr>
      </w:pPr>
      <w:r w:rsidRPr="003654D2">
        <w:rPr>
          <w:color w:val="auto"/>
        </w:rPr>
        <w:t>In determining a f</w:t>
      </w:r>
      <w:r w:rsidR="00B97B26">
        <w:rPr>
          <w:color w:val="auto"/>
        </w:rPr>
        <w:t>air amount of compensation for g</w:t>
      </w:r>
      <w:r w:rsidRPr="003654D2">
        <w:rPr>
          <w:color w:val="auto"/>
        </w:rPr>
        <w:t>overnment support to the ARPC, it is instructive to consider the nature of t</w:t>
      </w:r>
      <w:r w:rsidR="00B97B26">
        <w:rPr>
          <w:color w:val="auto"/>
        </w:rPr>
        <w:t>hat support. It is open to the g</w:t>
      </w:r>
      <w:r w:rsidRPr="003654D2">
        <w:rPr>
          <w:color w:val="auto"/>
        </w:rPr>
        <w:t>overnment to raise premiums at any time, including following a DTI and subsequent claim on the scheme</w:t>
      </w:r>
      <w:r w:rsidR="003654D2" w:rsidRPr="003654D2">
        <w:rPr>
          <w:color w:val="auto"/>
        </w:rPr>
        <w:t xml:space="preserve">. </w:t>
      </w:r>
      <w:r w:rsidRPr="003654D2">
        <w:rPr>
          <w:color w:val="auto"/>
        </w:rPr>
        <w:t>This does not, however, have the consequence that the scheme is intended to be a ‘post-funded’ one in the sense that stakeholders would be required to ‘repay’ funds expended by the Commonwealth as a result of the guarantee. The ARPC provides reinsurance to insurers and is not able to demand repayment of any claims made on it. Similarly, the support provided by the Commonwealth as guarantor is in the nature of reinsurance rather than temporary liquidity.</w:t>
      </w:r>
    </w:p>
    <w:p w14:paraId="6A9EAAA8" w14:textId="77777777" w:rsidR="00C36CF7" w:rsidRPr="003654D2" w:rsidRDefault="00C36CF7" w:rsidP="00C36CF7">
      <w:pPr>
        <w:rPr>
          <w:color w:val="auto"/>
        </w:rPr>
      </w:pPr>
      <w:r w:rsidRPr="003654D2">
        <w:rPr>
          <w:color w:val="auto"/>
        </w:rPr>
        <w:t xml:space="preserve">Post-funding would be similarly complicated by the fact that the scheme as it currently stands is not compulsory, so that any increase in premiums following an event may result in insurers looking for retrocession cover outside the ARPC scheme. In this regard, the terrorism insurance scheme stands in contrast to the Financial Claims Scheme, for example, which </w:t>
      </w:r>
      <w:r w:rsidRPr="003654D2">
        <w:rPr>
          <w:i/>
          <w:iCs/>
          <w:color w:val="auto"/>
        </w:rPr>
        <w:t>imposes</w:t>
      </w:r>
      <w:r w:rsidRPr="003654D2">
        <w:rPr>
          <w:color w:val="auto"/>
        </w:rPr>
        <w:t xml:space="preserve"> a levy on industry, if required, in the aftermath of the failure of a financial sector entity. While flexibility remains for ARPC premiums to increase following a large claim, insurers are not compelled to reinsure with it. </w:t>
      </w:r>
    </w:p>
    <w:p w14:paraId="50C658D7" w14:textId="69F47455" w:rsidR="00C36CF7" w:rsidRDefault="00C36CF7" w:rsidP="00C36CF7">
      <w:r>
        <w:t>The result is th</w:t>
      </w:r>
      <w:r w:rsidR="00B97B26">
        <w:t>at the support provided by the g</w:t>
      </w:r>
      <w:r>
        <w:t>overnment guarantee is akin, if not identical to, retrocession cover, and this is an appropriate starting point for assessing the amount of compensation that should be paid to the Commonwealth.</w:t>
      </w:r>
    </w:p>
    <w:p w14:paraId="1186EDDE" w14:textId="77777777" w:rsidR="00567860" w:rsidRDefault="00567860" w:rsidP="00567860">
      <w:pPr>
        <w:pStyle w:val="Heading3"/>
      </w:pPr>
      <w:r>
        <w:t>Assessment</w:t>
      </w:r>
    </w:p>
    <w:p w14:paraId="7B73476F" w14:textId="2CBCA3D5" w:rsidR="004729A9" w:rsidRDefault="00326E1A" w:rsidP="000022E1">
      <w:r>
        <w:t>F</w:t>
      </w:r>
      <w:r w:rsidR="006A488B">
        <w:t>rom the 2012</w:t>
      </w:r>
      <w:r w:rsidR="008A07A0">
        <w:noBreakHyphen/>
      </w:r>
      <w:r w:rsidR="006A488B">
        <w:t xml:space="preserve">13 </w:t>
      </w:r>
      <w:r w:rsidR="00921211">
        <w:t>fiscal year</w:t>
      </w:r>
      <w:r w:rsidR="00E150BF">
        <w:t>,</w:t>
      </w:r>
      <w:r w:rsidR="006A488B">
        <w:t xml:space="preserve"> the ARPC began </w:t>
      </w:r>
      <w:r>
        <w:t>to compensate the</w:t>
      </w:r>
      <w:r w:rsidR="006A488B">
        <w:t xml:space="preserve"> </w:t>
      </w:r>
      <w:r w:rsidR="00B97B26">
        <w:t>g</w:t>
      </w:r>
      <w:r w:rsidR="006A488B">
        <w:t>overnment</w:t>
      </w:r>
      <w:r>
        <w:t xml:space="preserve"> for the guarantee</w:t>
      </w:r>
      <w:r w:rsidR="007D508D">
        <w:t xml:space="preserve"> and this has continued to the time of this review</w:t>
      </w:r>
      <w:r w:rsidR="006A488B">
        <w:t>.</w:t>
      </w:r>
      <w:r>
        <w:t xml:space="preserve"> </w:t>
      </w:r>
      <w:r w:rsidR="006A488B">
        <w:t xml:space="preserve">The </w:t>
      </w:r>
      <w:r w:rsidR="007D508D">
        <w:t xml:space="preserve">current </w:t>
      </w:r>
      <w:r>
        <w:t xml:space="preserve">compensation </w:t>
      </w:r>
      <w:r w:rsidR="007D508D">
        <w:t xml:space="preserve">arrangements are </w:t>
      </w:r>
      <w:r>
        <w:t xml:space="preserve">split </w:t>
      </w:r>
      <w:r w:rsidR="006A488B">
        <w:t>into a fee and dividend</w:t>
      </w:r>
      <w:r>
        <w:t>:</w:t>
      </w:r>
      <w:r w:rsidR="006A488B">
        <w:t xml:space="preserve"> </w:t>
      </w:r>
      <w:r>
        <w:t>the</w:t>
      </w:r>
      <w:r w:rsidR="006A488B">
        <w:t xml:space="preserve"> fee </w:t>
      </w:r>
      <w:r w:rsidR="007D508D">
        <w:t>represents</w:t>
      </w:r>
      <w:r>
        <w:t xml:space="preserve"> </w:t>
      </w:r>
      <w:r w:rsidR="006A488B">
        <w:t xml:space="preserve">a reasonable annual charge for the guarantee ($55 million), </w:t>
      </w:r>
      <w:r>
        <w:t>while the</w:t>
      </w:r>
      <w:r w:rsidR="006A488B">
        <w:t xml:space="preserve"> dividend </w:t>
      </w:r>
      <w:r w:rsidR="004C60DF">
        <w:t xml:space="preserve">($57.5 million) </w:t>
      </w:r>
      <w:r>
        <w:t>provide</w:t>
      </w:r>
      <w:r w:rsidR="004C60DF">
        <w:t>s</w:t>
      </w:r>
      <w:r>
        <w:t xml:space="preserve"> retrospective compensation </w:t>
      </w:r>
      <w:r w:rsidR="006A488B">
        <w:t>for the years</w:t>
      </w:r>
      <w:r>
        <w:t xml:space="preserve"> that</w:t>
      </w:r>
      <w:r w:rsidR="006A488B">
        <w:t xml:space="preserve"> taxpayers were not compensated for </w:t>
      </w:r>
      <w:r>
        <w:t xml:space="preserve">providing </w:t>
      </w:r>
      <w:r w:rsidR="006A488B">
        <w:t xml:space="preserve">the guarantee. </w:t>
      </w:r>
      <w:r w:rsidR="004C60DF">
        <w:t>The dividend is set to cease after 2017</w:t>
      </w:r>
      <w:r w:rsidR="00283399">
        <w:t>-</w:t>
      </w:r>
      <w:r w:rsidR="004C60DF">
        <w:t>18</w:t>
      </w:r>
      <w:r w:rsidR="00EC110F">
        <w:t xml:space="preserve">. </w:t>
      </w:r>
      <w:r w:rsidR="00BA5707">
        <w:t xml:space="preserve">A study by the AGA </w:t>
      </w:r>
      <w:r w:rsidR="00E150BF">
        <w:t xml:space="preserve">put </w:t>
      </w:r>
      <w:r w:rsidR="00BA5707">
        <w:t xml:space="preserve">the value to the ARPC </w:t>
      </w:r>
      <w:r w:rsidR="004729A9">
        <w:t xml:space="preserve">(and those it reinsures) </w:t>
      </w:r>
      <w:r w:rsidR="00BA5707">
        <w:t>of the guarantee over this period</w:t>
      </w:r>
      <w:r w:rsidR="00E150BF">
        <w:t xml:space="preserve"> </w:t>
      </w:r>
      <w:r w:rsidR="00E150BF">
        <w:lastRenderedPageBreak/>
        <w:t>(</w:t>
      </w:r>
      <w:r w:rsidR="00A9249A">
        <w:t>having regard to the background as set out above</w:t>
      </w:r>
      <w:r w:rsidR="00E150BF">
        <w:t>)</w:t>
      </w:r>
      <w:r w:rsidR="00BA5707">
        <w:t xml:space="preserve"> </w:t>
      </w:r>
      <w:r w:rsidR="00E150BF">
        <w:t>at</w:t>
      </w:r>
      <w:r w:rsidR="00BA5707">
        <w:t xml:space="preserve"> </w:t>
      </w:r>
      <w:r w:rsidR="007122E6">
        <w:t xml:space="preserve">least </w:t>
      </w:r>
      <w:r w:rsidR="00BA5707">
        <w:t>$800 million.</w:t>
      </w:r>
      <w:r w:rsidR="004729A9">
        <w:t xml:space="preserve"> </w:t>
      </w:r>
      <w:r w:rsidR="004C60DF">
        <w:t xml:space="preserve">The task of this review is to assess an appropriate and sustainable level of compensation for the </w:t>
      </w:r>
      <w:r w:rsidR="004C60DF" w:rsidRPr="002818C8">
        <w:t>ARPC to pay to the Commonwealth on an ongoing basis.</w:t>
      </w:r>
      <w:r w:rsidR="00E150BF">
        <w:t xml:space="preserve"> </w:t>
      </w:r>
    </w:p>
    <w:p w14:paraId="03D0A405" w14:textId="7F6BAE29" w:rsidR="00A7014D" w:rsidRPr="0089533B" w:rsidRDefault="006A488B" w:rsidP="000022E1">
      <w:proofErr w:type="spellStart"/>
      <w:r w:rsidRPr="0089533B">
        <w:t>Pottinger</w:t>
      </w:r>
      <w:proofErr w:type="spellEnd"/>
      <w:r w:rsidRPr="0089533B">
        <w:t xml:space="preserve"> </w:t>
      </w:r>
      <w:r w:rsidR="00A7014D" w:rsidRPr="0089533B">
        <w:t>estimate</w:t>
      </w:r>
      <w:r w:rsidR="00567860" w:rsidRPr="0089533B">
        <w:t>s</w:t>
      </w:r>
      <w:r w:rsidR="00A7014D" w:rsidRPr="0089533B">
        <w:t xml:space="preserve"> that, if the ARPC w</w:t>
      </w:r>
      <w:r w:rsidR="005A1BB5">
        <w:t>as</w:t>
      </w:r>
      <w:r w:rsidR="00A7014D" w:rsidRPr="0089533B">
        <w:t xml:space="preserve"> to replace the government guarantee with private retrocession of $10 billion in the private market (if it </w:t>
      </w:r>
      <w:r w:rsidR="00BF7747">
        <w:t>was</w:t>
      </w:r>
      <w:r w:rsidR="00BF7747" w:rsidRPr="0089533B">
        <w:t xml:space="preserve"> </w:t>
      </w:r>
      <w:r w:rsidR="00A7014D" w:rsidRPr="0089533B">
        <w:t>available),</w:t>
      </w:r>
      <w:r w:rsidRPr="0089533B">
        <w:t xml:space="preserve"> </w:t>
      </w:r>
      <w:r w:rsidR="00BF7747">
        <w:t>this</w:t>
      </w:r>
      <w:r w:rsidR="00BF7747" w:rsidRPr="0089533B">
        <w:t xml:space="preserve"> </w:t>
      </w:r>
      <w:r w:rsidRPr="0089533B">
        <w:t xml:space="preserve">would cost around </w:t>
      </w:r>
      <w:r w:rsidR="00431A38" w:rsidRPr="0089533B">
        <w:t>$200 million</w:t>
      </w:r>
      <w:r w:rsidR="00567860" w:rsidRPr="0089533B">
        <w:t xml:space="preserve"> annually</w:t>
      </w:r>
      <w:r w:rsidR="00431A38" w:rsidRPr="0089533B">
        <w:t xml:space="preserve">. This estimate </w:t>
      </w:r>
      <w:r w:rsidR="00BA5707" w:rsidRPr="0089533B">
        <w:t xml:space="preserve">assumes the </w:t>
      </w:r>
      <w:r w:rsidR="00A7014D" w:rsidRPr="0089533B">
        <w:t>premium paid by the</w:t>
      </w:r>
      <w:r w:rsidR="00BA5707" w:rsidRPr="0089533B">
        <w:t xml:space="preserve"> ARPC would be equal to</w:t>
      </w:r>
      <w:r w:rsidR="00431A38" w:rsidRPr="0089533B">
        <w:t xml:space="preserve"> the marginal rate on line for the ARPC</w:t>
      </w:r>
      <w:r w:rsidR="008A07A0" w:rsidRPr="0089533B">
        <w:t>’</w:t>
      </w:r>
      <w:r w:rsidR="00431A38" w:rsidRPr="0089533B">
        <w:t>s retrocession program</w:t>
      </w:r>
      <w:r w:rsidR="00BA5707" w:rsidRPr="0089533B">
        <w:t xml:space="preserve"> in 2014</w:t>
      </w:r>
      <w:r w:rsidR="00431A38" w:rsidRPr="0089533B">
        <w:t xml:space="preserve">. </w:t>
      </w:r>
      <w:proofErr w:type="spellStart"/>
      <w:r w:rsidR="00431A38" w:rsidRPr="0089533B">
        <w:t>Pottinger</w:t>
      </w:r>
      <w:proofErr w:type="spellEnd"/>
      <w:r w:rsidR="00431A38" w:rsidRPr="0089533B">
        <w:t xml:space="preserve"> argues that this rate is the minimum rate </w:t>
      </w:r>
      <w:r w:rsidR="00BF7747">
        <w:t xml:space="preserve">at which </w:t>
      </w:r>
      <w:r w:rsidR="00431A38" w:rsidRPr="0089533B">
        <w:t xml:space="preserve">the private sector </w:t>
      </w:r>
      <w:r w:rsidR="00431A38" w:rsidRPr="004729A9">
        <w:rPr>
          <w:i/>
        </w:rPr>
        <w:t>could</w:t>
      </w:r>
      <w:r w:rsidR="00431A38" w:rsidRPr="0089533B">
        <w:t xml:space="preserve"> provide </w:t>
      </w:r>
      <w:r w:rsidR="00A7014D" w:rsidRPr="0089533B">
        <w:t>retrocess</w:t>
      </w:r>
      <w:r w:rsidR="00567860" w:rsidRPr="0089533B">
        <w:t>ion</w:t>
      </w:r>
      <w:r w:rsidR="00173C54" w:rsidRPr="0089533B">
        <w:t>.</w:t>
      </w:r>
    </w:p>
    <w:p w14:paraId="76310EA2" w14:textId="518720F3" w:rsidR="004B636E" w:rsidRDefault="00080201" w:rsidP="000022E1">
      <w:r w:rsidRPr="00843660">
        <w:t>T</w:t>
      </w:r>
      <w:r w:rsidR="004B636E" w:rsidRPr="00843660">
        <w:t xml:space="preserve">he </w:t>
      </w:r>
      <w:r w:rsidR="00431A38" w:rsidRPr="00843660">
        <w:t>AGA</w:t>
      </w:r>
      <w:r w:rsidR="004B636E" w:rsidRPr="00843660">
        <w:t xml:space="preserve"> </w:t>
      </w:r>
      <w:r w:rsidR="00FE6852" w:rsidRPr="00843660">
        <w:t>provides a</w:t>
      </w:r>
      <w:r w:rsidR="006D5CEE">
        <w:t>n intentionally</w:t>
      </w:r>
      <w:r w:rsidR="00FE6852" w:rsidRPr="00843660">
        <w:t xml:space="preserve"> more conservative estimate of the value </w:t>
      </w:r>
      <w:r w:rsidR="00431A38" w:rsidRPr="00843660">
        <w:t xml:space="preserve">of the guarantee </w:t>
      </w:r>
      <w:r w:rsidR="00FE6852" w:rsidRPr="00843660">
        <w:t xml:space="preserve">to the ARPC of around $55 million, significantly below the charge </w:t>
      </w:r>
      <w:r w:rsidR="00BA5FAD" w:rsidRPr="00843660">
        <w:t xml:space="preserve">the </w:t>
      </w:r>
      <w:proofErr w:type="spellStart"/>
      <w:r w:rsidR="00BA5FAD" w:rsidRPr="00843660">
        <w:t>Pottinger</w:t>
      </w:r>
      <w:proofErr w:type="spellEnd"/>
      <w:r w:rsidR="00BA5FAD" w:rsidRPr="00843660">
        <w:t xml:space="preserve"> report estimates </w:t>
      </w:r>
      <w:r w:rsidR="00FE6852" w:rsidRPr="00843660">
        <w:t xml:space="preserve">would be applied by a private sector reinsurer. This estimate assumes </w:t>
      </w:r>
      <w:r w:rsidR="004B636E" w:rsidRPr="00843660">
        <w:t xml:space="preserve">the </w:t>
      </w:r>
      <w:r w:rsidR="00FE6852" w:rsidRPr="00843660">
        <w:t xml:space="preserve">first dollar of cover provided under the guarantee </w:t>
      </w:r>
      <w:r w:rsidR="006D5CEE">
        <w:t>c</w:t>
      </w:r>
      <w:r w:rsidR="00FE6852" w:rsidRPr="00843660">
        <w:t xml:space="preserve">ould be priced at the </w:t>
      </w:r>
      <w:r w:rsidR="00431A38" w:rsidRPr="00843660">
        <w:t>marginal rate on</w:t>
      </w:r>
      <w:r w:rsidR="004B636E" w:rsidRPr="00843660">
        <w:t xml:space="preserve"> line of the retrocession programme, </w:t>
      </w:r>
      <w:r w:rsidR="00FE6852" w:rsidRPr="00843660">
        <w:t>but</w:t>
      </w:r>
      <w:r w:rsidR="004B636E" w:rsidRPr="00843660">
        <w:t xml:space="preserve"> that </w:t>
      </w:r>
      <w:r w:rsidR="008E5A69">
        <w:t>reasonable</w:t>
      </w:r>
      <w:r w:rsidR="004B636E" w:rsidRPr="00843660">
        <w:t xml:space="preserve"> </w:t>
      </w:r>
      <w:r w:rsidR="00431A38" w:rsidRPr="00843660">
        <w:t xml:space="preserve">fee </w:t>
      </w:r>
      <w:r w:rsidR="004B636E" w:rsidRPr="00843660">
        <w:t xml:space="preserve">falls for each additional dollar of the guarantee provided. </w:t>
      </w:r>
      <w:r w:rsidR="00B14625">
        <w:t>In effect, the AGA’s valuation impli</w:t>
      </w:r>
      <w:r w:rsidR="008F0D24">
        <w:t>es zero charge for the last $3 billion</w:t>
      </w:r>
      <w:r w:rsidR="00B14625">
        <w:t xml:space="preserve"> of the guarantee. The end result is</w:t>
      </w:r>
      <w:r w:rsidR="00B14625" w:rsidRPr="00843660">
        <w:t xml:space="preserve"> </w:t>
      </w:r>
      <w:r w:rsidR="00FE6852" w:rsidRPr="00843660">
        <w:t xml:space="preserve">a fee below the private sector charge as the </w:t>
      </w:r>
      <w:r w:rsidR="005A1BB5">
        <w:t>g</w:t>
      </w:r>
      <w:r w:rsidR="00FE6852" w:rsidRPr="00843660">
        <w:t xml:space="preserve">overnment does not have to </w:t>
      </w:r>
      <w:r w:rsidR="0071416B">
        <w:t>achieve ‘market returns’</w:t>
      </w:r>
      <w:r w:rsidR="004729A9">
        <w:t>.</w:t>
      </w:r>
    </w:p>
    <w:p w14:paraId="530B5B9E" w14:textId="0E2453AB" w:rsidR="008E0F89" w:rsidRPr="00843660" w:rsidRDefault="008E0F89" w:rsidP="000022E1">
      <w:r w:rsidRPr="00843660">
        <w:t>To date</w:t>
      </w:r>
      <w:r w:rsidR="003A01E6">
        <w:t>,</w:t>
      </w:r>
      <w:r w:rsidRPr="00843660">
        <w:t xml:space="preserve"> the </w:t>
      </w:r>
      <w:r w:rsidR="00B97B26">
        <w:t>g</w:t>
      </w:r>
      <w:r w:rsidRPr="00843660">
        <w:t xml:space="preserve">overnment has received no compensation for </w:t>
      </w:r>
      <w:r>
        <w:t xml:space="preserve">allowing the ARPC to retain capital to fund a potential </w:t>
      </w:r>
      <w:r w:rsidRPr="002818C8">
        <w:t>claim</w:t>
      </w:r>
      <w:r w:rsidR="00E426C9" w:rsidRPr="002818C8">
        <w:t>, even though the ARPC has built up a significant pool</w:t>
      </w:r>
      <w:r w:rsidR="004729A9">
        <w:t xml:space="preserve"> through its reinsurance operations</w:t>
      </w:r>
      <w:r w:rsidRPr="002818C8">
        <w:t xml:space="preserve">. </w:t>
      </w:r>
      <w:proofErr w:type="spellStart"/>
      <w:r w:rsidRPr="0089533B">
        <w:t>Pottinger</w:t>
      </w:r>
      <w:proofErr w:type="spellEnd"/>
      <w:r w:rsidRPr="0089533B">
        <w:t xml:space="preserve"> estimate</w:t>
      </w:r>
      <w:r w:rsidR="00567860" w:rsidRPr="0089533B">
        <w:t>s</w:t>
      </w:r>
      <w:r w:rsidRPr="0089533B">
        <w:t xml:space="preserve"> that the cost to the ARPC to reinsure the first $360 million of losses in the private market, which would currently be funded using the capital retained by the ARPC, would be between $30 million and $70 million. A similar value of $35 million is obtained by the AGA based </w:t>
      </w:r>
      <w:r w:rsidR="003A01E6">
        <w:t xml:space="preserve">on </w:t>
      </w:r>
      <w:r w:rsidRPr="0089533B">
        <w:t xml:space="preserve">the ARPC holding a capital pool of $500 million. Both of these calculations draw on actual premiums paid by the ARPC for retrocession. </w:t>
      </w:r>
    </w:p>
    <w:p w14:paraId="75C68C32" w14:textId="47857852" w:rsidR="004C60DF" w:rsidRDefault="00431A38" w:rsidP="000022E1">
      <w:r w:rsidRPr="00843660">
        <w:t xml:space="preserve">Given the principle that the </w:t>
      </w:r>
      <w:r w:rsidR="00B97B26">
        <w:t>g</w:t>
      </w:r>
      <w:r w:rsidRPr="00843660">
        <w:t xml:space="preserve">overnment should be fairly compensated for taking on the risk, </w:t>
      </w:r>
      <w:r w:rsidR="00026294">
        <w:t xml:space="preserve">a </w:t>
      </w:r>
      <w:r w:rsidRPr="00843660">
        <w:t xml:space="preserve">fee </w:t>
      </w:r>
      <w:r w:rsidR="00567860">
        <w:t xml:space="preserve">or dividend </w:t>
      </w:r>
      <w:r w:rsidRPr="00843660">
        <w:t>consistent with the AGA</w:t>
      </w:r>
      <w:r w:rsidR="008A07A0">
        <w:t>’</w:t>
      </w:r>
      <w:r w:rsidRPr="00843660">
        <w:t xml:space="preserve">s </w:t>
      </w:r>
      <w:r w:rsidR="00026294">
        <w:t xml:space="preserve">more conservative </w:t>
      </w:r>
      <w:r w:rsidRPr="00843660">
        <w:t>estimate</w:t>
      </w:r>
      <w:r w:rsidR="00E426C9">
        <w:t xml:space="preserve"> of $</w:t>
      </w:r>
      <w:r w:rsidR="00567860">
        <w:t>35</w:t>
      </w:r>
      <w:r w:rsidR="00E426C9">
        <w:t> million</w:t>
      </w:r>
      <w:r w:rsidRPr="00843660">
        <w:t xml:space="preserve"> is </w:t>
      </w:r>
      <w:r w:rsidR="00567860">
        <w:t xml:space="preserve">considered </w:t>
      </w:r>
      <w:r w:rsidR="00026294">
        <w:t xml:space="preserve">more </w:t>
      </w:r>
      <w:r w:rsidRPr="00843660">
        <w:t>appropriate</w:t>
      </w:r>
      <w:r w:rsidR="00026294">
        <w:t xml:space="preserve"> than a full commercial rate</w:t>
      </w:r>
      <w:r w:rsidRPr="00843660">
        <w:t xml:space="preserve">. </w:t>
      </w:r>
      <w:r w:rsidR="00E426C9">
        <w:t xml:space="preserve">This fee represents fair compensation for the provision of </w:t>
      </w:r>
      <w:r w:rsidR="00B97B26">
        <w:t>around $500 million in g</w:t>
      </w:r>
      <w:r w:rsidR="00567860">
        <w:t>overnment funds in the form of the pool and reserves</w:t>
      </w:r>
      <w:r w:rsidR="00EC110F">
        <w:t xml:space="preserve">. </w:t>
      </w:r>
    </w:p>
    <w:p w14:paraId="5CFD4529" w14:textId="56DA7A3C" w:rsidR="00E426C9" w:rsidRDefault="00567860" w:rsidP="000022E1">
      <w:r>
        <w:t>Coupled with the fee of $55</w:t>
      </w:r>
      <w:r w:rsidR="0089533B">
        <w:t> </w:t>
      </w:r>
      <w:r>
        <w:t xml:space="preserve">million for the </w:t>
      </w:r>
      <w:r w:rsidR="004729A9">
        <w:t xml:space="preserve">$10 billion </w:t>
      </w:r>
      <w:r>
        <w:t>guarantee, this equates to an ongoing annual compensation amount of $90</w:t>
      </w:r>
      <w:r w:rsidR="0089533B">
        <w:t> </w:t>
      </w:r>
      <w:r>
        <w:t>million payable by the ARPC to the Commonwealth.</w:t>
      </w:r>
    </w:p>
    <w:p w14:paraId="7B531E6B" w14:textId="22902361" w:rsidR="00C630B2" w:rsidRDefault="00567860" w:rsidP="000022E1">
      <w:r>
        <w:t>Compensation</w:t>
      </w:r>
      <w:r w:rsidR="00E426C9">
        <w:t xml:space="preserve"> </w:t>
      </w:r>
      <w:r>
        <w:t>at this level</w:t>
      </w:r>
      <w:r w:rsidR="00431A38" w:rsidRPr="00843660">
        <w:t xml:space="preserve"> </w:t>
      </w:r>
      <w:r>
        <w:t xml:space="preserve">still </w:t>
      </w:r>
      <w:r w:rsidR="00431A38" w:rsidRPr="00843660">
        <w:t>allow</w:t>
      </w:r>
      <w:r>
        <w:t>s</w:t>
      </w:r>
      <w:r w:rsidR="00431A38" w:rsidRPr="00843660">
        <w:t xml:space="preserve"> the ARPC to offer cover at below the rate </w:t>
      </w:r>
      <w:r w:rsidR="003A01E6">
        <w:t>that</w:t>
      </w:r>
      <w:r w:rsidR="003A01E6" w:rsidRPr="00843660">
        <w:t xml:space="preserve"> </w:t>
      </w:r>
      <w:r w:rsidR="00431A38" w:rsidRPr="00843660">
        <w:t xml:space="preserve">could be provided by the private sector. </w:t>
      </w:r>
      <w:r>
        <w:t xml:space="preserve">This is considered appropriate unless or until there is evidence that suggests this impedes the return of the private market to provide reinsurance cover for terrorism. </w:t>
      </w:r>
    </w:p>
    <w:p w14:paraId="3EC2D79F" w14:textId="77777777" w:rsidR="00E426C9" w:rsidRPr="00843660" w:rsidRDefault="00567860" w:rsidP="00E426C9">
      <w:r>
        <w:t>T</w:t>
      </w:r>
      <w:r w:rsidR="00E426C9" w:rsidRPr="00843660">
        <w:t xml:space="preserve">he </w:t>
      </w:r>
      <w:r>
        <w:t xml:space="preserve">assessment of the </w:t>
      </w:r>
      <w:r w:rsidR="00E426C9" w:rsidRPr="00843660">
        <w:t xml:space="preserve">value of the government guarantee </w:t>
      </w:r>
      <w:r>
        <w:t xml:space="preserve">set out above assumes retrocession cover continues to be purchased at around the current level. </w:t>
      </w:r>
      <w:r w:rsidR="00E426C9" w:rsidRPr="00843660">
        <w:t xml:space="preserve">If the retrocession program were reduced </w:t>
      </w:r>
      <w:r>
        <w:t xml:space="preserve">in size, </w:t>
      </w:r>
      <w:r w:rsidR="00E426C9" w:rsidRPr="00843660">
        <w:t>the value of the guarantee would rise in line with the increasing risk that the guarantee would be called upon</w:t>
      </w:r>
      <w:r w:rsidR="00E426C9">
        <w:t xml:space="preserve"> and </w:t>
      </w:r>
      <w:r w:rsidR="00026294">
        <w:t xml:space="preserve">the fee </w:t>
      </w:r>
      <w:r w:rsidR="00E426C9">
        <w:t>would need to be reviewed</w:t>
      </w:r>
      <w:r w:rsidR="00E426C9" w:rsidRPr="00843660">
        <w:t>.</w:t>
      </w:r>
    </w:p>
    <w:p w14:paraId="53D6C60D" w14:textId="697BD499" w:rsidR="000956C5" w:rsidRPr="00843660" w:rsidRDefault="009F02C6" w:rsidP="000022E1">
      <w:r w:rsidRPr="00843660">
        <w:t xml:space="preserve">An implication of the higher compensation to the </w:t>
      </w:r>
      <w:r w:rsidR="00B97B26">
        <w:t>g</w:t>
      </w:r>
      <w:r w:rsidRPr="00843660">
        <w:t xml:space="preserve">overnment is that the ARPC will need to raise additional premiums. This is discussed </w:t>
      </w:r>
      <w:r w:rsidR="003A01E6">
        <w:t>in more detail</w:t>
      </w:r>
      <w:r w:rsidR="003A01E6" w:rsidRPr="00843660">
        <w:t xml:space="preserve"> </w:t>
      </w:r>
      <w:r w:rsidRPr="00843660">
        <w:t>below.</w:t>
      </w:r>
    </w:p>
    <w:p w14:paraId="5B8A756D" w14:textId="77777777" w:rsidR="00584D2A" w:rsidRPr="00843660" w:rsidRDefault="00584D2A" w:rsidP="00843660">
      <w:pPr>
        <w:pStyle w:val="Heading2"/>
      </w:pPr>
      <w:bookmarkStart w:id="115" w:name="_Toc437877563"/>
      <w:r w:rsidRPr="00843660">
        <w:lastRenderedPageBreak/>
        <w:t>Premium pricing</w:t>
      </w:r>
      <w:bookmarkEnd w:id="115"/>
    </w:p>
    <w:p w14:paraId="69C7AF63" w14:textId="77777777" w:rsidR="00584D2A" w:rsidRDefault="00584D2A" w:rsidP="00843660">
      <w:pPr>
        <w:pStyle w:val="Heading3"/>
      </w:pPr>
      <w:r>
        <w:t>Issue</w:t>
      </w:r>
    </w:p>
    <w:p w14:paraId="2CA04C2C" w14:textId="77777777" w:rsidR="00584D2A" w:rsidRPr="00563598" w:rsidRDefault="00584D2A" w:rsidP="000022E1">
      <w:pPr>
        <w:rPr>
          <w:rFonts w:cstheme="minorHAnsi"/>
        </w:rPr>
      </w:pPr>
      <w:r>
        <w:t>Whether current premiums</w:t>
      </w:r>
      <w:r>
        <w:rPr>
          <w:rFonts w:cstheme="minorHAnsi"/>
        </w:rPr>
        <w:t>:</w:t>
      </w:r>
    </w:p>
    <w:p w14:paraId="1C96FA58" w14:textId="77777777" w:rsidR="00584D2A" w:rsidRPr="00843660" w:rsidRDefault="00584D2A" w:rsidP="00843660">
      <w:pPr>
        <w:pStyle w:val="Bullet"/>
      </w:pPr>
      <w:r w:rsidRPr="00843660">
        <w:t>adequately reflect the cost of providing the terrorism reinsurance scheme; and</w:t>
      </w:r>
    </w:p>
    <w:p w14:paraId="670ECAF2" w14:textId="77777777" w:rsidR="00584D2A" w:rsidRPr="00843660" w:rsidRDefault="00584D2A" w:rsidP="00843660">
      <w:pPr>
        <w:pStyle w:val="Bullet"/>
      </w:pPr>
      <w:proofErr w:type="gramStart"/>
      <w:r w:rsidRPr="00843660">
        <w:t>in</w:t>
      </w:r>
      <w:proofErr w:type="gramEnd"/>
      <w:r w:rsidRPr="00843660">
        <w:t xml:space="preserve"> any way impede a competitor from providing terrorism reinsurance in Australia.</w:t>
      </w:r>
    </w:p>
    <w:p w14:paraId="3D8CA2F8" w14:textId="77777777" w:rsidR="00584D2A" w:rsidRDefault="00584D2A" w:rsidP="00843660">
      <w:pPr>
        <w:pStyle w:val="Heading3"/>
      </w:pPr>
      <w:r>
        <w:t>Recommendation</w:t>
      </w:r>
    </w:p>
    <w:p w14:paraId="7DADA486" w14:textId="77777777" w:rsidR="00220FAB" w:rsidRDefault="00220FAB" w:rsidP="00220FAB">
      <w:r>
        <w:rPr>
          <w:noProof/>
        </w:rPr>
        <mc:AlternateContent>
          <mc:Choice Requires="wps">
            <w:drawing>
              <wp:anchor distT="0" distB="0" distL="114300" distR="114300" simplePos="0" relativeHeight="251658245" behindDoc="0" locked="0" layoutInCell="1" allowOverlap="1" wp14:anchorId="61B695B0" wp14:editId="1E3457F9">
                <wp:simplePos x="0" y="0"/>
                <wp:positionH relativeFrom="column">
                  <wp:align>center</wp:align>
                </wp:positionH>
                <wp:positionV relativeFrom="paragraph">
                  <wp:posOffset>0</wp:posOffset>
                </wp:positionV>
                <wp:extent cx="4943475" cy="1276350"/>
                <wp:effectExtent l="0" t="0" r="28575"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12763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2FB6A40" w14:textId="6D7DFDD0" w:rsidR="00036AEB" w:rsidRPr="00716BDF" w:rsidRDefault="00036AEB" w:rsidP="00716BDF">
                            <w:pPr>
                              <w:rPr>
                                <w:i/>
                              </w:rPr>
                            </w:pPr>
                            <w:r>
                              <w:rPr>
                                <w:i/>
                              </w:rPr>
                              <w:t>Recommendation 8</w:t>
                            </w:r>
                            <w:r w:rsidRPr="00716BDF">
                              <w:rPr>
                                <w:i/>
                              </w:rPr>
                              <w:t xml:space="preserve">: </w:t>
                            </w:r>
                            <w:r w:rsidRPr="00716BDF">
                              <w:t xml:space="preserve">That the premiums charged by the ARPC be increased, with effect from 1 </w:t>
                            </w:r>
                            <w:r>
                              <w:t>April</w:t>
                            </w:r>
                            <w:r w:rsidRPr="00716BDF">
                              <w:t xml:space="preserve"> 2016, to:</w:t>
                            </w:r>
                          </w:p>
                          <w:p w14:paraId="1227FC15" w14:textId="6608839D" w:rsidR="00036AEB" w:rsidRPr="00CE6ED4" w:rsidRDefault="00036AEB" w:rsidP="00220FAB">
                            <w:pPr>
                              <w:pStyle w:val="Dash"/>
                              <w:rPr>
                                <w:szCs w:val="22"/>
                              </w:rPr>
                            </w:pPr>
                            <w:r>
                              <w:t xml:space="preserve">16 per cent for Tier A, </w:t>
                            </w:r>
                          </w:p>
                          <w:p w14:paraId="22FE7B83" w14:textId="6FAE1A0A" w:rsidR="00036AEB" w:rsidRPr="00CE6ED4" w:rsidRDefault="00036AEB" w:rsidP="00220FAB">
                            <w:pPr>
                              <w:pStyle w:val="Dash"/>
                              <w:rPr>
                                <w:szCs w:val="22"/>
                              </w:rPr>
                            </w:pPr>
                            <w:r>
                              <w:t xml:space="preserve">5.3 per cent for Tier B, and </w:t>
                            </w:r>
                          </w:p>
                          <w:p w14:paraId="17D507D1" w14:textId="0529E314" w:rsidR="00036AEB" w:rsidRPr="001A7E19" w:rsidRDefault="00036AEB" w:rsidP="00220FAB">
                            <w:pPr>
                              <w:pStyle w:val="Dash"/>
                              <w:rPr>
                                <w:szCs w:val="22"/>
                              </w:rPr>
                            </w:pPr>
                            <w:r>
                              <w:t>2.6 per cent for Tier C.</w:t>
                            </w:r>
                          </w:p>
                          <w:p w14:paraId="58072D8A" w14:textId="036E4213" w:rsidR="00036AEB" w:rsidRDefault="00036A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0;margin-top:0;width:389.25pt;height:100.5pt;z-index:251658245;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" fillcolor="white [3201]" strokecolor="#4f81bd [3204]" strokeweight="2pt">
                <v:textbox>
                  <w:txbxContent>
                    <w:p w14:paraId="52FB6A40" w14:textId="6D7DFDD0" w:rsidR="00036AEB" w:rsidRPr="00716BDF" w:rsidRDefault="00036AEB" w:rsidP="00716BDF">
                      <w:pPr>
                        <w:rPr>
                          <w:i/>
                        </w:rPr>
                      </w:pPr>
                      <w:r>
                        <w:rPr>
                          <w:i/>
                        </w:rPr>
                        <w:t>Recommendation 8</w:t>
                      </w:r>
                      <w:r w:rsidRPr="00716BDF">
                        <w:rPr>
                          <w:i/>
                        </w:rPr>
                        <w:t xml:space="preserve">: </w:t>
                      </w:r>
                      <w:r w:rsidRPr="00716BDF">
                        <w:t xml:space="preserve">That the premiums charged by the ARPC be increased, with effect from 1 </w:t>
                      </w:r>
                      <w:r>
                        <w:t>April</w:t>
                      </w:r>
                      <w:r w:rsidRPr="00716BDF">
                        <w:t xml:space="preserve"> 2016, to:</w:t>
                      </w:r>
                    </w:p>
                    <w:p w14:paraId="1227FC15" w14:textId="6608839D" w:rsidR="00036AEB" w:rsidRPr="00CE6ED4" w:rsidRDefault="00036AEB" w:rsidP="00220FAB">
                      <w:pPr>
                        <w:pStyle w:val="Dash"/>
                        <w:rPr>
                          <w:szCs w:val="22"/>
                        </w:rPr>
                      </w:pPr>
                      <w:r>
                        <w:t xml:space="preserve">16 per cent for Tier A, </w:t>
                      </w:r>
                    </w:p>
                    <w:p w14:paraId="22FE7B83" w14:textId="6FAE1A0A" w:rsidR="00036AEB" w:rsidRPr="00CE6ED4" w:rsidRDefault="00036AEB" w:rsidP="00220FAB">
                      <w:pPr>
                        <w:pStyle w:val="Dash"/>
                        <w:rPr>
                          <w:szCs w:val="22"/>
                        </w:rPr>
                      </w:pPr>
                      <w:r>
                        <w:t xml:space="preserve">5.3 per cent for Tier B, and </w:t>
                      </w:r>
                    </w:p>
                    <w:p w14:paraId="17D507D1" w14:textId="0529E314" w:rsidR="00036AEB" w:rsidRPr="001A7E19" w:rsidRDefault="00036AEB" w:rsidP="00220FAB">
                      <w:pPr>
                        <w:pStyle w:val="Dash"/>
                        <w:rPr>
                          <w:szCs w:val="22"/>
                        </w:rPr>
                      </w:pPr>
                      <w:r>
                        <w:t>2.6 per cent for Tier C.</w:t>
                      </w:r>
                    </w:p>
                    <w:p w14:paraId="58072D8A" w14:textId="036E4213" w:rsidR="00036AEB" w:rsidRDefault="00036AEB"/>
                  </w:txbxContent>
                </v:textbox>
              </v:shape>
            </w:pict>
          </mc:Fallback>
        </mc:AlternateContent>
      </w:r>
    </w:p>
    <w:p w14:paraId="7E040C84" w14:textId="79FD18CF" w:rsidR="00220FAB" w:rsidRDefault="00220FAB" w:rsidP="00220FAB"/>
    <w:p w14:paraId="71B371D1" w14:textId="77777777" w:rsidR="00220FAB" w:rsidRDefault="00220FAB" w:rsidP="00220FAB"/>
    <w:p w14:paraId="3AE45C0F" w14:textId="77777777" w:rsidR="00220FAB" w:rsidRDefault="00220FAB" w:rsidP="00220FAB"/>
    <w:p w14:paraId="481E5A79" w14:textId="77777777" w:rsidR="0092346C" w:rsidRDefault="0092346C" w:rsidP="00220FAB"/>
    <w:p w14:paraId="6EBBC105" w14:textId="77777777" w:rsidR="00584D2A" w:rsidRDefault="00584D2A" w:rsidP="00843660">
      <w:pPr>
        <w:pStyle w:val="Heading3"/>
      </w:pPr>
      <w:r>
        <w:t>Background</w:t>
      </w:r>
    </w:p>
    <w:p w14:paraId="33E8C1AC" w14:textId="77777777" w:rsidR="00722914" w:rsidRDefault="00722914" w:rsidP="000022E1">
      <w:r>
        <w:t>Insurers who seek terrorism reinsurance through the ARPC pay premiums to the ARPC, although insurers may choose to reinsure with other providers. Insurers may pass on the cost of reinsurance to their policy holders through premiums, although this is a comme</w:t>
      </w:r>
      <w:r w:rsidR="00FC1F7A">
        <w:t>rcial decision for the insurer.</w:t>
      </w:r>
    </w:p>
    <w:p w14:paraId="035AA9B2" w14:textId="401897F1" w:rsidR="005A3ED2" w:rsidRDefault="00722914" w:rsidP="00B67A45">
      <w:r>
        <w:t xml:space="preserve">When the scheme was first established, it </w:t>
      </w:r>
      <w:r w:rsidR="00BA5FAD">
        <w:t xml:space="preserve">was considered that reinsurance </w:t>
      </w:r>
      <w:r>
        <w:t>premiums of between</w:t>
      </w:r>
      <w:r w:rsidR="00843828">
        <w:br/>
      </w:r>
      <w:r w:rsidR="00B4151A">
        <w:t>2</w:t>
      </w:r>
      <w:r w:rsidR="00843828">
        <w:t xml:space="preserve"> </w:t>
      </w:r>
      <w:r>
        <w:t xml:space="preserve">and 12 per cent of underlying commercial property insurance premiums would be adequate to build the pool (reserves for claims) and would not be a significant cost to smaller commercial property owners if passed on by insurers. The premium levels </w:t>
      </w:r>
      <w:r w:rsidR="00B67A45">
        <w:t xml:space="preserve">(as a percentage) </w:t>
      </w:r>
      <w:r>
        <w:t>have remained unchanged since</w:t>
      </w:r>
      <w:r w:rsidR="00B67A45">
        <w:t xml:space="preserve"> </w:t>
      </w:r>
      <w:r>
        <w:t>1 October 2003.</w:t>
      </w:r>
      <w:r w:rsidR="005A468D">
        <w:rPr>
          <w:rStyle w:val="FootnoteReference"/>
        </w:rPr>
        <w:footnoteReference w:id="11"/>
      </w:r>
      <w:r w:rsidR="00F75B5E">
        <w:t xml:space="preserve"> </w:t>
      </w:r>
    </w:p>
    <w:p w14:paraId="79B61AAF" w14:textId="77777777" w:rsidR="00584D2A" w:rsidRDefault="00584D2A" w:rsidP="00843660">
      <w:pPr>
        <w:pStyle w:val="Heading3"/>
      </w:pPr>
      <w:r>
        <w:t>Assessment</w:t>
      </w:r>
    </w:p>
    <w:p w14:paraId="5A2AB118" w14:textId="5B5BD818" w:rsidR="003154E8" w:rsidRDefault="002C5DEE" w:rsidP="000022E1">
      <w:r>
        <w:t xml:space="preserve">Two </w:t>
      </w:r>
      <w:r w:rsidR="00626A16">
        <w:t>broad questions</w:t>
      </w:r>
      <w:r>
        <w:t xml:space="preserve"> emerge in relation </w:t>
      </w:r>
      <w:proofErr w:type="gramStart"/>
      <w:r>
        <w:t xml:space="preserve">to  </w:t>
      </w:r>
      <w:r w:rsidR="006B6710">
        <w:t>whether</w:t>
      </w:r>
      <w:proofErr w:type="gramEnd"/>
      <w:r w:rsidR="006B6710">
        <w:t xml:space="preserve"> the current premiums adequately reflect the cost of providing terrorism insurance</w:t>
      </w:r>
      <w:r w:rsidR="00626A16">
        <w:t xml:space="preserve">: </w:t>
      </w:r>
      <w:r w:rsidR="00673BA7">
        <w:t xml:space="preserve">firstly, </w:t>
      </w:r>
      <w:r w:rsidR="00626A16">
        <w:t>is the level of the premium sufficient and</w:t>
      </w:r>
      <w:r w:rsidR="00673BA7">
        <w:t>, secondly,</w:t>
      </w:r>
      <w:r w:rsidR="00626A16">
        <w:t xml:space="preserve"> is the mechanism for c</w:t>
      </w:r>
      <w:r w:rsidR="00A937EB">
        <w:t>alculating</w:t>
      </w:r>
      <w:r w:rsidR="00626A16">
        <w:t xml:space="preserve"> the premiums appropriate</w:t>
      </w:r>
      <w:r w:rsidR="00673BA7">
        <w:t>?</w:t>
      </w:r>
    </w:p>
    <w:p w14:paraId="32D8D9C9" w14:textId="6DD6B004" w:rsidR="003154E8" w:rsidRDefault="00673BA7" w:rsidP="000022E1">
      <w:r>
        <w:t>The</w:t>
      </w:r>
      <w:r w:rsidR="003154E8">
        <w:t xml:space="preserve"> </w:t>
      </w:r>
      <w:proofErr w:type="spellStart"/>
      <w:r w:rsidR="003154E8">
        <w:t>Pottinger</w:t>
      </w:r>
      <w:proofErr w:type="spellEnd"/>
      <w:r w:rsidR="003154E8">
        <w:t xml:space="preserve"> report concludes that p</w:t>
      </w:r>
      <w:r w:rsidR="003154E8" w:rsidRPr="000C1FCC">
        <w:t xml:space="preserve">remium rates currently charged under the scheme are materially lower than implied by the cost of terrorism risk retrocessions purchased by </w:t>
      </w:r>
      <w:r w:rsidR="003154E8">
        <w:t xml:space="preserve">the </w:t>
      </w:r>
      <w:r w:rsidR="003154E8" w:rsidRPr="000C1FCC">
        <w:t xml:space="preserve">ARPC from the private sector. </w:t>
      </w:r>
      <w:r>
        <w:t xml:space="preserve">It </w:t>
      </w:r>
      <w:r w:rsidR="003154E8" w:rsidRPr="003B7BDE">
        <w:t xml:space="preserve">estimates </w:t>
      </w:r>
      <w:r w:rsidR="003B7BDE" w:rsidRPr="003B7BDE">
        <w:t>that</w:t>
      </w:r>
      <w:r>
        <w:t>,</w:t>
      </w:r>
      <w:r w:rsidR="003B7BDE" w:rsidRPr="003B7BDE">
        <w:t xml:space="preserve"> if the ARPC set premiums in line with the price of retrocessions</w:t>
      </w:r>
      <w:r>
        <w:t>,</w:t>
      </w:r>
      <w:r w:rsidR="003B7BDE" w:rsidRPr="003B7BDE">
        <w:t xml:space="preserve"> premiums </w:t>
      </w:r>
      <w:r>
        <w:t>c</w:t>
      </w:r>
      <w:r w:rsidR="003B7BDE" w:rsidRPr="003B7BDE">
        <w:t>ould rise by over 100 per cent</w:t>
      </w:r>
      <w:r w:rsidR="008F4193">
        <w:t xml:space="preserve"> of current levels</w:t>
      </w:r>
      <w:r w:rsidR="003154E8" w:rsidRPr="003B7BDE">
        <w:t>. The</w:t>
      </w:r>
      <w:r w:rsidR="003B7BDE">
        <w:t xml:space="preserve"> report</w:t>
      </w:r>
      <w:r w:rsidR="003154E8" w:rsidRPr="003B7BDE">
        <w:t xml:space="preserve"> </w:t>
      </w:r>
      <w:r>
        <w:t xml:space="preserve">further </w:t>
      </w:r>
      <w:r w:rsidR="003154E8" w:rsidRPr="003B7BDE">
        <w:t>note</w:t>
      </w:r>
      <w:r w:rsidR="003B7BDE">
        <w:t>s</w:t>
      </w:r>
      <w:r w:rsidR="003154E8">
        <w:t xml:space="preserve"> that the current premiums were set before there was a reasonable estima</w:t>
      </w:r>
      <w:r w:rsidR="00FC1F7A">
        <w:t>te of the cost of reinsurance</w:t>
      </w:r>
      <w:r w:rsidR="008F4193">
        <w:t xml:space="preserve"> (or retrocession) in the private market</w:t>
      </w:r>
      <w:r w:rsidR="00FC1F7A">
        <w:t xml:space="preserve">. </w:t>
      </w:r>
    </w:p>
    <w:p w14:paraId="0B79BC55" w14:textId="6F2FF61C" w:rsidR="006B6710" w:rsidRDefault="00020D41" w:rsidP="006B6710">
      <w:proofErr w:type="spellStart"/>
      <w:r>
        <w:lastRenderedPageBreak/>
        <w:t>Pottinger’s</w:t>
      </w:r>
      <w:proofErr w:type="spellEnd"/>
      <w:r>
        <w:t xml:space="preserve"> assessment could therefore underpin a doubling of current reinsurance premiums charged by the ARPC. This is not, however, the result recommended in this review.  T</w:t>
      </w:r>
      <w:r w:rsidR="006B6710" w:rsidRPr="00D673BE">
        <w:t>he principal determinant of the</w:t>
      </w:r>
      <w:r w:rsidR="006B6710">
        <w:t xml:space="preserve"> marginal</w:t>
      </w:r>
      <w:r w:rsidR="006B6710" w:rsidRPr="00D673BE">
        <w:t xml:space="preserve"> </w:t>
      </w:r>
      <w:r w:rsidR="006B6710">
        <w:t xml:space="preserve">price for </w:t>
      </w:r>
      <w:r>
        <w:t>reinsurance/</w:t>
      </w:r>
      <w:r w:rsidR="006B6710">
        <w:t>retrocession</w:t>
      </w:r>
      <w:r w:rsidR="006B6710" w:rsidRPr="00D673BE">
        <w:t xml:space="preserve"> </w:t>
      </w:r>
      <w:r>
        <w:t xml:space="preserve">in the private market </w:t>
      </w:r>
      <w:r w:rsidR="006B6710">
        <w:t xml:space="preserve">is </w:t>
      </w:r>
      <w:r w:rsidR="006B6710" w:rsidRPr="00D673BE">
        <w:t>the cost of capital of the reinsurers concerned</w:t>
      </w:r>
      <w:r w:rsidR="006B6710">
        <w:t xml:space="preserve">. Given </w:t>
      </w:r>
      <w:r w:rsidR="006B6710" w:rsidRPr="00D673BE">
        <w:t xml:space="preserve">that the </w:t>
      </w:r>
      <w:r w:rsidR="00B97B26">
        <w:t>g</w:t>
      </w:r>
      <w:r w:rsidR="006B6710" w:rsidRPr="00D673BE">
        <w:t xml:space="preserve">overnment </w:t>
      </w:r>
      <w:r w:rsidR="006B6710">
        <w:t xml:space="preserve">does not need to achieve ‘market returns’, </w:t>
      </w:r>
      <w:r w:rsidR="006B6710" w:rsidRPr="00D673BE">
        <w:t xml:space="preserve">it </w:t>
      </w:r>
      <w:r>
        <w:t>is</w:t>
      </w:r>
      <w:r w:rsidR="006B6710" w:rsidRPr="00D673BE">
        <w:t xml:space="preserve"> no</w:t>
      </w:r>
      <w:r w:rsidR="006B6710">
        <w:t>t</w:t>
      </w:r>
      <w:r w:rsidR="006B6710" w:rsidRPr="00D673BE">
        <w:t xml:space="preserve"> </w:t>
      </w:r>
      <w:r>
        <w:t>considered</w:t>
      </w:r>
      <w:r w:rsidR="006B6710">
        <w:t xml:space="preserve"> </w:t>
      </w:r>
      <w:r w:rsidR="006B6710" w:rsidRPr="00D673BE">
        <w:t>unreasonable that the charges levied</w:t>
      </w:r>
      <w:r w:rsidR="00B97B26">
        <w:t xml:space="preserve"> by the g</w:t>
      </w:r>
      <w:r w:rsidR="006B6710" w:rsidRPr="00D673BE">
        <w:t xml:space="preserve">overnment </w:t>
      </w:r>
      <w:r>
        <w:t xml:space="preserve">through the ARPC </w:t>
      </w:r>
      <w:r w:rsidR="006B6710" w:rsidRPr="00D673BE">
        <w:t xml:space="preserve">are lower than those </w:t>
      </w:r>
      <w:r w:rsidR="006B6710">
        <w:t xml:space="preserve">that would be </w:t>
      </w:r>
      <w:r w:rsidR="006B6710" w:rsidRPr="00D673BE">
        <w:t>set by the private sector</w:t>
      </w:r>
      <w:r w:rsidR="006B6710">
        <w:t xml:space="preserve"> for reinsurance. </w:t>
      </w:r>
    </w:p>
    <w:p w14:paraId="13550BDE" w14:textId="2D646D75" w:rsidR="006B6710" w:rsidRDefault="00624B6B" w:rsidP="006B6710">
      <w:r>
        <w:t>At this stage, it is unlikely that the premium settings are currently restricting competition or the development of a private market for terrorism risk (see Chapter 2), although the potential for a private market to re</w:t>
      </w:r>
      <w:r>
        <w:noBreakHyphen/>
        <w:t>emerge</w:t>
      </w:r>
      <w:r w:rsidR="00A937EB">
        <w:t xml:space="preserve">, and any effect ARPC premium rates have on this, </w:t>
      </w:r>
      <w:r>
        <w:t>should continue to be monitored.</w:t>
      </w:r>
    </w:p>
    <w:p w14:paraId="02B5129A" w14:textId="3D2F48B9" w:rsidR="004D4D13" w:rsidRDefault="00A937EB" w:rsidP="000022E1">
      <w:r>
        <w:t>Never</w:t>
      </w:r>
      <w:r w:rsidR="00225A6E">
        <w:t>theless,</w:t>
      </w:r>
      <w:r w:rsidR="004D4D13">
        <w:t xml:space="preserve"> the ARPC</w:t>
      </w:r>
      <w:r w:rsidR="00337034">
        <w:t xml:space="preserve"> must</w:t>
      </w:r>
      <w:r w:rsidR="004D4D13">
        <w:t xml:space="preserve"> generate sufficient premiums to cover its ongoing costs</w:t>
      </w:r>
      <w:r>
        <w:t xml:space="preserve"> and ensure that those who benefit from the scheme share an appropriate burden of the cost</w:t>
      </w:r>
      <w:r w:rsidR="004D4D13">
        <w:t>. At current levels</w:t>
      </w:r>
      <w:r w:rsidR="00673BA7">
        <w:t>,</w:t>
      </w:r>
      <w:r w:rsidR="004D4D13">
        <w:t xml:space="preserve"> the premiums appear sufficient to cover operational costs, </w:t>
      </w:r>
      <w:r w:rsidR="006B6710">
        <w:t xml:space="preserve">to cover </w:t>
      </w:r>
      <w:r w:rsidR="004D4D13">
        <w:t>the fee for the government guarantee and to purchase a degree of retroc</w:t>
      </w:r>
      <w:r w:rsidR="0021155A">
        <w:t>ession cover while maintaining the</w:t>
      </w:r>
      <w:r w:rsidR="004D4D13">
        <w:t xml:space="preserve"> capital pool at around current levels. </w:t>
      </w:r>
      <w:r w:rsidR="00225A6E">
        <w:t xml:space="preserve">However, the current level of premiums is not </w:t>
      </w:r>
      <w:r w:rsidR="00673BA7">
        <w:t xml:space="preserve">enough </w:t>
      </w:r>
      <w:r w:rsidR="00225A6E">
        <w:t>to provide a return on the equity held by the ARPC</w:t>
      </w:r>
      <w:r w:rsidR="00624B6B">
        <w:t xml:space="preserve"> that will be used as the first tier of funding in the event of a claim</w:t>
      </w:r>
      <w:r w:rsidR="00225A6E">
        <w:t>. A</w:t>
      </w:r>
      <w:r w:rsidR="00624B6B">
        <w:t xml:space="preserve">n </w:t>
      </w:r>
      <w:r w:rsidR="00225A6E">
        <w:t>increase in the premium pool is, therefore, re</w:t>
      </w:r>
      <w:r>
        <w:t>commended</w:t>
      </w:r>
      <w:r w:rsidR="00225A6E">
        <w:t>.</w:t>
      </w:r>
    </w:p>
    <w:p w14:paraId="40733D9B" w14:textId="7D297E13" w:rsidR="00337034" w:rsidRDefault="00337034" w:rsidP="00337034">
      <w:r w:rsidRPr="00A937EB">
        <w:t>The second question is whether the mechanism for c</w:t>
      </w:r>
      <w:r w:rsidR="00A937EB" w:rsidRPr="00A937EB">
        <w:t>alculating</w:t>
      </w:r>
      <w:r w:rsidRPr="00A937EB">
        <w:t xml:space="preserve"> the premium is appropriate. This is the practice of setting premiums as a percentage of gross fire and industrial special risk premiums charged by the insurer and of using a community rating. Potential alternatives exist, including pricing premiums based on a larger number of criteria than only location and setting premiums as a proportion of </w:t>
      </w:r>
      <w:r w:rsidR="00624B6B" w:rsidRPr="00A937EB">
        <w:t xml:space="preserve">the </w:t>
      </w:r>
      <w:r w:rsidRPr="00A937EB">
        <w:t>sum insured.</w:t>
      </w:r>
    </w:p>
    <w:p w14:paraId="779753E4" w14:textId="61C6D434" w:rsidR="00EA5444" w:rsidRPr="00FC1F7A" w:rsidRDefault="00337034" w:rsidP="000022E1">
      <w:r>
        <w:t>T</w:t>
      </w:r>
      <w:r w:rsidR="00225A6E">
        <w:t xml:space="preserve">he </w:t>
      </w:r>
      <w:proofErr w:type="spellStart"/>
      <w:r w:rsidR="00225A6E">
        <w:t>Pottinger</w:t>
      </w:r>
      <w:proofErr w:type="spellEnd"/>
      <w:r w:rsidR="00225A6E">
        <w:t xml:space="preserve"> report </w:t>
      </w:r>
      <w:r w:rsidR="00A937EB">
        <w:t>considers that some level of</w:t>
      </w:r>
      <w:r w:rsidR="00225A6E">
        <w:t xml:space="preserve"> community rating is appropriate in the context of the terrorism insurance scheme. </w:t>
      </w:r>
      <w:r w:rsidR="008640E6">
        <w:t>T</w:t>
      </w:r>
      <w:r w:rsidR="00EA5444">
        <w:t>he current system balances the need to take into account certain risks, such as geographical location, while maintaining a simple system that is well</w:t>
      </w:r>
      <w:r w:rsidR="008A07A0">
        <w:noBreakHyphen/>
      </w:r>
      <w:r w:rsidR="00EA5444">
        <w:t xml:space="preserve">established and understood by stakeholders. </w:t>
      </w:r>
      <w:r w:rsidR="00225A6E">
        <w:t xml:space="preserve">Setting premiums for </w:t>
      </w:r>
      <w:r w:rsidR="00B567EA">
        <w:t>properties</w:t>
      </w:r>
      <w:r w:rsidR="00225A6E">
        <w:t xml:space="preserve"> </w:t>
      </w:r>
      <w:r w:rsidR="00B567EA">
        <w:t>using</w:t>
      </w:r>
      <w:r w:rsidR="00225A6E">
        <w:t xml:space="preserve"> </w:t>
      </w:r>
      <w:r w:rsidR="00B567EA">
        <w:t>a more complex calculation of the risk</w:t>
      </w:r>
      <w:r w:rsidR="00225A6E">
        <w:t xml:space="preserve"> </w:t>
      </w:r>
      <w:r w:rsidR="00B567EA">
        <w:t xml:space="preserve">attached to each property </w:t>
      </w:r>
      <w:r w:rsidR="00225A6E">
        <w:t xml:space="preserve">would </w:t>
      </w:r>
      <w:r w:rsidR="00B567EA">
        <w:t>raise costs significantly</w:t>
      </w:r>
      <w:r w:rsidR="00225A6E">
        <w:t>, without necessarily implying that the premiums charged would accurately reflect</w:t>
      </w:r>
      <w:r w:rsidR="00FC1F7A">
        <w:t xml:space="preserve"> the risk taken on by the ARPC.</w:t>
      </w:r>
      <w:r>
        <w:t xml:space="preserve"> Setting premiums as a proportion of the gross fire and industrial special risk premiums links </w:t>
      </w:r>
      <w:r w:rsidR="00B567EA">
        <w:t xml:space="preserve">the ARPC’s </w:t>
      </w:r>
      <w:r>
        <w:t xml:space="preserve">premiums to </w:t>
      </w:r>
      <w:r w:rsidR="00B567EA">
        <w:t>conditions</w:t>
      </w:r>
      <w:r>
        <w:t xml:space="preserve"> in the </w:t>
      </w:r>
      <w:r w:rsidR="00B567EA">
        <w:t xml:space="preserve">wider </w:t>
      </w:r>
      <w:r>
        <w:t>insurance market</w:t>
      </w:r>
      <w:r w:rsidR="00B567EA">
        <w:t xml:space="preserve"> and is a simple mechanism to allow premiums to increase over time with property values</w:t>
      </w:r>
      <w:r>
        <w:t>.</w:t>
      </w:r>
    </w:p>
    <w:p w14:paraId="037A49A5" w14:textId="461741F2" w:rsidR="000022E1" w:rsidRDefault="00A0668D" w:rsidP="000022E1">
      <w:r>
        <w:t>It</w:t>
      </w:r>
      <w:r w:rsidR="00EA5444">
        <w:t xml:space="preserve"> is</w:t>
      </w:r>
      <w:r w:rsidR="008640E6">
        <w:t>,</w:t>
      </w:r>
      <w:r w:rsidR="00EA5444">
        <w:t xml:space="preserve"> </w:t>
      </w:r>
      <w:r>
        <w:t>therefore</w:t>
      </w:r>
      <w:r w:rsidR="008640E6">
        <w:t>,</w:t>
      </w:r>
      <w:r>
        <w:t xml:space="preserve"> </w:t>
      </w:r>
      <w:r w:rsidR="00EA5444">
        <w:t>proposed that the ratios between the premiums under the current tiered structure b</w:t>
      </w:r>
      <w:r>
        <w:t>e</w:t>
      </w:r>
      <w:r w:rsidR="00EA5444">
        <w:t xml:space="preserve"> maintained, but that the level of premiums be increased </w:t>
      </w:r>
      <w:r w:rsidR="007E4F23">
        <w:t>with effect from 1 April</w:t>
      </w:r>
      <w:r w:rsidR="005F61D3">
        <w:t xml:space="preserve"> 2016 </w:t>
      </w:r>
      <w:r w:rsidR="00EA5444">
        <w:t>to ensure the ARPC can remain self</w:t>
      </w:r>
      <w:r w:rsidR="008A07A0">
        <w:noBreakHyphen/>
      </w:r>
      <w:r w:rsidR="00EA5444">
        <w:t>funded over the medium term</w:t>
      </w:r>
      <w:r w:rsidR="00EE2788" w:rsidRPr="00EE2788">
        <w:t xml:space="preserve"> </w:t>
      </w:r>
      <w:r w:rsidR="00EE2788">
        <w:t>while reasonably compensating the Commonwealth</w:t>
      </w:r>
      <w:r w:rsidR="00A937EB">
        <w:t xml:space="preserve"> and maintaining an appropriate level of capital</w:t>
      </w:r>
      <w:r w:rsidR="00EE2788">
        <w:t>.</w:t>
      </w:r>
    </w:p>
    <w:p w14:paraId="5DF6C21D" w14:textId="5758B0CA" w:rsidR="005F61D3" w:rsidRDefault="005F61D3" w:rsidP="000022E1">
      <w:pPr>
        <w:rPr>
          <w:szCs w:val="22"/>
        </w:rPr>
      </w:pPr>
      <w:r>
        <w:t>In consultations with the insurance industry on premiums, a number of parties expressed a</w:t>
      </w:r>
      <w:r w:rsidR="00472B8A">
        <w:t xml:space="preserve"> view about </w:t>
      </w:r>
      <w:r>
        <w:t xml:space="preserve">calculating premiums as a percentage of the insured value of the asset.  </w:t>
      </w:r>
      <w:r w:rsidR="007963D1">
        <w:t>Adoption of this method of calculation</w:t>
      </w:r>
      <w:r w:rsidRPr="007963D1">
        <w:rPr>
          <w:szCs w:val="22"/>
        </w:rPr>
        <w:t xml:space="preserve"> would give the ARPC a more stable funding base as it would overcome the cyclical nature of insurance premiums and make ARPC’s funding smoother</w:t>
      </w:r>
      <w:r>
        <w:rPr>
          <w:szCs w:val="22"/>
        </w:rPr>
        <w:t xml:space="preserve">.  </w:t>
      </w:r>
    </w:p>
    <w:p w14:paraId="6B93E3B4" w14:textId="77777777" w:rsidR="000C5EE4" w:rsidRDefault="00472B8A" w:rsidP="000C5EE4">
      <w:pPr>
        <w:jc w:val="left"/>
        <w:rPr>
          <w:szCs w:val="22"/>
        </w:rPr>
        <w:sectPr w:rsidR="000C5EE4" w:rsidSect="000C5EE4">
          <w:type w:val="oddPage"/>
          <w:pgSz w:w="11906" w:h="16838" w:code="9"/>
          <w:pgMar w:top="1440" w:right="1440" w:bottom="1440" w:left="1440" w:header="709" w:footer="709" w:gutter="0"/>
          <w:cols w:space="708"/>
          <w:titlePg/>
          <w:docGrid w:linePitch="360"/>
        </w:sectPr>
      </w:pPr>
      <w:r>
        <w:rPr>
          <w:szCs w:val="22"/>
        </w:rPr>
        <w:t>Further consultation should be undertaken with insurers to assess the likely impact of such a change</w:t>
      </w:r>
      <w:r w:rsidR="00EB33ED">
        <w:rPr>
          <w:szCs w:val="22"/>
        </w:rPr>
        <w:t>,</w:t>
      </w:r>
      <w:r w:rsidR="0004400B">
        <w:rPr>
          <w:szCs w:val="22"/>
        </w:rPr>
        <w:t xml:space="preserve"> including compliance costs,</w:t>
      </w:r>
      <w:r>
        <w:rPr>
          <w:szCs w:val="22"/>
        </w:rPr>
        <w:t xml:space="preserve"> on their systems and processe</w:t>
      </w:r>
      <w:r w:rsidR="0004400B">
        <w:rPr>
          <w:szCs w:val="22"/>
        </w:rPr>
        <w:t>s, with a view to considering the adoption of this methodology at a later date.</w:t>
      </w:r>
      <w:bookmarkStart w:id="116" w:name="_Toc410229545"/>
      <w:bookmarkStart w:id="117" w:name="_Toc410302180"/>
    </w:p>
    <w:p w14:paraId="414CFB7B" w14:textId="77777777" w:rsidR="00C27291" w:rsidRPr="00562521" w:rsidRDefault="00C27291" w:rsidP="00951A43">
      <w:pPr>
        <w:pStyle w:val="Heading1"/>
        <w:rPr>
          <w:smallCaps w:val="0"/>
        </w:rPr>
      </w:pPr>
      <w:bookmarkStart w:id="118" w:name="_Toc437877564"/>
      <w:r w:rsidRPr="00562521">
        <w:lastRenderedPageBreak/>
        <w:t>Chapter 5:</w:t>
      </w:r>
      <w:r w:rsidR="00951A43">
        <w:t xml:space="preserve">  </w:t>
      </w:r>
      <w:r w:rsidRPr="00562521">
        <w:t>Clarifying the coverage of the scheme</w:t>
      </w:r>
      <w:bookmarkEnd w:id="116"/>
      <w:bookmarkEnd w:id="117"/>
      <w:bookmarkEnd w:id="118"/>
    </w:p>
    <w:p w14:paraId="41587427" w14:textId="77777777" w:rsidR="00D85D73" w:rsidRPr="00843660" w:rsidRDefault="00D85D73" w:rsidP="00843660">
      <w:pPr>
        <w:pStyle w:val="Heading2"/>
      </w:pPr>
      <w:bookmarkStart w:id="119" w:name="_Toc321133409"/>
      <w:bookmarkStart w:id="120" w:name="_Toc321134088"/>
      <w:bookmarkStart w:id="121" w:name="_Toc437877565"/>
      <w:r w:rsidRPr="00843660">
        <w:t>Mixed</w:t>
      </w:r>
      <w:r w:rsidR="008A07A0">
        <w:noBreakHyphen/>
      </w:r>
      <w:r w:rsidRPr="00843660">
        <w:t xml:space="preserve">use </w:t>
      </w:r>
      <w:r w:rsidR="00BB1A15" w:rsidRPr="00843660">
        <w:t xml:space="preserve">and </w:t>
      </w:r>
      <w:r w:rsidRPr="00843660">
        <w:t>high</w:t>
      </w:r>
      <w:r w:rsidR="008A07A0">
        <w:noBreakHyphen/>
      </w:r>
      <w:r w:rsidRPr="00843660">
        <w:t xml:space="preserve">rise </w:t>
      </w:r>
      <w:r w:rsidR="00BB1A15" w:rsidRPr="00843660">
        <w:t xml:space="preserve">residential </w:t>
      </w:r>
      <w:r w:rsidRPr="00843660">
        <w:t>building cover</w:t>
      </w:r>
      <w:bookmarkEnd w:id="119"/>
      <w:bookmarkEnd w:id="120"/>
      <w:bookmarkEnd w:id="121"/>
    </w:p>
    <w:p w14:paraId="796CD4CE" w14:textId="77777777" w:rsidR="00D85D73" w:rsidRPr="003F72EE" w:rsidRDefault="00D85D73" w:rsidP="00843660">
      <w:pPr>
        <w:pStyle w:val="Heading3"/>
      </w:pPr>
      <w:r w:rsidRPr="003F72EE">
        <w:t>Issue</w:t>
      </w:r>
    </w:p>
    <w:p w14:paraId="103C5839" w14:textId="77777777" w:rsidR="000C163E" w:rsidRDefault="00165841" w:rsidP="00082936">
      <w:pPr>
        <w:pStyle w:val="Bullet"/>
        <w:numPr>
          <w:ilvl w:val="0"/>
          <w:numId w:val="0"/>
        </w:numPr>
      </w:pPr>
      <w:proofErr w:type="gramStart"/>
      <w:r>
        <w:t xml:space="preserve">Whether the scheme should be extended to </w:t>
      </w:r>
      <w:r w:rsidR="000C163E">
        <w:t>cover ‘mixed use’ buildings and high value residential buildings.</w:t>
      </w:r>
      <w:proofErr w:type="gramEnd"/>
      <w:r w:rsidR="000C163E">
        <w:t xml:space="preserve"> </w:t>
      </w:r>
    </w:p>
    <w:p w14:paraId="0B138BF9" w14:textId="77777777" w:rsidR="00881085" w:rsidRDefault="00881085" w:rsidP="00881085">
      <w:pPr>
        <w:pStyle w:val="Heading3"/>
      </w:pPr>
      <w:r w:rsidRPr="00212F3A">
        <w:t>Recommendation</w:t>
      </w:r>
    </w:p>
    <w:p w14:paraId="3E2BF58B" w14:textId="77777777" w:rsidR="00092072" w:rsidRDefault="00092072" w:rsidP="00092072">
      <w:r>
        <w:rPr>
          <w:noProof/>
        </w:rPr>
        <mc:AlternateContent>
          <mc:Choice Requires="wps">
            <w:drawing>
              <wp:anchor distT="0" distB="0" distL="114300" distR="114300" simplePos="0" relativeHeight="251658247" behindDoc="0" locked="0" layoutInCell="1" allowOverlap="1" wp14:anchorId="709B50B2" wp14:editId="713B832A">
                <wp:simplePos x="0" y="0"/>
                <wp:positionH relativeFrom="column">
                  <wp:align>center</wp:align>
                </wp:positionH>
                <wp:positionV relativeFrom="paragraph">
                  <wp:posOffset>0</wp:posOffset>
                </wp:positionV>
                <wp:extent cx="5172075" cy="1403985"/>
                <wp:effectExtent l="0" t="0" r="28575" b="1333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5F802BA" w14:textId="77777777" w:rsidR="00036AEB" w:rsidRDefault="00036AEB" w:rsidP="00092072">
                            <w:r w:rsidRPr="0004480C">
                              <w:rPr>
                                <w:i/>
                              </w:rPr>
                              <w:t xml:space="preserve">Recommendation 9: </w:t>
                            </w:r>
                            <w:r w:rsidRPr="0004480C">
                              <w:t xml:space="preserve">That the scope of the scheme </w:t>
                            </w:r>
                            <w:proofErr w:type="gramStart"/>
                            <w:r w:rsidRPr="0004480C">
                              <w:t>be</w:t>
                            </w:r>
                            <w:proofErr w:type="gramEnd"/>
                            <w:r w:rsidRPr="0004480C">
                              <w:t xml:space="preserve"> extended so that it applies to:</w:t>
                            </w:r>
                          </w:p>
                          <w:p w14:paraId="70EB16CD" w14:textId="768D97AC" w:rsidR="00036AEB" w:rsidRPr="0004480C" w:rsidRDefault="00036AEB" w:rsidP="00092072">
                            <w:pPr>
                              <w:pStyle w:val="ListParagraph"/>
                              <w:numPr>
                                <w:ilvl w:val="0"/>
                                <w:numId w:val="42"/>
                              </w:numPr>
                            </w:pPr>
                            <w:r w:rsidRPr="0004480C">
                              <w:t xml:space="preserve">buildings in </w:t>
                            </w:r>
                            <w:proofErr w:type="spellStart"/>
                            <w:r w:rsidRPr="0004480C">
                              <w:t>which</w:t>
                            </w:r>
                            <w:proofErr w:type="spellEnd"/>
                            <w:r w:rsidRPr="0004480C">
                              <w:t xml:space="preserve"> at least 20 per cent of </w:t>
                            </w:r>
                            <w:proofErr w:type="spellStart"/>
                            <w:r w:rsidRPr="0004480C">
                              <w:t>floor</w:t>
                            </w:r>
                            <w:proofErr w:type="spellEnd"/>
                            <w:r w:rsidRPr="0004480C">
                              <w:t xml:space="preserve"> </w:t>
                            </w:r>
                            <w:proofErr w:type="spellStart"/>
                            <w:r w:rsidRPr="0004480C">
                              <w:t>space</w:t>
                            </w:r>
                            <w:proofErr w:type="spellEnd"/>
                            <w:r w:rsidRPr="0004480C">
                              <w:t xml:space="preserve"> </w:t>
                            </w:r>
                            <w:proofErr w:type="spellStart"/>
                            <w:r w:rsidRPr="0004480C">
                              <w:t>is</w:t>
                            </w:r>
                            <w:proofErr w:type="spellEnd"/>
                            <w:r w:rsidRPr="0004480C">
                              <w:t xml:space="preserve"> </w:t>
                            </w:r>
                            <w:proofErr w:type="spellStart"/>
                            <w:r w:rsidRPr="0004480C">
                              <w:t>used</w:t>
                            </w:r>
                            <w:proofErr w:type="spellEnd"/>
                            <w:r w:rsidRPr="0004480C">
                              <w:t xml:space="preserve"> for commercial </w:t>
                            </w:r>
                            <w:proofErr w:type="spellStart"/>
                            <w:r w:rsidRPr="0004480C">
                              <w:t>purposes</w:t>
                            </w:r>
                            <w:proofErr w:type="spellEnd"/>
                            <w:r w:rsidRPr="0004480C">
                              <w:t>; and</w:t>
                            </w:r>
                          </w:p>
                          <w:p w14:paraId="142A692F" w14:textId="5A249FAE" w:rsidR="00036AEB" w:rsidRDefault="00036AEB" w:rsidP="00092072">
                            <w:pPr>
                              <w:pStyle w:val="ListParagraph"/>
                              <w:numPr>
                                <w:ilvl w:val="0"/>
                                <w:numId w:val="42"/>
                              </w:numPr>
                            </w:pPr>
                            <w:r w:rsidRPr="0004480C">
                              <w:t xml:space="preserve">buildings </w:t>
                            </w:r>
                            <w:proofErr w:type="spellStart"/>
                            <w:r w:rsidRPr="0004480C">
                              <w:t>with</w:t>
                            </w:r>
                            <w:proofErr w:type="spellEnd"/>
                            <w:r w:rsidRPr="0004480C">
                              <w:t xml:space="preserve"> a </w:t>
                            </w:r>
                            <w:proofErr w:type="spellStart"/>
                            <w:r w:rsidRPr="0004480C">
                              <w:t>sum</w:t>
                            </w:r>
                            <w:r w:rsidRPr="0004480C">
                              <w:noBreakHyphen/>
                              <w:t>insured</w:t>
                            </w:r>
                            <w:proofErr w:type="spellEnd"/>
                            <w:r w:rsidRPr="0004480C">
                              <w:t xml:space="preserve"> value of at least $50 million, </w:t>
                            </w:r>
                            <w:proofErr w:type="spellStart"/>
                            <w:r w:rsidRPr="0004480C">
                              <w:t>whether</w:t>
                            </w:r>
                            <w:proofErr w:type="spellEnd"/>
                            <w:r w:rsidRPr="0004480C">
                              <w:t xml:space="preserve"> </w:t>
                            </w:r>
                            <w:proofErr w:type="spellStart"/>
                            <w:r w:rsidRPr="0004480C">
                              <w:t>used</w:t>
                            </w:r>
                            <w:proofErr w:type="spellEnd"/>
                            <w:r w:rsidRPr="0004480C">
                              <w:t xml:space="preserve"> for commercial or </w:t>
                            </w:r>
                            <w:proofErr w:type="spellStart"/>
                            <w:r w:rsidRPr="0004480C">
                              <w:t>other</w:t>
                            </w:r>
                            <w:proofErr w:type="spellEnd"/>
                            <w:r w:rsidRPr="0004480C">
                              <w:t xml:space="preserve"> </w:t>
                            </w:r>
                            <w:proofErr w:type="spellStart"/>
                            <w:r w:rsidRPr="0004480C">
                              <w:t>purposes</w:t>
                            </w:r>
                            <w:proofErr w:type="spellEnd"/>
                            <w:r w:rsidRPr="0004480C">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0;margin-top:0;width:407.25pt;height:110.55pt;z-index:251658247;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" fillcolor="white [3201]" strokecolor="#4f81bd [3204]" strokeweight="2pt">
                <v:textbox style="mso-fit-shape-to-text:t">
                  <w:txbxContent>
                    <w:p w14:paraId="65F802BA" w14:textId="77777777" w:rsidR="00036AEB" w:rsidRDefault="00036AEB" w:rsidP="00092072">
                      <w:r w:rsidRPr="0004480C">
                        <w:rPr>
                          <w:i/>
                        </w:rPr>
                        <w:t xml:space="preserve">Recommendation 9: </w:t>
                      </w:r>
                      <w:r w:rsidRPr="0004480C">
                        <w:t xml:space="preserve">That the scope of the scheme </w:t>
                      </w:r>
                      <w:proofErr w:type="gramStart"/>
                      <w:r w:rsidRPr="0004480C">
                        <w:t>be</w:t>
                      </w:r>
                      <w:proofErr w:type="gramEnd"/>
                      <w:r w:rsidRPr="0004480C">
                        <w:t xml:space="preserve"> extended so that it applies to:</w:t>
                      </w:r>
                    </w:p>
                    <w:p w14:paraId="70EB16CD" w14:textId="768D97AC" w:rsidR="00036AEB" w:rsidRPr="0004480C" w:rsidRDefault="00036AEB" w:rsidP="00092072">
                      <w:pPr>
                        <w:pStyle w:val="ListParagraph"/>
                        <w:numPr>
                          <w:ilvl w:val="0"/>
                          <w:numId w:val="42"/>
                        </w:numPr>
                      </w:pPr>
                      <w:r w:rsidRPr="0004480C">
                        <w:t xml:space="preserve">buildings in </w:t>
                      </w:r>
                      <w:proofErr w:type="spellStart"/>
                      <w:r w:rsidRPr="0004480C">
                        <w:t>which</w:t>
                      </w:r>
                      <w:proofErr w:type="spellEnd"/>
                      <w:r w:rsidRPr="0004480C">
                        <w:t xml:space="preserve"> at least 20 per cent of </w:t>
                      </w:r>
                      <w:proofErr w:type="spellStart"/>
                      <w:r w:rsidRPr="0004480C">
                        <w:t>floor</w:t>
                      </w:r>
                      <w:proofErr w:type="spellEnd"/>
                      <w:r w:rsidRPr="0004480C">
                        <w:t xml:space="preserve"> </w:t>
                      </w:r>
                      <w:proofErr w:type="spellStart"/>
                      <w:r w:rsidRPr="0004480C">
                        <w:t>space</w:t>
                      </w:r>
                      <w:proofErr w:type="spellEnd"/>
                      <w:r w:rsidRPr="0004480C">
                        <w:t xml:space="preserve"> </w:t>
                      </w:r>
                      <w:proofErr w:type="spellStart"/>
                      <w:r w:rsidRPr="0004480C">
                        <w:t>is</w:t>
                      </w:r>
                      <w:proofErr w:type="spellEnd"/>
                      <w:r w:rsidRPr="0004480C">
                        <w:t xml:space="preserve"> </w:t>
                      </w:r>
                      <w:proofErr w:type="spellStart"/>
                      <w:r w:rsidRPr="0004480C">
                        <w:t>used</w:t>
                      </w:r>
                      <w:proofErr w:type="spellEnd"/>
                      <w:r w:rsidRPr="0004480C">
                        <w:t xml:space="preserve"> for commercial </w:t>
                      </w:r>
                      <w:proofErr w:type="spellStart"/>
                      <w:r w:rsidRPr="0004480C">
                        <w:t>purposes</w:t>
                      </w:r>
                      <w:proofErr w:type="spellEnd"/>
                      <w:r w:rsidRPr="0004480C">
                        <w:t>; and</w:t>
                      </w:r>
                    </w:p>
                    <w:p w14:paraId="142A692F" w14:textId="5A249FAE" w:rsidR="00036AEB" w:rsidRDefault="00036AEB" w:rsidP="00092072">
                      <w:pPr>
                        <w:pStyle w:val="ListParagraph"/>
                        <w:numPr>
                          <w:ilvl w:val="0"/>
                          <w:numId w:val="42"/>
                        </w:numPr>
                      </w:pPr>
                      <w:r w:rsidRPr="0004480C">
                        <w:t xml:space="preserve">buildings </w:t>
                      </w:r>
                      <w:proofErr w:type="spellStart"/>
                      <w:r w:rsidRPr="0004480C">
                        <w:t>with</w:t>
                      </w:r>
                      <w:proofErr w:type="spellEnd"/>
                      <w:r w:rsidRPr="0004480C">
                        <w:t xml:space="preserve"> a </w:t>
                      </w:r>
                      <w:proofErr w:type="spellStart"/>
                      <w:r w:rsidRPr="0004480C">
                        <w:t>sum</w:t>
                      </w:r>
                      <w:r w:rsidRPr="0004480C">
                        <w:noBreakHyphen/>
                        <w:t>insured</w:t>
                      </w:r>
                      <w:proofErr w:type="spellEnd"/>
                      <w:r w:rsidRPr="0004480C">
                        <w:t xml:space="preserve"> value of at least $50 million, </w:t>
                      </w:r>
                      <w:proofErr w:type="spellStart"/>
                      <w:r w:rsidRPr="0004480C">
                        <w:t>whether</w:t>
                      </w:r>
                      <w:proofErr w:type="spellEnd"/>
                      <w:r w:rsidRPr="0004480C">
                        <w:t xml:space="preserve"> </w:t>
                      </w:r>
                      <w:proofErr w:type="spellStart"/>
                      <w:r w:rsidRPr="0004480C">
                        <w:t>used</w:t>
                      </w:r>
                      <w:proofErr w:type="spellEnd"/>
                      <w:r w:rsidRPr="0004480C">
                        <w:t xml:space="preserve"> for commercial or </w:t>
                      </w:r>
                      <w:proofErr w:type="spellStart"/>
                      <w:r w:rsidRPr="0004480C">
                        <w:t>other</w:t>
                      </w:r>
                      <w:proofErr w:type="spellEnd"/>
                      <w:r w:rsidRPr="0004480C">
                        <w:t xml:space="preserve"> </w:t>
                      </w:r>
                      <w:proofErr w:type="spellStart"/>
                      <w:r w:rsidRPr="0004480C">
                        <w:t>purposes</w:t>
                      </w:r>
                      <w:proofErr w:type="spellEnd"/>
                      <w:r w:rsidRPr="0004480C">
                        <w:t>.</w:t>
                      </w:r>
                    </w:p>
                  </w:txbxContent>
                </v:textbox>
              </v:shape>
            </w:pict>
          </mc:Fallback>
        </mc:AlternateContent>
      </w:r>
    </w:p>
    <w:p w14:paraId="0442FDA5" w14:textId="1D9D7F5E" w:rsidR="00092072" w:rsidRDefault="00092072" w:rsidP="00092072"/>
    <w:p w14:paraId="40A4A4BB" w14:textId="77777777" w:rsidR="00092072" w:rsidRDefault="00092072" w:rsidP="00092072"/>
    <w:p w14:paraId="0247B943" w14:textId="77777777" w:rsidR="00092072" w:rsidRDefault="00092072" w:rsidP="00092072"/>
    <w:p w14:paraId="044B0835" w14:textId="77777777" w:rsidR="00092072" w:rsidRDefault="00092072" w:rsidP="00092072"/>
    <w:p w14:paraId="4EEA1038" w14:textId="77777777" w:rsidR="003A55C8" w:rsidRPr="003F72EE" w:rsidRDefault="003A55C8" w:rsidP="003A55C8">
      <w:pPr>
        <w:pStyle w:val="Heading3"/>
      </w:pPr>
      <w:r w:rsidRPr="003F72EE">
        <w:t>Background</w:t>
      </w:r>
    </w:p>
    <w:p w14:paraId="78049334" w14:textId="77777777" w:rsidR="000C163E" w:rsidRDefault="000C163E" w:rsidP="000C163E">
      <w:pPr>
        <w:pStyle w:val="Bullet"/>
        <w:numPr>
          <w:ilvl w:val="0"/>
          <w:numId w:val="0"/>
        </w:numPr>
      </w:pPr>
      <w:r>
        <w:t>The scheme set up by the Act was intended to cover commercial property. The rationale for confining the scheme to commercial property is set out in the Explanatory Statement to the Terrorism Insurance Regulations:</w:t>
      </w:r>
    </w:p>
    <w:p w14:paraId="62903C22" w14:textId="77777777" w:rsidR="000C163E" w:rsidRDefault="000C163E" w:rsidP="000C163E">
      <w:pPr>
        <w:pStyle w:val="Bullet"/>
        <w:numPr>
          <w:ilvl w:val="0"/>
          <w:numId w:val="0"/>
        </w:numPr>
        <w:ind w:left="397"/>
      </w:pPr>
      <w:r w:rsidRPr="000B6A65">
        <w:t xml:space="preserve">An assessment of the Australian insurance market by Trowbridge Consulting, assisted by </w:t>
      </w:r>
      <w:proofErr w:type="spellStart"/>
      <w:r w:rsidRPr="000B6A65">
        <w:t>Chiltington</w:t>
      </w:r>
      <w:proofErr w:type="spellEnd"/>
      <w:r>
        <w:t> </w:t>
      </w:r>
      <w:r w:rsidRPr="000B6A65">
        <w:t>International, in June and July 2002 found that virtually no terrorism</w:t>
      </w:r>
      <w:r>
        <w:noBreakHyphen/>
      </w:r>
      <w:r w:rsidRPr="000B6A65">
        <w:t>related insurance cover is available for commercial property and business interruption. The Government therefore decided that its replacement terrorism insurance scheme should cover commercial property.</w:t>
      </w:r>
      <w:r>
        <w:rPr>
          <w:rStyle w:val="FootnoteReference"/>
        </w:rPr>
        <w:footnoteReference w:id="12"/>
      </w:r>
      <w:r w:rsidRPr="000B6A65">
        <w:t xml:space="preserve"> </w:t>
      </w:r>
    </w:p>
    <w:p w14:paraId="525FC323" w14:textId="77777777" w:rsidR="000C163E" w:rsidRDefault="000C163E" w:rsidP="000C163E">
      <w:r>
        <w:t>This decision was given effect by excluding policies that cover losses to property that is used wholly or predominantly for personal, domestic or household purposes by the insured.</w:t>
      </w:r>
      <w:r>
        <w:rPr>
          <w:rStyle w:val="FootnoteReference"/>
        </w:rPr>
        <w:footnoteReference w:id="13"/>
      </w:r>
    </w:p>
    <w:p w14:paraId="3ECDE6F0" w14:textId="77777777" w:rsidR="000C163E" w:rsidRDefault="000C163E" w:rsidP="000C163E">
      <w:pPr>
        <w:pStyle w:val="Bullet"/>
        <w:numPr>
          <w:ilvl w:val="0"/>
          <w:numId w:val="0"/>
        </w:numPr>
      </w:pPr>
      <w:r>
        <w:t>At each review of the Act, the scope of the scheme has been reviewed. One consistent call from stakeholders has been that consideration should be given to extending the scheme to certain classes of residential buildings. Most recently, the question was considered in the 2012 Review, which declined to recommend that the scope of the scheme be extended. It did, however, recommend that the issue be re</w:t>
      </w:r>
      <w:r>
        <w:noBreakHyphen/>
        <w:t xml:space="preserve">examined at a later stage. </w:t>
      </w:r>
    </w:p>
    <w:p w14:paraId="7C215B20" w14:textId="77777777" w:rsidR="000C163E" w:rsidRDefault="000C163E" w:rsidP="000C163E">
      <w:pPr>
        <w:pStyle w:val="Bullet"/>
        <w:numPr>
          <w:ilvl w:val="0"/>
          <w:numId w:val="0"/>
        </w:numPr>
      </w:pPr>
      <w:r>
        <w:t xml:space="preserve">Past reviews have come to the conclusion that the scheme should not be extended to any class of predominantly residential building primarily because there was no evidence to suggest that the lack of coverage for that kind of property was not having an acute economic effect in the same way the lack of coverage for commercial property had in the lead-up to the establishment of the scheme. Against a background where the scheme was established to address that specific economic effect </w:t>
      </w:r>
      <w:r>
        <w:lastRenderedPageBreak/>
        <w:t>and was intended to exist only for as long as needed, the conclusion in past reviews has been not to extend the scheme. That view is re-examined in this review.</w:t>
      </w:r>
    </w:p>
    <w:p w14:paraId="05656790" w14:textId="77777777" w:rsidR="00881085" w:rsidRDefault="00881085" w:rsidP="00881085">
      <w:pPr>
        <w:pStyle w:val="Heading3"/>
      </w:pPr>
      <w:r>
        <w:t>Assessment</w:t>
      </w:r>
    </w:p>
    <w:p w14:paraId="1E42B2A4" w14:textId="16B071C8" w:rsidR="0090272E" w:rsidRDefault="00033222" w:rsidP="00082936">
      <w:pPr>
        <w:pStyle w:val="Bullet"/>
        <w:numPr>
          <w:ilvl w:val="0"/>
          <w:numId w:val="0"/>
        </w:numPr>
      </w:pPr>
      <w:r>
        <w:t>This review has concluded that, after more than a decade in operation, the scheme should continue for the foreseeable future</w:t>
      </w:r>
      <w:r w:rsidR="00ED49CC">
        <w:t xml:space="preserve">. </w:t>
      </w:r>
      <w:r>
        <w:t xml:space="preserve">As the need for the scheme persists, arguments that appeal to its temporary nature become less convincing, and the need to deal with potentially inequitable results if a major terrorist act were to occur </w:t>
      </w:r>
      <w:r w:rsidR="00ED49CC">
        <w:t xml:space="preserve">becomes </w:t>
      </w:r>
      <w:r>
        <w:t xml:space="preserve">more </w:t>
      </w:r>
      <w:r w:rsidR="00ED49CC">
        <w:t>pressing</w:t>
      </w:r>
      <w:r>
        <w:t>.</w:t>
      </w:r>
    </w:p>
    <w:p w14:paraId="7FCC014F" w14:textId="2D87C5A6" w:rsidR="006B24E3" w:rsidRDefault="000C163E" w:rsidP="00602545">
      <w:r>
        <w:t xml:space="preserve"> </w:t>
      </w:r>
      <w:r w:rsidR="006B24E3">
        <w:t xml:space="preserve">A study by </w:t>
      </w:r>
      <w:proofErr w:type="spellStart"/>
      <w:r w:rsidR="006B24E3">
        <w:t>Finity</w:t>
      </w:r>
      <w:proofErr w:type="spellEnd"/>
      <w:r w:rsidR="006B24E3">
        <w:t xml:space="preserve"> Consulting, undertaken for the purposes of this review</w:t>
      </w:r>
      <w:r w:rsidR="00602545">
        <w:t xml:space="preserve"> (Annex B)</w:t>
      </w:r>
      <w:r w:rsidR="006B24E3">
        <w:t xml:space="preserve">, has </w:t>
      </w:r>
      <w:r w:rsidR="001B65DB">
        <w:t xml:space="preserve">indicated </w:t>
      </w:r>
      <w:r w:rsidR="006B24E3">
        <w:t xml:space="preserve">that there </w:t>
      </w:r>
      <w:r w:rsidR="001B65DB">
        <w:t xml:space="preserve">are still </w:t>
      </w:r>
      <w:r w:rsidR="006B24E3">
        <w:t xml:space="preserve">classes of buildings </w:t>
      </w:r>
      <w:r w:rsidR="001B65DB">
        <w:t>for</w:t>
      </w:r>
      <w:r w:rsidR="006B24E3">
        <w:t xml:space="preserve"> which terrorism cover is unavailable in the private market</w:t>
      </w:r>
      <w:r w:rsidR="00465619">
        <w:t xml:space="preserve"> (and currently unavailable under the terrorism insurance scheme)</w:t>
      </w:r>
      <w:r w:rsidR="006B24E3">
        <w:t xml:space="preserve">. These are buildings with </w:t>
      </w:r>
      <w:r w:rsidR="00465619">
        <w:t>between 20</w:t>
      </w:r>
      <w:r w:rsidR="009F7DAD">
        <w:t xml:space="preserve"> </w:t>
      </w:r>
      <w:r w:rsidR="00843828">
        <w:t>per cent and</w:t>
      </w:r>
      <w:r w:rsidR="00465619">
        <w:t xml:space="preserve"> 50</w:t>
      </w:r>
      <w:r w:rsidR="009F7DAD">
        <w:t xml:space="preserve"> per cent</w:t>
      </w:r>
      <w:r w:rsidR="00465619">
        <w:t xml:space="preserve"> commercial </w:t>
      </w:r>
      <w:r w:rsidR="00843828">
        <w:t>floor space</w:t>
      </w:r>
      <w:r w:rsidR="006B24E3">
        <w:t>, and buildings with a sum insured value of at least $50 million</w:t>
      </w:r>
      <w:r w:rsidR="00465619">
        <w:t>, whether used for commercial or other purposes</w:t>
      </w:r>
      <w:r w:rsidR="008A07A0">
        <w:t xml:space="preserve">. </w:t>
      </w:r>
    </w:p>
    <w:p w14:paraId="505B3BB2" w14:textId="327BDFE3" w:rsidR="00033222" w:rsidRDefault="00033222" w:rsidP="00082936">
      <w:pPr>
        <w:pStyle w:val="Bullet"/>
        <w:numPr>
          <w:ilvl w:val="0"/>
          <w:numId w:val="0"/>
        </w:numPr>
      </w:pPr>
      <w:r>
        <w:t xml:space="preserve">If a major </w:t>
      </w:r>
      <w:r w:rsidR="006B24E3">
        <w:t xml:space="preserve">terrorist </w:t>
      </w:r>
      <w:r>
        <w:t>event were to occur, the result could be that buildings in close proximity were treated differently under the Act due to variations in the nature of the building</w:t>
      </w:r>
      <w:r w:rsidR="001B65DB">
        <w:t>s’</w:t>
      </w:r>
      <w:r>
        <w:t xml:space="preserve"> use</w:t>
      </w:r>
      <w:r w:rsidR="008A07A0">
        <w:t xml:space="preserve">. </w:t>
      </w:r>
      <w:r>
        <w:t xml:space="preserve">The result would be that owners of some buildings would be dealt with in an </w:t>
      </w:r>
      <w:r w:rsidR="003B5034">
        <w:t xml:space="preserve">orderly </w:t>
      </w:r>
      <w:r>
        <w:t>fashion under the scheme, while other</w:t>
      </w:r>
      <w:r w:rsidR="001B65DB">
        <w:t xml:space="preserve">s </w:t>
      </w:r>
      <w:r>
        <w:t xml:space="preserve">would be left to appeal to </w:t>
      </w:r>
      <w:r w:rsidR="001B65DB">
        <w:t>g</w:t>
      </w:r>
      <w:r>
        <w:t xml:space="preserve">overnments for assistance in a less structured way. </w:t>
      </w:r>
    </w:p>
    <w:p w14:paraId="5C341EE4" w14:textId="3DF4AAF1" w:rsidR="000E2AF6" w:rsidRDefault="00B97B26" w:rsidP="00082936">
      <w:pPr>
        <w:pStyle w:val="Bullet"/>
        <w:numPr>
          <w:ilvl w:val="0"/>
          <w:numId w:val="0"/>
        </w:numPr>
      </w:pPr>
      <w:r>
        <w:t>The g</w:t>
      </w:r>
      <w:r w:rsidR="00ED49CC">
        <w:t>overnment currently recovers no compensation for the risk that it may be called upon to cover</w:t>
      </w:r>
      <w:r w:rsidR="000E2AF6">
        <w:t xml:space="preserve"> those </w:t>
      </w:r>
      <w:r w:rsidR="00ED49CC">
        <w:t>outside</w:t>
      </w:r>
      <w:r w:rsidR="000E2AF6">
        <w:t xml:space="preserve"> the scheme. Expanding the scheme enables the government and tax payers to be suitably compensated for bearing that risk</w:t>
      </w:r>
      <w:r w:rsidR="00ED49CC">
        <w:t xml:space="preserve">. </w:t>
      </w:r>
      <w:r w:rsidR="000E2AF6">
        <w:t xml:space="preserve"> </w:t>
      </w:r>
    </w:p>
    <w:p w14:paraId="5AE47654" w14:textId="23711E98" w:rsidR="00D53EA2" w:rsidRDefault="00D53EA2" w:rsidP="00D53EA2">
      <w:pPr>
        <w:pStyle w:val="Bullet"/>
        <w:numPr>
          <w:ilvl w:val="0"/>
          <w:numId w:val="0"/>
        </w:numPr>
      </w:pPr>
      <w:r>
        <w:t xml:space="preserve">A large majority of respondents to the market soundings exercise conducted by </w:t>
      </w:r>
      <w:proofErr w:type="spellStart"/>
      <w:r>
        <w:t>Pottinger</w:t>
      </w:r>
      <w:proofErr w:type="spellEnd"/>
      <w:r>
        <w:t xml:space="preserve"> recommended broader coverage of predominantly residential mixed</w:t>
      </w:r>
      <w:r>
        <w:noBreakHyphen/>
        <w:t xml:space="preserve">use buildings by the terrorism insurance scheme. Respondents indicated that they considered the exclusion of these buildings from the scheme to be inequitable. The view was expressed that, should a terrorist attack cause material damage to a building that is </w:t>
      </w:r>
      <w:r w:rsidR="00B97B26">
        <w:t>not covered by the scheme, the g</w:t>
      </w:r>
      <w:r>
        <w:t>overnment would be likely to come under pressure to provide financial support to the affected parties. It was thought that including such buildings in the scheme would</w:t>
      </w:r>
      <w:r w:rsidR="00B97B26">
        <w:t xml:space="preserve"> allow the g</w:t>
      </w:r>
      <w:r>
        <w:t>overnment, through the ARPC, to collect insurance premiums in advance of such an event.</w:t>
      </w:r>
    </w:p>
    <w:p w14:paraId="7D402CAD" w14:textId="58A3150A" w:rsidR="00165841" w:rsidRDefault="00165841" w:rsidP="00834411">
      <w:proofErr w:type="spellStart"/>
      <w:r>
        <w:t>Finity’s</w:t>
      </w:r>
      <w:proofErr w:type="spellEnd"/>
      <w:r>
        <w:t xml:space="preserve"> 2014 analysis of the impact of including mixed</w:t>
      </w:r>
      <w:r>
        <w:noBreakHyphen/>
        <w:t>use and high</w:t>
      </w:r>
      <w:r>
        <w:noBreakHyphen/>
        <w:t xml:space="preserve">rise residential buildings in the scheme focused on buildings located in Sydney and Melbourne Tier </w:t>
      </w:r>
      <w:proofErr w:type="gramStart"/>
      <w:r>
        <w:t>A</w:t>
      </w:r>
      <w:proofErr w:type="gramEnd"/>
      <w:r>
        <w:t xml:space="preserve"> postcodes. </w:t>
      </w:r>
      <w:proofErr w:type="spellStart"/>
      <w:r>
        <w:t>Finity</w:t>
      </w:r>
      <w:proofErr w:type="spellEnd"/>
      <w:r>
        <w:t xml:space="preserve"> found that including existing mixed</w:t>
      </w:r>
      <w:r>
        <w:noBreakHyphen/>
        <w:t>use and high</w:t>
      </w:r>
      <w:r>
        <w:noBreakHyphen/>
        <w:t>rise residential buildings in these locations in the scheme would increase the total sum insured by the ARPC in those locations by approximately 1.2 per cent and 9.7 per cent, respectively.</w:t>
      </w:r>
      <w:r w:rsidR="00834411">
        <w:t xml:space="preserve"> </w:t>
      </w:r>
      <w:proofErr w:type="spellStart"/>
      <w:r>
        <w:t>Finity</w:t>
      </w:r>
      <w:proofErr w:type="spellEnd"/>
      <w:r>
        <w:t xml:space="preserve"> examined the impact on the premiums received by the ARPC of including mixed</w:t>
      </w:r>
      <w:r>
        <w:noBreakHyphen/>
        <w:t>use and</w:t>
      </w:r>
      <w:r w:rsidR="00834411">
        <w:t xml:space="preserve"> </w:t>
      </w:r>
      <w:r>
        <w:t>high</w:t>
      </w:r>
      <w:r>
        <w:noBreakHyphen/>
        <w:t xml:space="preserve">rise residential buildings in the scheme. It was found that, across all </w:t>
      </w:r>
      <w:proofErr w:type="gramStart"/>
      <w:r>
        <w:t>Tier</w:t>
      </w:r>
      <w:proofErr w:type="gramEnd"/>
      <w:r>
        <w:t xml:space="preserve"> A postcodes in Australia, including existing mixed</w:t>
      </w:r>
      <w:r>
        <w:noBreakHyphen/>
        <w:t>use buildings would increase premium income by between $100,000 and $200,000 per annum, while including existing high</w:t>
      </w:r>
      <w:r>
        <w:noBreakHyphen/>
        <w:t>rise residential buildings would increase premium income by between $700,000 and $1.4 million per annum.</w:t>
      </w:r>
    </w:p>
    <w:p w14:paraId="21FEE3CF" w14:textId="28D8DDDD" w:rsidR="00165841" w:rsidRDefault="00165841" w:rsidP="00165841">
      <w:pPr>
        <w:spacing w:after="200" w:line="276" w:lineRule="auto"/>
      </w:pPr>
      <w:proofErr w:type="spellStart"/>
      <w:r>
        <w:t>Finity</w:t>
      </w:r>
      <w:proofErr w:type="spellEnd"/>
      <w:r>
        <w:t xml:space="preserve"> also concluded that, while including mixed</w:t>
      </w:r>
      <w:r>
        <w:noBreakHyphen/>
        <w:t>use buildings in the scheme woul</w:t>
      </w:r>
      <w:r w:rsidR="00B97B26">
        <w:t>d not significantly change the g</w:t>
      </w:r>
      <w:r>
        <w:t>overnment’s exposure, the inclusion of high</w:t>
      </w:r>
      <w:r>
        <w:noBreakHyphen/>
        <w:t>rise residential building</w:t>
      </w:r>
      <w:r w:rsidR="00B97B26">
        <w:t>s would generally increase the g</w:t>
      </w:r>
      <w:r>
        <w:t>overnment’s exposure; for some key risk locations, including high</w:t>
      </w:r>
      <w:r>
        <w:noBreakHyphen/>
        <w:t>rise residential buildings wo</w:t>
      </w:r>
      <w:r w:rsidR="00B97B26">
        <w:t>uld significantly increase the g</w:t>
      </w:r>
      <w:r>
        <w:t xml:space="preserve">overnment’s exposure to losses from a declared terrorist incident. </w:t>
      </w:r>
    </w:p>
    <w:p w14:paraId="39AF6DDE" w14:textId="1D8EBCEB" w:rsidR="00D404B2" w:rsidRDefault="00D404B2" w:rsidP="00082936">
      <w:pPr>
        <w:pStyle w:val="Bullet"/>
        <w:numPr>
          <w:ilvl w:val="0"/>
          <w:numId w:val="0"/>
        </w:numPr>
      </w:pPr>
      <w:r>
        <w:t xml:space="preserve">This review </w:t>
      </w:r>
      <w:r w:rsidR="009F472C">
        <w:t xml:space="preserve">recommends </w:t>
      </w:r>
      <w:r>
        <w:t xml:space="preserve">that the scheme be extended to cover buildings </w:t>
      </w:r>
      <w:r w:rsidR="006B24E3">
        <w:t>of those classes where terrorism insurance is unavailable in the private market.</w:t>
      </w:r>
    </w:p>
    <w:p w14:paraId="36D8333D" w14:textId="77777777" w:rsidR="00204B6E" w:rsidRPr="00843660" w:rsidRDefault="00204B6E" w:rsidP="00843660">
      <w:pPr>
        <w:pStyle w:val="Heading2"/>
      </w:pPr>
      <w:bookmarkStart w:id="122" w:name="_Toc437877566"/>
      <w:r w:rsidRPr="00843660">
        <w:lastRenderedPageBreak/>
        <w:t>Impact of exclusions in insurance policies</w:t>
      </w:r>
      <w:bookmarkEnd w:id="122"/>
    </w:p>
    <w:p w14:paraId="1F328DC5" w14:textId="77777777" w:rsidR="00204B6E" w:rsidRPr="003F72EE" w:rsidRDefault="00204B6E" w:rsidP="00843660">
      <w:pPr>
        <w:pStyle w:val="Heading3"/>
      </w:pPr>
      <w:r w:rsidRPr="003F72EE">
        <w:t>Issue</w:t>
      </w:r>
    </w:p>
    <w:p w14:paraId="7175738A" w14:textId="77777777" w:rsidR="00204B6E" w:rsidRDefault="00204B6E" w:rsidP="00082936">
      <w:pPr>
        <w:pStyle w:val="Bullet"/>
        <w:numPr>
          <w:ilvl w:val="0"/>
          <w:numId w:val="0"/>
        </w:numPr>
      </w:pPr>
      <w:r>
        <w:t>The</w:t>
      </w:r>
      <w:r w:rsidR="0090057E">
        <w:t xml:space="preserve">re is some uncertainty in the insurance and reinsurance markets as to the effect of some </w:t>
      </w:r>
      <w:proofErr w:type="gramStart"/>
      <w:r w:rsidR="0090057E">
        <w:t>exclusions</w:t>
      </w:r>
      <w:proofErr w:type="gramEnd"/>
      <w:r>
        <w:t xml:space="preserve"> in eligible insurance contracts</w:t>
      </w:r>
      <w:r w:rsidR="008A07A0">
        <w:t xml:space="preserve">. </w:t>
      </w:r>
      <w:r w:rsidR="0090057E">
        <w:t>For example, some stakeholders expressed the view that general exclusions in insurance contracts may, despite the application of the Terrorism Insurance Act, remain effective to exclude</w:t>
      </w:r>
      <w:r>
        <w:t xml:space="preserve"> </w:t>
      </w:r>
      <w:r w:rsidR="0090057E">
        <w:t xml:space="preserve">liability to pay claims. </w:t>
      </w:r>
    </w:p>
    <w:p w14:paraId="41DE5F15" w14:textId="77777777" w:rsidR="00204B6E" w:rsidRDefault="00204B6E" w:rsidP="00843660">
      <w:pPr>
        <w:pStyle w:val="Heading3"/>
      </w:pPr>
      <w:r w:rsidRPr="00212F3A">
        <w:t>Recommendation</w:t>
      </w:r>
    </w:p>
    <w:p w14:paraId="016F6A5D" w14:textId="77777777" w:rsidR="00ED49CC" w:rsidRDefault="00ED49CC" w:rsidP="00ED49CC">
      <w:r>
        <w:rPr>
          <w:noProof/>
        </w:rPr>
        <mc:AlternateContent>
          <mc:Choice Requires="wps">
            <w:drawing>
              <wp:anchor distT="0" distB="0" distL="114300" distR="114300" simplePos="0" relativeHeight="251658248" behindDoc="0" locked="0" layoutInCell="1" allowOverlap="1" wp14:anchorId="5F883754" wp14:editId="4A8F65EE">
                <wp:simplePos x="0" y="0"/>
                <wp:positionH relativeFrom="column">
                  <wp:align>center</wp:align>
                </wp:positionH>
                <wp:positionV relativeFrom="paragraph">
                  <wp:posOffset>0</wp:posOffset>
                </wp:positionV>
                <wp:extent cx="5143500" cy="819150"/>
                <wp:effectExtent l="0" t="0" r="1905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8191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DE67433" w14:textId="67C4D223" w:rsidR="00036AEB" w:rsidRPr="0004480C" w:rsidRDefault="00036AEB" w:rsidP="003740A7">
                            <w:r w:rsidRPr="0004480C">
                              <w:rPr>
                                <w:i/>
                              </w:rPr>
                              <w:t xml:space="preserve">Recommendation 10: </w:t>
                            </w:r>
                            <w:r w:rsidRPr="0004480C">
                              <w:t xml:space="preserve">That the application of the Act be clarified by amendments that remove doubt about </w:t>
                            </w:r>
                            <w:r>
                              <w:t>whether certain losses would be covered under the scheme;</w:t>
                            </w:r>
                            <w:r w:rsidRPr="003740A7">
                              <w:t xml:space="preserve"> </w:t>
                            </w:r>
                            <w:r>
                              <w:t>in particular, losses attributable to terrorist attacks that use chemical or biological means.</w:t>
                            </w:r>
                          </w:p>
                          <w:p w14:paraId="3E033270" w14:textId="7DF1E4C8" w:rsidR="00036AEB" w:rsidRPr="0004480C" w:rsidRDefault="00036AEB" w:rsidP="00ED49CC">
                            <w:r>
                              <w:t>.</w:t>
                            </w:r>
                          </w:p>
                          <w:p w14:paraId="357EE354" w14:textId="69BB677D" w:rsidR="00036AEB" w:rsidRDefault="00036A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0;margin-top:0;width:405pt;height:64.5pt;z-index:2516582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" fillcolor="white [3201]" strokecolor="#4f81bd [3204]" strokeweight="2pt">
                <v:textbox>
                  <w:txbxContent>
                    <w:p w14:paraId="2DE67433" w14:textId="67C4D223" w:rsidR="00036AEB" w:rsidRPr="0004480C" w:rsidRDefault="00036AEB" w:rsidP="003740A7">
                      <w:r w:rsidRPr="0004480C">
                        <w:rPr>
                          <w:i/>
                        </w:rPr>
                        <w:t xml:space="preserve">Recommendation 10: </w:t>
                      </w:r>
                      <w:r w:rsidRPr="0004480C">
                        <w:t xml:space="preserve">That the application of the Act be clarified by amendments that remove doubt about </w:t>
                      </w:r>
                      <w:r>
                        <w:t>whether certain losses would be covered under the scheme;</w:t>
                      </w:r>
                      <w:r w:rsidRPr="003740A7">
                        <w:t xml:space="preserve"> </w:t>
                      </w:r>
                      <w:r>
                        <w:t>in particular, losses attributable to terrorist attacks that use chemical or biological means.</w:t>
                      </w:r>
                    </w:p>
                    <w:p w14:paraId="3E033270" w14:textId="7DF1E4C8" w:rsidR="00036AEB" w:rsidRPr="0004480C" w:rsidRDefault="00036AEB" w:rsidP="00ED49CC">
                      <w:r>
                        <w:t>.</w:t>
                      </w:r>
                    </w:p>
                    <w:p w14:paraId="357EE354" w14:textId="69BB677D" w:rsidR="00036AEB" w:rsidRDefault="00036AEB"/>
                  </w:txbxContent>
                </v:textbox>
              </v:shape>
            </w:pict>
          </mc:Fallback>
        </mc:AlternateContent>
      </w:r>
    </w:p>
    <w:p w14:paraId="53FCFAB4" w14:textId="572A00D9" w:rsidR="00ED49CC" w:rsidRDefault="00ED49CC" w:rsidP="00ED49CC"/>
    <w:p w14:paraId="5D0E2770" w14:textId="77777777" w:rsidR="00ED49CC" w:rsidRDefault="00ED49CC" w:rsidP="00ED49CC"/>
    <w:p w14:paraId="139851E0" w14:textId="77777777" w:rsidR="00204B6E" w:rsidRPr="003F72EE" w:rsidRDefault="00CC7C36" w:rsidP="00843660">
      <w:pPr>
        <w:pStyle w:val="Heading3"/>
      </w:pPr>
      <w:r>
        <w:t>Assessment</w:t>
      </w:r>
    </w:p>
    <w:p w14:paraId="1D4DD752" w14:textId="17CCABDC" w:rsidR="00204B6E" w:rsidRDefault="003D005C" w:rsidP="00082936">
      <w:r>
        <w:t>Once a terrorism incident has been declared, t</w:t>
      </w:r>
      <w:r w:rsidR="00204B6E">
        <w:t xml:space="preserve">he Act operates to </w:t>
      </w:r>
      <w:r>
        <w:t>render</w:t>
      </w:r>
      <w:r w:rsidR="00204B6E">
        <w:t xml:space="preserve"> terrorism exclusion</w:t>
      </w:r>
      <w:r>
        <w:t>s</w:t>
      </w:r>
      <w:r w:rsidR="00204B6E">
        <w:t xml:space="preserve"> in eligible insurance contract</w:t>
      </w:r>
      <w:r>
        <w:t xml:space="preserve">s of no effect. </w:t>
      </w:r>
      <w:r w:rsidR="00204B6E">
        <w:t xml:space="preserve">Section 8 of the Act defines a terrorism exclusion as: </w:t>
      </w:r>
      <w:r w:rsidR="00204B6E" w:rsidRPr="009D6D45">
        <w:t xml:space="preserve">an exclusion </w:t>
      </w:r>
      <w:r w:rsidR="00204B6E">
        <w:t xml:space="preserve">or exception for </w:t>
      </w:r>
      <w:r w:rsidR="00204B6E" w:rsidRPr="009D6D45">
        <w:t xml:space="preserve">acts that are described using the </w:t>
      </w:r>
      <w:bookmarkStart w:id="123" w:name="terrorism"/>
      <w:bookmarkStart w:id="124" w:name="terrorist"/>
      <w:bookmarkEnd w:id="123"/>
      <w:bookmarkEnd w:id="124"/>
      <w:r w:rsidR="00204B6E" w:rsidRPr="009D6D45">
        <w:t xml:space="preserve">word </w:t>
      </w:r>
      <w:r w:rsidR="008A07A0">
        <w:t>‘</w:t>
      </w:r>
      <w:r w:rsidR="00204B6E" w:rsidRPr="009D6D45">
        <w:t>terrorism</w:t>
      </w:r>
      <w:r w:rsidR="008A07A0">
        <w:t>’</w:t>
      </w:r>
      <w:r w:rsidR="00204B6E" w:rsidRPr="009D6D45">
        <w:t xml:space="preserve"> or </w:t>
      </w:r>
      <w:r w:rsidR="008A07A0">
        <w:t>‘</w:t>
      </w:r>
      <w:r w:rsidR="00204B6E" w:rsidRPr="009D6D45">
        <w:t>terrorist</w:t>
      </w:r>
      <w:r w:rsidR="008A07A0">
        <w:t>’</w:t>
      </w:r>
      <w:r w:rsidR="00204B6E" w:rsidRPr="009D6D45">
        <w:t xml:space="preserve"> or words of similar effect; or </w:t>
      </w:r>
      <w:r w:rsidR="00204B6E">
        <w:t xml:space="preserve">other acts </w:t>
      </w:r>
      <w:r w:rsidR="00204B6E" w:rsidRPr="009D6D45">
        <w:t xml:space="preserve">that are substantially similar to terrorist acts as defined in </w:t>
      </w:r>
      <w:r w:rsidR="00527014">
        <w:t>S</w:t>
      </w:r>
      <w:r w:rsidR="00204B6E">
        <w:t>ection</w:t>
      </w:r>
      <w:r w:rsidR="00527014">
        <w:t> </w:t>
      </w:r>
      <w:r w:rsidR="00204B6E">
        <w:t>5 of the Act.</w:t>
      </w:r>
      <w:r w:rsidR="00204B6E" w:rsidRPr="009D6D45">
        <w:t xml:space="preserve"> </w:t>
      </w:r>
    </w:p>
    <w:p w14:paraId="4E4A1E69" w14:textId="563BB937" w:rsidR="003D005C" w:rsidRDefault="00204B6E" w:rsidP="00082936">
      <w:r>
        <w:t xml:space="preserve">Many insurance contracts contain a range of exclusions (general exclusions) that exclude cover for losses from things </w:t>
      </w:r>
      <w:r w:rsidR="002A002D">
        <w:t>like</w:t>
      </w:r>
      <w:r>
        <w:t>: chemical, biological and nuclear explosion, pollution or contamination; the destruction of electronic data; or the effects of micro</w:t>
      </w:r>
      <w:r w:rsidR="008A07A0">
        <w:noBreakHyphen/>
      </w:r>
      <w:r>
        <w:t>organisms</w:t>
      </w:r>
      <w:r w:rsidR="008A07A0">
        <w:t xml:space="preserve">. </w:t>
      </w:r>
      <w:r w:rsidR="003D005C">
        <w:t>Doubt has arisen as to whether</w:t>
      </w:r>
      <w:r>
        <w:t xml:space="preserve"> such exclusions constitute terrorism exclusions as defined by the Act. </w:t>
      </w:r>
    </w:p>
    <w:p w14:paraId="0C7D6FC6" w14:textId="77777777" w:rsidR="00204B6E" w:rsidRDefault="00204B6E" w:rsidP="00082936">
      <w:r>
        <w:t xml:space="preserve">This is because these exclusions do </w:t>
      </w:r>
      <w:r w:rsidR="0071451A">
        <w:t xml:space="preserve">not </w:t>
      </w:r>
      <w:r>
        <w:t xml:space="preserve">use words like </w:t>
      </w:r>
      <w:r w:rsidR="008A07A0">
        <w:t>‘</w:t>
      </w:r>
      <w:r>
        <w:t>terrorism</w:t>
      </w:r>
      <w:r w:rsidR="008A07A0">
        <w:t>’</w:t>
      </w:r>
      <w:r>
        <w:t xml:space="preserve"> or </w:t>
      </w:r>
      <w:r w:rsidR="008A07A0">
        <w:t>‘</w:t>
      </w:r>
      <w:r>
        <w:t>terrorist</w:t>
      </w:r>
      <w:r w:rsidR="008A07A0">
        <w:t>’</w:t>
      </w:r>
      <w:r w:rsidR="00AA1BB4">
        <w:t xml:space="preserve"> or other words that specifically refer to events like terrorism, but rather merely exclude losses of a particular class of event. </w:t>
      </w:r>
    </w:p>
    <w:p w14:paraId="4335B94D" w14:textId="23C56D34" w:rsidR="00204B6E" w:rsidRDefault="00AA1BB4" w:rsidP="00082936">
      <w:r>
        <w:t xml:space="preserve">If this view is correct, </w:t>
      </w:r>
      <w:r w:rsidR="009E25DB">
        <w:t>l</w:t>
      </w:r>
      <w:r>
        <w:t xml:space="preserve">osses </w:t>
      </w:r>
      <w:r w:rsidR="00D11B36">
        <w:t>of a particular class</w:t>
      </w:r>
      <w:r>
        <w:t xml:space="preserve"> </w:t>
      </w:r>
      <w:r w:rsidR="009E25DB">
        <w:t xml:space="preserve">could be effectively excluded </w:t>
      </w:r>
      <w:r>
        <w:t xml:space="preserve">even where they </w:t>
      </w:r>
      <w:r w:rsidR="00D11B36">
        <w:t>came about as the result of events decla</w:t>
      </w:r>
      <w:r>
        <w:t>red to be terrorist incidents under the Act</w:t>
      </w:r>
      <w:r w:rsidR="008A07A0">
        <w:t xml:space="preserve">. </w:t>
      </w:r>
      <w:r w:rsidR="009E25DB">
        <w:t xml:space="preserve"> Take, for example, the </w:t>
      </w:r>
      <w:r>
        <w:t xml:space="preserve">release </w:t>
      </w:r>
      <w:r w:rsidR="009E25DB">
        <w:t xml:space="preserve">of </w:t>
      </w:r>
      <w:r>
        <w:t xml:space="preserve">a toxic chemical agent </w:t>
      </w:r>
      <w:r w:rsidR="009E25DB">
        <w:t>in such circumstances that caused the event to be declared a terrorist incident under the Act. O</w:t>
      </w:r>
      <w:r>
        <w:t>n one view, a clause that purported to exclude damages caused by the release of chemical agent</w:t>
      </w:r>
      <w:r w:rsidR="009E25DB">
        <w:t>s</w:t>
      </w:r>
      <w:r>
        <w:t xml:space="preserve">, but made no mention of terrorism or like terms, would </w:t>
      </w:r>
      <w:r w:rsidR="009E25DB">
        <w:t>remain effective to exclude the insurer’s liability to pay claims for losses caused by the event.</w:t>
      </w:r>
    </w:p>
    <w:p w14:paraId="7F12858D" w14:textId="77777777" w:rsidR="00204B6E" w:rsidRDefault="00204B6E" w:rsidP="00082936">
      <w:r>
        <w:t xml:space="preserve">The uncertainty over whether general exclusions would be voided by the Act has created a lack of clarity over the coverage afforded by </w:t>
      </w:r>
      <w:r w:rsidR="00FC1F7A">
        <w:t>the terrorism insurance scheme.</w:t>
      </w:r>
    </w:p>
    <w:p w14:paraId="7FCA5C38" w14:textId="42F3F4A6" w:rsidR="00CF2E40" w:rsidRDefault="00922492" w:rsidP="00082936">
      <w:r>
        <w:t xml:space="preserve">When the scheme was introduced in 2003 it was the intention of the (then) Government that a terrorist event using chemical and biological means should be </w:t>
      </w:r>
      <w:r w:rsidR="00CF2E40">
        <w:t>covered</w:t>
      </w:r>
      <w:r w:rsidR="007D7EBD">
        <w:t>.</w:t>
      </w:r>
    </w:p>
    <w:p w14:paraId="2A3B165C" w14:textId="37D5841D" w:rsidR="00DE7ACD" w:rsidRPr="00DE7ACD" w:rsidRDefault="00DE7ACD" w:rsidP="00082936">
      <w:r>
        <w:t>Chemical and biological attacks are covered in most international pools.</w:t>
      </w:r>
    </w:p>
    <w:p w14:paraId="049A767A" w14:textId="61A300EE" w:rsidR="00204B6E" w:rsidRDefault="00204B6E" w:rsidP="00082936">
      <w:r>
        <w:lastRenderedPageBreak/>
        <w:t xml:space="preserve">In its report, </w:t>
      </w:r>
      <w:proofErr w:type="spellStart"/>
      <w:r w:rsidR="00B97B26">
        <w:t>Pottinger</w:t>
      </w:r>
      <w:proofErr w:type="spellEnd"/>
      <w:r w:rsidR="00B97B26">
        <w:t xml:space="preserve"> recommended that the g</w:t>
      </w:r>
      <w:r>
        <w:t>overnment provide clarity in relation to any restrictions that apply to the cover provided by the scheme, as uncertainty over the extent of cover may create both economic and political risks.</w:t>
      </w:r>
      <w:r>
        <w:rPr>
          <w:rStyle w:val="FootnoteReference"/>
        </w:rPr>
        <w:footnoteReference w:id="14"/>
      </w:r>
    </w:p>
    <w:p w14:paraId="34BFCA5D" w14:textId="3DE416C0" w:rsidR="00204B6E" w:rsidRDefault="00204B6E" w:rsidP="00082936">
      <w:r>
        <w:t xml:space="preserve">In the market soundings exercise conducted by </w:t>
      </w:r>
      <w:proofErr w:type="spellStart"/>
      <w:r>
        <w:t>Pottinger</w:t>
      </w:r>
      <w:proofErr w:type="spellEnd"/>
      <w:r>
        <w:t>, there was strong support from respondents for clarifying the coverage of the scheme</w:t>
      </w:r>
      <w:r w:rsidR="00616E43">
        <w:t xml:space="preserve"> in relation to chemical and biological means of attack</w:t>
      </w:r>
      <w:r w:rsidR="008A07A0">
        <w:t xml:space="preserve">. </w:t>
      </w:r>
      <w:r>
        <w:t xml:space="preserve">Some responses from reinsurers to </w:t>
      </w:r>
      <w:r w:rsidR="002A002D">
        <w:t>thi</w:t>
      </w:r>
      <w:r>
        <w:t xml:space="preserve">s exercise also highlighted the lack of clarity over the impact of general exclusions on the coverage of the scheme. Some reinsurers </w:t>
      </w:r>
      <w:r w:rsidRPr="00323B3B">
        <w:t xml:space="preserve">indicated that they would expect </w:t>
      </w:r>
      <w:r>
        <w:t>losses from biological and chemical hazards associated with terrorist attacks to be excluded from the scheme</w:t>
      </w:r>
      <w:r w:rsidR="008A07A0">
        <w:t>’</w:t>
      </w:r>
      <w:r>
        <w:t xml:space="preserve">s coverage, through the operation of general exclusions in insurance contracts, </w:t>
      </w:r>
      <w:r w:rsidR="002A002D">
        <w:t xml:space="preserve">while </w:t>
      </w:r>
      <w:r>
        <w:t>others expressed the</w:t>
      </w:r>
      <w:r w:rsidRPr="00323B3B">
        <w:t xml:space="preserve"> opposite view</w:t>
      </w:r>
      <w:r w:rsidR="008A07A0">
        <w:t xml:space="preserve">. </w:t>
      </w:r>
      <w:r w:rsidR="00616E43">
        <w:t>Should such an event occur the uncertainty surrounding the extent of cover provided by the ARPC would potentially create both economic and political risks.</w:t>
      </w:r>
      <w:r w:rsidR="00616E43">
        <w:rPr>
          <w:rStyle w:val="FootnoteReference"/>
        </w:rPr>
        <w:footnoteReference w:id="15"/>
      </w:r>
    </w:p>
    <w:p w14:paraId="12D2BF02" w14:textId="55FCA60E" w:rsidR="009E25DB" w:rsidRDefault="00B97B26" w:rsidP="00082936">
      <w:r>
        <w:t>If the g</w:t>
      </w:r>
      <w:r w:rsidR="00204B6E">
        <w:t>overnment w</w:t>
      </w:r>
      <w:r w:rsidR="002021D9">
        <w:t>as</w:t>
      </w:r>
      <w:r w:rsidR="00204B6E">
        <w:t xml:space="preserve"> to clarify, through legislation, the coverage of the terrorism insurance scheme, this would require careful consideration of</w:t>
      </w:r>
      <w:r w:rsidR="009E25DB">
        <w:t xml:space="preserve"> both the operation of general exclusion clauses, and </w:t>
      </w:r>
      <w:r w:rsidR="00204B6E">
        <w:t xml:space="preserve">whether losses from certain types of declared terrorist incidents should be explicitly excluded from coverage in </w:t>
      </w:r>
      <w:r w:rsidR="009E25DB">
        <w:t xml:space="preserve">the same manner </w:t>
      </w:r>
      <w:r w:rsidR="00E8748B">
        <w:t>as</w:t>
      </w:r>
      <w:r w:rsidR="009E25DB">
        <w:t xml:space="preserve"> losses from</w:t>
      </w:r>
      <w:r w:rsidR="00204B6E">
        <w:t xml:space="preserve"> nuclear </w:t>
      </w:r>
      <w:r w:rsidR="009E25DB">
        <w:t>hazards</w:t>
      </w:r>
      <w:r w:rsidR="00204B6E">
        <w:t>. Detailed consultation with stake</w:t>
      </w:r>
      <w:r w:rsidR="009E25DB">
        <w:t>holders would be needed on these issues.</w:t>
      </w:r>
    </w:p>
    <w:p w14:paraId="2FCE10EA" w14:textId="2F07DFC6" w:rsidR="002021D9" w:rsidRDefault="002021D9" w:rsidP="00082936">
      <w:r>
        <w:t xml:space="preserve">The Review recommends that the lack of clarity surrounding exclusion for terrorist attacks </w:t>
      </w:r>
      <w:r w:rsidR="00922492">
        <w:t>using chemical</w:t>
      </w:r>
      <w:r>
        <w:t xml:space="preserve"> </w:t>
      </w:r>
      <w:r w:rsidR="00922492">
        <w:t xml:space="preserve">or </w:t>
      </w:r>
      <w:r>
        <w:t>biological means be resolved as soon as possible</w:t>
      </w:r>
      <w:r w:rsidR="00616E43">
        <w:t>.</w:t>
      </w:r>
      <w:r w:rsidR="00CF2E40">
        <w:t xml:space="preserve"> </w:t>
      </w:r>
    </w:p>
    <w:p w14:paraId="174166EB" w14:textId="77777777" w:rsidR="000C5EE4" w:rsidRDefault="000C5EE4" w:rsidP="003D30BA">
      <w:pPr>
        <w:pStyle w:val="AppendixHeading"/>
        <w:sectPr w:rsidR="000C5EE4" w:rsidSect="000C5EE4">
          <w:type w:val="oddPage"/>
          <w:pgSz w:w="11906" w:h="16838" w:code="9"/>
          <w:pgMar w:top="1440" w:right="1440" w:bottom="1440" w:left="1440" w:header="709" w:footer="709" w:gutter="0"/>
          <w:cols w:space="708"/>
          <w:titlePg/>
          <w:docGrid w:linePitch="360"/>
        </w:sectPr>
      </w:pPr>
      <w:bookmarkStart w:id="125" w:name="_Toc409618523"/>
      <w:bookmarkStart w:id="126" w:name="_Toc409630054"/>
      <w:bookmarkStart w:id="127" w:name="_Toc410229546"/>
      <w:bookmarkStart w:id="128" w:name="_Toc410302181"/>
      <w:bookmarkStart w:id="129" w:name="_Toc321134094"/>
    </w:p>
    <w:p w14:paraId="4BA8E43B" w14:textId="2BA2952B" w:rsidR="00321498" w:rsidRPr="003D30BA" w:rsidRDefault="00321498" w:rsidP="003D30BA">
      <w:pPr>
        <w:pStyle w:val="AppendixHeading"/>
      </w:pPr>
      <w:bookmarkStart w:id="130" w:name="_Toc437877567"/>
      <w:r w:rsidRPr="003D30BA">
        <w:lastRenderedPageBreak/>
        <w:t xml:space="preserve">Appendix </w:t>
      </w:r>
      <w:r w:rsidR="00843660" w:rsidRPr="003D30BA">
        <w:t>A</w:t>
      </w:r>
      <w:r w:rsidRPr="003D30BA">
        <w:t>:</w:t>
      </w:r>
      <w:r w:rsidR="00951A43" w:rsidRPr="003D30BA">
        <w:t xml:space="preserve">  </w:t>
      </w:r>
      <w:r w:rsidRPr="003D30BA">
        <w:t>Terms of reference</w:t>
      </w:r>
      <w:bookmarkEnd w:id="125"/>
      <w:bookmarkEnd w:id="126"/>
      <w:bookmarkEnd w:id="127"/>
      <w:bookmarkEnd w:id="128"/>
      <w:bookmarkEnd w:id="130"/>
    </w:p>
    <w:p w14:paraId="29489024" w14:textId="77777777" w:rsidR="0075575B" w:rsidRDefault="00C61B49" w:rsidP="007171C5">
      <w:pPr>
        <w:pStyle w:val="Bullet"/>
        <w:numPr>
          <w:ilvl w:val="0"/>
          <w:numId w:val="0"/>
        </w:numPr>
        <w:ind w:left="397" w:hanging="397"/>
        <w:rPr>
          <w:lang w:val="en"/>
        </w:rPr>
      </w:pPr>
      <w:r>
        <w:rPr>
          <w:szCs w:val="22"/>
        </w:rPr>
        <w:t>Treasury will report</w:t>
      </w:r>
      <w:r w:rsidR="0075575B">
        <w:rPr>
          <w:szCs w:val="22"/>
        </w:rPr>
        <w:t xml:space="preserve"> to the </w:t>
      </w:r>
      <w:r>
        <w:rPr>
          <w:szCs w:val="22"/>
        </w:rPr>
        <w:t>Minister on</w:t>
      </w:r>
      <w:r w:rsidR="0075575B">
        <w:rPr>
          <w:szCs w:val="22"/>
        </w:rPr>
        <w:t>:</w:t>
      </w:r>
    </w:p>
    <w:p w14:paraId="5FCE6D59" w14:textId="5FB91870" w:rsidR="00B85CB2" w:rsidRPr="00B85CB2" w:rsidRDefault="00B85CB2" w:rsidP="0027258C">
      <w:pPr>
        <w:pStyle w:val="Bullet"/>
        <w:rPr>
          <w:lang w:val="en"/>
        </w:rPr>
      </w:pPr>
      <w:r>
        <w:rPr>
          <w:lang w:val="en"/>
        </w:rPr>
        <w:t>W</w:t>
      </w:r>
      <w:r w:rsidRPr="00B85CB2">
        <w:rPr>
          <w:lang w:val="en"/>
        </w:rPr>
        <w:t>hether there continues to be market failure in the private sector supply of terrorism insurance and</w:t>
      </w:r>
      <w:r w:rsidR="002A002D">
        <w:rPr>
          <w:lang w:val="en"/>
        </w:rPr>
        <w:t>,</w:t>
      </w:r>
      <w:r w:rsidRPr="00B85CB2">
        <w:rPr>
          <w:lang w:val="en"/>
        </w:rPr>
        <w:t xml:space="preserve"> consequently</w:t>
      </w:r>
      <w:r w:rsidR="002A002D">
        <w:rPr>
          <w:lang w:val="en"/>
        </w:rPr>
        <w:t>,</w:t>
      </w:r>
      <w:r w:rsidRPr="00B85CB2">
        <w:rPr>
          <w:lang w:val="en"/>
        </w:rPr>
        <w:t xml:space="preserve"> whether there is a need for the Act to continue in operation;</w:t>
      </w:r>
    </w:p>
    <w:p w14:paraId="0D45D8FC" w14:textId="61A81D89" w:rsidR="00B85CB2" w:rsidRPr="00B85CB2" w:rsidRDefault="00B85CB2" w:rsidP="0027258C">
      <w:pPr>
        <w:pStyle w:val="Bullet"/>
        <w:rPr>
          <w:lang w:val="en"/>
        </w:rPr>
      </w:pPr>
      <w:r>
        <w:rPr>
          <w:lang w:val="en"/>
        </w:rPr>
        <w:t>O</w:t>
      </w:r>
      <w:r w:rsidRPr="00B85CB2">
        <w:rPr>
          <w:lang w:val="en"/>
        </w:rPr>
        <w:t>ptions on the future of the Act, including if there are possible alternative modes of ownership of the ARPC availa</w:t>
      </w:r>
      <w:r w:rsidR="00B97B26">
        <w:rPr>
          <w:lang w:val="en"/>
        </w:rPr>
        <w:t xml:space="preserve">ble to the </w:t>
      </w:r>
      <w:r w:rsidR="00834788">
        <w:rPr>
          <w:lang w:val="en"/>
        </w:rPr>
        <w:t>G</w:t>
      </w:r>
      <w:r w:rsidRPr="00B85CB2">
        <w:rPr>
          <w:lang w:val="en"/>
        </w:rPr>
        <w:t>overnment and the costs and benefits of each alternative;</w:t>
      </w:r>
    </w:p>
    <w:p w14:paraId="4BA1F35E" w14:textId="0509D25E" w:rsidR="00B85CB2" w:rsidRPr="00B85CB2" w:rsidRDefault="00B85CB2" w:rsidP="0027258C">
      <w:pPr>
        <w:pStyle w:val="Bullet"/>
        <w:rPr>
          <w:lang w:val="en"/>
        </w:rPr>
      </w:pPr>
      <w:r>
        <w:rPr>
          <w:lang w:val="en"/>
        </w:rPr>
        <w:t>W</w:t>
      </w:r>
      <w:r w:rsidRPr="00B85CB2">
        <w:rPr>
          <w:lang w:val="en"/>
        </w:rPr>
        <w:t>hether the pricing of the scheme (the premium rates and tier structure)</w:t>
      </w:r>
      <w:r w:rsidR="002A002D">
        <w:rPr>
          <w:lang w:val="en"/>
        </w:rPr>
        <w:t>,</w:t>
      </w:r>
      <w:r w:rsidRPr="00B85CB2">
        <w:rPr>
          <w:lang w:val="en"/>
        </w:rPr>
        <w:t xml:space="preserve"> the level and structure of insurer and industry retentions</w:t>
      </w:r>
      <w:r w:rsidR="002A002D">
        <w:rPr>
          <w:lang w:val="en"/>
        </w:rPr>
        <w:t>,</w:t>
      </w:r>
      <w:r w:rsidRPr="00B85CB2">
        <w:rPr>
          <w:lang w:val="en"/>
        </w:rPr>
        <w:t xml:space="preserve"> and the purchase of retrocession cover (including its level and cost) continue to be appropriate and do not distort demand for insurance;</w:t>
      </w:r>
    </w:p>
    <w:p w14:paraId="1F02435A" w14:textId="77777777" w:rsidR="00B85CB2" w:rsidRPr="00B85CB2" w:rsidRDefault="00B85CB2" w:rsidP="0027258C">
      <w:pPr>
        <w:pStyle w:val="Bullet"/>
        <w:rPr>
          <w:lang w:val="en"/>
        </w:rPr>
      </w:pPr>
      <w:r>
        <w:rPr>
          <w:lang w:val="en"/>
        </w:rPr>
        <w:t>W</w:t>
      </w:r>
      <w:r w:rsidRPr="00B85CB2">
        <w:rPr>
          <w:lang w:val="en"/>
        </w:rPr>
        <w:t>hether the operation of the scheme should be extended to include mixed commercial and residential use buildings, and high-rise residential buildings; and</w:t>
      </w:r>
    </w:p>
    <w:p w14:paraId="34DEA43F" w14:textId="77777777" w:rsidR="00B85CB2" w:rsidRPr="00B85CB2" w:rsidRDefault="00B85CB2" w:rsidP="0027258C">
      <w:pPr>
        <w:pStyle w:val="Bullet"/>
        <w:rPr>
          <w:lang w:val="en"/>
        </w:rPr>
      </w:pPr>
      <w:r>
        <w:rPr>
          <w:lang w:val="en"/>
        </w:rPr>
        <w:t>W</w:t>
      </w:r>
      <w:r w:rsidRPr="00B85CB2">
        <w:rPr>
          <w:lang w:val="en"/>
        </w:rPr>
        <w:t>hether refinements to the scheme are necessary to clarify coverage for biochemical attacks, having regard to the effect of insurance policy exclusion clauses such as Chemical, Biological, and Pollution exclusions.</w:t>
      </w:r>
    </w:p>
    <w:p w14:paraId="5C4FC27A" w14:textId="64D81904" w:rsidR="00FC1321" w:rsidRPr="00FC1321" w:rsidRDefault="00FC1321" w:rsidP="00FC1321">
      <w:pPr>
        <w:rPr>
          <w:szCs w:val="24"/>
        </w:rPr>
      </w:pPr>
      <w:r w:rsidRPr="00FC1321">
        <w:rPr>
          <w:szCs w:val="24"/>
        </w:rPr>
        <w:t xml:space="preserve">In conducting the review, Treasury will incorporate input from an expert external consultant. The consultant </w:t>
      </w:r>
      <w:r w:rsidR="002A002D">
        <w:rPr>
          <w:szCs w:val="24"/>
        </w:rPr>
        <w:t>will</w:t>
      </w:r>
      <w:r w:rsidR="002A002D" w:rsidRPr="00FC1321">
        <w:rPr>
          <w:szCs w:val="24"/>
        </w:rPr>
        <w:t xml:space="preserve"> </w:t>
      </w:r>
      <w:r w:rsidRPr="00FC1321">
        <w:rPr>
          <w:szCs w:val="24"/>
        </w:rPr>
        <w:t>be instructed to provide a written report to Treasury.</w:t>
      </w:r>
    </w:p>
    <w:p w14:paraId="222B0906" w14:textId="77777777" w:rsidR="00C545A6" w:rsidRDefault="00C545A6" w:rsidP="003D30BA">
      <w:pPr>
        <w:pStyle w:val="AppendixHeading"/>
        <w:sectPr w:rsidR="00C545A6" w:rsidSect="000C5EE4">
          <w:type w:val="oddPage"/>
          <w:pgSz w:w="11906" w:h="16838" w:code="9"/>
          <w:pgMar w:top="1440" w:right="1440" w:bottom="1440" w:left="1440" w:header="709" w:footer="709" w:gutter="0"/>
          <w:cols w:space="708"/>
          <w:titlePg/>
          <w:docGrid w:linePitch="360"/>
        </w:sectPr>
      </w:pPr>
      <w:bookmarkStart w:id="131" w:name="_Toc409618524"/>
      <w:bookmarkStart w:id="132" w:name="_Toc409630055"/>
      <w:bookmarkStart w:id="133" w:name="_Toc410229547"/>
      <w:bookmarkStart w:id="134" w:name="_Toc410302182"/>
    </w:p>
    <w:p w14:paraId="310DCE22" w14:textId="0A5962AC" w:rsidR="00B87057" w:rsidRPr="003D30BA" w:rsidRDefault="00321498" w:rsidP="003D30BA">
      <w:pPr>
        <w:pStyle w:val="AppendixHeading"/>
      </w:pPr>
      <w:bookmarkStart w:id="135" w:name="_Toc437877568"/>
      <w:r w:rsidRPr="003D30BA">
        <w:lastRenderedPageBreak/>
        <w:t>Appendix B</w:t>
      </w:r>
      <w:r w:rsidR="00B87057" w:rsidRPr="003D30BA">
        <w:t>:</w:t>
      </w:r>
      <w:r w:rsidR="00951A43" w:rsidRPr="003D30BA">
        <w:t xml:space="preserve">  </w:t>
      </w:r>
      <w:r w:rsidR="00B87057" w:rsidRPr="003D30BA">
        <w:t>International approaches</w:t>
      </w:r>
      <w:bookmarkEnd w:id="131"/>
      <w:bookmarkEnd w:id="132"/>
      <w:bookmarkEnd w:id="133"/>
      <w:bookmarkEnd w:id="134"/>
      <w:bookmarkEnd w:id="135"/>
    </w:p>
    <w:p w14:paraId="79A9C8C9" w14:textId="77777777" w:rsidR="003752CA" w:rsidRDefault="00357A26" w:rsidP="00082936">
      <w:r>
        <w:t>Many developed countries have national terrorism insurance systems in place.</w:t>
      </w:r>
      <w:r w:rsidR="002818C8">
        <w:t xml:space="preserve"> </w:t>
      </w:r>
      <w:r w:rsidR="003752CA">
        <w:t>Countries with a history of terrorism tend to have long</w:t>
      </w:r>
      <w:r w:rsidR="008A07A0">
        <w:noBreakHyphen/>
      </w:r>
      <w:r w:rsidR="003752CA">
        <w:t>standing government</w:t>
      </w:r>
      <w:r w:rsidR="008A07A0">
        <w:noBreakHyphen/>
      </w:r>
      <w:r w:rsidR="003752CA">
        <w:t xml:space="preserve">run terrorism insurance schemes. </w:t>
      </w:r>
      <w:r w:rsidR="003752CA" w:rsidRPr="00BC183D">
        <w:t>For example</w:t>
      </w:r>
      <w:r w:rsidR="003752CA">
        <w:t xml:space="preserve">, </w:t>
      </w:r>
      <w:r w:rsidR="003752CA" w:rsidRPr="00BC183D">
        <w:t xml:space="preserve">the Spanish scheme was established following the Spanish Civil War; the South African scheme </w:t>
      </w:r>
      <w:r w:rsidR="003752CA">
        <w:t>was set out</w:t>
      </w:r>
      <w:r w:rsidR="003752CA" w:rsidRPr="00BC183D">
        <w:t xml:space="preserve"> following the political unrest of the 1970s; </w:t>
      </w:r>
      <w:r w:rsidR="003752CA">
        <w:t>and the Israeli scheme was starte</w:t>
      </w:r>
      <w:r w:rsidR="00FC1F7A">
        <w:t>d early in Israel</w:t>
      </w:r>
      <w:r w:rsidR="008A07A0">
        <w:t>’</w:t>
      </w:r>
      <w:r w:rsidR="00FC1F7A">
        <w:t xml:space="preserve">s statehood. </w:t>
      </w:r>
    </w:p>
    <w:p w14:paraId="0188D071" w14:textId="31EF91B4" w:rsidR="003752CA" w:rsidRDefault="003752CA" w:rsidP="00082936">
      <w:r>
        <w:t>In the early 1990s</w:t>
      </w:r>
      <w:r w:rsidR="002A002D">
        <w:t>,</w:t>
      </w:r>
      <w:r>
        <w:t xml:space="preserve"> the UK </w:t>
      </w:r>
      <w:r w:rsidR="00D22E59">
        <w:t>G</w:t>
      </w:r>
      <w:r>
        <w:t>overnment and the UK insurance industry set up the Pool Reinsurance Company Limited (Pool Re) scheme. The scheme was designed to deal with a market failure for the provision of terrorism insurance following terrorism incident</w:t>
      </w:r>
      <w:r w:rsidR="002A002D">
        <w:t>s</w:t>
      </w:r>
      <w:r>
        <w:t xml:space="preserve"> related to the troubles in Northern</w:t>
      </w:r>
      <w:r w:rsidR="00F34A1D">
        <w:t> </w:t>
      </w:r>
      <w:r>
        <w:t>Ireland and the flow</w:t>
      </w:r>
      <w:r w:rsidR="002A002D">
        <w:t>-</w:t>
      </w:r>
      <w:r>
        <w:t xml:space="preserve">on effects of a lack </w:t>
      </w:r>
      <w:r w:rsidR="00FC1F7A">
        <w:t>of insurance on the UK economy.</w:t>
      </w:r>
    </w:p>
    <w:p w14:paraId="78B13778" w14:textId="658EBE9C" w:rsidR="00B87057" w:rsidRDefault="00B87057" w:rsidP="00082936">
      <w:r>
        <w:t xml:space="preserve">A large number </w:t>
      </w:r>
      <w:r w:rsidR="002A002D">
        <w:t xml:space="preserve">of schemes </w:t>
      </w:r>
      <w:r>
        <w:t>were set up following the September 11 terror</w:t>
      </w:r>
      <w:r w:rsidR="002A002D">
        <w:t>ist</w:t>
      </w:r>
      <w:r>
        <w:t xml:space="preserve"> attacks,</w:t>
      </w:r>
      <w:r w:rsidRPr="003F468A">
        <w:t xml:space="preserve"> </w:t>
      </w:r>
      <w:r w:rsidRPr="00BC183D">
        <w:t xml:space="preserve">including </w:t>
      </w:r>
      <w:r w:rsidR="002A002D">
        <w:t xml:space="preserve">in </w:t>
      </w:r>
      <w:r w:rsidRPr="00BC183D">
        <w:t>Austria, France, Germany, India, the Netherlands, Switzerland</w:t>
      </w:r>
      <w:r w:rsidR="002A002D">
        <w:t xml:space="preserve">, </w:t>
      </w:r>
      <w:r w:rsidRPr="00BC183D">
        <w:t>the United States</w:t>
      </w:r>
      <w:r w:rsidR="002A002D">
        <w:t xml:space="preserve"> and, of course,</w:t>
      </w:r>
      <w:r>
        <w:t xml:space="preserve"> Australia. </w:t>
      </w:r>
    </w:p>
    <w:p w14:paraId="41A9EE2E" w14:textId="77777777" w:rsidR="00B87057" w:rsidRDefault="003752CA" w:rsidP="00843660">
      <w:pPr>
        <w:pStyle w:val="Heading2"/>
      </w:pPr>
      <w:bookmarkStart w:id="136" w:name="_Toc437877569"/>
      <w:r>
        <w:t>Recent developments in the United Kingdom and United States</w:t>
      </w:r>
      <w:bookmarkEnd w:id="136"/>
    </w:p>
    <w:p w14:paraId="2F233C32" w14:textId="1F75E7A4" w:rsidR="000129ED" w:rsidRDefault="000129ED" w:rsidP="00082936">
      <w:r>
        <w:t>In the English</w:t>
      </w:r>
      <w:r w:rsidR="008A07A0">
        <w:noBreakHyphen/>
      </w:r>
      <w:r>
        <w:t>speaking world</w:t>
      </w:r>
      <w:r w:rsidR="002A002D">
        <w:t>,</w:t>
      </w:r>
      <w:r>
        <w:t xml:space="preserve"> there has been a push to make the insurance industry pay more for government guarantees</w:t>
      </w:r>
      <w:r w:rsidR="002A002D">
        <w:t>,</w:t>
      </w:r>
      <w:r>
        <w:t xml:space="preserve"> as well as </w:t>
      </w:r>
      <w:r w:rsidR="002A002D">
        <w:t xml:space="preserve">to increase </w:t>
      </w:r>
      <w:r>
        <w:t xml:space="preserve">the amount of risk </w:t>
      </w:r>
      <w:r w:rsidR="002A002D">
        <w:t xml:space="preserve">borne by </w:t>
      </w:r>
      <w:r>
        <w:t>the industry</w:t>
      </w:r>
      <w:r w:rsidR="00FC1F7A">
        <w:t xml:space="preserve">. </w:t>
      </w:r>
    </w:p>
    <w:p w14:paraId="75C909B3" w14:textId="41827DA2" w:rsidR="00B87057" w:rsidRDefault="00B87057" w:rsidP="00082936">
      <w:r>
        <w:t xml:space="preserve">The UK Government recently announced </w:t>
      </w:r>
      <w:r w:rsidR="00350D7D">
        <w:t>changes to the UK scheme</w:t>
      </w:r>
      <w:r w:rsidR="0033574E">
        <w:t xml:space="preserve"> </w:t>
      </w:r>
      <w:r w:rsidR="002A002D">
        <w:t xml:space="preserve">that </w:t>
      </w:r>
      <w:r w:rsidR="0033574E">
        <w:t>push the</w:t>
      </w:r>
      <w:r w:rsidR="006C268B">
        <w:t>ir</w:t>
      </w:r>
      <w:r w:rsidR="0033574E">
        <w:t xml:space="preserve"> scheme</w:t>
      </w:r>
      <w:r w:rsidR="006C268B">
        <w:t>’s</w:t>
      </w:r>
      <w:r w:rsidR="0033574E">
        <w:t xml:space="preserve"> costs towards the insurance industry and away from taxpayers</w:t>
      </w:r>
      <w:r w:rsidR="006C268B">
        <w:t>. F</w:t>
      </w:r>
      <w:r w:rsidR="003752CA">
        <w:t>or example</w:t>
      </w:r>
      <w:r w:rsidR="006C268B">
        <w:t>,</w:t>
      </w:r>
      <w:r>
        <w:t xml:space="preserve"> it will charge Pool Re</w:t>
      </w:r>
      <w:r w:rsidR="0033574E">
        <w:t xml:space="preserve"> (the UK scheme)</w:t>
      </w:r>
      <w:r w:rsidR="003752CA">
        <w:t xml:space="preserve"> a fee for the UK Government guarantee of the equivalent of </w:t>
      </w:r>
      <w:r>
        <w:t xml:space="preserve">50 per cent of premiums, in addition to a dividend payment of 50 per cent of any surplus generated, half of which will go to the UK Government and half of which will </w:t>
      </w:r>
      <w:r w:rsidR="001134AD">
        <w:t xml:space="preserve">be paid to members of Pool Re. </w:t>
      </w:r>
      <w:r>
        <w:t>The UK</w:t>
      </w:r>
      <w:r w:rsidR="00F34A1D">
        <w:t> </w:t>
      </w:r>
      <w:r>
        <w:t xml:space="preserve">Government also recently announced that Pool Re will be </w:t>
      </w:r>
      <w:r w:rsidR="00C40A49">
        <w:t>permitted</w:t>
      </w:r>
      <w:r w:rsidR="00FC1F7A">
        <w:t xml:space="preserve"> to seek retrocession cover. </w:t>
      </w:r>
    </w:p>
    <w:p w14:paraId="3C86196E" w14:textId="31E49766" w:rsidR="006101CF" w:rsidRDefault="006101CF" w:rsidP="00082936">
      <w:pPr>
        <w:autoSpaceDE w:val="0"/>
        <w:autoSpaceDN w:val="0"/>
        <w:adjustRightInd w:val="0"/>
      </w:pPr>
      <w:r>
        <w:t>In the US</w:t>
      </w:r>
      <w:r w:rsidR="006C268B">
        <w:t>,</w:t>
      </w:r>
      <w:r>
        <w:t xml:space="preserve"> the federal terrorist risk insurance scheme was recently</w:t>
      </w:r>
      <w:r w:rsidRPr="007F7689">
        <w:t xml:space="preserve"> reinstated</w:t>
      </w:r>
      <w:r w:rsidR="001134AD">
        <w:t xml:space="preserve"> after the scheme briefly lapsed due to delays in getting the bill passed in Congress. Some </w:t>
      </w:r>
      <w:r w:rsidR="00C40A49">
        <w:t xml:space="preserve">changes to the scheme </w:t>
      </w:r>
      <w:r w:rsidR="001134AD">
        <w:t>push more of the</w:t>
      </w:r>
      <w:r w:rsidRPr="007F7689">
        <w:t xml:space="preserve"> r</w:t>
      </w:r>
      <w:r>
        <w:t>esponsibility</w:t>
      </w:r>
      <w:r w:rsidR="00C40A49">
        <w:t xml:space="preserve"> </w:t>
      </w:r>
      <w:r w:rsidR="003B4D30">
        <w:t xml:space="preserve">onto </w:t>
      </w:r>
      <w:r w:rsidR="00B74B1F">
        <w:t xml:space="preserve">industry </w:t>
      </w:r>
      <w:r w:rsidR="00C40A49">
        <w:t>in the event of a terrorist attack. The</w:t>
      </w:r>
      <w:r>
        <w:t xml:space="preserve"> </w:t>
      </w:r>
      <w:r w:rsidR="00C40A49">
        <w:t>changes</w:t>
      </w:r>
      <w:r>
        <w:t xml:space="preserve"> </w:t>
      </w:r>
      <w:r w:rsidRPr="007F7689">
        <w:t>raise</w:t>
      </w:r>
      <w:r>
        <w:t xml:space="preserve"> </w:t>
      </w:r>
      <w:r w:rsidRPr="007F7689">
        <w:t>industry retentions in the event of a claim</w:t>
      </w:r>
      <w:r w:rsidR="00C40A49">
        <w:t>, for example</w:t>
      </w:r>
      <w:r w:rsidR="003B4D30">
        <w:t>,</w:t>
      </w:r>
      <w:r w:rsidR="00C40A49">
        <w:t xml:space="preserve"> b</w:t>
      </w:r>
      <w:r w:rsidRPr="007F7689">
        <w:t xml:space="preserve">y </w:t>
      </w:r>
      <w:proofErr w:type="gramStart"/>
      <w:r w:rsidRPr="007F7689">
        <w:t>2020,</w:t>
      </w:r>
      <w:proofErr w:type="gramEnd"/>
      <w:r w:rsidRPr="007F7689">
        <w:t xml:space="preserve"> the amount of an incident </w:t>
      </w:r>
      <w:r w:rsidR="003B4D30">
        <w:t>that</w:t>
      </w:r>
      <w:r w:rsidR="003B4D30" w:rsidRPr="007F7689">
        <w:t xml:space="preserve"> </w:t>
      </w:r>
      <w:r w:rsidRPr="007F7689">
        <w:t xml:space="preserve">triggers the </w:t>
      </w:r>
      <w:r w:rsidR="00C40A49">
        <w:t xml:space="preserve">government </w:t>
      </w:r>
      <w:r w:rsidRPr="007F7689">
        <w:t>scheme will need to be $200</w:t>
      </w:r>
      <w:r>
        <w:t> </w:t>
      </w:r>
      <w:r w:rsidRPr="007F7689">
        <w:t>million</w:t>
      </w:r>
      <w:r w:rsidR="000E685E">
        <w:t>, with co</w:t>
      </w:r>
      <w:r w:rsidR="003B4D30">
        <w:t>-</w:t>
      </w:r>
      <w:r w:rsidR="000E685E">
        <w:t>insurance</w:t>
      </w:r>
      <w:r w:rsidR="001134AD">
        <w:t xml:space="preserve"> from the insurance industry</w:t>
      </w:r>
      <w:r w:rsidR="000E685E">
        <w:t xml:space="preserve"> increased to 20 per cent</w:t>
      </w:r>
      <w:r w:rsidRPr="007F7689">
        <w:t>.</w:t>
      </w:r>
      <w:r w:rsidRPr="006101CF">
        <w:rPr>
          <w:vertAlign w:val="superscript"/>
        </w:rPr>
        <w:footnoteReference w:id="16"/>
      </w:r>
      <w:r w:rsidR="00FC1F7A">
        <w:t xml:space="preserve"> </w:t>
      </w:r>
    </w:p>
    <w:p w14:paraId="7F8A5F1C" w14:textId="7F5F9F19" w:rsidR="006101CF" w:rsidRDefault="00C40A49" w:rsidP="00082936">
      <w:pPr>
        <w:autoSpaceDE w:val="0"/>
        <w:autoSpaceDN w:val="0"/>
        <w:adjustRightInd w:val="0"/>
      </w:pPr>
      <w:r>
        <w:t>Towards the end of 2014 and into early 2015</w:t>
      </w:r>
      <w:r w:rsidR="003B4D30">
        <w:t>,</w:t>
      </w:r>
      <w:r>
        <w:t xml:space="preserve"> the </w:t>
      </w:r>
      <w:r w:rsidR="003B4D30">
        <w:t xml:space="preserve">US </w:t>
      </w:r>
      <w:r>
        <w:t xml:space="preserve">scheme faced uncertainty </w:t>
      </w:r>
      <w:r w:rsidR="003B4D30">
        <w:t xml:space="preserve">because </w:t>
      </w:r>
      <w:r w:rsidR="00627384">
        <w:t xml:space="preserve">it was not clear </w:t>
      </w:r>
      <w:r w:rsidR="003B4D30">
        <w:t xml:space="preserve">whether </w:t>
      </w:r>
      <w:r w:rsidR="00627384">
        <w:t xml:space="preserve">the US </w:t>
      </w:r>
      <w:r w:rsidR="003B4D30">
        <w:t>C</w:t>
      </w:r>
      <w:r w:rsidR="00627384">
        <w:t xml:space="preserve">ongress would extend the scheme. </w:t>
      </w:r>
      <w:r w:rsidR="006101CF">
        <w:t xml:space="preserve">Full effects on the US economy and businesses were not felt in this short lapse as many businesses did not wish to publicise </w:t>
      </w:r>
      <w:r w:rsidR="003B4D30">
        <w:t xml:space="preserve">the nature </w:t>
      </w:r>
      <w:r w:rsidR="003B4D30">
        <w:lastRenderedPageBreak/>
        <w:t>of their vulnerability</w:t>
      </w:r>
      <w:r w:rsidR="006101CF">
        <w:t xml:space="preserve"> in the absence of TRIA.</w:t>
      </w:r>
      <w:r w:rsidR="006101CF">
        <w:rPr>
          <w:rStyle w:val="FootnoteReference"/>
        </w:rPr>
        <w:footnoteReference w:id="17"/>
      </w:r>
      <w:r w:rsidR="006101CF">
        <w:t xml:space="preserve"> However, no major cancellations of building projects or events are known to have occurred.</w:t>
      </w:r>
      <w:r w:rsidR="006101CF">
        <w:rPr>
          <w:rStyle w:val="FootnoteReference"/>
        </w:rPr>
        <w:footnoteReference w:id="18"/>
      </w:r>
      <w:r w:rsidR="00FC1F7A">
        <w:t xml:space="preserve"> </w:t>
      </w:r>
    </w:p>
    <w:p w14:paraId="7A6FA051" w14:textId="77777777" w:rsidR="000129ED" w:rsidRDefault="00627384" w:rsidP="00082936">
      <w:r>
        <w:t>Part 3.</w:t>
      </w:r>
      <w:r w:rsidR="009A2CD5">
        <w:t>8</w:t>
      </w:r>
      <w:r>
        <w:t xml:space="preserve"> of the attached report by </w:t>
      </w:r>
      <w:proofErr w:type="spellStart"/>
      <w:r>
        <w:t>Pottinger</w:t>
      </w:r>
      <w:proofErr w:type="spellEnd"/>
      <w:r>
        <w:t xml:space="preserve"> discusses some of the recent developments in internat</w:t>
      </w:r>
      <w:r w:rsidR="000129ED">
        <w:t>ional terrorism schemes.</w:t>
      </w:r>
    </w:p>
    <w:p w14:paraId="276639E4" w14:textId="77777777" w:rsidR="00B87057" w:rsidRPr="00B6097F" w:rsidRDefault="00B87057" w:rsidP="00951A43">
      <w:pPr>
        <w:pStyle w:val="Heading2"/>
      </w:pPr>
      <w:bookmarkStart w:id="137" w:name="_Toc437877570"/>
      <w:r w:rsidRPr="00B6097F">
        <w:t>How the Australian scheme compares</w:t>
      </w:r>
      <w:r>
        <w:t xml:space="preserve"> with other schemes</w:t>
      </w:r>
      <w:bookmarkEnd w:id="137"/>
      <w:r w:rsidRPr="00B6097F">
        <w:t xml:space="preserve"> </w:t>
      </w:r>
    </w:p>
    <w:p w14:paraId="17C79A0D" w14:textId="67BAF34F" w:rsidR="00B87057" w:rsidRPr="00BC183D" w:rsidRDefault="000129ED" w:rsidP="000022E1">
      <w:r>
        <w:t xml:space="preserve">The Australian scheme is similar to terrorism insurance schemes in other </w:t>
      </w:r>
      <w:r w:rsidR="00545ABF" w:rsidRPr="009A5979">
        <w:t>Organisation for Economic Co</w:t>
      </w:r>
      <w:r w:rsidR="00545ABF">
        <w:noBreakHyphen/>
      </w:r>
      <w:r w:rsidR="00545ABF" w:rsidRPr="009A5979">
        <w:t>operation and Development</w:t>
      </w:r>
      <w:r w:rsidR="00545ABF" w:rsidRPr="00BC183D">
        <w:t xml:space="preserve"> </w:t>
      </w:r>
      <w:r w:rsidR="00545ABF">
        <w:t>(</w:t>
      </w:r>
      <w:r w:rsidR="00B87057" w:rsidRPr="00BC183D">
        <w:t>OECD</w:t>
      </w:r>
      <w:r w:rsidR="00545ABF">
        <w:t>)</w:t>
      </w:r>
      <w:r w:rsidR="00B87057" w:rsidRPr="00BC183D">
        <w:t xml:space="preserve"> countries</w:t>
      </w:r>
      <w:r>
        <w:t xml:space="preserve">, </w:t>
      </w:r>
      <w:r w:rsidR="00172528">
        <w:t>with so</w:t>
      </w:r>
      <w:r w:rsidR="00172528" w:rsidRPr="00CD3C6B">
        <w:t>me combination of a pool, reinsur</w:t>
      </w:r>
      <w:r w:rsidR="00172528">
        <w:t>ance and a government guarantee,</w:t>
      </w:r>
      <w:r w:rsidR="00172528" w:rsidRPr="00CD3C6B">
        <w:t xml:space="preserve"> </w:t>
      </w:r>
      <w:r>
        <w:t>especially those established after the 2001 terrorist attacks</w:t>
      </w:r>
      <w:r w:rsidR="00B87057" w:rsidRPr="00BC183D">
        <w:t xml:space="preserve"> (</w:t>
      </w:r>
      <w:r w:rsidR="003B4D30">
        <w:t xml:space="preserve">for example, </w:t>
      </w:r>
      <w:r w:rsidR="00B87057" w:rsidRPr="00BC183D">
        <w:t>Belgium, Denmar</w:t>
      </w:r>
      <w:r>
        <w:t xml:space="preserve">k, France, </w:t>
      </w:r>
      <w:r w:rsidR="00172528">
        <w:t xml:space="preserve">Germany, </w:t>
      </w:r>
      <w:r w:rsidR="003B4D30">
        <w:t xml:space="preserve">and </w:t>
      </w:r>
      <w:r w:rsidR="00172528">
        <w:t>the</w:t>
      </w:r>
      <w:r>
        <w:t xml:space="preserve"> Netherlands</w:t>
      </w:r>
      <w:r w:rsidR="00172528">
        <w:t>)</w:t>
      </w:r>
      <w:r w:rsidR="003F2E01">
        <w:t>.</w:t>
      </w:r>
    </w:p>
    <w:p w14:paraId="5F6D9D5E" w14:textId="7B05FCC0" w:rsidR="00B87057" w:rsidRPr="00BC183D" w:rsidRDefault="00B87057" w:rsidP="000022E1">
      <w:r w:rsidRPr="00BC183D">
        <w:t xml:space="preserve">Schemes established </w:t>
      </w:r>
      <w:r w:rsidR="003B4D30">
        <w:t>after</w:t>
      </w:r>
      <w:r w:rsidRPr="00BC183D">
        <w:t xml:space="preserve"> September 2001 were generally </w:t>
      </w:r>
      <w:r w:rsidR="00172528">
        <w:t xml:space="preserve">set </w:t>
      </w:r>
      <w:r w:rsidR="00F664C3">
        <w:t xml:space="preserve">up </w:t>
      </w:r>
      <w:r w:rsidR="00172528">
        <w:t xml:space="preserve">as </w:t>
      </w:r>
      <w:r w:rsidRPr="00BC183D">
        <w:t>immediate response</w:t>
      </w:r>
      <w:r w:rsidR="00172528">
        <w:t>s</w:t>
      </w:r>
      <w:r w:rsidRPr="00BC183D">
        <w:t xml:space="preserve"> to</w:t>
      </w:r>
      <w:r w:rsidR="00172528">
        <w:t xml:space="preserve"> </w:t>
      </w:r>
      <w:r w:rsidRPr="00BC183D">
        <w:t>market failure in terrorism insurance</w:t>
      </w:r>
      <w:r w:rsidR="00F664C3">
        <w:t xml:space="preserve">, and were </w:t>
      </w:r>
      <w:r w:rsidRPr="00BC183D">
        <w:t>expected to be temporary in nature. Reflecting this, some schemes, such as those in Germany and the United States, i</w:t>
      </w:r>
      <w:r>
        <w:t>nclude sunset clauses. Similar</w:t>
      </w:r>
      <w:r w:rsidRPr="00BC183D">
        <w:t xml:space="preserve"> to the Australian scheme</w:t>
      </w:r>
      <w:r>
        <w:t>,</w:t>
      </w:r>
      <w:r w:rsidRPr="00BC183D">
        <w:t xml:space="preserve"> they exist on a temporary basis with the intention that they only continue to operate whil</w:t>
      </w:r>
      <w:r w:rsidR="00F664C3">
        <w:t>e</w:t>
      </w:r>
      <w:r w:rsidRPr="00BC183D">
        <w:t xml:space="preserve"> sufficient terrorism insurance cover remains commercially unavailable on reasonable terms. As with the Australian scheme, these two schemes are also subject to periodic review. Both the United States and German governments have extended their respective schemes.</w:t>
      </w:r>
    </w:p>
    <w:p w14:paraId="0B3B0547" w14:textId="5603373B" w:rsidR="00172528" w:rsidRDefault="00172528" w:rsidP="000022E1">
      <w:r>
        <w:t>Internationally, many terrorism</w:t>
      </w:r>
      <w:r w:rsidRPr="00172528">
        <w:t xml:space="preserve"> schemes are public sector schemes, </w:t>
      </w:r>
      <w:r>
        <w:t>owned by the government. Ho</w:t>
      </w:r>
      <w:r w:rsidRPr="00172528">
        <w:t>wever</w:t>
      </w:r>
      <w:r>
        <w:t>,</w:t>
      </w:r>
      <w:r w:rsidRPr="00172528">
        <w:t xml:space="preserve"> some are public</w:t>
      </w:r>
      <w:r w:rsidR="008A07A0">
        <w:noBreakHyphen/>
      </w:r>
      <w:r w:rsidRPr="00172528">
        <w:t>private partne</w:t>
      </w:r>
      <w:r>
        <w:t xml:space="preserve">rships run by </w:t>
      </w:r>
      <w:r w:rsidR="003F2E01">
        <w:t xml:space="preserve">an </w:t>
      </w:r>
      <w:r>
        <w:t>administrator operated as a mutual on behalf of insurance companies, but backed by a government guarantee.</w:t>
      </w:r>
      <w:r w:rsidR="00FC1F7A">
        <w:t xml:space="preserve"> </w:t>
      </w:r>
    </w:p>
    <w:p w14:paraId="72463E5F" w14:textId="469E0174" w:rsidR="00B53C9F" w:rsidRDefault="00B53C9F" w:rsidP="000022E1">
      <w:r>
        <w:t>Private sector provision of terrorism insurance around the world is limited</w:t>
      </w:r>
      <w:r w:rsidR="00F664C3">
        <w:t>. I</w:t>
      </w:r>
      <w:r>
        <w:t>n most countries</w:t>
      </w:r>
      <w:r w:rsidR="00F664C3">
        <w:t>,</w:t>
      </w:r>
      <w:r>
        <w:t xml:space="preserve"> the private sector does not provide terrorism insurance, even in countries where there is no terrorism insurance scheme. </w:t>
      </w:r>
      <w:r w:rsidR="00F664C3">
        <w:t xml:space="preserve">In </w:t>
      </w:r>
      <w:r>
        <w:t>India and Singapore</w:t>
      </w:r>
      <w:r w:rsidR="00F664C3">
        <w:t>,</w:t>
      </w:r>
      <w:r>
        <w:t xml:space="preserve"> limited terrorism reinsurance is pro</w:t>
      </w:r>
      <w:r w:rsidR="00FC1F7A">
        <w:t xml:space="preserve">vided by industry consortiums. </w:t>
      </w:r>
    </w:p>
    <w:p w14:paraId="0BD3AA97" w14:textId="51523916" w:rsidR="00B87057" w:rsidRPr="00035E7E" w:rsidRDefault="00B87057" w:rsidP="000022E1">
      <w:r w:rsidRPr="00035E7E">
        <w:t>While the Australian scheme covers property that ha</w:t>
      </w:r>
      <w:r>
        <w:t>s predominantly commercial floor</w:t>
      </w:r>
      <w:r w:rsidRPr="00035E7E">
        <w:t xml:space="preserve"> space, a number of schemes among other OECD countries go further, covering </w:t>
      </w:r>
      <w:r w:rsidR="00356DB6">
        <w:t xml:space="preserve">all commercial property, </w:t>
      </w:r>
      <w:r w:rsidRPr="00035E7E">
        <w:t xml:space="preserve">residential property and their contents. The German, </w:t>
      </w:r>
      <w:r>
        <w:t>UK</w:t>
      </w:r>
      <w:r w:rsidRPr="00035E7E">
        <w:t xml:space="preserve"> and </w:t>
      </w:r>
      <w:proofErr w:type="gramStart"/>
      <w:r w:rsidR="00F664C3">
        <w:t>US</w:t>
      </w:r>
      <w:proofErr w:type="gramEnd"/>
      <w:r w:rsidRPr="00035E7E">
        <w:t xml:space="preserve"> schemes </w:t>
      </w:r>
      <w:r w:rsidR="00F664C3">
        <w:t>resemble</w:t>
      </w:r>
      <w:r w:rsidRPr="00035E7E">
        <w:t xml:space="preserve"> the Australian scheme</w:t>
      </w:r>
      <w:r w:rsidR="00F664C3">
        <w:t xml:space="preserve"> most</w:t>
      </w:r>
      <w:r w:rsidRPr="00035E7E">
        <w:t>, focussing on cover for commercial property and business interruption.</w:t>
      </w:r>
    </w:p>
    <w:p w14:paraId="524421DF" w14:textId="20E43E71" w:rsidR="00B87057" w:rsidRDefault="00B87057" w:rsidP="000022E1">
      <w:r w:rsidRPr="00035E7E">
        <w:t>Similarly, while the Australian scheme excludes cover for nuclear and radiological</w:t>
      </w:r>
      <w:r w:rsidR="00935C0E">
        <w:t xml:space="preserve"> risks</w:t>
      </w:r>
      <w:r w:rsidRPr="00035E7E">
        <w:t xml:space="preserve">, </w:t>
      </w:r>
      <w:r w:rsidR="00935C0E">
        <w:t>they</w:t>
      </w:r>
      <w:r w:rsidRPr="00035E7E">
        <w:t xml:space="preserve"> are covered by a number of other schemes. </w:t>
      </w:r>
      <w:r w:rsidR="00935C0E">
        <w:t>The</w:t>
      </w:r>
      <w:r w:rsidRPr="00035E7E">
        <w:t xml:space="preserve"> Danish scheme was established specifically to cover nuclear, radiological, chemical and biological risks. </w:t>
      </w:r>
      <w:r w:rsidR="00935C0E">
        <w:t>The</w:t>
      </w:r>
      <w:r w:rsidRPr="00035E7E">
        <w:t xml:space="preserve"> German scheme</w:t>
      </w:r>
      <w:r w:rsidR="00935C0E">
        <w:t xml:space="preserve">, on the other hand, </w:t>
      </w:r>
      <w:r w:rsidRPr="00035E7E">
        <w:t>excludes nuclear risks</w:t>
      </w:r>
      <w:r w:rsidR="00935C0E">
        <w:t xml:space="preserve">, while </w:t>
      </w:r>
      <w:r w:rsidRPr="00035E7E">
        <w:t>insurers in the United States have the option to exclude coverage for NBCR risks.</w:t>
      </w:r>
    </w:p>
    <w:p w14:paraId="0F2D0A26" w14:textId="77777777" w:rsidR="00FE35F5" w:rsidRDefault="000129ED" w:rsidP="00FE35F5">
      <w:pPr>
        <w:spacing w:after="0" w:line="240" w:lineRule="auto"/>
        <w:jc w:val="left"/>
        <w:sectPr w:rsidR="00FE35F5" w:rsidSect="00C545A6">
          <w:type w:val="oddPage"/>
          <w:pgSz w:w="11906" w:h="16838" w:code="9"/>
          <w:pgMar w:top="1440" w:right="1440" w:bottom="1440" w:left="1440" w:header="709" w:footer="709" w:gutter="0"/>
          <w:cols w:space="708"/>
          <w:titlePg/>
          <w:docGrid w:linePitch="360"/>
        </w:sectPr>
      </w:pPr>
      <w:bookmarkStart w:id="138" w:name="_Toc409618525"/>
      <w:bookmarkStart w:id="139" w:name="_Toc409630056"/>
      <w:bookmarkStart w:id="140" w:name="_Toc410229548"/>
      <w:r>
        <w:t xml:space="preserve">For a detailed description of the operation and ownership structures of </w:t>
      </w:r>
      <w:r w:rsidR="00356DB6">
        <w:t>foreign</w:t>
      </w:r>
      <w:r>
        <w:t xml:space="preserve"> terrorism insurance schemes</w:t>
      </w:r>
      <w:r w:rsidR="00935C0E">
        <w:t>,</w:t>
      </w:r>
      <w:r>
        <w:t xml:space="preserve"> see </w:t>
      </w:r>
      <w:r w:rsidR="00356DB6">
        <w:t>Section 5</w:t>
      </w:r>
      <w:r w:rsidR="000022E1">
        <w:t xml:space="preserve"> of the </w:t>
      </w:r>
      <w:proofErr w:type="spellStart"/>
      <w:r w:rsidR="000022E1">
        <w:t>Pottinger</w:t>
      </w:r>
      <w:proofErr w:type="spellEnd"/>
      <w:r w:rsidR="000022E1">
        <w:t xml:space="preserve"> Report.</w:t>
      </w:r>
      <w:bookmarkStart w:id="141" w:name="_Toc437337985"/>
      <w:bookmarkStart w:id="142" w:name="_Toc437338034"/>
      <w:bookmarkStart w:id="143" w:name="_Toc437338133"/>
      <w:bookmarkEnd w:id="129"/>
      <w:bookmarkEnd w:id="138"/>
      <w:bookmarkEnd w:id="139"/>
      <w:bookmarkEnd w:id="140"/>
    </w:p>
    <w:p w14:paraId="6F7AC09B" w14:textId="39826A85" w:rsidR="00301754" w:rsidRDefault="00301754" w:rsidP="00301754">
      <w:pPr>
        <w:pStyle w:val="AppendixHeading"/>
      </w:pPr>
      <w:bookmarkStart w:id="144" w:name="_Toc437874252"/>
      <w:bookmarkStart w:id="145" w:name="_Toc437874641"/>
      <w:bookmarkStart w:id="146" w:name="_Toc437875730"/>
      <w:bookmarkStart w:id="147" w:name="_Toc437876605"/>
      <w:bookmarkStart w:id="148" w:name="_Toc437876687"/>
      <w:bookmarkStart w:id="149" w:name="_Toc437877571"/>
      <w:r>
        <w:lastRenderedPageBreak/>
        <w:t>Annex A</w:t>
      </w:r>
      <w:r w:rsidRPr="003D30BA">
        <w:t xml:space="preserve">:  </w:t>
      </w:r>
      <w:proofErr w:type="spellStart"/>
      <w:r>
        <w:t>Pottinger</w:t>
      </w:r>
      <w:proofErr w:type="spellEnd"/>
      <w:r>
        <w:t xml:space="preserve"> Report</w:t>
      </w:r>
      <w:bookmarkEnd w:id="141"/>
      <w:bookmarkEnd w:id="142"/>
      <w:bookmarkEnd w:id="143"/>
      <w:bookmarkEnd w:id="144"/>
      <w:bookmarkEnd w:id="145"/>
      <w:bookmarkEnd w:id="146"/>
      <w:bookmarkEnd w:id="147"/>
      <w:bookmarkEnd w:id="148"/>
      <w:bookmarkEnd w:id="149"/>
    </w:p>
    <w:p w14:paraId="26C7E7FD" w14:textId="17069351" w:rsidR="002F4887" w:rsidRDefault="003903EF">
      <w:pPr>
        <w:spacing w:after="200" w:line="276" w:lineRule="auto"/>
        <w:jc w:val="left"/>
        <w:sectPr w:rsidR="002F4887" w:rsidSect="00FE35F5">
          <w:footerReference w:type="even" r:id="rId29"/>
          <w:footerReference w:type="first" r:id="rId30"/>
          <w:type w:val="oddPage"/>
          <w:pgSz w:w="11906" w:h="16838" w:code="9"/>
          <w:pgMar w:top="1440" w:right="1440" w:bottom="1440" w:left="1440" w:header="709" w:footer="709" w:gutter="0"/>
          <w:cols w:space="708"/>
          <w:titlePg/>
          <w:docGrid w:linePitch="360"/>
        </w:sectPr>
      </w:pPr>
      <w:r>
        <w:rPr>
          <w:b/>
        </w:rPr>
        <w:t>Electronic version of the report</w:t>
      </w:r>
      <w:r w:rsidR="002F4887" w:rsidRPr="002F4887">
        <w:rPr>
          <w:b/>
        </w:rPr>
        <w:t>:</w:t>
      </w:r>
      <w:r w:rsidR="002F4887">
        <w:t xml:space="preserve"> </w:t>
      </w:r>
      <w:hyperlink r:id="rId31" w:history="1">
        <w:r w:rsidR="002F4887" w:rsidRPr="003B5029">
          <w:rPr>
            <w:rStyle w:val="Hyperlink"/>
          </w:rPr>
          <w:t>http://www.treasury.gov.au/~/media/Treasury/Publications%20and%20Media/Publications/2015/Terrorism%20Insurance%20Act%20Review%202015/Downloads/PDF/Terrorism_Insurance_Act_Review-2015.ashx</w:t>
        </w:r>
      </w:hyperlink>
      <w:r w:rsidR="002F4887">
        <w:t xml:space="preserve"> </w:t>
      </w:r>
    </w:p>
    <w:p w14:paraId="64E46CC2" w14:textId="35ECE668" w:rsidR="00301754" w:rsidRDefault="00301754" w:rsidP="00301754">
      <w:pPr>
        <w:pStyle w:val="AppendixHeading"/>
      </w:pPr>
      <w:bookmarkStart w:id="150" w:name="_Toc437337986"/>
      <w:bookmarkStart w:id="151" w:name="_Toc437338035"/>
      <w:bookmarkStart w:id="152" w:name="_Toc437338134"/>
      <w:bookmarkStart w:id="153" w:name="_Toc437874253"/>
      <w:bookmarkStart w:id="154" w:name="_Toc437874642"/>
      <w:bookmarkStart w:id="155" w:name="_Toc437875731"/>
      <w:bookmarkStart w:id="156" w:name="_Toc437876606"/>
      <w:bookmarkStart w:id="157" w:name="_Toc437876688"/>
      <w:bookmarkStart w:id="158" w:name="_Toc437877572"/>
      <w:r>
        <w:lastRenderedPageBreak/>
        <w:t>Annex B</w:t>
      </w:r>
      <w:r w:rsidRPr="003D30BA">
        <w:t xml:space="preserve">:  </w:t>
      </w:r>
      <w:proofErr w:type="spellStart"/>
      <w:r>
        <w:t>Finity</w:t>
      </w:r>
      <w:proofErr w:type="spellEnd"/>
      <w:r>
        <w:t xml:space="preserve"> Report</w:t>
      </w:r>
      <w:bookmarkEnd w:id="150"/>
      <w:bookmarkEnd w:id="151"/>
      <w:bookmarkEnd w:id="152"/>
      <w:bookmarkEnd w:id="153"/>
      <w:bookmarkEnd w:id="154"/>
      <w:bookmarkEnd w:id="155"/>
      <w:bookmarkEnd w:id="156"/>
      <w:bookmarkEnd w:id="157"/>
      <w:bookmarkEnd w:id="158"/>
    </w:p>
    <w:p w14:paraId="6A25108E" w14:textId="6EDF2E4F" w:rsidR="000022E1" w:rsidRPr="00951A43" w:rsidRDefault="003903EF" w:rsidP="00F26F90">
      <w:pPr>
        <w:spacing w:after="0" w:line="240" w:lineRule="auto"/>
        <w:jc w:val="left"/>
      </w:pPr>
      <w:r>
        <w:rPr>
          <w:b/>
        </w:rPr>
        <w:t>Electronic version of the report</w:t>
      </w:r>
      <w:r w:rsidRPr="002F4887">
        <w:rPr>
          <w:b/>
        </w:rPr>
        <w:t>:</w:t>
      </w:r>
      <w:r>
        <w:t xml:space="preserve"> </w:t>
      </w:r>
      <w:hyperlink r:id="rId32" w:history="1">
        <w:r w:rsidR="002F4887" w:rsidRPr="003B5029">
          <w:rPr>
            <w:rStyle w:val="Hyperlink"/>
          </w:rPr>
          <w:t>http://www.treasury.gov.au/~/media/Treasury/Publications%20and%20Media/Publications/2015/Terrorism%20Insurance%20Act%20Review%202015/Downloads/PDF/Terrorism_Insurance_Act_Review-2015.ashx</w:t>
        </w:r>
      </w:hyperlink>
    </w:p>
    <w:sectPr w:rsidR="000022E1" w:rsidRPr="00951A43" w:rsidSect="00FE35F5">
      <w:type w:val="oddPage"/>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C900FC" w14:textId="77777777" w:rsidR="00036AEB" w:rsidRDefault="00036AEB" w:rsidP="00D85D73">
      <w:r>
        <w:separator/>
      </w:r>
    </w:p>
  </w:endnote>
  <w:endnote w:type="continuationSeparator" w:id="0">
    <w:p w14:paraId="2ECC3119" w14:textId="77777777" w:rsidR="00036AEB" w:rsidRDefault="00036AEB" w:rsidP="00D85D73">
      <w:r>
        <w:continuationSeparator/>
      </w:r>
    </w:p>
  </w:endnote>
  <w:endnote w:type="continuationNotice" w:id="1">
    <w:p w14:paraId="73FF03A3" w14:textId="77777777" w:rsidR="00036AEB" w:rsidRDefault="00036A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wiss 721 BT">
    <w:altName w:val="Swiss 721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C20CD" w14:textId="77777777" w:rsidR="00036AEB" w:rsidRDefault="00036AEB">
    <w:pPr>
      <w:pStyle w:val="FooterOdd"/>
      <w:rPr>
        <w:noProof/>
      </w:rPr>
    </w:pPr>
    <w:r>
      <w:t xml:space="preserve">Page </w:t>
    </w:r>
    <w:r>
      <w:fldChar w:fldCharType="begin"/>
    </w:r>
    <w:r>
      <w:instrText xml:space="preserve"> PAGE   \* MERGEFORMAT </w:instrText>
    </w:r>
    <w:r>
      <w:fldChar w:fldCharType="separate"/>
    </w:r>
    <w:r w:rsidR="00726E65">
      <w:rPr>
        <w:noProof/>
      </w:rPr>
      <w:t>27</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3E837" w14:textId="007C044F" w:rsidR="00036AEB" w:rsidRPr="00781757" w:rsidRDefault="00036AEB" w:rsidP="0078175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3E772" w14:textId="77777777" w:rsidR="00036AEB" w:rsidRDefault="00036AEB">
    <w:pPr>
      <w:pStyle w:val="FooterEven"/>
      <w:rPr>
        <w:noProof/>
      </w:rPr>
    </w:pPr>
    <w:r>
      <w:t xml:space="preserve">Page </w:t>
    </w:r>
    <w:r>
      <w:fldChar w:fldCharType="begin"/>
    </w:r>
    <w:r>
      <w:instrText xml:space="preserve"> PAGE  \* Arabic  \* MERGEFORMAT </w:instrText>
    </w:r>
    <w:r>
      <w:fldChar w:fldCharType="separate"/>
    </w:r>
    <w:r w:rsidR="00726E65">
      <w:rPr>
        <w:noProof/>
      </w:rPr>
      <w:t>32</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B4EC5" w14:textId="77777777" w:rsidR="00036AEB" w:rsidRDefault="00036AEB" w:rsidP="007D1246">
    <w:pPr>
      <w:pStyle w:val="FooterOdd"/>
      <w:tabs>
        <w:tab w:val="left" w:pos="8265"/>
        <w:tab w:val="right" w:pos="9026"/>
      </w:tabs>
    </w:pPr>
    <w:r w:rsidRPr="005317EF">
      <w:t xml:space="preserve">Page </w:t>
    </w:r>
    <w:r w:rsidRPr="001B2B97">
      <w:fldChar w:fldCharType="begin"/>
    </w:r>
    <w:r w:rsidRPr="001B2B97">
      <w:instrText xml:space="preserve"> PAGE </w:instrText>
    </w:r>
    <w:r w:rsidRPr="001B2B97">
      <w:fldChar w:fldCharType="separate"/>
    </w:r>
    <w:r w:rsidR="00726E65">
      <w:rPr>
        <w:noProof/>
      </w:rPr>
      <w:t>31</w:t>
    </w:r>
    <w:r w:rsidRPr="001B2B97">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107D6" w14:textId="671692FA" w:rsidR="00036AEB" w:rsidRPr="00FE35F5" w:rsidRDefault="00036AEB" w:rsidP="00FE35F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DE1FB" w14:textId="681172C9" w:rsidR="00036AEB" w:rsidRDefault="00036AEB" w:rsidP="00371601">
    <w:pPr>
      <w:pStyle w:val="FooterOdd"/>
      <w:tabs>
        <w:tab w:val="left" w:pos="8265"/>
        <w:tab w:val="right" w:pos="9026"/>
      </w:tabs>
      <w:jc w:val="left"/>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8CE80F" w14:textId="77777777" w:rsidR="00036AEB" w:rsidRDefault="00036AEB" w:rsidP="00D85D73">
      <w:r>
        <w:separator/>
      </w:r>
    </w:p>
  </w:footnote>
  <w:footnote w:type="continuationSeparator" w:id="0">
    <w:p w14:paraId="5078CB81" w14:textId="77777777" w:rsidR="00036AEB" w:rsidRDefault="00036AEB" w:rsidP="00D85D73">
      <w:r>
        <w:continuationSeparator/>
      </w:r>
    </w:p>
  </w:footnote>
  <w:footnote w:type="continuationNotice" w:id="1">
    <w:p w14:paraId="1117A4E6" w14:textId="77777777" w:rsidR="00036AEB" w:rsidRDefault="00036AEB"/>
  </w:footnote>
  <w:footnote w:id="2">
    <w:p w14:paraId="71C6090E" w14:textId="77777777" w:rsidR="00036AEB" w:rsidRPr="00755335" w:rsidRDefault="00036AEB" w:rsidP="00755335">
      <w:pPr>
        <w:pStyle w:val="FootnoteText"/>
      </w:pPr>
      <w:r w:rsidRPr="00755335">
        <w:rPr>
          <w:rStyle w:val="FootnoteReference"/>
          <w:vertAlign w:val="baseline"/>
        </w:rPr>
        <w:footnoteRef/>
      </w:r>
      <w:r w:rsidRPr="00755335">
        <w:tab/>
      </w:r>
      <w:r w:rsidRPr="009F7DAD">
        <w:rPr>
          <w:i/>
        </w:rPr>
        <w:t>Terrorism Insurance Act 2003</w:t>
      </w:r>
      <w:r w:rsidRPr="00755335">
        <w:t>, section 41.</w:t>
      </w:r>
    </w:p>
  </w:footnote>
  <w:footnote w:id="3">
    <w:p w14:paraId="75CB8FDF" w14:textId="5925B5CD" w:rsidR="00036AEB" w:rsidRDefault="00036AEB">
      <w:pPr>
        <w:pStyle w:val="FootnoteText"/>
      </w:pPr>
      <w:r w:rsidRPr="008C307B">
        <w:rPr>
          <w:i/>
        </w:rPr>
        <w:footnoteRef/>
      </w:r>
      <w:r w:rsidRPr="008C307B">
        <w:rPr>
          <w:i/>
        </w:rPr>
        <w:t xml:space="preserve"> </w:t>
      </w:r>
      <w:r>
        <w:rPr>
          <w:i/>
        </w:rPr>
        <w:tab/>
      </w:r>
      <w:r w:rsidRPr="003371F8">
        <w:rPr>
          <w:i/>
        </w:rPr>
        <w:t>Towards Responsible Government, The Report of the National Commission of Audit, Phase One</w:t>
      </w:r>
      <w:r w:rsidRPr="008C307B">
        <w:rPr>
          <w:i/>
        </w:rPr>
        <w:t>, p. 205</w:t>
      </w:r>
    </w:p>
  </w:footnote>
  <w:footnote w:id="4">
    <w:p w14:paraId="555650BA" w14:textId="77777777" w:rsidR="00036AEB" w:rsidRPr="00755335" w:rsidRDefault="00036AEB" w:rsidP="009F7DAD">
      <w:pPr>
        <w:pStyle w:val="FootnoteText"/>
        <w:jc w:val="left"/>
      </w:pPr>
      <w:r w:rsidRPr="00755335">
        <w:rPr>
          <w:rStyle w:val="FootnoteReference"/>
          <w:vertAlign w:val="baseline"/>
        </w:rPr>
        <w:footnoteRef/>
      </w:r>
      <w:r w:rsidRPr="00755335">
        <w:tab/>
      </w:r>
      <w:r w:rsidRPr="009F7DAD">
        <w:rPr>
          <w:i/>
        </w:rPr>
        <w:t>Terrorism Insurance Act 2003</w:t>
      </w:r>
      <w:r w:rsidRPr="00755335">
        <w:t>, sections 6</w:t>
      </w:r>
      <w:r>
        <w:noBreakHyphen/>
      </w:r>
      <w:r w:rsidRPr="00755335">
        <w:t>8.</w:t>
      </w:r>
    </w:p>
  </w:footnote>
  <w:footnote w:id="5">
    <w:p w14:paraId="6B63C5F6" w14:textId="77777777" w:rsidR="00036AEB" w:rsidRPr="00755335" w:rsidRDefault="00036AEB" w:rsidP="009F7DAD">
      <w:pPr>
        <w:pStyle w:val="FootnoteText"/>
        <w:jc w:val="left"/>
      </w:pPr>
      <w:r w:rsidRPr="00755335">
        <w:rPr>
          <w:rStyle w:val="FootnoteReference"/>
          <w:vertAlign w:val="baseline"/>
        </w:rPr>
        <w:footnoteRef/>
      </w:r>
      <w:r w:rsidRPr="00755335">
        <w:tab/>
      </w:r>
      <w:r w:rsidRPr="009F7DAD">
        <w:rPr>
          <w:i/>
        </w:rPr>
        <w:t>Terrorism Insurance Act 2003</w:t>
      </w:r>
      <w:r w:rsidRPr="00755335">
        <w:t>, subsection 7(1).</w:t>
      </w:r>
    </w:p>
  </w:footnote>
  <w:footnote w:id="6">
    <w:p w14:paraId="6DAE58C3" w14:textId="77777777" w:rsidR="00036AEB" w:rsidRPr="00755335" w:rsidRDefault="00036AEB" w:rsidP="009F7DAD">
      <w:pPr>
        <w:pStyle w:val="FootnoteText"/>
        <w:jc w:val="left"/>
      </w:pPr>
      <w:r w:rsidRPr="00755335">
        <w:footnoteRef/>
      </w:r>
      <w:r w:rsidRPr="00755335">
        <w:tab/>
      </w:r>
      <w:r w:rsidRPr="009F7DAD">
        <w:rPr>
          <w:i/>
        </w:rPr>
        <w:t>Terrorism Insurance Act 2003</w:t>
      </w:r>
      <w:r w:rsidRPr="00755335">
        <w:t>, section 3.</w:t>
      </w:r>
    </w:p>
  </w:footnote>
  <w:footnote w:id="7">
    <w:p w14:paraId="54902E58" w14:textId="77777777" w:rsidR="00036AEB" w:rsidRPr="00755335" w:rsidRDefault="00036AEB" w:rsidP="00755335">
      <w:pPr>
        <w:pStyle w:val="FootnoteText"/>
      </w:pPr>
      <w:r w:rsidRPr="00755335">
        <w:rPr>
          <w:rStyle w:val="FootnoteReference"/>
          <w:vertAlign w:val="baseline"/>
        </w:rPr>
        <w:footnoteRef/>
      </w:r>
      <w:r w:rsidRPr="00755335">
        <w:t xml:space="preserve"> </w:t>
      </w:r>
      <w:r>
        <w:tab/>
      </w:r>
      <w:r w:rsidRPr="00755335">
        <w:t>Australian Reinsurance Pool Corporation</w:t>
      </w:r>
      <w:r>
        <w:t>,</w:t>
      </w:r>
      <w:r w:rsidRPr="00755335">
        <w:t xml:space="preserve"> </w:t>
      </w:r>
      <w:r w:rsidRPr="00C71E5C">
        <w:rPr>
          <w:i/>
        </w:rPr>
        <w:t>Annual Report</w:t>
      </w:r>
      <w:r>
        <w:t xml:space="preserve"> </w:t>
      </w:r>
      <w:r w:rsidRPr="00755335">
        <w:t>2013</w:t>
      </w:r>
      <w:r>
        <w:noBreakHyphen/>
      </w:r>
      <w:r w:rsidRPr="00755335">
        <w:t>2014, page 32.</w:t>
      </w:r>
    </w:p>
  </w:footnote>
  <w:footnote w:id="8">
    <w:p w14:paraId="12F8E78E" w14:textId="77777777" w:rsidR="00036AEB" w:rsidRDefault="00036AEB" w:rsidP="00F64173">
      <w:pPr>
        <w:pStyle w:val="FootnoteText"/>
      </w:pPr>
      <w:r w:rsidRPr="008C307B">
        <w:rPr>
          <w:i/>
        </w:rPr>
        <w:footnoteRef/>
      </w:r>
      <w:r w:rsidRPr="008C307B">
        <w:rPr>
          <w:i/>
        </w:rPr>
        <w:t xml:space="preserve"> </w:t>
      </w:r>
      <w:r>
        <w:rPr>
          <w:i/>
        </w:rPr>
        <w:tab/>
      </w:r>
      <w:r w:rsidRPr="003371F8">
        <w:rPr>
          <w:i/>
        </w:rPr>
        <w:t>Towards Responsible Government, The Report of the National Commission of Audit, Phase One</w:t>
      </w:r>
      <w:r w:rsidRPr="008C307B">
        <w:rPr>
          <w:i/>
        </w:rPr>
        <w:t>, p. 205</w:t>
      </w:r>
    </w:p>
  </w:footnote>
  <w:footnote w:id="9">
    <w:p w14:paraId="3A4EC966" w14:textId="77777777" w:rsidR="00036AEB" w:rsidRPr="00755335" w:rsidRDefault="00036AEB" w:rsidP="00755335">
      <w:pPr>
        <w:pStyle w:val="FootnoteText"/>
      </w:pPr>
      <w:r w:rsidRPr="00755335">
        <w:rPr>
          <w:rStyle w:val="FootnoteReference"/>
          <w:vertAlign w:val="baseline"/>
        </w:rPr>
        <w:footnoteRef/>
      </w:r>
      <w:r w:rsidRPr="00755335">
        <w:t xml:space="preserve"> </w:t>
      </w:r>
      <w:r>
        <w:tab/>
      </w:r>
      <w:r w:rsidRPr="00755335">
        <w:t xml:space="preserve">ARPC </w:t>
      </w:r>
      <w:proofErr w:type="gramStart"/>
      <w:r w:rsidRPr="00755335">
        <w:t>Autumn</w:t>
      </w:r>
      <w:proofErr w:type="gramEnd"/>
      <w:r w:rsidRPr="00755335">
        <w:t xml:space="preserve"> 2013 </w:t>
      </w:r>
      <w:r w:rsidRPr="003614F7">
        <w:rPr>
          <w:i/>
        </w:rPr>
        <w:t>‘Under the Cover’</w:t>
      </w:r>
      <w:r w:rsidRPr="00755335">
        <w:t xml:space="preserve">. </w:t>
      </w:r>
    </w:p>
  </w:footnote>
  <w:footnote w:id="10">
    <w:p w14:paraId="7B912950" w14:textId="2BB4645D" w:rsidR="00036AEB" w:rsidRPr="00755335" w:rsidRDefault="00036AEB" w:rsidP="00755335">
      <w:pPr>
        <w:pStyle w:val="FootnoteText"/>
      </w:pPr>
      <w:r w:rsidRPr="00755335">
        <w:rPr>
          <w:rStyle w:val="FootnoteReference"/>
          <w:vertAlign w:val="baseline"/>
        </w:rPr>
        <w:footnoteRef/>
      </w:r>
      <w:r w:rsidRPr="00755335">
        <w:t xml:space="preserve"> </w:t>
      </w:r>
      <w:r>
        <w:tab/>
      </w:r>
      <w:r w:rsidRPr="00755335">
        <w:t xml:space="preserve">The </w:t>
      </w:r>
      <w:proofErr w:type="spellStart"/>
      <w:r w:rsidRPr="00755335">
        <w:t>Pottinger</w:t>
      </w:r>
      <w:proofErr w:type="spellEnd"/>
      <w:r w:rsidRPr="00755335">
        <w:t xml:space="preserve"> report examines alternative options which do not </w:t>
      </w:r>
      <w:r>
        <w:t xml:space="preserve">involve </w:t>
      </w:r>
      <w:r w:rsidRPr="00755335">
        <w:t>pool</w:t>
      </w:r>
      <w:r>
        <w:t>ing</w:t>
      </w:r>
      <w:r w:rsidRPr="00755335">
        <w:t xml:space="preserve"> in Section 6.7</w:t>
      </w:r>
      <w:r>
        <w:t xml:space="preserve"> of their report</w:t>
      </w:r>
      <w:r w:rsidRPr="00755335">
        <w:t>.</w:t>
      </w:r>
    </w:p>
  </w:footnote>
  <w:footnote w:id="11">
    <w:p w14:paraId="72320957" w14:textId="19827B41" w:rsidR="00036AEB" w:rsidRDefault="00036AEB">
      <w:pPr>
        <w:pStyle w:val="FootnoteText"/>
      </w:pPr>
      <w:r>
        <w:rPr>
          <w:rStyle w:val="FootnoteReference"/>
        </w:rPr>
        <w:footnoteRef/>
      </w:r>
      <w:r>
        <w:t xml:space="preserve"> Tier A is CBDs of cities with populations over 1 million.</w:t>
      </w:r>
    </w:p>
    <w:p w14:paraId="0A89DAB6" w14:textId="186CA640" w:rsidR="00036AEB" w:rsidRDefault="00036AEB">
      <w:pPr>
        <w:pStyle w:val="FootnoteText"/>
      </w:pPr>
      <w:r>
        <w:t xml:space="preserve">Tier B is urban areas of all State capitals plus cities with populations over 100,000 </w:t>
      </w:r>
      <w:proofErr w:type="spellStart"/>
      <w:r>
        <w:t>eg</w:t>
      </w:r>
      <w:proofErr w:type="spellEnd"/>
      <w:r>
        <w:t xml:space="preserve"> Newcastle, Geelong, Wollongong.</w:t>
      </w:r>
    </w:p>
    <w:p w14:paraId="10CC5EFC" w14:textId="0A63F3CE" w:rsidR="00036AEB" w:rsidRDefault="00036AEB">
      <w:pPr>
        <w:pStyle w:val="FootnoteText"/>
      </w:pPr>
      <w:r>
        <w:t>Tier C is all other areas of Australia</w:t>
      </w:r>
    </w:p>
  </w:footnote>
  <w:footnote w:id="12">
    <w:p w14:paraId="26B1E7F1" w14:textId="77777777" w:rsidR="00036AEB" w:rsidRPr="00755335" w:rsidRDefault="00036AEB" w:rsidP="000C163E">
      <w:pPr>
        <w:pStyle w:val="FootnoteText"/>
      </w:pPr>
      <w:r w:rsidRPr="00755335">
        <w:rPr>
          <w:rStyle w:val="FootnoteReference"/>
          <w:vertAlign w:val="baseline"/>
        </w:rPr>
        <w:footnoteRef/>
      </w:r>
      <w:r w:rsidRPr="00755335">
        <w:t xml:space="preserve"> </w:t>
      </w:r>
      <w:r>
        <w:tab/>
      </w:r>
      <w:proofErr w:type="gramStart"/>
      <w:r w:rsidRPr="00A6232E">
        <w:rPr>
          <w:i/>
        </w:rPr>
        <w:t>Terrorism Insurance Regulation</w:t>
      </w:r>
      <w:r>
        <w:rPr>
          <w:i/>
        </w:rPr>
        <w:t>s</w:t>
      </w:r>
      <w:r w:rsidRPr="00A6232E">
        <w:rPr>
          <w:i/>
        </w:rPr>
        <w:t xml:space="preserve"> 2003</w:t>
      </w:r>
      <w:r w:rsidRPr="00755335">
        <w:t>, No. 162, Explanatory Statement.</w:t>
      </w:r>
      <w:proofErr w:type="gramEnd"/>
    </w:p>
  </w:footnote>
  <w:footnote w:id="13">
    <w:p w14:paraId="121BD20F" w14:textId="77777777" w:rsidR="00036AEB" w:rsidRPr="00755335" w:rsidRDefault="00036AEB" w:rsidP="000C163E">
      <w:pPr>
        <w:pStyle w:val="FootnoteText"/>
      </w:pPr>
      <w:r w:rsidRPr="00755335">
        <w:rPr>
          <w:rStyle w:val="FootnoteReference"/>
          <w:vertAlign w:val="baseline"/>
        </w:rPr>
        <w:footnoteRef/>
      </w:r>
      <w:r w:rsidRPr="00755335">
        <w:t xml:space="preserve"> </w:t>
      </w:r>
      <w:r>
        <w:tab/>
      </w:r>
      <w:r w:rsidRPr="00A6232E">
        <w:rPr>
          <w:i/>
        </w:rPr>
        <w:t>Terrorism Insurance Regulation</w:t>
      </w:r>
      <w:r>
        <w:rPr>
          <w:i/>
        </w:rPr>
        <w:t>s</w:t>
      </w:r>
      <w:r w:rsidRPr="00A6232E">
        <w:rPr>
          <w:i/>
        </w:rPr>
        <w:t xml:space="preserve"> 2003</w:t>
      </w:r>
      <w:r w:rsidRPr="00755335">
        <w:t>, reg</w:t>
      </w:r>
      <w:r>
        <w:t>ulation</w:t>
      </w:r>
      <w:r w:rsidRPr="00755335">
        <w:t xml:space="preserve"> 7 and Schedule 1, paragraph 2(d).</w:t>
      </w:r>
    </w:p>
  </w:footnote>
  <w:footnote w:id="14">
    <w:p w14:paraId="3C39698F" w14:textId="77777777" w:rsidR="00036AEB" w:rsidRPr="00755335" w:rsidRDefault="00036AEB" w:rsidP="00755335">
      <w:pPr>
        <w:pStyle w:val="FootnoteText"/>
      </w:pPr>
      <w:r w:rsidRPr="00755335">
        <w:rPr>
          <w:rStyle w:val="FootnoteReference"/>
          <w:vertAlign w:val="baseline"/>
        </w:rPr>
        <w:footnoteRef/>
      </w:r>
      <w:r w:rsidRPr="00755335">
        <w:t xml:space="preserve"> </w:t>
      </w:r>
      <w:r>
        <w:tab/>
      </w:r>
      <w:proofErr w:type="spellStart"/>
      <w:r>
        <w:t>Pottinger</w:t>
      </w:r>
      <w:proofErr w:type="spellEnd"/>
      <w:r>
        <w:t xml:space="preserve"> Report, </w:t>
      </w:r>
      <w:r w:rsidRPr="00755335">
        <w:t xml:space="preserve">page </w:t>
      </w:r>
      <w:r>
        <w:t>76.</w:t>
      </w:r>
    </w:p>
  </w:footnote>
  <w:footnote w:id="15">
    <w:p w14:paraId="7249895B" w14:textId="7D9A7BD8" w:rsidR="00036AEB" w:rsidRDefault="00036AEB">
      <w:pPr>
        <w:pStyle w:val="FootnoteText"/>
      </w:pPr>
      <w:r>
        <w:rPr>
          <w:rStyle w:val="FootnoteReference"/>
        </w:rPr>
        <w:footnoteRef/>
      </w:r>
      <w:r>
        <w:t xml:space="preserve">    Op </w:t>
      </w:r>
      <w:proofErr w:type="spellStart"/>
      <w:r>
        <w:t>cit</w:t>
      </w:r>
      <w:proofErr w:type="spellEnd"/>
      <w:r>
        <w:t>, page 82</w:t>
      </w:r>
    </w:p>
  </w:footnote>
  <w:footnote w:id="16">
    <w:p w14:paraId="01935770" w14:textId="77777777" w:rsidR="00036AEB" w:rsidRPr="00755335" w:rsidRDefault="00036AEB" w:rsidP="00755335">
      <w:pPr>
        <w:pStyle w:val="FootnoteText"/>
      </w:pPr>
      <w:r w:rsidRPr="00755335">
        <w:rPr>
          <w:rStyle w:val="FootnoteReference"/>
          <w:vertAlign w:val="baseline"/>
        </w:rPr>
        <w:footnoteRef/>
      </w:r>
      <w:r w:rsidRPr="00755335">
        <w:t xml:space="preserve"> </w:t>
      </w:r>
      <w:r>
        <w:tab/>
      </w:r>
      <w:r w:rsidRPr="00755335">
        <w:t xml:space="preserve">Guy Carpenter, </w:t>
      </w:r>
      <w:r w:rsidRPr="009A2CD5">
        <w:rPr>
          <w:i/>
        </w:rPr>
        <w:t>‘A Comparison of the Federal Terrorism Insurance Backstop Legislation’</w:t>
      </w:r>
      <w:r w:rsidRPr="00755335">
        <w:t>, 8 January 2015.</w:t>
      </w:r>
    </w:p>
  </w:footnote>
  <w:footnote w:id="17">
    <w:p w14:paraId="0C8E17EA" w14:textId="77777777" w:rsidR="00036AEB" w:rsidRPr="00755335" w:rsidRDefault="00036AEB" w:rsidP="00755335">
      <w:pPr>
        <w:pStyle w:val="FootnoteText"/>
        <w:jc w:val="left"/>
      </w:pPr>
      <w:r w:rsidRPr="00755335">
        <w:rPr>
          <w:rStyle w:val="FootnoteReference"/>
          <w:vertAlign w:val="baseline"/>
        </w:rPr>
        <w:footnoteRef/>
      </w:r>
      <w:r w:rsidRPr="00755335">
        <w:t xml:space="preserve"> </w:t>
      </w:r>
      <w:r>
        <w:tab/>
      </w:r>
      <w:proofErr w:type="spellStart"/>
      <w:r>
        <w:t>Sturdevant</w:t>
      </w:r>
      <w:proofErr w:type="spellEnd"/>
      <w:r>
        <w:t xml:space="preserve">, Matthew </w:t>
      </w:r>
      <w:r w:rsidRPr="00755335">
        <w:t>31</w:t>
      </w:r>
      <w:r>
        <w:t> </w:t>
      </w:r>
      <w:r w:rsidRPr="00755335">
        <w:t>December</w:t>
      </w:r>
      <w:r>
        <w:t> </w:t>
      </w:r>
      <w:r w:rsidRPr="00755335">
        <w:t xml:space="preserve">2014, Hartford Courant, </w:t>
      </w:r>
      <w:hyperlink r:id="rId1" w:history="1">
        <w:r w:rsidRPr="00B82128">
          <w:rPr>
            <w:rStyle w:val="Hyperlink"/>
          </w:rPr>
          <w:t>www.courant.com/business/connecticut</w:t>
        </w:r>
        <w:r w:rsidRPr="00B82128">
          <w:rPr>
            <w:rStyle w:val="Hyperlink"/>
          </w:rPr>
          <w:noBreakHyphen/>
          <w:t>insurance/hc</w:t>
        </w:r>
        <w:r w:rsidRPr="00B82128">
          <w:rPr>
            <w:rStyle w:val="Hyperlink"/>
          </w:rPr>
          <w:noBreakHyphen/>
          <w:t>terrorism</w:t>
        </w:r>
        <w:r w:rsidRPr="00B82128">
          <w:rPr>
            <w:rStyle w:val="Hyperlink"/>
          </w:rPr>
          <w:noBreakHyphen/>
          <w:t>insurance</w:t>
        </w:r>
        <w:r w:rsidRPr="00B82128">
          <w:rPr>
            <w:rStyle w:val="Hyperlink"/>
          </w:rPr>
          <w:noBreakHyphen/>
          <w:t>act</w:t>
        </w:r>
        <w:r w:rsidRPr="00B82128">
          <w:rPr>
            <w:rStyle w:val="Hyperlink"/>
          </w:rPr>
          <w:noBreakHyphen/>
          <w:t>expires</w:t>
        </w:r>
        <w:r w:rsidRPr="00B82128">
          <w:rPr>
            <w:rStyle w:val="Hyperlink"/>
          </w:rPr>
          <w:noBreakHyphen/>
        </w:r>
        <w:r w:rsidRPr="00B82128">
          <w:rPr>
            <w:rStyle w:val="Hyperlink"/>
          </w:rPr>
          <w:br/>
          <w:t>20141231</w:t>
        </w:r>
        <w:r w:rsidRPr="00B82128">
          <w:rPr>
            <w:rStyle w:val="Hyperlink"/>
          </w:rPr>
          <w:noBreakHyphen/>
          <w:t>story.html</w:t>
        </w:r>
      </w:hyperlink>
      <w:proofErr w:type="gramStart"/>
      <w:r w:rsidRPr="00755335">
        <w:rPr>
          <w:rStyle w:val="Hyperlink"/>
          <w:color w:val="000000"/>
        </w:rPr>
        <w:t>,</w:t>
      </w:r>
      <w:r w:rsidRPr="00755335">
        <w:t>viewed</w:t>
      </w:r>
      <w:proofErr w:type="gramEnd"/>
      <w:r w:rsidRPr="00755335">
        <w:t xml:space="preserve"> 29 January 2015. </w:t>
      </w:r>
    </w:p>
  </w:footnote>
  <w:footnote w:id="18">
    <w:p w14:paraId="423836A3" w14:textId="77777777" w:rsidR="00036AEB" w:rsidRPr="00755335" w:rsidRDefault="00036AEB" w:rsidP="00755335">
      <w:pPr>
        <w:pStyle w:val="FootnoteText"/>
        <w:jc w:val="left"/>
      </w:pPr>
      <w:r w:rsidRPr="00755335">
        <w:rPr>
          <w:rStyle w:val="FootnoteReference"/>
          <w:vertAlign w:val="baseline"/>
        </w:rPr>
        <w:footnoteRef/>
      </w:r>
      <w:r w:rsidRPr="00755335">
        <w:t xml:space="preserve"> </w:t>
      </w:r>
      <w:r>
        <w:tab/>
      </w:r>
      <w:r w:rsidRPr="00755335">
        <w:t>Lehrer, Eli, 23 December 2014, The Weekly Standard,</w:t>
      </w:r>
      <w:r w:rsidRPr="00643C3E">
        <w:t xml:space="preserve"> </w:t>
      </w:r>
      <w:hyperlink r:id="rId2" w:history="1">
        <w:r w:rsidRPr="00514D2D">
          <w:rPr>
            <w:rStyle w:val="Hyperlink"/>
          </w:rPr>
          <w:t>www.weeklystandard.com/blogs/market</w:t>
        </w:r>
        <w:r w:rsidRPr="00514D2D">
          <w:rPr>
            <w:rStyle w:val="Hyperlink"/>
          </w:rPr>
          <w:noBreakHyphen/>
          <w:t>fine</w:t>
        </w:r>
        <w:r w:rsidRPr="00514D2D">
          <w:rPr>
            <w:rStyle w:val="Hyperlink"/>
          </w:rPr>
          <w:noBreakHyphen/>
          <w:t>after</w:t>
        </w:r>
        <w:r w:rsidRPr="00514D2D">
          <w:rPr>
            <w:rStyle w:val="Hyperlink"/>
          </w:rPr>
          <w:noBreakHyphen/>
          <w:t>congress</w:t>
        </w:r>
        <w:r w:rsidRPr="00514D2D">
          <w:rPr>
            <w:rStyle w:val="Hyperlink"/>
          </w:rPr>
          <w:noBreakHyphen/>
          <w:t>fails</w:t>
        </w:r>
        <w:r w:rsidRPr="00514D2D">
          <w:rPr>
            <w:rStyle w:val="Hyperlink"/>
          </w:rPr>
          <w:noBreakHyphen/>
          <w:t>reauthorize</w:t>
        </w:r>
        <w:r w:rsidRPr="00514D2D">
          <w:rPr>
            <w:rStyle w:val="Hyperlink"/>
          </w:rPr>
          <w:noBreakHyphen/>
          <w:t>fed</w:t>
        </w:r>
        <w:r w:rsidRPr="00514D2D">
          <w:rPr>
            <w:rStyle w:val="Hyperlink"/>
          </w:rPr>
          <w:noBreakHyphen/>
          <w:t>backed</w:t>
        </w:r>
        <w:r w:rsidRPr="00514D2D">
          <w:rPr>
            <w:rStyle w:val="Hyperlink"/>
          </w:rPr>
          <w:noBreakHyphen/>
          <w:t>terrorism</w:t>
        </w:r>
        <w:r w:rsidRPr="00514D2D">
          <w:rPr>
            <w:rStyle w:val="Hyperlink"/>
          </w:rPr>
          <w:noBreakHyphen/>
          <w:t>risk</w:t>
        </w:r>
        <w:r w:rsidRPr="00514D2D">
          <w:rPr>
            <w:rStyle w:val="Hyperlink"/>
          </w:rPr>
          <w:noBreakHyphen/>
        </w:r>
        <w:r w:rsidRPr="00514D2D">
          <w:rPr>
            <w:rStyle w:val="Hyperlink"/>
          </w:rPr>
          <w:br/>
          <w:t>insurance_822353.html</w:t>
        </w:r>
      </w:hyperlink>
      <w:r>
        <w:rPr>
          <w:rStyle w:val="Hyperlink"/>
        </w:rPr>
        <w:t>,</w:t>
      </w:r>
      <w:r w:rsidRPr="00755335">
        <w:t xml:space="preserve"> viewed 29 January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C981A" w14:textId="77777777" w:rsidR="00036AEB" w:rsidRDefault="00036AEB">
    <w:pPr>
      <w:framePr w:wrap="around" w:hAnchor="page" w:x="14460" w:yAlign="top" w:anchorLock="1"/>
      <w:textDirection w:val="tbRl"/>
      <w:rPr>
        <w:rStyle w:val="FramedHeader"/>
      </w:rPr>
    </w:pPr>
    <w:r>
      <w:rPr>
        <w:rStyle w:val="FramedHeader"/>
      </w:rPr>
      <w:t>Publication Title</w:t>
    </w:r>
  </w:p>
  <w:p w14:paraId="3253CDA0" w14:textId="5D923415" w:rsidR="00036AEB" w:rsidRDefault="00036AEB" w:rsidP="004A3487">
    <w:pPr>
      <w:pStyle w:val="HeaderEven"/>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BFA40" w14:textId="0A56BB25" w:rsidR="00036AEB" w:rsidRPr="001E0A0D" w:rsidRDefault="00036AEB" w:rsidP="001E0A0D">
    <w:pPr>
      <w:pStyle w:val="HeaderOdd"/>
    </w:pPr>
    <w:fldSimple w:instr=" STYLEREF  &quot;Heading 1&quot;  \* MERGEFORMAT ">
      <w:r w:rsidR="00726E65">
        <w:rPr>
          <w:noProof/>
        </w:rPr>
        <w:t>Chapter 5:  Clarifying the coverage of the scheme</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B239F" w14:textId="77777777" w:rsidR="00036AEB" w:rsidRDefault="00036AEB">
    <w:pPr>
      <w:framePr w:wrap="around" w:hAnchor="page" w:x="14460" w:yAlign="top" w:anchorLock="1"/>
      <w:textDirection w:val="tbRl"/>
      <w:rPr>
        <w:rStyle w:val="FramedHeader"/>
      </w:rPr>
    </w:pPr>
    <w:r>
      <w:rPr>
        <w:rStyle w:val="FramedHeader"/>
      </w:rPr>
      <w:t>Publication Title</w:t>
    </w:r>
  </w:p>
  <w:p w14:paraId="6AC24BF2" w14:textId="77777777" w:rsidR="00036AEB" w:rsidRDefault="00036AEB">
    <w:pPr>
      <w:pStyle w:val="HeaderEven"/>
    </w:pPr>
    <w:r>
      <w:t>Terrorism Insurance Act Review: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B76AF5E"/>
    <w:lvl w:ilvl="0">
      <w:start w:val="1"/>
      <w:numFmt w:val="decimal"/>
      <w:lvlText w:val="%1."/>
      <w:lvlJc w:val="left"/>
      <w:pPr>
        <w:tabs>
          <w:tab w:val="num" w:pos="1492"/>
        </w:tabs>
        <w:ind w:left="1492" w:hanging="360"/>
      </w:pPr>
    </w:lvl>
  </w:abstractNum>
  <w:abstractNum w:abstractNumId="1">
    <w:nsid w:val="FFFFFF7D"/>
    <w:multiLevelType w:val="singleLevel"/>
    <w:tmpl w:val="EEA2744C"/>
    <w:lvl w:ilvl="0">
      <w:start w:val="1"/>
      <w:numFmt w:val="decimal"/>
      <w:lvlText w:val="%1."/>
      <w:lvlJc w:val="left"/>
      <w:pPr>
        <w:tabs>
          <w:tab w:val="num" w:pos="1209"/>
        </w:tabs>
        <w:ind w:left="1209" w:hanging="360"/>
      </w:pPr>
    </w:lvl>
  </w:abstractNum>
  <w:abstractNum w:abstractNumId="2">
    <w:nsid w:val="FFFFFF7E"/>
    <w:multiLevelType w:val="singleLevel"/>
    <w:tmpl w:val="E2F43C9A"/>
    <w:lvl w:ilvl="0">
      <w:start w:val="1"/>
      <w:numFmt w:val="decimal"/>
      <w:lvlText w:val="%1."/>
      <w:lvlJc w:val="left"/>
      <w:pPr>
        <w:tabs>
          <w:tab w:val="num" w:pos="926"/>
        </w:tabs>
        <w:ind w:left="926" w:hanging="360"/>
      </w:pPr>
    </w:lvl>
  </w:abstractNum>
  <w:abstractNum w:abstractNumId="3">
    <w:nsid w:val="FFFFFF7F"/>
    <w:multiLevelType w:val="singleLevel"/>
    <w:tmpl w:val="A8D6C6DC"/>
    <w:lvl w:ilvl="0">
      <w:start w:val="1"/>
      <w:numFmt w:val="decimal"/>
      <w:lvlText w:val="%1."/>
      <w:lvlJc w:val="left"/>
      <w:pPr>
        <w:tabs>
          <w:tab w:val="num" w:pos="643"/>
        </w:tabs>
        <w:ind w:left="643" w:hanging="360"/>
      </w:pPr>
    </w:lvl>
  </w:abstractNum>
  <w:abstractNum w:abstractNumId="4">
    <w:nsid w:val="FFFFFF80"/>
    <w:multiLevelType w:val="singleLevel"/>
    <w:tmpl w:val="246E067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CAA543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B1C225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616C79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5B282C4"/>
    <w:lvl w:ilvl="0">
      <w:start w:val="1"/>
      <w:numFmt w:val="decimal"/>
      <w:lvlText w:val="%1."/>
      <w:lvlJc w:val="left"/>
      <w:pPr>
        <w:tabs>
          <w:tab w:val="num" w:pos="360"/>
        </w:tabs>
        <w:ind w:left="360" w:hanging="360"/>
      </w:pPr>
    </w:lvl>
  </w:abstractNum>
  <w:abstractNum w:abstractNumId="9">
    <w:nsid w:val="FFFFFF89"/>
    <w:multiLevelType w:val="singleLevel"/>
    <w:tmpl w:val="D9B6BB02"/>
    <w:lvl w:ilvl="0">
      <w:start w:val="1"/>
      <w:numFmt w:val="bullet"/>
      <w:lvlText w:val=""/>
      <w:lvlJc w:val="left"/>
      <w:pPr>
        <w:tabs>
          <w:tab w:val="num" w:pos="360"/>
        </w:tabs>
        <w:ind w:left="360" w:hanging="360"/>
      </w:pPr>
      <w:rPr>
        <w:rFonts w:ascii="Symbol" w:hAnsi="Symbol" w:hint="default"/>
      </w:rPr>
    </w:lvl>
  </w:abstractNum>
  <w:abstractNum w:abstractNumId="10">
    <w:nsid w:val="014B37F9"/>
    <w:multiLevelType w:val="multilevel"/>
    <w:tmpl w:val="FF843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30329CA"/>
    <w:multiLevelType w:val="multilevel"/>
    <w:tmpl w:val="2C62F56E"/>
    <w:name w:val="StandardBulletedList"/>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6C743A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07ED3FC7"/>
    <w:multiLevelType w:val="multilevel"/>
    <w:tmpl w:val="F8BE2F76"/>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4">
    <w:nsid w:val="090B0DB0"/>
    <w:multiLevelType w:val="multilevel"/>
    <w:tmpl w:val="D9A8A212"/>
    <w:styleLink w:val="RomanNumeralList"/>
    <w:lvl w:ilvl="0">
      <w:start w:val="1"/>
      <w:numFmt w:val="lowerRoman"/>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0CC51CAE"/>
    <w:multiLevelType w:val="hybridMultilevel"/>
    <w:tmpl w:val="03E82CD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17124F15"/>
    <w:multiLevelType w:val="multilevel"/>
    <w:tmpl w:val="1E9EFC46"/>
    <w:lvl w:ilvl="0">
      <w:start w:val="1"/>
      <w:numFmt w:val="lowerLetter"/>
      <w:lvlText w:val="%1)"/>
      <w:lvlJc w:val="left"/>
      <w:pPr>
        <w:tabs>
          <w:tab w:val="num" w:pos="566"/>
        </w:tabs>
        <w:ind w:left="566" w:hanging="566"/>
      </w:pPr>
      <w:rPr>
        <w:b w:val="0"/>
        <w:i w:val="0"/>
      </w:rPr>
    </w:lvl>
    <w:lvl w:ilvl="1">
      <w:start w:val="1"/>
      <w:numFmt w:val="bullet"/>
      <w:lvlText w:val="–"/>
      <w:lvlJc w:val="left"/>
      <w:pPr>
        <w:tabs>
          <w:tab w:val="num" w:pos="1134"/>
        </w:tabs>
        <w:ind w:left="1134" w:hanging="568"/>
      </w:pPr>
      <w:rPr>
        <w:rFonts w:ascii="Times New Roman" w:hAnsi="Times New Roman" w:cs="Times New Roman"/>
        <w:b w:val="0"/>
        <w:i w:val="0"/>
      </w:rPr>
    </w:lvl>
    <w:lvl w:ilvl="2">
      <w:start w:val="1"/>
      <w:numFmt w:val="bullet"/>
      <w:lvlText w:val=":"/>
      <w:lvlJc w:val="left"/>
      <w:pPr>
        <w:tabs>
          <w:tab w:val="num" w:pos="1700"/>
        </w:tabs>
        <w:ind w:left="1700" w:hanging="566"/>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8">
    <w:nsid w:val="19C960FD"/>
    <w:multiLevelType w:val="multilevel"/>
    <w:tmpl w:val="DA101CDC"/>
    <w:name w:val="OneLevelNumberedParagraphList"/>
    <w:lvl w:ilvl="0">
      <w:start w:val="1"/>
      <w:numFmt w:val="decimal"/>
      <w:lvlRestart w:val="0"/>
      <w:pStyle w:val="OneLevelNumberedParagraph"/>
      <w:lvlText w:val="%1."/>
      <w:lvlJc w:val="left"/>
      <w:pPr>
        <w:tabs>
          <w:tab w:val="num" w:pos="567"/>
        </w:tabs>
        <w:ind w:left="567" w:hanging="567"/>
      </w:pPr>
      <w:rPr>
        <w:rFonts w:ascii="Arial" w:hAnsi="Arial" w:cs="Arial"/>
        <w:b w:val="0"/>
        <w:i w:val="0"/>
        <w:color w:val="000000"/>
        <w:sz w:val="22"/>
      </w:rPr>
    </w:lvl>
    <w:lvl w:ilvl="1">
      <w:start w:val="1"/>
      <w:numFmt w:val="decimal"/>
      <w:lvlText w:val="%2"/>
      <w:lvlJc w:val="left"/>
      <w:pPr>
        <w:tabs>
          <w:tab w:val="num" w:pos="1134"/>
        </w:tabs>
        <w:ind w:left="1134" w:hanging="567"/>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19">
    <w:nsid w:val="1E6B29F1"/>
    <w:multiLevelType w:val="multilevel"/>
    <w:tmpl w:val="EDEE4FB6"/>
    <w:styleLink w:val="RecommendationBulletList"/>
    <w:lvl w:ilvl="0">
      <w:start w:val="1"/>
      <w:numFmt w:val="bullet"/>
      <w:lvlText w:val="•"/>
      <w:lvlJc w:val="left"/>
      <w:pPr>
        <w:tabs>
          <w:tab w:val="num" w:pos="284"/>
        </w:tabs>
        <w:ind w:left="284" w:hanging="284"/>
      </w:pPr>
      <w:rPr>
        <w:rFonts w:ascii="Times New Roman" w:hAnsi="Times New Roman" w:cs="Times New Roman" w:hint="default"/>
      </w:rPr>
    </w:lvl>
    <w:lvl w:ilvl="1">
      <w:start w:val="1"/>
      <w:numFmt w:val="bullet"/>
      <w:lvlText w:val=":"/>
      <w:lvlJc w:val="left"/>
      <w:pPr>
        <w:tabs>
          <w:tab w:val="num" w:pos="567"/>
        </w:tabs>
        <w:ind w:left="567" w:hanging="283"/>
      </w:pPr>
      <w:rPr>
        <w:rFonts w:hint="default"/>
      </w:rPr>
    </w:lvl>
    <w:lvl w:ilvl="2">
      <w:start w:val="1"/>
      <w:numFmt w:val="bullet"/>
      <w:lvlText w:val="–"/>
      <w:lvlJc w:val="left"/>
      <w:pPr>
        <w:tabs>
          <w:tab w:val="num" w:pos="851"/>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22BF3099"/>
    <w:multiLevelType w:val="multilevel"/>
    <w:tmpl w:val="1034E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36A5BB3"/>
    <w:multiLevelType w:val="multilevel"/>
    <w:tmpl w:val="FA9E4CAC"/>
    <w:lvl w:ilvl="0">
      <w:start w:val="1"/>
      <w:numFmt w:val="decimal"/>
      <w:lvlRestart w:val="0"/>
      <w:lvlText w:val="%1."/>
      <w:lvlJc w:val="left"/>
      <w:pPr>
        <w:tabs>
          <w:tab w:val="num" w:pos="567"/>
        </w:tabs>
        <w:ind w:left="567" w:hanging="567"/>
      </w:pPr>
      <w:rPr>
        <w:b w:val="0"/>
        <w:i w:val="0"/>
      </w:rPr>
    </w:lvl>
    <w:lvl w:ilvl="1">
      <w:start w:val="1"/>
      <w:numFmt w:val="decimal"/>
      <w:lvlText w:val="%1.%2."/>
      <w:lvlJc w:val="left"/>
      <w:pPr>
        <w:tabs>
          <w:tab w:val="num" w:pos="1134"/>
        </w:tabs>
        <w:ind w:left="1134" w:hanging="567"/>
      </w:pPr>
      <w:rPr>
        <w:b w:val="0"/>
        <w:i w:val="0"/>
      </w:rPr>
    </w:lvl>
    <w:lvl w:ilvl="2">
      <w:start w:val="1"/>
      <w:numFmt w:val="decimal"/>
      <w:lvlText w:val="%1.%2.%3."/>
      <w:lvlJc w:val="left"/>
      <w:pPr>
        <w:tabs>
          <w:tab w:val="num" w:pos="1701"/>
        </w:tabs>
        <w:ind w:left="1701" w:hanging="567"/>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2">
    <w:nsid w:val="244237C5"/>
    <w:multiLevelType w:val="multilevel"/>
    <w:tmpl w:val="79DC86BC"/>
    <w:name w:val="StandardNumberedList"/>
    <w:lvl w:ilvl="0">
      <w:start w:val="1"/>
      <w:numFmt w:val="decimal"/>
      <w:pStyle w:val="OutlineNumbered1"/>
      <w:lvlText w:val="%1."/>
      <w:lvlJc w:val="left"/>
      <w:pPr>
        <w:tabs>
          <w:tab w:val="num" w:pos="520"/>
        </w:tabs>
        <w:ind w:left="520" w:hanging="520"/>
      </w:pPr>
      <w:rPr>
        <w:rFonts w:hint="default"/>
        <w:b w:val="0"/>
        <w:i w:val="0"/>
      </w:rPr>
    </w:lvl>
    <w:lvl w:ilvl="1">
      <w:start w:val="1"/>
      <w:numFmt w:val="decimal"/>
      <w:pStyle w:val="OutlineNumbered2"/>
      <w:lvlText w:val="%1.%2."/>
      <w:lvlJc w:val="left"/>
      <w:pPr>
        <w:tabs>
          <w:tab w:val="num" w:pos="1040"/>
        </w:tabs>
        <w:ind w:left="1040" w:hanging="520"/>
      </w:pPr>
      <w:rPr>
        <w:rFonts w:hint="default"/>
        <w:b w:val="0"/>
        <w:i w:val="0"/>
      </w:rPr>
    </w:lvl>
    <w:lvl w:ilvl="2">
      <w:start w:val="1"/>
      <w:numFmt w:val="decimal"/>
      <w:pStyle w:val="OutlineNumbered3"/>
      <w:lvlText w:val="%1.%2.%3."/>
      <w:lvlJc w:val="left"/>
      <w:pPr>
        <w:tabs>
          <w:tab w:val="num" w:pos="1560"/>
        </w:tabs>
        <w:ind w:left="1560" w:hanging="520"/>
      </w:pPr>
      <w:rPr>
        <w:rFonts w:hint="default"/>
        <w:b w:val="0"/>
        <w:i w:val="0"/>
      </w:rPr>
    </w:lvl>
    <w:lvl w:ilvl="3">
      <w:start w:val="1"/>
      <w:numFmt w:val="decimal"/>
      <w:lvlText w:val="%1.%2.%3.%4"/>
      <w:lvlJc w:val="left"/>
      <w:pPr>
        <w:tabs>
          <w:tab w:val="num" w:pos="2551"/>
        </w:tabs>
        <w:ind w:left="2551" w:hanging="850"/>
      </w:pPr>
      <w:rPr>
        <w:rFonts w:hint="default"/>
        <w:b w:val="0"/>
        <w:i w:val="0"/>
      </w:rPr>
    </w:lvl>
    <w:lvl w:ilvl="4">
      <w:start w:val="1"/>
      <w:numFmt w:val="lowerLetter"/>
      <w:pStyle w:val="OutlineNumbered5"/>
      <w:lvlText w:val="(%5)"/>
      <w:lvlJc w:val="left"/>
      <w:pPr>
        <w:tabs>
          <w:tab w:val="num" w:pos="2835"/>
        </w:tabs>
        <w:ind w:left="2835" w:hanging="567"/>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3">
    <w:nsid w:val="25C06266"/>
    <w:multiLevelType w:val="multilevel"/>
    <w:tmpl w:val="2F9E1BE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lowerLetter"/>
      <w:lvlText w:val="(%5)"/>
      <w:lvlJc w:val="left"/>
      <w:pPr>
        <w:tabs>
          <w:tab w:val="num" w:pos="2835"/>
        </w:tabs>
        <w:ind w:left="2835" w:hanging="567"/>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24">
    <w:nsid w:val="27440C8B"/>
    <w:multiLevelType w:val="multilevel"/>
    <w:tmpl w:val="CB5C4156"/>
    <w:name w:val="StandardBulletedList_"/>
    <w:lvl w:ilvl="0">
      <w:start w:val="1"/>
      <w:numFmt w:val="bullet"/>
      <w:lvlRestart w:val="0"/>
      <w:pStyle w:val="Bullet"/>
      <w:lvlText w:val="•"/>
      <w:lvlJc w:val="left"/>
      <w:pPr>
        <w:tabs>
          <w:tab w:val="num" w:pos="566"/>
        </w:tabs>
        <w:ind w:left="566" w:hanging="566"/>
      </w:pPr>
      <w:rPr>
        <w:rFonts w:ascii="Times New Roman" w:hAnsi="Times New Roman" w:cs="Times New Roman"/>
        <w:b w:val="0"/>
        <w:i w:val="0"/>
      </w:rPr>
    </w:lvl>
    <w:lvl w:ilvl="1">
      <w:start w:val="1"/>
      <w:numFmt w:val="bullet"/>
      <w:pStyle w:val="Dash"/>
      <w:lvlText w:val="–"/>
      <w:lvlJc w:val="left"/>
      <w:pPr>
        <w:tabs>
          <w:tab w:val="num" w:pos="1134"/>
        </w:tabs>
        <w:ind w:left="1134" w:hanging="568"/>
      </w:pPr>
      <w:rPr>
        <w:rFonts w:ascii="Times New Roman" w:hAnsi="Times New Roman" w:cs="Times New Roman"/>
        <w:b w:val="0"/>
        <w:i w:val="0"/>
      </w:rPr>
    </w:lvl>
    <w:lvl w:ilvl="2">
      <w:start w:val="1"/>
      <w:numFmt w:val="bullet"/>
      <w:pStyle w:val="DoubleDot"/>
      <w:lvlText w:val=":"/>
      <w:lvlJc w:val="left"/>
      <w:pPr>
        <w:tabs>
          <w:tab w:val="num" w:pos="1700"/>
        </w:tabs>
        <w:ind w:left="1700" w:hanging="566"/>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5">
    <w:nsid w:val="278D78E7"/>
    <w:multiLevelType w:val="multilevel"/>
    <w:tmpl w:val="227083C4"/>
    <w:name w:val="OneLevelRomanNumeralList"/>
    <w:lvl w:ilvl="0">
      <w:start w:val="1"/>
      <w:numFmt w:val="lowerRoman"/>
      <w:lvlRestart w:val="0"/>
      <w:pStyle w:val="Romannumeral"/>
      <w:lvlText w:val="(%1)"/>
      <w:lvlJc w:val="left"/>
      <w:pPr>
        <w:tabs>
          <w:tab w:val="num" w:pos="567"/>
        </w:tabs>
        <w:ind w:left="567" w:hanging="567"/>
      </w:pPr>
      <w:rPr>
        <w:b w:val="0"/>
        <w:i w:val="0"/>
        <w:color w:val="00000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6">
    <w:nsid w:val="2B4C39B2"/>
    <w:multiLevelType w:val="multilevel"/>
    <w:tmpl w:val="34B2E37E"/>
    <w:styleLink w:val="TableTextBulletList"/>
    <w:lvl w:ilvl="0">
      <w:start w:val="1"/>
      <w:numFmt w:val="bullet"/>
      <w:pStyle w:val="TableTextBullet"/>
      <w:lvlText w:val="•"/>
      <w:lvlJc w:val="left"/>
      <w:pPr>
        <w:tabs>
          <w:tab w:val="num" w:pos="284"/>
        </w:tabs>
        <w:ind w:left="284" w:hanging="284"/>
      </w:pPr>
      <w:rPr>
        <w:rFonts w:ascii="Times New Roman" w:hAnsi="Times New Roman"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2D097FDD"/>
    <w:multiLevelType w:val="multilevel"/>
    <w:tmpl w:val="0A1661C4"/>
    <w:name w:val="HeadingList"/>
    <w:lvl w:ilvl="0">
      <w:start w:val="1"/>
      <w:numFmt w:val="decimal"/>
      <w:lvlRestart w:val="0"/>
      <w:lvlText w:val="%1."/>
      <w:lvlJc w:val="left"/>
      <w:pPr>
        <w:tabs>
          <w:tab w:val="num" w:pos="567"/>
        </w:tabs>
        <w:ind w:left="567" w:hanging="567"/>
      </w:pPr>
      <w:rPr>
        <w:rFonts w:ascii="Arial" w:hAnsi="Arial" w:cs="Arial"/>
        <w:b w:val="0"/>
        <w:i w:val="0"/>
        <w:color w:val="342E82"/>
        <w:sz w:val="36"/>
      </w:rPr>
    </w:lvl>
    <w:lvl w:ilvl="1">
      <w:start w:val="1"/>
      <w:numFmt w:val="decimal"/>
      <w:lvlText w:val="%1.%2"/>
      <w:lvlJc w:val="left"/>
      <w:pPr>
        <w:tabs>
          <w:tab w:val="num" w:pos="567"/>
        </w:tabs>
        <w:ind w:left="567" w:hanging="567"/>
      </w:pPr>
      <w:rPr>
        <w:rFonts w:ascii="Arial" w:hAnsi="Arial" w:cs="Arial"/>
        <w:b w:val="0"/>
        <w:i w:val="0"/>
        <w:color w:val="342E82"/>
        <w:sz w:val="32"/>
      </w:rPr>
    </w:lvl>
    <w:lvl w:ilvl="2">
      <w:start w:val="1"/>
      <w:numFmt w:val="decimal"/>
      <w:lvlText w:val="%1.%2.%3"/>
      <w:lvlJc w:val="left"/>
      <w:pPr>
        <w:tabs>
          <w:tab w:val="num" w:pos="567"/>
        </w:tabs>
        <w:ind w:left="567" w:hanging="567"/>
      </w:pPr>
      <w:rPr>
        <w:rFonts w:ascii="Arial" w:hAnsi="Arial" w:cs="Arial"/>
        <w:b w:val="0"/>
        <w:i w:val="0"/>
        <w:color w:val="342E82"/>
        <w:sz w:val="28"/>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8">
    <w:nsid w:val="2D665DFA"/>
    <w:multiLevelType w:val="singleLevel"/>
    <w:tmpl w:val="D7E4CFE6"/>
    <w:name w:val="OneLevelAlphaParagraphList"/>
    <w:lvl w:ilvl="0">
      <w:start w:val="1"/>
      <w:numFmt w:val="lowerLetter"/>
      <w:lvlRestart w:val="0"/>
      <w:pStyle w:val="AlphaParagraph"/>
      <w:lvlText w:val="(%1)"/>
      <w:lvlJc w:val="left"/>
      <w:pPr>
        <w:tabs>
          <w:tab w:val="num" w:pos="567"/>
        </w:tabs>
        <w:ind w:left="567" w:hanging="567"/>
      </w:pPr>
      <w:rPr>
        <w:rFonts w:ascii="Arial" w:hAnsi="Arial" w:cs="Arial"/>
        <w:b w:val="0"/>
        <w:i w:val="0"/>
        <w:sz w:val="22"/>
      </w:rPr>
    </w:lvl>
  </w:abstractNum>
  <w:abstractNum w:abstractNumId="29">
    <w:nsid w:val="308C2710"/>
    <w:multiLevelType w:val="multilevel"/>
    <w:tmpl w:val="30241BA0"/>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852"/>
        </w:tabs>
        <w:ind w:left="852"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Symbol" w:hAnsi="Symbol"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0">
    <w:nsid w:val="3238442C"/>
    <w:multiLevelType w:val="multilevel"/>
    <w:tmpl w:val="4DAA0B3E"/>
    <w:styleLink w:val="ChartandTableFootnoteAlphaList"/>
    <w:lvl w:ilvl="0">
      <w:start w:val="1"/>
      <w:numFmt w:val="lowerLetter"/>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3F43374A"/>
    <w:multiLevelType w:val="multilevel"/>
    <w:tmpl w:val="9ABCA912"/>
    <w:lvl w:ilvl="0">
      <w:start w:val="1"/>
      <w:numFmt w:val="lowerLetter"/>
      <w:lvlText w:val="%1)"/>
      <w:lvlJc w:val="left"/>
      <w:pPr>
        <w:tabs>
          <w:tab w:val="num" w:pos="566"/>
        </w:tabs>
        <w:ind w:left="566" w:hanging="566"/>
      </w:pPr>
      <w:rPr>
        <w:b w:val="0"/>
        <w:i w:val="0"/>
      </w:rPr>
    </w:lvl>
    <w:lvl w:ilvl="1">
      <w:start w:val="1"/>
      <w:numFmt w:val="bullet"/>
      <w:lvlText w:val="–"/>
      <w:lvlJc w:val="left"/>
      <w:pPr>
        <w:tabs>
          <w:tab w:val="num" w:pos="1134"/>
        </w:tabs>
        <w:ind w:left="1134" w:hanging="568"/>
      </w:pPr>
      <w:rPr>
        <w:rFonts w:ascii="Times New Roman" w:hAnsi="Times New Roman" w:cs="Times New Roman"/>
        <w:b w:val="0"/>
        <w:i w:val="0"/>
      </w:rPr>
    </w:lvl>
    <w:lvl w:ilvl="2">
      <w:start w:val="1"/>
      <w:numFmt w:val="bullet"/>
      <w:lvlText w:val=":"/>
      <w:lvlJc w:val="left"/>
      <w:pPr>
        <w:tabs>
          <w:tab w:val="num" w:pos="1700"/>
        </w:tabs>
        <w:ind w:left="1700" w:hanging="566"/>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33">
    <w:nsid w:val="3FEF7B73"/>
    <w:multiLevelType w:val="hybridMultilevel"/>
    <w:tmpl w:val="11289236"/>
    <w:lvl w:ilvl="0" w:tplc="0C090001">
      <w:start w:val="1"/>
      <w:numFmt w:val="bullet"/>
      <w:lvlText w:val=""/>
      <w:lvlJc w:val="left"/>
      <w:pPr>
        <w:ind w:left="928" w:hanging="360"/>
      </w:pPr>
      <w:rPr>
        <w:rFonts w:ascii="Symbol" w:hAnsi="Symbol" w:hint="default"/>
      </w:rPr>
    </w:lvl>
    <w:lvl w:ilvl="1" w:tplc="0C090003">
      <w:start w:val="1"/>
      <w:numFmt w:val="bullet"/>
      <w:lvlText w:val="o"/>
      <w:lvlJc w:val="left"/>
      <w:pPr>
        <w:ind w:left="1648" w:hanging="360"/>
      </w:pPr>
      <w:rPr>
        <w:rFonts w:ascii="Courier New" w:hAnsi="Courier New" w:cs="Courier New" w:hint="default"/>
      </w:rPr>
    </w:lvl>
    <w:lvl w:ilvl="2" w:tplc="0C090005">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34">
    <w:nsid w:val="42B72EA2"/>
    <w:multiLevelType w:val="multilevel"/>
    <w:tmpl w:val="D474F93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lowerLetter"/>
      <w:lvlText w:val="(%5)"/>
      <w:lvlJc w:val="left"/>
      <w:pPr>
        <w:tabs>
          <w:tab w:val="num" w:pos="2835"/>
        </w:tabs>
        <w:ind w:left="2835" w:hanging="567"/>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35">
    <w:nsid w:val="483E25F6"/>
    <w:multiLevelType w:val="multilevel"/>
    <w:tmpl w:val="2D022FDA"/>
    <w:styleLink w:val="AlphaParagraphList"/>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4CE06931"/>
    <w:multiLevelType w:val="singleLevel"/>
    <w:tmpl w:val="4366EF18"/>
    <w:name w:val="ChartTableFootnoteAlpha"/>
    <w:lvl w:ilvl="0">
      <w:start w:val="1"/>
      <w:numFmt w:val="lowerLetter"/>
      <w:lvlRestart w:val="0"/>
      <w:pStyle w:val="ChartandTableFootnoteAlpha"/>
      <w:lvlText w:val="(%1)"/>
      <w:lvlJc w:val="left"/>
      <w:pPr>
        <w:tabs>
          <w:tab w:val="num" w:pos="283"/>
        </w:tabs>
        <w:ind w:left="283" w:hanging="283"/>
      </w:pPr>
      <w:rPr>
        <w:rFonts w:ascii="Arial" w:hAnsi="Arial" w:cs="Arial" w:hint="default"/>
        <w:b w:val="0"/>
        <w:i w:val="0"/>
        <w:sz w:val="16"/>
      </w:rPr>
    </w:lvl>
  </w:abstractNum>
  <w:abstractNum w:abstractNumId="37">
    <w:nsid w:val="517124E0"/>
    <w:multiLevelType w:val="multilevel"/>
    <w:tmpl w:val="FEFA76DE"/>
    <w:lvl w:ilvl="0">
      <w:start w:val="1"/>
      <w:numFmt w:val="decimal"/>
      <w:lvlText w:val="%1."/>
      <w:lvlJc w:val="left"/>
      <w:pPr>
        <w:tabs>
          <w:tab w:val="num" w:pos="1345"/>
        </w:tabs>
        <w:ind w:left="1345" w:hanging="496"/>
      </w:pPr>
      <w:rPr>
        <w:rFonts w:hint="default"/>
      </w:rPr>
    </w:lvl>
    <w:lvl w:ilvl="1">
      <w:start w:val="1"/>
      <w:numFmt w:val="decimal"/>
      <w:lvlText w:val="%1.%2."/>
      <w:lvlJc w:val="left"/>
      <w:pPr>
        <w:tabs>
          <w:tab w:val="num" w:pos="1841"/>
        </w:tabs>
        <w:ind w:left="1841" w:hanging="496"/>
      </w:pPr>
      <w:rPr>
        <w:rFonts w:hint="default"/>
      </w:rPr>
    </w:lvl>
    <w:lvl w:ilvl="2">
      <w:start w:val="1"/>
      <w:numFmt w:val="decimal"/>
      <w:lvlText w:val="%1.%2.%3."/>
      <w:lvlJc w:val="left"/>
      <w:pPr>
        <w:tabs>
          <w:tab w:val="num" w:pos="2337"/>
        </w:tabs>
        <w:ind w:left="2337" w:hanging="496"/>
      </w:pPr>
      <w:rPr>
        <w:rFonts w:hint="default"/>
      </w:rPr>
    </w:lvl>
    <w:lvl w:ilvl="3">
      <w:start w:val="1"/>
      <w:numFmt w:val="decimal"/>
      <w:lvlText w:val="%4.%1.%2.%3."/>
      <w:lvlJc w:val="left"/>
      <w:pPr>
        <w:tabs>
          <w:tab w:val="num" w:pos="3583"/>
        </w:tabs>
        <w:ind w:left="3549" w:hanging="453"/>
      </w:pPr>
      <w:rPr>
        <w:rFonts w:hint="default"/>
      </w:rPr>
    </w:lvl>
    <w:lvl w:ilvl="4">
      <w:start w:val="1"/>
      <w:numFmt w:val="lowerLetter"/>
      <w:lvlText w:val="(%5)"/>
      <w:lvlJc w:val="left"/>
      <w:pPr>
        <w:tabs>
          <w:tab w:val="num" w:pos="2649"/>
        </w:tabs>
        <w:ind w:left="2649" w:hanging="360"/>
      </w:pPr>
      <w:rPr>
        <w:rFonts w:hint="default"/>
      </w:rPr>
    </w:lvl>
    <w:lvl w:ilvl="5">
      <w:start w:val="1"/>
      <w:numFmt w:val="lowerRoman"/>
      <w:lvlText w:val="(%6)"/>
      <w:lvlJc w:val="left"/>
      <w:pPr>
        <w:tabs>
          <w:tab w:val="num" w:pos="3009"/>
        </w:tabs>
        <w:ind w:left="3009" w:hanging="360"/>
      </w:pPr>
      <w:rPr>
        <w:rFonts w:hint="default"/>
      </w:rPr>
    </w:lvl>
    <w:lvl w:ilvl="6">
      <w:start w:val="1"/>
      <w:numFmt w:val="decimal"/>
      <w:lvlText w:val="%7."/>
      <w:lvlJc w:val="left"/>
      <w:pPr>
        <w:tabs>
          <w:tab w:val="num" w:pos="3369"/>
        </w:tabs>
        <w:ind w:left="3369" w:hanging="360"/>
      </w:pPr>
      <w:rPr>
        <w:rFonts w:hint="default"/>
      </w:rPr>
    </w:lvl>
    <w:lvl w:ilvl="7">
      <w:start w:val="1"/>
      <w:numFmt w:val="lowerLetter"/>
      <w:lvlText w:val="%8."/>
      <w:lvlJc w:val="left"/>
      <w:pPr>
        <w:tabs>
          <w:tab w:val="num" w:pos="3729"/>
        </w:tabs>
        <w:ind w:left="3729" w:hanging="360"/>
      </w:pPr>
      <w:rPr>
        <w:rFonts w:hint="default"/>
      </w:rPr>
    </w:lvl>
    <w:lvl w:ilvl="8">
      <w:start w:val="1"/>
      <w:numFmt w:val="lowerRoman"/>
      <w:lvlText w:val="%9."/>
      <w:lvlJc w:val="left"/>
      <w:pPr>
        <w:tabs>
          <w:tab w:val="num" w:pos="4089"/>
        </w:tabs>
        <w:ind w:left="4089" w:hanging="360"/>
      </w:pPr>
      <w:rPr>
        <w:rFonts w:hint="default"/>
      </w:rPr>
    </w:lvl>
  </w:abstractNum>
  <w:abstractNum w:abstractNumId="38">
    <w:nsid w:val="555E4B97"/>
    <w:multiLevelType w:val="multilevel"/>
    <w:tmpl w:val="3BE8A474"/>
    <w:lvl w:ilvl="0">
      <w:start w:val="1"/>
      <w:numFmt w:val="decimal"/>
      <w:lvlText w:val="%1."/>
      <w:lvlJc w:val="left"/>
      <w:pPr>
        <w:tabs>
          <w:tab w:val="num" w:pos="1345"/>
        </w:tabs>
        <w:ind w:left="1345" w:hanging="496"/>
      </w:pPr>
      <w:rPr>
        <w:rFonts w:hint="default"/>
      </w:rPr>
    </w:lvl>
    <w:lvl w:ilvl="1">
      <w:start w:val="1"/>
      <w:numFmt w:val="decimal"/>
      <w:lvlText w:val="%1.%2."/>
      <w:lvlJc w:val="left"/>
      <w:pPr>
        <w:tabs>
          <w:tab w:val="num" w:pos="1841"/>
        </w:tabs>
        <w:ind w:left="1841" w:hanging="496"/>
      </w:pPr>
      <w:rPr>
        <w:rFonts w:hint="default"/>
      </w:rPr>
    </w:lvl>
    <w:lvl w:ilvl="2">
      <w:start w:val="1"/>
      <w:numFmt w:val="decimal"/>
      <w:lvlText w:val="%1.%2.%3."/>
      <w:lvlJc w:val="left"/>
      <w:pPr>
        <w:tabs>
          <w:tab w:val="num" w:pos="2337"/>
        </w:tabs>
        <w:ind w:left="2337" w:hanging="496"/>
      </w:pPr>
      <w:rPr>
        <w:rFonts w:hint="default"/>
      </w:rPr>
    </w:lvl>
    <w:lvl w:ilvl="3">
      <w:start w:val="1"/>
      <w:numFmt w:val="decimal"/>
      <w:lvlText w:val="%4.%1.%2.%3."/>
      <w:lvlJc w:val="left"/>
      <w:pPr>
        <w:tabs>
          <w:tab w:val="num" w:pos="2289"/>
        </w:tabs>
        <w:ind w:left="2289" w:hanging="360"/>
      </w:pPr>
      <w:rPr>
        <w:rFonts w:hint="default"/>
      </w:rPr>
    </w:lvl>
    <w:lvl w:ilvl="4">
      <w:start w:val="1"/>
      <w:numFmt w:val="lowerLetter"/>
      <w:lvlText w:val="(%5)"/>
      <w:lvlJc w:val="left"/>
      <w:pPr>
        <w:tabs>
          <w:tab w:val="num" w:pos="2649"/>
        </w:tabs>
        <w:ind w:left="2649" w:hanging="360"/>
      </w:pPr>
      <w:rPr>
        <w:rFonts w:hint="default"/>
      </w:rPr>
    </w:lvl>
    <w:lvl w:ilvl="5">
      <w:start w:val="1"/>
      <w:numFmt w:val="lowerRoman"/>
      <w:lvlText w:val="(%6)"/>
      <w:lvlJc w:val="left"/>
      <w:pPr>
        <w:tabs>
          <w:tab w:val="num" w:pos="3009"/>
        </w:tabs>
        <w:ind w:left="3009" w:hanging="360"/>
      </w:pPr>
      <w:rPr>
        <w:rFonts w:hint="default"/>
      </w:rPr>
    </w:lvl>
    <w:lvl w:ilvl="6">
      <w:start w:val="1"/>
      <w:numFmt w:val="decimal"/>
      <w:lvlText w:val="%7."/>
      <w:lvlJc w:val="left"/>
      <w:pPr>
        <w:tabs>
          <w:tab w:val="num" w:pos="3369"/>
        </w:tabs>
        <w:ind w:left="3369" w:hanging="360"/>
      </w:pPr>
      <w:rPr>
        <w:rFonts w:hint="default"/>
      </w:rPr>
    </w:lvl>
    <w:lvl w:ilvl="7">
      <w:start w:val="1"/>
      <w:numFmt w:val="lowerLetter"/>
      <w:lvlText w:val="%8."/>
      <w:lvlJc w:val="left"/>
      <w:pPr>
        <w:tabs>
          <w:tab w:val="num" w:pos="3729"/>
        </w:tabs>
        <w:ind w:left="3729" w:hanging="360"/>
      </w:pPr>
      <w:rPr>
        <w:rFonts w:hint="default"/>
      </w:rPr>
    </w:lvl>
    <w:lvl w:ilvl="8">
      <w:start w:val="1"/>
      <w:numFmt w:val="lowerRoman"/>
      <w:lvlText w:val="%9."/>
      <w:lvlJc w:val="left"/>
      <w:pPr>
        <w:tabs>
          <w:tab w:val="num" w:pos="4089"/>
        </w:tabs>
        <w:ind w:left="4089" w:hanging="360"/>
      </w:pPr>
      <w:rPr>
        <w:rFonts w:hint="default"/>
      </w:rPr>
    </w:lvl>
  </w:abstractNum>
  <w:abstractNum w:abstractNumId="39">
    <w:nsid w:val="58101827"/>
    <w:multiLevelType w:val="multilevel"/>
    <w:tmpl w:val="3CACDCCC"/>
    <w:name w:val="BoxBulletedList"/>
    <w:lvl w:ilvl="0">
      <w:start w:val="1"/>
      <w:numFmt w:val="bullet"/>
      <w:lvlRestart w:val="0"/>
      <w:pStyle w:val="BoxBullet"/>
      <w:lvlText w:val="•"/>
      <w:lvlJc w:val="left"/>
      <w:pPr>
        <w:tabs>
          <w:tab w:val="num" w:pos="566"/>
        </w:tabs>
        <w:ind w:left="566" w:hanging="566"/>
      </w:pPr>
      <w:rPr>
        <w:rFonts w:ascii="Times New Roman" w:hAnsi="Times New Roman" w:cs="Times New Roman"/>
        <w:b w:val="0"/>
        <w:i w:val="0"/>
        <w:sz w:val="20"/>
      </w:rPr>
    </w:lvl>
    <w:lvl w:ilvl="1">
      <w:start w:val="1"/>
      <w:numFmt w:val="bullet"/>
      <w:pStyle w:val="BoxDash"/>
      <w:lvlText w:val="–"/>
      <w:lvlJc w:val="left"/>
      <w:pPr>
        <w:tabs>
          <w:tab w:val="num" w:pos="1134"/>
        </w:tabs>
        <w:ind w:left="1134" w:hanging="568"/>
      </w:pPr>
      <w:rPr>
        <w:b w:val="0"/>
        <w:i w:val="0"/>
      </w:rPr>
    </w:lvl>
    <w:lvl w:ilvl="2">
      <w:start w:val="1"/>
      <w:numFmt w:val="bullet"/>
      <w:pStyle w:val="BoxDoubleDot"/>
      <w:lvlText w:val=":"/>
      <w:lvlJc w:val="left"/>
      <w:pPr>
        <w:tabs>
          <w:tab w:val="num" w:pos="1700"/>
        </w:tabs>
        <w:ind w:left="1700" w:hanging="566"/>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40">
    <w:nsid w:val="5C376AF1"/>
    <w:multiLevelType w:val="hybridMultilevel"/>
    <w:tmpl w:val="B5B20D7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5E0A6F8D"/>
    <w:multiLevelType w:val="multilevel"/>
    <w:tmpl w:val="51941ED6"/>
    <w:name w:val="RecommendationBulletedList"/>
    <w:lvl w:ilvl="0">
      <w:start w:val="1"/>
      <w:numFmt w:val="bullet"/>
      <w:lvlRestart w:val="0"/>
      <w:pStyle w:val="RecommendationBullet"/>
      <w:lvlText w:val="•"/>
      <w:lvlJc w:val="left"/>
      <w:pPr>
        <w:tabs>
          <w:tab w:val="num" w:pos="283"/>
        </w:tabs>
        <w:ind w:left="283" w:hanging="283"/>
      </w:pPr>
      <w:rPr>
        <w:b w:val="0"/>
        <w:i w:val="0"/>
      </w:rPr>
    </w:lvl>
    <w:lvl w:ilvl="1">
      <w:start w:val="1"/>
      <w:numFmt w:val="bullet"/>
      <w:pStyle w:val="RecommendationDash"/>
      <w:lvlText w:val="–"/>
      <w:lvlJc w:val="left"/>
      <w:pPr>
        <w:tabs>
          <w:tab w:val="num" w:pos="567"/>
        </w:tabs>
        <w:ind w:left="567" w:hanging="284"/>
      </w:pPr>
      <w:rPr>
        <w:b w:val="0"/>
        <w:i w:val="0"/>
      </w:rPr>
    </w:lvl>
    <w:lvl w:ilvl="2">
      <w:start w:val="1"/>
      <w:numFmt w:val="bullet"/>
      <w:pStyle w:val="Recommendation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42">
    <w:nsid w:val="78663746"/>
    <w:multiLevelType w:val="multilevel"/>
    <w:tmpl w:val="2DB61A66"/>
    <w:lvl w:ilvl="0">
      <w:start w:val="1"/>
      <w:numFmt w:val="bullet"/>
      <w:lvlText w:val="•"/>
      <w:lvlJc w:val="left"/>
      <w:pPr>
        <w:tabs>
          <w:tab w:val="num" w:pos="472"/>
        </w:tabs>
        <w:ind w:left="472" w:hanging="472"/>
      </w:pPr>
      <w:rPr>
        <w:rFonts w:ascii="Times New Roman" w:hAnsi="Times New Roman" w:cs="Times New Roman"/>
      </w:rPr>
    </w:lvl>
    <w:lvl w:ilvl="1">
      <w:start w:val="1"/>
      <w:numFmt w:val="bullet"/>
      <w:lvlText w:val="–"/>
      <w:lvlJc w:val="left"/>
      <w:pPr>
        <w:tabs>
          <w:tab w:val="num" w:pos="944"/>
        </w:tabs>
        <w:ind w:left="944" w:hanging="472"/>
      </w:pPr>
      <w:rPr>
        <w:rFonts w:ascii="Times New Roman" w:hAnsi="Times New Roman" w:cs="Times New Roman"/>
      </w:rPr>
    </w:lvl>
    <w:lvl w:ilvl="2">
      <w:start w:val="1"/>
      <w:numFmt w:val="bullet"/>
      <w:lvlText w:val=":"/>
      <w:lvlJc w:val="left"/>
      <w:pPr>
        <w:tabs>
          <w:tab w:val="num" w:pos="1416"/>
        </w:tabs>
        <w:ind w:left="1416" w:hanging="472"/>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nsid w:val="7AE31DD2"/>
    <w:multiLevelType w:val="multilevel"/>
    <w:tmpl w:val="9ABCA912"/>
    <w:lvl w:ilvl="0">
      <w:start w:val="1"/>
      <w:numFmt w:val="lowerLetter"/>
      <w:lvlText w:val="%1)"/>
      <w:lvlJc w:val="left"/>
      <w:pPr>
        <w:tabs>
          <w:tab w:val="num" w:pos="566"/>
        </w:tabs>
        <w:ind w:left="566" w:hanging="566"/>
      </w:pPr>
      <w:rPr>
        <w:b w:val="0"/>
        <w:i w:val="0"/>
      </w:rPr>
    </w:lvl>
    <w:lvl w:ilvl="1">
      <w:start w:val="1"/>
      <w:numFmt w:val="bullet"/>
      <w:lvlText w:val="–"/>
      <w:lvlJc w:val="left"/>
      <w:pPr>
        <w:tabs>
          <w:tab w:val="num" w:pos="1134"/>
        </w:tabs>
        <w:ind w:left="1134" w:hanging="568"/>
      </w:pPr>
      <w:rPr>
        <w:rFonts w:ascii="Times New Roman" w:hAnsi="Times New Roman" w:cs="Times New Roman"/>
        <w:b w:val="0"/>
        <w:i w:val="0"/>
      </w:rPr>
    </w:lvl>
    <w:lvl w:ilvl="2">
      <w:start w:val="1"/>
      <w:numFmt w:val="bullet"/>
      <w:lvlText w:val=":"/>
      <w:lvlJc w:val="left"/>
      <w:pPr>
        <w:tabs>
          <w:tab w:val="num" w:pos="1700"/>
        </w:tabs>
        <w:ind w:left="1700" w:hanging="566"/>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num w:numId="1">
    <w:abstractNumId w:val="28"/>
  </w:num>
  <w:num w:numId="2">
    <w:abstractNumId w:val="39"/>
  </w:num>
  <w:num w:numId="3">
    <w:abstractNumId w:val="36"/>
  </w:num>
  <w:num w:numId="4">
    <w:abstractNumId w:val="24"/>
  </w:num>
  <w:num w:numId="5">
    <w:abstractNumId w:val="18"/>
  </w:num>
  <w:num w:numId="6">
    <w:abstractNumId w:val="41"/>
  </w:num>
  <w:num w:numId="7">
    <w:abstractNumId w:val="25"/>
  </w:num>
  <w:num w:numId="8">
    <w:abstractNumId w:val="13"/>
  </w:num>
  <w:num w:numId="9">
    <w:abstractNumId w:val="35"/>
  </w:num>
  <w:num w:numId="10">
    <w:abstractNumId w:val="31"/>
  </w:num>
  <w:num w:numId="11">
    <w:abstractNumId w:val="16"/>
  </w:num>
  <w:num w:numId="12">
    <w:abstractNumId w:val="19"/>
  </w:num>
  <w:num w:numId="13">
    <w:abstractNumId w:val="14"/>
  </w:num>
  <w:num w:numId="14">
    <w:abstractNumId w:val="30"/>
  </w:num>
  <w:num w:numId="15">
    <w:abstractNumId w:val="26"/>
  </w:num>
  <w:num w:numId="16">
    <w:abstractNumId w:val="10"/>
  </w:num>
  <w:num w:numId="17">
    <w:abstractNumId w:val="29"/>
  </w:num>
  <w:num w:numId="18">
    <w:abstractNumId w:val="33"/>
  </w:num>
  <w:num w:numId="19">
    <w:abstractNumId w:val="22"/>
  </w:num>
  <w:num w:numId="20">
    <w:abstractNumId w:val="27"/>
  </w:num>
  <w:num w:numId="21">
    <w:abstractNumId w:val="21"/>
  </w:num>
  <w:num w:numId="22">
    <w:abstractNumId w:val="42"/>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 w:numId="33">
    <w:abstractNumId w:val="37"/>
  </w:num>
  <w:num w:numId="34">
    <w:abstractNumId w:val="38"/>
  </w:num>
  <w:num w:numId="35">
    <w:abstractNumId w:val="23"/>
  </w:num>
  <w:num w:numId="36">
    <w:abstractNumId w:val="34"/>
  </w:num>
  <w:num w:numId="37">
    <w:abstractNumId w:val="12"/>
  </w:num>
  <w:num w:numId="38">
    <w:abstractNumId w:val="20"/>
  </w:num>
  <w:num w:numId="39">
    <w:abstractNumId w:val="32"/>
  </w:num>
  <w:num w:numId="40">
    <w:abstractNumId w:val="17"/>
  </w:num>
  <w:num w:numId="41">
    <w:abstractNumId w:val="40"/>
  </w:num>
  <w:num w:numId="42">
    <w:abstractNumId w:val="15"/>
  </w:num>
  <w:num w:numId="43">
    <w:abstractNumId w:val="24"/>
  </w:num>
  <w:num w:numId="44">
    <w:abstractNumId w:val="4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evenAndOddHeaders/>
  <w:characterSpacingControl w:val="doNotCompress"/>
  <w:hdrShapeDefaults>
    <o:shapedefaults v:ext="edit" spidmax="7168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D73"/>
    <w:rsid w:val="000001DC"/>
    <w:rsid w:val="00000F7C"/>
    <w:rsid w:val="00001646"/>
    <w:rsid w:val="000018DD"/>
    <w:rsid w:val="000022E1"/>
    <w:rsid w:val="00002347"/>
    <w:rsid w:val="0000240F"/>
    <w:rsid w:val="000025A6"/>
    <w:rsid w:val="00003647"/>
    <w:rsid w:val="00004817"/>
    <w:rsid w:val="00004C8F"/>
    <w:rsid w:val="00006FD4"/>
    <w:rsid w:val="000070B3"/>
    <w:rsid w:val="000072A6"/>
    <w:rsid w:val="0000756D"/>
    <w:rsid w:val="00007AA3"/>
    <w:rsid w:val="00007AAF"/>
    <w:rsid w:val="00007AEC"/>
    <w:rsid w:val="000129ED"/>
    <w:rsid w:val="000130DC"/>
    <w:rsid w:val="00014CD5"/>
    <w:rsid w:val="00015AEF"/>
    <w:rsid w:val="000160B2"/>
    <w:rsid w:val="00016884"/>
    <w:rsid w:val="00016F6A"/>
    <w:rsid w:val="00016F9C"/>
    <w:rsid w:val="00017152"/>
    <w:rsid w:val="00017A8D"/>
    <w:rsid w:val="00020D41"/>
    <w:rsid w:val="000212F8"/>
    <w:rsid w:val="00022E0C"/>
    <w:rsid w:val="0002349B"/>
    <w:rsid w:val="000234EA"/>
    <w:rsid w:val="0002488D"/>
    <w:rsid w:val="00025BF0"/>
    <w:rsid w:val="00026294"/>
    <w:rsid w:val="00026ECE"/>
    <w:rsid w:val="00027343"/>
    <w:rsid w:val="00027A27"/>
    <w:rsid w:val="00027AFA"/>
    <w:rsid w:val="00030DA9"/>
    <w:rsid w:val="000322F0"/>
    <w:rsid w:val="00033222"/>
    <w:rsid w:val="000342CC"/>
    <w:rsid w:val="00034BDF"/>
    <w:rsid w:val="00034E4E"/>
    <w:rsid w:val="000369FF"/>
    <w:rsid w:val="00036AEB"/>
    <w:rsid w:val="00036D0D"/>
    <w:rsid w:val="00037D4A"/>
    <w:rsid w:val="00040D6C"/>
    <w:rsid w:val="00041566"/>
    <w:rsid w:val="00042D76"/>
    <w:rsid w:val="000432F0"/>
    <w:rsid w:val="00043F9D"/>
    <w:rsid w:val="0004400B"/>
    <w:rsid w:val="0004480C"/>
    <w:rsid w:val="00044822"/>
    <w:rsid w:val="00046248"/>
    <w:rsid w:val="00046F59"/>
    <w:rsid w:val="00050B64"/>
    <w:rsid w:val="00051807"/>
    <w:rsid w:val="000524B6"/>
    <w:rsid w:val="00052B94"/>
    <w:rsid w:val="000565B1"/>
    <w:rsid w:val="00057345"/>
    <w:rsid w:val="000573AD"/>
    <w:rsid w:val="000575A3"/>
    <w:rsid w:val="00057704"/>
    <w:rsid w:val="00057877"/>
    <w:rsid w:val="000613BB"/>
    <w:rsid w:val="00061519"/>
    <w:rsid w:val="00061F84"/>
    <w:rsid w:val="00062940"/>
    <w:rsid w:val="00064CEC"/>
    <w:rsid w:val="000657DA"/>
    <w:rsid w:val="00065AB2"/>
    <w:rsid w:val="00066703"/>
    <w:rsid w:val="00066F70"/>
    <w:rsid w:val="000670D2"/>
    <w:rsid w:val="00067854"/>
    <w:rsid w:val="000700BB"/>
    <w:rsid w:val="00070168"/>
    <w:rsid w:val="000707DF"/>
    <w:rsid w:val="00071489"/>
    <w:rsid w:val="00071978"/>
    <w:rsid w:val="00071ABB"/>
    <w:rsid w:val="00071E9B"/>
    <w:rsid w:val="00072428"/>
    <w:rsid w:val="000736D5"/>
    <w:rsid w:val="000737B0"/>
    <w:rsid w:val="00073D85"/>
    <w:rsid w:val="00074079"/>
    <w:rsid w:val="000744E5"/>
    <w:rsid w:val="00074695"/>
    <w:rsid w:val="00076C72"/>
    <w:rsid w:val="00077352"/>
    <w:rsid w:val="00077456"/>
    <w:rsid w:val="00077748"/>
    <w:rsid w:val="000778FF"/>
    <w:rsid w:val="00080201"/>
    <w:rsid w:val="000808B4"/>
    <w:rsid w:val="0008137C"/>
    <w:rsid w:val="00081589"/>
    <w:rsid w:val="00082936"/>
    <w:rsid w:val="000829C5"/>
    <w:rsid w:val="00083903"/>
    <w:rsid w:val="00083A38"/>
    <w:rsid w:val="00084B44"/>
    <w:rsid w:val="00084B4A"/>
    <w:rsid w:val="0008561B"/>
    <w:rsid w:val="00085F5F"/>
    <w:rsid w:val="00087063"/>
    <w:rsid w:val="00087950"/>
    <w:rsid w:val="000879D3"/>
    <w:rsid w:val="00090739"/>
    <w:rsid w:val="00090C20"/>
    <w:rsid w:val="00090F18"/>
    <w:rsid w:val="000916D6"/>
    <w:rsid w:val="00092072"/>
    <w:rsid w:val="000924FD"/>
    <w:rsid w:val="00093181"/>
    <w:rsid w:val="00093F06"/>
    <w:rsid w:val="00094138"/>
    <w:rsid w:val="00094C61"/>
    <w:rsid w:val="00095524"/>
    <w:rsid w:val="00095531"/>
    <w:rsid w:val="000956C5"/>
    <w:rsid w:val="00095E11"/>
    <w:rsid w:val="00096125"/>
    <w:rsid w:val="00096D96"/>
    <w:rsid w:val="00096E92"/>
    <w:rsid w:val="00096E98"/>
    <w:rsid w:val="000A07E0"/>
    <w:rsid w:val="000A1A96"/>
    <w:rsid w:val="000A269C"/>
    <w:rsid w:val="000A3363"/>
    <w:rsid w:val="000A37E6"/>
    <w:rsid w:val="000A3AD3"/>
    <w:rsid w:val="000A3AFF"/>
    <w:rsid w:val="000A4ABD"/>
    <w:rsid w:val="000A68C0"/>
    <w:rsid w:val="000B0164"/>
    <w:rsid w:val="000B03BC"/>
    <w:rsid w:val="000B1A82"/>
    <w:rsid w:val="000B2065"/>
    <w:rsid w:val="000B22EA"/>
    <w:rsid w:val="000B4362"/>
    <w:rsid w:val="000B4671"/>
    <w:rsid w:val="000B574C"/>
    <w:rsid w:val="000B6A65"/>
    <w:rsid w:val="000B6F29"/>
    <w:rsid w:val="000B799F"/>
    <w:rsid w:val="000B7BC4"/>
    <w:rsid w:val="000B7E8E"/>
    <w:rsid w:val="000C090E"/>
    <w:rsid w:val="000C09ED"/>
    <w:rsid w:val="000C11B6"/>
    <w:rsid w:val="000C163E"/>
    <w:rsid w:val="000C1FCC"/>
    <w:rsid w:val="000C3A36"/>
    <w:rsid w:val="000C4C51"/>
    <w:rsid w:val="000C5877"/>
    <w:rsid w:val="000C5971"/>
    <w:rsid w:val="000C5C91"/>
    <w:rsid w:val="000C5EE4"/>
    <w:rsid w:val="000C6A05"/>
    <w:rsid w:val="000D07BE"/>
    <w:rsid w:val="000D0A80"/>
    <w:rsid w:val="000D0EA0"/>
    <w:rsid w:val="000D1203"/>
    <w:rsid w:val="000D1630"/>
    <w:rsid w:val="000D288C"/>
    <w:rsid w:val="000D424F"/>
    <w:rsid w:val="000D5AEC"/>
    <w:rsid w:val="000D5E47"/>
    <w:rsid w:val="000D6922"/>
    <w:rsid w:val="000D6FB4"/>
    <w:rsid w:val="000E18B8"/>
    <w:rsid w:val="000E1CCA"/>
    <w:rsid w:val="000E2732"/>
    <w:rsid w:val="000E2AF6"/>
    <w:rsid w:val="000E3104"/>
    <w:rsid w:val="000E3C9B"/>
    <w:rsid w:val="000E3CF7"/>
    <w:rsid w:val="000E522E"/>
    <w:rsid w:val="000E685E"/>
    <w:rsid w:val="000F0933"/>
    <w:rsid w:val="000F0CC0"/>
    <w:rsid w:val="000F10D1"/>
    <w:rsid w:val="000F19DA"/>
    <w:rsid w:val="000F3633"/>
    <w:rsid w:val="000F36C1"/>
    <w:rsid w:val="000F3729"/>
    <w:rsid w:val="000F3941"/>
    <w:rsid w:val="000F4016"/>
    <w:rsid w:val="000F6059"/>
    <w:rsid w:val="000F6138"/>
    <w:rsid w:val="000F73C5"/>
    <w:rsid w:val="00100173"/>
    <w:rsid w:val="001002E7"/>
    <w:rsid w:val="001007BF"/>
    <w:rsid w:val="00100937"/>
    <w:rsid w:val="00100DF1"/>
    <w:rsid w:val="00103E27"/>
    <w:rsid w:val="001042AF"/>
    <w:rsid w:val="00104730"/>
    <w:rsid w:val="00104EBC"/>
    <w:rsid w:val="00105EED"/>
    <w:rsid w:val="00106162"/>
    <w:rsid w:val="0010632C"/>
    <w:rsid w:val="00106C56"/>
    <w:rsid w:val="001070E5"/>
    <w:rsid w:val="0010739F"/>
    <w:rsid w:val="00110135"/>
    <w:rsid w:val="0011108D"/>
    <w:rsid w:val="00111A03"/>
    <w:rsid w:val="00111E50"/>
    <w:rsid w:val="001122B3"/>
    <w:rsid w:val="00112875"/>
    <w:rsid w:val="00113344"/>
    <w:rsid w:val="001134AD"/>
    <w:rsid w:val="001137ED"/>
    <w:rsid w:val="00113C76"/>
    <w:rsid w:val="0011501B"/>
    <w:rsid w:val="00115489"/>
    <w:rsid w:val="00115BFA"/>
    <w:rsid w:val="00115F0B"/>
    <w:rsid w:val="00116DFB"/>
    <w:rsid w:val="00116ED6"/>
    <w:rsid w:val="001176A8"/>
    <w:rsid w:val="001202CA"/>
    <w:rsid w:val="00120ADF"/>
    <w:rsid w:val="00122F3E"/>
    <w:rsid w:val="00123E5F"/>
    <w:rsid w:val="0012466D"/>
    <w:rsid w:val="00124C4B"/>
    <w:rsid w:val="001254A2"/>
    <w:rsid w:val="00126760"/>
    <w:rsid w:val="001274EB"/>
    <w:rsid w:val="00127567"/>
    <w:rsid w:val="001275D2"/>
    <w:rsid w:val="001305A4"/>
    <w:rsid w:val="0013060A"/>
    <w:rsid w:val="00131E14"/>
    <w:rsid w:val="00131F51"/>
    <w:rsid w:val="001324C5"/>
    <w:rsid w:val="001338A4"/>
    <w:rsid w:val="001347A7"/>
    <w:rsid w:val="00134843"/>
    <w:rsid w:val="00135B8A"/>
    <w:rsid w:val="001367B3"/>
    <w:rsid w:val="0013742A"/>
    <w:rsid w:val="00137710"/>
    <w:rsid w:val="00137F7F"/>
    <w:rsid w:val="00140245"/>
    <w:rsid w:val="00140BE1"/>
    <w:rsid w:val="001418B2"/>
    <w:rsid w:val="00143266"/>
    <w:rsid w:val="00143462"/>
    <w:rsid w:val="001434B3"/>
    <w:rsid w:val="001434C5"/>
    <w:rsid w:val="00144338"/>
    <w:rsid w:val="00144D5D"/>
    <w:rsid w:val="00145E31"/>
    <w:rsid w:val="00146BAC"/>
    <w:rsid w:val="00147BAA"/>
    <w:rsid w:val="00147E8A"/>
    <w:rsid w:val="00150753"/>
    <w:rsid w:val="00150924"/>
    <w:rsid w:val="00150B98"/>
    <w:rsid w:val="00150C65"/>
    <w:rsid w:val="00150C87"/>
    <w:rsid w:val="00151886"/>
    <w:rsid w:val="00151CA8"/>
    <w:rsid w:val="00151CDF"/>
    <w:rsid w:val="0015257C"/>
    <w:rsid w:val="00152E1E"/>
    <w:rsid w:val="00152FA4"/>
    <w:rsid w:val="00155019"/>
    <w:rsid w:val="0015563D"/>
    <w:rsid w:val="001563C0"/>
    <w:rsid w:val="00156EB7"/>
    <w:rsid w:val="001571C9"/>
    <w:rsid w:val="00157486"/>
    <w:rsid w:val="00161500"/>
    <w:rsid w:val="00161D7B"/>
    <w:rsid w:val="001621C0"/>
    <w:rsid w:val="00163268"/>
    <w:rsid w:val="00163334"/>
    <w:rsid w:val="001634D0"/>
    <w:rsid w:val="00165841"/>
    <w:rsid w:val="00165DA0"/>
    <w:rsid w:val="00166B1B"/>
    <w:rsid w:val="00167A4B"/>
    <w:rsid w:val="00167C4C"/>
    <w:rsid w:val="00170045"/>
    <w:rsid w:val="00170D74"/>
    <w:rsid w:val="00171123"/>
    <w:rsid w:val="00172528"/>
    <w:rsid w:val="001733EE"/>
    <w:rsid w:val="0017387E"/>
    <w:rsid w:val="00173995"/>
    <w:rsid w:val="00173A91"/>
    <w:rsid w:val="00173C54"/>
    <w:rsid w:val="001743FD"/>
    <w:rsid w:val="00174C29"/>
    <w:rsid w:val="00174CCC"/>
    <w:rsid w:val="0017654D"/>
    <w:rsid w:val="00176AF6"/>
    <w:rsid w:val="0018021C"/>
    <w:rsid w:val="001808E6"/>
    <w:rsid w:val="0018198E"/>
    <w:rsid w:val="00183874"/>
    <w:rsid w:val="00184856"/>
    <w:rsid w:val="00185B77"/>
    <w:rsid w:val="00186B32"/>
    <w:rsid w:val="00186EEF"/>
    <w:rsid w:val="00187D5C"/>
    <w:rsid w:val="001905D9"/>
    <w:rsid w:val="0019107F"/>
    <w:rsid w:val="00191CCE"/>
    <w:rsid w:val="001931BB"/>
    <w:rsid w:val="00193B18"/>
    <w:rsid w:val="00193DF8"/>
    <w:rsid w:val="00194227"/>
    <w:rsid w:val="00194EA8"/>
    <w:rsid w:val="00194FB0"/>
    <w:rsid w:val="00197D4F"/>
    <w:rsid w:val="00197F2F"/>
    <w:rsid w:val="001A1791"/>
    <w:rsid w:val="001A26C4"/>
    <w:rsid w:val="001A32DE"/>
    <w:rsid w:val="001A3448"/>
    <w:rsid w:val="001A3A8F"/>
    <w:rsid w:val="001A425F"/>
    <w:rsid w:val="001A4D6D"/>
    <w:rsid w:val="001A5435"/>
    <w:rsid w:val="001A5D3C"/>
    <w:rsid w:val="001A5FA3"/>
    <w:rsid w:val="001A6586"/>
    <w:rsid w:val="001A6FF0"/>
    <w:rsid w:val="001A70D7"/>
    <w:rsid w:val="001A7E19"/>
    <w:rsid w:val="001A7EFD"/>
    <w:rsid w:val="001A7F68"/>
    <w:rsid w:val="001B00BD"/>
    <w:rsid w:val="001B0C4C"/>
    <w:rsid w:val="001B0E4D"/>
    <w:rsid w:val="001B0FAA"/>
    <w:rsid w:val="001B2D07"/>
    <w:rsid w:val="001B2EA6"/>
    <w:rsid w:val="001B38CD"/>
    <w:rsid w:val="001B396F"/>
    <w:rsid w:val="001B3BD9"/>
    <w:rsid w:val="001B40E1"/>
    <w:rsid w:val="001B47D6"/>
    <w:rsid w:val="001B4F51"/>
    <w:rsid w:val="001B50A0"/>
    <w:rsid w:val="001B5630"/>
    <w:rsid w:val="001B656A"/>
    <w:rsid w:val="001B65B1"/>
    <w:rsid w:val="001B65DB"/>
    <w:rsid w:val="001B6773"/>
    <w:rsid w:val="001B6845"/>
    <w:rsid w:val="001B6908"/>
    <w:rsid w:val="001B69E6"/>
    <w:rsid w:val="001B6A78"/>
    <w:rsid w:val="001C065E"/>
    <w:rsid w:val="001C16C1"/>
    <w:rsid w:val="001C2C26"/>
    <w:rsid w:val="001C3055"/>
    <w:rsid w:val="001C34AA"/>
    <w:rsid w:val="001C360C"/>
    <w:rsid w:val="001C3E6E"/>
    <w:rsid w:val="001C5638"/>
    <w:rsid w:val="001C57B8"/>
    <w:rsid w:val="001C59A5"/>
    <w:rsid w:val="001C5C20"/>
    <w:rsid w:val="001C6040"/>
    <w:rsid w:val="001C6F99"/>
    <w:rsid w:val="001C7033"/>
    <w:rsid w:val="001C716F"/>
    <w:rsid w:val="001C7B16"/>
    <w:rsid w:val="001D0237"/>
    <w:rsid w:val="001D147D"/>
    <w:rsid w:val="001D1971"/>
    <w:rsid w:val="001D1D79"/>
    <w:rsid w:val="001D1ECF"/>
    <w:rsid w:val="001D4166"/>
    <w:rsid w:val="001D4D88"/>
    <w:rsid w:val="001D5755"/>
    <w:rsid w:val="001D58DB"/>
    <w:rsid w:val="001D6148"/>
    <w:rsid w:val="001D6AD4"/>
    <w:rsid w:val="001D6E0F"/>
    <w:rsid w:val="001D76C2"/>
    <w:rsid w:val="001D7811"/>
    <w:rsid w:val="001D7826"/>
    <w:rsid w:val="001E0A0D"/>
    <w:rsid w:val="001E4B7E"/>
    <w:rsid w:val="001E5719"/>
    <w:rsid w:val="001E6BC3"/>
    <w:rsid w:val="001E7735"/>
    <w:rsid w:val="001E7920"/>
    <w:rsid w:val="001E7A6D"/>
    <w:rsid w:val="001E7C1F"/>
    <w:rsid w:val="001F0E64"/>
    <w:rsid w:val="001F2F18"/>
    <w:rsid w:val="001F3842"/>
    <w:rsid w:val="001F4317"/>
    <w:rsid w:val="001F4A7C"/>
    <w:rsid w:val="001F5050"/>
    <w:rsid w:val="001F5A4E"/>
    <w:rsid w:val="001F5A81"/>
    <w:rsid w:val="001F5D05"/>
    <w:rsid w:val="001F6F3E"/>
    <w:rsid w:val="0020086A"/>
    <w:rsid w:val="00200D5C"/>
    <w:rsid w:val="00200F3C"/>
    <w:rsid w:val="002021D9"/>
    <w:rsid w:val="00202675"/>
    <w:rsid w:val="00202A76"/>
    <w:rsid w:val="002033A4"/>
    <w:rsid w:val="002048CB"/>
    <w:rsid w:val="00204B6E"/>
    <w:rsid w:val="00204D99"/>
    <w:rsid w:val="0020682A"/>
    <w:rsid w:val="00206DA5"/>
    <w:rsid w:val="00207ABE"/>
    <w:rsid w:val="0021155A"/>
    <w:rsid w:val="0021242E"/>
    <w:rsid w:val="00213920"/>
    <w:rsid w:val="00214A52"/>
    <w:rsid w:val="002161AC"/>
    <w:rsid w:val="002172EF"/>
    <w:rsid w:val="00220A64"/>
    <w:rsid w:val="00220D63"/>
    <w:rsid w:val="00220FAB"/>
    <w:rsid w:val="002216CD"/>
    <w:rsid w:val="00222422"/>
    <w:rsid w:val="002228AD"/>
    <w:rsid w:val="00222E8A"/>
    <w:rsid w:val="00222FD3"/>
    <w:rsid w:val="00223A54"/>
    <w:rsid w:val="00224ED6"/>
    <w:rsid w:val="00225354"/>
    <w:rsid w:val="00225624"/>
    <w:rsid w:val="00225A6E"/>
    <w:rsid w:val="00225C65"/>
    <w:rsid w:val="002261E5"/>
    <w:rsid w:val="00226B25"/>
    <w:rsid w:val="002303EE"/>
    <w:rsid w:val="0023054C"/>
    <w:rsid w:val="0023079D"/>
    <w:rsid w:val="00231BFE"/>
    <w:rsid w:val="00231DE4"/>
    <w:rsid w:val="00231E63"/>
    <w:rsid w:val="00233464"/>
    <w:rsid w:val="00233BB4"/>
    <w:rsid w:val="00234F28"/>
    <w:rsid w:val="002362C1"/>
    <w:rsid w:val="00237C55"/>
    <w:rsid w:val="002404D0"/>
    <w:rsid w:val="002404F0"/>
    <w:rsid w:val="00240C90"/>
    <w:rsid w:val="00240FD9"/>
    <w:rsid w:val="00241108"/>
    <w:rsid w:val="002412B4"/>
    <w:rsid w:val="00241FCD"/>
    <w:rsid w:val="002423BA"/>
    <w:rsid w:val="002429EF"/>
    <w:rsid w:val="00242A63"/>
    <w:rsid w:val="00243252"/>
    <w:rsid w:val="00244FE4"/>
    <w:rsid w:val="0024543B"/>
    <w:rsid w:val="002466D0"/>
    <w:rsid w:val="002474C8"/>
    <w:rsid w:val="002474FF"/>
    <w:rsid w:val="002476BE"/>
    <w:rsid w:val="00250B91"/>
    <w:rsid w:val="00251E7B"/>
    <w:rsid w:val="00253571"/>
    <w:rsid w:val="002539F8"/>
    <w:rsid w:val="00253A2E"/>
    <w:rsid w:val="00254459"/>
    <w:rsid w:val="002550B3"/>
    <w:rsid w:val="0025644B"/>
    <w:rsid w:val="00256660"/>
    <w:rsid w:val="00260071"/>
    <w:rsid w:val="002608A1"/>
    <w:rsid w:val="0026107A"/>
    <w:rsid w:val="00261D4F"/>
    <w:rsid w:val="00261FB7"/>
    <w:rsid w:val="00262065"/>
    <w:rsid w:val="00262477"/>
    <w:rsid w:val="002626CA"/>
    <w:rsid w:val="00262F6C"/>
    <w:rsid w:val="00263104"/>
    <w:rsid w:val="0026362D"/>
    <w:rsid w:val="0026377C"/>
    <w:rsid w:val="00263AA2"/>
    <w:rsid w:val="00263E84"/>
    <w:rsid w:val="00264818"/>
    <w:rsid w:val="00265118"/>
    <w:rsid w:val="002653E6"/>
    <w:rsid w:val="002656A0"/>
    <w:rsid w:val="002669D2"/>
    <w:rsid w:val="00266AFC"/>
    <w:rsid w:val="00266C80"/>
    <w:rsid w:val="00266D35"/>
    <w:rsid w:val="00271415"/>
    <w:rsid w:val="0027258C"/>
    <w:rsid w:val="002730D8"/>
    <w:rsid w:val="00273369"/>
    <w:rsid w:val="002734E4"/>
    <w:rsid w:val="00273857"/>
    <w:rsid w:val="00273DC1"/>
    <w:rsid w:val="00273FDB"/>
    <w:rsid w:val="00274315"/>
    <w:rsid w:val="00274909"/>
    <w:rsid w:val="00274B95"/>
    <w:rsid w:val="00275AB7"/>
    <w:rsid w:val="00280783"/>
    <w:rsid w:val="00280DE1"/>
    <w:rsid w:val="002818C8"/>
    <w:rsid w:val="00281C3C"/>
    <w:rsid w:val="00281E3A"/>
    <w:rsid w:val="0028269C"/>
    <w:rsid w:val="0028271C"/>
    <w:rsid w:val="00283399"/>
    <w:rsid w:val="00283BC2"/>
    <w:rsid w:val="00284B04"/>
    <w:rsid w:val="00284DF1"/>
    <w:rsid w:val="002850A0"/>
    <w:rsid w:val="00287F08"/>
    <w:rsid w:val="0029060C"/>
    <w:rsid w:val="00290951"/>
    <w:rsid w:val="00291405"/>
    <w:rsid w:val="0029176E"/>
    <w:rsid w:val="00292A4A"/>
    <w:rsid w:val="00293295"/>
    <w:rsid w:val="002939C8"/>
    <w:rsid w:val="00293E45"/>
    <w:rsid w:val="002947A9"/>
    <w:rsid w:val="002961FE"/>
    <w:rsid w:val="00296437"/>
    <w:rsid w:val="00296C5F"/>
    <w:rsid w:val="002977D8"/>
    <w:rsid w:val="00297D28"/>
    <w:rsid w:val="002A002D"/>
    <w:rsid w:val="002A07E7"/>
    <w:rsid w:val="002A0947"/>
    <w:rsid w:val="002A0C50"/>
    <w:rsid w:val="002A12EF"/>
    <w:rsid w:val="002A3215"/>
    <w:rsid w:val="002A4390"/>
    <w:rsid w:val="002A5A47"/>
    <w:rsid w:val="002A5E07"/>
    <w:rsid w:val="002B12C8"/>
    <w:rsid w:val="002B1842"/>
    <w:rsid w:val="002B1928"/>
    <w:rsid w:val="002B2007"/>
    <w:rsid w:val="002B395F"/>
    <w:rsid w:val="002B3F8F"/>
    <w:rsid w:val="002B3FAE"/>
    <w:rsid w:val="002B405C"/>
    <w:rsid w:val="002B4642"/>
    <w:rsid w:val="002B5DF1"/>
    <w:rsid w:val="002B6D9B"/>
    <w:rsid w:val="002C26DE"/>
    <w:rsid w:val="002C27F1"/>
    <w:rsid w:val="002C310E"/>
    <w:rsid w:val="002C356E"/>
    <w:rsid w:val="002C3897"/>
    <w:rsid w:val="002C3DDB"/>
    <w:rsid w:val="002C4105"/>
    <w:rsid w:val="002C4929"/>
    <w:rsid w:val="002C514B"/>
    <w:rsid w:val="002C5983"/>
    <w:rsid w:val="002C5C91"/>
    <w:rsid w:val="002C5DEE"/>
    <w:rsid w:val="002C610C"/>
    <w:rsid w:val="002C6521"/>
    <w:rsid w:val="002C703D"/>
    <w:rsid w:val="002C70DF"/>
    <w:rsid w:val="002C7CF8"/>
    <w:rsid w:val="002D0D06"/>
    <w:rsid w:val="002D5109"/>
    <w:rsid w:val="002D52FF"/>
    <w:rsid w:val="002D5ACE"/>
    <w:rsid w:val="002D64C0"/>
    <w:rsid w:val="002D661A"/>
    <w:rsid w:val="002D728B"/>
    <w:rsid w:val="002E0963"/>
    <w:rsid w:val="002E110C"/>
    <w:rsid w:val="002E1DBB"/>
    <w:rsid w:val="002E2312"/>
    <w:rsid w:val="002E2A03"/>
    <w:rsid w:val="002E2E6A"/>
    <w:rsid w:val="002E2EB1"/>
    <w:rsid w:val="002E31A3"/>
    <w:rsid w:val="002E36D4"/>
    <w:rsid w:val="002E3977"/>
    <w:rsid w:val="002E543F"/>
    <w:rsid w:val="002E652E"/>
    <w:rsid w:val="002E73B6"/>
    <w:rsid w:val="002E7974"/>
    <w:rsid w:val="002E7AB8"/>
    <w:rsid w:val="002E7B2C"/>
    <w:rsid w:val="002F0DC1"/>
    <w:rsid w:val="002F1552"/>
    <w:rsid w:val="002F21DF"/>
    <w:rsid w:val="002F2931"/>
    <w:rsid w:val="002F29F1"/>
    <w:rsid w:val="002F2F28"/>
    <w:rsid w:val="002F2F2E"/>
    <w:rsid w:val="002F4866"/>
    <w:rsid w:val="002F4887"/>
    <w:rsid w:val="002F55E5"/>
    <w:rsid w:val="002F63A2"/>
    <w:rsid w:val="002F7D15"/>
    <w:rsid w:val="00300392"/>
    <w:rsid w:val="00301754"/>
    <w:rsid w:val="0030282A"/>
    <w:rsid w:val="00302FB9"/>
    <w:rsid w:val="00303A2F"/>
    <w:rsid w:val="00304F99"/>
    <w:rsid w:val="00304FAD"/>
    <w:rsid w:val="003056BE"/>
    <w:rsid w:val="00305AC4"/>
    <w:rsid w:val="00305F5A"/>
    <w:rsid w:val="0030675F"/>
    <w:rsid w:val="00307771"/>
    <w:rsid w:val="00307CF0"/>
    <w:rsid w:val="00307D5D"/>
    <w:rsid w:val="00307DB2"/>
    <w:rsid w:val="00312C99"/>
    <w:rsid w:val="0031302E"/>
    <w:rsid w:val="00313349"/>
    <w:rsid w:val="003154E8"/>
    <w:rsid w:val="003167E5"/>
    <w:rsid w:val="00316EE6"/>
    <w:rsid w:val="00317BC9"/>
    <w:rsid w:val="00320645"/>
    <w:rsid w:val="003207AC"/>
    <w:rsid w:val="00320E47"/>
    <w:rsid w:val="00321498"/>
    <w:rsid w:val="00321573"/>
    <w:rsid w:val="00322C17"/>
    <w:rsid w:val="003232C2"/>
    <w:rsid w:val="0032348D"/>
    <w:rsid w:val="00324151"/>
    <w:rsid w:val="0032474E"/>
    <w:rsid w:val="003257EB"/>
    <w:rsid w:val="00325C35"/>
    <w:rsid w:val="00326AA1"/>
    <w:rsid w:val="00326B5B"/>
    <w:rsid w:val="00326E1A"/>
    <w:rsid w:val="003279A2"/>
    <w:rsid w:val="0033082B"/>
    <w:rsid w:val="00331653"/>
    <w:rsid w:val="00331ABE"/>
    <w:rsid w:val="00332D45"/>
    <w:rsid w:val="00333F39"/>
    <w:rsid w:val="00334F08"/>
    <w:rsid w:val="00334FFD"/>
    <w:rsid w:val="0033574E"/>
    <w:rsid w:val="00335BE1"/>
    <w:rsid w:val="00337034"/>
    <w:rsid w:val="00337119"/>
    <w:rsid w:val="003371F8"/>
    <w:rsid w:val="00340A45"/>
    <w:rsid w:val="00340A9B"/>
    <w:rsid w:val="00341F68"/>
    <w:rsid w:val="003420BE"/>
    <w:rsid w:val="003435A7"/>
    <w:rsid w:val="003438E6"/>
    <w:rsid w:val="0034391C"/>
    <w:rsid w:val="00345DA1"/>
    <w:rsid w:val="0034625A"/>
    <w:rsid w:val="00346838"/>
    <w:rsid w:val="00346B78"/>
    <w:rsid w:val="00347ADD"/>
    <w:rsid w:val="00347B58"/>
    <w:rsid w:val="00347F50"/>
    <w:rsid w:val="0035063A"/>
    <w:rsid w:val="00350D7D"/>
    <w:rsid w:val="00351A38"/>
    <w:rsid w:val="0035240B"/>
    <w:rsid w:val="00353231"/>
    <w:rsid w:val="00353987"/>
    <w:rsid w:val="00353C94"/>
    <w:rsid w:val="0035415D"/>
    <w:rsid w:val="00354263"/>
    <w:rsid w:val="00354CA3"/>
    <w:rsid w:val="00356898"/>
    <w:rsid w:val="003569E6"/>
    <w:rsid w:val="00356A80"/>
    <w:rsid w:val="00356AD1"/>
    <w:rsid w:val="00356B7A"/>
    <w:rsid w:val="00356DB6"/>
    <w:rsid w:val="003573A7"/>
    <w:rsid w:val="00357A26"/>
    <w:rsid w:val="00357D78"/>
    <w:rsid w:val="00357F4F"/>
    <w:rsid w:val="00361048"/>
    <w:rsid w:val="0036144C"/>
    <w:rsid w:val="003614F7"/>
    <w:rsid w:val="00361EF7"/>
    <w:rsid w:val="003620D6"/>
    <w:rsid w:val="00363987"/>
    <w:rsid w:val="00363A29"/>
    <w:rsid w:val="0036432C"/>
    <w:rsid w:val="0036498F"/>
    <w:rsid w:val="003654D2"/>
    <w:rsid w:val="0036564C"/>
    <w:rsid w:val="00365E4E"/>
    <w:rsid w:val="00366753"/>
    <w:rsid w:val="0036682F"/>
    <w:rsid w:val="00366E48"/>
    <w:rsid w:val="00370882"/>
    <w:rsid w:val="00371601"/>
    <w:rsid w:val="003720AD"/>
    <w:rsid w:val="00372316"/>
    <w:rsid w:val="00372BB7"/>
    <w:rsid w:val="00373DB5"/>
    <w:rsid w:val="003740A7"/>
    <w:rsid w:val="00374C57"/>
    <w:rsid w:val="003752CA"/>
    <w:rsid w:val="00376FD6"/>
    <w:rsid w:val="00377A4D"/>
    <w:rsid w:val="00377F38"/>
    <w:rsid w:val="00380938"/>
    <w:rsid w:val="003819A8"/>
    <w:rsid w:val="00381D3E"/>
    <w:rsid w:val="00382239"/>
    <w:rsid w:val="00383920"/>
    <w:rsid w:val="00383A4D"/>
    <w:rsid w:val="00383B77"/>
    <w:rsid w:val="003855A1"/>
    <w:rsid w:val="003860DD"/>
    <w:rsid w:val="003875EB"/>
    <w:rsid w:val="003875F8"/>
    <w:rsid w:val="0038791C"/>
    <w:rsid w:val="0038798C"/>
    <w:rsid w:val="003903EF"/>
    <w:rsid w:val="00390FF7"/>
    <w:rsid w:val="003911DB"/>
    <w:rsid w:val="00391B61"/>
    <w:rsid w:val="003931F7"/>
    <w:rsid w:val="0039354C"/>
    <w:rsid w:val="003940CC"/>
    <w:rsid w:val="00394373"/>
    <w:rsid w:val="00394736"/>
    <w:rsid w:val="00394DC0"/>
    <w:rsid w:val="00396336"/>
    <w:rsid w:val="0039678B"/>
    <w:rsid w:val="00396957"/>
    <w:rsid w:val="00396D7F"/>
    <w:rsid w:val="0039715F"/>
    <w:rsid w:val="00397575"/>
    <w:rsid w:val="00397A04"/>
    <w:rsid w:val="003A00EF"/>
    <w:rsid w:val="003A019C"/>
    <w:rsid w:val="003A01E6"/>
    <w:rsid w:val="003A0297"/>
    <w:rsid w:val="003A0517"/>
    <w:rsid w:val="003A0DAC"/>
    <w:rsid w:val="003A1756"/>
    <w:rsid w:val="003A1B61"/>
    <w:rsid w:val="003A1ED4"/>
    <w:rsid w:val="003A2E63"/>
    <w:rsid w:val="003A3127"/>
    <w:rsid w:val="003A3E08"/>
    <w:rsid w:val="003A43E0"/>
    <w:rsid w:val="003A4A7A"/>
    <w:rsid w:val="003A51B5"/>
    <w:rsid w:val="003A539C"/>
    <w:rsid w:val="003A55C8"/>
    <w:rsid w:val="003A586F"/>
    <w:rsid w:val="003A59AE"/>
    <w:rsid w:val="003A6BBE"/>
    <w:rsid w:val="003A6FF5"/>
    <w:rsid w:val="003A7E34"/>
    <w:rsid w:val="003B07A1"/>
    <w:rsid w:val="003B2659"/>
    <w:rsid w:val="003B48F9"/>
    <w:rsid w:val="003B4D30"/>
    <w:rsid w:val="003B4DA3"/>
    <w:rsid w:val="003B5034"/>
    <w:rsid w:val="003B68FD"/>
    <w:rsid w:val="003B72B8"/>
    <w:rsid w:val="003B7BDE"/>
    <w:rsid w:val="003C0E8A"/>
    <w:rsid w:val="003C19C8"/>
    <w:rsid w:val="003C2A4D"/>
    <w:rsid w:val="003C355A"/>
    <w:rsid w:val="003C3C3C"/>
    <w:rsid w:val="003C417B"/>
    <w:rsid w:val="003C4B43"/>
    <w:rsid w:val="003C4BB5"/>
    <w:rsid w:val="003C4F34"/>
    <w:rsid w:val="003C5394"/>
    <w:rsid w:val="003C5552"/>
    <w:rsid w:val="003C658F"/>
    <w:rsid w:val="003C6640"/>
    <w:rsid w:val="003C665A"/>
    <w:rsid w:val="003C6D5C"/>
    <w:rsid w:val="003C6DA1"/>
    <w:rsid w:val="003C7154"/>
    <w:rsid w:val="003D002E"/>
    <w:rsid w:val="003D005C"/>
    <w:rsid w:val="003D1899"/>
    <w:rsid w:val="003D30BA"/>
    <w:rsid w:val="003D3243"/>
    <w:rsid w:val="003D3435"/>
    <w:rsid w:val="003D5137"/>
    <w:rsid w:val="003D5A50"/>
    <w:rsid w:val="003D6D70"/>
    <w:rsid w:val="003D6E26"/>
    <w:rsid w:val="003D77EA"/>
    <w:rsid w:val="003E015B"/>
    <w:rsid w:val="003E04F3"/>
    <w:rsid w:val="003E08F2"/>
    <w:rsid w:val="003E1DCA"/>
    <w:rsid w:val="003E1DD2"/>
    <w:rsid w:val="003E2472"/>
    <w:rsid w:val="003E24B7"/>
    <w:rsid w:val="003E3430"/>
    <w:rsid w:val="003E34C2"/>
    <w:rsid w:val="003E3C9F"/>
    <w:rsid w:val="003E4E8A"/>
    <w:rsid w:val="003E57A4"/>
    <w:rsid w:val="003E694F"/>
    <w:rsid w:val="003E735F"/>
    <w:rsid w:val="003F0225"/>
    <w:rsid w:val="003F0898"/>
    <w:rsid w:val="003F0C4A"/>
    <w:rsid w:val="003F15D3"/>
    <w:rsid w:val="003F249F"/>
    <w:rsid w:val="003F2ABE"/>
    <w:rsid w:val="003F2E01"/>
    <w:rsid w:val="003F2ECA"/>
    <w:rsid w:val="003F40B4"/>
    <w:rsid w:val="003F44B2"/>
    <w:rsid w:val="003F468A"/>
    <w:rsid w:val="003F4C67"/>
    <w:rsid w:val="003F51E3"/>
    <w:rsid w:val="003F5BB0"/>
    <w:rsid w:val="003F5F28"/>
    <w:rsid w:val="003F656B"/>
    <w:rsid w:val="003F7F5A"/>
    <w:rsid w:val="004010D6"/>
    <w:rsid w:val="00401DD7"/>
    <w:rsid w:val="004024BC"/>
    <w:rsid w:val="004026EF"/>
    <w:rsid w:val="00402702"/>
    <w:rsid w:val="00402793"/>
    <w:rsid w:val="0040310D"/>
    <w:rsid w:val="004031C5"/>
    <w:rsid w:val="00403C56"/>
    <w:rsid w:val="00403EF4"/>
    <w:rsid w:val="0040457E"/>
    <w:rsid w:val="004046D6"/>
    <w:rsid w:val="00406E22"/>
    <w:rsid w:val="00407B62"/>
    <w:rsid w:val="004111E6"/>
    <w:rsid w:val="004113C5"/>
    <w:rsid w:val="004153B4"/>
    <w:rsid w:val="0041554C"/>
    <w:rsid w:val="00415F6E"/>
    <w:rsid w:val="0041612E"/>
    <w:rsid w:val="004207D0"/>
    <w:rsid w:val="004207E6"/>
    <w:rsid w:val="00420A6E"/>
    <w:rsid w:val="00422DF0"/>
    <w:rsid w:val="0042339C"/>
    <w:rsid w:val="0042369E"/>
    <w:rsid w:val="00423700"/>
    <w:rsid w:val="00424080"/>
    <w:rsid w:val="004241CE"/>
    <w:rsid w:val="00425116"/>
    <w:rsid w:val="00425F8D"/>
    <w:rsid w:val="004269DB"/>
    <w:rsid w:val="00426BF5"/>
    <w:rsid w:val="00427253"/>
    <w:rsid w:val="00430B65"/>
    <w:rsid w:val="00431A38"/>
    <w:rsid w:val="004321D8"/>
    <w:rsid w:val="00432FF9"/>
    <w:rsid w:val="00433D95"/>
    <w:rsid w:val="0043405F"/>
    <w:rsid w:val="00436E75"/>
    <w:rsid w:val="00437418"/>
    <w:rsid w:val="00440E86"/>
    <w:rsid w:val="00441920"/>
    <w:rsid w:val="00441F0C"/>
    <w:rsid w:val="00442601"/>
    <w:rsid w:val="0044261D"/>
    <w:rsid w:val="00442DFB"/>
    <w:rsid w:val="00443193"/>
    <w:rsid w:val="0044343D"/>
    <w:rsid w:val="00444208"/>
    <w:rsid w:val="00444852"/>
    <w:rsid w:val="00444953"/>
    <w:rsid w:val="004469A3"/>
    <w:rsid w:val="00450ED5"/>
    <w:rsid w:val="00450F10"/>
    <w:rsid w:val="00451F3A"/>
    <w:rsid w:val="00452215"/>
    <w:rsid w:val="00452E54"/>
    <w:rsid w:val="0045312A"/>
    <w:rsid w:val="004533C2"/>
    <w:rsid w:val="004534B8"/>
    <w:rsid w:val="004538EC"/>
    <w:rsid w:val="004552A2"/>
    <w:rsid w:val="0045619F"/>
    <w:rsid w:val="0045782A"/>
    <w:rsid w:val="00457DCD"/>
    <w:rsid w:val="00462590"/>
    <w:rsid w:val="00462A01"/>
    <w:rsid w:val="00463744"/>
    <w:rsid w:val="00463C8C"/>
    <w:rsid w:val="00463F07"/>
    <w:rsid w:val="00464392"/>
    <w:rsid w:val="00465619"/>
    <w:rsid w:val="00465F4F"/>
    <w:rsid w:val="00466117"/>
    <w:rsid w:val="004661FB"/>
    <w:rsid w:val="0046620E"/>
    <w:rsid w:val="00466377"/>
    <w:rsid w:val="004669C9"/>
    <w:rsid w:val="00466DF9"/>
    <w:rsid w:val="0047035B"/>
    <w:rsid w:val="004712E3"/>
    <w:rsid w:val="004719C0"/>
    <w:rsid w:val="004721AE"/>
    <w:rsid w:val="004729A9"/>
    <w:rsid w:val="00472A3B"/>
    <w:rsid w:val="00472B8A"/>
    <w:rsid w:val="004733C7"/>
    <w:rsid w:val="0047384A"/>
    <w:rsid w:val="00473A0E"/>
    <w:rsid w:val="004742EB"/>
    <w:rsid w:val="00474505"/>
    <w:rsid w:val="004745E7"/>
    <w:rsid w:val="004746B4"/>
    <w:rsid w:val="00475267"/>
    <w:rsid w:val="00475BC0"/>
    <w:rsid w:val="004771C6"/>
    <w:rsid w:val="00477DED"/>
    <w:rsid w:val="00481861"/>
    <w:rsid w:val="0048189A"/>
    <w:rsid w:val="00481939"/>
    <w:rsid w:val="00481DB2"/>
    <w:rsid w:val="00482800"/>
    <w:rsid w:val="00483296"/>
    <w:rsid w:val="004835DC"/>
    <w:rsid w:val="004843E8"/>
    <w:rsid w:val="00485E36"/>
    <w:rsid w:val="00486337"/>
    <w:rsid w:val="004868F0"/>
    <w:rsid w:val="0049021F"/>
    <w:rsid w:val="00490450"/>
    <w:rsid w:val="00490D62"/>
    <w:rsid w:val="004915C8"/>
    <w:rsid w:val="0049189A"/>
    <w:rsid w:val="00491C97"/>
    <w:rsid w:val="00492315"/>
    <w:rsid w:val="00492878"/>
    <w:rsid w:val="00493B01"/>
    <w:rsid w:val="00494B25"/>
    <w:rsid w:val="00495986"/>
    <w:rsid w:val="004A0573"/>
    <w:rsid w:val="004A088C"/>
    <w:rsid w:val="004A0E98"/>
    <w:rsid w:val="004A2062"/>
    <w:rsid w:val="004A3487"/>
    <w:rsid w:val="004A36DD"/>
    <w:rsid w:val="004A4564"/>
    <w:rsid w:val="004A4D58"/>
    <w:rsid w:val="004A599B"/>
    <w:rsid w:val="004A5B4C"/>
    <w:rsid w:val="004A5EA6"/>
    <w:rsid w:val="004A6699"/>
    <w:rsid w:val="004A6DD6"/>
    <w:rsid w:val="004B263D"/>
    <w:rsid w:val="004B2E1A"/>
    <w:rsid w:val="004B3051"/>
    <w:rsid w:val="004B3AD7"/>
    <w:rsid w:val="004B3B98"/>
    <w:rsid w:val="004B487B"/>
    <w:rsid w:val="004B487D"/>
    <w:rsid w:val="004B4AE2"/>
    <w:rsid w:val="004B53C1"/>
    <w:rsid w:val="004B5876"/>
    <w:rsid w:val="004B5B58"/>
    <w:rsid w:val="004B5C0D"/>
    <w:rsid w:val="004B629B"/>
    <w:rsid w:val="004B636E"/>
    <w:rsid w:val="004B6A39"/>
    <w:rsid w:val="004B6BF0"/>
    <w:rsid w:val="004B6CBD"/>
    <w:rsid w:val="004C0006"/>
    <w:rsid w:val="004C0E03"/>
    <w:rsid w:val="004C1379"/>
    <w:rsid w:val="004C207D"/>
    <w:rsid w:val="004C2BBE"/>
    <w:rsid w:val="004C3960"/>
    <w:rsid w:val="004C4546"/>
    <w:rsid w:val="004C47B3"/>
    <w:rsid w:val="004C4DD3"/>
    <w:rsid w:val="004C5521"/>
    <w:rsid w:val="004C558C"/>
    <w:rsid w:val="004C5845"/>
    <w:rsid w:val="004C5D31"/>
    <w:rsid w:val="004C60DF"/>
    <w:rsid w:val="004C6DA7"/>
    <w:rsid w:val="004C7B76"/>
    <w:rsid w:val="004D0CE8"/>
    <w:rsid w:val="004D1030"/>
    <w:rsid w:val="004D12D7"/>
    <w:rsid w:val="004D17A1"/>
    <w:rsid w:val="004D17C4"/>
    <w:rsid w:val="004D1BA2"/>
    <w:rsid w:val="004D1BCA"/>
    <w:rsid w:val="004D32F8"/>
    <w:rsid w:val="004D3408"/>
    <w:rsid w:val="004D3791"/>
    <w:rsid w:val="004D38DB"/>
    <w:rsid w:val="004D3B54"/>
    <w:rsid w:val="004D462F"/>
    <w:rsid w:val="004D4C80"/>
    <w:rsid w:val="004D4D13"/>
    <w:rsid w:val="004D5B62"/>
    <w:rsid w:val="004D70CF"/>
    <w:rsid w:val="004D73A1"/>
    <w:rsid w:val="004E0C48"/>
    <w:rsid w:val="004E14F2"/>
    <w:rsid w:val="004E1EB6"/>
    <w:rsid w:val="004E4917"/>
    <w:rsid w:val="004E6766"/>
    <w:rsid w:val="004E6811"/>
    <w:rsid w:val="004E6E92"/>
    <w:rsid w:val="004E7E9C"/>
    <w:rsid w:val="004F0184"/>
    <w:rsid w:val="004F040C"/>
    <w:rsid w:val="004F06AF"/>
    <w:rsid w:val="004F0997"/>
    <w:rsid w:val="004F09FC"/>
    <w:rsid w:val="004F0E24"/>
    <w:rsid w:val="004F0F6D"/>
    <w:rsid w:val="004F136E"/>
    <w:rsid w:val="004F151B"/>
    <w:rsid w:val="004F1AC2"/>
    <w:rsid w:val="004F25D4"/>
    <w:rsid w:val="004F3181"/>
    <w:rsid w:val="004F33F0"/>
    <w:rsid w:val="004F3E37"/>
    <w:rsid w:val="0050014D"/>
    <w:rsid w:val="00500692"/>
    <w:rsid w:val="00500BFA"/>
    <w:rsid w:val="00501AD6"/>
    <w:rsid w:val="00501D9E"/>
    <w:rsid w:val="0050229A"/>
    <w:rsid w:val="00502D8D"/>
    <w:rsid w:val="005034AA"/>
    <w:rsid w:val="005035F2"/>
    <w:rsid w:val="00503905"/>
    <w:rsid w:val="00503A61"/>
    <w:rsid w:val="00504B23"/>
    <w:rsid w:val="005060DE"/>
    <w:rsid w:val="00506367"/>
    <w:rsid w:val="00506629"/>
    <w:rsid w:val="00507D0F"/>
    <w:rsid w:val="0051015F"/>
    <w:rsid w:val="00510EAA"/>
    <w:rsid w:val="00511BCF"/>
    <w:rsid w:val="00511C2F"/>
    <w:rsid w:val="00511D0A"/>
    <w:rsid w:val="0051380B"/>
    <w:rsid w:val="00513881"/>
    <w:rsid w:val="00513C36"/>
    <w:rsid w:val="0051575A"/>
    <w:rsid w:val="005161ED"/>
    <w:rsid w:val="005173C0"/>
    <w:rsid w:val="005201C8"/>
    <w:rsid w:val="0052047D"/>
    <w:rsid w:val="005212A7"/>
    <w:rsid w:val="00521E50"/>
    <w:rsid w:val="00522294"/>
    <w:rsid w:val="00522585"/>
    <w:rsid w:val="005225A2"/>
    <w:rsid w:val="00522C60"/>
    <w:rsid w:val="005231E6"/>
    <w:rsid w:val="005249C0"/>
    <w:rsid w:val="0052595C"/>
    <w:rsid w:val="005265AF"/>
    <w:rsid w:val="00526A07"/>
    <w:rsid w:val="00527014"/>
    <w:rsid w:val="005304D5"/>
    <w:rsid w:val="0053102A"/>
    <w:rsid w:val="0053294F"/>
    <w:rsid w:val="00532E68"/>
    <w:rsid w:val="00533CA3"/>
    <w:rsid w:val="005344E9"/>
    <w:rsid w:val="00534BCB"/>
    <w:rsid w:val="00535D43"/>
    <w:rsid w:val="005363E0"/>
    <w:rsid w:val="005368C7"/>
    <w:rsid w:val="00536E02"/>
    <w:rsid w:val="00537583"/>
    <w:rsid w:val="0054005B"/>
    <w:rsid w:val="00540BA9"/>
    <w:rsid w:val="00540EF9"/>
    <w:rsid w:val="00540F99"/>
    <w:rsid w:val="0054105B"/>
    <w:rsid w:val="00541758"/>
    <w:rsid w:val="005423E9"/>
    <w:rsid w:val="005439B7"/>
    <w:rsid w:val="00543BE4"/>
    <w:rsid w:val="00545ABF"/>
    <w:rsid w:val="00546829"/>
    <w:rsid w:val="00547CAF"/>
    <w:rsid w:val="005500FE"/>
    <w:rsid w:val="00550BF1"/>
    <w:rsid w:val="00550D6D"/>
    <w:rsid w:val="00551228"/>
    <w:rsid w:val="00551E26"/>
    <w:rsid w:val="00551E73"/>
    <w:rsid w:val="00552A26"/>
    <w:rsid w:val="005532CD"/>
    <w:rsid w:val="0055355F"/>
    <w:rsid w:val="00554B16"/>
    <w:rsid w:val="00554B91"/>
    <w:rsid w:val="00555E24"/>
    <w:rsid w:val="00556A9D"/>
    <w:rsid w:val="00560626"/>
    <w:rsid w:val="005613C7"/>
    <w:rsid w:val="00562521"/>
    <w:rsid w:val="005631A7"/>
    <w:rsid w:val="00564D7B"/>
    <w:rsid w:val="0056781B"/>
    <w:rsid w:val="00567860"/>
    <w:rsid w:val="00567944"/>
    <w:rsid w:val="0057031D"/>
    <w:rsid w:val="00570960"/>
    <w:rsid w:val="005710F8"/>
    <w:rsid w:val="00571157"/>
    <w:rsid w:val="00571445"/>
    <w:rsid w:val="0057229D"/>
    <w:rsid w:val="0057384F"/>
    <w:rsid w:val="00573BDD"/>
    <w:rsid w:val="005743CA"/>
    <w:rsid w:val="0057441A"/>
    <w:rsid w:val="005749CF"/>
    <w:rsid w:val="00574ABA"/>
    <w:rsid w:val="00575140"/>
    <w:rsid w:val="005756CC"/>
    <w:rsid w:val="00576760"/>
    <w:rsid w:val="005777F5"/>
    <w:rsid w:val="00577C9B"/>
    <w:rsid w:val="00577CEE"/>
    <w:rsid w:val="00577F28"/>
    <w:rsid w:val="00577FEB"/>
    <w:rsid w:val="00580018"/>
    <w:rsid w:val="00580961"/>
    <w:rsid w:val="005814FF"/>
    <w:rsid w:val="00581D31"/>
    <w:rsid w:val="00581E9E"/>
    <w:rsid w:val="005825AF"/>
    <w:rsid w:val="005832F5"/>
    <w:rsid w:val="005838E7"/>
    <w:rsid w:val="00583A67"/>
    <w:rsid w:val="00583D2F"/>
    <w:rsid w:val="00584D2A"/>
    <w:rsid w:val="00585273"/>
    <w:rsid w:val="00585DD4"/>
    <w:rsid w:val="005866F3"/>
    <w:rsid w:val="0058776E"/>
    <w:rsid w:val="00587860"/>
    <w:rsid w:val="00587CBD"/>
    <w:rsid w:val="005905DA"/>
    <w:rsid w:val="005912B9"/>
    <w:rsid w:val="00592D6A"/>
    <w:rsid w:val="005933C0"/>
    <w:rsid w:val="005938C3"/>
    <w:rsid w:val="00594871"/>
    <w:rsid w:val="00595759"/>
    <w:rsid w:val="00595CB4"/>
    <w:rsid w:val="005965DD"/>
    <w:rsid w:val="00596B3A"/>
    <w:rsid w:val="00597F8D"/>
    <w:rsid w:val="005A06D6"/>
    <w:rsid w:val="005A0C95"/>
    <w:rsid w:val="005A1251"/>
    <w:rsid w:val="005A1663"/>
    <w:rsid w:val="005A1A1A"/>
    <w:rsid w:val="005A1B0A"/>
    <w:rsid w:val="005A1BB5"/>
    <w:rsid w:val="005A1E19"/>
    <w:rsid w:val="005A23F8"/>
    <w:rsid w:val="005A2A66"/>
    <w:rsid w:val="005A2CFD"/>
    <w:rsid w:val="005A328D"/>
    <w:rsid w:val="005A3DA8"/>
    <w:rsid w:val="005A3ED2"/>
    <w:rsid w:val="005A41FB"/>
    <w:rsid w:val="005A468D"/>
    <w:rsid w:val="005A4CD8"/>
    <w:rsid w:val="005A4F43"/>
    <w:rsid w:val="005A52AE"/>
    <w:rsid w:val="005A53D7"/>
    <w:rsid w:val="005A555C"/>
    <w:rsid w:val="005A6DB1"/>
    <w:rsid w:val="005A6E10"/>
    <w:rsid w:val="005A7DC3"/>
    <w:rsid w:val="005B0177"/>
    <w:rsid w:val="005B0D55"/>
    <w:rsid w:val="005B1AE7"/>
    <w:rsid w:val="005B20C4"/>
    <w:rsid w:val="005B24E2"/>
    <w:rsid w:val="005B3204"/>
    <w:rsid w:val="005B35CA"/>
    <w:rsid w:val="005B3B9F"/>
    <w:rsid w:val="005B410A"/>
    <w:rsid w:val="005B7216"/>
    <w:rsid w:val="005B758D"/>
    <w:rsid w:val="005B7CA8"/>
    <w:rsid w:val="005C15B4"/>
    <w:rsid w:val="005C194F"/>
    <w:rsid w:val="005C1B0A"/>
    <w:rsid w:val="005C2232"/>
    <w:rsid w:val="005C2B7B"/>
    <w:rsid w:val="005C3282"/>
    <w:rsid w:val="005C3408"/>
    <w:rsid w:val="005C38E2"/>
    <w:rsid w:val="005C544F"/>
    <w:rsid w:val="005C5FA6"/>
    <w:rsid w:val="005C6CE7"/>
    <w:rsid w:val="005C6E4F"/>
    <w:rsid w:val="005D072E"/>
    <w:rsid w:val="005D0764"/>
    <w:rsid w:val="005D0B34"/>
    <w:rsid w:val="005D1C22"/>
    <w:rsid w:val="005D1D20"/>
    <w:rsid w:val="005D20A0"/>
    <w:rsid w:val="005D2593"/>
    <w:rsid w:val="005D2DF3"/>
    <w:rsid w:val="005D4ADA"/>
    <w:rsid w:val="005D4C64"/>
    <w:rsid w:val="005D549E"/>
    <w:rsid w:val="005D7039"/>
    <w:rsid w:val="005D7F40"/>
    <w:rsid w:val="005E057E"/>
    <w:rsid w:val="005E09B3"/>
    <w:rsid w:val="005E0CF9"/>
    <w:rsid w:val="005E1946"/>
    <w:rsid w:val="005E1D97"/>
    <w:rsid w:val="005E2C3F"/>
    <w:rsid w:val="005E3191"/>
    <w:rsid w:val="005E451C"/>
    <w:rsid w:val="005E45D6"/>
    <w:rsid w:val="005E4E28"/>
    <w:rsid w:val="005E58A6"/>
    <w:rsid w:val="005F0051"/>
    <w:rsid w:val="005F07D5"/>
    <w:rsid w:val="005F0884"/>
    <w:rsid w:val="005F1423"/>
    <w:rsid w:val="005F1F5B"/>
    <w:rsid w:val="005F2688"/>
    <w:rsid w:val="005F2B10"/>
    <w:rsid w:val="005F3597"/>
    <w:rsid w:val="005F364D"/>
    <w:rsid w:val="005F3FBC"/>
    <w:rsid w:val="005F4B3B"/>
    <w:rsid w:val="005F520D"/>
    <w:rsid w:val="005F61D3"/>
    <w:rsid w:val="005F6857"/>
    <w:rsid w:val="005F7BE7"/>
    <w:rsid w:val="00600563"/>
    <w:rsid w:val="006013EB"/>
    <w:rsid w:val="00601BD1"/>
    <w:rsid w:val="00601C36"/>
    <w:rsid w:val="00602019"/>
    <w:rsid w:val="00602545"/>
    <w:rsid w:val="006025AF"/>
    <w:rsid w:val="00602951"/>
    <w:rsid w:val="00602A98"/>
    <w:rsid w:val="00602C9B"/>
    <w:rsid w:val="00603E36"/>
    <w:rsid w:val="006041A3"/>
    <w:rsid w:val="0060509C"/>
    <w:rsid w:val="0060526C"/>
    <w:rsid w:val="00606393"/>
    <w:rsid w:val="0060703A"/>
    <w:rsid w:val="006072C5"/>
    <w:rsid w:val="006101CF"/>
    <w:rsid w:val="00610DE1"/>
    <w:rsid w:val="00611427"/>
    <w:rsid w:val="006128DA"/>
    <w:rsid w:val="0061498B"/>
    <w:rsid w:val="00614F0A"/>
    <w:rsid w:val="0061527D"/>
    <w:rsid w:val="00615AA6"/>
    <w:rsid w:val="00616E43"/>
    <w:rsid w:val="00616F6E"/>
    <w:rsid w:val="006179E5"/>
    <w:rsid w:val="006203AB"/>
    <w:rsid w:val="00620A38"/>
    <w:rsid w:val="0062135B"/>
    <w:rsid w:val="00621F39"/>
    <w:rsid w:val="006220CE"/>
    <w:rsid w:val="00623172"/>
    <w:rsid w:val="00624B6B"/>
    <w:rsid w:val="00624F71"/>
    <w:rsid w:val="00625B18"/>
    <w:rsid w:val="00626184"/>
    <w:rsid w:val="006267C3"/>
    <w:rsid w:val="00626A16"/>
    <w:rsid w:val="00627384"/>
    <w:rsid w:val="006278FE"/>
    <w:rsid w:val="00627959"/>
    <w:rsid w:val="006303A0"/>
    <w:rsid w:val="00630F55"/>
    <w:rsid w:val="00632084"/>
    <w:rsid w:val="00632B64"/>
    <w:rsid w:val="00632C1B"/>
    <w:rsid w:val="0063348F"/>
    <w:rsid w:val="00633F2D"/>
    <w:rsid w:val="0063445B"/>
    <w:rsid w:val="00634C42"/>
    <w:rsid w:val="006350CB"/>
    <w:rsid w:val="00635127"/>
    <w:rsid w:val="00635CE2"/>
    <w:rsid w:val="006363F9"/>
    <w:rsid w:val="00636F0C"/>
    <w:rsid w:val="00640878"/>
    <w:rsid w:val="006409F7"/>
    <w:rsid w:val="00640AF7"/>
    <w:rsid w:val="006415E2"/>
    <w:rsid w:val="006428B7"/>
    <w:rsid w:val="00642951"/>
    <w:rsid w:val="00643903"/>
    <w:rsid w:val="00643A30"/>
    <w:rsid w:val="00643C3E"/>
    <w:rsid w:val="00644899"/>
    <w:rsid w:val="00645662"/>
    <w:rsid w:val="00645BAE"/>
    <w:rsid w:val="00646598"/>
    <w:rsid w:val="006471C8"/>
    <w:rsid w:val="00647E68"/>
    <w:rsid w:val="00650A64"/>
    <w:rsid w:val="0065147B"/>
    <w:rsid w:val="00651D53"/>
    <w:rsid w:val="00652BB2"/>
    <w:rsid w:val="0065312C"/>
    <w:rsid w:val="006534ED"/>
    <w:rsid w:val="00653995"/>
    <w:rsid w:val="006545C4"/>
    <w:rsid w:val="0065479A"/>
    <w:rsid w:val="0065595A"/>
    <w:rsid w:val="0065604F"/>
    <w:rsid w:val="00656397"/>
    <w:rsid w:val="006569C6"/>
    <w:rsid w:val="00656C0D"/>
    <w:rsid w:val="0065770D"/>
    <w:rsid w:val="00657AD6"/>
    <w:rsid w:val="00660E79"/>
    <w:rsid w:val="006610E6"/>
    <w:rsid w:val="00661AFE"/>
    <w:rsid w:val="00662595"/>
    <w:rsid w:val="00662605"/>
    <w:rsid w:val="006628A5"/>
    <w:rsid w:val="00664096"/>
    <w:rsid w:val="00664722"/>
    <w:rsid w:val="00664EE2"/>
    <w:rsid w:val="00664F4D"/>
    <w:rsid w:val="006650C4"/>
    <w:rsid w:val="00667389"/>
    <w:rsid w:val="00667AF3"/>
    <w:rsid w:val="00670C2A"/>
    <w:rsid w:val="00671227"/>
    <w:rsid w:val="00671E07"/>
    <w:rsid w:val="0067271A"/>
    <w:rsid w:val="00672BF8"/>
    <w:rsid w:val="00672DEB"/>
    <w:rsid w:val="00673393"/>
    <w:rsid w:val="00673513"/>
    <w:rsid w:val="00673BA7"/>
    <w:rsid w:val="0067536E"/>
    <w:rsid w:val="00675972"/>
    <w:rsid w:val="00675F4F"/>
    <w:rsid w:val="0067634F"/>
    <w:rsid w:val="006767D1"/>
    <w:rsid w:val="00681069"/>
    <w:rsid w:val="00684BF5"/>
    <w:rsid w:val="0068506B"/>
    <w:rsid w:val="00685DAA"/>
    <w:rsid w:val="00686737"/>
    <w:rsid w:val="00692907"/>
    <w:rsid w:val="006943B8"/>
    <w:rsid w:val="006955E4"/>
    <w:rsid w:val="00695ACE"/>
    <w:rsid w:val="0069630E"/>
    <w:rsid w:val="00697420"/>
    <w:rsid w:val="006A0197"/>
    <w:rsid w:val="006A0A56"/>
    <w:rsid w:val="006A2A5D"/>
    <w:rsid w:val="006A2C81"/>
    <w:rsid w:val="006A488B"/>
    <w:rsid w:val="006A61E0"/>
    <w:rsid w:val="006A6670"/>
    <w:rsid w:val="006A6A87"/>
    <w:rsid w:val="006A72BE"/>
    <w:rsid w:val="006A76AE"/>
    <w:rsid w:val="006B02CE"/>
    <w:rsid w:val="006B0EA4"/>
    <w:rsid w:val="006B18F0"/>
    <w:rsid w:val="006B239B"/>
    <w:rsid w:val="006B24E3"/>
    <w:rsid w:val="006B26AE"/>
    <w:rsid w:val="006B2BA5"/>
    <w:rsid w:val="006B3BD8"/>
    <w:rsid w:val="006B4AE0"/>
    <w:rsid w:val="006B5F72"/>
    <w:rsid w:val="006B6710"/>
    <w:rsid w:val="006B6B38"/>
    <w:rsid w:val="006B7142"/>
    <w:rsid w:val="006B7BBB"/>
    <w:rsid w:val="006B7E81"/>
    <w:rsid w:val="006C0ACA"/>
    <w:rsid w:val="006C15D2"/>
    <w:rsid w:val="006C181B"/>
    <w:rsid w:val="006C268B"/>
    <w:rsid w:val="006C28B6"/>
    <w:rsid w:val="006C3017"/>
    <w:rsid w:val="006C4499"/>
    <w:rsid w:val="006C539B"/>
    <w:rsid w:val="006C57AF"/>
    <w:rsid w:val="006C5FC3"/>
    <w:rsid w:val="006C6DA9"/>
    <w:rsid w:val="006C7930"/>
    <w:rsid w:val="006D0345"/>
    <w:rsid w:val="006D073F"/>
    <w:rsid w:val="006D17DE"/>
    <w:rsid w:val="006D24AF"/>
    <w:rsid w:val="006D24C0"/>
    <w:rsid w:val="006D37EB"/>
    <w:rsid w:val="006D3BE6"/>
    <w:rsid w:val="006D542F"/>
    <w:rsid w:val="006D5CEE"/>
    <w:rsid w:val="006D680C"/>
    <w:rsid w:val="006D6871"/>
    <w:rsid w:val="006D6FD6"/>
    <w:rsid w:val="006E0000"/>
    <w:rsid w:val="006E06E8"/>
    <w:rsid w:val="006E079A"/>
    <w:rsid w:val="006E0B35"/>
    <w:rsid w:val="006E1620"/>
    <w:rsid w:val="006E1B05"/>
    <w:rsid w:val="006E2BB8"/>
    <w:rsid w:val="006E3C40"/>
    <w:rsid w:val="006E3D30"/>
    <w:rsid w:val="006E41F3"/>
    <w:rsid w:val="006E51B6"/>
    <w:rsid w:val="006E5367"/>
    <w:rsid w:val="006E543F"/>
    <w:rsid w:val="006E60F2"/>
    <w:rsid w:val="006E702E"/>
    <w:rsid w:val="006E76D9"/>
    <w:rsid w:val="006E7A09"/>
    <w:rsid w:val="006F0465"/>
    <w:rsid w:val="006F1EE4"/>
    <w:rsid w:val="006F1FA9"/>
    <w:rsid w:val="006F21E2"/>
    <w:rsid w:val="006F23DD"/>
    <w:rsid w:val="006F2737"/>
    <w:rsid w:val="006F2936"/>
    <w:rsid w:val="006F31E4"/>
    <w:rsid w:val="006F3926"/>
    <w:rsid w:val="006F47A9"/>
    <w:rsid w:val="006F4DF2"/>
    <w:rsid w:val="006F6345"/>
    <w:rsid w:val="00700E5D"/>
    <w:rsid w:val="007010CC"/>
    <w:rsid w:val="0070119B"/>
    <w:rsid w:val="0070240D"/>
    <w:rsid w:val="007025D7"/>
    <w:rsid w:val="00702B7F"/>
    <w:rsid w:val="00702EB1"/>
    <w:rsid w:val="00703282"/>
    <w:rsid w:val="007046BC"/>
    <w:rsid w:val="00704A28"/>
    <w:rsid w:val="00704B78"/>
    <w:rsid w:val="007051F6"/>
    <w:rsid w:val="00705390"/>
    <w:rsid w:val="00707594"/>
    <w:rsid w:val="00707D70"/>
    <w:rsid w:val="00710003"/>
    <w:rsid w:val="00710684"/>
    <w:rsid w:val="007115F3"/>
    <w:rsid w:val="00711CBC"/>
    <w:rsid w:val="007122E6"/>
    <w:rsid w:val="00712970"/>
    <w:rsid w:val="00713616"/>
    <w:rsid w:val="0071416B"/>
    <w:rsid w:val="0071451A"/>
    <w:rsid w:val="00714AB1"/>
    <w:rsid w:val="00714EC6"/>
    <w:rsid w:val="0071657A"/>
    <w:rsid w:val="00716BDF"/>
    <w:rsid w:val="00716E8A"/>
    <w:rsid w:val="007171C5"/>
    <w:rsid w:val="007172B4"/>
    <w:rsid w:val="007176BF"/>
    <w:rsid w:val="007177DA"/>
    <w:rsid w:val="007202F2"/>
    <w:rsid w:val="00721A5F"/>
    <w:rsid w:val="00721E93"/>
    <w:rsid w:val="00721F7B"/>
    <w:rsid w:val="00722914"/>
    <w:rsid w:val="00723155"/>
    <w:rsid w:val="0072436B"/>
    <w:rsid w:val="00724BD7"/>
    <w:rsid w:val="00725023"/>
    <w:rsid w:val="007258F3"/>
    <w:rsid w:val="007262BD"/>
    <w:rsid w:val="007264DD"/>
    <w:rsid w:val="00726E65"/>
    <w:rsid w:val="00727A33"/>
    <w:rsid w:val="00727B12"/>
    <w:rsid w:val="00730133"/>
    <w:rsid w:val="0073085A"/>
    <w:rsid w:val="00730C2F"/>
    <w:rsid w:val="007316DE"/>
    <w:rsid w:val="007319A8"/>
    <w:rsid w:val="0073265E"/>
    <w:rsid w:val="00732C8A"/>
    <w:rsid w:val="007339A8"/>
    <w:rsid w:val="00733F94"/>
    <w:rsid w:val="00734A1D"/>
    <w:rsid w:val="00734BEA"/>
    <w:rsid w:val="00735C00"/>
    <w:rsid w:val="007363A1"/>
    <w:rsid w:val="00736EC3"/>
    <w:rsid w:val="00736F97"/>
    <w:rsid w:val="00737AC7"/>
    <w:rsid w:val="00737B66"/>
    <w:rsid w:val="0074076F"/>
    <w:rsid w:val="00740B25"/>
    <w:rsid w:val="00740E88"/>
    <w:rsid w:val="007414BA"/>
    <w:rsid w:val="007415CA"/>
    <w:rsid w:val="00741BB0"/>
    <w:rsid w:val="00742E58"/>
    <w:rsid w:val="0074499E"/>
    <w:rsid w:val="00744C91"/>
    <w:rsid w:val="007459DC"/>
    <w:rsid w:val="00746668"/>
    <w:rsid w:val="00746C7F"/>
    <w:rsid w:val="00747B72"/>
    <w:rsid w:val="00747B77"/>
    <w:rsid w:val="00747C90"/>
    <w:rsid w:val="007509DA"/>
    <w:rsid w:val="00751397"/>
    <w:rsid w:val="007516D0"/>
    <w:rsid w:val="00752B46"/>
    <w:rsid w:val="007531A1"/>
    <w:rsid w:val="007531BC"/>
    <w:rsid w:val="00754C9E"/>
    <w:rsid w:val="00755335"/>
    <w:rsid w:val="00755539"/>
    <w:rsid w:val="007555E2"/>
    <w:rsid w:val="0075575B"/>
    <w:rsid w:val="00760412"/>
    <w:rsid w:val="00761CC7"/>
    <w:rsid w:val="00761D85"/>
    <w:rsid w:val="00762C43"/>
    <w:rsid w:val="00762F17"/>
    <w:rsid w:val="007635B4"/>
    <w:rsid w:val="0076695D"/>
    <w:rsid w:val="007677FD"/>
    <w:rsid w:val="007679B6"/>
    <w:rsid w:val="00767F4E"/>
    <w:rsid w:val="0077095C"/>
    <w:rsid w:val="00771180"/>
    <w:rsid w:val="0077119C"/>
    <w:rsid w:val="00773026"/>
    <w:rsid w:val="00773A97"/>
    <w:rsid w:val="00774E1B"/>
    <w:rsid w:val="007757DC"/>
    <w:rsid w:val="00776967"/>
    <w:rsid w:val="00777023"/>
    <w:rsid w:val="007775FB"/>
    <w:rsid w:val="007776A4"/>
    <w:rsid w:val="007800A1"/>
    <w:rsid w:val="00781486"/>
    <w:rsid w:val="00781757"/>
    <w:rsid w:val="0078226A"/>
    <w:rsid w:val="0078436C"/>
    <w:rsid w:val="007844DE"/>
    <w:rsid w:val="007846BC"/>
    <w:rsid w:val="00784B24"/>
    <w:rsid w:val="00784E73"/>
    <w:rsid w:val="00785FE0"/>
    <w:rsid w:val="00790384"/>
    <w:rsid w:val="00790E69"/>
    <w:rsid w:val="00791072"/>
    <w:rsid w:val="00791116"/>
    <w:rsid w:val="0079203F"/>
    <w:rsid w:val="007928F5"/>
    <w:rsid w:val="007929ED"/>
    <w:rsid w:val="007931AB"/>
    <w:rsid w:val="00793A11"/>
    <w:rsid w:val="00794CCB"/>
    <w:rsid w:val="007963D1"/>
    <w:rsid w:val="007A226B"/>
    <w:rsid w:val="007A4949"/>
    <w:rsid w:val="007A4CA6"/>
    <w:rsid w:val="007A563A"/>
    <w:rsid w:val="007B00AA"/>
    <w:rsid w:val="007B00EC"/>
    <w:rsid w:val="007B118F"/>
    <w:rsid w:val="007B1A15"/>
    <w:rsid w:val="007B2AEF"/>
    <w:rsid w:val="007B304B"/>
    <w:rsid w:val="007B31CC"/>
    <w:rsid w:val="007B35A9"/>
    <w:rsid w:val="007B3BBA"/>
    <w:rsid w:val="007B4218"/>
    <w:rsid w:val="007B534E"/>
    <w:rsid w:val="007B5A2A"/>
    <w:rsid w:val="007B65DE"/>
    <w:rsid w:val="007B666A"/>
    <w:rsid w:val="007B6B41"/>
    <w:rsid w:val="007B6BBE"/>
    <w:rsid w:val="007B6C17"/>
    <w:rsid w:val="007B73B1"/>
    <w:rsid w:val="007B7FC3"/>
    <w:rsid w:val="007C0384"/>
    <w:rsid w:val="007C0B6E"/>
    <w:rsid w:val="007C0CEE"/>
    <w:rsid w:val="007C0DEF"/>
    <w:rsid w:val="007C177B"/>
    <w:rsid w:val="007C1AF5"/>
    <w:rsid w:val="007C1BE6"/>
    <w:rsid w:val="007C2A03"/>
    <w:rsid w:val="007C42B6"/>
    <w:rsid w:val="007C4C7C"/>
    <w:rsid w:val="007D0270"/>
    <w:rsid w:val="007D05FF"/>
    <w:rsid w:val="007D1246"/>
    <w:rsid w:val="007D37E6"/>
    <w:rsid w:val="007D4A78"/>
    <w:rsid w:val="007D4C0D"/>
    <w:rsid w:val="007D508D"/>
    <w:rsid w:val="007D693B"/>
    <w:rsid w:val="007D7EBD"/>
    <w:rsid w:val="007E0116"/>
    <w:rsid w:val="007E0D78"/>
    <w:rsid w:val="007E11A7"/>
    <w:rsid w:val="007E2183"/>
    <w:rsid w:val="007E22BD"/>
    <w:rsid w:val="007E2DFE"/>
    <w:rsid w:val="007E3223"/>
    <w:rsid w:val="007E339C"/>
    <w:rsid w:val="007E3B3A"/>
    <w:rsid w:val="007E3EA6"/>
    <w:rsid w:val="007E3EF1"/>
    <w:rsid w:val="007E405D"/>
    <w:rsid w:val="007E43C7"/>
    <w:rsid w:val="007E4F23"/>
    <w:rsid w:val="007F1279"/>
    <w:rsid w:val="007F195D"/>
    <w:rsid w:val="007F2A7F"/>
    <w:rsid w:val="007F32CF"/>
    <w:rsid w:val="007F56DE"/>
    <w:rsid w:val="007F5A72"/>
    <w:rsid w:val="007F5C18"/>
    <w:rsid w:val="007F5C38"/>
    <w:rsid w:val="007F5D54"/>
    <w:rsid w:val="007F6905"/>
    <w:rsid w:val="007F7689"/>
    <w:rsid w:val="007F76CA"/>
    <w:rsid w:val="008004EC"/>
    <w:rsid w:val="00800655"/>
    <w:rsid w:val="0080090C"/>
    <w:rsid w:val="00800A5C"/>
    <w:rsid w:val="008019AC"/>
    <w:rsid w:val="008021CC"/>
    <w:rsid w:val="00802383"/>
    <w:rsid w:val="00802B00"/>
    <w:rsid w:val="008036EC"/>
    <w:rsid w:val="00804370"/>
    <w:rsid w:val="00804745"/>
    <w:rsid w:val="008066FC"/>
    <w:rsid w:val="00807FBC"/>
    <w:rsid w:val="0081060C"/>
    <w:rsid w:val="00810BAB"/>
    <w:rsid w:val="00810C39"/>
    <w:rsid w:val="008111A7"/>
    <w:rsid w:val="00811306"/>
    <w:rsid w:val="0081171C"/>
    <w:rsid w:val="00811B1B"/>
    <w:rsid w:val="00812450"/>
    <w:rsid w:val="0081257D"/>
    <w:rsid w:val="00812A3A"/>
    <w:rsid w:val="00812D05"/>
    <w:rsid w:val="00813AA2"/>
    <w:rsid w:val="00814520"/>
    <w:rsid w:val="0081626C"/>
    <w:rsid w:val="00816458"/>
    <w:rsid w:val="00816BF9"/>
    <w:rsid w:val="00817157"/>
    <w:rsid w:val="008179B4"/>
    <w:rsid w:val="00821BAA"/>
    <w:rsid w:val="00821E13"/>
    <w:rsid w:val="008253C2"/>
    <w:rsid w:val="00826467"/>
    <w:rsid w:val="0082732C"/>
    <w:rsid w:val="0082776F"/>
    <w:rsid w:val="008277D6"/>
    <w:rsid w:val="00827D08"/>
    <w:rsid w:val="0083160D"/>
    <w:rsid w:val="008318B0"/>
    <w:rsid w:val="00832493"/>
    <w:rsid w:val="00832844"/>
    <w:rsid w:val="008328FE"/>
    <w:rsid w:val="00832A09"/>
    <w:rsid w:val="00833F47"/>
    <w:rsid w:val="00833FB2"/>
    <w:rsid w:val="00834239"/>
    <w:rsid w:val="00834411"/>
    <w:rsid w:val="00834767"/>
    <w:rsid w:val="00834788"/>
    <w:rsid w:val="00834C18"/>
    <w:rsid w:val="00834C3D"/>
    <w:rsid w:val="0083572A"/>
    <w:rsid w:val="008368E1"/>
    <w:rsid w:val="00840B06"/>
    <w:rsid w:val="00840B9D"/>
    <w:rsid w:val="00841427"/>
    <w:rsid w:val="00841B56"/>
    <w:rsid w:val="00842766"/>
    <w:rsid w:val="00843207"/>
    <w:rsid w:val="0084329B"/>
    <w:rsid w:val="00843660"/>
    <w:rsid w:val="00843828"/>
    <w:rsid w:val="008444AC"/>
    <w:rsid w:val="00845D71"/>
    <w:rsid w:val="00846656"/>
    <w:rsid w:val="0084728C"/>
    <w:rsid w:val="00847538"/>
    <w:rsid w:val="008479D3"/>
    <w:rsid w:val="00851A69"/>
    <w:rsid w:val="00852188"/>
    <w:rsid w:val="00852925"/>
    <w:rsid w:val="00852DB5"/>
    <w:rsid w:val="00854DEF"/>
    <w:rsid w:val="008552F4"/>
    <w:rsid w:val="008571FE"/>
    <w:rsid w:val="0085770B"/>
    <w:rsid w:val="00857AED"/>
    <w:rsid w:val="00857B5B"/>
    <w:rsid w:val="00860808"/>
    <w:rsid w:val="008611F5"/>
    <w:rsid w:val="008622A5"/>
    <w:rsid w:val="00862DBE"/>
    <w:rsid w:val="00862DFB"/>
    <w:rsid w:val="00862FBC"/>
    <w:rsid w:val="00863C8B"/>
    <w:rsid w:val="008640E6"/>
    <w:rsid w:val="0086429F"/>
    <w:rsid w:val="00864E7E"/>
    <w:rsid w:val="0086509B"/>
    <w:rsid w:val="00865E10"/>
    <w:rsid w:val="008663AD"/>
    <w:rsid w:val="008674C2"/>
    <w:rsid w:val="008679D0"/>
    <w:rsid w:val="008709B6"/>
    <w:rsid w:val="0087184B"/>
    <w:rsid w:val="00871DE0"/>
    <w:rsid w:val="00872B07"/>
    <w:rsid w:val="008738F1"/>
    <w:rsid w:val="00873926"/>
    <w:rsid w:val="00873A0A"/>
    <w:rsid w:val="00874ABC"/>
    <w:rsid w:val="00874ED7"/>
    <w:rsid w:val="00875ACB"/>
    <w:rsid w:val="00875DB6"/>
    <w:rsid w:val="0087616F"/>
    <w:rsid w:val="00876AC5"/>
    <w:rsid w:val="00877594"/>
    <w:rsid w:val="00877610"/>
    <w:rsid w:val="0087774F"/>
    <w:rsid w:val="00877E49"/>
    <w:rsid w:val="00880320"/>
    <w:rsid w:val="00881085"/>
    <w:rsid w:val="00881B8E"/>
    <w:rsid w:val="00881DA3"/>
    <w:rsid w:val="0088232C"/>
    <w:rsid w:val="008823A0"/>
    <w:rsid w:val="0088402D"/>
    <w:rsid w:val="00884E6D"/>
    <w:rsid w:val="008850D9"/>
    <w:rsid w:val="0088595A"/>
    <w:rsid w:val="00885979"/>
    <w:rsid w:val="00885C63"/>
    <w:rsid w:val="008860AD"/>
    <w:rsid w:val="0088671B"/>
    <w:rsid w:val="008867FF"/>
    <w:rsid w:val="00886F76"/>
    <w:rsid w:val="00890409"/>
    <w:rsid w:val="00890F2D"/>
    <w:rsid w:val="00891255"/>
    <w:rsid w:val="008916CF"/>
    <w:rsid w:val="00891747"/>
    <w:rsid w:val="00892078"/>
    <w:rsid w:val="00894793"/>
    <w:rsid w:val="00895120"/>
    <w:rsid w:val="008952DE"/>
    <w:rsid w:val="0089533B"/>
    <w:rsid w:val="00897189"/>
    <w:rsid w:val="00897C12"/>
    <w:rsid w:val="00897F6E"/>
    <w:rsid w:val="008A07A0"/>
    <w:rsid w:val="008A07B8"/>
    <w:rsid w:val="008A09D9"/>
    <w:rsid w:val="008A166D"/>
    <w:rsid w:val="008A1BAB"/>
    <w:rsid w:val="008A23FF"/>
    <w:rsid w:val="008A555B"/>
    <w:rsid w:val="008A57D5"/>
    <w:rsid w:val="008A66E1"/>
    <w:rsid w:val="008A67EB"/>
    <w:rsid w:val="008A6DA3"/>
    <w:rsid w:val="008A6E51"/>
    <w:rsid w:val="008B0B0D"/>
    <w:rsid w:val="008B3821"/>
    <w:rsid w:val="008B4D2C"/>
    <w:rsid w:val="008B5089"/>
    <w:rsid w:val="008B51E9"/>
    <w:rsid w:val="008B548B"/>
    <w:rsid w:val="008B5A94"/>
    <w:rsid w:val="008B64B7"/>
    <w:rsid w:val="008B74E5"/>
    <w:rsid w:val="008B7AFE"/>
    <w:rsid w:val="008C1148"/>
    <w:rsid w:val="008C1AE1"/>
    <w:rsid w:val="008C2EC9"/>
    <w:rsid w:val="008C307B"/>
    <w:rsid w:val="008C3128"/>
    <w:rsid w:val="008C3179"/>
    <w:rsid w:val="008C3B23"/>
    <w:rsid w:val="008C3B53"/>
    <w:rsid w:val="008C3BD5"/>
    <w:rsid w:val="008C46BE"/>
    <w:rsid w:val="008C4D60"/>
    <w:rsid w:val="008D0E23"/>
    <w:rsid w:val="008D0ED0"/>
    <w:rsid w:val="008D1906"/>
    <w:rsid w:val="008D1B76"/>
    <w:rsid w:val="008D2EE4"/>
    <w:rsid w:val="008D3082"/>
    <w:rsid w:val="008D3496"/>
    <w:rsid w:val="008D3E37"/>
    <w:rsid w:val="008D5823"/>
    <w:rsid w:val="008D5835"/>
    <w:rsid w:val="008D5F22"/>
    <w:rsid w:val="008D5F98"/>
    <w:rsid w:val="008D652B"/>
    <w:rsid w:val="008D67C1"/>
    <w:rsid w:val="008D7722"/>
    <w:rsid w:val="008D784F"/>
    <w:rsid w:val="008E0F89"/>
    <w:rsid w:val="008E1001"/>
    <w:rsid w:val="008E198F"/>
    <w:rsid w:val="008E29DA"/>
    <w:rsid w:val="008E2BC5"/>
    <w:rsid w:val="008E456B"/>
    <w:rsid w:val="008E5404"/>
    <w:rsid w:val="008E5A69"/>
    <w:rsid w:val="008E5F11"/>
    <w:rsid w:val="008E6C1E"/>
    <w:rsid w:val="008E6F69"/>
    <w:rsid w:val="008E71AA"/>
    <w:rsid w:val="008E7670"/>
    <w:rsid w:val="008E76E8"/>
    <w:rsid w:val="008E7BEF"/>
    <w:rsid w:val="008F0696"/>
    <w:rsid w:val="008F079B"/>
    <w:rsid w:val="008F0994"/>
    <w:rsid w:val="008F0D24"/>
    <w:rsid w:val="008F2DA9"/>
    <w:rsid w:val="008F35D1"/>
    <w:rsid w:val="008F4193"/>
    <w:rsid w:val="008F4811"/>
    <w:rsid w:val="008F6C1E"/>
    <w:rsid w:val="008F742E"/>
    <w:rsid w:val="008F7972"/>
    <w:rsid w:val="0090057E"/>
    <w:rsid w:val="00900D15"/>
    <w:rsid w:val="009010F0"/>
    <w:rsid w:val="009017B3"/>
    <w:rsid w:val="009017CC"/>
    <w:rsid w:val="00901842"/>
    <w:rsid w:val="00901B7D"/>
    <w:rsid w:val="0090272E"/>
    <w:rsid w:val="009031D0"/>
    <w:rsid w:val="00903212"/>
    <w:rsid w:val="00903C67"/>
    <w:rsid w:val="00904100"/>
    <w:rsid w:val="0090543A"/>
    <w:rsid w:val="00905FE0"/>
    <w:rsid w:val="00907542"/>
    <w:rsid w:val="009104A5"/>
    <w:rsid w:val="00911280"/>
    <w:rsid w:val="009115AA"/>
    <w:rsid w:val="00912219"/>
    <w:rsid w:val="00913437"/>
    <w:rsid w:val="009136F7"/>
    <w:rsid w:val="00913781"/>
    <w:rsid w:val="00914A57"/>
    <w:rsid w:val="0091586E"/>
    <w:rsid w:val="00915F58"/>
    <w:rsid w:val="009168A6"/>
    <w:rsid w:val="009169BF"/>
    <w:rsid w:val="00916ED8"/>
    <w:rsid w:val="00916FD8"/>
    <w:rsid w:val="00917485"/>
    <w:rsid w:val="0092106B"/>
    <w:rsid w:val="00921211"/>
    <w:rsid w:val="009220C8"/>
    <w:rsid w:val="009222D1"/>
    <w:rsid w:val="00922492"/>
    <w:rsid w:val="00922668"/>
    <w:rsid w:val="0092346C"/>
    <w:rsid w:val="00924680"/>
    <w:rsid w:val="009247B8"/>
    <w:rsid w:val="00924B45"/>
    <w:rsid w:val="009250E5"/>
    <w:rsid w:val="009251FF"/>
    <w:rsid w:val="009267EA"/>
    <w:rsid w:val="009274D9"/>
    <w:rsid w:val="00930542"/>
    <w:rsid w:val="009314CC"/>
    <w:rsid w:val="00931FC8"/>
    <w:rsid w:val="00933C26"/>
    <w:rsid w:val="00933F8E"/>
    <w:rsid w:val="0093405B"/>
    <w:rsid w:val="009340A6"/>
    <w:rsid w:val="009341EA"/>
    <w:rsid w:val="00934F55"/>
    <w:rsid w:val="00935C0E"/>
    <w:rsid w:val="00935D63"/>
    <w:rsid w:val="00935F22"/>
    <w:rsid w:val="00936BAD"/>
    <w:rsid w:val="00936C59"/>
    <w:rsid w:val="009370D2"/>
    <w:rsid w:val="0094013B"/>
    <w:rsid w:val="00940B15"/>
    <w:rsid w:val="00940C54"/>
    <w:rsid w:val="00940EE8"/>
    <w:rsid w:val="009414BB"/>
    <w:rsid w:val="00941F03"/>
    <w:rsid w:val="00942EB2"/>
    <w:rsid w:val="00943B2C"/>
    <w:rsid w:val="00945543"/>
    <w:rsid w:val="00945B3D"/>
    <w:rsid w:val="009464DC"/>
    <w:rsid w:val="00946543"/>
    <w:rsid w:val="00946A91"/>
    <w:rsid w:val="00947A3B"/>
    <w:rsid w:val="00951248"/>
    <w:rsid w:val="0095128E"/>
    <w:rsid w:val="00951A43"/>
    <w:rsid w:val="00953A29"/>
    <w:rsid w:val="009545C1"/>
    <w:rsid w:val="00955892"/>
    <w:rsid w:val="00955C27"/>
    <w:rsid w:val="00957806"/>
    <w:rsid w:val="00960811"/>
    <w:rsid w:val="0096202F"/>
    <w:rsid w:val="00962429"/>
    <w:rsid w:val="009626F9"/>
    <w:rsid w:val="00962F5E"/>
    <w:rsid w:val="009632BB"/>
    <w:rsid w:val="00963410"/>
    <w:rsid w:val="0096346B"/>
    <w:rsid w:val="00963FF0"/>
    <w:rsid w:val="00964471"/>
    <w:rsid w:val="0096537B"/>
    <w:rsid w:val="00966087"/>
    <w:rsid w:val="00966405"/>
    <w:rsid w:val="00966C03"/>
    <w:rsid w:val="00967100"/>
    <w:rsid w:val="00967AE6"/>
    <w:rsid w:val="00967CE9"/>
    <w:rsid w:val="009705A4"/>
    <w:rsid w:val="0097075B"/>
    <w:rsid w:val="00970BF4"/>
    <w:rsid w:val="00970EAE"/>
    <w:rsid w:val="00971BDA"/>
    <w:rsid w:val="00972958"/>
    <w:rsid w:val="00972F07"/>
    <w:rsid w:val="009739E6"/>
    <w:rsid w:val="00973B57"/>
    <w:rsid w:val="00974937"/>
    <w:rsid w:val="00975490"/>
    <w:rsid w:val="00975AE9"/>
    <w:rsid w:val="0097628C"/>
    <w:rsid w:val="00976A72"/>
    <w:rsid w:val="00980394"/>
    <w:rsid w:val="009831E4"/>
    <w:rsid w:val="00983915"/>
    <w:rsid w:val="00983ABC"/>
    <w:rsid w:val="00983AF1"/>
    <w:rsid w:val="00984DB1"/>
    <w:rsid w:val="009857BC"/>
    <w:rsid w:val="00985952"/>
    <w:rsid w:val="00985C00"/>
    <w:rsid w:val="0098624D"/>
    <w:rsid w:val="00986715"/>
    <w:rsid w:val="00986E71"/>
    <w:rsid w:val="0098757F"/>
    <w:rsid w:val="00987D41"/>
    <w:rsid w:val="00990964"/>
    <w:rsid w:val="00991B28"/>
    <w:rsid w:val="00993458"/>
    <w:rsid w:val="00993E35"/>
    <w:rsid w:val="00994617"/>
    <w:rsid w:val="00994C25"/>
    <w:rsid w:val="0099572D"/>
    <w:rsid w:val="00995A55"/>
    <w:rsid w:val="009968BD"/>
    <w:rsid w:val="00996F0D"/>
    <w:rsid w:val="00996F20"/>
    <w:rsid w:val="00997403"/>
    <w:rsid w:val="0099789F"/>
    <w:rsid w:val="00997A8F"/>
    <w:rsid w:val="00997EE5"/>
    <w:rsid w:val="009A0540"/>
    <w:rsid w:val="009A120D"/>
    <w:rsid w:val="009A2CD5"/>
    <w:rsid w:val="009A328C"/>
    <w:rsid w:val="009A379A"/>
    <w:rsid w:val="009A4073"/>
    <w:rsid w:val="009A5ADF"/>
    <w:rsid w:val="009A5D17"/>
    <w:rsid w:val="009B057E"/>
    <w:rsid w:val="009B0B85"/>
    <w:rsid w:val="009B2A83"/>
    <w:rsid w:val="009B330B"/>
    <w:rsid w:val="009B3D2B"/>
    <w:rsid w:val="009B3E2C"/>
    <w:rsid w:val="009B5B20"/>
    <w:rsid w:val="009B5DCD"/>
    <w:rsid w:val="009B6A2C"/>
    <w:rsid w:val="009B7783"/>
    <w:rsid w:val="009C0AF5"/>
    <w:rsid w:val="009C0C18"/>
    <w:rsid w:val="009C0D0A"/>
    <w:rsid w:val="009C211F"/>
    <w:rsid w:val="009C239B"/>
    <w:rsid w:val="009C27F4"/>
    <w:rsid w:val="009C2E83"/>
    <w:rsid w:val="009C2FD2"/>
    <w:rsid w:val="009C346A"/>
    <w:rsid w:val="009C4072"/>
    <w:rsid w:val="009C40CD"/>
    <w:rsid w:val="009C525F"/>
    <w:rsid w:val="009C5478"/>
    <w:rsid w:val="009C580C"/>
    <w:rsid w:val="009C779E"/>
    <w:rsid w:val="009C7AC5"/>
    <w:rsid w:val="009D00AF"/>
    <w:rsid w:val="009D10E4"/>
    <w:rsid w:val="009D20D3"/>
    <w:rsid w:val="009D293C"/>
    <w:rsid w:val="009D31D1"/>
    <w:rsid w:val="009D3846"/>
    <w:rsid w:val="009D41A5"/>
    <w:rsid w:val="009D4ACE"/>
    <w:rsid w:val="009D4ED9"/>
    <w:rsid w:val="009D5493"/>
    <w:rsid w:val="009D5510"/>
    <w:rsid w:val="009D56FC"/>
    <w:rsid w:val="009D66B7"/>
    <w:rsid w:val="009D7554"/>
    <w:rsid w:val="009D7892"/>
    <w:rsid w:val="009E0323"/>
    <w:rsid w:val="009E0DB9"/>
    <w:rsid w:val="009E1421"/>
    <w:rsid w:val="009E1942"/>
    <w:rsid w:val="009E1E7A"/>
    <w:rsid w:val="009E25DB"/>
    <w:rsid w:val="009E3170"/>
    <w:rsid w:val="009E37F1"/>
    <w:rsid w:val="009E72FD"/>
    <w:rsid w:val="009E7A34"/>
    <w:rsid w:val="009F02C6"/>
    <w:rsid w:val="009F0505"/>
    <w:rsid w:val="009F0A83"/>
    <w:rsid w:val="009F1D86"/>
    <w:rsid w:val="009F1DF7"/>
    <w:rsid w:val="009F23EA"/>
    <w:rsid w:val="009F29A1"/>
    <w:rsid w:val="009F30F3"/>
    <w:rsid w:val="009F31E5"/>
    <w:rsid w:val="009F340F"/>
    <w:rsid w:val="009F39EF"/>
    <w:rsid w:val="009F3D74"/>
    <w:rsid w:val="009F44EB"/>
    <w:rsid w:val="009F45C7"/>
    <w:rsid w:val="009F472C"/>
    <w:rsid w:val="009F4A6D"/>
    <w:rsid w:val="009F5258"/>
    <w:rsid w:val="009F60FA"/>
    <w:rsid w:val="009F65C4"/>
    <w:rsid w:val="009F6A9D"/>
    <w:rsid w:val="009F7138"/>
    <w:rsid w:val="009F7837"/>
    <w:rsid w:val="009F7C3F"/>
    <w:rsid w:val="009F7DAD"/>
    <w:rsid w:val="00A0029E"/>
    <w:rsid w:val="00A0079E"/>
    <w:rsid w:val="00A0156E"/>
    <w:rsid w:val="00A0203B"/>
    <w:rsid w:val="00A02558"/>
    <w:rsid w:val="00A027A1"/>
    <w:rsid w:val="00A03170"/>
    <w:rsid w:val="00A042BE"/>
    <w:rsid w:val="00A043D8"/>
    <w:rsid w:val="00A046B3"/>
    <w:rsid w:val="00A04ADC"/>
    <w:rsid w:val="00A04C8A"/>
    <w:rsid w:val="00A05FFF"/>
    <w:rsid w:val="00A0668D"/>
    <w:rsid w:val="00A06F9E"/>
    <w:rsid w:val="00A07730"/>
    <w:rsid w:val="00A10727"/>
    <w:rsid w:val="00A12317"/>
    <w:rsid w:val="00A12E24"/>
    <w:rsid w:val="00A1307F"/>
    <w:rsid w:val="00A16294"/>
    <w:rsid w:val="00A21366"/>
    <w:rsid w:val="00A213D9"/>
    <w:rsid w:val="00A2198A"/>
    <w:rsid w:val="00A2243F"/>
    <w:rsid w:val="00A224F8"/>
    <w:rsid w:val="00A2255F"/>
    <w:rsid w:val="00A22666"/>
    <w:rsid w:val="00A22A63"/>
    <w:rsid w:val="00A234E5"/>
    <w:rsid w:val="00A23B96"/>
    <w:rsid w:val="00A23DE7"/>
    <w:rsid w:val="00A23F92"/>
    <w:rsid w:val="00A24456"/>
    <w:rsid w:val="00A24C52"/>
    <w:rsid w:val="00A24E3E"/>
    <w:rsid w:val="00A26120"/>
    <w:rsid w:val="00A26556"/>
    <w:rsid w:val="00A266E7"/>
    <w:rsid w:val="00A277F7"/>
    <w:rsid w:val="00A27E81"/>
    <w:rsid w:val="00A313F2"/>
    <w:rsid w:val="00A331B1"/>
    <w:rsid w:val="00A35A61"/>
    <w:rsid w:val="00A36A21"/>
    <w:rsid w:val="00A36AFB"/>
    <w:rsid w:val="00A36B7A"/>
    <w:rsid w:val="00A37BF2"/>
    <w:rsid w:val="00A4048E"/>
    <w:rsid w:val="00A40AED"/>
    <w:rsid w:val="00A417DE"/>
    <w:rsid w:val="00A434DB"/>
    <w:rsid w:val="00A44015"/>
    <w:rsid w:val="00A4494C"/>
    <w:rsid w:val="00A45371"/>
    <w:rsid w:val="00A456EE"/>
    <w:rsid w:val="00A45EF9"/>
    <w:rsid w:val="00A464BD"/>
    <w:rsid w:val="00A474C5"/>
    <w:rsid w:val="00A47F73"/>
    <w:rsid w:val="00A50E76"/>
    <w:rsid w:val="00A52006"/>
    <w:rsid w:val="00A52261"/>
    <w:rsid w:val="00A52461"/>
    <w:rsid w:val="00A54B26"/>
    <w:rsid w:val="00A54D54"/>
    <w:rsid w:val="00A55312"/>
    <w:rsid w:val="00A565EB"/>
    <w:rsid w:val="00A56643"/>
    <w:rsid w:val="00A571AB"/>
    <w:rsid w:val="00A571BD"/>
    <w:rsid w:val="00A572D4"/>
    <w:rsid w:val="00A602EB"/>
    <w:rsid w:val="00A60484"/>
    <w:rsid w:val="00A60717"/>
    <w:rsid w:val="00A60857"/>
    <w:rsid w:val="00A611F6"/>
    <w:rsid w:val="00A61A3C"/>
    <w:rsid w:val="00A61B77"/>
    <w:rsid w:val="00A61F7E"/>
    <w:rsid w:val="00A6232E"/>
    <w:rsid w:val="00A62EC4"/>
    <w:rsid w:val="00A63491"/>
    <w:rsid w:val="00A639C3"/>
    <w:rsid w:val="00A64256"/>
    <w:rsid w:val="00A6472B"/>
    <w:rsid w:val="00A649CA"/>
    <w:rsid w:val="00A64E06"/>
    <w:rsid w:val="00A654D8"/>
    <w:rsid w:val="00A659F8"/>
    <w:rsid w:val="00A65F26"/>
    <w:rsid w:val="00A663C6"/>
    <w:rsid w:val="00A67335"/>
    <w:rsid w:val="00A679E1"/>
    <w:rsid w:val="00A7014D"/>
    <w:rsid w:val="00A70805"/>
    <w:rsid w:val="00A7086C"/>
    <w:rsid w:val="00A70A3C"/>
    <w:rsid w:val="00A70ABA"/>
    <w:rsid w:val="00A7132D"/>
    <w:rsid w:val="00A7164C"/>
    <w:rsid w:val="00A716D9"/>
    <w:rsid w:val="00A71833"/>
    <w:rsid w:val="00A72CD0"/>
    <w:rsid w:val="00A73D5E"/>
    <w:rsid w:val="00A74A53"/>
    <w:rsid w:val="00A74ED5"/>
    <w:rsid w:val="00A750CA"/>
    <w:rsid w:val="00A774E8"/>
    <w:rsid w:val="00A777CE"/>
    <w:rsid w:val="00A8234B"/>
    <w:rsid w:val="00A8276C"/>
    <w:rsid w:val="00A84C9B"/>
    <w:rsid w:val="00A84D68"/>
    <w:rsid w:val="00A84E21"/>
    <w:rsid w:val="00A852A3"/>
    <w:rsid w:val="00A8544C"/>
    <w:rsid w:val="00A87AB9"/>
    <w:rsid w:val="00A90EC5"/>
    <w:rsid w:val="00A91DC1"/>
    <w:rsid w:val="00A9249A"/>
    <w:rsid w:val="00A929E3"/>
    <w:rsid w:val="00A93707"/>
    <w:rsid w:val="00A937AA"/>
    <w:rsid w:val="00A937EB"/>
    <w:rsid w:val="00A9433B"/>
    <w:rsid w:val="00A9534E"/>
    <w:rsid w:val="00A961E4"/>
    <w:rsid w:val="00A962B8"/>
    <w:rsid w:val="00A967A9"/>
    <w:rsid w:val="00A967F2"/>
    <w:rsid w:val="00A96CB0"/>
    <w:rsid w:val="00AA0E46"/>
    <w:rsid w:val="00AA15B4"/>
    <w:rsid w:val="00AA1BB4"/>
    <w:rsid w:val="00AA26D3"/>
    <w:rsid w:val="00AA3C75"/>
    <w:rsid w:val="00AA4351"/>
    <w:rsid w:val="00AA5F75"/>
    <w:rsid w:val="00AA6307"/>
    <w:rsid w:val="00AA69BF"/>
    <w:rsid w:val="00AA792F"/>
    <w:rsid w:val="00AB063A"/>
    <w:rsid w:val="00AB107E"/>
    <w:rsid w:val="00AB1329"/>
    <w:rsid w:val="00AB1D71"/>
    <w:rsid w:val="00AB3AE7"/>
    <w:rsid w:val="00AB3D0A"/>
    <w:rsid w:val="00AB3F76"/>
    <w:rsid w:val="00AB42D4"/>
    <w:rsid w:val="00AB4E04"/>
    <w:rsid w:val="00AB5988"/>
    <w:rsid w:val="00AB5F14"/>
    <w:rsid w:val="00AB6243"/>
    <w:rsid w:val="00AB6474"/>
    <w:rsid w:val="00AB6530"/>
    <w:rsid w:val="00AB72BA"/>
    <w:rsid w:val="00AC044C"/>
    <w:rsid w:val="00AC060D"/>
    <w:rsid w:val="00AC099A"/>
    <w:rsid w:val="00AC0B4C"/>
    <w:rsid w:val="00AC10D7"/>
    <w:rsid w:val="00AC1779"/>
    <w:rsid w:val="00AC1BF7"/>
    <w:rsid w:val="00AC1F66"/>
    <w:rsid w:val="00AC206E"/>
    <w:rsid w:val="00AC3DE5"/>
    <w:rsid w:val="00AC4FB4"/>
    <w:rsid w:val="00AC508A"/>
    <w:rsid w:val="00AC5C61"/>
    <w:rsid w:val="00AC7145"/>
    <w:rsid w:val="00AC77A3"/>
    <w:rsid w:val="00AD00D3"/>
    <w:rsid w:val="00AD0D82"/>
    <w:rsid w:val="00AD1927"/>
    <w:rsid w:val="00AD343E"/>
    <w:rsid w:val="00AD43BB"/>
    <w:rsid w:val="00AD460B"/>
    <w:rsid w:val="00AD5744"/>
    <w:rsid w:val="00AD6377"/>
    <w:rsid w:val="00AD6846"/>
    <w:rsid w:val="00AD6EA6"/>
    <w:rsid w:val="00AD737E"/>
    <w:rsid w:val="00AE0280"/>
    <w:rsid w:val="00AE0860"/>
    <w:rsid w:val="00AE0C46"/>
    <w:rsid w:val="00AE1838"/>
    <w:rsid w:val="00AE4FA6"/>
    <w:rsid w:val="00AE5DBB"/>
    <w:rsid w:val="00AE6033"/>
    <w:rsid w:val="00AE6881"/>
    <w:rsid w:val="00AE69B2"/>
    <w:rsid w:val="00AF114E"/>
    <w:rsid w:val="00AF13D8"/>
    <w:rsid w:val="00AF169F"/>
    <w:rsid w:val="00AF1CE3"/>
    <w:rsid w:val="00AF2A08"/>
    <w:rsid w:val="00AF2E4A"/>
    <w:rsid w:val="00AF3546"/>
    <w:rsid w:val="00AF3677"/>
    <w:rsid w:val="00AF4EEF"/>
    <w:rsid w:val="00AF55C6"/>
    <w:rsid w:val="00AF5809"/>
    <w:rsid w:val="00AF5B6D"/>
    <w:rsid w:val="00AF6D1C"/>
    <w:rsid w:val="00AF77B6"/>
    <w:rsid w:val="00B00D56"/>
    <w:rsid w:val="00B01210"/>
    <w:rsid w:val="00B0170E"/>
    <w:rsid w:val="00B018F2"/>
    <w:rsid w:val="00B02419"/>
    <w:rsid w:val="00B02F81"/>
    <w:rsid w:val="00B0349C"/>
    <w:rsid w:val="00B03C85"/>
    <w:rsid w:val="00B045E5"/>
    <w:rsid w:val="00B05357"/>
    <w:rsid w:val="00B05441"/>
    <w:rsid w:val="00B06950"/>
    <w:rsid w:val="00B07635"/>
    <w:rsid w:val="00B07E0A"/>
    <w:rsid w:val="00B10165"/>
    <w:rsid w:val="00B10517"/>
    <w:rsid w:val="00B10F46"/>
    <w:rsid w:val="00B12B3F"/>
    <w:rsid w:val="00B13714"/>
    <w:rsid w:val="00B13F6D"/>
    <w:rsid w:val="00B1417F"/>
    <w:rsid w:val="00B14625"/>
    <w:rsid w:val="00B15F17"/>
    <w:rsid w:val="00B16187"/>
    <w:rsid w:val="00B16504"/>
    <w:rsid w:val="00B16624"/>
    <w:rsid w:val="00B17207"/>
    <w:rsid w:val="00B1741B"/>
    <w:rsid w:val="00B17627"/>
    <w:rsid w:val="00B17C4F"/>
    <w:rsid w:val="00B201EB"/>
    <w:rsid w:val="00B20B39"/>
    <w:rsid w:val="00B2146B"/>
    <w:rsid w:val="00B2151D"/>
    <w:rsid w:val="00B21657"/>
    <w:rsid w:val="00B22109"/>
    <w:rsid w:val="00B2223F"/>
    <w:rsid w:val="00B240B8"/>
    <w:rsid w:val="00B251E9"/>
    <w:rsid w:val="00B2576C"/>
    <w:rsid w:val="00B265F5"/>
    <w:rsid w:val="00B2738F"/>
    <w:rsid w:val="00B305A2"/>
    <w:rsid w:val="00B308AB"/>
    <w:rsid w:val="00B30AC2"/>
    <w:rsid w:val="00B30C75"/>
    <w:rsid w:val="00B31128"/>
    <w:rsid w:val="00B3184E"/>
    <w:rsid w:val="00B32080"/>
    <w:rsid w:val="00B3287A"/>
    <w:rsid w:val="00B328A2"/>
    <w:rsid w:val="00B33414"/>
    <w:rsid w:val="00B33DA7"/>
    <w:rsid w:val="00B34A8C"/>
    <w:rsid w:val="00B34B57"/>
    <w:rsid w:val="00B34C49"/>
    <w:rsid w:val="00B34C51"/>
    <w:rsid w:val="00B34D07"/>
    <w:rsid w:val="00B353F1"/>
    <w:rsid w:val="00B359E3"/>
    <w:rsid w:val="00B375E9"/>
    <w:rsid w:val="00B4016B"/>
    <w:rsid w:val="00B4027E"/>
    <w:rsid w:val="00B4151A"/>
    <w:rsid w:val="00B415BE"/>
    <w:rsid w:val="00B42A5E"/>
    <w:rsid w:val="00B443FA"/>
    <w:rsid w:val="00B44A41"/>
    <w:rsid w:val="00B459D4"/>
    <w:rsid w:val="00B45B23"/>
    <w:rsid w:val="00B467FF"/>
    <w:rsid w:val="00B46D3F"/>
    <w:rsid w:val="00B5019E"/>
    <w:rsid w:val="00B50265"/>
    <w:rsid w:val="00B51E72"/>
    <w:rsid w:val="00B51EBC"/>
    <w:rsid w:val="00B53703"/>
    <w:rsid w:val="00B53C9F"/>
    <w:rsid w:val="00B5420C"/>
    <w:rsid w:val="00B5607A"/>
    <w:rsid w:val="00B567EA"/>
    <w:rsid w:val="00B56A0D"/>
    <w:rsid w:val="00B570F6"/>
    <w:rsid w:val="00B60548"/>
    <w:rsid w:val="00B60854"/>
    <w:rsid w:val="00B60C82"/>
    <w:rsid w:val="00B61547"/>
    <w:rsid w:val="00B617F2"/>
    <w:rsid w:val="00B62897"/>
    <w:rsid w:val="00B64EFD"/>
    <w:rsid w:val="00B65025"/>
    <w:rsid w:val="00B650BB"/>
    <w:rsid w:val="00B66366"/>
    <w:rsid w:val="00B66A4B"/>
    <w:rsid w:val="00B677A2"/>
    <w:rsid w:val="00B6784C"/>
    <w:rsid w:val="00B67A45"/>
    <w:rsid w:val="00B7168C"/>
    <w:rsid w:val="00B717AC"/>
    <w:rsid w:val="00B719A4"/>
    <w:rsid w:val="00B7229B"/>
    <w:rsid w:val="00B73215"/>
    <w:rsid w:val="00B73414"/>
    <w:rsid w:val="00B73BF0"/>
    <w:rsid w:val="00B741D7"/>
    <w:rsid w:val="00B74B1F"/>
    <w:rsid w:val="00B7635E"/>
    <w:rsid w:val="00B7715C"/>
    <w:rsid w:val="00B77671"/>
    <w:rsid w:val="00B77A38"/>
    <w:rsid w:val="00B801F9"/>
    <w:rsid w:val="00B80B1B"/>
    <w:rsid w:val="00B80B68"/>
    <w:rsid w:val="00B80CA1"/>
    <w:rsid w:val="00B81DE9"/>
    <w:rsid w:val="00B837E1"/>
    <w:rsid w:val="00B840CE"/>
    <w:rsid w:val="00B848F4"/>
    <w:rsid w:val="00B8531B"/>
    <w:rsid w:val="00B85CB2"/>
    <w:rsid w:val="00B861F3"/>
    <w:rsid w:val="00B86DE5"/>
    <w:rsid w:val="00B87057"/>
    <w:rsid w:val="00B912AF"/>
    <w:rsid w:val="00B929B3"/>
    <w:rsid w:val="00B93146"/>
    <w:rsid w:val="00B93AC9"/>
    <w:rsid w:val="00B943B4"/>
    <w:rsid w:val="00B948EC"/>
    <w:rsid w:val="00B94D32"/>
    <w:rsid w:val="00B94F48"/>
    <w:rsid w:val="00B95387"/>
    <w:rsid w:val="00B9543C"/>
    <w:rsid w:val="00B95FDA"/>
    <w:rsid w:val="00B96049"/>
    <w:rsid w:val="00B96674"/>
    <w:rsid w:val="00B9797B"/>
    <w:rsid w:val="00B97B26"/>
    <w:rsid w:val="00B97CC0"/>
    <w:rsid w:val="00B97E89"/>
    <w:rsid w:val="00BA00E9"/>
    <w:rsid w:val="00BA1CE5"/>
    <w:rsid w:val="00BA35FB"/>
    <w:rsid w:val="00BA4838"/>
    <w:rsid w:val="00BA5707"/>
    <w:rsid w:val="00BA59A6"/>
    <w:rsid w:val="00BA5FAD"/>
    <w:rsid w:val="00BA67BD"/>
    <w:rsid w:val="00BA6A4F"/>
    <w:rsid w:val="00BA711D"/>
    <w:rsid w:val="00BB1442"/>
    <w:rsid w:val="00BB14E1"/>
    <w:rsid w:val="00BB1528"/>
    <w:rsid w:val="00BB1874"/>
    <w:rsid w:val="00BB1A15"/>
    <w:rsid w:val="00BB202D"/>
    <w:rsid w:val="00BB2860"/>
    <w:rsid w:val="00BB48F2"/>
    <w:rsid w:val="00BB5CF8"/>
    <w:rsid w:val="00BB738F"/>
    <w:rsid w:val="00BC120F"/>
    <w:rsid w:val="00BC2275"/>
    <w:rsid w:val="00BC2804"/>
    <w:rsid w:val="00BC2FED"/>
    <w:rsid w:val="00BC363D"/>
    <w:rsid w:val="00BC3878"/>
    <w:rsid w:val="00BC4AAD"/>
    <w:rsid w:val="00BC4C4F"/>
    <w:rsid w:val="00BC56F5"/>
    <w:rsid w:val="00BC63B6"/>
    <w:rsid w:val="00BC73E7"/>
    <w:rsid w:val="00BC7D46"/>
    <w:rsid w:val="00BD130C"/>
    <w:rsid w:val="00BD1452"/>
    <w:rsid w:val="00BD19BA"/>
    <w:rsid w:val="00BD4697"/>
    <w:rsid w:val="00BD502D"/>
    <w:rsid w:val="00BD531D"/>
    <w:rsid w:val="00BD563B"/>
    <w:rsid w:val="00BD60BA"/>
    <w:rsid w:val="00BD660D"/>
    <w:rsid w:val="00BD6C53"/>
    <w:rsid w:val="00BD7345"/>
    <w:rsid w:val="00BD7D43"/>
    <w:rsid w:val="00BD7E59"/>
    <w:rsid w:val="00BE0ACA"/>
    <w:rsid w:val="00BE1089"/>
    <w:rsid w:val="00BE11C9"/>
    <w:rsid w:val="00BE19E9"/>
    <w:rsid w:val="00BE422D"/>
    <w:rsid w:val="00BE4A83"/>
    <w:rsid w:val="00BE4B19"/>
    <w:rsid w:val="00BE4D6A"/>
    <w:rsid w:val="00BE5226"/>
    <w:rsid w:val="00BE5998"/>
    <w:rsid w:val="00BE662E"/>
    <w:rsid w:val="00BE713F"/>
    <w:rsid w:val="00BF0C1B"/>
    <w:rsid w:val="00BF0C47"/>
    <w:rsid w:val="00BF19E3"/>
    <w:rsid w:val="00BF1FC8"/>
    <w:rsid w:val="00BF21DD"/>
    <w:rsid w:val="00BF2648"/>
    <w:rsid w:val="00BF3127"/>
    <w:rsid w:val="00BF4048"/>
    <w:rsid w:val="00BF5472"/>
    <w:rsid w:val="00BF7747"/>
    <w:rsid w:val="00BF7DCD"/>
    <w:rsid w:val="00C003B5"/>
    <w:rsid w:val="00C00787"/>
    <w:rsid w:val="00C02CE8"/>
    <w:rsid w:val="00C02F16"/>
    <w:rsid w:val="00C03209"/>
    <w:rsid w:val="00C0352E"/>
    <w:rsid w:val="00C03D8F"/>
    <w:rsid w:val="00C05304"/>
    <w:rsid w:val="00C0649F"/>
    <w:rsid w:val="00C06977"/>
    <w:rsid w:val="00C078A6"/>
    <w:rsid w:val="00C07A0B"/>
    <w:rsid w:val="00C10252"/>
    <w:rsid w:val="00C10368"/>
    <w:rsid w:val="00C11031"/>
    <w:rsid w:val="00C1140B"/>
    <w:rsid w:val="00C120A8"/>
    <w:rsid w:val="00C12E35"/>
    <w:rsid w:val="00C13F7E"/>
    <w:rsid w:val="00C1512E"/>
    <w:rsid w:val="00C162E9"/>
    <w:rsid w:val="00C1692D"/>
    <w:rsid w:val="00C169CD"/>
    <w:rsid w:val="00C17BDA"/>
    <w:rsid w:val="00C17F67"/>
    <w:rsid w:val="00C22FC0"/>
    <w:rsid w:val="00C23CDE"/>
    <w:rsid w:val="00C241A6"/>
    <w:rsid w:val="00C2460A"/>
    <w:rsid w:val="00C2485E"/>
    <w:rsid w:val="00C26DA3"/>
    <w:rsid w:val="00C26DC4"/>
    <w:rsid w:val="00C27291"/>
    <w:rsid w:val="00C27775"/>
    <w:rsid w:val="00C27D9E"/>
    <w:rsid w:val="00C305A0"/>
    <w:rsid w:val="00C31044"/>
    <w:rsid w:val="00C3193C"/>
    <w:rsid w:val="00C34E9D"/>
    <w:rsid w:val="00C353AD"/>
    <w:rsid w:val="00C35687"/>
    <w:rsid w:val="00C36CF7"/>
    <w:rsid w:val="00C406D2"/>
    <w:rsid w:val="00C40A49"/>
    <w:rsid w:val="00C40F42"/>
    <w:rsid w:val="00C40FB9"/>
    <w:rsid w:val="00C41769"/>
    <w:rsid w:val="00C42684"/>
    <w:rsid w:val="00C426AD"/>
    <w:rsid w:val="00C43009"/>
    <w:rsid w:val="00C431B1"/>
    <w:rsid w:val="00C43DE0"/>
    <w:rsid w:val="00C446B9"/>
    <w:rsid w:val="00C448F3"/>
    <w:rsid w:val="00C44A32"/>
    <w:rsid w:val="00C4517A"/>
    <w:rsid w:val="00C465F7"/>
    <w:rsid w:val="00C46E7F"/>
    <w:rsid w:val="00C53B6D"/>
    <w:rsid w:val="00C54425"/>
    <w:rsid w:val="00C545A6"/>
    <w:rsid w:val="00C547C0"/>
    <w:rsid w:val="00C54F34"/>
    <w:rsid w:val="00C552C9"/>
    <w:rsid w:val="00C5535D"/>
    <w:rsid w:val="00C60081"/>
    <w:rsid w:val="00C611C1"/>
    <w:rsid w:val="00C6150C"/>
    <w:rsid w:val="00C61B49"/>
    <w:rsid w:val="00C62798"/>
    <w:rsid w:val="00C62FA4"/>
    <w:rsid w:val="00C630B2"/>
    <w:rsid w:val="00C63A16"/>
    <w:rsid w:val="00C65596"/>
    <w:rsid w:val="00C67418"/>
    <w:rsid w:val="00C67FC2"/>
    <w:rsid w:val="00C71289"/>
    <w:rsid w:val="00C71E5C"/>
    <w:rsid w:val="00C72620"/>
    <w:rsid w:val="00C72C09"/>
    <w:rsid w:val="00C730E2"/>
    <w:rsid w:val="00C74607"/>
    <w:rsid w:val="00C747CE"/>
    <w:rsid w:val="00C74AB1"/>
    <w:rsid w:val="00C75C46"/>
    <w:rsid w:val="00C75EA7"/>
    <w:rsid w:val="00C7662C"/>
    <w:rsid w:val="00C7748A"/>
    <w:rsid w:val="00C808C6"/>
    <w:rsid w:val="00C80D87"/>
    <w:rsid w:val="00C80F6A"/>
    <w:rsid w:val="00C81546"/>
    <w:rsid w:val="00C815D4"/>
    <w:rsid w:val="00C81A3B"/>
    <w:rsid w:val="00C82ACF"/>
    <w:rsid w:val="00C839F6"/>
    <w:rsid w:val="00C8494F"/>
    <w:rsid w:val="00C84DAA"/>
    <w:rsid w:val="00C85130"/>
    <w:rsid w:val="00C85776"/>
    <w:rsid w:val="00C85E9D"/>
    <w:rsid w:val="00C86603"/>
    <w:rsid w:val="00C86DA9"/>
    <w:rsid w:val="00C87F8D"/>
    <w:rsid w:val="00C9092D"/>
    <w:rsid w:val="00C95001"/>
    <w:rsid w:val="00C95859"/>
    <w:rsid w:val="00C95AC9"/>
    <w:rsid w:val="00C9643A"/>
    <w:rsid w:val="00C97744"/>
    <w:rsid w:val="00C978B0"/>
    <w:rsid w:val="00C97FCD"/>
    <w:rsid w:val="00CA0CA7"/>
    <w:rsid w:val="00CA0E7F"/>
    <w:rsid w:val="00CA202D"/>
    <w:rsid w:val="00CA20FF"/>
    <w:rsid w:val="00CA2656"/>
    <w:rsid w:val="00CA2816"/>
    <w:rsid w:val="00CA293E"/>
    <w:rsid w:val="00CA2C94"/>
    <w:rsid w:val="00CA4589"/>
    <w:rsid w:val="00CA5443"/>
    <w:rsid w:val="00CA5900"/>
    <w:rsid w:val="00CA5F56"/>
    <w:rsid w:val="00CA791F"/>
    <w:rsid w:val="00CA7E1F"/>
    <w:rsid w:val="00CB0A95"/>
    <w:rsid w:val="00CB0E0D"/>
    <w:rsid w:val="00CB364D"/>
    <w:rsid w:val="00CB53E3"/>
    <w:rsid w:val="00CB60C3"/>
    <w:rsid w:val="00CB6352"/>
    <w:rsid w:val="00CB7A7D"/>
    <w:rsid w:val="00CB7C6E"/>
    <w:rsid w:val="00CB7CDD"/>
    <w:rsid w:val="00CC0C96"/>
    <w:rsid w:val="00CC1818"/>
    <w:rsid w:val="00CC45FF"/>
    <w:rsid w:val="00CC4E48"/>
    <w:rsid w:val="00CC52AD"/>
    <w:rsid w:val="00CC55E4"/>
    <w:rsid w:val="00CC5EB9"/>
    <w:rsid w:val="00CC6401"/>
    <w:rsid w:val="00CC74A2"/>
    <w:rsid w:val="00CC7C36"/>
    <w:rsid w:val="00CD07C7"/>
    <w:rsid w:val="00CD1037"/>
    <w:rsid w:val="00CD26F2"/>
    <w:rsid w:val="00CD34F9"/>
    <w:rsid w:val="00CD3943"/>
    <w:rsid w:val="00CD3BBF"/>
    <w:rsid w:val="00CD3C6B"/>
    <w:rsid w:val="00CD481F"/>
    <w:rsid w:val="00CD4D63"/>
    <w:rsid w:val="00CD4E68"/>
    <w:rsid w:val="00CD575C"/>
    <w:rsid w:val="00CD5A05"/>
    <w:rsid w:val="00CD64D3"/>
    <w:rsid w:val="00CD7AE4"/>
    <w:rsid w:val="00CE0F5E"/>
    <w:rsid w:val="00CE1541"/>
    <w:rsid w:val="00CE321E"/>
    <w:rsid w:val="00CE3EE8"/>
    <w:rsid w:val="00CE48A1"/>
    <w:rsid w:val="00CE520E"/>
    <w:rsid w:val="00CE5436"/>
    <w:rsid w:val="00CE69CE"/>
    <w:rsid w:val="00CE6ED4"/>
    <w:rsid w:val="00CE6EF2"/>
    <w:rsid w:val="00CE7D2F"/>
    <w:rsid w:val="00CE7ECB"/>
    <w:rsid w:val="00CF1E0F"/>
    <w:rsid w:val="00CF28EC"/>
    <w:rsid w:val="00CF2C60"/>
    <w:rsid w:val="00CF2D53"/>
    <w:rsid w:val="00CF2E40"/>
    <w:rsid w:val="00CF37BF"/>
    <w:rsid w:val="00CF38A8"/>
    <w:rsid w:val="00CF38D7"/>
    <w:rsid w:val="00CF3A9A"/>
    <w:rsid w:val="00CF51E9"/>
    <w:rsid w:val="00CF550A"/>
    <w:rsid w:val="00CF5BEF"/>
    <w:rsid w:val="00CF6625"/>
    <w:rsid w:val="00CF7D07"/>
    <w:rsid w:val="00D00357"/>
    <w:rsid w:val="00D00F81"/>
    <w:rsid w:val="00D01296"/>
    <w:rsid w:val="00D01FAC"/>
    <w:rsid w:val="00D026CF"/>
    <w:rsid w:val="00D02AE1"/>
    <w:rsid w:val="00D02EDB"/>
    <w:rsid w:val="00D03137"/>
    <w:rsid w:val="00D03DA6"/>
    <w:rsid w:val="00D040C9"/>
    <w:rsid w:val="00D041F4"/>
    <w:rsid w:val="00D04411"/>
    <w:rsid w:val="00D05605"/>
    <w:rsid w:val="00D075D4"/>
    <w:rsid w:val="00D077B7"/>
    <w:rsid w:val="00D10873"/>
    <w:rsid w:val="00D10AA9"/>
    <w:rsid w:val="00D10BA5"/>
    <w:rsid w:val="00D114B8"/>
    <w:rsid w:val="00D11B36"/>
    <w:rsid w:val="00D12292"/>
    <w:rsid w:val="00D12996"/>
    <w:rsid w:val="00D139CB"/>
    <w:rsid w:val="00D14999"/>
    <w:rsid w:val="00D14D5B"/>
    <w:rsid w:val="00D1582F"/>
    <w:rsid w:val="00D16426"/>
    <w:rsid w:val="00D16695"/>
    <w:rsid w:val="00D1709E"/>
    <w:rsid w:val="00D21515"/>
    <w:rsid w:val="00D21C58"/>
    <w:rsid w:val="00D22E59"/>
    <w:rsid w:val="00D23982"/>
    <w:rsid w:val="00D23C8D"/>
    <w:rsid w:val="00D24319"/>
    <w:rsid w:val="00D25398"/>
    <w:rsid w:val="00D25783"/>
    <w:rsid w:val="00D2603F"/>
    <w:rsid w:val="00D2647C"/>
    <w:rsid w:val="00D26BE9"/>
    <w:rsid w:val="00D30526"/>
    <w:rsid w:val="00D306AD"/>
    <w:rsid w:val="00D33FEC"/>
    <w:rsid w:val="00D349E1"/>
    <w:rsid w:val="00D35612"/>
    <w:rsid w:val="00D357E6"/>
    <w:rsid w:val="00D35F25"/>
    <w:rsid w:val="00D36BE2"/>
    <w:rsid w:val="00D36C1C"/>
    <w:rsid w:val="00D40359"/>
    <w:rsid w:val="00D404B2"/>
    <w:rsid w:val="00D41261"/>
    <w:rsid w:val="00D422EF"/>
    <w:rsid w:val="00D42ECE"/>
    <w:rsid w:val="00D435B8"/>
    <w:rsid w:val="00D437FA"/>
    <w:rsid w:val="00D43AD4"/>
    <w:rsid w:val="00D4449D"/>
    <w:rsid w:val="00D46130"/>
    <w:rsid w:val="00D465D9"/>
    <w:rsid w:val="00D46F7A"/>
    <w:rsid w:val="00D472B5"/>
    <w:rsid w:val="00D50BF9"/>
    <w:rsid w:val="00D51727"/>
    <w:rsid w:val="00D5290E"/>
    <w:rsid w:val="00D52B30"/>
    <w:rsid w:val="00D5384B"/>
    <w:rsid w:val="00D53EA2"/>
    <w:rsid w:val="00D562DA"/>
    <w:rsid w:val="00D56709"/>
    <w:rsid w:val="00D56AD3"/>
    <w:rsid w:val="00D570B9"/>
    <w:rsid w:val="00D57DD2"/>
    <w:rsid w:val="00D6106E"/>
    <w:rsid w:val="00D61DF0"/>
    <w:rsid w:val="00D64D5D"/>
    <w:rsid w:val="00D65C57"/>
    <w:rsid w:val="00D66581"/>
    <w:rsid w:val="00D66939"/>
    <w:rsid w:val="00D66A2E"/>
    <w:rsid w:val="00D66DEE"/>
    <w:rsid w:val="00D672D8"/>
    <w:rsid w:val="00D673BE"/>
    <w:rsid w:val="00D6783D"/>
    <w:rsid w:val="00D702E0"/>
    <w:rsid w:val="00D705C3"/>
    <w:rsid w:val="00D70F3F"/>
    <w:rsid w:val="00D7157A"/>
    <w:rsid w:val="00D71DA6"/>
    <w:rsid w:val="00D71DC5"/>
    <w:rsid w:val="00D72E50"/>
    <w:rsid w:val="00D73F30"/>
    <w:rsid w:val="00D74BBF"/>
    <w:rsid w:val="00D74E73"/>
    <w:rsid w:val="00D75BB5"/>
    <w:rsid w:val="00D768E9"/>
    <w:rsid w:val="00D76A49"/>
    <w:rsid w:val="00D76BAF"/>
    <w:rsid w:val="00D774DE"/>
    <w:rsid w:val="00D779FA"/>
    <w:rsid w:val="00D805DF"/>
    <w:rsid w:val="00D81FE1"/>
    <w:rsid w:val="00D81FE9"/>
    <w:rsid w:val="00D82444"/>
    <w:rsid w:val="00D8265B"/>
    <w:rsid w:val="00D82CB0"/>
    <w:rsid w:val="00D83F04"/>
    <w:rsid w:val="00D84370"/>
    <w:rsid w:val="00D8469D"/>
    <w:rsid w:val="00D85A64"/>
    <w:rsid w:val="00D85BA3"/>
    <w:rsid w:val="00D85D73"/>
    <w:rsid w:val="00D86048"/>
    <w:rsid w:val="00D86181"/>
    <w:rsid w:val="00D868AB"/>
    <w:rsid w:val="00D86E07"/>
    <w:rsid w:val="00D87A2E"/>
    <w:rsid w:val="00D87B61"/>
    <w:rsid w:val="00D87D0B"/>
    <w:rsid w:val="00D9035F"/>
    <w:rsid w:val="00D903C1"/>
    <w:rsid w:val="00D90754"/>
    <w:rsid w:val="00D9103C"/>
    <w:rsid w:val="00D92581"/>
    <w:rsid w:val="00D93963"/>
    <w:rsid w:val="00D95F68"/>
    <w:rsid w:val="00D97424"/>
    <w:rsid w:val="00D975BA"/>
    <w:rsid w:val="00D97898"/>
    <w:rsid w:val="00DA04F1"/>
    <w:rsid w:val="00DA0C54"/>
    <w:rsid w:val="00DA1106"/>
    <w:rsid w:val="00DA1C82"/>
    <w:rsid w:val="00DA6222"/>
    <w:rsid w:val="00DA6366"/>
    <w:rsid w:val="00DA7560"/>
    <w:rsid w:val="00DB102A"/>
    <w:rsid w:val="00DB2102"/>
    <w:rsid w:val="00DB295E"/>
    <w:rsid w:val="00DB2C25"/>
    <w:rsid w:val="00DB327D"/>
    <w:rsid w:val="00DB3B46"/>
    <w:rsid w:val="00DB3DDC"/>
    <w:rsid w:val="00DB5BC6"/>
    <w:rsid w:val="00DB64A6"/>
    <w:rsid w:val="00DB68E0"/>
    <w:rsid w:val="00DB7476"/>
    <w:rsid w:val="00DC065C"/>
    <w:rsid w:val="00DC0F2A"/>
    <w:rsid w:val="00DC1807"/>
    <w:rsid w:val="00DC1DDD"/>
    <w:rsid w:val="00DC208D"/>
    <w:rsid w:val="00DC2096"/>
    <w:rsid w:val="00DC3922"/>
    <w:rsid w:val="00DC41D3"/>
    <w:rsid w:val="00DC41E1"/>
    <w:rsid w:val="00DC4716"/>
    <w:rsid w:val="00DC4810"/>
    <w:rsid w:val="00DC4E6A"/>
    <w:rsid w:val="00DC553D"/>
    <w:rsid w:val="00DC5EFB"/>
    <w:rsid w:val="00DC6196"/>
    <w:rsid w:val="00DC61E1"/>
    <w:rsid w:val="00DC6E05"/>
    <w:rsid w:val="00DD017C"/>
    <w:rsid w:val="00DD01DB"/>
    <w:rsid w:val="00DD12A2"/>
    <w:rsid w:val="00DD1E2C"/>
    <w:rsid w:val="00DD2285"/>
    <w:rsid w:val="00DD3E25"/>
    <w:rsid w:val="00DD4D93"/>
    <w:rsid w:val="00DD50FC"/>
    <w:rsid w:val="00DD5C55"/>
    <w:rsid w:val="00DD6077"/>
    <w:rsid w:val="00DD6B35"/>
    <w:rsid w:val="00DD7485"/>
    <w:rsid w:val="00DD7767"/>
    <w:rsid w:val="00DE03C7"/>
    <w:rsid w:val="00DE0F46"/>
    <w:rsid w:val="00DE111C"/>
    <w:rsid w:val="00DE398B"/>
    <w:rsid w:val="00DE4AC2"/>
    <w:rsid w:val="00DE4B0E"/>
    <w:rsid w:val="00DE4BDC"/>
    <w:rsid w:val="00DE57F2"/>
    <w:rsid w:val="00DE7570"/>
    <w:rsid w:val="00DE7ACD"/>
    <w:rsid w:val="00DE7D6D"/>
    <w:rsid w:val="00DF06C1"/>
    <w:rsid w:val="00DF21DE"/>
    <w:rsid w:val="00DF5BD6"/>
    <w:rsid w:val="00DF5C09"/>
    <w:rsid w:val="00DF6086"/>
    <w:rsid w:val="00DF60B5"/>
    <w:rsid w:val="00DF6B7A"/>
    <w:rsid w:val="00DF6FB1"/>
    <w:rsid w:val="00DF749C"/>
    <w:rsid w:val="00E00345"/>
    <w:rsid w:val="00E007D2"/>
    <w:rsid w:val="00E014C0"/>
    <w:rsid w:val="00E015D9"/>
    <w:rsid w:val="00E03037"/>
    <w:rsid w:val="00E036E0"/>
    <w:rsid w:val="00E03803"/>
    <w:rsid w:val="00E04AA0"/>
    <w:rsid w:val="00E04BE0"/>
    <w:rsid w:val="00E07119"/>
    <w:rsid w:val="00E0765D"/>
    <w:rsid w:val="00E10429"/>
    <w:rsid w:val="00E109D6"/>
    <w:rsid w:val="00E113A3"/>
    <w:rsid w:val="00E11A3B"/>
    <w:rsid w:val="00E11B1A"/>
    <w:rsid w:val="00E12055"/>
    <w:rsid w:val="00E122CF"/>
    <w:rsid w:val="00E12808"/>
    <w:rsid w:val="00E12E58"/>
    <w:rsid w:val="00E143BC"/>
    <w:rsid w:val="00E148B2"/>
    <w:rsid w:val="00E1493A"/>
    <w:rsid w:val="00E150BF"/>
    <w:rsid w:val="00E155D5"/>
    <w:rsid w:val="00E15A0D"/>
    <w:rsid w:val="00E1677C"/>
    <w:rsid w:val="00E176F3"/>
    <w:rsid w:val="00E2017C"/>
    <w:rsid w:val="00E205E5"/>
    <w:rsid w:val="00E20BCC"/>
    <w:rsid w:val="00E2165B"/>
    <w:rsid w:val="00E22655"/>
    <w:rsid w:val="00E2366A"/>
    <w:rsid w:val="00E2369E"/>
    <w:rsid w:val="00E23CE7"/>
    <w:rsid w:val="00E23F2F"/>
    <w:rsid w:val="00E245DC"/>
    <w:rsid w:val="00E24735"/>
    <w:rsid w:val="00E2484D"/>
    <w:rsid w:val="00E25837"/>
    <w:rsid w:val="00E25BB8"/>
    <w:rsid w:val="00E2617F"/>
    <w:rsid w:val="00E2726B"/>
    <w:rsid w:val="00E27BB1"/>
    <w:rsid w:val="00E27EDA"/>
    <w:rsid w:val="00E30A2B"/>
    <w:rsid w:val="00E30E2D"/>
    <w:rsid w:val="00E338FD"/>
    <w:rsid w:val="00E33C06"/>
    <w:rsid w:val="00E34987"/>
    <w:rsid w:val="00E358A1"/>
    <w:rsid w:val="00E35911"/>
    <w:rsid w:val="00E363F7"/>
    <w:rsid w:val="00E36B8A"/>
    <w:rsid w:val="00E37BAA"/>
    <w:rsid w:val="00E402EF"/>
    <w:rsid w:val="00E40C45"/>
    <w:rsid w:val="00E41D09"/>
    <w:rsid w:val="00E4248E"/>
    <w:rsid w:val="00E42596"/>
    <w:rsid w:val="00E426C9"/>
    <w:rsid w:val="00E430CF"/>
    <w:rsid w:val="00E434DB"/>
    <w:rsid w:val="00E43E80"/>
    <w:rsid w:val="00E43EC0"/>
    <w:rsid w:val="00E449F0"/>
    <w:rsid w:val="00E458CE"/>
    <w:rsid w:val="00E46A5F"/>
    <w:rsid w:val="00E5007B"/>
    <w:rsid w:val="00E508A5"/>
    <w:rsid w:val="00E50D41"/>
    <w:rsid w:val="00E51A3A"/>
    <w:rsid w:val="00E52609"/>
    <w:rsid w:val="00E53578"/>
    <w:rsid w:val="00E53C95"/>
    <w:rsid w:val="00E551B0"/>
    <w:rsid w:val="00E55213"/>
    <w:rsid w:val="00E55E6D"/>
    <w:rsid w:val="00E57F65"/>
    <w:rsid w:val="00E60748"/>
    <w:rsid w:val="00E6135C"/>
    <w:rsid w:val="00E62047"/>
    <w:rsid w:val="00E62F94"/>
    <w:rsid w:val="00E6425E"/>
    <w:rsid w:val="00E642C8"/>
    <w:rsid w:val="00E648B0"/>
    <w:rsid w:val="00E65B66"/>
    <w:rsid w:val="00E65FAC"/>
    <w:rsid w:val="00E6684A"/>
    <w:rsid w:val="00E66CC0"/>
    <w:rsid w:val="00E6738C"/>
    <w:rsid w:val="00E674C1"/>
    <w:rsid w:val="00E67EFE"/>
    <w:rsid w:val="00E708F3"/>
    <w:rsid w:val="00E70B06"/>
    <w:rsid w:val="00E70D03"/>
    <w:rsid w:val="00E70FAE"/>
    <w:rsid w:val="00E710A4"/>
    <w:rsid w:val="00E71210"/>
    <w:rsid w:val="00E71568"/>
    <w:rsid w:val="00E743F6"/>
    <w:rsid w:val="00E744C9"/>
    <w:rsid w:val="00E746D3"/>
    <w:rsid w:val="00E75523"/>
    <w:rsid w:val="00E76479"/>
    <w:rsid w:val="00E76872"/>
    <w:rsid w:val="00E7694C"/>
    <w:rsid w:val="00E80C68"/>
    <w:rsid w:val="00E82720"/>
    <w:rsid w:val="00E83C44"/>
    <w:rsid w:val="00E83E78"/>
    <w:rsid w:val="00E852CB"/>
    <w:rsid w:val="00E85628"/>
    <w:rsid w:val="00E85743"/>
    <w:rsid w:val="00E85774"/>
    <w:rsid w:val="00E8644C"/>
    <w:rsid w:val="00E86DFE"/>
    <w:rsid w:val="00E871A5"/>
    <w:rsid w:val="00E87487"/>
    <w:rsid w:val="00E8748B"/>
    <w:rsid w:val="00E87539"/>
    <w:rsid w:val="00E92302"/>
    <w:rsid w:val="00E93251"/>
    <w:rsid w:val="00E93BE4"/>
    <w:rsid w:val="00E93D00"/>
    <w:rsid w:val="00E94236"/>
    <w:rsid w:val="00E94E3F"/>
    <w:rsid w:val="00E9554A"/>
    <w:rsid w:val="00E95DE3"/>
    <w:rsid w:val="00E96DC0"/>
    <w:rsid w:val="00E96DC5"/>
    <w:rsid w:val="00E97EF7"/>
    <w:rsid w:val="00EA1509"/>
    <w:rsid w:val="00EA1576"/>
    <w:rsid w:val="00EA18B5"/>
    <w:rsid w:val="00EA1CB5"/>
    <w:rsid w:val="00EA2965"/>
    <w:rsid w:val="00EA3519"/>
    <w:rsid w:val="00EA39BA"/>
    <w:rsid w:val="00EA3C1F"/>
    <w:rsid w:val="00EA3F51"/>
    <w:rsid w:val="00EA450C"/>
    <w:rsid w:val="00EA49C3"/>
    <w:rsid w:val="00EA4F89"/>
    <w:rsid w:val="00EA5444"/>
    <w:rsid w:val="00EA5E7A"/>
    <w:rsid w:val="00EA6E21"/>
    <w:rsid w:val="00EB0453"/>
    <w:rsid w:val="00EB048F"/>
    <w:rsid w:val="00EB145D"/>
    <w:rsid w:val="00EB14DC"/>
    <w:rsid w:val="00EB1E1E"/>
    <w:rsid w:val="00EB3173"/>
    <w:rsid w:val="00EB33ED"/>
    <w:rsid w:val="00EB39E5"/>
    <w:rsid w:val="00EB40FB"/>
    <w:rsid w:val="00EB4474"/>
    <w:rsid w:val="00EB4A2C"/>
    <w:rsid w:val="00EB5011"/>
    <w:rsid w:val="00EB5121"/>
    <w:rsid w:val="00EB5820"/>
    <w:rsid w:val="00EB6D6B"/>
    <w:rsid w:val="00EB6EC1"/>
    <w:rsid w:val="00EB74E6"/>
    <w:rsid w:val="00EB7743"/>
    <w:rsid w:val="00EB7D4B"/>
    <w:rsid w:val="00EC0FC8"/>
    <w:rsid w:val="00EC110F"/>
    <w:rsid w:val="00EC135D"/>
    <w:rsid w:val="00EC19AA"/>
    <w:rsid w:val="00EC3712"/>
    <w:rsid w:val="00EC3972"/>
    <w:rsid w:val="00EC3EBD"/>
    <w:rsid w:val="00EC5F55"/>
    <w:rsid w:val="00EC705E"/>
    <w:rsid w:val="00EC7A90"/>
    <w:rsid w:val="00EC7A91"/>
    <w:rsid w:val="00ED0141"/>
    <w:rsid w:val="00ED0BE5"/>
    <w:rsid w:val="00ED16E8"/>
    <w:rsid w:val="00ED26D3"/>
    <w:rsid w:val="00ED2A66"/>
    <w:rsid w:val="00ED3DB4"/>
    <w:rsid w:val="00ED406E"/>
    <w:rsid w:val="00ED4073"/>
    <w:rsid w:val="00ED473A"/>
    <w:rsid w:val="00ED49CC"/>
    <w:rsid w:val="00ED555E"/>
    <w:rsid w:val="00ED6678"/>
    <w:rsid w:val="00ED684D"/>
    <w:rsid w:val="00ED7585"/>
    <w:rsid w:val="00ED78DD"/>
    <w:rsid w:val="00EE0502"/>
    <w:rsid w:val="00EE122B"/>
    <w:rsid w:val="00EE180D"/>
    <w:rsid w:val="00EE1F19"/>
    <w:rsid w:val="00EE21F9"/>
    <w:rsid w:val="00EE22D3"/>
    <w:rsid w:val="00EE2788"/>
    <w:rsid w:val="00EE2D18"/>
    <w:rsid w:val="00EE3F50"/>
    <w:rsid w:val="00EE4643"/>
    <w:rsid w:val="00EE4B32"/>
    <w:rsid w:val="00EE4C8B"/>
    <w:rsid w:val="00EE566F"/>
    <w:rsid w:val="00EE58D7"/>
    <w:rsid w:val="00EE625A"/>
    <w:rsid w:val="00EE726B"/>
    <w:rsid w:val="00EE74AA"/>
    <w:rsid w:val="00EE77F9"/>
    <w:rsid w:val="00EF0282"/>
    <w:rsid w:val="00EF116F"/>
    <w:rsid w:val="00EF137D"/>
    <w:rsid w:val="00EF16EB"/>
    <w:rsid w:val="00EF303E"/>
    <w:rsid w:val="00EF312B"/>
    <w:rsid w:val="00EF3235"/>
    <w:rsid w:val="00EF3DD2"/>
    <w:rsid w:val="00EF579C"/>
    <w:rsid w:val="00EF59F6"/>
    <w:rsid w:val="00EF5A28"/>
    <w:rsid w:val="00EF681F"/>
    <w:rsid w:val="00EF688B"/>
    <w:rsid w:val="00EF69CD"/>
    <w:rsid w:val="00EF74AD"/>
    <w:rsid w:val="00EF75E3"/>
    <w:rsid w:val="00EF7EE3"/>
    <w:rsid w:val="00F01C41"/>
    <w:rsid w:val="00F035C2"/>
    <w:rsid w:val="00F0621F"/>
    <w:rsid w:val="00F06747"/>
    <w:rsid w:val="00F06D00"/>
    <w:rsid w:val="00F06ED6"/>
    <w:rsid w:val="00F07A26"/>
    <w:rsid w:val="00F07BFF"/>
    <w:rsid w:val="00F1063A"/>
    <w:rsid w:val="00F10885"/>
    <w:rsid w:val="00F10AE1"/>
    <w:rsid w:val="00F10C3F"/>
    <w:rsid w:val="00F11023"/>
    <w:rsid w:val="00F1241F"/>
    <w:rsid w:val="00F12530"/>
    <w:rsid w:val="00F12C3D"/>
    <w:rsid w:val="00F131E7"/>
    <w:rsid w:val="00F13C3B"/>
    <w:rsid w:val="00F13C96"/>
    <w:rsid w:val="00F13D01"/>
    <w:rsid w:val="00F14AEC"/>
    <w:rsid w:val="00F14CD4"/>
    <w:rsid w:val="00F15EC0"/>
    <w:rsid w:val="00F16174"/>
    <w:rsid w:val="00F16A2D"/>
    <w:rsid w:val="00F1705F"/>
    <w:rsid w:val="00F1789E"/>
    <w:rsid w:val="00F2050B"/>
    <w:rsid w:val="00F2076D"/>
    <w:rsid w:val="00F20D82"/>
    <w:rsid w:val="00F20DF7"/>
    <w:rsid w:val="00F2654C"/>
    <w:rsid w:val="00F26D01"/>
    <w:rsid w:val="00F26F90"/>
    <w:rsid w:val="00F27515"/>
    <w:rsid w:val="00F2754F"/>
    <w:rsid w:val="00F30493"/>
    <w:rsid w:val="00F32001"/>
    <w:rsid w:val="00F33C39"/>
    <w:rsid w:val="00F34A1D"/>
    <w:rsid w:val="00F354D8"/>
    <w:rsid w:val="00F35B11"/>
    <w:rsid w:val="00F36779"/>
    <w:rsid w:val="00F36937"/>
    <w:rsid w:val="00F36C4E"/>
    <w:rsid w:val="00F36CBA"/>
    <w:rsid w:val="00F37024"/>
    <w:rsid w:val="00F37747"/>
    <w:rsid w:val="00F378AF"/>
    <w:rsid w:val="00F4018C"/>
    <w:rsid w:val="00F40498"/>
    <w:rsid w:val="00F40D51"/>
    <w:rsid w:val="00F40DC0"/>
    <w:rsid w:val="00F424C9"/>
    <w:rsid w:val="00F42647"/>
    <w:rsid w:val="00F42C64"/>
    <w:rsid w:val="00F432C3"/>
    <w:rsid w:val="00F437DA"/>
    <w:rsid w:val="00F437DF"/>
    <w:rsid w:val="00F44F68"/>
    <w:rsid w:val="00F454CF"/>
    <w:rsid w:val="00F4587F"/>
    <w:rsid w:val="00F45898"/>
    <w:rsid w:val="00F46A80"/>
    <w:rsid w:val="00F507FA"/>
    <w:rsid w:val="00F50DA7"/>
    <w:rsid w:val="00F50E3D"/>
    <w:rsid w:val="00F5107A"/>
    <w:rsid w:val="00F511B3"/>
    <w:rsid w:val="00F517DD"/>
    <w:rsid w:val="00F51C9E"/>
    <w:rsid w:val="00F51FF2"/>
    <w:rsid w:val="00F53205"/>
    <w:rsid w:val="00F539AA"/>
    <w:rsid w:val="00F53ED1"/>
    <w:rsid w:val="00F53FDA"/>
    <w:rsid w:val="00F54BCB"/>
    <w:rsid w:val="00F55407"/>
    <w:rsid w:val="00F554C5"/>
    <w:rsid w:val="00F55519"/>
    <w:rsid w:val="00F55E72"/>
    <w:rsid w:val="00F56AEF"/>
    <w:rsid w:val="00F56E23"/>
    <w:rsid w:val="00F57104"/>
    <w:rsid w:val="00F605C8"/>
    <w:rsid w:val="00F60CE9"/>
    <w:rsid w:val="00F6120B"/>
    <w:rsid w:val="00F61740"/>
    <w:rsid w:val="00F61C18"/>
    <w:rsid w:val="00F62805"/>
    <w:rsid w:val="00F62FA5"/>
    <w:rsid w:val="00F639D2"/>
    <w:rsid w:val="00F63A36"/>
    <w:rsid w:val="00F64053"/>
    <w:rsid w:val="00F64173"/>
    <w:rsid w:val="00F64D1E"/>
    <w:rsid w:val="00F664C3"/>
    <w:rsid w:val="00F67110"/>
    <w:rsid w:val="00F700FC"/>
    <w:rsid w:val="00F72B66"/>
    <w:rsid w:val="00F73B37"/>
    <w:rsid w:val="00F73DF3"/>
    <w:rsid w:val="00F751D7"/>
    <w:rsid w:val="00F7549B"/>
    <w:rsid w:val="00F7554C"/>
    <w:rsid w:val="00F75B5E"/>
    <w:rsid w:val="00F75E76"/>
    <w:rsid w:val="00F76CFF"/>
    <w:rsid w:val="00F77A72"/>
    <w:rsid w:val="00F77BB4"/>
    <w:rsid w:val="00F80667"/>
    <w:rsid w:val="00F8154A"/>
    <w:rsid w:val="00F81BE5"/>
    <w:rsid w:val="00F81EF1"/>
    <w:rsid w:val="00F825F8"/>
    <w:rsid w:val="00F82D07"/>
    <w:rsid w:val="00F830E4"/>
    <w:rsid w:val="00F833FC"/>
    <w:rsid w:val="00F83F79"/>
    <w:rsid w:val="00F841B8"/>
    <w:rsid w:val="00F84A0C"/>
    <w:rsid w:val="00F853AD"/>
    <w:rsid w:val="00F85AFE"/>
    <w:rsid w:val="00F864E8"/>
    <w:rsid w:val="00F876F9"/>
    <w:rsid w:val="00F87EE0"/>
    <w:rsid w:val="00F90959"/>
    <w:rsid w:val="00F90D19"/>
    <w:rsid w:val="00F91126"/>
    <w:rsid w:val="00F92A52"/>
    <w:rsid w:val="00F92CD2"/>
    <w:rsid w:val="00F9552D"/>
    <w:rsid w:val="00F955F6"/>
    <w:rsid w:val="00F9675A"/>
    <w:rsid w:val="00F96B7A"/>
    <w:rsid w:val="00F96EBB"/>
    <w:rsid w:val="00F97F3B"/>
    <w:rsid w:val="00FA16D4"/>
    <w:rsid w:val="00FA1BFD"/>
    <w:rsid w:val="00FA403B"/>
    <w:rsid w:val="00FA483E"/>
    <w:rsid w:val="00FA6CDF"/>
    <w:rsid w:val="00FA76AD"/>
    <w:rsid w:val="00FB2F2F"/>
    <w:rsid w:val="00FB33F3"/>
    <w:rsid w:val="00FB46E2"/>
    <w:rsid w:val="00FB4D0D"/>
    <w:rsid w:val="00FB4F15"/>
    <w:rsid w:val="00FB5A77"/>
    <w:rsid w:val="00FB5BB8"/>
    <w:rsid w:val="00FB6FA5"/>
    <w:rsid w:val="00FB7045"/>
    <w:rsid w:val="00FB7868"/>
    <w:rsid w:val="00FB7FD7"/>
    <w:rsid w:val="00FC01FA"/>
    <w:rsid w:val="00FC10A1"/>
    <w:rsid w:val="00FC1321"/>
    <w:rsid w:val="00FC1428"/>
    <w:rsid w:val="00FC15E1"/>
    <w:rsid w:val="00FC1A97"/>
    <w:rsid w:val="00FC1DD0"/>
    <w:rsid w:val="00FC1F7A"/>
    <w:rsid w:val="00FC20A5"/>
    <w:rsid w:val="00FC2C73"/>
    <w:rsid w:val="00FC3EAA"/>
    <w:rsid w:val="00FC4255"/>
    <w:rsid w:val="00FC42AB"/>
    <w:rsid w:val="00FC5359"/>
    <w:rsid w:val="00FC650A"/>
    <w:rsid w:val="00FC68C0"/>
    <w:rsid w:val="00FC6B08"/>
    <w:rsid w:val="00FC70CB"/>
    <w:rsid w:val="00FC70D3"/>
    <w:rsid w:val="00FC7175"/>
    <w:rsid w:val="00FC7FEC"/>
    <w:rsid w:val="00FD04EE"/>
    <w:rsid w:val="00FD04F8"/>
    <w:rsid w:val="00FD069B"/>
    <w:rsid w:val="00FD0CF5"/>
    <w:rsid w:val="00FD11EF"/>
    <w:rsid w:val="00FD2179"/>
    <w:rsid w:val="00FD2CF2"/>
    <w:rsid w:val="00FD2D41"/>
    <w:rsid w:val="00FD30B1"/>
    <w:rsid w:val="00FD3D64"/>
    <w:rsid w:val="00FD5457"/>
    <w:rsid w:val="00FD55D4"/>
    <w:rsid w:val="00FD5F8C"/>
    <w:rsid w:val="00FE0204"/>
    <w:rsid w:val="00FE088B"/>
    <w:rsid w:val="00FE0A92"/>
    <w:rsid w:val="00FE0F34"/>
    <w:rsid w:val="00FE21B9"/>
    <w:rsid w:val="00FE266A"/>
    <w:rsid w:val="00FE35F5"/>
    <w:rsid w:val="00FE3C7E"/>
    <w:rsid w:val="00FE3E01"/>
    <w:rsid w:val="00FE4022"/>
    <w:rsid w:val="00FE4A7F"/>
    <w:rsid w:val="00FE549F"/>
    <w:rsid w:val="00FE5950"/>
    <w:rsid w:val="00FE615D"/>
    <w:rsid w:val="00FE628B"/>
    <w:rsid w:val="00FE6852"/>
    <w:rsid w:val="00FE6F12"/>
    <w:rsid w:val="00FE7B78"/>
    <w:rsid w:val="00FE7FE6"/>
    <w:rsid w:val="00FF2FE2"/>
    <w:rsid w:val="00FF537F"/>
    <w:rsid w:val="00FF5A70"/>
    <w:rsid w:val="00FF5FCA"/>
    <w:rsid w:val="00FF6AC6"/>
    <w:rsid w:val="00FF7391"/>
    <w:rsid w:val="00FF760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57697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7DED"/>
    <w:pPr>
      <w:spacing w:after="240" w:line="280" w:lineRule="exact"/>
      <w:jc w:val="both"/>
    </w:pPr>
    <w:rPr>
      <w:rFonts w:eastAsia="Times New Roman" w:cs="Times New Roman"/>
      <w:color w:val="000000"/>
      <w:szCs w:val="20"/>
      <w:lang w:eastAsia="en-AU"/>
    </w:rPr>
  </w:style>
  <w:style w:type="paragraph" w:styleId="Heading1">
    <w:name w:val="heading 1"/>
    <w:basedOn w:val="HeadingBase"/>
    <w:next w:val="Normal"/>
    <w:link w:val="Heading1Char"/>
    <w:qFormat/>
    <w:rsid w:val="00FF537F"/>
    <w:pPr>
      <w:spacing w:after="360"/>
      <w:outlineLvl w:val="0"/>
    </w:pPr>
    <w:rPr>
      <w:rFonts w:cs="Arial"/>
      <w:b/>
      <w:bCs/>
      <w:smallCaps/>
      <w:kern w:val="32"/>
      <w:sz w:val="36"/>
      <w:szCs w:val="36"/>
    </w:rPr>
  </w:style>
  <w:style w:type="paragraph" w:styleId="Heading2">
    <w:name w:val="heading 2"/>
    <w:basedOn w:val="HeadingBase"/>
    <w:next w:val="Normal"/>
    <w:link w:val="Heading2Char"/>
    <w:qFormat/>
    <w:rsid w:val="00FF537F"/>
    <w:pPr>
      <w:spacing w:before="360" w:after="180"/>
      <w:outlineLvl w:val="1"/>
    </w:pPr>
    <w:rPr>
      <w:rFonts w:cs="Arial"/>
      <w:b/>
      <w:bCs/>
      <w:iCs/>
      <w:smallCaps/>
      <w:sz w:val="32"/>
      <w:szCs w:val="28"/>
    </w:rPr>
  </w:style>
  <w:style w:type="paragraph" w:styleId="Heading3">
    <w:name w:val="heading 3"/>
    <w:basedOn w:val="HeadingBase"/>
    <w:next w:val="Normal"/>
    <w:link w:val="Heading3Char"/>
    <w:qFormat/>
    <w:rsid w:val="00FF537F"/>
    <w:pPr>
      <w:spacing w:before="240" w:after="120"/>
      <w:outlineLvl w:val="2"/>
    </w:pPr>
    <w:rPr>
      <w:rFonts w:cs="Arial"/>
      <w:b/>
      <w:bCs/>
      <w:sz w:val="28"/>
      <w:szCs w:val="26"/>
    </w:rPr>
  </w:style>
  <w:style w:type="paragraph" w:styleId="Heading4">
    <w:name w:val="heading 4"/>
    <w:basedOn w:val="HeadingBase"/>
    <w:next w:val="Normal"/>
    <w:link w:val="Heading4Char"/>
    <w:qFormat/>
    <w:rsid w:val="00FF537F"/>
    <w:pPr>
      <w:spacing w:before="180" w:after="120"/>
      <w:outlineLvl w:val="3"/>
    </w:pPr>
    <w:rPr>
      <w:bCs/>
      <w:sz w:val="24"/>
      <w:szCs w:val="22"/>
    </w:rPr>
  </w:style>
  <w:style w:type="paragraph" w:styleId="Heading5">
    <w:name w:val="heading 5"/>
    <w:basedOn w:val="HeadingBase"/>
    <w:next w:val="Normal"/>
    <w:link w:val="Heading5Char"/>
    <w:qFormat/>
    <w:rsid w:val="00477DED"/>
    <w:pPr>
      <w:spacing w:after="120"/>
      <w:outlineLvl w:val="4"/>
    </w:pPr>
    <w:rPr>
      <w:b/>
      <w:bCs/>
      <w:iCs/>
      <w:sz w:val="24"/>
    </w:rPr>
  </w:style>
  <w:style w:type="paragraph" w:styleId="Heading6">
    <w:name w:val="heading 6"/>
    <w:basedOn w:val="HeadingBase"/>
    <w:next w:val="Normal"/>
    <w:link w:val="Heading6Char"/>
    <w:qFormat/>
    <w:rsid w:val="00477DED"/>
    <w:pPr>
      <w:spacing w:after="120"/>
      <w:outlineLvl w:val="5"/>
    </w:pPr>
    <w:rPr>
      <w:bCs/>
      <w:sz w:val="22"/>
      <w:szCs w:val="22"/>
    </w:rPr>
  </w:style>
  <w:style w:type="paragraph" w:styleId="Heading7">
    <w:name w:val="heading 7"/>
    <w:basedOn w:val="HeadingBase"/>
    <w:next w:val="Normal"/>
    <w:link w:val="Heading7Char"/>
    <w:qFormat/>
    <w:rsid w:val="00477DED"/>
    <w:pPr>
      <w:spacing w:after="120"/>
      <w:outlineLvl w:val="6"/>
    </w:pPr>
    <w:rPr>
      <w:szCs w:val="24"/>
    </w:rPr>
  </w:style>
  <w:style w:type="paragraph" w:styleId="Heading8">
    <w:name w:val="heading 8"/>
    <w:basedOn w:val="HeadingBase"/>
    <w:next w:val="Normal"/>
    <w:link w:val="Heading8Char"/>
    <w:qFormat/>
    <w:rsid w:val="00477DED"/>
    <w:pPr>
      <w:spacing w:before="60" w:after="60"/>
      <w:jc w:val="center"/>
      <w:outlineLvl w:val="7"/>
    </w:pPr>
    <w:rPr>
      <w:iCs/>
      <w:smallCaps/>
      <w:sz w:val="22"/>
      <w:szCs w:val="24"/>
    </w:rPr>
  </w:style>
  <w:style w:type="paragraph" w:styleId="Heading9">
    <w:name w:val="heading 9"/>
    <w:basedOn w:val="HeadingBase"/>
    <w:next w:val="Normal"/>
    <w:link w:val="Heading9Char"/>
    <w:qFormat/>
    <w:rsid w:val="00477DED"/>
    <w:pPr>
      <w:spacing w:before="60" w:after="60"/>
      <w:jc w:val="center"/>
      <w:outlineLvl w:val="8"/>
    </w:pPr>
    <w:rPr>
      <w:rFonts w:ascii="Arial Bold" w:hAnsi="Arial Bold" w:cs="Arial"/>
      <w:b/>
      <w:smallCaps/>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77DED"/>
    <w:rPr>
      <w:color w:val="auto"/>
      <w:u w:val="none"/>
    </w:rPr>
  </w:style>
  <w:style w:type="paragraph" w:customStyle="1" w:styleId="Default">
    <w:name w:val="Default"/>
    <w:rsid w:val="00D85D73"/>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rsid w:val="00FF537F"/>
    <w:rPr>
      <w:rFonts w:ascii="Calibri" w:eastAsia="Times New Roman" w:hAnsi="Calibri" w:cs="Arial"/>
      <w:b/>
      <w:bCs/>
      <w:smallCaps/>
      <w:color w:val="342E82"/>
      <w:kern w:val="32"/>
      <w:sz w:val="36"/>
      <w:szCs w:val="36"/>
      <w:lang w:eastAsia="en-AU"/>
    </w:rPr>
  </w:style>
  <w:style w:type="character" w:customStyle="1" w:styleId="Heading2Char">
    <w:name w:val="Heading 2 Char"/>
    <w:basedOn w:val="DefaultParagraphFont"/>
    <w:link w:val="Heading2"/>
    <w:rsid w:val="00FF537F"/>
    <w:rPr>
      <w:rFonts w:ascii="Calibri" w:eastAsia="Times New Roman" w:hAnsi="Calibri" w:cs="Arial"/>
      <w:b/>
      <w:bCs/>
      <w:iCs/>
      <w:smallCaps/>
      <w:color w:val="342E82"/>
      <w:sz w:val="32"/>
      <w:szCs w:val="28"/>
      <w:lang w:eastAsia="en-AU"/>
    </w:rPr>
  </w:style>
  <w:style w:type="character" w:customStyle="1" w:styleId="Heading3Char">
    <w:name w:val="Heading 3 Char"/>
    <w:basedOn w:val="DefaultParagraphFont"/>
    <w:link w:val="Heading3"/>
    <w:rsid w:val="00FF537F"/>
    <w:rPr>
      <w:rFonts w:ascii="Calibri" w:eastAsia="Times New Roman" w:hAnsi="Calibri" w:cs="Arial"/>
      <w:b/>
      <w:bCs/>
      <w:color w:val="342E82"/>
      <w:sz w:val="28"/>
      <w:szCs w:val="26"/>
      <w:lang w:eastAsia="en-AU"/>
    </w:rPr>
  </w:style>
  <w:style w:type="character" w:customStyle="1" w:styleId="Heading4Char">
    <w:name w:val="Heading 4 Char"/>
    <w:basedOn w:val="DefaultParagraphFont"/>
    <w:link w:val="Heading4"/>
    <w:rsid w:val="00FF537F"/>
    <w:rPr>
      <w:rFonts w:ascii="Calibri" w:eastAsia="Times New Roman" w:hAnsi="Calibri" w:cs="Times New Roman"/>
      <w:bCs/>
      <w:color w:val="342E82"/>
      <w:sz w:val="24"/>
      <w:lang w:eastAsia="en-AU"/>
    </w:rPr>
  </w:style>
  <w:style w:type="character" w:customStyle="1" w:styleId="Heading5Char">
    <w:name w:val="Heading 5 Char"/>
    <w:basedOn w:val="DefaultParagraphFont"/>
    <w:link w:val="Heading5"/>
    <w:rsid w:val="00477DED"/>
    <w:rPr>
      <w:rFonts w:ascii="Calibri" w:eastAsia="Times New Roman" w:hAnsi="Calibri" w:cs="Times New Roman"/>
      <w:b/>
      <w:bCs/>
      <w:iCs/>
      <w:color w:val="342E82"/>
      <w:sz w:val="24"/>
      <w:szCs w:val="20"/>
      <w:lang w:eastAsia="en-AU"/>
    </w:rPr>
  </w:style>
  <w:style w:type="character" w:customStyle="1" w:styleId="Heading6Char">
    <w:name w:val="Heading 6 Char"/>
    <w:basedOn w:val="DefaultParagraphFont"/>
    <w:link w:val="Heading6"/>
    <w:rsid w:val="00D85D73"/>
    <w:rPr>
      <w:rFonts w:ascii="Calibri" w:eastAsia="Times New Roman" w:hAnsi="Calibri" w:cs="Times New Roman"/>
      <w:bCs/>
      <w:color w:val="342E82"/>
      <w:lang w:eastAsia="en-AU"/>
    </w:rPr>
  </w:style>
  <w:style w:type="character" w:customStyle="1" w:styleId="Heading7Char">
    <w:name w:val="Heading 7 Char"/>
    <w:basedOn w:val="DefaultParagraphFont"/>
    <w:link w:val="Heading7"/>
    <w:rsid w:val="00D85D73"/>
    <w:rPr>
      <w:rFonts w:ascii="Calibri" w:eastAsia="Times New Roman" w:hAnsi="Calibri" w:cs="Times New Roman"/>
      <w:color w:val="342E82"/>
      <w:sz w:val="20"/>
      <w:szCs w:val="24"/>
      <w:lang w:eastAsia="en-AU"/>
    </w:rPr>
  </w:style>
  <w:style w:type="character" w:customStyle="1" w:styleId="Heading8Char">
    <w:name w:val="Heading 8 Char"/>
    <w:basedOn w:val="DefaultParagraphFont"/>
    <w:link w:val="Heading8"/>
    <w:rsid w:val="00D85D73"/>
    <w:rPr>
      <w:rFonts w:ascii="Calibri" w:eastAsia="Times New Roman" w:hAnsi="Calibri" w:cs="Times New Roman"/>
      <w:iCs/>
      <w:smallCaps/>
      <w:color w:val="342E82"/>
      <w:szCs w:val="24"/>
      <w:lang w:eastAsia="en-AU"/>
    </w:rPr>
  </w:style>
  <w:style w:type="character" w:customStyle="1" w:styleId="Heading9Char">
    <w:name w:val="Heading 9 Char"/>
    <w:basedOn w:val="DefaultParagraphFont"/>
    <w:link w:val="Heading9"/>
    <w:rsid w:val="00D85D73"/>
    <w:rPr>
      <w:rFonts w:ascii="Arial Bold" w:eastAsia="Times New Roman" w:hAnsi="Arial Bold" w:cs="Arial"/>
      <w:b/>
      <w:smallCaps/>
      <w:color w:val="342E82"/>
      <w:sz w:val="24"/>
      <w:lang w:eastAsia="en-AU"/>
    </w:rPr>
  </w:style>
  <w:style w:type="paragraph" w:customStyle="1" w:styleId="HeadingBase">
    <w:name w:val="Heading Base"/>
    <w:next w:val="Normal"/>
    <w:rsid w:val="00477DED"/>
    <w:pPr>
      <w:keepNext/>
      <w:spacing w:after="0" w:line="240" w:lineRule="auto"/>
    </w:pPr>
    <w:rPr>
      <w:rFonts w:ascii="Calibri" w:eastAsia="Times New Roman" w:hAnsi="Calibri" w:cs="Times New Roman"/>
      <w:color w:val="342E82"/>
      <w:sz w:val="20"/>
      <w:szCs w:val="20"/>
      <w:lang w:eastAsia="en-AU"/>
    </w:rPr>
  </w:style>
  <w:style w:type="paragraph" w:customStyle="1" w:styleId="ChartGraphic">
    <w:name w:val="Chart Graphic"/>
    <w:basedOn w:val="HeadingBase"/>
    <w:next w:val="Normal"/>
    <w:rsid w:val="00477DED"/>
    <w:pPr>
      <w:jc w:val="center"/>
    </w:pPr>
  </w:style>
  <w:style w:type="paragraph" w:customStyle="1" w:styleId="TableGraphic">
    <w:name w:val="Table Graphic"/>
    <w:basedOn w:val="HeadingBase"/>
    <w:next w:val="Normal"/>
    <w:rsid w:val="00477DED"/>
  </w:style>
  <w:style w:type="paragraph" w:customStyle="1" w:styleId="AlphaParagraph">
    <w:name w:val="Alpha Paragraph"/>
    <w:basedOn w:val="Normal"/>
    <w:rsid w:val="00477DED"/>
    <w:pPr>
      <w:numPr>
        <w:numId w:val="1"/>
      </w:numPr>
    </w:pPr>
  </w:style>
  <w:style w:type="paragraph" w:customStyle="1" w:styleId="AppendixHeading">
    <w:name w:val="Appendix Heading"/>
    <w:basedOn w:val="HeadingBase"/>
    <w:next w:val="Normal"/>
    <w:rsid w:val="00FF537F"/>
    <w:pPr>
      <w:spacing w:after="360"/>
      <w:outlineLvl w:val="0"/>
    </w:pPr>
    <w:rPr>
      <w:b/>
      <w:smallCaps/>
      <w:sz w:val="36"/>
      <w:szCs w:val="36"/>
    </w:rPr>
  </w:style>
  <w:style w:type="paragraph" w:styleId="BalloonText">
    <w:name w:val="Balloon Text"/>
    <w:basedOn w:val="Normal"/>
    <w:link w:val="BalloonTextChar"/>
    <w:semiHidden/>
    <w:rsid w:val="00477DED"/>
    <w:rPr>
      <w:rFonts w:ascii="Tahoma" w:hAnsi="Tahoma" w:cs="Tahoma"/>
      <w:sz w:val="16"/>
      <w:szCs w:val="16"/>
    </w:rPr>
  </w:style>
  <w:style w:type="character" w:customStyle="1" w:styleId="BalloonTextChar">
    <w:name w:val="Balloon Text Char"/>
    <w:basedOn w:val="DefaultParagraphFont"/>
    <w:link w:val="BalloonText"/>
    <w:semiHidden/>
    <w:rsid w:val="00D85D73"/>
    <w:rPr>
      <w:rFonts w:ascii="Tahoma" w:eastAsia="Times New Roman" w:hAnsi="Tahoma" w:cs="Tahoma"/>
      <w:color w:val="000000"/>
      <w:sz w:val="16"/>
      <w:szCs w:val="16"/>
      <w:lang w:eastAsia="en-AU"/>
    </w:rPr>
  </w:style>
  <w:style w:type="character" w:customStyle="1" w:styleId="Bold">
    <w:name w:val="Bold"/>
    <w:basedOn w:val="DefaultParagraphFont"/>
    <w:rsid w:val="00477DED"/>
    <w:rPr>
      <w:b/>
    </w:rPr>
  </w:style>
  <w:style w:type="paragraph" w:customStyle="1" w:styleId="BoxTextBase">
    <w:name w:val="Box Text Base"/>
    <w:basedOn w:val="Normal"/>
    <w:rsid w:val="00477DED"/>
  </w:style>
  <w:style w:type="paragraph" w:customStyle="1" w:styleId="BoxBullet">
    <w:name w:val="Box Bullet"/>
    <w:basedOn w:val="BoxTextBase"/>
    <w:rsid w:val="00477DED"/>
    <w:pPr>
      <w:numPr>
        <w:numId w:val="2"/>
      </w:numPr>
    </w:pPr>
  </w:style>
  <w:style w:type="paragraph" w:customStyle="1" w:styleId="BoxDash">
    <w:name w:val="Box Dash"/>
    <w:basedOn w:val="Normal"/>
    <w:rsid w:val="00477DED"/>
    <w:pPr>
      <w:numPr>
        <w:ilvl w:val="1"/>
        <w:numId w:val="2"/>
      </w:numPr>
    </w:pPr>
  </w:style>
  <w:style w:type="paragraph" w:customStyle="1" w:styleId="BoxDoubleDot">
    <w:name w:val="Box Double Dot"/>
    <w:basedOn w:val="BoxTextBase"/>
    <w:rsid w:val="00477DED"/>
    <w:pPr>
      <w:numPr>
        <w:ilvl w:val="2"/>
        <w:numId w:val="2"/>
      </w:numPr>
    </w:pPr>
  </w:style>
  <w:style w:type="paragraph" w:customStyle="1" w:styleId="BoxHeading">
    <w:name w:val="Box Heading"/>
    <w:basedOn w:val="HeadingBase"/>
    <w:next w:val="BoxText"/>
    <w:rsid w:val="00477DED"/>
    <w:pPr>
      <w:spacing w:before="240" w:after="120"/>
    </w:pPr>
    <w:rPr>
      <w:b/>
      <w:sz w:val="22"/>
    </w:rPr>
  </w:style>
  <w:style w:type="paragraph" w:customStyle="1" w:styleId="BoxText">
    <w:name w:val="Box Text"/>
    <w:basedOn w:val="BoxTextBase"/>
    <w:rsid w:val="00477DED"/>
  </w:style>
  <w:style w:type="paragraph" w:customStyle="1" w:styleId="Bullet">
    <w:name w:val="Bullet"/>
    <w:aliases w:val="b"/>
    <w:basedOn w:val="Normal"/>
    <w:link w:val="BulletChar"/>
    <w:rsid w:val="00FF537F"/>
    <w:pPr>
      <w:numPr>
        <w:numId w:val="4"/>
      </w:numPr>
      <w:tabs>
        <w:tab w:val="left" w:pos="397"/>
      </w:tabs>
      <w:spacing w:after="120" w:line="240" w:lineRule="auto"/>
    </w:pPr>
  </w:style>
  <w:style w:type="paragraph" w:styleId="NormalIndent">
    <w:name w:val="Normal Indent"/>
    <w:basedOn w:val="Normal"/>
    <w:rsid w:val="00477DED"/>
    <w:pPr>
      <w:ind w:left="567"/>
    </w:pPr>
    <w:rPr>
      <w:i/>
    </w:rPr>
  </w:style>
  <w:style w:type="paragraph" w:customStyle="1" w:styleId="ChartandTableFootnoteAlpha">
    <w:name w:val="Chart and Table Footnote Alpha"/>
    <w:rsid w:val="00477DED"/>
    <w:pPr>
      <w:numPr>
        <w:numId w:val="3"/>
      </w:numPr>
      <w:tabs>
        <w:tab w:val="clear" w:pos="283"/>
        <w:tab w:val="num" w:pos="360"/>
      </w:tabs>
      <w:spacing w:after="0" w:line="240" w:lineRule="auto"/>
      <w:ind w:left="0" w:firstLine="0"/>
      <w:jc w:val="both"/>
    </w:pPr>
    <w:rPr>
      <w:rFonts w:ascii="Arial" w:eastAsia="Times New Roman" w:hAnsi="Arial" w:cs="Times New Roman"/>
      <w:color w:val="000000"/>
      <w:sz w:val="16"/>
      <w:szCs w:val="16"/>
      <w:lang w:eastAsia="en-AU"/>
    </w:rPr>
  </w:style>
  <w:style w:type="paragraph" w:customStyle="1" w:styleId="ChartMainHeading">
    <w:name w:val="Chart Main Heading"/>
    <w:basedOn w:val="HeadingBase"/>
    <w:next w:val="ChartGraphic"/>
    <w:rsid w:val="00477DED"/>
    <w:pPr>
      <w:spacing w:after="20"/>
      <w:jc w:val="center"/>
    </w:pPr>
    <w:rPr>
      <w:b/>
      <w:sz w:val="22"/>
    </w:rPr>
  </w:style>
  <w:style w:type="paragraph" w:customStyle="1" w:styleId="ChartorTableNote">
    <w:name w:val="Chart or Table Note"/>
    <w:next w:val="Normal"/>
    <w:rsid w:val="00477DED"/>
    <w:pPr>
      <w:spacing w:after="0" w:line="240" w:lineRule="auto"/>
      <w:jc w:val="both"/>
    </w:pPr>
    <w:rPr>
      <w:rFonts w:ascii="Arial" w:eastAsia="Times New Roman" w:hAnsi="Arial" w:cs="Times New Roman"/>
      <w:color w:val="000000"/>
      <w:sz w:val="16"/>
      <w:szCs w:val="20"/>
      <w:lang w:eastAsia="en-AU"/>
    </w:rPr>
  </w:style>
  <w:style w:type="paragraph" w:customStyle="1" w:styleId="ChartSecondHeading">
    <w:name w:val="Chart Second Heading"/>
    <w:basedOn w:val="HeadingBase"/>
    <w:next w:val="ChartGraphic"/>
    <w:rsid w:val="00477DED"/>
    <w:pPr>
      <w:spacing w:after="20"/>
      <w:jc w:val="center"/>
    </w:pPr>
  </w:style>
  <w:style w:type="paragraph" w:customStyle="1" w:styleId="Classification">
    <w:name w:val="Classification"/>
    <w:basedOn w:val="HeadingBase"/>
    <w:next w:val="Footer"/>
    <w:rsid w:val="00477DED"/>
    <w:pPr>
      <w:spacing w:after="120"/>
      <w:jc w:val="center"/>
    </w:pPr>
    <w:rPr>
      <w:b/>
      <w:smallCaps/>
    </w:rPr>
  </w:style>
  <w:style w:type="paragraph" w:styleId="Footer">
    <w:name w:val="footer"/>
    <w:basedOn w:val="HeadingBase"/>
    <w:link w:val="FooterChar"/>
    <w:rsid w:val="00477DED"/>
    <w:rPr>
      <w:sz w:val="18"/>
    </w:rPr>
  </w:style>
  <w:style w:type="character" w:customStyle="1" w:styleId="FooterChar">
    <w:name w:val="Footer Char"/>
    <w:link w:val="Footer"/>
    <w:rsid w:val="00477DED"/>
    <w:rPr>
      <w:rFonts w:ascii="Calibri" w:eastAsia="Times New Roman" w:hAnsi="Calibri" w:cs="Times New Roman"/>
      <w:color w:val="342E82"/>
      <w:sz w:val="18"/>
      <w:szCs w:val="20"/>
      <w:lang w:eastAsia="en-AU"/>
    </w:rPr>
  </w:style>
  <w:style w:type="paragraph" w:customStyle="1" w:styleId="ContentsHeading">
    <w:name w:val="Contents Heading"/>
    <w:basedOn w:val="HeadingBase"/>
    <w:next w:val="Normal"/>
    <w:rsid w:val="00FF537F"/>
    <w:pPr>
      <w:spacing w:after="360"/>
    </w:pPr>
    <w:rPr>
      <w:smallCaps/>
      <w:sz w:val="36"/>
      <w:szCs w:val="36"/>
    </w:rPr>
  </w:style>
  <w:style w:type="paragraph" w:customStyle="1" w:styleId="CoverTitleSub">
    <w:name w:val="Cover Title Sub"/>
    <w:basedOn w:val="HeadingBase"/>
    <w:rsid w:val="00477DED"/>
    <w:pPr>
      <w:spacing w:after="360"/>
      <w:jc w:val="right"/>
    </w:pPr>
    <w:rPr>
      <w:sz w:val="36"/>
    </w:rPr>
  </w:style>
  <w:style w:type="paragraph" w:customStyle="1" w:styleId="Covertitlelevel3">
    <w:name w:val="Cover title level 3"/>
    <w:basedOn w:val="CoverTitleSub"/>
    <w:rsid w:val="00D85D73"/>
    <w:pPr>
      <w:spacing w:after="120"/>
    </w:pPr>
    <w:rPr>
      <w:sz w:val="28"/>
      <w:szCs w:val="28"/>
    </w:rPr>
  </w:style>
  <w:style w:type="paragraph" w:customStyle="1" w:styleId="CoverTitleMain">
    <w:name w:val="Cover Title Main"/>
    <w:basedOn w:val="HeadingBase"/>
    <w:next w:val="Normal"/>
    <w:rsid w:val="00477DED"/>
    <w:pPr>
      <w:pBdr>
        <w:bottom w:val="single" w:sz="18" w:space="9" w:color="342E82"/>
      </w:pBdr>
      <w:spacing w:after="480"/>
      <w:jc w:val="right"/>
    </w:pPr>
    <w:rPr>
      <w:b/>
      <w:sz w:val="48"/>
    </w:rPr>
  </w:style>
  <w:style w:type="paragraph" w:customStyle="1" w:styleId="Dash">
    <w:name w:val="Dash"/>
    <w:basedOn w:val="Normal"/>
    <w:link w:val="DashChar"/>
    <w:rsid w:val="00FF537F"/>
    <w:pPr>
      <w:numPr>
        <w:ilvl w:val="1"/>
        <w:numId w:val="4"/>
      </w:numPr>
      <w:tabs>
        <w:tab w:val="clear" w:pos="1134"/>
        <w:tab w:val="num" w:pos="794"/>
      </w:tabs>
      <w:spacing w:after="120" w:line="240" w:lineRule="auto"/>
      <w:ind w:left="794" w:hanging="397"/>
    </w:pPr>
  </w:style>
  <w:style w:type="paragraph" w:customStyle="1" w:styleId="DoubleDot">
    <w:name w:val="Double Dot"/>
    <w:basedOn w:val="Normal"/>
    <w:rsid w:val="00477DED"/>
    <w:pPr>
      <w:numPr>
        <w:ilvl w:val="2"/>
        <w:numId w:val="4"/>
      </w:numPr>
      <w:tabs>
        <w:tab w:val="clear" w:pos="1700"/>
        <w:tab w:val="num" w:pos="360"/>
      </w:tabs>
      <w:ind w:left="1758" w:hanging="397"/>
    </w:pPr>
  </w:style>
  <w:style w:type="paragraph" w:customStyle="1" w:styleId="Figuregraphic">
    <w:name w:val="Figure graphic"/>
    <w:basedOn w:val="Normal"/>
    <w:rsid w:val="00D85D73"/>
    <w:pPr>
      <w:jc w:val="center"/>
    </w:pPr>
  </w:style>
  <w:style w:type="paragraph" w:customStyle="1" w:styleId="FigureHeading">
    <w:name w:val="Figure Heading"/>
    <w:basedOn w:val="HeadingBase"/>
    <w:next w:val="Figuregraphic"/>
    <w:rsid w:val="00D85D73"/>
    <w:pPr>
      <w:spacing w:after="20"/>
      <w:jc w:val="center"/>
    </w:pPr>
    <w:rPr>
      <w:rFonts w:ascii="Arial Bold" w:hAnsi="Arial Bold"/>
      <w:b/>
      <w:sz w:val="22"/>
      <w:szCs w:val="22"/>
    </w:rPr>
  </w:style>
  <w:style w:type="paragraph" w:customStyle="1" w:styleId="FigureSecondHeading">
    <w:name w:val="Figure Second Heading"/>
    <w:basedOn w:val="HeadingBase"/>
    <w:next w:val="Figuregraphic"/>
    <w:rsid w:val="00D85D73"/>
    <w:pPr>
      <w:spacing w:after="20"/>
      <w:jc w:val="center"/>
    </w:pPr>
  </w:style>
  <w:style w:type="paragraph" w:customStyle="1" w:styleId="TableMainHeading">
    <w:name w:val="Table Main Heading"/>
    <w:basedOn w:val="HeadingBase"/>
    <w:next w:val="TableGraphic"/>
    <w:rsid w:val="00477DED"/>
    <w:pPr>
      <w:spacing w:after="20"/>
    </w:pPr>
    <w:rPr>
      <w:b/>
      <w:sz w:val="22"/>
    </w:rPr>
  </w:style>
  <w:style w:type="paragraph" w:customStyle="1" w:styleId="FooterCentered">
    <w:name w:val="Footer Centered"/>
    <w:basedOn w:val="Footer"/>
    <w:rsid w:val="00477DED"/>
    <w:pPr>
      <w:jc w:val="center"/>
    </w:pPr>
  </w:style>
  <w:style w:type="paragraph" w:customStyle="1" w:styleId="FooterEven">
    <w:name w:val="Footer Even"/>
    <w:basedOn w:val="Footer"/>
    <w:rsid w:val="00477DED"/>
  </w:style>
  <w:style w:type="paragraph" w:customStyle="1" w:styleId="FooterOdd">
    <w:name w:val="Footer Odd"/>
    <w:basedOn w:val="Footer"/>
    <w:rsid w:val="00477DED"/>
    <w:pPr>
      <w:jc w:val="right"/>
    </w:pPr>
  </w:style>
  <w:style w:type="character" w:styleId="FootnoteReference">
    <w:name w:val="footnote reference"/>
    <w:basedOn w:val="DefaultParagraphFont"/>
    <w:rsid w:val="00477DED"/>
    <w:rPr>
      <w:vertAlign w:val="superscript"/>
    </w:rPr>
  </w:style>
  <w:style w:type="paragraph" w:styleId="FootnoteText">
    <w:name w:val="footnote text"/>
    <w:basedOn w:val="Normal"/>
    <w:link w:val="FootnoteTextChar"/>
    <w:rsid w:val="00477DED"/>
    <w:pPr>
      <w:tabs>
        <w:tab w:val="left" w:pos="284"/>
      </w:tabs>
      <w:spacing w:after="0" w:line="240" w:lineRule="auto"/>
      <w:ind w:left="284" w:hanging="284"/>
    </w:pPr>
    <w:rPr>
      <w:sz w:val="18"/>
    </w:rPr>
  </w:style>
  <w:style w:type="character" w:customStyle="1" w:styleId="FootnoteTextChar">
    <w:name w:val="Footnote Text Char"/>
    <w:basedOn w:val="DefaultParagraphFont"/>
    <w:link w:val="FootnoteText"/>
    <w:rsid w:val="00D85D73"/>
    <w:rPr>
      <w:rFonts w:eastAsia="Times New Roman" w:cs="Times New Roman"/>
      <w:color w:val="000000"/>
      <w:sz w:val="18"/>
      <w:szCs w:val="20"/>
      <w:lang w:eastAsia="en-AU"/>
    </w:rPr>
  </w:style>
  <w:style w:type="character" w:customStyle="1" w:styleId="FramedFooter">
    <w:name w:val="Framed Footer"/>
    <w:rsid w:val="00477DED"/>
    <w:rPr>
      <w:rFonts w:ascii="Arial" w:hAnsi="Arial"/>
      <w:color w:val="342E82"/>
      <w:sz w:val="18"/>
    </w:rPr>
  </w:style>
  <w:style w:type="character" w:customStyle="1" w:styleId="FramedHeader">
    <w:name w:val="Framed Header"/>
    <w:basedOn w:val="DefaultParagraphFont"/>
    <w:rsid w:val="00477DED"/>
    <w:rPr>
      <w:rFonts w:ascii="Arial" w:hAnsi="Arial"/>
      <w:dstrike w:val="0"/>
      <w:color w:val="342E82"/>
      <w:sz w:val="18"/>
      <w:vertAlign w:val="baseline"/>
    </w:rPr>
  </w:style>
  <w:style w:type="paragraph" w:styleId="Header">
    <w:name w:val="header"/>
    <w:basedOn w:val="HeadingBase"/>
    <w:link w:val="HeaderChar"/>
    <w:rsid w:val="00477DED"/>
    <w:rPr>
      <w:sz w:val="18"/>
    </w:rPr>
  </w:style>
  <w:style w:type="character" w:customStyle="1" w:styleId="HeaderChar">
    <w:name w:val="Header Char"/>
    <w:basedOn w:val="DefaultParagraphFont"/>
    <w:link w:val="Header"/>
    <w:rsid w:val="00D85D73"/>
    <w:rPr>
      <w:rFonts w:ascii="Calibri" w:eastAsia="Times New Roman" w:hAnsi="Calibri" w:cs="Times New Roman"/>
      <w:color w:val="342E82"/>
      <w:sz w:val="18"/>
      <w:szCs w:val="20"/>
      <w:lang w:eastAsia="en-AU"/>
    </w:rPr>
  </w:style>
  <w:style w:type="paragraph" w:customStyle="1" w:styleId="HeaderEven">
    <w:name w:val="Header Even"/>
    <w:basedOn w:val="Header"/>
    <w:rsid w:val="00477DED"/>
  </w:style>
  <w:style w:type="paragraph" w:customStyle="1" w:styleId="HeaderOdd">
    <w:name w:val="Header Odd"/>
    <w:basedOn w:val="Header"/>
    <w:rsid w:val="00477DED"/>
    <w:pPr>
      <w:jc w:val="right"/>
    </w:pPr>
  </w:style>
  <w:style w:type="character" w:customStyle="1" w:styleId="italic">
    <w:name w:val="italic"/>
    <w:basedOn w:val="DefaultParagraphFont"/>
    <w:rsid w:val="00477DED"/>
    <w:rPr>
      <w:i/>
    </w:rPr>
  </w:style>
  <w:style w:type="paragraph" w:styleId="NormalWeb">
    <w:name w:val="Normal (Web)"/>
    <w:basedOn w:val="Normal"/>
    <w:uiPriority w:val="99"/>
    <w:rsid w:val="00D85D73"/>
    <w:pPr>
      <w:spacing w:line="312" w:lineRule="atLeast"/>
    </w:pPr>
    <w:rPr>
      <w:sz w:val="24"/>
      <w:szCs w:val="24"/>
    </w:rPr>
  </w:style>
  <w:style w:type="paragraph" w:customStyle="1" w:styleId="NormalIndentItalics">
    <w:name w:val="Normal Indent Italics"/>
    <w:basedOn w:val="NormalIndent"/>
    <w:rsid w:val="00D85D73"/>
    <w:rPr>
      <w:i w:val="0"/>
    </w:rPr>
  </w:style>
  <w:style w:type="paragraph" w:customStyle="1" w:styleId="OutlineNumbered1">
    <w:name w:val="Outline Numbered 1"/>
    <w:basedOn w:val="Normal"/>
    <w:rsid w:val="00FF537F"/>
    <w:pPr>
      <w:numPr>
        <w:numId w:val="19"/>
      </w:numPr>
      <w:tabs>
        <w:tab w:val="left" w:pos="397"/>
      </w:tabs>
    </w:pPr>
  </w:style>
  <w:style w:type="paragraph" w:customStyle="1" w:styleId="OneLevelNumberedParagraph">
    <w:name w:val="One Level Numbered Paragraph"/>
    <w:basedOn w:val="Normal"/>
    <w:rsid w:val="00477DED"/>
    <w:pPr>
      <w:numPr>
        <w:numId w:val="5"/>
      </w:numPr>
    </w:pPr>
  </w:style>
  <w:style w:type="paragraph" w:customStyle="1" w:styleId="OutlineNumbered2">
    <w:name w:val="Outline Numbered 2"/>
    <w:basedOn w:val="Normal"/>
    <w:rsid w:val="00477DED"/>
    <w:pPr>
      <w:numPr>
        <w:ilvl w:val="1"/>
        <w:numId w:val="19"/>
      </w:numPr>
    </w:pPr>
  </w:style>
  <w:style w:type="paragraph" w:customStyle="1" w:styleId="OutlineNumbered3">
    <w:name w:val="Outline Numbered 3"/>
    <w:basedOn w:val="Normal"/>
    <w:rsid w:val="00477DED"/>
    <w:pPr>
      <w:numPr>
        <w:ilvl w:val="2"/>
        <w:numId w:val="19"/>
      </w:numPr>
    </w:pPr>
  </w:style>
  <w:style w:type="character" w:styleId="PageNumber">
    <w:name w:val="page number"/>
    <w:basedOn w:val="DefaultParagraphFont"/>
    <w:rsid w:val="00D85D73"/>
    <w:rPr>
      <w:rFonts w:ascii="Arial" w:hAnsi="Arial"/>
      <w:sz w:val="18"/>
    </w:rPr>
  </w:style>
  <w:style w:type="paragraph" w:customStyle="1" w:styleId="Principle">
    <w:name w:val="Principle"/>
    <w:basedOn w:val="Normal"/>
    <w:rsid w:val="00D85D73"/>
    <w:pPr>
      <w:keepNext/>
      <w:spacing w:after="60"/>
      <w:ind w:left="573"/>
    </w:pPr>
    <w:rPr>
      <w:rFonts w:ascii="Book Antiqua" w:hAnsi="Book Antiqua"/>
      <w:i/>
      <w:sz w:val="20"/>
    </w:rPr>
  </w:style>
  <w:style w:type="paragraph" w:customStyle="1" w:styleId="RecommendationTextBase">
    <w:name w:val="Recommendation Text Base"/>
    <w:basedOn w:val="Normal"/>
    <w:rsid w:val="00477DED"/>
    <w:pPr>
      <w:spacing w:before="120" w:after="120"/>
    </w:pPr>
  </w:style>
  <w:style w:type="paragraph" w:customStyle="1" w:styleId="RecommendationBullet">
    <w:name w:val="Recommendation Bullet"/>
    <w:basedOn w:val="RecommendationTextBase"/>
    <w:rsid w:val="00477DED"/>
    <w:pPr>
      <w:numPr>
        <w:numId w:val="6"/>
      </w:numPr>
    </w:pPr>
  </w:style>
  <w:style w:type="paragraph" w:customStyle="1" w:styleId="RecommendationDash">
    <w:name w:val="Recommendation Dash"/>
    <w:basedOn w:val="RecommendationTextBase"/>
    <w:rsid w:val="00477DED"/>
    <w:pPr>
      <w:numPr>
        <w:ilvl w:val="1"/>
        <w:numId w:val="6"/>
      </w:numPr>
    </w:pPr>
  </w:style>
  <w:style w:type="paragraph" w:customStyle="1" w:styleId="RecommendationDoubleDot">
    <w:name w:val="Recommendation Double Dot"/>
    <w:basedOn w:val="RecommendationTextBase"/>
    <w:rsid w:val="00477DED"/>
    <w:pPr>
      <w:numPr>
        <w:ilvl w:val="2"/>
        <w:numId w:val="6"/>
      </w:numPr>
    </w:pPr>
  </w:style>
  <w:style w:type="paragraph" w:customStyle="1" w:styleId="RecommendationHeading">
    <w:name w:val="Recommendation Heading"/>
    <w:basedOn w:val="HeadingBase"/>
    <w:next w:val="RecommendationText"/>
    <w:rsid w:val="00477DED"/>
    <w:pPr>
      <w:spacing w:before="120" w:after="240"/>
    </w:pPr>
    <w:rPr>
      <w:b/>
      <w:sz w:val="22"/>
    </w:rPr>
  </w:style>
  <w:style w:type="paragraph" w:customStyle="1" w:styleId="RecommendationText">
    <w:name w:val="Recommendation Text"/>
    <w:basedOn w:val="RecommendationTextBase"/>
    <w:rsid w:val="00477DED"/>
  </w:style>
  <w:style w:type="paragraph" w:customStyle="1" w:styleId="Romannumeral">
    <w:name w:val="Roman numeral"/>
    <w:basedOn w:val="Normal"/>
    <w:rsid w:val="00477DED"/>
    <w:pPr>
      <w:numPr>
        <w:numId w:val="7"/>
      </w:numPr>
    </w:pPr>
  </w:style>
  <w:style w:type="paragraph" w:customStyle="1" w:styleId="SingleParagraph">
    <w:name w:val="Single Paragraph"/>
    <w:basedOn w:val="Normal"/>
    <w:link w:val="SingleParagraphChar"/>
    <w:rsid w:val="00477DED"/>
    <w:pPr>
      <w:spacing w:after="0"/>
    </w:pPr>
  </w:style>
  <w:style w:type="paragraph" w:customStyle="1" w:styleId="SingleParagraphIndent">
    <w:name w:val="Single Paragraph Indent"/>
    <w:basedOn w:val="SingleParagraph"/>
    <w:rsid w:val="00D85D73"/>
    <w:pPr>
      <w:ind w:left="567"/>
    </w:pPr>
  </w:style>
  <w:style w:type="paragraph" w:customStyle="1" w:styleId="TableSecondHeading">
    <w:name w:val="Table Second Heading"/>
    <w:basedOn w:val="HeadingBase"/>
    <w:next w:val="TableGraphic"/>
    <w:rsid w:val="00477DED"/>
    <w:pPr>
      <w:spacing w:after="20"/>
    </w:pPr>
  </w:style>
  <w:style w:type="paragraph" w:customStyle="1" w:styleId="TableTextBase">
    <w:name w:val="Table Text Base"/>
    <w:rsid w:val="00477DED"/>
    <w:pPr>
      <w:spacing w:before="40" w:after="40" w:line="240" w:lineRule="auto"/>
    </w:pPr>
    <w:rPr>
      <w:rFonts w:eastAsia="Times New Roman" w:cs="Times New Roman"/>
      <w:color w:val="000000"/>
      <w:sz w:val="16"/>
      <w:szCs w:val="20"/>
      <w:lang w:eastAsia="en-AU"/>
    </w:rPr>
  </w:style>
  <w:style w:type="paragraph" w:customStyle="1" w:styleId="TableColumnHeadingCentred">
    <w:name w:val="Table Column Heading Centred"/>
    <w:basedOn w:val="TableColumnHeadingBase"/>
    <w:rsid w:val="00477DED"/>
    <w:pPr>
      <w:jc w:val="center"/>
    </w:pPr>
  </w:style>
  <w:style w:type="paragraph" w:customStyle="1" w:styleId="TableColumnHeadingBase">
    <w:name w:val="Table Column Heading Base"/>
    <w:basedOn w:val="Normal"/>
    <w:rsid w:val="00477DED"/>
    <w:pPr>
      <w:spacing w:before="40" w:after="40" w:line="240" w:lineRule="auto"/>
    </w:pPr>
    <w:rPr>
      <w:b/>
      <w:color w:val="342E82"/>
      <w:sz w:val="16"/>
    </w:rPr>
  </w:style>
  <w:style w:type="paragraph" w:customStyle="1" w:styleId="TableColumnHeadingLeft">
    <w:name w:val="Table Column Heading Left"/>
    <w:basedOn w:val="TableColumnHeadingBase"/>
    <w:rsid w:val="00477DED"/>
  </w:style>
  <w:style w:type="paragraph" w:customStyle="1" w:styleId="TableColumnHeadingRight">
    <w:name w:val="Table Column Heading Right"/>
    <w:basedOn w:val="TableColumnHeadingBase"/>
    <w:rsid w:val="00477DED"/>
    <w:pPr>
      <w:jc w:val="right"/>
    </w:pPr>
  </w:style>
  <w:style w:type="table" w:styleId="TableGrid">
    <w:name w:val="Table Grid"/>
    <w:basedOn w:val="TableNormal"/>
    <w:rsid w:val="00477DED"/>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MainHeadingContd">
    <w:name w:val="Table Main Heading Contd"/>
    <w:basedOn w:val="HeadingBase"/>
    <w:next w:val="TableGraphic"/>
    <w:rsid w:val="00477DED"/>
    <w:pPr>
      <w:pageBreakBefore/>
      <w:spacing w:after="20"/>
    </w:pPr>
    <w:rPr>
      <w:b/>
      <w:sz w:val="22"/>
    </w:rPr>
  </w:style>
  <w:style w:type="paragraph" w:customStyle="1" w:styleId="TableTextCentered">
    <w:name w:val="Table Text Centered"/>
    <w:basedOn w:val="TableTextBase"/>
    <w:rsid w:val="00477DED"/>
    <w:pPr>
      <w:jc w:val="center"/>
    </w:pPr>
  </w:style>
  <w:style w:type="paragraph" w:customStyle="1" w:styleId="TableTextIndented">
    <w:name w:val="Table Text Indented"/>
    <w:basedOn w:val="TableTextBase"/>
    <w:rsid w:val="00477DED"/>
    <w:pPr>
      <w:ind w:left="284"/>
    </w:pPr>
  </w:style>
  <w:style w:type="paragraph" w:customStyle="1" w:styleId="TableTextLeft">
    <w:name w:val="Table Text Left"/>
    <w:basedOn w:val="TableTextBase"/>
    <w:rsid w:val="00477DED"/>
  </w:style>
  <w:style w:type="paragraph" w:customStyle="1" w:styleId="TableTextRight">
    <w:name w:val="Table Text Right"/>
    <w:basedOn w:val="TableTextBase"/>
    <w:rsid w:val="00477DED"/>
    <w:pPr>
      <w:jc w:val="right"/>
    </w:pPr>
  </w:style>
  <w:style w:type="paragraph" w:styleId="TOC1">
    <w:name w:val="toc 1"/>
    <w:basedOn w:val="HeadingBase"/>
    <w:next w:val="Normal"/>
    <w:uiPriority w:val="39"/>
    <w:rsid w:val="00477DED"/>
    <w:pPr>
      <w:tabs>
        <w:tab w:val="left" w:pos="284"/>
        <w:tab w:val="left" w:pos="567"/>
        <w:tab w:val="right" w:leader="dot" w:pos="9072"/>
      </w:tabs>
      <w:spacing w:before="180"/>
      <w:ind w:left="284" w:right="851" w:hanging="284"/>
    </w:pPr>
    <w:rPr>
      <w:b/>
      <w:smallCaps/>
      <w:sz w:val="22"/>
      <w:szCs w:val="22"/>
    </w:rPr>
  </w:style>
  <w:style w:type="paragraph" w:styleId="TOC2">
    <w:name w:val="toc 2"/>
    <w:basedOn w:val="HeadingBase"/>
    <w:next w:val="Normal"/>
    <w:uiPriority w:val="39"/>
    <w:rsid w:val="00656397"/>
    <w:pPr>
      <w:tabs>
        <w:tab w:val="right" w:leader="dot" w:pos="9072"/>
      </w:tabs>
      <w:spacing w:before="40" w:after="20"/>
      <w:ind w:left="284" w:right="851"/>
    </w:pPr>
  </w:style>
  <w:style w:type="paragraph" w:styleId="TOC3">
    <w:name w:val="toc 3"/>
    <w:basedOn w:val="Normal"/>
    <w:next w:val="Normal"/>
    <w:rsid w:val="00477DED"/>
    <w:pPr>
      <w:tabs>
        <w:tab w:val="right" w:leader="dot" w:pos="9072"/>
      </w:tabs>
      <w:spacing w:before="20" w:after="0" w:line="240" w:lineRule="auto"/>
      <w:ind w:left="284" w:right="851"/>
    </w:pPr>
  </w:style>
  <w:style w:type="paragraph" w:styleId="TOC4">
    <w:name w:val="toc 4"/>
    <w:basedOn w:val="Normal"/>
    <w:next w:val="Normal"/>
    <w:rsid w:val="00477DED"/>
    <w:pPr>
      <w:tabs>
        <w:tab w:val="right" w:leader="dot" w:pos="9072"/>
      </w:tabs>
      <w:spacing w:after="0" w:line="240" w:lineRule="auto"/>
      <w:ind w:left="284" w:right="851"/>
    </w:pPr>
  </w:style>
  <w:style w:type="paragraph" w:styleId="BodyTextIndent2">
    <w:name w:val="Body Text Indent 2"/>
    <w:basedOn w:val="Normal"/>
    <w:link w:val="BodyTextIndent2Char"/>
    <w:rsid w:val="00D85D73"/>
    <w:pPr>
      <w:spacing w:after="120" w:line="480" w:lineRule="auto"/>
      <w:ind w:left="283"/>
    </w:pPr>
  </w:style>
  <w:style w:type="character" w:customStyle="1" w:styleId="BodyTextIndent2Char">
    <w:name w:val="Body Text Indent 2 Char"/>
    <w:basedOn w:val="DefaultParagraphFont"/>
    <w:link w:val="BodyTextIndent2"/>
    <w:rsid w:val="00D85D73"/>
    <w:rPr>
      <w:rFonts w:eastAsia="Times New Roman" w:cs="Times New Roman"/>
      <w:szCs w:val="20"/>
      <w:lang w:eastAsia="en-AU"/>
    </w:rPr>
  </w:style>
  <w:style w:type="character" w:customStyle="1" w:styleId="BoldandItalic">
    <w:name w:val="Bold and Italic"/>
    <w:basedOn w:val="DefaultParagraphFont"/>
    <w:rsid w:val="00477DED"/>
    <w:rPr>
      <w:rFonts w:ascii="Calibri" w:hAnsi="Calibri"/>
      <w:b/>
      <w:i/>
    </w:rPr>
  </w:style>
  <w:style w:type="paragraph" w:styleId="Caption">
    <w:name w:val="caption"/>
    <w:basedOn w:val="Normal"/>
    <w:next w:val="Normal"/>
    <w:qFormat/>
    <w:rsid w:val="00477DED"/>
    <w:rPr>
      <w:b/>
      <w:bCs/>
    </w:rPr>
  </w:style>
  <w:style w:type="character" w:styleId="CommentReference">
    <w:name w:val="annotation reference"/>
    <w:basedOn w:val="DefaultParagraphFont"/>
    <w:semiHidden/>
    <w:rsid w:val="00477DED"/>
    <w:rPr>
      <w:sz w:val="16"/>
      <w:szCs w:val="16"/>
    </w:rPr>
  </w:style>
  <w:style w:type="paragraph" w:styleId="CommentText">
    <w:name w:val="annotation text"/>
    <w:basedOn w:val="Normal"/>
    <w:link w:val="CommentTextChar"/>
    <w:semiHidden/>
    <w:rsid w:val="00477DED"/>
  </w:style>
  <w:style w:type="character" w:customStyle="1" w:styleId="CommentTextChar">
    <w:name w:val="Comment Text Char"/>
    <w:basedOn w:val="DefaultParagraphFont"/>
    <w:link w:val="CommentText"/>
    <w:semiHidden/>
    <w:rsid w:val="00D85D73"/>
    <w:rPr>
      <w:rFonts w:eastAsia="Times New Roman" w:cs="Times New Roman"/>
      <w:color w:val="000000"/>
      <w:szCs w:val="20"/>
      <w:lang w:eastAsia="en-AU"/>
    </w:rPr>
  </w:style>
  <w:style w:type="paragraph" w:styleId="CommentSubject">
    <w:name w:val="annotation subject"/>
    <w:basedOn w:val="CommentText"/>
    <w:next w:val="CommentText"/>
    <w:link w:val="CommentSubjectChar"/>
    <w:semiHidden/>
    <w:rsid w:val="00477DED"/>
    <w:rPr>
      <w:b/>
      <w:bCs/>
    </w:rPr>
  </w:style>
  <w:style w:type="character" w:customStyle="1" w:styleId="CommentSubjectChar">
    <w:name w:val="Comment Subject Char"/>
    <w:basedOn w:val="CommentTextChar"/>
    <w:link w:val="CommentSubject"/>
    <w:semiHidden/>
    <w:rsid w:val="00D85D73"/>
    <w:rPr>
      <w:rFonts w:eastAsia="Times New Roman" w:cs="Times New Roman"/>
      <w:b/>
      <w:bCs/>
      <w:color w:val="000000"/>
      <w:szCs w:val="20"/>
      <w:lang w:eastAsia="en-AU"/>
    </w:rPr>
  </w:style>
  <w:style w:type="paragraph" w:styleId="DocumentMap">
    <w:name w:val="Document Map"/>
    <w:basedOn w:val="Normal"/>
    <w:link w:val="DocumentMapChar"/>
    <w:semiHidden/>
    <w:rsid w:val="00477DED"/>
    <w:pPr>
      <w:shd w:val="clear" w:color="auto" w:fill="000080"/>
    </w:pPr>
    <w:rPr>
      <w:rFonts w:ascii="Tahoma" w:hAnsi="Tahoma" w:cs="Tahoma"/>
    </w:rPr>
  </w:style>
  <w:style w:type="character" w:customStyle="1" w:styleId="DocumentMapChar">
    <w:name w:val="Document Map Char"/>
    <w:basedOn w:val="DefaultParagraphFont"/>
    <w:link w:val="DocumentMap"/>
    <w:semiHidden/>
    <w:rsid w:val="00D85D73"/>
    <w:rPr>
      <w:rFonts w:ascii="Tahoma" w:eastAsia="Times New Roman" w:hAnsi="Tahoma" w:cs="Tahoma"/>
      <w:color w:val="000000"/>
      <w:szCs w:val="20"/>
      <w:shd w:val="clear" w:color="auto" w:fill="000080"/>
      <w:lang w:eastAsia="en-AU"/>
    </w:rPr>
  </w:style>
  <w:style w:type="character" w:styleId="EndnoteReference">
    <w:name w:val="endnote reference"/>
    <w:basedOn w:val="DefaultParagraphFont"/>
    <w:semiHidden/>
    <w:rsid w:val="00477DED"/>
    <w:rPr>
      <w:vertAlign w:val="superscript"/>
    </w:rPr>
  </w:style>
  <w:style w:type="paragraph" w:styleId="EndnoteText">
    <w:name w:val="endnote text"/>
    <w:basedOn w:val="Normal"/>
    <w:link w:val="EndnoteTextChar"/>
    <w:semiHidden/>
    <w:rsid w:val="00477DED"/>
  </w:style>
  <w:style w:type="character" w:customStyle="1" w:styleId="EndnoteTextChar">
    <w:name w:val="Endnote Text Char"/>
    <w:basedOn w:val="DefaultParagraphFont"/>
    <w:link w:val="EndnoteText"/>
    <w:semiHidden/>
    <w:rsid w:val="00D85D73"/>
    <w:rPr>
      <w:rFonts w:eastAsia="Times New Roman" w:cs="Times New Roman"/>
      <w:color w:val="000000"/>
      <w:szCs w:val="20"/>
      <w:lang w:eastAsia="en-AU"/>
    </w:rPr>
  </w:style>
  <w:style w:type="character" w:styleId="FollowedHyperlink">
    <w:name w:val="FollowedHyperlink"/>
    <w:basedOn w:val="DefaultParagraphFont"/>
    <w:rsid w:val="00477DED"/>
    <w:rPr>
      <w:color w:val="auto"/>
      <w:u w:val="none"/>
    </w:rPr>
  </w:style>
  <w:style w:type="paragraph" w:styleId="Index1">
    <w:name w:val="index 1"/>
    <w:basedOn w:val="Normal"/>
    <w:next w:val="Normal"/>
    <w:autoRedefine/>
    <w:semiHidden/>
    <w:rsid w:val="00477DED"/>
    <w:pPr>
      <w:ind w:left="200" w:hanging="200"/>
    </w:pPr>
  </w:style>
  <w:style w:type="paragraph" w:styleId="Index2">
    <w:name w:val="index 2"/>
    <w:basedOn w:val="Normal"/>
    <w:next w:val="Normal"/>
    <w:autoRedefine/>
    <w:semiHidden/>
    <w:rsid w:val="00477DED"/>
    <w:pPr>
      <w:ind w:left="400" w:hanging="200"/>
    </w:pPr>
  </w:style>
  <w:style w:type="paragraph" w:styleId="Index3">
    <w:name w:val="index 3"/>
    <w:basedOn w:val="Normal"/>
    <w:next w:val="Normal"/>
    <w:autoRedefine/>
    <w:semiHidden/>
    <w:rsid w:val="00477DED"/>
    <w:pPr>
      <w:ind w:left="600" w:hanging="200"/>
    </w:pPr>
  </w:style>
  <w:style w:type="paragraph" w:styleId="Index4">
    <w:name w:val="index 4"/>
    <w:basedOn w:val="Normal"/>
    <w:next w:val="Normal"/>
    <w:autoRedefine/>
    <w:semiHidden/>
    <w:rsid w:val="00477DED"/>
    <w:pPr>
      <w:ind w:left="800" w:hanging="200"/>
    </w:pPr>
  </w:style>
  <w:style w:type="paragraph" w:styleId="Index5">
    <w:name w:val="index 5"/>
    <w:basedOn w:val="Normal"/>
    <w:next w:val="Normal"/>
    <w:autoRedefine/>
    <w:semiHidden/>
    <w:rsid w:val="00477DED"/>
    <w:pPr>
      <w:ind w:left="1000" w:hanging="200"/>
    </w:pPr>
  </w:style>
  <w:style w:type="paragraph" w:styleId="Index6">
    <w:name w:val="index 6"/>
    <w:basedOn w:val="Normal"/>
    <w:next w:val="Normal"/>
    <w:autoRedefine/>
    <w:semiHidden/>
    <w:rsid w:val="00477DED"/>
    <w:pPr>
      <w:ind w:left="1200" w:hanging="200"/>
    </w:pPr>
  </w:style>
  <w:style w:type="paragraph" w:styleId="Index7">
    <w:name w:val="index 7"/>
    <w:basedOn w:val="Normal"/>
    <w:next w:val="Normal"/>
    <w:autoRedefine/>
    <w:semiHidden/>
    <w:rsid w:val="00477DED"/>
    <w:pPr>
      <w:ind w:left="1400" w:hanging="200"/>
    </w:pPr>
  </w:style>
  <w:style w:type="paragraph" w:styleId="Index8">
    <w:name w:val="index 8"/>
    <w:basedOn w:val="Normal"/>
    <w:next w:val="Normal"/>
    <w:autoRedefine/>
    <w:semiHidden/>
    <w:rsid w:val="00477DED"/>
    <w:pPr>
      <w:ind w:left="1600" w:hanging="200"/>
    </w:pPr>
  </w:style>
  <w:style w:type="paragraph" w:styleId="Index9">
    <w:name w:val="index 9"/>
    <w:basedOn w:val="Normal"/>
    <w:next w:val="Normal"/>
    <w:autoRedefine/>
    <w:semiHidden/>
    <w:rsid w:val="00477DED"/>
    <w:pPr>
      <w:ind w:left="1800" w:hanging="200"/>
    </w:pPr>
  </w:style>
  <w:style w:type="paragraph" w:styleId="IndexHeading">
    <w:name w:val="index heading"/>
    <w:basedOn w:val="Normal"/>
    <w:next w:val="Index1"/>
    <w:semiHidden/>
    <w:rsid w:val="00477DED"/>
    <w:rPr>
      <w:rFonts w:cs="Arial"/>
      <w:b/>
      <w:bCs/>
    </w:rPr>
  </w:style>
  <w:style w:type="paragraph" w:styleId="MacroText">
    <w:name w:val="macro"/>
    <w:link w:val="MacroTextChar"/>
    <w:semiHidden/>
    <w:rsid w:val="00477DED"/>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sz w:val="20"/>
      <w:szCs w:val="20"/>
      <w:lang w:eastAsia="en-AU"/>
    </w:rPr>
  </w:style>
  <w:style w:type="character" w:customStyle="1" w:styleId="MacroTextChar">
    <w:name w:val="Macro Text Char"/>
    <w:basedOn w:val="DefaultParagraphFont"/>
    <w:link w:val="MacroText"/>
    <w:semiHidden/>
    <w:rsid w:val="00D85D73"/>
    <w:rPr>
      <w:rFonts w:ascii="Courier New" w:eastAsia="Times New Roman" w:hAnsi="Courier New" w:cs="Courier New"/>
      <w:color w:val="000000"/>
      <w:sz w:val="20"/>
      <w:szCs w:val="20"/>
      <w:lang w:eastAsia="en-AU"/>
    </w:rPr>
  </w:style>
  <w:style w:type="numbering" w:customStyle="1" w:styleId="OutlineList">
    <w:name w:val="OutlineList"/>
    <w:uiPriority w:val="99"/>
    <w:rsid w:val="00D85D73"/>
    <w:pPr>
      <w:numPr>
        <w:numId w:val="11"/>
      </w:numPr>
    </w:pPr>
  </w:style>
  <w:style w:type="paragraph" w:customStyle="1" w:styleId="PictureCentred">
    <w:name w:val="Picture Centred"/>
    <w:basedOn w:val="Normal"/>
    <w:rsid w:val="00D85D73"/>
    <w:pPr>
      <w:spacing w:before="120" w:line="240" w:lineRule="atLeast"/>
      <w:jc w:val="center"/>
    </w:pPr>
  </w:style>
  <w:style w:type="paragraph" w:customStyle="1" w:styleId="PictureLeft">
    <w:name w:val="Picture Left"/>
    <w:basedOn w:val="PictureCentred"/>
    <w:rsid w:val="00D85D73"/>
    <w:pPr>
      <w:jc w:val="left"/>
    </w:pPr>
  </w:style>
  <w:style w:type="paragraph" w:customStyle="1" w:styleId="PictureIndent">
    <w:name w:val="Picture Indent"/>
    <w:basedOn w:val="PictureLeft"/>
    <w:rsid w:val="00D85D73"/>
    <w:pPr>
      <w:ind w:left="284"/>
    </w:pPr>
  </w:style>
  <w:style w:type="paragraph" w:styleId="TableofAuthorities">
    <w:name w:val="table of authorities"/>
    <w:basedOn w:val="Normal"/>
    <w:next w:val="Normal"/>
    <w:rsid w:val="00477DED"/>
    <w:pPr>
      <w:ind w:left="200" w:hanging="200"/>
    </w:pPr>
  </w:style>
  <w:style w:type="paragraph" w:styleId="TableofFigures">
    <w:name w:val="table of figures"/>
    <w:basedOn w:val="Normal"/>
    <w:next w:val="Normal"/>
    <w:rsid w:val="00477DED"/>
  </w:style>
  <w:style w:type="paragraph" w:styleId="TOAHeading">
    <w:name w:val="toa heading"/>
    <w:basedOn w:val="Normal"/>
    <w:next w:val="Normal"/>
    <w:semiHidden/>
    <w:rsid w:val="00477DED"/>
    <w:pPr>
      <w:spacing w:before="120"/>
    </w:pPr>
    <w:rPr>
      <w:rFonts w:cs="Arial"/>
      <w:b/>
      <w:bCs/>
      <w:sz w:val="24"/>
      <w:szCs w:val="24"/>
    </w:rPr>
  </w:style>
  <w:style w:type="paragraph" w:styleId="TOC5">
    <w:name w:val="toc 5"/>
    <w:basedOn w:val="Normal"/>
    <w:next w:val="Normal"/>
    <w:autoRedefine/>
    <w:semiHidden/>
    <w:rsid w:val="00477DED"/>
    <w:pPr>
      <w:ind w:left="800"/>
    </w:pPr>
  </w:style>
  <w:style w:type="paragraph" w:styleId="TOC6">
    <w:name w:val="toc 6"/>
    <w:basedOn w:val="Normal"/>
    <w:next w:val="Normal"/>
    <w:autoRedefine/>
    <w:semiHidden/>
    <w:rsid w:val="00477DED"/>
    <w:pPr>
      <w:ind w:left="1000"/>
    </w:pPr>
  </w:style>
  <w:style w:type="paragraph" w:styleId="TOC7">
    <w:name w:val="toc 7"/>
    <w:basedOn w:val="Normal"/>
    <w:next w:val="Normal"/>
    <w:autoRedefine/>
    <w:semiHidden/>
    <w:rsid w:val="00477DED"/>
    <w:pPr>
      <w:ind w:left="1200"/>
    </w:pPr>
  </w:style>
  <w:style w:type="paragraph" w:styleId="TOC8">
    <w:name w:val="toc 8"/>
    <w:basedOn w:val="Normal"/>
    <w:next w:val="Normal"/>
    <w:autoRedefine/>
    <w:semiHidden/>
    <w:rsid w:val="00477DED"/>
    <w:pPr>
      <w:ind w:left="1400"/>
    </w:pPr>
  </w:style>
  <w:style w:type="paragraph" w:styleId="TOC9">
    <w:name w:val="toc 9"/>
    <w:basedOn w:val="Normal"/>
    <w:next w:val="Normal"/>
    <w:autoRedefine/>
    <w:semiHidden/>
    <w:rsid w:val="00477DED"/>
    <w:pPr>
      <w:ind w:left="1600"/>
    </w:pPr>
  </w:style>
  <w:style w:type="numbering" w:customStyle="1" w:styleId="BulletedList">
    <w:name w:val="Bulleted List"/>
    <w:uiPriority w:val="99"/>
    <w:rsid w:val="00D85D73"/>
    <w:pPr>
      <w:numPr>
        <w:numId w:val="17"/>
      </w:numPr>
    </w:pPr>
  </w:style>
  <w:style w:type="numbering" w:customStyle="1" w:styleId="BoxBulletedList">
    <w:name w:val="Box Bulleted List"/>
    <w:uiPriority w:val="99"/>
    <w:rsid w:val="00D85D73"/>
    <w:pPr>
      <w:numPr>
        <w:numId w:val="8"/>
      </w:numPr>
    </w:pPr>
  </w:style>
  <w:style w:type="numbering" w:customStyle="1" w:styleId="AlphaParagraphList">
    <w:name w:val="Alpha Paragraph List"/>
    <w:uiPriority w:val="99"/>
    <w:rsid w:val="00D85D73"/>
    <w:pPr>
      <w:numPr>
        <w:numId w:val="9"/>
      </w:numPr>
    </w:pPr>
  </w:style>
  <w:style w:type="numbering" w:customStyle="1" w:styleId="OneLevelList">
    <w:name w:val="OneLevelList"/>
    <w:uiPriority w:val="99"/>
    <w:rsid w:val="00D85D73"/>
    <w:pPr>
      <w:numPr>
        <w:numId w:val="10"/>
      </w:numPr>
    </w:pPr>
  </w:style>
  <w:style w:type="numbering" w:customStyle="1" w:styleId="RecommendationBulletList">
    <w:name w:val="RecommendationBulletList"/>
    <w:uiPriority w:val="99"/>
    <w:rsid w:val="00D85D73"/>
    <w:pPr>
      <w:numPr>
        <w:numId w:val="12"/>
      </w:numPr>
    </w:pPr>
  </w:style>
  <w:style w:type="numbering" w:customStyle="1" w:styleId="RomanNumeralList">
    <w:name w:val="RomanNumeralList"/>
    <w:uiPriority w:val="99"/>
    <w:rsid w:val="00D85D73"/>
    <w:pPr>
      <w:numPr>
        <w:numId w:val="13"/>
      </w:numPr>
    </w:pPr>
  </w:style>
  <w:style w:type="numbering" w:customStyle="1" w:styleId="ChartandTableFootnoteAlphaList">
    <w:name w:val="ChartandTableFootnoteAlphaList"/>
    <w:uiPriority w:val="99"/>
    <w:rsid w:val="00D85D73"/>
    <w:pPr>
      <w:numPr>
        <w:numId w:val="14"/>
      </w:numPr>
    </w:pPr>
  </w:style>
  <w:style w:type="paragraph" w:customStyle="1" w:styleId="TableTextBullet">
    <w:name w:val="Table Text Bullet"/>
    <w:basedOn w:val="Normal"/>
    <w:rsid w:val="00D85D73"/>
    <w:pPr>
      <w:numPr>
        <w:numId w:val="15"/>
      </w:numPr>
      <w:spacing w:line="260" w:lineRule="exact"/>
    </w:pPr>
  </w:style>
  <w:style w:type="numbering" w:customStyle="1" w:styleId="TableTextBulletList">
    <w:name w:val="Table Text Bullet List"/>
    <w:uiPriority w:val="99"/>
    <w:rsid w:val="00D85D73"/>
    <w:pPr>
      <w:numPr>
        <w:numId w:val="15"/>
      </w:numPr>
    </w:pPr>
  </w:style>
  <w:style w:type="paragraph" w:customStyle="1" w:styleId="SecurityClassificationHeader">
    <w:name w:val="Security Classification Header"/>
    <w:link w:val="SecurityClassificationHeaderChar"/>
    <w:rsid w:val="00D85D73"/>
    <w:pPr>
      <w:spacing w:after="240"/>
      <w:jc w:val="center"/>
    </w:pPr>
    <w:rPr>
      <w:rFonts w:ascii="Times New Roman" w:eastAsia="Times New Roman" w:hAnsi="Times New Roman" w:cs="Times New Roman"/>
      <w:b/>
      <w:caps/>
      <w:color w:val="4F81BD" w:themeColor="accent1"/>
      <w:sz w:val="24"/>
      <w:szCs w:val="20"/>
      <w:lang w:eastAsia="en-AU"/>
    </w:rPr>
  </w:style>
  <w:style w:type="character" w:customStyle="1" w:styleId="SecurityClassificationHeaderChar">
    <w:name w:val="Security Classification Header Char"/>
    <w:basedOn w:val="HeaderChar"/>
    <w:link w:val="SecurityClassificationHeader"/>
    <w:rsid w:val="00D85D73"/>
    <w:rPr>
      <w:rFonts w:ascii="Times New Roman" w:eastAsia="Times New Roman" w:hAnsi="Times New Roman" w:cs="Times New Roman"/>
      <w:b/>
      <w:caps/>
      <w:color w:val="4F81BD" w:themeColor="accent1"/>
      <w:sz w:val="24"/>
      <w:szCs w:val="20"/>
      <w:lang w:eastAsia="en-AU"/>
    </w:rPr>
  </w:style>
  <w:style w:type="paragraph" w:customStyle="1" w:styleId="SecurityClassificationFooter">
    <w:name w:val="Security Classification Footer"/>
    <w:link w:val="SecurityClassificationFooterChar"/>
    <w:rsid w:val="00477DED"/>
    <w:pPr>
      <w:spacing w:before="60" w:after="240"/>
      <w:jc w:val="center"/>
    </w:pPr>
    <w:rPr>
      <w:rFonts w:ascii="Times New Roman" w:eastAsia="Times New Roman" w:hAnsi="Times New Roman" w:cs="Times New Roman"/>
      <w:b/>
      <w:caps/>
      <w:color w:val="342E82"/>
      <w:sz w:val="24"/>
      <w:szCs w:val="20"/>
      <w:lang w:eastAsia="en-AU"/>
    </w:rPr>
  </w:style>
  <w:style w:type="character" w:customStyle="1" w:styleId="SecurityClassificationFooterChar">
    <w:name w:val="Security Classification Footer Char"/>
    <w:link w:val="SecurityClassificationFooter"/>
    <w:rsid w:val="00477DED"/>
    <w:rPr>
      <w:rFonts w:ascii="Times New Roman" w:eastAsia="Times New Roman" w:hAnsi="Times New Roman" w:cs="Times New Roman"/>
      <w:b/>
      <w:caps/>
      <w:color w:val="342E82"/>
      <w:sz w:val="24"/>
      <w:szCs w:val="20"/>
      <w:lang w:eastAsia="en-AU"/>
    </w:rPr>
  </w:style>
  <w:style w:type="character" w:customStyle="1" w:styleId="Italic0">
    <w:name w:val="Italic"/>
    <w:basedOn w:val="DefaultParagraphFont"/>
    <w:rsid w:val="00D85D73"/>
    <w:rPr>
      <w:i/>
    </w:rPr>
  </w:style>
  <w:style w:type="character" w:customStyle="1" w:styleId="BulletChar">
    <w:name w:val="Bullet Char"/>
    <w:aliases w:val="b Char"/>
    <w:basedOn w:val="DefaultParagraphFont"/>
    <w:link w:val="Bullet"/>
    <w:rsid w:val="00FF537F"/>
    <w:rPr>
      <w:rFonts w:eastAsia="Times New Roman" w:cs="Times New Roman"/>
      <w:color w:val="000000"/>
      <w:szCs w:val="20"/>
      <w:lang w:eastAsia="en-AU"/>
    </w:rPr>
  </w:style>
  <w:style w:type="paragraph" w:customStyle="1" w:styleId="Pa15">
    <w:name w:val="Pa15"/>
    <w:basedOn w:val="Normal"/>
    <w:next w:val="Normal"/>
    <w:uiPriority w:val="99"/>
    <w:rsid w:val="00D85D73"/>
    <w:pPr>
      <w:autoSpaceDE w:val="0"/>
      <w:autoSpaceDN w:val="0"/>
      <w:adjustRightInd w:val="0"/>
      <w:spacing w:line="201" w:lineRule="atLeast"/>
    </w:pPr>
    <w:rPr>
      <w:rFonts w:ascii="Georgia" w:hAnsi="Georgia"/>
      <w:sz w:val="24"/>
      <w:szCs w:val="24"/>
    </w:rPr>
  </w:style>
  <w:style w:type="character" w:styleId="Emphasis">
    <w:name w:val="Emphasis"/>
    <w:basedOn w:val="DefaultParagraphFont"/>
    <w:uiPriority w:val="20"/>
    <w:qFormat/>
    <w:rsid w:val="00D85D73"/>
    <w:rPr>
      <w:i/>
      <w:iCs/>
    </w:rPr>
  </w:style>
  <w:style w:type="paragraph" w:styleId="ListParagraph">
    <w:name w:val="List Paragraph"/>
    <w:basedOn w:val="Normal"/>
    <w:uiPriority w:val="99"/>
    <w:qFormat/>
    <w:rsid w:val="00D85D73"/>
    <w:pPr>
      <w:spacing w:after="200" w:line="276" w:lineRule="auto"/>
      <w:ind w:left="720"/>
      <w:contextualSpacing/>
    </w:pPr>
    <w:rPr>
      <w:rFonts w:cstheme="minorBidi"/>
      <w:lang w:val="fr-FR"/>
    </w:rPr>
  </w:style>
  <w:style w:type="paragraph" w:styleId="TOCHeading">
    <w:name w:val="TOC Heading"/>
    <w:basedOn w:val="Heading1"/>
    <w:next w:val="Normal"/>
    <w:uiPriority w:val="39"/>
    <w:semiHidden/>
    <w:unhideWhenUsed/>
    <w:qFormat/>
    <w:rsid w:val="00D85D73"/>
    <w:pPr>
      <w:keepLines/>
      <w:spacing w:before="480" w:after="0" w:line="276" w:lineRule="auto"/>
      <w:outlineLvl w:val="9"/>
    </w:pPr>
    <w:rPr>
      <w:rFonts w:eastAsiaTheme="majorEastAsia" w:cstheme="majorBidi"/>
      <w:b w:val="0"/>
      <w:color w:val="365F91" w:themeColor="accent1" w:themeShade="BF"/>
      <w:kern w:val="0"/>
      <w:sz w:val="28"/>
      <w:szCs w:val="28"/>
      <w:lang w:val="en-US" w:eastAsia="ja-JP"/>
    </w:rPr>
  </w:style>
  <w:style w:type="paragraph" w:customStyle="1" w:styleId="Pa2">
    <w:name w:val="Pa2"/>
    <w:basedOn w:val="Default"/>
    <w:next w:val="Default"/>
    <w:uiPriority w:val="99"/>
    <w:rsid w:val="00D85D73"/>
    <w:pPr>
      <w:spacing w:line="201" w:lineRule="atLeast"/>
    </w:pPr>
    <w:rPr>
      <w:rFonts w:ascii="Calibri" w:hAnsi="Calibri" w:cs="Times New Roman"/>
      <w:color w:val="auto"/>
    </w:rPr>
  </w:style>
  <w:style w:type="paragraph" w:styleId="Revision">
    <w:name w:val="Revision"/>
    <w:hidden/>
    <w:uiPriority w:val="99"/>
    <w:semiHidden/>
    <w:rsid w:val="00D85D73"/>
    <w:pPr>
      <w:spacing w:after="0" w:line="240" w:lineRule="auto"/>
    </w:pPr>
    <w:rPr>
      <w:rFonts w:eastAsia="Times New Roman" w:cs="Times New Roman"/>
      <w:szCs w:val="20"/>
      <w:lang w:eastAsia="en-AU"/>
    </w:rPr>
  </w:style>
  <w:style w:type="character" w:customStyle="1" w:styleId="DashChar">
    <w:name w:val="Dash Char"/>
    <w:basedOn w:val="DefaultParagraphFont"/>
    <w:link w:val="Dash"/>
    <w:locked/>
    <w:rsid w:val="00FF537F"/>
    <w:rPr>
      <w:rFonts w:eastAsia="Times New Roman" w:cs="Times New Roman"/>
      <w:color w:val="000000"/>
      <w:szCs w:val="20"/>
      <w:lang w:eastAsia="en-AU"/>
    </w:rPr>
  </w:style>
  <w:style w:type="paragraph" w:customStyle="1" w:styleId="Heading1NotNumbered">
    <w:name w:val="Heading 1 Not Numbered"/>
    <w:basedOn w:val="HeadingBase"/>
    <w:next w:val="Normal"/>
    <w:rsid w:val="00477DED"/>
    <w:pPr>
      <w:spacing w:before="720" w:after="360"/>
    </w:pPr>
    <w:rPr>
      <w:smallCaps/>
      <w:sz w:val="36"/>
      <w:szCs w:val="36"/>
    </w:rPr>
  </w:style>
  <w:style w:type="paragraph" w:customStyle="1" w:styleId="Heading2NotNumbered">
    <w:name w:val="Heading 2 Not Numbered"/>
    <w:basedOn w:val="HeadingBase"/>
    <w:next w:val="Normal"/>
    <w:rsid w:val="00477DED"/>
    <w:pPr>
      <w:spacing w:before="360" w:after="180"/>
    </w:pPr>
    <w:rPr>
      <w:smallCaps/>
      <w:sz w:val="28"/>
      <w:szCs w:val="28"/>
    </w:rPr>
  </w:style>
  <w:style w:type="paragraph" w:customStyle="1" w:styleId="Heading3NotNumbered">
    <w:name w:val="Heading 3 Not Numbered"/>
    <w:basedOn w:val="HeadingBase"/>
    <w:next w:val="Normal"/>
    <w:rsid w:val="00477DED"/>
    <w:pPr>
      <w:spacing w:before="240" w:after="120"/>
    </w:pPr>
    <w:rPr>
      <w:sz w:val="28"/>
      <w:szCs w:val="26"/>
    </w:rPr>
  </w:style>
  <w:style w:type="paragraph" w:customStyle="1" w:styleId="Heading4NotNumbered">
    <w:name w:val="Heading 4 Not Numbered"/>
    <w:basedOn w:val="HeadingBase"/>
    <w:rsid w:val="00477DED"/>
    <w:pPr>
      <w:spacing w:before="120" w:after="120"/>
      <w:outlineLvl w:val="3"/>
    </w:pPr>
    <w:rPr>
      <w:b/>
      <w:sz w:val="26"/>
    </w:rPr>
  </w:style>
  <w:style w:type="paragraph" w:customStyle="1" w:styleId="Heading5NotNumbered">
    <w:name w:val="Heading 5 Not Numbered"/>
    <w:basedOn w:val="HeadingBase"/>
    <w:rsid w:val="00477DED"/>
    <w:pPr>
      <w:spacing w:after="120"/>
      <w:outlineLvl w:val="4"/>
    </w:pPr>
    <w:rPr>
      <w:b/>
      <w:sz w:val="24"/>
    </w:rPr>
  </w:style>
  <w:style w:type="table" w:customStyle="1" w:styleId="OptionsTable">
    <w:name w:val="Options Table"/>
    <w:basedOn w:val="TableNormal"/>
    <w:rsid w:val="00477DED"/>
    <w:pPr>
      <w:spacing w:after="0" w:line="240" w:lineRule="auto"/>
    </w:pPr>
    <w:rPr>
      <w:rFonts w:ascii="Times New Roman" w:eastAsia="Times New Roman" w:hAnsi="Times New Roman" w:cs="Times New Roman"/>
      <w:sz w:val="20"/>
      <w:szCs w:val="20"/>
      <w:lang w:eastAsia="en-AU"/>
    </w:rPr>
    <w:tblPr>
      <w:tblStyleRowBandSize w:val="1"/>
      <w:tblBorders>
        <w:insideH w:val="single" w:sz="12" w:space="0" w:color="FFFFFF"/>
        <w:insideV w:val="single" w:sz="12" w:space="0" w:color="FFFFFF"/>
      </w:tblBorders>
    </w:tblPr>
    <w:tcPr>
      <w:shd w:val="clear" w:color="auto" w:fill="FFFFFF"/>
    </w:tcPr>
    <w:tblStylePr w:type="firstRow">
      <w:pPr>
        <w:wordWrap/>
        <w:spacing w:beforeLines="0" w:beforeAutospacing="0" w:afterLines="0" w:afterAutospacing="0" w:line="280" w:lineRule="exact"/>
        <w:contextualSpacing w:val="0"/>
      </w:pPr>
      <w:rPr>
        <w:rFonts w:ascii="Arial" w:hAnsi="Arial"/>
        <w:b/>
        <w:i w:val="0"/>
        <w:color w:val="342E82"/>
        <w:sz w:val="22"/>
      </w:rPr>
      <w:tblPr/>
      <w:tcPr>
        <w:shd w:val="clear" w:color="auto" w:fill="B3B3B3"/>
      </w:tcPr>
    </w:tblStylePr>
    <w:tblStylePr w:type="band1Horz">
      <w:pPr>
        <w:wordWrap/>
        <w:spacing w:beforeLines="0" w:beforeAutospacing="0" w:afterLines="0" w:afterAutospacing="0" w:line="280" w:lineRule="exact"/>
        <w:contextualSpacing w:val="0"/>
      </w:pPr>
      <w:rPr>
        <w:rFonts w:ascii="Arial" w:hAnsi="Arial"/>
        <w:sz w:val="22"/>
      </w:rPr>
      <w:tblPr/>
      <w:tcPr>
        <w:shd w:val="clear" w:color="auto" w:fill="E6E6E6"/>
      </w:tcPr>
    </w:tblStylePr>
    <w:tblStylePr w:type="band2Horz">
      <w:pPr>
        <w:wordWrap/>
        <w:spacing w:beforeLines="0" w:beforeAutospacing="0" w:afterLines="0" w:afterAutospacing="0" w:line="280" w:lineRule="exact"/>
        <w:contextualSpacing w:val="0"/>
      </w:pPr>
      <w:rPr>
        <w:rFonts w:ascii="Arial" w:hAnsi="Arial"/>
        <w:sz w:val="22"/>
      </w:rPr>
      <w:tblPr/>
      <w:tcPr>
        <w:shd w:val="clear" w:color="auto" w:fill="CCCCCC"/>
      </w:tcPr>
    </w:tblStylePr>
  </w:style>
  <w:style w:type="paragraph" w:customStyle="1" w:styleId="OutlineNumbered4">
    <w:name w:val="Outline Numbered 4"/>
    <w:basedOn w:val="Normal"/>
    <w:rsid w:val="00477DED"/>
  </w:style>
  <w:style w:type="paragraph" w:customStyle="1" w:styleId="OutlineNumbered5">
    <w:name w:val="Outline Numbered 5"/>
    <w:basedOn w:val="Normal"/>
    <w:rsid w:val="00477DED"/>
    <w:pPr>
      <w:numPr>
        <w:ilvl w:val="4"/>
        <w:numId w:val="19"/>
      </w:numPr>
    </w:pPr>
  </w:style>
  <w:style w:type="paragraph" w:customStyle="1" w:styleId="Crest">
    <w:name w:val="Crest"/>
    <w:basedOn w:val="Header"/>
    <w:rsid w:val="00477DED"/>
    <w:pPr>
      <w:spacing w:after="480"/>
      <w:jc w:val="right"/>
    </w:pPr>
  </w:style>
  <w:style w:type="character" w:customStyle="1" w:styleId="SingleParagraphChar">
    <w:name w:val="Single Paragraph Char"/>
    <w:basedOn w:val="DefaultParagraphFont"/>
    <w:link w:val="SingleParagraph"/>
    <w:rsid w:val="00477DED"/>
    <w:rPr>
      <w:rFonts w:eastAsia="Times New Roman" w:cs="Times New Roman"/>
      <w:color w:val="000000"/>
      <w:szCs w:val="20"/>
      <w:lang w:eastAsia="en-AU"/>
    </w:rPr>
  </w:style>
  <w:style w:type="character" w:customStyle="1" w:styleId="A5">
    <w:name w:val="A5"/>
    <w:uiPriority w:val="99"/>
    <w:rsid w:val="00477DED"/>
    <w:rPr>
      <w:rFonts w:cs="Swiss 721 BT"/>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7DED"/>
    <w:pPr>
      <w:spacing w:after="240" w:line="280" w:lineRule="exact"/>
      <w:jc w:val="both"/>
    </w:pPr>
    <w:rPr>
      <w:rFonts w:eastAsia="Times New Roman" w:cs="Times New Roman"/>
      <w:color w:val="000000"/>
      <w:szCs w:val="20"/>
      <w:lang w:eastAsia="en-AU"/>
    </w:rPr>
  </w:style>
  <w:style w:type="paragraph" w:styleId="Heading1">
    <w:name w:val="heading 1"/>
    <w:basedOn w:val="HeadingBase"/>
    <w:next w:val="Normal"/>
    <w:link w:val="Heading1Char"/>
    <w:qFormat/>
    <w:rsid w:val="00FF537F"/>
    <w:pPr>
      <w:spacing w:after="360"/>
      <w:outlineLvl w:val="0"/>
    </w:pPr>
    <w:rPr>
      <w:rFonts w:cs="Arial"/>
      <w:b/>
      <w:bCs/>
      <w:smallCaps/>
      <w:kern w:val="32"/>
      <w:sz w:val="36"/>
      <w:szCs w:val="36"/>
    </w:rPr>
  </w:style>
  <w:style w:type="paragraph" w:styleId="Heading2">
    <w:name w:val="heading 2"/>
    <w:basedOn w:val="HeadingBase"/>
    <w:next w:val="Normal"/>
    <w:link w:val="Heading2Char"/>
    <w:qFormat/>
    <w:rsid w:val="00FF537F"/>
    <w:pPr>
      <w:spacing w:before="360" w:after="180"/>
      <w:outlineLvl w:val="1"/>
    </w:pPr>
    <w:rPr>
      <w:rFonts w:cs="Arial"/>
      <w:b/>
      <w:bCs/>
      <w:iCs/>
      <w:smallCaps/>
      <w:sz w:val="32"/>
      <w:szCs w:val="28"/>
    </w:rPr>
  </w:style>
  <w:style w:type="paragraph" w:styleId="Heading3">
    <w:name w:val="heading 3"/>
    <w:basedOn w:val="HeadingBase"/>
    <w:next w:val="Normal"/>
    <w:link w:val="Heading3Char"/>
    <w:qFormat/>
    <w:rsid w:val="00FF537F"/>
    <w:pPr>
      <w:spacing w:before="240" w:after="120"/>
      <w:outlineLvl w:val="2"/>
    </w:pPr>
    <w:rPr>
      <w:rFonts w:cs="Arial"/>
      <w:b/>
      <w:bCs/>
      <w:sz w:val="28"/>
      <w:szCs w:val="26"/>
    </w:rPr>
  </w:style>
  <w:style w:type="paragraph" w:styleId="Heading4">
    <w:name w:val="heading 4"/>
    <w:basedOn w:val="HeadingBase"/>
    <w:next w:val="Normal"/>
    <w:link w:val="Heading4Char"/>
    <w:qFormat/>
    <w:rsid w:val="00FF537F"/>
    <w:pPr>
      <w:spacing w:before="180" w:after="120"/>
      <w:outlineLvl w:val="3"/>
    </w:pPr>
    <w:rPr>
      <w:bCs/>
      <w:sz w:val="24"/>
      <w:szCs w:val="22"/>
    </w:rPr>
  </w:style>
  <w:style w:type="paragraph" w:styleId="Heading5">
    <w:name w:val="heading 5"/>
    <w:basedOn w:val="HeadingBase"/>
    <w:next w:val="Normal"/>
    <w:link w:val="Heading5Char"/>
    <w:qFormat/>
    <w:rsid w:val="00477DED"/>
    <w:pPr>
      <w:spacing w:after="120"/>
      <w:outlineLvl w:val="4"/>
    </w:pPr>
    <w:rPr>
      <w:b/>
      <w:bCs/>
      <w:iCs/>
      <w:sz w:val="24"/>
    </w:rPr>
  </w:style>
  <w:style w:type="paragraph" w:styleId="Heading6">
    <w:name w:val="heading 6"/>
    <w:basedOn w:val="HeadingBase"/>
    <w:next w:val="Normal"/>
    <w:link w:val="Heading6Char"/>
    <w:qFormat/>
    <w:rsid w:val="00477DED"/>
    <w:pPr>
      <w:spacing w:after="120"/>
      <w:outlineLvl w:val="5"/>
    </w:pPr>
    <w:rPr>
      <w:bCs/>
      <w:sz w:val="22"/>
      <w:szCs w:val="22"/>
    </w:rPr>
  </w:style>
  <w:style w:type="paragraph" w:styleId="Heading7">
    <w:name w:val="heading 7"/>
    <w:basedOn w:val="HeadingBase"/>
    <w:next w:val="Normal"/>
    <w:link w:val="Heading7Char"/>
    <w:qFormat/>
    <w:rsid w:val="00477DED"/>
    <w:pPr>
      <w:spacing w:after="120"/>
      <w:outlineLvl w:val="6"/>
    </w:pPr>
    <w:rPr>
      <w:szCs w:val="24"/>
    </w:rPr>
  </w:style>
  <w:style w:type="paragraph" w:styleId="Heading8">
    <w:name w:val="heading 8"/>
    <w:basedOn w:val="HeadingBase"/>
    <w:next w:val="Normal"/>
    <w:link w:val="Heading8Char"/>
    <w:qFormat/>
    <w:rsid w:val="00477DED"/>
    <w:pPr>
      <w:spacing w:before="60" w:after="60"/>
      <w:jc w:val="center"/>
      <w:outlineLvl w:val="7"/>
    </w:pPr>
    <w:rPr>
      <w:iCs/>
      <w:smallCaps/>
      <w:sz w:val="22"/>
      <w:szCs w:val="24"/>
    </w:rPr>
  </w:style>
  <w:style w:type="paragraph" w:styleId="Heading9">
    <w:name w:val="heading 9"/>
    <w:basedOn w:val="HeadingBase"/>
    <w:next w:val="Normal"/>
    <w:link w:val="Heading9Char"/>
    <w:qFormat/>
    <w:rsid w:val="00477DED"/>
    <w:pPr>
      <w:spacing w:before="60" w:after="60"/>
      <w:jc w:val="center"/>
      <w:outlineLvl w:val="8"/>
    </w:pPr>
    <w:rPr>
      <w:rFonts w:ascii="Arial Bold" w:hAnsi="Arial Bold" w:cs="Arial"/>
      <w:b/>
      <w:smallCaps/>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77DED"/>
    <w:rPr>
      <w:color w:val="auto"/>
      <w:u w:val="none"/>
    </w:rPr>
  </w:style>
  <w:style w:type="paragraph" w:customStyle="1" w:styleId="Default">
    <w:name w:val="Default"/>
    <w:rsid w:val="00D85D73"/>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rsid w:val="00FF537F"/>
    <w:rPr>
      <w:rFonts w:ascii="Calibri" w:eastAsia="Times New Roman" w:hAnsi="Calibri" w:cs="Arial"/>
      <w:b/>
      <w:bCs/>
      <w:smallCaps/>
      <w:color w:val="342E82"/>
      <w:kern w:val="32"/>
      <w:sz w:val="36"/>
      <w:szCs w:val="36"/>
      <w:lang w:eastAsia="en-AU"/>
    </w:rPr>
  </w:style>
  <w:style w:type="character" w:customStyle="1" w:styleId="Heading2Char">
    <w:name w:val="Heading 2 Char"/>
    <w:basedOn w:val="DefaultParagraphFont"/>
    <w:link w:val="Heading2"/>
    <w:rsid w:val="00FF537F"/>
    <w:rPr>
      <w:rFonts w:ascii="Calibri" w:eastAsia="Times New Roman" w:hAnsi="Calibri" w:cs="Arial"/>
      <w:b/>
      <w:bCs/>
      <w:iCs/>
      <w:smallCaps/>
      <w:color w:val="342E82"/>
      <w:sz w:val="32"/>
      <w:szCs w:val="28"/>
      <w:lang w:eastAsia="en-AU"/>
    </w:rPr>
  </w:style>
  <w:style w:type="character" w:customStyle="1" w:styleId="Heading3Char">
    <w:name w:val="Heading 3 Char"/>
    <w:basedOn w:val="DefaultParagraphFont"/>
    <w:link w:val="Heading3"/>
    <w:rsid w:val="00FF537F"/>
    <w:rPr>
      <w:rFonts w:ascii="Calibri" w:eastAsia="Times New Roman" w:hAnsi="Calibri" w:cs="Arial"/>
      <w:b/>
      <w:bCs/>
      <w:color w:val="342E82"/>
      <w:sz w:val="28"/>
      <w:szCs w:val="26"/>
      <w:lang w:eastAsia="en-AU"/>
    </w:rPr>
  </w:style>
  <w:style w:type="character" w:customStyle="1" w:styleId="Heading4Char">
    <w:name w:val="Heading 4 Char"/>
    <w:basedOn w:val="DefaultParagraphFont"/>
    <w:link w:val="Heading4"/>
    <w:rsid w:val="00FF537F"/>
    <w:rPr>
      <w:rFonts w:ascii="Calibri" w:eastAsia="Times New Roman" w:hAnsi="Calibri" w:cs="Times New Roman"/>
      <w:bCs/>
      <w:color w:val="342E82"/>
      <w:sz w:val="24"/>
      <w:lang w:eastAsia="en-AU"/>
    </w:rPr>
  </w:style>
  <w:style w:type="character" w:customStyle="1" w:styleId="Heading5Char">
    <w:name w:val="Heading 5 Char"/>
    <w:basedOn w:val="DefaultParagraphFont"/>
    <w:link w:val="Heading5"/>
    <w:rsid w:val="00477DED"/>
    <w:rPr>
      <w:rFonts w:ascii="Calibri" w:eastAsia="Times New Roman" w:hAnsi="Calibri" w:cs="Times New Roman"/>
      <w:b/>
      <w:bCs/>
      <w:iCs/>
      <w:color w:val="342E82"/>
      <w:sz w:val="24"/>
      <w:szCs w:val="20"/>
      <w:lang w:eastAsia="en-AU"/>
    </w:rPr>
  </w:style>
  <w:style w:type="character" w:customStyle="1" w:styleId="Heading6Char">
    <w:name w:val="Heading 6 Char"/>
    <w:basedOn w:val="DefaultParagraphFont"/>
    <w:link w:val="Heading6"/>
    <w:rsid w:val="00D85D73"/>
    <w:rPr>
      <w:rFonts w:ascii="Calibri" w:eastAsia="Times New Roman" w:hAnsi="Calibri" w:cs="Times New Roman"/>
      <w:bCs/>
      <w:color w:val="342E82"/>
      <w:lang w:eastAsia="en-AU"/>
    </w:rPr>
  </w:style>
  <w:style w:type="character" w:customStyle="1" w:styleId="Heading7Char">
    <w:name w:val="Heading 7 Char"/>
    <w:basedOn w:val="DefaultParagraphFont"/>
    <w:link w:val="Heading7"/>
    <w:rsid w:val="00D85D73"/>
    <w:rPr>
      <w:rFonts w:ascii="Calibri" w:eastAsia="Times New Roman" w:hAnsi="Calibri" w:cs="Times New Roman"/>
      <w:color w:val="342E82"/>
      <w:sz w:val="20"/>
      <w:szCs w:val="24"/>
      <w:lang w:eastAsia="en-AU"/>
    </w:rPr>
  </w:style>
  <w:style w:type="character" w:customStyle="1" w:styleId="Heading8Char">
    <w:name w:val="Heading 8 Char"/>
    <w:basedOn w:val="DefaultParagraphFont"/>
    <w:link w:val="Heading8"/>
    <w:rsid w:val="00D85D73"/>
    <w:rPr>
      <w:rFonts w:ascii="Calibri" w:eastAsia="Times New Roman" w:hAnsi="Calibri" w:cs="Times New Roman"/>
      <w:iCs/>
      <w:smallCaps/>
      <w:color w:val="342E82"/>
      <w:szCs w:val="24"/>
      <w:lang w:eastAsia="en-AU"/>
    </w:rPr>
  </w:style>
  <w:style w:type="character" w:customStyle="1" w:styleId="Heading9Char">
    <w:name w:val="Heading 9 Char"/>
    <w:basedOn w:val="DefaultParagraphFont"/>
    <w:link w:val="Heading9"/>
    <w:rsid w:val="00D85D73"/>
    <w:rPr>
      <w:rFonts w:ascii="Arial Bold" w:eastAsia="Times New Roman" w:hAnsi="Arial Bold" w:cs="Arial"/>
      <w:b/>
      <w:smallCaps/>
      <w:color w:val="342E82"/>
      <w:sz w:val="24"/>
      <w:lang w:eastAsia="en-AU"/>
    </w:rPr>
  </w:style>
  <w:style w:type="paragraph" w:customStyle="1" w:styleId="HeadingBase">
    <w:name w:val="Heading Base"/>
    <w:next w:val="Normal"/>
    <w:rsid w:val="00477DED"/>
    <w:pPr>
      <w:keepNext/>
      <w:spacing w:after="0" w:line="240" w:lineRule="auto"/>
    </w:pPr>
    <w:rPr>
      <w:rFonts w:ascii="Calibri" w:eastAsia="Times New Roman" w:hAnsi="Calibri" w:cs="Times New Roman"/>
      <w:color w:val="342E82"/>
      <w:sz w:val="20"/>
      <w:szCs w:val="20"/>
      <w:lang w:eastAsia="en-AU"/>
    </w:rPr>
  </w:style>
  <w:style w:type="paragraph" w:customStyle="1" w:styleId="ChartGraphic">
    <w:name w:val="Chart Graphic"/>
    <w:basedOn w:val="HeadingBase"/>
    <w:next w:val="Normal"/>
    <w:rsid w:val="00477DED"/>
    <w:pPr>
      <w:jc w:val="center"/>
    </w:pPr>
  </w:style>
  <w:style w:type="paragraph" w:customStyle="1" w:styleId="TableGraphic">
    <w:name w:val="Table Graphic"/>
    <w:basedOn w:val="HeadingBase"/>
    <w:next w:val="Normal"/>
    <w:rsid w:val="00477DED"/>
  </w:style>
  <w:style w:type="paragraph" w:customStyle="1" w:styleId="AlphaParagraph">
    <w:name w:val="Alpha Paragraph"/>
    <w:basedOn w:val="Normal"/>
    <w:rsid w:val="00477DED"/>
    <w:pPr>
      <w:numPr>
        <w:numId w:val="1"/>
      </w:numPr>
    </w:pPr>
  </w:style>
  <w:style w:type="paragraph" w:customStyle="1" w:styleId="AppendixHeading">
    <w:name w:val="Appendix Heading"/>
    <w:basedOn w:val="HeadingBase"/>
    <w:next w:val="Normal"/>
    <w:rsid w:val="00FF537F"/>
    <w:pPr>
      <w:spacing w:after="360"/>
      <w:outlineLvl w:val="0"/>
    </w:pPr>
    <w:rPr>
      <w:b/>
      <w:smallCaps/>
      <w:sz w:val="36"/>
      <w:szCs w:val="36"/>
    </w:rPr>
  </w:style>
  <w:style w:type="paragraph" w:styleId="BalloonText">
    <w:name w:val="Balloon Text"/>
    <w:basedOn w:val="Normal"/>
    <w:link w:val="BalloonTextChar"/>
    <w:semiHidden/>
    <w:rsid w:val="00477DED"/>
    <w:rPr>
      <w:rFonts w:ascii="Tahoma" w:hAnsi="Tahoma" w:cs="Tahoma"/>
      <w:sz w:val="16"/>
      <w:szCs w:val="16"/>
    </w:rPr>
  </w:style>
  <w:style w:type="character" w:customStyle="1" w:styleId="BalloonTextChar">
    <w:name w:val="Balloon Text Char"/>
    <w:basedOn w:val="DefaultParagraphFont"/>
    <w:link w:val="BalloonText"/>
    <w:semiHidden/>
    <w:rsid w:val="00D85D73"/>
    <w:rPr>
      <w:rFonts w:ascii="Tahoma" w:eastAsia="Times New Roman" w:hAnsi="Tahoma" w:cs="Tahoma"/>
      <w:color w:val="000000"/>
      <w:sz w:val="16"/>
      <w:szCs w:val="16"/>
      <w:lang w:eastAsia="en-AU"/>
    </w:rPr>
  </w:style>
  <w:style w:type="character" w:customStyle="1" w:styleId="Bold">
    <w:name w:val="Bold"/>
    <w:basedOn w:val="DefaultParagraphFont"/>
    <w:rsid w:val="00477DED"/>
    <w:rPr>
      <w:b/>
    </w:rPr>
  </w:style>
  <w:style w:type="paragraph" w:customStyle="1" w:styleId="BoxTextBase">
    <w:name w:val="Box Text Base"/>
    <w:basedOn w:val="Normal"/>
    <w:rsid w:val="00477DED"/>
  </w:style>
  <w:style w:type="paragraph" w:customStyle="1" w:styleId="BoxBullet">
    <w:name w:val="Box Bullet"/>
    <w:basedOn w:val="BoxTextBase"/>
    <w:rsid w:val="00477DED"/>
    <w:pPr>
      <w:numPr>
        <w:numId w:val="2"/>
      </w:numPr>
    </w:pPr>
  </w:style>
  <w:style w:type="paragraph" w:customStyle="1" w:styleId="BoxDash">
    <w:name w:val="Box Dash"/>
    <w:basedOn w:val="Normal"/>
    <w:rsid w:val="00477DED"/>
    <w:pPr>
      <w:numPr>
        <w:ilvl w:val="1"/>
        <w:numId w:val="2"/>
      </w:numPr>
    </w:pPr>
  </w:style>
  <w:style w:type="paragraph" w:customStyle="1" w:styleId="BoxDoubleDot">
    <w:name w:val="Box Double Dot"/>
    <w:basedOn w:val="BoxTextBase"/>
    <w:rsid w:val="00477DED"/>
    <w:pPr>
      <w:numPr>
        <w:ilvl w:val="2"/>
        <w:numId w:val="2"/>
      </w:numPr>
    </w:pPr>
  </w:style>
  <w:style w:type="paragraph" w:customStyle="1" w:styleId="BoxHeading">
    <w:name w:val="Box Heading"/>
    <w:basedOn w:val="HeadingBase"/>
    <w:next w:val="BoxText"/>
    <w:rsid w:val="00477DED"/>
    <w:pPr>
      <w:spacing w:before="240" w:after="120"/>
    </w:pPr>
    <w:rPr>
      <w:b/>
      <w:sz w:val="22"/>
    </w:rPr>
  </w:style>
  <w:style w:type="paragraph" w:customStyle="1" w:styleId="BoxText">
    <w:name w:val="Box Text"/>
    <w:basedOn w:val="BoxTextBase"/>
    <w:rsid w:val="00477DED"/>
  </w:style>
  <w:style w:type="paragraph" w:customStyle="1" w:styleId="Bullet">
    <w:name w:val="Bullet"/>
    <w:aliases w:val="b"/>
    <w:basedOn w:val="Normal"/>
    <w:link w:val="BulletChar"/>
    <w:rsid w:val="00FF537F"/>
    <w:pPr>
      <w:numPr>
        <w:numId w:val="4"/>
      </w:numPr>
      <w:tabs>
        <w:tab w:val="left" w:pos="397"/>
      </w:tabs>
      <w:spacing w:after="120" w:line="240" w:lineRule="auto"/>
    </w:pPr>
  </w:style>
  <w:style w:type="paragraph" w:styleId="NormalIndent">
    <w:name w:val="Normal Indent"/>
    <w:basedOn w:val="Normal"/>
    <w:rsid w:val="00477DED"/>
    <w:pPr>
      <w:ind w:left="567"/>
    </w:pPr>
    <w:rPr>
      <w:i/>
    </w:rPr>
  </w:style>
  <w:style w:type="paragraph" w:customStyle="1" w:styleId="ChartandTableFootnoteAlpha">
    <w:name w:val="Chart and Table Footnote Alpha"/>
    <w:rsid w:val="00477DED"/>
    <w:pPr>
      <w:numPr>
        <w:numId w:val="3"/>
      </w:numPr>
      <w:tabs>
        <w:tab w:val="clear" w:pos="283"/>
        <w:tab w:val="num" w:pos="360"/>
      </w:tabs>
      <w:spacing w:after="0" w:line="240" w:lineRule="auto"/>
      <w:ind w:left="0" w:firstLine="0"/>
      <w:jc w:val="both"/>
    </w:pPr>
    <w:rPr>
      <w:rFonts w:ascii="Arial" w:eastAsia="Times New Roman" w:hAnsi="Arial" w:cs="Times New Roman"/>
      <w:color w:val="000000"/>
      <w:sz w:val="16"/>
      <w:szCs w:val="16"/>
      <w:lang w:eastAsia="en-AU"/>
    </w:rPr>
  </w:style>
  <w:style w:type="paragraph" w:customStyle="1" w:styleId="ChartMainHeading">
    <w:name w:val="Chart Main Heading"/>
    <w:basedOn w:val="HeadingBase"/>
    <w:next w:val="ChartGraphic"/>
    <w:rsid w:val="00477DED"/>
    <w:pPr>
      <w:spacing w:after="20"/>
      <w:jc w:val="center"/>
    </w:pPr>
    <w:rPr>
      <w:b/>
      <w:sz w:val="22"/>
    </w:rPr>
  </w:style>
  <w:style w:type="paragraph" w:customStyle="1" w:styleId="ChartorTableNote">
    <w:name w:val="Chart or Table Note"/>
    <w:next w:val="Normal"/>
    <w:rsid w:val="00477DED"/>
    <w:pPr>
      <w:spacing w:after="0" w:line="240" w:lineRule="auto"/>
      <w:jc w:val="both"/>
    </w:pPr>
    <w:rPr>
      <w:rFonts w:ascii="Arial" w:eastAsia="Times New Roman" w:hAnsi="Arial" w:cs="Times New Roman"/>
      <w:color w:val="000000"/>
      <w:sz w:val="16"/>
      <w:szCs w:val="20"/>
      <w:lang w:eastAsia="en-AU"/>
    </w:rPr>
  </w:style>
  <w:style w:type="paragraph" w:customStyle="1" w:styleId="ChartSecondHeading">
    <w:name w:val="Chart Second Heading"/>
    <w:basedOn w:val="HeadingBase"/>
    <w:next w:val="ChartGraphic"/>
    <w:rsid w:val="00477DED"/>
    <w:pPr>
      <w:spacing w:after="20"/>
      <w:jc w:val="center"/>
    </w:pPr>
  </w:style>
  <w:style w:type="paragraph" w:customStyle="1" w:styleId="Classification">
    <w:name w:val="Classification"/>
    <w:basedOn w:val="HeadingBase"/>
    <w:next w:val="Footer"/>
    <w:rsid w:val="00477DED"/>
    <w:pPr>
      <w:spacing w:after="120"/>
      <w:jc w:val="center"/>
    </w:pPr>
    <w:rPr>
      <w:b/>
      <w:smallCaps/>
    </w:rPr>
  </w:style>
  <w:style w:type="paragraph" w:styleId="Footer">
    <w:name w:val="footer"/>
    <w:basedOn w:val="HeadingBase"/>
    <w:link w:val="FooterChar"/>
    <w:rsid w:val="00477DED"/>
    <w:rPr>
      <w:sz w:val="18"/>
    </w:rPr>
  </w:style>
  <w:style w:type="character" w:customStyle="1" w:styleId="FooterChar">
    <w:name w:val="Footer Char"/>
    <w:link w:val="Footer"/>
    <w:rsid w:val="00477DED"/>
    <w:rPr>
      <w:rFonts w:ascii="Calibri" w:eastAsia="Times New Roman" w:hAnsi="Calibri" w:cs="Times New Roman"/>
      <w:color w:val="342E82"/>
      <w:sz w:val="18"/>
      <w:szCs w:val="20"/>
      <w:lang w:eastAsia="en-AU"/>
    </w:rPr>
  </w:style>
  <w:style w:type="paragraph" w:customStyle="1" w:styleId="ContentsHeading">
    <w:name w:val="Contents Heading"/>
    <w:basedOn w:val="HeadingBase"/>
    <w:next w:val="Normal"/>
    <w:rsid w:val="00FF537F"/>
    <w:pPr>
      <w:spacing w:after="360"/>
    </w:pPr>
    <w:rPr>
      <w:smallCaps/>
      <w:sz w:val="36"/>
      <w:szCs w:val="36"/>
    </w:rPr>
  </w:style>
  <w:style w:type="paragraph" w:customStyle="1" w:styleId="CoverTitleSub">
    <w:name w:val="Cover Title Sub"/>
    <w:basedOn w:val="HeadingBase"/>
    <w:rsid w:val="00477DED"/>
    <w:pPr>
      <w:spacing w:after="360"/>
      <w:jc w:val="right"/>
    </w:pPr>
    <w:rPr>
      <w:sz w:val="36"/>
    </w:rPr>
  </w:style>
  <w:style w:type="paragraph" w:customStyle="1" w:styleId="Covertitlelevel3">
    <w:name w:val="Cover title level 3"/>
    <w:basedOn w:val="CoverTitleSub"/>
    <w:rsid w:val="00D85D73"/>
    <w:pPr>
      <w:spacing w:after="120"/>
    </w:pPr>
    <w:rPr>
      <w:sz w:val="28"/>
      <w:szCs w:val="28"/>
    </w:rPr>
  </w:style>
  <w:style w:type="paragraph" w:customStyle="1" w:styleId="CoverTitleMain">
    <w:name w:val="Cover Title Main"/>
    <w:basedOn w:val="HeadingBase"/>
    <w:next w:val="Normal"/>
    <w:rsid w:val="00477DED"/>
    <w:pPr>
      <w:pBdr>
        <w:bottom w:val="single" w:sz="18" w:space="9" w:color="342E82"/>
      </w:pBdr>
      <w:spacing w:after="480"/>
      <w:jc w:val="right"/>
    </w:pPr>
    <w:rPr>
      <w:b/>
      <w:sz w:val="48"/>
    </w:rPr>
  </w:style>
  <w:style w:type="paragraph" w:customStyle="1" w:styleId="Dash">
    <w:name w:val="Dash"/>
    <w:basedOn w:val="Normal"/>
    <w:link w:val="DashChar"/>
    <w:rsid w:val="00FF537F"/>
    <w:pPr>
      <w:numPr>
        <w:ilvl w:val="1"/>
        <w:numId w:val="4"/>
      </w:numPr>
      <w:tabs>
        <w:tab w:val="clear" w:pos="1134"/>
        <w:tab w:val="num" w:pos="794"/>
      </w:tabs>
      <w:spacing w:after="120" w:line="240" w:lineRule="auto"/>
      <w:ind w:left="794" w:hanging="397"/>
    </w:pPr>
  </w:style>
  <w:style w:type="paragraph" w:customStyle="1" w:styleId="DoubleDot">
    <w:name w:val="Double Dot"/>
    <w:basedOn w:val="Normal"/>
    <w:rsid w:val="00477DED"/>
    <w:pPr>
      <w:numPr>
        <w:ilvl w:val="2"/>
        <w:numId w:val="4"/>
      </w:numPr>
      <w:tabs>
        <w:tab w:val="clear" w:pos="1700"/>
        <w:tab w:val="num" w:pos="360"/>
      </w:tabs>
      <w:ind w:left="1758" w:hanging="397"/>
    </w:pPr>
  </w:style>
  <w:style w:type="paragraph" w:customStyle="1" w:styleId="Figuregraphic">
    <w:name w:val="Figure graphic"/>
    <w:basedOn w:val="Normal"/>
    <w:rsid w:val="00D85D73"/>
    <w:pPr>
      <w:jc w:val="center"/>
    </w:pPr>
  </w:style>
  <w:style w:type="paragraph" w:customStyle="1" w:styleId="FigureHeading">
    <w:name w:val="Figure Heading"/>
    <w:basedOn w:val="HeadingBase"/>
    <w:next w:val="Figuregraphic"/>
    <w:rsid w:val="00D85D73"/>
    <w:pPr>
      <w:spacing w:after="20"/>
      <w:jc w:val="center"/>
    </w:pPr>
    <w:rPr>
      <w:rFonts w:ascii="Arial Bold" w:hAnsi="Arial Bold"/>
      <w:b/>
      <w:sz w:val="22"/>
      <w:szCs w:val="22"/>
    </w:rPr>
  </w:style>
  <w:style w:type="paragraph" w:customStyle="1" w:styleId="FigureSecondHeading">
    <w:name w:val="Figure Second Heading"/>
    <w:basedOn w:val="HeadingBase"/>
    <w:next w:val="Figuregraphic"/>
    <w:rsid w:val="00D85D73"/>
    <w:pPr>
      <w:spacing w:after="20"/>
      <w:jc w:val="center"/>
    </w:pPr>
  </w:style>
  <w:style w:type="paragraph" w:customStyle="1" w:styleId="TableMainHeading">
    <w:name w:val="Table Main Heading"/>
    <w:basedOn w:val="HeadingBase"/>
    <w:next w:val="TableGraphic"/>
    <w:rsid w:val="00477DED"/>
    <w:pPr>
      <w:spacing w:after="20"/>
    </w:pPr>
    <w:rPr>
      <w:b/>
      <w:sz w:val="22"/>
    </w:rPr>
  </w:style>
  <w:style w:type="paragraph" w:customStyle="1" w:styleId="FooterCentered">
    <w:name w:val="Footer Centered"/>
    <w:basedOn w:val="Footer"/>
    <w:rsid w:val="00477DED"/>
    <w:pPr>
      <w:jc w:val="center"/>
    </w:pPr>
  </w:style>
  <w:style w:type="paragraph" w:customStyle="1" w:styleId="FooterEven">
    <w:name w:val="Footer Even"/>
    <w:basedOn w:val="Footer"/>
    <w:rsid w:val="00477DED"/>
  </w:style>
  <w:style w:type="paragraph" w:customStyle="1" w:styleId="FooterOdd">
    <w:name w:val="Footer Odd"/>
    <w:basedOn w:val="Footer"/>
    <w:rsid w:val="00477DED"/>
    <w:pPr>
      <w:jc w:val="right"/>
    </w:pPr>
  </w:style>
  <w:style w:type="character" w:styleId="FootnoteReference">
    <w:name w:val="footnote reference"/>
    <w:basedOn w:val="DefaultParagraphFont"/>
    <w:rsid w:val="00477DED"/>
    <w:rPr>
      <w:vertAlign w:val="superscript"/>
    </w:rPr>
  </w:style>
  <w:style w:type="paragraph" w:styleId="FootnoteText">
    <w:name w:val="footnote text"/>
    <w:basedOn w:val="Normal"/>
    <w:link w:val="FootnoteTextChar"/>
    <w:rsid w:val="00477DED"/>
    <w:pPr>
      <w:tabs>
        <w:tab w:val="left" w:pos="284"/>
      </w:tabs>
      <w:spacing w:after="0" w:line="240" w:lineRule="auto"/>
      <w:ind w:left="284" w:hanging="284"/>
    </w:pPr>
    <w:rPr>
      <w:sz w:val="18"/>
    </w:rPr>
  </w:style>
  <w:style w:type="character" w:customStyle="1" w:styleId="FootnoteTextChar">
    <w:name w:val="Footnote Text Char"/>
    <w:basedOn w:val="DefaultParagraphFont"/>
    <w:link w:val="FootnoteText"/>
    <w:rsid w:val="00D85D73"/>
    <w:rPr>
      <w:rFonts w:eastAsia="Times New Roman" w:cs="Times New Roman"/>
      <w:color w:val="000000"/>
      <w:sz w:val="18"/>
      <w:szCs w:val="20"/>
      <w:lang w:eastAsia="en-AU"/>
    </w:rPr>
  </w:style>
  <w:style w:type="character" w:customStyle="1" w:styleId="FramedFooter">
    <w:name w:val="Framed Footer"/>
    <w:rsid w:val="00477DED"/>
    <w:rPr>
      <w:rFonts w:ascii="Arial" w:hAnsi="Arial"/>
      <w:color w:val="342E82"/>
      <w:sz w:val="18"/>
    </w:rPr>
  </w:style>
  <w:style w:type="character" w:customStyle="1" w:styleId="FramedHeader">
    <w:name w:val="Framed Header"/>
    <w:basedOn w:val="DefaultParagraphFont"/>
    <w:rsid w:val="00477DED"/>
    <w:rPr>
      <w:rFonts w:ascii="Arial" w:hAnsi="Arial"/>
      <w:dstrike w:val="0"/>
      <w:color w:val="342E82"/>
      <w:sz w:val="18"/>
      <w:vertAlign w:val="baseline"/>
    </w:rPr>
  </w:style>
  <w:style w:type="paragraph" w:styleId="Header">
    <w:name w:val="header"/>
    <w:basedOn w:val="HeadingBase"/>
    <w:link w:val="HeaderChar"/>
    <w:rsid w:val="00477DED"/>
    <w:rPr>
      <w:sz w:val="18"/>
    </w:rPr>
  </w:style>
  <w:style w:type="character" w:customStyle="1" w:styleId="HeaderChar">
    <w:name w:val="Header Char"/>
    <w:basedOn w:val="DefaultParagraphFont"/>
    <w:link w:val="Header"/>
    <w:rsid w:val="00D85D73"/>
    <w:rPr>
      <w:rFonts w:ascii="Calibri" w:eastAsia="Times New Roman" w:hAnsi="Calibri" w:cs="Times New Roman"/>
      <w:color w:val="342E82"/>
      <w:sz w:val="18"/>
      <w:szCs w:val="20"/>
      <w:lang w:eastAsia="en-AU"/>
    </w:rPr>
  </w:style>
  <w:style w:type="paragraph" w:customStyle="1" w:styleId="HeaderEven">
    <w:name w:val="Header Even"/>
    <w:basedOn w:val="Header"/>
    <w:rsid w:val="00477DED"/>
  </w:style>
  <w:style w:type="paragraph" w:customStyle="1" w:styleId="HeaderOdd">
    <w:name w:val="Header Odd"/>
    <w:basedOn w:val="Header"/>
    <w:rsid w:val="00477DED"/>
    <w:pPr>
      <w:jc w:val="right"/>
    </w:pPr>
  </w:style>
  <w:style w:type="character" w:customStyle="1" w:styleId="italic">
    <w:name w:val="italic"/>
    <w:basedOn w:val="DefaultParagraphFont"/>
    <w:rsid w:val="00477DED"/>
    <w:rPr>
      <w:i/>
    </w:rPr>
  </w:style>
  <w:style w:type="paragraph" w:styleId="NormalWeb">
    <w:name w:val="Normal (Web)"/>
    <w:basedOn w:val="Normal"/>
    <w:uiPriority w:val="99"/>
    <w:rsid w:val="00D85D73"/>
    <w:pPr>
      <w:spacing w:line="312" w:lineRule="atLeast"/>
    </w:pPr>
    <w:rPr>
      <w:sz w:val="24"/>
      <w:szCs w:val="24"/>
    </w:rPr>
  </w:style>
  <w:style w:type="paragraph" w:customStyle="1" w:styleId="NormalIndentItalics">
    <w:name w:val="Normal Indent Italics"/>
    <w:basedOn w:val="NormalIndent"/>
    <w:rsid w:val="00D85D73"/>
    <w:rPr>
      <w:i w:val="0"/>
    </w:rPr>
  </w:style>
  <w:style w:type="paragraph" w:customStyle="1" w:styleId="OutlineNumbered1">
    <w:name w:val="Outline Numbered 1"/>
    <w:basedOn w:val="Normal"/>
    <w:rsid w:val="00FF537F"/>
    <w:pPr>
      <w:numPr>
        <w:numId w:val="19"/>
      </w:numPr>
      <w:tabs>
        <w:tab w:val="left" w:pos="397"/>
      </w:tabs>
    </w:pPr>
  </w:style>
  <w:style w:type="paragraph" w:customStyle="1" w:styleId="OneLevelNumberedParagraph">
    <w:name w:val="One Level Numbered Paragraph"/>
    <w:basedOn w:val="Normal"/>
    <w:rsid w:val="00477DED"/>
    <w:pPr>
      <w:numPr>
        <w:numId w:val="5"/>
      </w:numPr>
    </w:pPr>
  </w:style>
  <w:style w:type="paragraph" w:customStyle="1" w:styleId="OutlineNumbered2">
    <w:name w:val="Outline Numbered 2"/>
    <w:basedOn w:val="Normal"/>
    <w:rsid w:val="00477DED"/>
    <w:pPr>
      <w:numPr>
        <w:ilvl w:val="1"/>
        <w:numId w:val="19"/>
      </w:numPr>
    </w:pPr>
  </w:style>
  <w:style w:type="paragraph" w:customStyle="1" w:styleId="OutlineNumbered3">
    <w:name w:val="Outline Numbered 3"/>
    <w:basedOn w:val="Normal"/>
    <w:rsid w:val="00477DED"/>
    <w:pPr>
      <w:numPr>
        <w:ilvl w:val="2"/>
        <w:numId w:val="19"/>
      </w:numPr>
    </w:pPr>
  </w:style>
  <w:style w:type="character" w:styleId="PageNumber">
    <w:name w:val="page number"/>
    <w:basedOn w:val="DefaultParagraphFont"/>
    <w:rsid w:val="00D85D73"/>
    <w:rPr>
      <w:rFonts w:ascii="Arial" w:hAnsi="Arial"/>
      <w:sz w:val="18"/>
    </w:rPr>
  </w:style>
  <w:style w:type="paragraph" w:customStyle="1" w:styleId="Principle">
    <w:name w:val="Principle"/>
    <w:basedOn w:val="Normal"/>
    <w:rsid w:val="00D85D73"/>
    <w:pPr>
      <w:keepNext/>
      <w:spacing w:after="60"/>
      <w:ind w:left="573"/>
    </w:pPr>
    <w:rPr>
      <w:rFonts w:ascii="Book Antiqua" w:hAnsi="Book Antiqua"/>
      <w:i/>
      <w:sz w:val="20"/>
    </w:rPr>
  </w:style>
  <w:style w:type="paragraph" w:customStyle="1" w:styleId="RecommendationTextBase">
    <w:name w:val="Recommendation Text Base"/>
    <w:basedOn w:val="Normal"/>
    <w:rsid w:val="00477DED"/>
    <w:pPr>
      <w:spacing w:before="120" w:after="120"/>
    </w:pPr>
  </w:style>
  <w:style w:type="paragraph" w:customStyle="1" w:styleId="RecommendationBullet">
    <w:name w:val="Recommendation Bullet"/>
    <w:basedOn w:val="RecommendationTextBase"/>
    <w:rsid w:val="00477DED"/>
    <w:pPr>
      <w:numPr>
        <w:numId w:val="6"/>
      </w:numPr>
    </w:pPr>
  </w:style>
  <w:style w:type="paragraph" w:customStyle="1" w:styleId="RecommendationDash">
    <w:name w:val="Recommendation Dash"/>
    <w:basedOn w:val="RecommendationTextBase"/>
    <w:rsid w:val="00477DED"/>
    <w:pPr>
      <w:numPr>
        <w:ilvl w:val="1"/>
        <w:numId w:val="6"/>
      </w:numPr>
    </w:pPr>
  </w:style>
  <w:style w:type="paragraph" w:customStyle="1" w:styleId="RecommendationDoubleDot">
    <w:name w:val="Recommendation Double Dot"/>
    <w:basedOn w:val="RecommendationTextBase"/>
    <w:rsid w:val="00477DED"/>
    <w:pPr>
      <w:numPr>
        <w:ilvl w:val="2"/>
        <w:numId w:val="6"/>
      </w:numPr>
    </w:pPr>
  </w:style>
  <w:style w:type="paragraph" w:customStyle="1" w:styleId="RecommendationHeading">
    <w:name w:val="Recommendation Heading"/>
    <w:basedOn w:val="HeadingBase"/>
    <w:next w:val="RecommendationText"/>
    <w:rsid w:val="00477DED"/>
    <w:pPr>
      <w:spacing w:before="120" w:after="240"/>
    </w:pPr>
    <w:rPr>
      <w:b/>
      <w:sz w:val="22"/>
    </w:rPr>
  </w:style>
  <w:style w:type="paragraph" w:customStyle="1" w:styleId="RecommendationText">
    <w:name w:val="Recommendation Text"/>
    <w:basedOn w:val="RecommendationTextBase"/>
    <w:rsid w:val="00477DED"/>
  </w:style>
  <w:style w:type="paragraph" w:customStyle="1" w:styleId="Romannumeral">
    <w:name w:val="Roman numeral"/>
    <w:basedOn w:val="Normal"/>
    <w:rsid w:val="00477DED"/>
    <w:pPr>
      <w:numPr>
        <w:numId w:val="7"/>
      </w:numPr>
    </w:pPr>
  </w:style>
  <w:style w:type="paragraph" w:customStyle="1" w:styleId="SingleParagraph">
    <w:name w:val="Single Paragraph"/>
    <w:basedOn w:val="Normal"/>
    <w:link w:val="SingleParagraphChar"/>
    <w:rsid w:val="00477DED"/>
    <w:pPr>
      <w:spacing w:after="0"/>
    </w:pPr>
  </w:style>
  <w:style w:type="paragraph" w:customStyle="1" w:styleId="SingleParagraphIndent">
    <w:name w:val="Single Paragraph Indent"/>
    <w:basedOn w:val="SingleParagraph"/>
    <w:rsid w:val="00D85D73"/>
    <w:pPr>
      <w:ind w:left="567"/>
    </w:pPr>
  </w:style>
  <w:style w:type="paragraph" w:customStyle="1" w:styleId="TableSecondHeading">
    <w:name w:val="Table Second Heading"/>
    <w:basedOn w:val="HeadingBase"/>
    <w:next w:val="TableGraphic"/>
    <w:rsid w:val="00477DED"/>
    <w:pPr>
      <w:spacing w:after="20"/>
    </w:pPr>
  </w:style>
  <w:style w:type="paragraph" w:customStyle="1" w:styleId="TableTextBase">
    <w:name w:val="Table Text Base"/>
    <w:rsid w:val="00477DED"/>
    <w:pPr>
      <w:spacing w:before="40" w:after="40" w:line="240" w:lineRule="auto"/>
    </w:pPr>
    <w:rPr>
      <w:rFonts w:eastAsia="Times New Roman" w:cs="Times New Roman"/>
      <w:color w:val="000000"/>
      <w:sz w:val="16"/>
      <w:szCs w:val="20"/>
      <w:lang w:eastAsia="en-AU"/>
    </w:rPr>
  </w:style>
  <w:style w:type="paragraph" w:customStyle="1" w:styleId="TableColumnHeadingCentred">
    <w:name w:val="Table Column Heading Centred"/>
    <w:basedOn w:val="TableColumnHeadingBase"/>
    <w:rsid w:val="00477DED"/>
    <w:pPr>
      <w:jc w:val="center"/>
    </w:pPr>
  </w:style>
  <w:style w:type="paragraph" w:customStyle="1" w:styleId="TableColumnHeadingBase">
    <w:name w:val="Table Column Heading Base"/>
    <w:basedOn w:val="Normal"/>
    <w:rsid w:val="00477DED"/>
    <w:pPr>
      <w:spacing w:before="40" w:after="40" w:line="240" w:lineRule="auto"/>
    </w:pPr>
    <w:rPr>
      <w:b/>
      <w:color w:val="342E82"/>
      <w:sz w:val="16"/>
    </w:rPr>
  </w:style>
  <w:style w:type="paragraph" w:customStyle="1" w:styleId="TableColumnHeadingLeft">
    <w:name w:val="Table Column Heading Left"/>
    <w:basedOn w:val="TableColumnHeadingBase"/>
    <w:rsid w:val="00477DED"/>
  </w:style>
  <w:style w:type="paragraph" w:customStyle="1" w:styleId="TableColumnHeadingRight">
    <w:name w:val="Table Column Heading Right"/>
    <w:basedOn w:val="TableColumnHeadingBase"/>
    <w:rsid w:val="00477DED"/>
    <w:pPr>
      <w:jc w:val="right"/>
    </w:pPr>
  </w:style>
  <w:style w:type="table" w:styleId="TableGrid">
    <w:name w:val="Table Grid"/>
    <w:basedOn w:val="TableNormal"/>
    <w:rsid w:val="00477DED"/>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MainHeadingContd">
    <w:name w:val="Table Main Heading Contd"/>
    <w:basedOn w:val="HeadingBase"/>
    <w:next w:val="TableGraphic"/>
    <w:rsid w:val="00477DED"/>
    <w:pPr>
      <w:pageBreakBefore/>
      <w:spacing w:after="20"/>
    </w:pPr>
    <w:rPr>
      <w:b/>
      <w:sz w:val="22"/>
    </w:rPr>
  </w:style>
  <w:style w:type="paragraph" w:customStyle="1" w:styleId="TableTextCentered">
    <w:name w:val="Table Text Centered"/>
    <w:basedOn w:val="TableTextBase"/>
    <w:rsid w:val="00477DED"/>
    <w:pPr>
      <w:jc w:val="center"/>
    </w:pPr>
  </w:style>
  <w:style w:type="paragraph" w:customStyle="1" w:styleId="TableTextIndented">
    <w:name w:val="Table Text Indented"/>
    <w:basedOn w:val="TableTextBase"/>
    <w:rsid w:val="00477DED"/>
    <w:pPr>
      <w:ind w:left="284"/>
    </w:pPr>
  </w:style>
  <w:style w:type="paragraph" w:customStyle="1" w:styleId="TableTextLeft">
    <w:name w:val="Table Text Left"/>
    <w:basedOn w:val="TableTextBase"/>
    <w:rsid w:val="00477DED"/>
  </w:style>
  <w:style w:type="paragraph" w:customStyle="1" w:styleId="TableTextRight">
    <w:name w:val="Table Text Right"/>
    <w:basedOn w:val="TableTextBase"/>
    <w:rsid w:val="00477DED"/>
    <w:pPr>
      <w:jc w:val="right"/>
    </w:pPr>
  </w:style>
  <w:style w:type="paragraph" w:styleId="TOC1">
    <w:name w:val="toc 1"/>
    <w:basedOn w:val="HeadingBase"/>
    <w:next w:val="Normal"/>
    <w:uiPriority w:val="39"/>
    <w:rsid w:val="00477DED"/>
    <w:pPr>
      <w:tabs>
        <w:tab w:val="left" w:pos="284"/>
        <w:tab w:val="left" w:pos="567"/>
        <w:tab w:val="right" w:leader="dot" w:pos="9072"/>
      </w:tabs>
      <w:spacing w:before="180"/>
      <w:ind w:left="284" w:right="851" w:hanging="284"/>
    </w:pPr>
    <w:rPr>
      <w:b/>
      <w:smallCaps/>
      <w:sz w:val="22"/>
      <w:szCs w:val="22"/>
    </w:rPr>
  </w:style>
  <w:style w:type="paragraph" w:styleId="TOC2">
    <w:name w:val="toc 2"/>
    <w:basedOn w:val="HeadingBase"/>
    <w:next w:val="Normal"/>
    <w:uiPriority w:val="39"/>
    <w:rsid w:val="00656397"/>
    <w:pPr>
      <w:tabs>
        <w:tab w:val="right" w:leader="dot" w:pos="9072"/>
      </w:tabs>
      <w:spacing w:before="40" w:after="20"/>
      <w:ind w:left="284" w:right="851"/>
    </w:pPr>
  </w:style>
  <w:style w:type="paragraph" w:styleId="TOC3">
    <w:name w:val="toc 3"/>
    <w:basedOn w:val="Normal"/>
    <w:next w:val="Normal"/>
    <w:rsid w:val="00477DED"/>
    <w:pPr>
      <w:tabs>
        <w:tab w:val="right" w:leader="dot" w:pos="9072"/>
      </w:tabs>
      <w:spacing w:before="20" w:after="0" w:line="240" w:lineRule="auto"/>
      <w:ind w:left="284" w:right="851"/>
    </w:pPr>
  </w:style>
  <w:style w:type="paragraph" w:styleId="TOC4">
    <w:name w:val="toc 4"/>
    <w:basedOn w:val="Normal"/>
    <w:next w:val="Normal"/>
    <w:rsid w:val="00477DED"/>
    <w:pPr>
      <w:tabs>
        <w:tab w:val="right" w:leader="dot" w:pos="9072"/>
      </w:tabs>
      <w:spacing w:after="0" w:line="240" w:lineRule="auto"/>
      <w:ind w:left="284" w:right="851"/>
    </w:pPr>
  </w:style>
  <w:style w:type="paragraph" w:styleId="BodyTextIndent2">
    <w:name w:val="Body Text Indent 2"/>
    <w:basedOn w:val="Normal"/>
    <w:link w:val="BodyTextIndent2Char"/>
    <w:rsid w:val="00D85D73"/>
    <w:pPr>
      <w:spacing w:after="120" w:line="480" w:lineRule="auto"/>
      <w:ind w:left="283"/>
    </w:pPr>
  </w:style>
  <w:style w:type="character" w:customStyle="1" w:styleId="BodyTextIndent2Char">
    <w:name w:val="Body Text Indent 2 Char"/>
    <w:basedOn w:val="DefaultParagraphFont"/>
    <w:link w:val="BodyTextIndent2"/>
    <w:rsid w:val="00D85D73"/>
    <w:rPr>
      <w:rFonts w:eastAsia="Times New Roman" w:cs="Times New Roman"/>
      <w:szCs w:val="20"/>
      <w:lang w:eastAsia="en-AU"/>
    </w:rPr>
  </w:style>
  <w:style w:type="character" w:customStyle="1" w:styleId="BoldandItalic">
    <w:name w:val="Bold and Italic"/>
    <w:basedOn w:val="DefaultParagraphFont"/>
    <w:rsid w:val="00477DED"/>
    <w:rPr>
      <w:rFonts w:ascii="Calibri" w:hAnsi="Calibri"/>
      <w:b/>
      <w:i/>
    </w:rPr>
  </w:style>
  <w:style w:type="paragraph" w:styleId="Caption">
    <w:name w:val="caption"/>
    <w:basedOn w:val="Normal"/>
    <w:next w:val="Normal"/>
    <w:qFormat/>
    <w:rsid w:val="00477DED"/>
    <w:rPr>
      <w:b/>
      <w:bCs/>
    </w:rPr>
  </w:style>
  <w:style w:type="character" w:styleId="CommentReference">
    <w:name w:val="annotation reference"/>
    <w:basedOn w:val="DefaultParagraphFont"/>
    <w:semiHidden/>
    <w:rsid w:val="00477DED"/>
    <w:rPr>
      <w:sz w:val="16"/>
      <w:szCs w:val="16"/>
    </w:rPr>
  </w:style>
  <w:style w:type="paragraph" w:styleId="CommentText">
    <w:name w:val="annotation text"/>
    <w:basedOn w:val="Normal"/>
    <w:link w:val="CommentTextChar"/>
    <w:semiHidden/>
    <w:rsid w:val="00477DED"/>
  </w:style>
  <w:style w:type="character" w:customStyle="1" w:styleId="CommentTextChar">
    <w:name w:val="Comment Text Char"/>
    <w:basedOn w:val="DefaultParagraphFont"/>
    <w:link w:val="CommentText"/>
    <w:semiHidden/>
    <w:rsid w:val="00D85D73"/>
    <w:rPr>
      <w:rFonts w:eastAsia="Times New Roman" w:cs="Times New Roman"/>
      <w:color w:val="000000"/>
      <w:szCs w:val="20"/>
      <w:lang w:eastAsia="en-AU"/>
    </w:rPr>
  </w:style>
  <w:style w:type="paragraph" w:styleId="CommentSubject">
    <w:name w:val="annotation subject"/>
    <w:basedOn w:val="CommentText"/>
    <w:next w:val="CommentText"/>
    <w:link w:val="CommentSubjectChar"/>
    <w:semiHidden/>
    <w:rsid w:val="00477DED"/>
    <w:rPr>
      <w:b/>
      <w:bCs/>
    </w:rPr>
  </w:style>
  <w:style w:type="character" w:customStyle="1" w:styleId="CommentSubjectChar">
    <w:name w:val="Comment Subject Char"/>
    <w:basedOn w:val="CommentTextChar"/>
    <w:link w:val="CommentSubject"/>
    <w:semiHidden/>
    <w:rsid w:val="00D85D73"/>
    <w:rPr>
      <w:rFonts w:eastAsia="Times New Roman" w:cs="Times New Roman"/>
      <w:b/>
      <w:bCs/>
      <w:color w:val="000000"/>
      <w:szCs w:val="20"/>
      <w:lang w:eastAsia="en-AU"/>
    </w:rPr>
  </w:style>
  <w:style w:type="paragraph" w:styleId="DocumentMap">
    <w:name w:val="Document Map"/>
    <w:basedOn w:val="Normal"/>
    <w:link w:val="DocumentMapChar"/>
    <w:semiHidden/>
    <w:rsid w:val="00477DED"/>
    <w:pPr>
      <w:shd w:val="clear" w:color="auto" w:fill="000080"/>
    </w:pPr>
    <w:rPr>
      <w:rFonts w:ascii="Tahoma" w:hAnsi="Tahoma" w:cs="Tahoma"/>
    </w:rPr>
  </w:style>
  <w:style w:type="character" w:customStyle="1" w:styleId="DocumentMapChar">
    <w:name w:val="Document Map Char"/>
    <w:basedOn w:val="DefaultParagraphFont"/>
    <w:link w:val="DocumentMap"/>
    <w:semiHidden/>
    <w:rsid w:val="00D85D73"/>
    <w:rPr>
      <w:rFonts w:ascii="Tahoma" w:eastAsia="Times New Roman" w:hAnsi="Tahoma" w:cs="Tahoma"/>
      <w:color w:val="000000"/>
      <w:szCs w:val="20"/>
      <w:shd w:val="clear" w:color="auto" w:fill="000080"/>
      <w:lang w:eastAsia="en-AU"/>
    </w:rPr>
  </w:style>
  <w:style w:type="character" w:styleId="EndnoteReference">
    <w:name w:val="endnote reference"/>
    <w:basedOn w:val="DefaultParagraphFont"/>
    <w:semiHidden/>
    <w:rsid w:val="00477DED"/>
    <w:rPr>
      <w:vertAlign w:val="superscript"/>
    </w:rPr>
  </w:style>
  <w:style w:type="paragraph" w:styleId="EndnoteText">
    <w:name w:val="endnote text"/>
    <w:basedOn w:val="Normal"/>
    <w:link w:val="EndnoteTextChar"/>
    <w:semiHidden/>
    <w:rsid w:val="00477DED"/>
  </w:style>
  <w:style w:type="character" w:customStyle="1" w:styleId="EndnoteTextChar">
    <w:name w:val="Endnote Text Char"/>
    <w:basedOn w:val="DefaultParagraphFont"/>
    <w:link w:val="EndnoteText"/>
    <w:semiHidden/>
    <w:rsid w:val="00D85D73"/>
    <w:rPr>
      <w:rFonts w:eastAsia="Times New Roman" w:cs="Times New Roman"/>
      <w:color w:val="000000"/>
      <w:szCs w:val="20"/>
      <w:lang w:eastAsia="en-AU"/>
    </w:rPr>
  </w:style>
  <w:style w:type="character" w:styleId="FollowedHyperlink">
    <w:name w:val="FollowedHyperlink"/>
    <w:basedOn w:val="DefaultParagraphFont"/>
    <w:rsid w:val="00477DED"/>
    <w:rPr>
      <w:color w:val="auto"/>
      <w:u w:val="none"/>
    </w:rPr>
  </w:style>
  <w:style w:type="paragraph" w:styleId="Index1">
    <w:name w:val="index 1"/>
    <w:basedOn w:val="Normal"/>
    <w:next w:val="Normal"/>
    <w:autoRedefine/>
    <w:semiHidden/>
    <w:rsid w:val="00477DED"/>
    <w:pPr>
      <w:ind w:left="200" w:hanging="200"/>
    </w:pPr>
  </w:style>
  <w:style w:type="paragraph" w:styleId="Index2">
    <w:name w:val="index 2"/>
    <w:basedOn w:val="Normal"/>
    <w:next w:val="Normal"/>
    <w:autoRedefine/>
    <w:semiHidden/>
    <w:rsid w:val="00477DED"/>
    <w:pPr>
      <w:ind w:left="400" w:hanging="200"/>
    </w:pPr>
  </w:style>
  <w:style w:type="paragraph" w:styleId="Index3">
    <w:name w:val="index 3"/>
    <w:basedOn w:val="Normal"/>
    <w:next w:val="Normal"/>
    <w:autoRedefine/>
    <w:semiHidden/>
    <w:rsid w:val="00477DED"/>
    <w:pPr>
      <w:ind w:left="600" w:hanging="200"/>
    </w:pPr>
  </w:style>
  <w:style w:type="paragraph" w:styleId="Index4">
    <w:name w:val="index 4"/>
    <w:basedOn w:val="Normal"/>
    <w:next w:val="Normal"/>
    <w:autoRedefine/>
    <w:semiHidden/>
    <w:rsid w:val="00477DED"/>
    <w:pPr>
      <w:ind w:left="800" w:hanging="200"/>
    </w:pPr>
  </w:style>
  <w:style w:type="paragraph" w:styleId="Index5">
    <w:name w:val="index 5"/>
    <w:basedOn w:val="Normal"/>
    <w:next w:val="Normal"/>
    <w:autoRedefine/>
    <w:semiHidden/>
    <w:rsid w:val="00477DED"/>
    <w:pPr>
      <w:ind w:left="1000" w:hanging="200"/>
    </w:pPr>
  </w:style>
  <w:style w:type="paragraph" w:styleId="Index6">
    <w:name w:val="index 6"/>
    <w:basedOn w:val="Normal"/>
    <w:next w:val="Normal"/>
    <w:autoRedefine/>
    <w:semiHidden/>
    <w:rsid w:val="00477DED"/>
    <w:pPr>
      <w:ind w:left="1200" w:hanging="200"/>
    </w:pPr>
  </w:style>
  <w:style w:type="paragraph" w:styleId="Index7">
    <w:name w:val="index 7"/>
    <w:basedOn w:val="Normal"/>
    <w:next w:val="Normal"/>
    <w:autoRedefine/>
    <w:semiHidden/>
    <w:rsid w:val="00477DED"/>
    <w:pPr>
      <w:ind w:left="1400" w:hanging="200"/>
    </w:pPr>
  </w:style>
  <w:style w:type="paragraph" w:styleId="Index8">
    <w:name w:val="index 8"/>
    <w:basedOn w:val="Normal"/>
    <w:next w:val="Normal"/>
    <w:autoRedefine/>
    <w:semiHidden/>
    <w:rsid w:val="00477DED"/>
    <w:pPr>
      <w:ind w:left="1600" w:hanging="200"/>
    </w:pPr>
  </w:style>
  <w:style w:type="paragraph" w:styleId="Index9">
    <w:name w:val="index 9"/>
    <w:basedOn w:val="Normal"/>
    <w:next w:val="Normal"/>
    <w:autoRedefine/>
    <w:semiHidden/>
    <w:rsid w:val="00477DED"/>
    <w:pPr>
      <w:ind w:left="1800" w:hanging="200"/>
    </w:pPr>
  </w:style>
  <w:style w:type="paragraph" w:styleId="IndexHeading">
    <w:name w:val="index heading"/>
    <w:basedOn w:val="Normal"/>
    <w:next w:val="Index1"/>
    <w:semiHidden/>
    <w:rsid w:val="00477DED"/>
    <w:rPr>
      <w:rFonts w:cs="Arial"/>
      <w:b/>
      <w:bCs/>
    </w:rPr>
  </w:style>
  <w:style w:type="paragraph" w:styleId="MacroText">
    <w:name w:val="macro"/>
    <w:link w:val="MacroTextChar"/>
    <w:semiHidden/>
    <w:rsid w:val="00477DED"/>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sz w:val="20"/>
      <w:szCs w:val="20"/>
      <w:lang w:eastAsia="en-AU"/>
    </w:rPr>
  </w:style>
  <w:style w:type="character" w:customStyle="1" w:styleId="MacroTextChar">
    <w:name w:val="Macro Text Char"/>
    <w:basedOn w:val="DefaultParagraphFont"/>
    <w:link w:val="MacroText"/>
    <w:semiHidden/>
    <w:rsid w:val="00D85D73"/>
    <w:rPr>
      <w:rFonts w:ascii="Courier New" w:eastAsia="Times New Roman" w:hAnsi="Courier New" w:cs="Courier New"/>
      <w:color w:val="000000"/>
      <w:sz w:val="20"/>
      <w:szCs w:val="20"/>
      <w:lang w:eastAsia="en-AU"/>
    </w:rPr>
  </w:style>
  <w:style w:type="numbering" w:customStyle="1" w:styleId="OutlineList">
    <w:name w:val="OutlineList"/>
    <w:uiPriority w:val="99"/>
    <w:rsid w:val="00D85D73"/>
    <w:pPr>
      <w:numPr>
        <w:numId w:val="11"/>
      </w:numPr>
    </w:pPr>
  </w:style>
  <w:style w:type="paragraph" w:customStyle="1" w:styleId="PictureCentred">
    <w:name w:val="Picture Centred"/>
    <w:basedOn w:val="Normal"/>
    <w:rsid w:val="00D85D73"/>
    <w:pPr>
      <w:spacing w:before="120" w:line="240" w:lineRule="atLeast"/>
      <w:jc w:val="center"/>
    </w:pPr>
  </w:style>
  <w:style w:type="paragraph" w:customStyle="1" w:styleId="PictureLeft">
    <w:name w:val="Picture Left"/>
    <w:basedOn w:val="PictureCentred"/>
    <w:rsid w:val="00D85D73"/>
    <w:pPr>
      <w:jc w:val="left"/>
    </w:pPr>
  </w:style>
  <w:style w:type="paragraph" w:customStyle="1" w:styleId="PictureIndent">
    <w:name w:val="Picture Indent"/>
    <w:basedOn w:val="PictureLeft"/>
    <w:rsid w:val="00D85D73"/>
    <w:pPr>
      <w:ind w:left="284"/>
    </w:pPr>
  </w:style>
  <w:style w:type="paragraph" w:styleId="TableofAuthorities">
    <w:name w:val="table of authorities"/>
    <w:basedOn w:val="Normal"/>
    <w:next w:val="Normal"/>
    <w:rsid w:val="00477DED"/>
    <w:pPr>
      <w:ind w:left="200" w:hanging="200"/>
    </w:pPr>
  </w:style>
  <w:style w:type="paragraph" w:styleId="TableofFigures">
    <w:name w:val="table of figures"/>
    <w:basedOn w:val="Normal"/>
    <w:next w:val="Normal"/>
    <w:rsid w:val="00477DED"/>
  </w:style>
  <w:style w:type="paragraph" w:styleId="TOAHeading">
    <w:name w:val="toa heading"/>
    <w:basedOn w:val="Normal"/>
    <w:next w:val="Normal"/>
    <w:semiHidden/>
    <w:rsid w:val="00477DED"/>
    <w:pPr>
      <w:spacing w:before="120"/>
    </w:pPr>
    <w:rPr>
      <w:rFonts w:cs="Arial"/>
      <w:b/>
      <w:bCs/>
      <w:sz w:val="24"/>
      <w:szCs w:val="24"/>
    </w:rPr>
  </w:style>
  <w:style w:type="paragraph" w:styleId="TOC5">
    <w:name w:val="toc 5"/>
    <w:basedOn w:val="Normal"/>
    <w:next w:val="Normal"/>
    <w:autoRedefine/>
    <w:semiHidden/>
    <w:rsid w:val="00477DED"/>
    <w:pPr>
      <w:ind w:left="800"/>
    </w:pPr>
  </w:style>
  <w:style w:type="paragraph" w:styleId="TOC6">
    <w:name w:val="toc 6"/>
    <w:basedOn w:val="Normal"/>
    <w:next w:val="Normal"/>
    <w:autoRedefine/>
    <w:semiHidden/>
    <w:rsid w:val="00477DED"/>
    <w:pPr>
      <w:ind w:left="1000"/>
    </w:pPr>
  </w:style>
  <w:style w:type="paragraph" w:styleId="TOC7">
    <w:name w:val="toc 7"/>
    <w:basedOn w:val="Normal"/>
    <w:next w:val="Normal"/>
    <w:autoRedefine/>
    <w:semiHidden/>
    <w:rsid w:val="00477DED"/>
    <w:pPr>
      <w:ind w:left="1200"/>
    </w:pPr>
  </w:style>
  <w:style w:type="paragraph" w:styleId="TOC8">
    <w:name w:val="toc 8"/>
    <w:basedOn w:val="Normal"/>
    <w:next w:val="Normal"/>
    <w:autoRedefine/>
    <w:semiHidden/>
    <w:rsid w:val="00477DED"/>
    <w:pPr>
      <w:ind w:left="1400"/>
    </w:pPr>
  </w:style>
  <w:style w:type="paragraph" w:styleId="TOC9">
    <w:name w:val="toc 9"/>
    <w:basedOn w:val="Normal"/>
    <w:next w:val="Normal"/>
    <w:autoRedefine/>
    <w:semiHidden/>
    <w:rsid w:val="00477DED"/>
    <w:pPr>
      <w:ind w:left="1600"/>
    </w:pPr>
  </w:style>
  <w:style w:type="numbering" w:customStyle="1" w:styleId="BulletedList">
    <w:name w:val="Bulleted List"/>
    <w:uiPriority w:val="99"/>
    <w:rsid w:val="00D85D73"/>
    <w:pPr>
      <w:numPr>
        <w:numId w:val="17"/>
      </w:numPr>
    </w:pPr>
  </w:style>
  <w:style w:type="numbering" w:customStyle="1" w:styleId="BoxBulletedList">
    <w:name w:val="Box Bulleted List"/>
    <w:uiPriority w:val="99"/>
    <w:rsid w:val="00D85D73"/>
    <w:pPr>
      <w:numPr>
        <w:numId w:val="8"/>
      </w:numPr>
    </w:pPr>
  </w:style>
  <w:style w:type="numbering" w:customStyle="1" w:styleId="AlphaParagraphList">
    <w:name w:val="Alpha Paragraph List"/>
    <w:uiPriority w:val="99"/>
    <w:rsid w:val="00D85D73"/>
    <w:pPr>
      <w:numPr>
        <w:numId w:val="9"/>
      </w:numPr>
    </w:pPr>
  </w:style>
  <w:style w:type="numbering" w:customStyle="1" w:styleId="OneLevelList">
    <w:name w:val="OneLevelList"/>
    <w:uiPriority w:val="99"/>
    <w:rsid w:val="00D85D73"/>
    <w:pPr>
      <w:numPr>
        <w:numId w:val="10"/>
      </w:numPr>
    </w:pPr>
  </w:style>
  <w:style w:type="numbering" w:customStyle="1" w:styleId="RecommendationBulletList">
    <w:name w:val="RecommendationBulletList"/>
    <w:uiPriority w:val="99"/>
    <w:rsid w:val="00D85D73"/>
    <w:pPr>
      <w:numPr>
        <w:numId w:val="12"/>
      </w:numPr>
    </w:pPr>
  </w:style>
  <w:style w:type="numbering" w:customStyle="1" w:styleId="RomanNumeralList">
    <w:name w:val="RomanNumeralList"/>
    <w:uiPriority w:val="99"/>
    <w:rsid w:val="00D85D73"/>
    <w:pPr>
      <w:numPr>
        <w:numId w:val="13"/>
      </w:numPr>
    </w:pPr>
  </w:style>
  <w:style w:type="numbering" w:customStyle="1" w:styleId="ChartandTableFootnoteAlphaList">
    <w:name w:val="ChartandTableFootnoteAlphaList"/>
    <w:uiPriority w:val="99"/>
    <w:rsid w:val="00D85D73"/>
    <w:pPr>
      <w:numPr>
        <w:numId w:val="14"/>
      </w:numPr>
    </w:pPr>
  </w:style>
  <w:style w:type="paragraph" w:customStyle="1" w:styleId="TableTextBullet">
    <w:name w:val="Table Text Bullet"/>
    <w:basedOn w:val="Normal"/>
    <w:rsid w:val="00D85D73"/>
    <w:pPr>
      <w:numPr>
        <w:numId w:val="15"/>
      </w:numPr>
      <w:spacing w:line="260" w:lineRule="exact"/>
    </w:pPr>
  </w:style>
  <w:style w:type="numbering" w:customStyle="1" w:styleId="TableTextBulletList">
    <w:name w:val="Table Text Bullet List"/>
    <w:uiPriority w:val="99"/>
    <w:rsid w:val="00D85D73"/>
    <w:pPr>
      <w:numPr>
        <w:numId w:val="15"/>
      </w:numPr>
    </w:pPr>
  </w:style>
  <w:style w:type="paragraph" w:customStyle="1" w:styleId="SecurityClassificationHeader">
    <w:name w:val="Security Classification Header"/>
    <w:link w:val="SecurityClassificationHeaderChar"/>
    <w:rsid w:val="00D85D73"/>
    <w:pPr>
      <w:spacing w:after="240"/>
      <w:jc w:val="center"/>
    </w:pPr>
    <w:rPr>
      <w:rFonts w:ascii="Times New Roman" w:eastAsia="Times New Roman" w:hAnsi="Times New Roman" w:cs="Times New Roman"/>
      <w:b/>
      <w:caps/>
      <w:color w:val="4F81BD" w:themeColor="accent1"/>
      <w:sz w:val="24"/>
      <w:szCs w:val="20"/>
      <w:lang w:eastAsia="en-AU"/>
    </w:rPr>
  </w:style>
  <w:style w:type="character" w:customStyle="1" w:styleId="SecurityClassificationHeaderChar">
    <w:name w:val="Security Classification Header Char"/>
    <w:basedOn w:val="HeaderChar"/>
    <w:link w:val="SecurityClassificationHeader"/>
    <w:rsid w:val="00D85D73"/>
    <w:rPr>
      <w:rFonts w:ascii="Times New Roman" w:eastAsia="Times New Roman" w:hAnsi="Times New Roman" w:cs="Times New Roman"/>
      <w:b/>
      <w:caps/>
      <w:color w:val="4F81BD" w:themeColor="accent1"/>
      <w:sz w:val="24"/>
      <w:szCs w:val="20"/>
      <w:lang w:eastAsia="en-AU"/>
    </w:rPr>
  </w:style>
  <w:style w:type="paragraph" w:customStyle="1" w:styleId="SecurityClassificationFooter">
    <w:name w:val="Security Classification Footer"/>
    <w:link w:val="SecurityClassificationFooterChar"/>
    <w:rsid w:val="00477DED"/>
    <w:pPr>
      <w:spacing w:before="60" w:after="240"/>
      <w:jc w:val="center"/>
    </w:pPr>
    <w:rPr>
      <w:rFonts w:ascii="Times New Roman" w:eastAsia="Times New Roman" w:hAnsi="Times New Roman" w:cs="Times New Roman"/>
      <w:b/>
      <w:caps/>
      <w:color w:val="342E82"/>
      <w:sz w:val="24"/>
      <w:szCs w:val="20"/>
      <w:lang w:eastAsia="en-AU"/>
    </w:rPr>
  </w:style>
  <w:style w:type="character" w:customStyle="1" w:styleId="SecurityClassificationFooterChar">
    <w:name w:val="Security Classification Footer Char"/>
    <w:link w:val="SecurityClassificationFooter"/>
    <w:rsid w:val="00477DED"/>
    <w:rPr>
      <w:rFonts w:ascii="Times New Roman" w:eastAsia="Times New Roman" w:hAnsi="Times New Roman" w:cs="Times New Roman"/>
      <w:b/>
      <w:caps/>
      <w:color w:val="342E82"/>
      <w:sz w:val="24"/>
      <w:szCs w:val="20"/>
      <w:lang w:eastAsia="en-AU"/>
    </w:rPr>
  </w:style>
  <w:style w:type="character" w:customStyle="1" w:styleId="Italic0">
    <w:name w:val="Italic"/>
    <w:basedOn w:val="DefaultParagraphFont"/>
    <w:rsid w:val="00D85D73"/>
    <w:rPr>
      <w:i/>
    </w:rPr>
  </w:style>
  <w:style w:type="character" w:customStyle="1" w:styleId="BulletChar">
    <w:name w:val="Bullet Char"/>
    <w:aliases w:val="b Char"/>
    <w:basedOn w:val="DefaultParagraphFont"/>
    <w:link w:val="Bullet"/>
    <w:rsid w:val="00FF537F"/>
    <w:rPr>
      <w:rFonts w:eastAsia="Times New Roman" w:cs="Times New Roman"/>
      <w:color w:val="000000"/>
      <w:szCs w:val="20"/>
      <w:lang w:eastAsia="en-AU"/>
    </w:rPr>
  </w:style>
  <w:style w:type="paragraph" w:customStyle="1" w:styleId="Pa15">
    <w:name w:val="Pa15"/>
    <w:basedOn w:val="Normal"/>
    <w:next w:val="Normal"/>
    <w:uiPriority w:val="99"/>
    <w:rsid w:val="00D85D73"/>
    <w:pPr>
      <w:autoSpaceDE w:val="0"/>
      <w:autoSpaceDN w:val="0"/>
      <w:adjustRightInd w:val="0"/>
      <w:spacing w:line="201" w:lineRule="atLeast"/>
    </w:pPr>
    <w:rPr>
      <w:rFonts w:ascii="Georgia" w:hAnsi="Georgia"/>
      <w:sz w:val="24"/>
      <w:szCs w:val="24"/>
    </w:rPr>
  </w:style>
  <w:style w:type="character" w:styleId="Emphasis">
    <w:name w:val="Emphasis"/>
    <w:basedOn w:val="DefaultParagraphFont"/>
    <w:uiPriority w:val="20"/>
    <w:qFormat/>
    <w:rsid w:val="00D85D73"/>
    <w:rPr>
      <w:i/>
      <w:iCs/>
    </w:rPr>
  </w:style>
  <w:style w:type="paragraph" w:styleId="ListParagraph">
    <w:name w:val="List Paragraph"/>
    <w:basedOn w:val="Normal"/>
    <w:uiPriority w:val="99"/>
    <w:qFormat/>
    <w:rsid w:val="00D85D73"/>
    <w:pPr>
      <w:spacing w:after="200" w:line="276" w:lineRule="auto"/>
      <w:ind w:left="720"/>
      <w:contextualSpacing/>
    </w:pPr>
    <w:rPr>
      <w:rFonts w:cstheme="minorBidi"/>
      <w:lang w:val="fr-FR"/>
    </w:rPr>
  </w:style>
  <w:style w:type="paragraph" w:styleId="TOCHeading">
    <w:name w:val="TOC Heading"/>
    <w:basedOn w:val="Heading1"/>
    <w:next w:val="Normal"/>
    <w:uiPriority w:val="39"/>
    <w:semiHidden/>
    <w:unhideWhenUsed/>
    <w:qFormat/>
    <w:rsid w:val="00D85D73"/>
    <w:pPr>
      <w:keepLines/>
      <w:spacing w:before="480" w:after="0" w:line="276" w:lineRule="auto"/>
      <w:outlineLvl w:val="9"/>
    </w:pPr>
    <w:rPr>
      <w:rFonts w:eastAsiaTheme="majorEastAsia" w:cstheme="majorBidi"/>
      <w:b w:val="0"/>
      <w:color w:val="365F91" w:themeColor="accent1" w:themeShade="BF"/>
      <w:kern w:val="0"/>
      <w:sz w:val="28"/>
      <w:szCs w:val="28"/>
      <w:lang w:val="en-US" w:eastAsia="ja-JP"/>
    </w:rPr>
  </w:style>
  <w:style w:type="paragraph" w:customStyle="1" w:styleId="Pa2">
    <w:name w:val="Pa2"/>
    <w:basedOn w:val="Default"/>
    <w:next w:val="Default"/>
    <w:uiPriority w:val="99"/>
    <w:rsid w:val="00D85D73"/>
    <w:pPr>
      <w:spacing w:line="201" w:lineRule="atLeast"/>
    </w:pPr>
    <w:rPr>
      <w:rFonts w:ascii="Calibri" w:hAnsi="Calibri" w:cs="Times New Roman"/>
      <w:color w:val="auto"/>
    </w:rPr>
  </w:style>
  <w:style w:type="paragraph" w:styleId="Revision">
    <w:name w:val="Revision"/>
    <w:hidden/>
    <w:uiPriority w:val="99"/>
    <w:semiHidden/>
    <w:rsid w:val="00D85D73"/>
    <w:pPr>
      <w:spacing w:after="0" w:line="240" w:lineRule="auto"/>
    </w:pPr>
    <w:rPr>
      <w:rFonts w:eastAsia="Times New Roman" w:cs="Times New Roman"/>
      <w:szCs w:val="20"/>
      <w:lang w:eastAsia="en-AU"/>
    </w:rPr>
  </w:style>
  <w:style w:type="character" w:customStyle="1" w:styleId="DashChar">
    <w:name w:val="Dash Char"/>
    <w:basedOn w:val="DefaultParagraphFont"/>
    <w:link w:val="Dash"/>
    <w:locked/>
    <w:rsid w:val="00FF537F"/>
    <w:rPr>
      <w:rFonts w:eastAsia="Times New Roman" w:cs="Times New Roman"/>
      <w:color w:val="000000"/>
      <w:szCs w:val="20"/>
      <w:lang w:eastAsia="en-AU"/>
    </w:rPr>
  </w:style>
  <w:style w:type="paragraph" w:customStyle="1" w:styleId="Heading1NotNumbered">
    <w:name w:val="Heading 1 Not Numbered"/>
    <w:basedOn w:val="HeadingBase"/>
    <w:next w:val="Normal"/>
    <w:rsid w:val="00477DED"/>
    <w:pPr>
      <w:spacing w:before="720" w:after="360"/>
    </w:pPr>
    <w:rPr>
      <w:smallCaps/>
      <w:sz w:val="36"/>
      <w:szCs w:val="36"/>
    </w:rPr>
  </w:style>
  <w:style w:type="paragraph" w:customStyle="1" w:styleId="Heading2NotNumbered">
    <w:name w:val="Heading 2 Not Numbered"/>
    <w:basedOn w:val="HeadingBase"/>
    <w:next w:val="Normal"/>
    <w:rsid w:val="00477DED"/>
    <w:pPr>
      <w:spacing w:before="360" w:after="180"/>
    </w:pPr>
    <w:rPr>
      <w:smallCaps/>
      <w:sz w:val="28"/>
      <w:szCs w:val="28"/>
    </w:rPr>
  </w:style>
  <w:style w:type="paragraph" w:customStyle="1" w:styleId="Heading3NotNumbered">
    <w:name w:val="Heading 3 Not Numbered"/>
    <w:basedOn w:val="HeadingBase"/>
    <w:next w:val="Normal"/>
    <w:rsid w:val="00477DED"/>
    <w:pPr>
      <w:spacing w:before="240" w:after="120"/>
    </w:pPr>
    <w:rPr>
      <w:sz w:val="28"/>
      <w:szCs w:val="26"/>
    </w:rPr>
  </w:style>
  <w:style w:type="paragraph" w:customStyle="1" w:styleId="Heading4NotNumbered">
    <w:name w:val="Heading 4 Not Numbered"/>
    <w:basedOn w:val="HeadingBase"/>
    <w:rsid w:val="00477DED"/>
    <w:pPr>
      <w:spacing w:before="120" w:after="120"/>
      <w:outlineLvl w:val="3"/>
    </w:pPr>
    <w:rPr>
      <w:b/>
      <w:sz w:val="26"/>
    </w:rPr>
  </w:style>
  <w:style w:type="paragraph" w:customStyle="1" w:styleId="Heading5NotNumbered">
    <w:name w:val="Heading 5 Not Numbered"/>
    <w:basedOn w:val="HeadingBase"/>
    <w:rsid w:val="00477DED"/>
    <w:pPr>
      <w:spacing w:after="120"/>
      <w:outlineLvl w:val="4"/>
    </w:pPr>
    <w:rPr>
      <w:b/>
      <w:sz w:val="24"/>
    </w:rPr>
  </w:style>
  <w:style w:type="table" w:customStyle="1" w:styleId="OptionsTable">
    <w:name w:val="Options Table"/>
    <w:basedOn w:val="TableNormal"/>
    <w:rsid w:val="00477DED"/>
    <w:pPr>
      <w:spacing w:after="0" w:line="240" w:lineRule="auto"/>
    </w:pPr>
    <w:rPr>
      <w:rFonts w:ascii="Times New Roman" w:eastAsia="Times New Roman" w:hAnsi="Times New Roman" w:cs="Times New Roman"/>
      <w:sz w:val="20"/>
      <w:szCs w:val="20"/>
      <w:lang w:eastAsia="en-AU"/>
    </w:rPr>
    <w:tblPr>
      <w:tblStyleRowBandSize w:val="1"/>
      <w:tblBorders>
        <w:insideH w:val="single" w:sz="12" w:space="0" w:color="FFFFFF"/>
        <w:insideV w:val="single" w:sz="12" w:space="0" w:color="FFFFFF"/>
      </w:tblBorders>
    </w:tblPr>
    <w:tcPr>
      <w:shd w:val="clear" w:color="auto" w:fill="FFFFFF"/>
    </w:tcPr>
    <w:tblStylePr w:type="firstRow">
      <w:pPr>
        <w:wordWrap/>
        <w:spacing w:beforeLines="0" w:beforeAutospacing="0" w:afterLines="0" w:afterAutospacing="0" w:line="280" w:lineRule="exact"/>
        <w:contextualSpacing w:val="0"/>
      </w:pPr>
      <w:rPr>
        <w:rFonts w:ascii="Arial" w:hAnsi="Arial"/>
        <w:b/>
        <w:i w:val="0"/>
        <w:color w:val="342E82"/>
        <w:sz w:val="22"/>
      </w:rPr>
      <w:tblPr/>
      <w:tcPr>
        <w:shd w:val="clear" w:color="auto" w:fill="B3B3B3"/>
      </w:tcPr>
    </w:tblStylePr>
    <w:tblStylePr w:type="band1Horz">
      <w:pPr>
        <w:wordWrap/>
        <w:spacing w:beforeLines="0" w:beforeAutospacing="0" w:afterLines="0" w:afterAutospacing="0" w:line="280" w:lineRule="exact"/>
        <w:contextualSpacing w:val="0"/>
      </w:pPr>
      <w:rPr>
        <w:rFonts w:ascii="Arial" w:hAnsi="Arial"/>
        <w:sz w:val="22"/>
      </w:rPr>
      <w:tblPr/>
      <w:tcPr>
        <w:shd w:val="clear" w:color="auto" w:fill="E6E6E6"/>
      </w:tcPr>
    </w:tblStylePr>
    <w:tblStylePr w:type="band2Horz">
      <w:pPr>
        <w:wordWrap/>
        <w:spacing w:beforeLines="0" w:beforeAutospacing="0" w:afterLines="0" w:afterAutospacing="0" w:line="280" w:lineRule="exact"/>
        <w:contextualSpacing w:val="0"/>
      </w:pPr>
      <w:rPr>
        <w:rFonts w:ascii="Arial" w:hAnsi="Arial"/>
        <w:sz w:val="22"/>
      </w:rPr>
      <w:tblPr/>
      <w:tcPr>
        <w:shd w:val="clear" w:color="auto" w:fill="CCCCCC"/>
      </w:tcPr>
    </w:tblStylePr>
  </w:style>
  <w:style w:type="paragraph" w:customStyle="1" w:styleId="OutlineNumbered4">
    <w:name w:val="Outline Numbered 4"/>
    <w:basedOn w:val="Normal"/>
    <w:rsid w:val="00477DED"/>
  </w:style>
  <w:style w:type="paragraph" w:customStyle="1" w:styleId="OutlineNumbered5">
    <w:name w:val="Outline Numbered 5"/>
    <w:basedOn w:val="Normal"/>
    <w:rsid w:val="00477DED"/>
    <w:pPr>
      <w:numPr>
        <w:ilvl w:val="4"/>
        <w:numId w:val="19"/>
      </w:numPr>
    </w:pPr>
  </w:style>
  <w:style w:type="paragraph" w:customStyle="1" w:styleId="Crest">
    <w:name w:val="Crest"/>
    <w:basedOn w:val="Header"/>
    <w:rsid w:val="00477DED"/>
    <w:pPr>
      <w:spacing w:after="480"/>
      <w:jc w:val="right"/>
    </w:pPr>
  </w:style>
  <w:style w:type="character" w:customStyle="1" w:styleId="SingleParagraphChar">
    <w:name w:val="Single Paragraph Char"/>
    <w:basedOn w:val="DefaultParagraphFont"/>
    <w:link w:val="SingleParagraph"/>
    <w:rsid w:val="00477DED"/>
    <w:rPr>
      <w:rFonts w:eastAsia="Times New Roman" w:cs="Times New Roman"/>
      <w:color w:val="000000"/>
      <w:szCs w:val="20"/>
      <w:lang w:eastAsia="en-AU"/>
    </w:rPr>
  </w:style>
  <w:style w:type="character" w:customStyle="1" w:styleId="A5">
    <w:name w:val="A5"/>
    <w:uiPriority w:val="99"/>
    <w:rsid w:val="00477DED"/>
    <w:rPr>
      <w:rFonts w:cs="Swiss 721 B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42420">
      <w:bodyDiv w:val="1"/>
      <w:marLeft w:val="0"/>
      <w:marRight w:val="0"/>
      <w:marTop w:val="0"/>
      <w:marBottom w:val="0"/>
      <w:divBdr>
        <w:top w:val="none" w:sz="0" w:space="0" w:color="auto"/>
        <w:left w:val="none" w:sz="0" w:space="0" w:color="auto"/>
        <w:bottom w:val="none" w:sz="0" w:space="0" w:color="auto"/>
        <w:right w:val="none" w:sz="0" w:space="0" w:color="auto"/>
      </w:divBdr>
    </w:div>
    <w:div w:id="712192347">
      <w:bodyDiv w:val="1"/>
      <w:marLeft w:val="0"/>
      <w:marRight w:val="0"/>
      <w:marTop w:val="0"/>
      <w:marBottom w:val="0"/>
      <w:divBdr>
        <w:top w:val="none" w:sz="0" w:space="0" w:color="auto"/>
        <w:left w:val="none" w:sz="0" w:space="0" w:color="auto"/>
        <w:bottom w:val="none" w:sz="0" w:space="0" w:color="auto"/>
        <w:right w:val="none" w:sz="0" w:space="0" w:color="auto"/>
      </w:divBdr>
      <w:divsChild>
        <w:div w:id="1886092518">
          <w:marLeft w:val="0"/>
          <w:marRight w:val="0"/>
          <w:marTop w:val="0"/>
          <w:marBottom w:val="0"/>
          <w:divBdr>
            <w:top w:val="none" w:sz="0" w:space="0" w:color="auto"/>
            <w:left w:val="none" w:sz="0" w:space="0" w:color="auto"/>
            <w:bottom w:val="none" w:sz="0" w:space="0" w:color="auto"/>
            <w:right w:val="none" w:sz="0" w:space="0" w:color="auto"/>
          </w:divBdr>
          <w:divsChild>
            <w:div w:id="2016640545">
              <w:marLeft w:val="0"/>
              <w:marRight w:val="0"/>
              <w:marTop w:val="270"/>
              <w:marBottom w:val="0"/>
              <w:divBdr>
                <w:top w:val="none" w:sz="0" w:space="0" w:color="auto"/>
                <w:left w:val="none" w:sz="0" w:space="0" w:color="auto"/>
                <w:bottom w:val="none" w:sz="0" w:space="0" w:color="auto"/>
                <w:right w:val="none" w:sz="0" w:space="0" w:color="auto"/>
              </w:divBdr>
              <w:divsChild>
                <w:div w:id="958074240">
                  <w:marLeft w:val="0"/>
                  <w:marRight w:val="0"/>
                  <w:marTop w:val="0"/>
                  <w:marBottom w:val="0"/>
                  <w:divBdr>
                    <w:top w:val="none" w:sz="0" w:space="0" w:color="auto"/>
                    <w:left w:val="none" w:sz="0" w:space="0" w:color="auto"/>
                    <w:bottom w:val="none" w:sz="0" w:space="0" w:color="auto"/>
                    <w:right w:val="none" w:sz="0" w:space="0" w:color="auto"/>
                  </w:divBdr>
                  <w:divsChild>
                    <w:div w:id="2007512469">
                      <w:marLeft w:val="0"/>
                      <w:marRight w:val="0"/>
                      <w:marTop w:val="0"/>
                      <w:marBottom w:val="0"/>
                      <w:divBdr>
                        <w:top w:val="none" w:sz="0" w:space="0" w:color="auto"/>
                        <w:left w:val="none" w:sz="0" w:space="0" w:color="auto"/>
                        <w:bottom w:val="none" w:sz="0" w:space="0" w:color="auto"/>
                        <w:right w:val="none" w:sz="0" w:space="0" w:color="auto"/>
                      </w:divBdr>
                      <w:divsChild>
                        <w:div w:id="1737431278">
                          <w:marLeft w:val="0"/>
                          <w:marRight w:val="0"/>
                          <w:marTop w:val="0"/>
                          <w:marBottom w:val="0"/>
                          <w:divBdr>
                            <w:top w:val="none" w:sz="0" w:space="0" w:color="auto"/>
                            <w:left w:val="none" w:sz="0" w:space="0" w:color="auto"/>
                            <w:bottom w:val="none" w:sz="0" w:space="0" w:color="auto"/>
                            <w:right w:val="none" w:sz="0" w:space="0" w:color="auto"/>
                          </w:divBdr>
                          <w:divsChild>
                            <w:div w:id="118221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443193">
      <w:bodyDiv w:val="1"/>
      <w:marLeft w:val="0"/>
      <w:marRight w:val="0"/>
      <w:marTop w:val="0"/>
      <w:marBottom w:val="0"/>
      <w:divBdr>
        <w:top w:val="none" w:sz="0" w:space="0" w:color="auto"/>
        <w:left w:val="none" w:sz="0" w:space="0" w:color="auto"/>
        <w:bottom w:val="none" w:sz="0" w:space="0" w:color="auto"/>
        <w:right w:val="none" w:sz="0" w:space="0" w:color="auto"/>
      </w:divBdr>
    </w:div>
    <w:div w:id="1173565566">
      <w:bodyDiv w:val="1"/>
      <w:marLeft w:val="0"/>
      <w:marRight w:val="0"/>
      <w:marTop w:val="0"/>
      <w:marBottom w:val="0"/>
      <w:divBdr>
        <w:top w:val="none" w:sz="0" w:space="0" w:color="auto"/>
        <w:left w:val="none" w:sz="0" w:space="0" w:color="auto"/>
        <w:bottom w:val="none" w:sz="0" w:space="0" w:color="auto"/>
        <w:right w:val="none" w:sz="0" w:space="0" w:color="auto"/>
      </w:divBdr>
      <w:divsChild>
        <w:div w:id="982202210">
          <w:marLeft w:val="0"/>
          <w:marRight w:val="0"/>
          <w:marTop w:val="0"/>
          <w:marBottom w:val="0"/>
          <w:divBdr>
            <w:top w:val="none" w:sz="0" w:space="0" w:color="auto"/>
            <w:left w:val="none" w:sz="0" w:space="0" w:color="auto"/>
            <w:bottom w:val="none" w:sz="0" w:space="0" w:color="auto"/>
            <w:right w:val="none" w:sz="0" w:space="0" w:color="auto"/>
          </w:divBdr>
          <w:divsChild>
            <w:div w:id="1184787718">
              <w:marLeft w:val="0"/>
              <w:marRight w:val="0"/>
              <w:marTop w:val="270"/>
              <w:marBottom w:val="0"/>
              <w:divBdr>
                <w:top w:val="none" w:sz="0" w:space="0" w:color="auto"/>
                <w:left w:val="none" w:sz="0" w:space="0" w:color="auto"/>
                <w:bottom w:val="none" w:sz="0" w:space="0" w:color="auto"/>
                <w:right w:val="none" w:sz="0" w:space="0" w:color="auto"/>
              </w:divBdr>
              <w:divsChild>
                <w:div w:id="226844774">
                  <w:marLeft w:val="0"/>
                  <w:marRight w:val="0"/>
                  <w:marTop w:val="0"/>
                  <w:marBottom w:val="0"/>
                  <w:divBdr>
                    <w:top w:val="none" w:sz="0" w:space="0" w:color="auto"/>
                    <w:left w:val="none" w:sz="0" w:space="0" w:color="auto"/>
                    <w:bottom w:val="none" w:sz="0" w:space="0" w:color="auto"/>
                    <w:right w:val="none" w:sz="0" w:space="0" w:color="auto"/>
                  </w:divBdr>
                  <w:divsChild>
                    <w:div w:id="307830036">
                      <w:marLeft w:val="0"/>
                      <w:marRight w:val="0"/>
                      <w:marTop w:val="0"/>
                      <w:marBottom w:val="0"/>
                      <w:divBdr>
                        <w:top w:val="none" w:sz="0" w:space="0" w:color="auto"/>
                        <w:left w:val="none" w:sz="0" w:space="0" w:color="auto"/>
                        <w:bottom w:val="none" w:sz="0" w:space="0" w:color="auto"/>
                        <w:right w:val="none" w:sz="0" w:space="0" w:color="auto"/>
                      </w:divBdr>
                      <w:divsChild>
                        <w:div w:id="122232127">
                          <w:marLeft w:val="0"/>
                          <w:marRight w:val="0"/>
                          <w:marTop w:val="0"/>
                          <w:marBottom w:val="0"/>
                          <w:divBdr>
                            <w:top w:val="none" w:sz="0" w:space="0" w:color="auto"/>
                            <w:left w:val="none" w:sz="0" w:space="0" w:color="auto"/>
                            <w:bottom w:val="none" w:sz="0" w:space="0" w:color="auto"/>
                            <w:right w:val="none" w:sz="0" w:space="0" w:color="auto"/>
                          </w:divBdr>
                          <w:divsChild>
                            <w:div w:id="119118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6384154">
      <w:bodyDiv w:val="1"/>
      <w:marLeft w:val="0"/>
      <w:marRight w:val="0"/>
      <w:marTop w:val="0"/>
      <w:marBottom w:val="0"/>
      <w:divBdr>
        <w:top w:val="none" w:sz="0" w:space="0" w:color="auto"/>
        <w:left w:val="none" w:sz="0" w:space="0" w:color="auto"/>
        <w:bottom w:val="none" w:sz="0" w:space="0" w:color="auto"/>
        <w:right w:val="none" w:sz="0" w:space="0" w:color="auto"/>
      </w:divBdr>
    </w:div>
    <w:div w:id="1439834506">
      <w:bodyDiv w:val="1"/>
      <w:marLeft w:val="0"/>
      <w:marRight w:val="0"/>
      <w:marTop w:val="0"/>
      <w:marBottom w:val="0"/>
      <w:divBdr>
        <w:top w:val="none" w:sz="0" w:space="0" w:color="auto"/>
        <w:left w:val="none" w:sz="0" w:space="0" w:color="auto"/>
        <w:bottom w:val="none" w:sz="0" w:space="0" w:color="auto"/>
        <w:right w:val="none" w:sz="0" w:space="0" w:color="auto"/>
      </w:divBdr>
    </w:div>
    <w:div w:id="1513882877">
      <w:bodyDiv w:val="1"/>
      <w:marLeft w:val="0"/>
      <w:marRight w:val="0"/>
      <w:marTop w:val="0"/>
      <w:marBottom w:val="0"/>
      <w:divBdr>
        <w:top w:val="none" w:sz="0" w:space="0" w:color="auto"/>
        <w:left w:val="none" w:sz="0" w:space="0" w:color="auto"/>
        <w:bottom w:val="none" w:sz="0" w:space="0" w:color="auto"/>
        <w:right w:val="none" w:sz="0" w:space="0" w:color="auto"/>
      </w:divBdr>
    </w:div>
    <w:div w:id="2098598165">
      <w:bodyDiv w:val="1"/>
      <w:marLeft w:val="0"/>
      <w:marRight w:val="0"/>
      <w:marTop w:val="0"/>
      <w:marBottom w:val="0"/>
      <w:divBdr>
        <w:top w:val="none" w:sz="0" w:space="0" w:color="auto"/>
        <w:left w:val="none" w:sz="0" w:space="0" w:color="auto"/>
        <w:bottom w:val="none" w:sz="0" w:space="0" w:color="auto"/>
        <w:right w:val="none" w:sz="0" w:space="0" w:color="auto"/>
      </w:divBdr>
      <w:divsChild>
        <w:div w:id="848906662">
          <w:marLeft w:val="0"/>
          <w:marRight w:val="0"/>
          <w:marTop w:val="0"/>
          <w:marBottom w:val="0"/>
          <w:divBdr>
            <w:top w:val="none" w:sz="0" w:space="0" w:color="auto"/>
            <w:left w:val="none" w:sz="0" w:space="0" w:color="auto"/>
            <w:bottom w:val="none" w:sz="0" w:space="0" w:color="auto"/>
            <w:right w:val="none" w:sz="0" w:space="0" w:color="auto"/>
          </w:divBdr>
          <w:divsChild>
            <w:div w:id="367295171">
              <w:marLeft w:val="0"/>
              <w:marRight w:val="0"/>
              <w:marTop w:val="270"/>
              <w:marBottom w:val="0"/>
              <w:divBdr>
                <w:top w:val="none" w:sz="0" w:space="0" w:color="auto"/>
                <w:left w:val="none" w:sz="0" w:space="0" w:color="auto"/>
                <w:bottom w:val="none" w:sz="0" w:space="0" w:color="auto"/>
                <w:right w:val="none" w:sz="0" w:space="0" w:color="auto"/>
              </w:divBdr>
              <w:divsChild>
                <w:div w:id="1107315668">
                  <w:marLeft w:val="0"/>
                  <w:marRight w:val="0"/>
                  <w:marTop w:val="0"/>
                  <w:marBottom w:val="0"/>
                  <w:divBdr>
                    <w:top w:val="none" w:sz="0" w:space="0" w:color="auto"/>
                    <w:left w:val="none" w:sz="0" w:space="0" w:color="auto"/>
                    <w:bottom w:val="none" w:sz="0" w:space="0" w:color="auto"/>
                    <w:right w:val="none" w:sz="0" w:space="0" w:color="auto"/>
                  </w:divBdr>
                  <w:divsChild>
                    <w:div w:id="2064258258">
                      <w:marLeft w:val="0"/>
                      <w:marRight w:val="0"/>
                      <w:marTop w:val="0"/>
                      <w:marBottom w:val="0"/>
                      <w:divBdr>
                        <w:top w:val="none" w:sz="0" w:space="0" w:color="auto"/>
                        <w:left w:val="none" w:sz="0" w:space="0" w:color="auto"/>
                        <w:bottom w:val="none" w:sz="0" w:space="0" w:color="auto"/>
                        <w:right w:val="none" w:sz="0" w:space="0" w:color="auto"/>
                      </w:divBdr>
                      <w:divsChild>
                        <w:div w:id="1864393144">
                          <w:marLeft w:val="0"/>
                          <w:marRight w:val="0"/>
                          <w:marTop w:val="0"/>
                          <w:marBottom w:val="0"/>
                          <w:divBdr>
                            <w:top w:val="none" w:sz="0" w:space="0" w:color="auto"/>
                            <w:left w:val="none" w:sz="0" w:space="0" w:color="auto"/>
                            <w:bottom w:val="none" w:sz="0" w:space="0" w:color="auto"/>
                            <w:right w:val="none" w:sz="0" w:space="0" w:color="auto"/>
                          </w:divBdr>
                          <w:divsChild>
                            <w:div w:id="101870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659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creativecommons.org/licenses/by/3.0/au/deed.en"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creativecommons.org/licenses/by/3.0/au/deed.en" TargetMode="External"/><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1.tiff"/><Relationship Id="rId25" Type="http://schemas.openxmlformats.org/officeDocument/2006/relationships/header" Target="header3.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wmf"/><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2.xml"/><Relationship Id="rId32" Type="http://schemas.openxmlformats.org/officeDocument/2006/relationships/hyperlink" Target="http://www.treasury.gov.au/~/media/Treasury/Publications%20and%20Media/Publications/2015/Terrorism%20Insurance%20Act%20Review%202015/Downloads/PDF/Terrorism_Insurance_Act_Review-2015.ashx"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mailto:medialiaison@treasury.gov.au" TargetMode="External"/><Relationship Id="rId28" Type="http://schemas.openxmlformats.org/officeDocument/2006/relationships/image" Target="media/image3.jpg"/><Relationship Id="rId10" Type="http://schemas.openxmlformats.org/officeDocument/2006/relationships/settings" Target="settings.xml"/><Relationship Id="rId19" Type="http://schemas.openxmlformats.org/officeDocument/2006/relationships/hyperlink" Target="http://creativecommons.org/licenses/by/3.0/au/legalcode" TargetMode="External"/><Relationship Id="rId31" Type="http://schemas.openxmlformats.org/officeDocument/2006/relationships/hyperlink" Target="http://www.treasury.gov.au/~/media/Treasury/Publications%20and%20Media/Publications/2015/Terrorism%20Insurance%20Act%20Review%202015/Downloads/PDF/Terrorism_Insurance_Act_Review-2015.ashx"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eader" Target="header1.xml"/><Relationship Id="rId22" Type="http://schemas.openxmlformats.org/officeDocument/2006/relationships/hyperlink" Target="http://www.itsanhonour.gov.au" TargetMode="External"/><Relationship Id="rId27" Type="http://schemas.openxmlformats.org/officeDocument/2006/relationships/footer" Target="footer4.xml"/><Relationship Id="rId30" Type="http://schemas.openxmlformats.org/officeDocument/2006/relationships/footer" Target="footer6.xml"/></Relationships>
</file>

<file path=word/_rels/footnotes.xml.rels><?xml version="1.0" encoding="UTF-8" standalone="yes"?>
<Relationships xmlns="http://schemas.openxmlformats.org/package/2006/relationships"><Relationship Id="rId2" Type="http://schemas.openxmlformats.org/officeDocument/2006/relationships/hyperlink" Target="http://www.weeklystandard.com/blogs/marketfineaftercongressfailsreauthorizefedbackedterrorismriskinsurance_822353.html" TargetMode="External"/><Relationship Id="rId1" Type="http://schemas.openxmlformats.org/officeDocument/2006/relationships/hyperlink" Target="http://www.courant.com/business/connecticutinsurance/hcterrorisminsuranceactexpires20141231story.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AT%20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p:Policy xmlns:p="office.server.policy" id="" local="true">
  <p:Name>Treasury Document</p:Name>
  <p:Description/>
  <p:Statement/>
  <p:PolicyItems>
    <p:PolicyItem featureId="Microsoft.Office.RecordsManagement.PolicyFeatures.PolicyAudit" staticId="0x01010036BB8DE7EC542E42A8B2E98CC20CB697|1757814118" UniqueId="069e7114-c113-40ac-b5d9-743a6101772e">
      <p:Name>Auditing</p:Name>
      <p:Description>Audits user actions on documents and list items to the Audit Log.</p:Description>
      <p:CustomData>
        <Audit>
          <Update/>
          <View/>
          <CheckInOut/>
          <MoveCopy/>
          <DeleteRestore/>
        </Audit>
      </p:CustomData>
    </p:PolicyItem>
  </p:PolicyItems>
</p:Policy>
</file>

<file path=customXml/item5.xml><?xml version="1.0" encoding="utf-8"?>
<ct:contentTypeSchema xmlns:ct="http://schemas.microsoft.com/office/2006/metadata/contentType" xmlns:ma="http://schemas.microsoft.com/office/2006/metadata/properties/metaAttributes" ct:_="" ma:_="" ma:contentTypeName="Treasury Document" ma:contentTypeID="0x01010036BB8DE7EC542E42A8B2E98CC20CB69700A0A840AFAB52624689FA9AA81E9EF0D1" ma:contentTypeVersion="21" ma:contentTypeDescription=" " ma:contentTypeScope="" ma:versionID="fc53f4eae6d7a637556b75822d443a45">
  <xsd:schema xmlns:xsd="http://www.w3.org/2001/XMLSchema" xmlns:xs="http://www.w3.org/2001/XMLSchema" xmlns:p="http://schemas.microsoft.com/office/2006/metadata/properties" xmlns:ns1="http://schemas.microsoft.com/sharepoint/v3" xmlns:ns2="9f7bc583-7cbe-45b9-a2bd-8bbb6543b37e" xmlns:ns4="http://schemas.microsoft.com/sharepoint/v4" targetNamespace="http://schemas.microsoft.com/office/2006/metadata/properties" ma:root="true" ma:fieldsID="c6e96ee77066bd5557fbaaddbe36586c" ns1:_="" ns2:_="" ns4:_="">
    <xsd:import namespace="http://schemas.microsoft.com/sharepoint/v3"/>
    <xsd:import namespace="9f7bc583-7cbe-45b9-a2bd-8bbb6543b37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2:lb508a4dc5e84436a0fe496b536466aa" minOccurs="0"/>
                <xsd:element ref="ns2:TaxCatchAll" minOccurs="0"/>
                <xsd:element ref="ns2:TaxCatchAllLabel"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7bc583-7cbe-45b9-a2bd-8bbb6543b37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b508a4dc5e84436a0fe496b536466aa" ma:index="12" nillable="true" ma:taxonomy="true" ma:internalName="lb508a4dc5e84436a0fe496b536466aa" ma:taxonomyFieldName="TSYRecordClass" ma:displayName="Record Class" ma:readOnly="false" ma:default="11;#TSY RA-9237 - Destroy 5 years after action completed|9f1a030e-81bf-44c5-98eb-4d5d869a40d5"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a5426e91-c895-42ba-91bf-fe5e23c4f0ec}" ma:internalName="TaxCatchAll" ma:showField="CatchAllData" ma:web="9f7bc583-7cbe-45b9-a2bd-8bbb6543b37e">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a5426e91-c895-42ba-91bf-fe5e23c4f0ec}" ma:internalName="TaxCatchAllLabel" ma:readOnly="true" ma:showField="CatchAllDataLabel" ma:web="9f7bc583-7cbe-45b9-a2bd-8bbb6543b37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TaxCatchAll xmlns="9f7bc583-7cbe-45b9-a2bd-8bbb6543b37e">
      <Value>23</Value>
    </TaxCatchAll>
    <lb508a4dc5e84436a0fe496b536466aa xmlns="9f7bc583-7cbe-45b9-a2bd-8bbb6543b37e">
      <Terms xmlns="http://schemas.microsoft.com/office/infopath/2007/PartnerControls">
        <TermInfo xmlns="http://schemas.microsoft.com/office/infopath/2007/PartnerControls">
          <TermName xmlns="http://schemas.microsoft.com/office/infopath/2007/PartnerControls">TSY RA-9237 - Destroy 5 years after action completed</TermName>
          <TermId xmlns="http://schemas.microsoft.com/office/infopath/2007/PartnerControls">9f1a030e-81bf-44c5-98eb-4d5d869a40d5</TermId>
        </TermInfo>
      </Terms>
    </lb508a4dc5e84436a0fe496b536466aa>
    <_dlc_DocId xmlns="9f7bc583-7cbe-45b9-a2bd-8bbb6543b37e">2016RG-86-19627</_dlc_DocId>
    <_dlc_DocIdUrl xmlns="9f7bc583-7cbe-45b9-a2bd-8bbb6543b37e">
      <Url>http://tweb/sites/rg/ldp/lmu/_layouts/15/DocIdRedir.aspx?ID=2016RG-86-19627</Url>
      <Description>2016RG-86-19627</Description>
    </_dlc_DocIdUrl>
  </documentManagement>
</p:properties>
</file>

<file path=customXml/itemProps1.xml><?xml version="1.0" encoding="utf-8"?>
<ds:datastoreItem xmlns:ds="http://schemas.openxmlformats.org/officeDocument/2006/customXml" ds:itemID="{B2C762C3-68D6-4050-93E2-C24D9951995F}"/>
</file>

<file path=customXml/itemProps2.xml><?xml version="1.0" encoding="utf-8"?>
<ds:datastoreItem xmlns:ds="http://schemas.openxmlformats.org/officeDocument/2006/customXml" ds:itemID="{8AA9DA6D-286A-4920-9FEF-8834B8666522}"/>
</file>

<file path=customXml/itemProps3.xml><?xml version="1.0" encoding="utf-8"?>
<ds:datastoreItem xmlns:ds="http://schemas.openxmlformats.org/officeDocument/2006/customXml" ds:itemID="{44B4F10A-B46A-486D-8D15-8FEFAFA040D7}"/>
</file>

<file path=customXml/itemProps4.xml><?xml version="1.0" encoding="utf-8"?>
<ds:datastoreItem xmlns:ds="http://schemas.openxmlformats.org/officeDocument/2006/customXml" ds:itemID="{070E48C3-9DFA-4C56-8D2F-5865BA32E419}"/>
</file>

<file path=customXml/itemProps5.xml><?xml version="1.0" encoding="utf-8"?>
<ds:datastoreItem xmlns:ds="http://schemas.openxmlformats.org/officeDocument/2006/customXml" ds:itemID="{A9B65F92-349C-4E15-9CAE-35FA03FD139B}"/>
</file>

<file path=customXml/itemProps6.xml><?xml version="1.0" encoding="utf-8"?>
<ds:datastoreItem xmlns:ds="http://schemas.openxmlformats.org/officeDocument/2006/customXml" ds:itemID="{7D6436CA-14ED-4511-AA38-8D87C0E60D0F}"/>
</file>

<file path=docProps/app.xml><?xml version="1.0" encoding="utf-8"?>
<Properties xmlns="http://schemas.openxmlformats.org/officeDocument/2006/extended-properties" xmlns:vt="http://schemas.openxmlformats.org/officeDocument/2006/docPropsVTypes">
  <Template>AT Report.dotm</Template>
  <TotalTime>382</TotalTime>
  <Pages>43</Pages>
  <Words>10248</Words>
  <Characters>59951</Characters>
  <Application>Microsoft Office Word</Application>
  <DocSecurity>0</DocSecurity>
  <Lines>7493</Lines>
  <Paragraphs>6381</Paragraphs>
  <ScaleCrop>false</ScaleCrop>
  <HeadingPairs>
    <vt:vector size="2" baseType="variant">
      <vt:variant>
        <vt:lpstr>Title</vt:lpstr>
      </vt:variant>
      <vt:variant>
        <vt:i4>1</vt:i4>
      </vt:variant>
    </vt:vector>
  </HeadingPairs>
  <TitlesOfParts>
    <vt:vector size="1" baseType="lpstr">
      <vt:lpstr>Terrorism Insurance Act Review 2015</vt:lpstr>
    </vt:vector>
  </TitlesOfParts>
  <Company>Australian Government - The Treasury</Company>
  <LinksUpToDate>false</LinksUpToDate>
  <CharactersWithSpaces>63818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Terrorism Insurance Act Review 2015</dc:title>
  <dc:creator>Kwong, Leron</dc:creator>
  <cp:lastModifiedBy>Kwong, Leron</cp:lastModifiedBy>
  <cp:revision>90</cp:revision>
  <cp:lastPrinted>2015-12-16T00:52:00Z</cp:lastPrinted>
  <dcterms:created xsi:type="dcterms:W3CDTF">2015-08-05T04:00:00Z</dcterms:created>
  <dcterms:modified xsi:type="dcterms:W3CDTF">2015-12-16T00:54:00Z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0x01010036BB8DE7EC542E42A8B2E98CC20CB69700A0A840AFAB52624689FA9AA81E9EF0D1</vt:lpwstr>
  </property>
  <property fmtid="{D5CDD505-2E9C-101B-9397-08002B2CF9AE}" pid="3" name="_dlc_DocIdItemGuid">
    <vt:lpwstr>9d3b4c47-02d2-4976-bed9-38a51e6d3870</vt:lpwstr>
  </property>
  <property fmtid="{D5CDD505-2E9C-101B-9397-08002B2CF9AE}" pid="4" name="_AdHocReviewCycleID">
    <vt:i4>1308426132</vt:i4>
  </property>
  <property fmtid="{D5CDD505-2E9C-101B-9397-08002B2CF9AE}" pid="5" name="_NewReviewCycle">
    <vt:lpwstr/>
  </property>
  <property fmtid="{D5CDD505-2E9C-101B-9397-08002B2CF9AE}" pid="6" name="_EmailSubject">
    <vt:lpwstr>Registering legislative instruments [DLM=For-Official-Use-Only]</vt:lpwstr>
  </property>
  <property fmtid="{D5CDD505-2E9C-101B-9397-08002B2CF9AE}" pid="7" name="_AuthorEmail">
    <vt:lpwstr>Leron.Kwong@TREASURY.GOV.AU</vt:lpwstr>
  </property>
  <property fmtid="{D5CDD505-2E9C-101B-9397-08002B2CF9AE}" pid="8" name="_AuthorEmailDisplayName">
    <vt:lpwstr>Kwong, Leron</vt:lpwstr>
  </property>
  <property fmtid="{D5CDD505-2E9C-101B-9397-08002B2CF9AE}" pid="9" name="TSYRecordClass">
    <vt:lpwstr>11</vt:lpwstr>
  </property>
  <property fmtid="{D5CDD505-2E9C-101B-9397-08002B2CF9AE}" pid="10" name="_PreviousAdHocReviewCycleID">
    <vt:i4>856909548</vt:i4>
  </property>
  <property fmtid="{D5CDD505-2E9C-101B-9397-08002B2CF9AE}" pid="12" name="RecordPoint_WorkflowType">
    <vt:lpwstr>ActiveSubmitStub</vt:lpwstr>
  </property>
  <property fmtid="{D5CDD505-2E9C-101B-9397-08002B2CF9AE}" pid="13" name="RecordPoint_ActiveItemUniqueId">
    <vt:lpwstr>{87476c1c-8d18-4743-a7e3-d19cf6a811fc}</vt:lpwstr>
  </property>
  <property fmtid="{D5CDD505-2E9C-101B-9397-08002B2CF9AE}" pid="14" name="RecordPoint_RecordNumberSubmitted">
    <vt:lpwstr>R0000036866</vt:lpwstr>
  </property>
  <property fmtid="{D5CDD505-2E9C-101B-9397-08002B2CF9AE}" pid="15" name="RecordPoint_SubmissionCompleted">
    <vt:lpwstr>2015-06-05T10:09:15.1796999+10:00</vt:lpwstr>
  </property>
</Properties>
</file>