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0D1" w:rsidRPr="00BC76EB" w:rsidRDefault="006F60D1" w:rsidP="006F60D1">
      <w:pPr>
        <w:spacing w:before="0" w:after="120" w:line="276" w:lineRule="auto"/>
        <w:ind w:right="91"/>
        <w:jc w:val="center"/>
        <w:rPr>
          <w:rFonts w:ascii="Arial" w:hAnsi="Arial" w:cs="Arial"/>
          <w:b/>
          <w:szCs w:val="24"/>
          <w:u w:val="single"/>
        </w:rPr>
      </w:pPr>
      <w:bookmarkStart w:id="0" w:name="_Toc290210739"/>
      <w:bookmarkStart w:id="1" w:name="_GoBack"/>
      <w:bookmarkEnd w:id="1"/>
      <w:r w:rsidRPr="00BC76EB">
        <w:rPr>
          <w:rFonts w:ascii="Arial" w:hAnsi="Arial" w:cs="Arial"/>
          <w:b/>
          <w:szCs w:val="24"/>
          <w:u w:val="single"/>
        </w:rPr>
        <w:t>EXPLANATORY STATEMENT</w:t>
      </w:r>
    </w:p>
    <w:p w:rsidR="006F60D1" w:rsidRPr="00BC76EB" w:rsidRDefault="006F60D1" w:rsidP="006F60D1">
      <w:pPr>
        <w:spacing w:before="0" w:line="276" w:lineRule="auto"/>
        <w:ind w:right="91"/>
        <w:jc w:val="center"/>
        <w:rPr>
          <w:rFonts w:ascii="Arial" w:hAnsi="Arial" w:cs="Arial"/>
          <w:b/>
          <w:szCs w:val="24"/>
          <w:u w:val="single"/>
        </w:rPr>
      </w:pPr>
    </w:p>
    <w:p w:rsidR="006F60D1" w:rsidRPr="006D370A" w:rsidRDefault="006F60D1" w:rsidP="006F60D1">
      <w:pPr>
        <w:spacing w:before="0" w:line="276" w:lineRule="auto"/>
        <w:ind w:right="91"/>
        <w:jc w:val="center"/>
        <w:rPr>
          <w:rFonts w:ascii="Arial" w:hAnsi="Arial" w:cs="Arial"/>
          <w:szCs w:val="24"/>
        </w:rPr>
      </w:pPr>
      <w:r w:rsidRPr="006D370A">
        <w:rPr>
          <w:rFonts w:ascii="Arial" w:hAnsi="Arial" w:cs="Arial"/>
          <w:szCs w:val="24"/>
        </w:rPr>
        <w:t>Issued by the Authority of the Minister for Social Services</w:t>
      </w:r>
    </w:p>
    <w:p w:rsidR="006F60D1" w:rsidRPr="006D370A" w:rsidRDefault="006F60D1" w:rsidP="006F60D1">
      <w:pPr>
        <w:spacing w:before="0" w:line="276" w:lineRule="auto"/>
        <w:ind w:right="91"/>
        <w:jc w:val="center"/>
        <w:rPr>
          <w:rFonts w:ascii="Arial" w:hAnsi="Arial" w:cs="Arial"/>
          <w:szCs w:val="24"/>
        </w:rPr>
      </w:pPr>
    </w:p>
    <w:p w:rsidR="006F60D1" w:rsidRPr="006D370A" w:rsidRDefault="006F60D1" w:rsidP="006F60D1">
      <w:pPr>
        <w:spacing w:before="0" w:line="276" w:lineRule="auto"/>
        <w:ind w:right="91"/>
        <w:jc w:val="center"/>
        <w:rPr>
          <w:rFonts w:ascii="Arial" w:hAnsi="Arial" w:cs="Arial"/>
          <w:i/>
          <w:szCs w:val="24"/>
        </w:rPr>
      </w:pPr>
      <w:r>
        <w:rPr>
          <w:rFonts w:ascii="Arial" w:hAnsi="Arial" w:cs="Arial"/>
          <w:i/>
          <w:szCs w:val="24"/>
        </w:rPr>
        <w:t>Business Services Wage Assessment Tool Payment Scheme Act 2015</w:t>
      </w:r>
    </w:p>
    <w:p w:rsidR="006F60D1" w:rsidRPr="006D370A" w:rsidRDefault="006F60D1" w:rsidP="006F60D1">
      <w:pPr>
        <w:spacing w:before="0" w:line="276" w:lineRule="auto"/>
        <w:ind w:right="91"/>
        <w:jc w:val="center"/>
        <w:rPr>
          <w:rFonts w:ascii="Arial" w:hAnsi="Arial" w:cs="Arial"/>
          <w:i/>
          <w:szCs w:val="24"/>
        </w:rPr>
      </w:pPr>
    </w:p>
    <w:p w:rsidR="006F60D1" w:rsidRPr="001108C6" w:rsidRDefault="006F60D1" w:rsidP="006F60D1">
      <w:pPr>
        <w:spacing w:before="0" w:line="276" w:lineRule="auto"/>
        <w:ind w:right="91"/>
        <w:jc w:val="center"/>
        <w:rPr>
          <w:rFonts w:ascii="Arial" w:hAnsi="Arial" w:cs="Arial"/>
          <w:i/>
          <w:szCs w:val="24"/>
        </w:rPr>
      </w:pPr>
      <w:r>
        <w:rPr>
          <w:rFonts w:ascii="Arial" w:hAnsi="Arial" w:cs="Arial"/>
          <w:i/>
          <w:szCs w:val="24"/>
        </w:rPr>
        <w:t>Business Services Wage Assessment Tool Payment Scheme Amendment Rules 2016</w:t>
      </w:r>
    </w:p>
    <w:p w:rsidR="006F60D1" w:rsidRPr="00BC76EB" w:rsidRDefault="006F60D1" w:rsidP="006F60D1">
      <w:pPr>
        <w:spacing w:before="0" w:line="276" w:lineRule="auto"/>
        <w:ind w:right="91"/>
        <w:rPr>
          <w:rFonts w:ascii="Arial" w:hAnsi="Arial" w:cs="Arial"/>
          <w:b/>
          <w:szCs w:val="24"/>
        </w:rPr>
      </w:pPr>
      <w:r w:rsidRPr="00BC76EB">
        <w:rPr>
          <w:rFonts w:ascii="Arial" w:hAnsi="Arial" w:cs="Arial"/>
          <w:b/>
          <w:szCs w:val="24"/>
        </w:rPr>
        <w:t>Purpose</w:t>
      </w:r>
    </w:p>
    <w:p w:rsidR="006F60D1" w:rsidRDefault="006F60D1" w:rsidP="006F60D1">
      <w:pPr>
        <w:spacing w:line="276" w:lineRule="auto"/>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purpose of the </w:t>
      </w:r>
      <w:r>
        <w:rPr>
          <w:rStyle w:val="BookTitle"/>
          <w:rFonts w:ascii="Arial" w:hAnsi="Arial" w:cs="Arial"/>
          <w:iCs w:val="0"/>
          <w:smallCaps w:val="0"/>
          <w:spacing w:val="0"/>
          <w:szCs w:val="24"/>
        </w:rPr>
        <w:t xml:space="preserve">Business Services Wage Assessment Tool Payment Scheme Amendment Rules 2016 </w:t>
      </w:r>
      <w:r>
        <w:rPr>
          <w:rStyle w:val="BookTitle"/>
          <w:rFonts w:ascii="Arial" w:hAnsi="Arial" w:cs="Arial"/>
          <w:i w:val="0"/>
          <w:iCs w:val="0"/>
          <w:smallCaps w:val="0"/>
          <w:spacing w:val="0"/>
          <w:szCs w:val="24"/>
        </w:rPr>
        <w:t xml:space="preserve">(the Amendment Rules) is to give effect to the changes made by the </w:t>
      </w:r>
      <w:r>
        <w:rPr>
          <w:rStyle w:val="BookTitle"/>
          <w:rFonts w:ascii="Arial" w:hAnsi="Arial" w:cs="Arial"/>
          <w:iCs w:val="0"/>
          <w:smallCaps w:val="0"/>
          <w:spacing w:val="0"/>
          <w:szCs w:val="24"/>
        </w:rPr>
        <w:t xml:space="preserve">Business Services Wage Assessment Tool Payment Scheme Amendment Act 2016 </w:t>
      </w:r>
      <w:r>
        <w:rPr>
          <w:rStyle w:val="BookTitle"/>
          <w:rFonts w:ascii="Arial" w:hAnsi="Arial" w:cs="Arial"/>
          <w:i w:val="0"/>
          <w:iCs w:val="0"/>
          <w:smallCaps w:val="0"/>
          <w:spacing w:val="0"/>
          <w:szCs w:val="24"/>
        </w:rPr>
        <w:t>(the Amendment Act)</w:t>
      </w:r>
      <w:r>
        <w:rPr>
          <w:rStyle w:val="BookTitle"/>
          <w:rFonts w:ascii="Arial" w:hAnsi="Arial" w:cs="Arial"/>
          <w:iCs w:val="0"/>
          <w:smallCaps w:val="0"/>
          <w:spacing w:val="0"/>
          <w:szCs w:val="24"/>
        </w:rPr>
        <w:t xml:space="preserve">. </w:t>
      </w:r>
    </w:p>
    <w:p w:rsidR="006F60D1" w:rsidRDefault="006F60D1" w:rsidP="006F60D1">
      <w:pPr>
        <w:spacing w:line="276" w:lineRule="auto"/>
        <w:rPr>
          <w:rStyle w:val="BookTitle"/>
          <w:rFonts w:ascii="Arial" w:hAnsi="Arial" w:cs="Arial"/>
          <w:i w:val="0"/>
          <w:iCs w:val="0"/>
          <w:smallCaps w:val="0"/>
          <w:spacing w:val="0"/>
          <w:szCs w:val="24"/>
        </w:rPr>
      </w:pPr>
      <w:r w:rsidRPr="00680EF2">
        <w:rPr>
          <w:rStyle w:val="BookTitle"/>
          <w:rFonts w:ascii="Arial" w:hAnsi="Arial" w:cs="Arial"/>
          <w:i w:val="0"/>
          <w:iCs w:val="0"/>
          <w:smallCaps w:val="0"/>
          <w:spacing w:val="0"/>
          <w:szCs w:val="24"/>
        </w:rPr>
        <w:t xml:space="preserve">Section </w:t>
      </w:r>
      <w:r>
        <w:rPr>
          <w:rStyle w:val="BookTitle"/>
          <w:rFonts w:ascii="Arial" w:hAnsi="Arial" w:cs="Arial"/>
          <w:i w:val="0"/>
          <w:iCs w:val="0"/>
          <w:smallCaps w:val="0"/>
          <w:spacing w:val="0"/>
          <w:szCs w:val="24"/>
        </w:rPr>
        <w:t>106</w:t>
      </w:r>
      <w:r w:rsidRPr="00680EF2">
        <w:rPr>
          <w:rStyle w:val="BookTitle"/>
          <w:rFonts w:ascii="Arial" w:hAnsi="Arial" w:cs="Arial"/>
          <w:i w:val="0"/>
          <w:iCs w:val="0"/>
          <w:smallCaps w:val="0"/>
          <w:spacing w:val="0"/>
          <w:szCs w:val="24"/>
        </w:rPr>
        <w:t xml:space="preserve"> of the </w:t>
      </w:r>
      <w:r>
        <w:rPr>
          <w:rStyle w:val="BookTitle"/>
          <w:rFonts w:ascii="Arial" w:hAnsi="Arial" w:cs="Arial"/>
          <w:iCs w:val="0"/>
          <w:smallCaps w:val="0"/>
          <w:spacing w:val="0"/>
          <w:szCs w:val="24"/>
        </w:rPr>
        <w:t>Business Services Wage Assessment Tool Payment Scheme Act 2015</w:t>
      </w:r>
      <w:r w:rsidRPr="00680EF2">
        <w:rPr>
          <w:rStyle w:val="BookTitle"/>
          <w:rFonts w:ascii="Arial" w:hAnsi="Arial" w:cs="Arial"/>
          <w:i w:val="0"/>
          <w:iCs w:val="0"/>
          <w:smallCaps w:val="0"/>
          <w:spacing w:val="0"/>
          <w:szCs w:val="24"/>
        </w:rPr>
        <w:t xml:space="preserve"> (the Act) provides that the Minister may, by legislative instrument, prescribe matters required or</w:t>
      </w:r>
      <w:r>
        <w:rPr>
          <w:rStyle w:val="BookTitle"/>
          <w:rFonts w:ascii="Arial" w:hAnsi="Arial" w:cs="Arial"/>
          <w:i w:val="0"/>
          <w:iCs w:val="0"/>
          <w:smallCaps w:val="0"/>
          <w:spacing w:val="0"/>
          <w:szCs w:val="24"/>
        </w:rPr>
        <w:t xml:space="preserve"> permitted by the</w:t>
      </w:r>
      <w:r w:rsidRPr="00680EF2">
        <w:rPr>
          <w:rStyle w:val="BookTitle"/>
          <w:rFonts w:ascii="Arial" w:hAnsi="Arial" w:cs="Arial"/>
          <w:i w:val="0"/>
          <w:iCs w:val="0"/>
          <w:smallCaps w:val="0"/>
          <w:spacing w:val="0"/>
          <w:szCs w:val="24"/>
        </w:rPr>
        <w:t xml:space="preserve"> Act to be prescribed or which are necessary or convenient to be prescribed in order to carry out or give effect to the Act.</w:t>
      </w:r>
    </w:p>
    <w:p w:rsidR="006F60D1" w:rsidRPr="00D44ABA" w:rsidRDefault="006F60D1" w:rsidP="006F60D1">
      <w:pPr>
        <w:spacing w:line="276" w:lineRule="auto"/>
        <w:rPr>
          <w:rStyle w:val="BookTitle"/>
          <w:rFonts w:ascii="Arial" w:hAnsi="Arial" w:cs="Arial"/>
          <w:i w:val="0"/>
          <w:iCs w:val="0"/>
          <w:smallCaps w:val="0"/>
          <w:spacing w:val="0"/>
          <w:szCs w:val="24"/>
        </w:rPr>
      </w:pPr>
      <w:r w:rsidRPr="00D44ABA">
        <w:rPr>
          <w:rStyle w:val="BookTitle"/>
          <w:rFonts w:ascii="Arial" w:hAnsi="Arial" w:cs="Arial"/>
          <w:i w:val="0"/>
          <w:iCs w:val="0"/>
          <w:smallCaps w:val="0"/>
          <w:spacing w:val="0"/>
          <w:szCs w:val="24"/>
        </w:rPr>
        <w:t xml:space="preserve">The </w:t>
      </w:r>
      <w:r>
        <w:rPr>
          <w:rStyle w:val="BookTitle"/>
          <w:rFonts w:ascii="Arial" w:hAnsi="Arial" w:cs="Arial"/>
          <w:iCs w:val="0"/>
          <w:smallCaps w:val="0"/>
          <w:spacing w:val="0"/>
          <w:szCs w:val="24"/>
        </w:rPr>
        <w:t>Business Services Wage Assessment Tool Payment Scheme Rules 2015</w:t>
      </w:r>
      <w:r w:rsidRPr="00D44ABA">
        <w:rPr>
          <w:rStyle w:val="BookTitle"/>
          <w:rFonts w:ascii="Arial" w:hAnsi="Arial" w:cs="Arial"/>
          <w:i w:val="0"/>
          <w:iCs w:val="0"/>
          <w:smallCaps w:val="0"/>
          <w:spacing w:val="0"/>
          <w:szCs w:val="24"/>
        </w:rPr>
        <w:t xml:space="preserve"> (the Rules) </w:t>
      </w:r>
      <w:r>
        <w:rPr>
          <w:rStyle w:val="BookTitle"/>
          <w:rFonts w:ascii="Arial" w:hAnsi="Arial" w:cs="Arial"/>
          <w:i w:val="0"/>
          <w:iCs w:val="0"/>
          <w:smallCaps w:val="0"/>
          <w:spacing w:val="0"/>
          <w:szCs w:val="24"/>
        </w:rPr>
        <w:t>provides a framework for the operation of the payment scheme. They deal with matters such as eligibility, calculating the payment amount, acceptances, internal and external reviews, nominees, disclosure of protected information and legal and financial counselling services.</w:t>
      </w:r>
      <w:r w:rsidRPr="00D44ABA">
        <w:rPr>
          <w:rStyle w:val="BookTitle"/>
          <w:rFonts w:ascii="Arial" w:hAnsi="Arial" w:cs="Arial"/>
          <w:i w:val="0"/>
          <w:iCs w:val="0"/>
          <w:smallCaps w:val="0"/>
          <w:spacing w:val="0"/>
          <w:szCs w:val="24"/>
        </w:rPr>
        <w:t xml:space="preserve"> </w:t>
      </w:r>
    </w:p>
    <w:p w:rsidR="006F60D1" w:rsidRDefault="006F60D1" w:rsidP="006F60D1">
      <w:pPr>
        <w:spacing w:line="276" w:lineRule="auto"/>
        <w:rPr>
          <w:rStyle w:val="BookTitle"/>
          <w:rFonts w:ascii="Arial" w:hAnsi="Arial" w:cs="Arial"/>
          <w:i w:val="0"/>
          <w:iCs w:val="0"/>
          <w:smallCaps w:val="0"/>
          <w:spacing w:val="0"/>
          <w:szCs w:val="24"/>
        </w:rPr>
      </w:pPr>
      <w:r w:rsidRPr="00D44ABA">
        <w:rPr>
          <w:rStyle w:val="BookTitle"/>
          <w:rFonts w:ascii="Arial" w:hAnsi="Arial" w:cs="Arial"/>
          <w:i w:val="0"/>
          <w:iCs w:val="0"/>
          <w:smallCaps w:val="0"/>
          <w:spacing w:val="0"/>
          <w:szCs w:val="24"/>
        </w:rPr>
        <w:t>The Amendme</w:t>
      </w:r>
      <w:r>
        <w:rPr>
          <w:rStyle w:val="BookTitle"/>
          <w:rFonts w:ascii="Arial" w:hAnsi="Arial" w:cs="Arial"/>
          <w:i w:val="0"/>
          <w:iCs w:val="0"/>
          <w:smallCaps w:val="0"/>
          <w:spacing w:val="0"/>
          <w:szCs w:val="24"/>
        </w:rPr>
        <w:t>nt Rules are</w:t>
      </w:r>
      <w:r w:rsidRPr="00D44ABA">
        <w:rPr>
          <w:rStyle w:val="BookTitle"/>
          <w:rFonts w:ascii="Arial" w:hAnsi="Arial" w:cs="Arial"/>
          <w:i w:val="0"/>
          <w:iCs w:val="0"/>
          <w:smallCaps w:val="0"/>
          <w:spacing w:val="0"/>
          <w:szCs w:val="24"/>
        </w:rPr>
        <w:t xml:space="preserve"> a legislative instrument for the purposes of the </w:t>
      </w:r>
      <w:r w:rsidRPr="00110F59">
        <w:rPr>
          <w:rStyle w:val="BookTitle"/>
          <w:rFonts w:ascii="Arial" w:hAnsi="Arial" w:cs="Arial"/>
          <w:iCs w:val="0"/>
          <w:smallCaps w:val="0"/>
          <w:spacing w:val="0"/>
          <w:szCs w:val="24"/>
        </w:rPr>
        <w:t>Legislative Instruments Act 2003</w:t>
      </w:r>
      <w:r w:rsidRPr="00D44ABA">
        <w:rPr>
          <w:rStyle w:val="BookTitle"/>
          <w:rFonts w:ascii="Arial" w:hAnsi="Arial" w:cs="Arial"/>
          <w:i w:val="0"/>
          <w:iCs w:val="0"/>
          <w:smallCaps w:val="0"/>
          <w:spacing w:val="0"/>
          <w:szCs w:val="24"/>
        </w:rPr>
        <w:t>.</w:t>
      </w:r>
    </w:p>
    <w:p w:rsidR="006F60D1" w:rsidRPr="007D63D6" w:rsidRDefault="006F60D1" w:rsidP="006F60D1">
      <w:pPr>
        <w:spacing w:line="276" w:lineRule="auto"/>
        <w:rPr>
          <w:rStyle w:val="BookTitle"/>
          <w:rFonts w:ascii="Arial" w:hAnsi="Arial" w:cs="Arial"/>
          <w:b/>
          <w:i w:val="0"/>
          <w:iCs w:val="0"/>
          <w:smallCaps w:val="0"/>
          <w:spacing w:val="0"/>
          <w:szCs w:val="24"/>
        </w:rPr>
      </w:pPr>
      <w:r w:rsidRPr="007D63D6">
        <w:rPr>
          <w:rStyle w:val="BookTitle"/>
          <w:rFonts w:ascii="Arial" w:hAnsi="Arial" w:cs="Arial"/>
          <w:b/>
          <w:i w:val="0"/>
          <w:iCs w:val="0"/>
          <w:smallCaps w:val="0"/>
          <w:spacing w:val="0"/>
          <w:szCs w:val="24"/>
        </w:rPr>
        <w:t>Background</w:t>
      </w:r>
    </w:p>
    <w:p w:rsidR="006F60D1" w:rsidRDefault="006F60D1" w:rsidP="006F60D1">
      <w:pPr>
        <w:spacing w:line="276" w:lineRule="auto"/>
        <w:rPr>
          <w:rFonts w:ascii="Arial" w:hAnsi="Arial" w:cs="Arial"/>
          <w:szCs w:val="24"/>
        </w:rPr>
      </w:pPr>
      <w:r>
        <w:rPr>
          <w:rFonts w:ascii="Arial" w:hAnsi="Arial" w:cs="Arial"/>
          <w:szCs w:val="24"/>
        </w:rPr>
        <w:t xml:space="preserve">The Amendment Act increases payment amounts from 50 per cent to 70 per cent of the difference between the actual wage paid to the eligible person and the amount they would have been paid under the productivity-only component of the Business Services Wage Assessment Tool. </w:t>
      </w:r>
    </w:p>
    <w:p w:rsidR="006F60D1" w:rsidRDefault="006F60D1" w:rsidP="006F60D1">
      <w:pPr>
        <w:spacing w:line="276" w:lineRule="auto"/>
        <w:rPr>
          <w:rFonts w:ascii="Arial" w:hAnsi="Arial" w:cs="Arial"/>
          <w:szCs w:val="24"/>
        </w:rPr>
      </w:pPr>
      <w:r>
        <w:rPr>
          <w:rFonts w:ascii="Arial" w:hAnsi="Arial" w:cs="Arial"/>
          <w:szCs w:val="24"/>
        </w:rPr>
        <w:t>The Amendment Rules will give effect to this increased payment by amending Chapter 3 of the Rules (Calculating the payment amount). This amendment will give effect to a mediated settlement agreement between the Commonwealth and the Applicant in a representative proceeding in the Federal Court of Australia (</w:t>
      </w:r>
      <w:r>
        <w:rPr>
          <w:rFonts w:ascii="Arial" w:hAnsi="Arial" w:cs="Arial"/>
          <w:i/>
          <w:szCs w:val="24"/>
        </w:rPr>
        <w:t xml:space="preserve">Duval-Comrie v the Commonwealth </w:t>
      </w:r>
      <w:r>
        <w:rPr>
          <w:rFonts w:ascii="Arial" w:hAnsi="Arial" w:cs="Arial"/>
          <w:szCs w:val="24"/>
        </w:rPr>
        <w:t xml:space="preserve">VID 1367/2013). </w:t>
      </w:r>
    </w:p>
    <w:p w:rsidR="006F60D1" w:rsidRDefault="006F60D1" w:rsidP="006F60D1">
      <w:pPr>
        <w:spacing w:line="276" w:lineRule="auto"/>
        <w:rPr>
          <w:rFonts w:ascii="Arial" w:hAnsi="Arial" w:cs="Arial"/>
          <w:szCs w:val="24"/>
        </w:rPr>
      </w:pPr>
      <w:r>
        <w:rPr>
          <w:rFonts w:ascii="Arial" w:hAnsi="Arial" w:cs="Arial"/>
          <w:szCs w:val="24"/>
        </w:rPr>
        <w:t>Paragraph 82(a) of the Act provides that the rules may make provision for and in relation to the exercise of the Secretary’s power to certify for the purposes of paragraph 81(1</w:t>
      </w:r>
      <w:proofErr w:type="gramStart"/>
      <w:r>
        <w:rPr>
          <w:rFonts w:ascii="Arial" w:hAnsi="Arial" w:cs="Arial"/>
          <w:szCs w:val="24"/>
        </w:rPr>
        <w:t>)(</w:t>
      </w:r>
      <w:proofErr w:type="gramEnd"/>
      <w:r>
        <w:rPr>
          <w:rFonts w:ascii="Arial" w:hAnsi="Arial" w:cs="Arial"/>
          <w:szCs w:val="24"/>
        </w:rPr>
        <w:t xml:space="preserve">a) of the Act. The Amendment Rules insert an additional </w:t>
      </w:r>
      <w:r>
        <w:rPr>
          <w:rFonts w:ascii="Arial" w:hAnsi="Arial" w:cs="Arial"/>
          <w:szCs w:val="24"/>
        </w:rPr>
        <w:lastRenderedPageBreak/>
        <w:t xml:space="preserve">circumstance in which protected information may be disclosed by the Secretary for the purposes of making a public interest certificate. </w:t>
      </w:r>
    </w:p>
    <w:p w:rsidR="006F60D1" w:rsidRDefault="006F60D1" w:rsidP="006F60D1">
      <w:pPr>
        <w:spacing w:line="276" w:lineRule="auto"/>
        <w:rPr>
          <w:rFonts w:ascii="Arial" w:hAnsi="Arial" w:cs="Arial"/>
          <w:szCs w:val="24"/>
        </w:rPr>
      </w:pPr>
      <w:r>
        <w:rPr>
          <w:rFonts w:ascii="Arial" w:hAnsi="Arial" w:cs="Arial"/>
          <w:szCs w:val="24"/>
        </w:rPr>
        <w:t xml:space="preserve">The Amendment Act provides that any act that may be done under or for the purposes of Act by an eligible person may be done on behalf of a person who has died by the person’s legal personal representative. The Amendment Rules sets out the way in which a person can apply to be recognised by the Secretary as a deceased person’s legal personal representative.  </w:t>
      </w:r>
    </w:p>
    <w:p w:rsidR="006F60D1" w:rsidRPr="00EE76EE" w:rsidRDefault="006F60D1" w:rsidP="006F60D1">
      <w:pPr>
        <w:spacing w:line="276" w:lineRule="auto"/>
        <w:rPr>
          <w:rFonts w:ascii="Arial" w:hAnsi="Arial" w:cs="Arial"/>
          <w:szCs w:val="24"/>
        </w:rPr>
      </w:pPr>
      <w:r>
        <w:rPr>
          <w:rFonts w:ascii="Arial" w:hAnsi="Arial" w:cs="Arial"/>
          <w:szCs w:val="24"/>
        </w:rPr>
        <w:t xml:space="preserve">The Amendment Rules also makes a technical amendment to fix a definition in the Rules. </w:t>
      </w:r>
    </w:p>
    <w:p w:rsidR="006F60D1" w:rsidRPr="00651FFE" w:rsidRDefault="006F60D1" w:rsidP="006F60D1">
      <w:pPr>
        <w:spacing w:line="276" w:lineRule="auto"/>
        <w:rPr>
          <w:rStyle w:val="BookTitle"/>
          <w:rFonts w:ascii="Arial" w:hAnsi="Arial" w:cs="Arial"/>
          <w:i w:val="0"/>
          <w:iCs w:val="0"/>
          <w:smallCaps w:val="0"/>
          <w:spacing w:val="0"/>
          <w:szCs w:val="24"/>
        </w:rPr>
      </w:pPr>
      <w:r w:rsidRPr="00BC76EB">
        <w:rPr>
          <w:rStyle w:val="BookTitle"/>
          <w:rFonts w:ascii="Arial" w:hAnsi="Arial" w:cs="Arial"/>
          <w:b/>
          <w:i w:val="0"/>
          <w:iCs w:val="0"/>
          <w:smallCaps w:val="0"/>
          <w:spacing w:val="0"/>
          <w:szCs w:val="24"/>
        </w:rPr>
        <w:t>Commencement</w:t>
      </w:r>
    </w:p>
    <w:p w:rsidR="006F60D1" w:rsidRPr="00061743" w:rsidRDefault="006F60D1" w:rsidP="006F60D1">
      <w:pPr>
        <w:keepNext/>
        <w:spacing w:line="276" w:lineRule="auto"/>
        <w:rPr>
          <w:rStyle w:val="BookTitle"/>
          <w:rFonts w:ascii="Arial" w:hAnsi="Arial" w:cs="Arial"/>
          <w:i w:val="0"/>
          <w:iCs w:val="0"/>
          <w:smallCaps w:val="0"/>
          <w:spacing w:val="0"/>
        </w:rPr>
      </w:pPr>
      <w:r w:rsidRPr="00110F59">
        <w:rPr>
          <w:rStyle w:val="BookTitle"/>
          <w:rFonts w:ascii="Arial" w:hAnsi="Arial" w:cs="Arial"/>
          <w:i w:val="0"/>
          <w:iCs w:val="0"/>
          <w:smallCaps w:val="0"/>
          <w:spacing w:val="0"/>
          <w:szCs w:val="24"/>
        </w:rPr>
        <w:t>The Amendme</w:t>
      </w:r>
      <w:r>
        <w:rPr>
          <w:rStyle w:val="BookTitle"/>
          <w:rFonts w:ascii="Arial" w:hAnsi="Arial" w:cs="Arial"/>
          <w:i w:val="0"/>
          <w:iCs w:val="0"/>
          <w:smallCaps w:val="0"/>
          <w:spacing w:val="0"/>
          <w:szCs w:val="24"/>
        </w:rPr>
        <w:t xml:space="preserve">nt Rules commence the day after these rules are registered or the day that Schedule 1 to the Amendment Act commences, whichever is later. </w:t>
      </w:r>
      <w:r w:rsidRPr="00061743">
        <w:rPr>
          <w:rFonts w:ascii="Arial" w:hAnsi="Arial" w:cs="Arial"/>
        </w:rPr>
        <w:t xml:space="preserve"> </w:t>
      </w:r>
    </w:p>
    <w:p w:rsidR="006F60D1" w:rsidRPr="00BC76EB" w:rsidRDefault="006F60D1" w:rsidP="006F60D1">
      <w:pPr>
        <w:keepNext/>
        <w:spacing w:line="276" w:lineRule="auto"/>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rsidR="006F60D1" w:rsidRDefault="006F60D1" w:rsidP="006F60D1">
      <w:pPr>
        <w:spacing w:after="240"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As part of the mediated settlement the Department of Social Services consulted with the following:</w:t>
      </w:r>
    </w:p>
    <w:p w:rsidR="006F60D1" w:rsidRDefault="006F60D1" w:rsidP="006F60D1">
      <w:pPr>
        <w:pStyle w:val="ListParagraph"/>
        <w:numPr>
          <w:ilvl w:val="0"/>
          <w:numId w:val="23"/>
        </w:numPr>
        <w:spacing w:after="240"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Applicant, through Maurice Blackburn Lawyers (the Applicant’s legal representative) regarding settlement terms;</w:t>
      </w:r>
    </w:p>
    <w:p w:rsidR="006F60D1" w:rsidRDefault="006F60D1" w:rsidP="006F60D1">
      <w:pPr>
        <w:pStyle w:val="ListParagraph"/>
        <w:numPr>
          <w:ilvl w:val="0"/>
          <w:numId w:val="23"/>
        </w:numPr>
        <w:spacing w:after="240"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AED Legal Centre regarding settlement terms;</w:t>
      </w:r>
    </w:p>
    <w:p w:rsidR="006F60D1" w:rsidRDefault="006F60D1" w:rsidP="006F60D1">
      <w:pPr>
        <w:pStyle w:val="ListParagraph"/>
        <w:numPr>
          <w:ilvl w:val="0"/>
          <w:numId w:val="23"/>
        </w:numPr>
        <w:spacing w:after="240"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Department of Finance in relation to costings; </w:t>
      </w:r>
    </w:p>
    <w:p w:rsidR="006F60D1" w:rsidRDefault="006F60D1" w:rsidP="006F60D1">
      <w:pPr>
        <w:pStyle w:val="ListParagraph"/>
        <w:numPr>
          <w:ilvl w:val="0"/>
          <w:numId w:val="23"/>
        </w:numPr>
        <w:spacing w:after="240"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Department of Prime Minister and Cabinet to seek their view on amendments to the legislation; and</w:t>
      </w:r>
    </w:p>
    <w:p w:rsidR="006F60D1" w:rsidRDefault="006F60D1" w:rsidP="006F60D1">
      <w:pPr>
        <w:pStyle w:val="ListParagraph"/>
        <w:numPr>
          <w:ilvl w:val="0"/>
          <w:numId w:val="23"/>
        </w:numPr>
        <w:spacing w:after="240"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Attorney-General’s Department in relation to amendments to the legislation.</w:t>
      </w:r>
    </w:p>
    <w:p w:rsidR="006F60D1" w:rsidRPr="00BC76EB" w:rsidRDefault="006F60D1" w:rsidP="006F60D1">
      <w:pPr>
        <w:spacing w:after="240" w:line="276" w:lineRule="auto"/>
        <w:jc w:val="both"/>
        <w:rPr>
          <w:rFonts w:ascii="Arial" w:hAnsi="Arial" w:cs="Arial"/>
          <w:b/>
          <w:szCs w:val="24"/>
        </w:rPr>
      </w:pPr>
      <w:r w:rsidRPr="00BC76EB">
        <w:rPr>
          <w:rFonts w:ascii="Arial" w:hAnsi="Arial" w:cs="Arial"/>
          <w:b/>
          <w:szCs w:val="24"/>
        </w:rPr>
        <w:t>Regulation Impact Statement (RIS)</w:t>
      </w:r>
    </w:p>
    <w:p w:rsidR="006F60D1" w:rsidRPr="009B5604" w:rsidRDefault="006F60D1" w:rsidP="006F60D1">
      <w:pPr>
        <w:spacing w:before="120" w:line="276" w:lineRule="auto"/>
        <w:rPr>
          <w:rFonts w:ascii="Arial" w:hAnsi="Arial" w:cs="Arial"/>
          <w:szCs w:val="24"/>
        </w:rPr>
      </w:pPr>
      <w:r w:rsidRPr="00713C73">
        <w:rPr>
          <w:rFonts w:ascii="Arial" w:hAnsi="Arial" w:cs="Arial"/>
          <w:szCs w:val="24"/>
        </w:rPr>
        <w:t xml:space="preserve">The Office of Best Practice Regulation has been consulted and </w:t>
      </w:r>
      <w:proofErr w:type="gramStart"/>
      <w:r w:rsidRPr="00713C73">
        <w:rPr>
          <w:rFonts w:ascii="Arial" w:hAnsi="Arial" w:cs="Arial"/>
          <w:szCs w:val="24"/>
        </w:rPr>
        <w:t>advised  a</w:t>
      </w:r>
      <w:proofErr w:type="gramEnd"/>
      <w:r w:rsidRPr="00713C73">
        <w:rPr>
          <w:rFonts w:ascii="Arial" w:hAnsi="Arial" w:cs="Arial"/>
          <w:szCs w:val="24"/>
        </w:rPr>
        <w:t xml:space="preserve"> RIS is not required.</w:t>
      </w:r>
    </w:p>
    <w:p w:rsidR="006F60D1" w:rsidRDefault="006F60D1">
      <w:pPr>
        <w:spacing w:before="0" w:after="200" w:line="276" w:lineRule="auto"/>
        <w:rPr>
          <w:rStyle w:val="BookTitle"/>
          <w:rFonts w:ascii="Arial" w:hAnsi="Arial" w:cs="Arial"/>
          <w:b/>
          <w:i w:val="0"/>
          <w:iCs w:val="0"/>
          <w:smallCaps w:val="0"/>
          <w:spacing w:val="0"/>
          <w:szCs w:val="24"/>
          <w:u w:val="single"/>
        </w:rPr>
      </w:pPr>
      <w:r>
        <w:rPr>
          <w:rStyle w:val="BookTitle"/>
          <w:rFonts w:ascii="Arial" w:hAnsi="Arial" w:cs="Arial"/>
          <w:b/>
          <w:i w:val="0"/>
          <w:iCs w:val="0"/>
          <w:smallCaps w:val="0"/>
          <w:spacing w:val="0"/>
          <w:szCs w:val="24"/>
          <w:u w:val="single"/>
        </w:rPr>
        <w:br w:type="page"/>
      </w:r>
    </w:p>
    <w:p w:rsidR="006F60D1" w:rsidRPr="00E14A11" w:rsidRDefault="006F60D1" w:rsidP="006F60D1">
      <w:pPr>
        <w:spacing w:line="276" w:lineRule="auto"/>
        <w:jc w:val="center"/>
        <w:rPr>
          <w:rStyle w:val="BookTitle"/>
          <w:rFonts w:ascii="Arial" w:hAnsi="Arial" w:cs="Arial"/>
          <w:b/>
          <w:i w:val="0"/>
          <w:iCs w:val="0"/>
          <w:smallCaps w:val="0"/>
          <w:spacing w:val="0"/>
          <w:szCs w:val="24"/>
          <w:u w:val="single"/>
        </w:rPr>
      </w:pPr>
      <w:r w:rsidRPr="00E14A11">
        <w:rPr>
          <w:rStyle w:val="BookTitle"/>
          <w:rFonts w:ascii="Arial" w:hAnsi="Arial" w:cs="Arial"/>
          <w:b/>
          <w:i w:val="0"/>
          <w:iCs w:val="0"/>
          <w:smallCaps w:val="0"/>
          <w:spacing w:val="0"/>
          <w:szCs w:val="24"/>
          <w:u w:val="single"/>
        </w:rPr>
        <w:lastRenderedPageBreak/>
        <w:t>Explanation of the provisions</w:t>
      </w:r>
    </w:p>
    <w:p w:rsidR="006F60D1" w:rsidRDefault="006F60D1" w:rsidP="006F60D1">
      <w:pPr>
        <w:shd w:val="clear" w:color="auto" w:fill="FFFFFF"/>
        <w:spacing w:before="0" w:line="276" w:lineRule="auto"/>
        <w:textAlignment w:val="top"/>
        <w:rPr>
          <w:rStyle w:val="BookTitle"/>
          <w:rFonts w:ascii="Arial" w:hAnsi="Arial" w:cs="Arial"/>
          <w:i w:val="0"/>
          <w:iCs w:val="0"/>
          <w:smallCaps w:val="0"/>
          <w:spacing w:val="0"/>
          <w:szCs w:val="24"/>
          <w:u w:val="single"/>
        </w:rPr>
      </w:pPr>
    </w:p>
    <w:p w:rsidR="006F60D1" w:rsidRDefault="006F60D1" w:rsidP="006F60D1">
      <w:pPr>
        <w:shd w:val="clear" w:color="auto" w:fill="FFFFFF"/>
        <w:spacing w:before="0" w:line="276" w:lineRule="auto"/>
        <w:textAlignment w:val="top"/>
        <w:rPr>
          <w:rStyle w:val="BookTitle"/>
          <w:rFonts w:ascii="Arial" w:hAnsi="Arial" w:cs="Arial"/>
          <w:b/>
          <w:iCs w:val="0"/>
          <w:smallCaps w:val="0"/>
          <w:spacing w:val="0"/>
          <w:szCs w:val="24"/>
        </w:rPr>
      </w:pPr>
      <w:r>
        <w:rPr>
          <w:rStyle w:val="BookTitle"/>
          <w:rFonts w:ascii="Arial" w:hAnsi="Arial" w:cs="Arial"/>
          <w:b/>
          <w:iCs w:val="0"/>
          <w:smallCaps w:val="0"/>
          <w:spacing w:val="0"/>
          <w:szCs w:val="24"/>
        </w:rPr>
        <w:t xml:space="preserve">Schedule 1 - Amendments </w:t>
      </w:r>
    </w:p>
    <w:p w:rsidR="006F60D1" w:rsidRDefault="006F60D1" w:rsidP="006F60D1">
      <w:pPr>
        <w:shd w:val="clear" w:color="auto" w:fill="FFFFFF"/>
        <w:spacing w:before="0" w:line="276" w:lineRule="auto"/>
        <w:textAlignment w:val="top"/>
        <w:rPr>
          <w:rStyle w:val="BookTitle"/>
          <w:rFonts w:ascii="Arial" w:hAnsi="Arial" w:cs="Arial"/>
          <w:i w:val="0"/>
          <w:iCs w:val="0"/>
          <w:smallCaps w:val="0"/>
          <w:spacing w:val="0"/>
          <w:szCs w:val="24"/>
          <w:u w:val="single"/>
        </w:rPr>
      </w:pPr>
    </w:p>
    <w:p w:rsidR="006F60D1" w:rsidRPr="00713C73" w:rsidRDefault="006F60D1" w:rsidP="006F60D1">
      <w:pPr>
        <w:shd w:val="clear" w:color="auto" w:fill="FFFFFF"/>
        <w:spacing w:before="0" w:line="276" w:lineRule="auto"/>
        <w:textAlignment w:val="top"/>
        <w:rPr>
          <w:rStyle w:val="BookTitle"/>
          <w:rFonts w:ascii="Arial" w:hAnsi="Arial" w:cs="Arial"/>
          <w:i w:val="0"/>
          <w:iCs w:val="0"/>
          <w:smallCaps w:val="0"/>
          <w:spacing w:val="0"/>
          <w:szCs w:val="24"/>
        </w:rPr>
      </w:pPr>
      <w:r w:rsidRPr="00E14A11">
        <w:rPr>
          <w:rStyle w:val="BookTitle"/>
          <w:rFonts w:ascii="Arial" w:hAnsi="Arial" w:cs="Arial"/>
          <w:b/>
          <w:i w:val="0"/>
          <w:iCs w:val="0"/>
          <w:smallCaps w:val="0"/>
          <w:spacing w:val="0"/>
          <w:szCs w:val="24"/>
        </w:rPr>
        <w:t>Item 1</w:t>
      </w:r>
      <w:r>
        <w:rPr>
          <w:rStyle w:val="BookTitle"/>
          <w:rFonts w:ascii="Arial" w:hAnsi="Arial" w:cs="Arial"/>
          <w:b/>
          <w:i w:val="0"/>
          <w:iCs w:val="0"/>
          <w:smallCaps w:val="0"/>
          <w:spacing w:val="0"/>
          <w:szCs w:val="24"/>
        </w:rPr>
        <w:t xml:space="preserve"> </w:t>
      </w:r>
      <w:r>
        <w:rPr>
          <w:rStyle w:val="BookTitle"/>
          <w:rFonts w:ascii="Arial" w:hAnsi="Arial" w:cs="Arial"/>
          <w:i w:val="0"/>
          <w:iCs w:val="0"/>
          <w:smallCaps w:val="0"/>
          <w:spacing w:val="0"/>
          <w:szCs w:val="24"/>
        </w:rPr>
        <w:t xml:space="preserve">inserts a new definition in the Rules. </w:t>
      </w:r>
    </w:p>
    <w:p w:rsidR="006F60D1" w:rsidRDefault="006F60D1" w:rsidP="006F60D1">
      <w:pPr>
        <w:shd w:val="clear" w:color="auto" w:fill="FFFFFF"/>
        <w:spacing w:before="0" w:line="276" w:lineRule="auto"/>
        <w:textAlignment w:val="top"/>
        <w:rPr>
          <w:rStyle w:val="BookTitle"/>
          <w:rFonts w:ascii="Arial" w:hAnsi="Arial" w:cs="Arial"/>
          <w:b/>
          <w:i w:val="0"/>
          <w:iCs w:val="0"/>
          <w:smallCaps w:val="0"/>
          <w:spacing w:val="0"/>
          <w:szCs w:val="24"/>
        </w:rPr>
      </w:pPr>
    </w:p>
    <w:p w:rsidR="006F60D1" w:rsidRPr="00E14A11" w:rsidRDefault="006F60D1" w:rsidP="006F60D1">
      <w:pPr>
        <w:shd w:val="clear" w:color="auto" w:fill="FFFFFF"/>
        <w:spacing w:before="0" w:line="276" w:lineRule="auto"/>
        <w:textAlignment w:val="top"/>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Item 2 </w:t>
      </w:r>
      <w:r>
        <w:rPr>
          <w:rStyle w:val="BookTitle"/>
          <w:rFonts w:ascii="Arial" w:hAnsi="Arial" w:cs="Arial"/>
          <w:i w:val="0"/>
          <w:iCs w:val="0"/>
          <w:smallCaps w:val="0"/>
          <w:spacing w:val="0"/>
          <w:szCs w:val="24"/>
        </w:rPr>
        <w:t>omits the definition of ‘Act</w:t>
      </w:r>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 xml:space="preserve">and inserts a new definition to correct the title of the Act. </w:t>
      </w:r>
    </w:p>
    <w:p w:rsidR="006F60D1" w:rsidRPr="00E14A11" w:rsidRDefault="006F60D1" w:rsidP="006F60D1">
      <w:pPr>
        <w:shd w:val="clear" w:color="auto" w:fill="FFFFFF"/>
        <w:spacing w:before="0" w:line="276" w:lineRule="auto"/>
        <w:textAlignment w:val="top"/>
        <w:rPr>
          <w:rFonts w:ascii="Arial" w:hAnsi="Arial" w:cs="Arial"/>
          <w:b/>
          <w:color w:val="111111"/>
          <w:szCs w:val="24"/>
        </w:rPr>
      </w:pPr>
    </w:p>
    <w:p w:rsidR="006F60D1" w:rsidRDefault="006F60D1" w:rsidP="006F60D1">
      <w:pPr>
        <w:shd w:val="clear" w:color="auto" w:fill="FFFFFF"/>
        <w:spacing w:before="0" w:line="276" w:lineRule="auto"/>
        <w:textAlignment w:val="top"/>
        <w:rPr>
          <w:rFonts w:ascii="Arial" w:hAnsi="Arial" w:cs="Arial"/>
          <w:color w:val="111111"/>
          <w:szCs w:val="24"/>
        </w:rPr>
      </w:pPr>
      <w:r w:rsidRPr="00E14A11">
        <w:rPr>
          <w:rFonts w:ascii="Arial" w:hAnsi="Arial" w:cs="Arial"/>
          <w:b/>
          <w:color w:val="111111"/>
          <w:szCs w:val="24"/>
        </w:rPr>
        <w:t xml:space="preserve">Item </w:t>
      </w:r>
      <w:r>
        <w:rPr>
          <w:rFonts w:ascii="Arial" w:hAnsi="Arial" w:cs="Arial"/>
          <w:b/>
          <w:color w:val="111111"/>
          <w:szCs w:val="24"/>
        </w:rPr>
        <w:t xml:space="preserve">3 </w:t>
      </w:r>
      <w:r>
        <w:rPr>
          <w:rFonts w:ascii="Arial" w:hAnsi="Arial" w:cs="Arial"/>
          <w:color w:val="111111"/>
          <w:szCs w:val="24"/>
        </w:rPr>
        <w:t>amends the steps for working out the payment amount to reflect the recent changes to paragraph 8(3</w:t>
      </w:r>
      <w:proofErr w:type="gramStart"/>
      <w:r>
        <w:rPr>
          <w:rFonts w:ascii="Arial" w:hAnsi="Arial" w:cs="Arial"/>
          <w:color w:val="111111"/>
          <w:szCs w:val="24"/>
        </w:rPr>
        <w:t>)(</w:t>
      </w:r>
      <w:proofErr w:type="gramEnd"/>
      <w:r>
        <w:rPr>
          <w:rFonts w:ascii="Arial" w:hAnsi="Arial" w:cs="Arial"/>
          <w:color w:val="111111"/>
          <w:szCs w:val="24"/>
        </w:rPr>
        <w:t xml:space="preserve">a) of the Act. This amends the principle for calculating a payment amount to provide that a payment should reflect 70 per cent instead of 50 per cent of the excess of a productivity-scored wage over an actual wage. </w:t>
      </w:r>
    </w:p>
    <w:p w:rsidR="006F60D1" w:rsidRDefault="006F60D1" w:rsidP="006F60D1">
      <w:pPr>
        <w:shd w:val="clear" w:color="auto" w:fill="FFFFFF"/>
        <w:spacing w:before="0" w:line="276" w:lineRule="auto"/>
        <w:textAlignment w:val="top"/>
        <w:rPr>
          <w:rFonts w:ascii="Arial" w:hAnsi="Arial" w:cs="Arial"/>
          <w:color w:val="111111"/>
          <w:szCs w:val="24"/>
        </w:rPr>
      </w:pPr>
    </w:p>
    <w:p w:rsidR="006F60D1" w:rsidRDefault="006F60D1" w:rsidP="006F60D1">
      <w:pPr>
        <w:shd w:val="clear" w:color="auto" w:fill="FFFFFF"/>
        <w:spacing w:before="0" w:line="276" w:lineRule="auto"/>
        <w:textAlignment w:val="top"/>
        <w:rPr>
          <w:rFonts w:ascii="Arial" w:hAnsi="Arial" w:cs="Arial"/>
          <w:color w:val="111111"/>
          <w:szCs w:val="24"/>
        </w:rPr>
      </w:pPr>
      <w:r>
        <w:rPr>
          <w:rFonts w:ascii="Arial" w:hAnsi="Arial" w:cs="Arial"/>
          <w:b/>
          <w:color w:val="111111"/>
          <w:szCs w:val="24"/>
        </w:rPr>
        <w:t xml:space="preserve">Item 4 </w:t>
      </w:r>
      <w:r>
        <w:rPr>
          <w:rFonts w:ascii="Arial" w:hAnsi="Arial" w:cs="Arial"/>
          <w:color w:val="111111"/>
          <w:szCs w:val="24"/>
        </w:rPr>
        <w:t>inserts a new item in the table under subsection 8.03(1) of the Rules which provides that the Secretary may exercise the power to disclose information for the purposes of making a public interest certificate where the disclosure is reasonably necessary for the purposes of research or analysis into any of the following matters:</w:t>
      </w:r>
    </w:p>
    <w:p w:rsidR="006F60D1" w:rsidRDefault="006F60D1" w:rsidP="006F60D1">
      <w:pPr>
        <w:shd w:val="clear" w:color="auto" w:fill="FFFFFF"/>
        <w:spacing w:before="0" w:line="276" w:lineRule="auto"/>
        <w:textAlignment w:val="top"/>
        <w:rPr>
          <w:rFonts w:ascii="Arial" w:hAnsi="Arial" w:cs="Arial"/>
          <w:color w:val="111111"/>
          <w:szCs w:val="24"/>
        </w:rPr>
      </w:pPr>
    </w:p>
    <w:p w:rsidR="006F60D1" w:rsidRDefault="006F60D1" w:rsidP="006F60D1">
      <w:pPr>
        <w:pStyle w:val="ListParagraph"/>
        <w:numPr>
          <w:ilvl w:val="0"/>
          <w:numId w:val="25"/>
        </w:numPr>
        <w:shd w:val="clear" w:color="auto" w:fill="FFFFFF"/>
        <w:spacing w:before="0" w:line="276" w:lineRule="auto"/>
        <w:textAlignment w:val="top"/>
        <w:rPr>
          <w:rFonts w:ascii="Arial" w:hAnsi="Arial" w:cs="Arial"/>
          <w:color w:val="111111"/>
          <w:szCs w:val="24"/>
        </w:rPr>
      </w:pPr>
      <w:r>
        <w:rPr>
          <w:rFonts w:ascii="Arial" w:hAnsi="Arial" w:cs="Arial"/>
          <w:color w:val="111111"/>
          <w:szCs w:val="24"/>
        </w:rPr>
        <w:t>calculation and payment of wages using the BSWAT; or</w:t>
      </w:r>
    </w:p>
    <w:p w:rsidR="006F60D1" w:rsidRDefault="006F60D1" w:rsidP="006F60D1">
      <w:pPr>
        <w:pStyle w:val="ListParagraph"/>
        <w:shd w:val="clear" w:color="auto" w:fill="FFFFFF"/>
        <w:spacing w:before="0" w:line="276" w:lineRule="auto"/>
        <w:textAlignment w:val="top"/>
        <w:rPr>
          <w:rFonts w:ascii="Arial" w:hAnsi="Arial" w:cs="Arial"/>
          <w:color w:val="111111"/>
          <w:szCs w:val="24"/>
        </w:rPr>
      </w:pPr>
    </w:p>
    <w:p w:rsidR="006F60D1" w:rsidRDefault="006F60D1" w:rsidP="006F60D1">
      <w:pPr>
        <w:pStyle w:val="ListParagraph"/>
        <w:numPr>
          <w:ilvl w:val="0"/>
          <w:numId w:val="25"/>
        </w:numPr>
        <w:shd w:val="clear" w:color="auto" w:fill="FFFFFF"/>
        <w:spacing w:before="0" w:line="276" w:lineRule="auto"/>
        <w:textAlignment w:val="top"/>
        <w:rPr>
          <w:rFonts w:ascii="Arial" w:hAnsi="Arial" w:cs="Arial"/>
          <w:color w:val="111111"/>
          <w:szCs w:val="24"/>
        </w:rPr>
      </w:pPr>
      <w:proofErr w:type="gramStart"/>
      <w:r>
        <w:rPr>
          <w:rFonts w:ascii="Arial" w:hAnsi="Arial" w:cs="Arial"/>
          <w:color w:val="111111"/>
          <w:szCs w:val="24"/>
        </w:rPr>
        <w:t>the</w:t>
      </w:r>
      <w:proofErr w:type="gramEnd"/>
      <w:r>
        <w:rPr>
          <w:rFonts w:ascii="Arial" w:hAnsi="Arial" w:cs="Arial"/>
          <w:color w:val="111111"/>
          <w:szCs w:val="24"/>
        </w:rPr>
        <w:t xml:space="preserve"> management, operation or administration of the Act or the Rules. </w:t>
      </w:r>
    </w:p>
    <w:p w:rsidR="006F60D1" w:rsidRDefault="006F60D1" w:rsidP="006F60D1">
      <w:pPr>
        <w:shd w:val="clear" w:color="auto" w:fill="FFFFFF"/>
        <w:spacing w:before="0" w:line="276" w:lineRule="auto"/>
        <w:textAlignment w:val="top"/>
        <w:rPr>
          <w:rFonts w:ascii="Arial" w:hAnsi="Arial" w:cs="Arial"/>
          <w:color w:val="111111"/>
          <w:szCs w:val="24"/>
        </w:rPr>
      </w:pPr>
    </w:p>
    <w:p w:rsidR="006F60D1" w:rsidRPr="00713C73" w:rsidRDefault="006F60D1" w:rsidP="006F60D1">
      <w:pPr>
        <w:shd w:val="clear" w:color="auto" w:fill="FFFFFF"/>
        <w:spacing w:before="0" w:line="276" w:lineRule="auto"/>
        <w:textAlignment w:val="top"/>
        <w:rPr>
          <w:rFonts w:ascii="Arial" w:hAnsi="Arial" w:cs="Arial"/>
          <w:color w:val="111111"/>
          <w:szCs w:val="24"/>
        </w:rPr>
      </w:pPr>
      <w:r>
        <w:rPr>
          <w:rFonts w:ascii="Arial" w:hAnsi="Arial" w:cs="Arial"/>
          <w:color w:val="111111"/>
          <w:szCs w:val="24"/>
        </w:rPr>
        <w:t>The Secretary must consider sections 8.02 and 8.03 of the Rules in exercising the power under paragraph 81(1</w:t>
      </w:r>
      <w:proofErr w:type="gramStart"/>
      <w:r>
        <w:rPr>
          <w:rFonts w:ascii="Arial" w:hAnsi="Arial" w:cs="Arial"/>
          <w:color w:val="111111"/>
          <w:szCs w:val="24"/>
        </w:rPr>
        <w:t>)(</w:t>
      </w:r>
      <w:proofErr w:type="gramEnd"/>
      <w:r>
        <w:rPr>
          <w:rFonts w:ascii="Arial" w:hAnsi="Arial" w:cs="Arial"/>
          <w:color w:val="111111"/>
          <w:szCs w:val="24"/>
        </w:rPr>
        <w:t xml:space="preserve">a) of the Act to certify that it is necessary in the public interest for protected information to be disclosed. </w:t>
      </w:r>
    </w:p>
    <w:p w:rsidR="006F60D1" w:rsidRDefault="006F60D1" w:rsidP="006F60D1">
      <w:pPr>
        <w:shd w:val="clear" w:color="auto" w:fill="FFFFFF"/>
        <w:spacing w:before="0" w:line="276" w:lineRule="auto"/>
        <w:textAlignment w:val="top"/>
        <w:rPr>
          <w:rFonts w:ascii="Arial" w:hAnsi="Arial" w:cs="Arial"/>
          <w:color w:val="111111"/>
          <w:szCs w:val="24"/>
        </w:rPr>
      </w:pPr>
    </w:p>
    <w:p w:rsidR="006F60D1" w:rsidRDefault="006F60D1" w:rsidP="006F60D1">
      <w:pPr>
        <w:shd w:val="clear" w:color="auto" w:fill="FFFFFF"/>
        <w:spacing w:before="0" w:line="276" w:lineRule="auto"/>
        <w:textAlignment w:val="top"/>
        <w:rPr>
          <w:rFonts w:ascii="Arial" w:hAnsi="Arial" w:cs="Arial"/>
          <w:color w:val="111111"/>
          <w:szCs w:val="24"/>
        </w:rPr>
      </w:pPr>
      <w:r>
        <w:rPr>
          <w:rFonts w:ascii="Arial" w:hAnsi="Arial" w:cs="Arial"/>
          <w:b/>
          <w:color w:val="111111"/>
          <w:szCs w:val="24"/>
        </w:rPr>
        <w:t xml:space="preserve">Item 5 </w:t>
      </w:r>
      <w:r>
        <w:rPr>
          <w:rFonts w:ascii="Arial" w:hAnsi="Arial" w:cs="Arial"/>
          <w:color w:val="111111"/>
          <w:szCs w:val="24"/>
        </w:rPr>
        <w:t xml:space="preserve">sets out the rules in relation to deceased persons. Chapter 10 is made under subsection 97(3) of the Act (as amended by the Amendment Act). </w:t>
      </w:r>
    </w:p>
    <w:p w:rsidR="006F60D1" w:rsidRDefault="006F60D1" w:rsidP="006F60D1">
      <w:pPr>
        <w:shd w:val="clear" w:color="auto" w:fill="FFFFFF"/>
        <w:spacing w:before="0" w:line="276" w:lineRule="auto"/>
        <w:textAlignment w:val="top"/>
        <w:rPr>
          <w:rFonts w:ascii="Arial" w:hAnsi="Arial" w:cs="Arial"/>
          <w:color w:val="111111"/>
          <w:szCs w:val="24"/>
        </w:rPr>
      </w:pPr>
    </w:p>
    <w:p w:rsidR="006F60D1" w:rsidRDefault="006F60D1" w:rsidP="006F60D1">
      <w:pPr>
        <w:shd w:val="clear" w:color="auto" w:fill="FFFFFF"/>
        <w:spacing w:before="0" w:line="276" w:lineRule="auto"/>
        <w:textAlignment w:val="top"/>
        <w:rPr>
          <w:rFonts w:ascii="Arial" w:hAnsi="Arial" w:cs="Arial"/>
          <w:color w:val="111111"/>
          <w:szCs w:val="24"/>
        </w:rPr>
      </w:pPr>
      <w:r>
        <w:rPr>
          <w:rFonts w:ascii="Arial" w:hAnsi="Arial" w:cs="Arial"/>
          <w:color w:val="111111"/>
          <w:szCs w:val="24"/>
        </w:rPr>
        <w:t xml:space="preserve">Section 10.01 explains the purpose of the Chapter. Chapter 10 sets out the way in which a person can apply to be recognised by the Secretary as a deceased person’s legal personal representative. </w:t>
      </w:r>
    </w:p>
    <w:p w:rsidR="006F60D1" w:rsidRPr="001516F6" w:rsidRDefault="006F60D1" w:rsidP="006F60D1">
      <w:pPr>
        <w:shd w:val="clear" w:color="auto" w:fill="FFFFFF"/>
        <w:spacing w:before="0" w:line="276" w:lineRule="auto"/>
        <w:textAlignment w:val="top"/>
        <w:rPr>
          <w:rFonts w:ascii="Arial" w:hAnsi="Arial" w:cs="Arial"/>
          <w:b/>
          <w:color w:val="111111"/>
          <w:szCs w:val="24"/>
        </w:rPr>
      </w:pPr>
    </w:p>
    <w:p w:rsidR="006F60D1" w:rsidRPr="001516F6" w:rsidRDefault="006F60D1" w:rsidP="006F60D1">
      <w:pPr>
        <w:shd w:val="clear" w:color="auto" w:fill="FFFFFF"/>
        <w:spacing w:before="0" w:line="276" w:lineRule="auto"/>
        <w:textAlignment w:val="top"/>
        <w:rPr>
          <w:rFonts w:ascii="Arial" w:hAnsi="Arial" w:cs="Arial"/>
          <w:b/>
          <w:i/>
          <w:color w:val="111111"/>
          <w:szCs w:val="24"/>
        </w:rPr>
      </w:pPr>
      <w:r w:rsidRPr="001516F6">
        <w:rPr>
          <w:rFonts w:ascii="Arial" w:hAnsi="Arial" w:cs="Arial"/>
          <w:b/>
          <w:i/>
          <w:color w:val="111111"/>
          <w:szCs w:val="24"/>
        </w:rPr>
        <w:t xml:space="preserve">Making an application to be a legal personal representative </w:t>
      </w:r>
    </w:p>
    <w:p w:rsidR="006F60D1" w:rsidRPr="001516F6" w:rsidRDefault="006F60D1" w:rsidP="006F60D1">
      <w:pPr>
        <w:shd w:val="clear" w:color="auto" w:fill="FFFFFF"/>
        <w:spacing w:before="0" w:line="276" w:lineRule="auto"/>
        <w:textAlignment w:val="top"/>
        <w:rPr>
          <w:rFonts w:ascii="Arial" w:hAnsi="Arial" w:cs="Arial"/>
          <w:i/>
          <w:color w:val="111111"/>
          <w:szCs w:val="24"/>
        </w:rPr>
      </w:pPr>
    </w:p>
    <w:p w:rsidR="006F60D1" w:rsidRDefault="006F60D1" w:rsidP="006F60D1">
      <w:pPr>
        <w:shd w:val="clear" w:color="auto" w:fill="FFFFFF"/>
        <w:spacing w:before="0" w:line="276" w:lineRule="auto"/>
        <w:textAlignment w:val="top"/>
        <w:rPr>
          <w:rFonts w:ascii="Arial" w:hAnsi="Arial" w:cs="Arial"/>
          <w:color w:val="111111"/>
          <w:szCs w:val="24"/>
        </w:rPr>
      </w:pPr>
      <w:r>
        <w:rPr>
          <w:rFonts w:ascii="Arial" w:hAnsi="Arial" w:cs="Arial"/>
          <w:color w:val="111111"/>
          <w:szCs w:val="24"/>
        </w:rPr>
        <w:t>Section 10.02 explains that a person may apply to the Secretary in the approved form for a determination that the person is a legal personal representative for a deceased person for the purposes of the payment scheme. The approved form should be accompanied by such information and documents that are specified in the approved form to be provided to the Secretary.</w:t>
      </w:r>
    </w:p>
    <w:p w:rsidR="006F60D1" w:rsidRDefault="006F60D1" w:rsidP="006F60D1">
      <w:pPr>
        <w:shd w:val="clear" w:color="auto" w:fill="FFFFFF"/>
        <w:spacing w:before="0" w:line="276" w:lineRule="auto"/>
        <w:textAlignment w:val="top"/>
        <w:rPr>
          <w:rFonts w:ascii="Arial" w:hAnsi="Arial" w:cs="Arial"/>
          <w:color w:val="111111"/>
          <w:szCs w:val="24"/>
        </w:rPr>
      </w:pPr>
    </w:p>
    <w:p w:rsidR="006F60D1" w:rsidRDefault="006F60D1">
      <w:pPr>
        <w:spacing w:before="0" w:after="200" w:line="276" w:lineRule="auto"/>
        <w:rPr>
          <w:rFonts w:ascii="Arial" w:hAnsi="Arial" w:cs="Arial"/>
          <w:b/>
          <w:i/>
          <w:color w:val="111111"/>
          <w:szCs w:val="24"/>
        </w:rPr>
      </w:pPr>
      <w:r>
        <w:rPr>
          <w:rFonts w:ascii="Arial" w:hAnsi="Arial" w:cs="Arial"/>
          <w:b/>
          <w:i/>
          <w:color w:val="111111"/>
          <w:szCs w:val="24"/>
        </w:rPr>
        <w:br w:type="page"/>
      </w:r>
    </w:p>
    <w:p w:rsidR="006F60D1" w:rsidRPr="001516F6" w:rsidRDefault="006F60D1" w:rsidP="006F60D1">
      <w:pPr>
        <w:shd w:val="clear" w:color="auto" w:fill="FFFFFF"/>
        <w:spacing w:before="0" w:line="276" w:lineRule="auto"/>
        <w:textAlignment w:val="top"/>
        <w:rPr>
          <w:rFonts w:ascii="Arial" w:hAnsi="Arial" w:cs="Arial"/>
          <w:b/>
          <w:i/>
          <w:color w:val="111111"/>
          <w:szCs w:val="24"/>
        </w:rPr>
      </w:pPr>
      <w:r w:rsidRPr="001516F6">
        <w:rPr>
          <w:rFonts w:ascii="Arial" w:hAnsi="Arial" w:cs="Arial"/>
          <w:b/>
          <w:i/>
          <w:color w:val="111111"/>
          <w:szCs w:val="24"/>
        </w:rPr>
        <w:lastRenderedPageBreak/>
        <w:t>Secretary may determine that a person is a legal personal representative</w:t>
      </w:r>
    </w:p>
    <w:p w:rsidR="006F60D1" w:rsidRPr="001516F6" w:rsidRDefault="006F60D1" w:rsidP="006F60D1">
      <w:pPr>
        <w:shd w:val="clear" w:color="auto" w:fill="FFFFFF"/>
        <w:spacing w:before="0" w:line="276" w:lineRule="auto"/>
        <w:textAlignment w:val="top"/>
        <w:rPr>
          <w:rFonts w:ascii="Arial" w:hAnsi="Arial" w:cs="Arial"/>
          <w:i/>
          <w:color w:val="111111"/>
          <w:szCs w:val="24"/>
        </w:rPr>
      </w:pPr>
    </w:p>
    <w:p w:rsidR="006F60D1" w:rsidRDefault="006F60D1" w:rsidP="006F60D1">
      <w:pPr>
        <w:shd w:val="clear" w:color="auto" w:fill="FFFFFF"/>
        <w:spacing w:before="0" w:line="276" w:lineRule="auto"/>
        <w:textAlignment w:val="top"/>
        <w:rPr>
          <w:rFonts w:ascii="Arial" w:hAnsi="Arial" w:cs="Arial"/>
          <w:color w:val="111111"/>
          <w:szCs w:val="24"/>
        </w:rPr>
      </w:pPr>
      <w:r>
        <w:rPr>
          <w:rFonts w:ascii="Arial" w:hAnsi="Arial" w:cs="Arial"/>
          <w:color w:val="111111"/>
          <w:szCs w:val="24"/>
        </w:rPr>
        <w:t>Section 10.03 provides the rules the Secretary must have regard to in making a determination that a person is a legal personal representative for a deceased person. Generally, the Secretary may determine that a person is a legal personal representative for the purposes of the Act and Rules, if the person:</w:t>
      </w:r>
    </w:p>
    <w:p w:rsidR="006F60D1" w:rsidRDefault="006F60D1" w:rsidP="006F60D1">
      <w:pPr>
        <w:shd w:val="clear" w:color="auto" w:fill="FFFFFF"/>
        <w:spacing w:before="0" w:line="276" w:lineRule="auto"/>
        <w:textAlignment w:val="top"/>
        <w:rPr>
          <w:rFonts w:ascii="Arial" w:hAnsi="Arial" w:cs="Arial"/>
          <w:color w:val="111111"/>
          <w:szCs w:val="24"/>
        </w:rPr>
      </w:pPr>
    </w:p>
    <w:p w:rsidR="006F60D1" w:rsidRDefault="006F60D1" w:rsidP="006F60D1">
      <w:pPr>
        <w:pStyle w:val="ListParagraph"/>
        <w:numPr>
          <w:ilvl w:val="0"/>
          <w:numId w:val="26"/>
        </w:numPr>
        <w:shd w:val="clear" w:color="auto" w:fill="FFFFFF"/>
        <w:spacing w:before="0" w:line="276" w:lineRule="auto"/>
        <w:textAlignment w:val="top"/>
        <w:rPr>
          <w:rFonts w:ascii="Arial" w:hAnsi="Arial" w:cs="Arial"/>
          <w:color w:val="111111"/>
          <w:szCs w:val="24"/>
        </w:rPr>
      </w:pPr>
      <w:r>
        <w:rPr>
          <w:rFonts w:ascii="Arial" w:hAnsi="Arial" w:cs="Arial"/>
          <w:color w:val="111111"/>
          <w:szCs w:val="24"/>
        </w:rPr>
        <w:t>is an executor of the deceased person’s estate; or</w:t>
      </w:r>
    </w:p>
    <w:p w:rsidR="006F60D1" w:rsidRDefault="006F60D1" w:rsidP="006F60D1">
      <w:pPr>
        <w:pStyle w:val="ListParagraph"/>
        <w:shd w:val="clear" w:color="auto" w:fill="FFFFFF"/>
        <w:spacing w:before="0" w:line="276" w:lineRule="auto"/>
        <w:textAlignment w:val="top"/>
        <w:rPr>
          <w:rFonts w:ascii="Arial" w:hAnsi="Arial" w:cs="Arial"/>
          <w:color w:val="111111"/>
          <w:szCs w:val="24"/>
        </w:rPr>
      </w:pPr>
    </w:p>
    <w:p w:rsidR="006F60D1" w:rsidRDefault="006F60D1" w:rsidP="006F60D1">
      <w:pPr>
        <w:pStyle w:val="ListParagraph"/>
        <w:numPr>
          <w:ilvl w:val="0"/>
          <w:numId w:val="26"/>
        </w:numPr>
        <w:shd w:val="clear" w:color="auto" w:fill="FFFFFF"/>
        <w:spacing w:before="0" w:line="276" w:lineRule="auto"/>
        <w:textAlignment w:val="top"/>
        <w:rPr>
          <w:rFonts w:ascii="Arial" w:hAnsi="Arial" w:cs="Arial"/>
          <w:color w:val="111111"/>
          <w:szCs w:val="24"/>
        </w:rPr>
      </w:pPr>
      <w:r>
        <w:rPr>
          <w:rFonts w:ascii="Arial" w:hAnsi="Arial" w:cs="Arial"/>
          <w:color w:val="111111"/>
          <w:szCs w:val="24"/>
        </w:rPr>
        <w:t>is an administrator of the deceased person’s estate; or</w:t>
      </w:r>
    </w:p>
    <w:p w:rsidR="006F60D1" w:rsidRPr="00713C73" w:rsidRDefault="006F60D1" w:rsidP="006F60D1">
      <w:pPr>
        <w:shd w:val="clear" w:color="auto" w:fill="FFFFFF"/>
        <w:spacing w:before="0" w:line="276" w:lineRule="auto"/>
        <w:textAlignment w:val="top"/>
        <w:rPr>
          <w:rFonts w:ascii="Arial" w:hAnsi="Arial" w:cs="Arial"/>
          <w:color w:val="111111"/>
          <w:szCs w:val="24"/>
        </w:rPr>
      </w:pPr>
    </w:p>
    <w:p w:rsidR="006F60D1" w:rsidRDefault="006F60D1" w:rsidP="006F60D1">
      <w:pPr>
        <w:pStyle w:val="ListParagraph"/>
        <w:numPr>
          <w:ilvl w:val="0"/>
          <w:numId w:val="26"/>
        </w:numPr>
        <w:shd w:val="clear" w:color="auto" w:fill="FFFFFF"/>
        <w:spacing w:before="0" w:line="276" w:lineRule="auto"/>
        <w:textAlignment w:val="top"/>
        <w:rPr>
          <w:rFonts w:ascii="Arial" w:hAnsi="Arial" w:cs="Arial"/>
          <w:color w:val="111111"/>
          <w:szCs w:val="24"/>
        </w:rPr>
      </w:pPr>
      <w:proofErr w:type="gramStart"/>
      <w:r>
        <w:rPr>
          <w:rFonts w:ascii="Arial" w:hAnsi="Arial" w:cs="Arial"/>
          <w:color w:val="111111"/>
          <w:szCs w:val="24"/>
        </w:rPr>
        <w:t>has</w:t>
      </w:r>
      <w:proofErr w:type="gramEnd"/>
      <w:r>
        <w:rPr>
          <w:rFonts w:ascii="Arial" w:hAnsi="Arial" w:cs="Arial"/>
          <w:color w:val="111111"/>
          <w:szCs w:val="24"/>
        </w:rPr>
        <w:t xml:space="preserve"> control of the deceased person’s estate under a law of the Commonwealth or of a state or territory. For example, a Public Trustee that has elected to be a deceased person’s executor or administrator. </w:t>
      </w:r>
    </w:p>
    <w:p w:rsidR="006F60D1" w:rsidRPr="00713C73" w:rsidRDefault="006F60D1" w:rsidP="006F60D1">
      <w:pPr>
        <w:pStyle w:val="ListParagraph"/>
        <w:spacing w:line="276" w:lineRule="auto"/>
        <w:rPr>
          <w:rFonts w:ascii="Arial" w:hAnsi="Arial" w:cs="Arial"/>
          <w:color w:val="111111"/>
          <w:szCs w:val="24"/>
        </w:rPr>
      </w:pPr>
    </w:p>
    <w:p w:rsidR="006F60D1" w:rsidRDefault="006F60D1" w:rsidP="006F60D1">
      <w:pPr>
        <w:shd w:val="clear" w:color="auto" w:fill="FFFFFF"/>
        <w:spacing w:before="0" w:line="276" w:lineRule="auto"/>
        <w:textAlignment w:val="top"/>
        <w:rPr>
          <w:rFonts w:ascii="Arial" w:hAnsi="Arial" w:cs="Arial"/>
          <w:color w:val="111111"/>
          <w:szCs w:val="24"/>
        </w:rPr>
      </w:pPr>
      <w:r>
        <w:rPr>
          <w:rFonts w:ascii="Arial" w:hAnsi="Arial" w:cs="Arial"/>
          <w:color w:val="111111"/>
          <w:szCs w:val="24"/>
        </w:rPr>
        <w:t xml:space="preserve">However, if there is no executor or administrator of the deceased person’s estate, the Secretary must have regard to the matters under subsection 10.03(3) to determine if it is appropriate for a person to be the legal personal representative of the deceased person. </w:t>
      </w:r>
    </w:p>
    <w:p w:rsidR="006F60D1" w:rsidRDefault="006F60D1" w:rsidP="006F60D1">
      <w:pPr>
        <w:shd w:val="clear" w:color="auto" w:fill="FFFFFF"/>
        <w:spacing w:before="0" w:line="276" w:lineRule="auto"/>
        <w:textAlignment w:val="top"/>
        <w:rPr>
          <w:rFonts w:ascii="Arial" w:hAnsi="Arial" w:cs="Arial"/>
          <w:color w:val="111111"/>
          <w:szCs w:val="24"/>
        </w:rPr>
      </w:pPr>
    </w:p>
    <w:p w:rsidR="006F60D1" w:rsidRPr="00713C73" w:rsidRDefault="006F60D1" w:rsidP="006F60D1">
      <w:pPr>
        <w:shd w:val="clear" w:color="auto" w:fill="FFFFFF"/>
        <w:spacing w:before="0" w:line="276" w:lineRule="auto"/>
        <w:textAlignment w:val="top"/>
        <w:rPr>
          <w:rFonts w:ascii="Arial" w:hAnsi="Arial" w:cs="Arial"/>
          <w:color w:val="111111"/>
          <w:szCs w:val="24"/>
        </w:rPr>
      </w:pPr>
      <w:r>
        <w:rPr>
          <w:rFonts w:ascii="Arial" w:hAnsi="Arial" w:cs="Arial"/>
          <w:color w:val="111111"/>
          <w:szCs w:val="24"/>
        </w:rPr>
        <w:t>Subsection 10.03(2) clarifies that there is no obligation on the Secretary to make inquiries about whether there is an executor or administrator of the deceased person’s estate. The Secretary will rely on the information provided by the legal personal representative applicant to make a determination.</w:t>
      </w:r>
    </w:p>
    <w:p w:rsidR="006F60D1" w:rsidRDefault="006F60D1" w:rsidP="006F60D1">
      <w:pPr>
        <w:shd w:val="clear" w:color="auto" w:fill="FFFFFF"/>
        <w:spacing w:before="0" w:line="276" w:lineRule="auto"/>
        <w:textAlignment w:val="top"/>
        <w:rPr>
          <w:rFonts w:ascii="Arial" w:hAnsi="Arial" w:cs="Arial"/>
          <w:color w:val="111111"/>
          <w:szCs w:val="24"/>
        </w:rPr>
      </w:pPr>
    </w:p>
    <w:p w:rsidR="006F60D1" w:rsidRDefault="006F60D1" w:rsidP="006F60D1">
      <w:pPr>
        <w:shd w:val="clear" w:color="auto" w:fill="FFFFFF"/>
        <w:spacing w:before="0" w:line="276" w:lineRule="auto"/>
        <w:textAlignment w:val="top"/>
        <w:rPr>
          <w:rFonts w:ascii="Arial" w:hAnsi="Arial" w:cs="Arial"/>
          <w:color w:val="111111"/>
          <w:szCs w:val="24"/>
        </w:rPr>
      </w:pPr>
      <w:r>
        <w:rPr>
          <w:rFonts w:ascii="Arial" w:hAnsi="Arial" w:cs="Arial"/>
          <w:color w:val="111111"/>
          <w:szCs w:val="24"/>
        </w:rPr>
        <w:t>Subsection 10.03(3) prescribes the matters to which the Secretary must have regard to in making a decision under paragraph 10.03(1</w:t>
      </w:r>
      <w:proofErr w:type="gramStart"/>
      <w:r>
        <w:rPr>
          <w:rFonts w:ascii="Arial" w:hAnsi="Arial" w:cs="Arial"/>
          <w:color w:val="111111"/>
          <w:szCs w:val="24"/>
        </w:rPr>
        <w:t>)(</w:t>
      </w:r>
      <w:proofErr w:type="gramEnd"/>
      <w:r>
        <w:rPr>
          <w:rFonts w:ascii="Arial" w:hAnsi="Arial" w:cs="Arial"/>
          <w:color w:val="111111"/>
          <w:szCs w:val="24"/>
        </w:rPr>
        <w:t xml:space="preserve">d). </w:t>
      </w:r>
    </w:p>
    <w:p w:rsidR="006F60D1" w:rsidRDefault="006F60D1" w:rsidP="006F60D1">
      <w:pPr>
        <w:shd w:val="clear" w:color="auto" w:fill="FFFFFF"/>
        <w:spacing w:before="0" w:line="276" w:lineRule="auto"/>
        <w:textAlignment w:val="top"/>
        <w:rPr>
          <w:rFonts w:ascii="Arial" w:hAnsi="Arial" w:cs="Arial"/>
          <w:color w:val="111111"/>
          <w:szCs w:val="24"/>
        </w:rPr>
      </w:pPr>
    </w:p>
    <w:p w:rsidR="006F60D1" w:rsidRDefault="006F60D1" w:rsidP="006F60D1">
      <w:pPr>
        <w:shd w:val="clear" w:color="auto" w:fill="FFFFFF"/>
        <w:spacing w:before="0" w:line="276" w:lineRule="auto"/>
        <w:textAlignment w:val="top"/>
        <w:rPr>
          <w:rFonts w:ascii="Arial" w:hAnsi="Arial" w:cs="Arial"/>
          <w:color w:val="111111"/>
          <w:szCs w:val="24"/>
        </w:rPr>
      </w:pPr>
      <w:r>
        <w:rPr>
          <w:rFonts w:ascii="Arial" w:hAnsi="Arial" w:cs="Arial"/>
          <w:color w:val="111111"/>
          <w:szCs w:val="24"/>
        </w:rPr>
        <w:t xml:space="preserve">Subsection 10.03(4) clarifies that when the Secretary determines a legal personal representative applicant is the legal personal representative for a deceased person, that person will be considered the ‘approved legal personal representative’ for the deceased person. </w:t>
      </w:r>
    </w:p>
    <w:p w:rsidR="006F60D1" w:rsidRDefault="006F60D1" w:rsidP="006F60D1">
      <w:pPr>
        <w:shd w:val="clear" w:color="auto" w:fill="FFFFFF"/>
        <w:spacing w:before="0" w:line="276" w:lineRule="auto"/>
        <w:textAlignment w:val="top"/>
        <w:rPr>
          <w:rFonts w:ascii="Arial" w:hAnsi="Arial" w:cs="Arial"/>
          <w:color w:val="111111"/>
          <w:szCs w:val="24"/>
        </w:rPr>
      </w:pPr>
    </w:p>
    <w:p w:rsidR="006F60D1" w:rsidRPr="001516F6" w:rsidRDefault="006F60D1" w:rsidP="006F60D1">
      <w:pPr>
        <w:shd w:val="clear" w:color="auto" w:fill="FFFFFF"/>
        <w:spacing w:before="0" w:line="276" w:lineRule="auto"/>
        <w:textAlignment w:val="top"/>
        <w:rPr>
          <w:rFonts w:ascii="Arial" w:hAnsi="Arial" w:cs="Arial"/>
          <w:b/>
          <w:i/>
          <w:color w:val="111111"/>
          <w:szCs w:val="24"/>
        </w:rPr>
      </w:pPr>
      <w:r>
        <w:rPr>
          <w:rFonts w:ascii="Arial" w:hAnsi="Arial" w:cs="Arial"/>
          <w:b/>
          <w:i/>
          <w:color w:val="111111"/>
          <w:szCs w:val="24"/>
        </w:rPr>
        <w:t>More than one Legal Personal Representative for a deceased person</w:t>
      </w:r>
    </w:p>
    <w:p w:rsidR="006F60D1" w:rsidRDefault="006F60D1" w:rsidP="006F60D1">
      <w:pPr>
        <w:shd w:val="clear" w:color="auto" w:fill="FFFFFF"/>
        <w:spacing w:before="0" w:line="276" w:lineRule="auto"/>
        <w:textAlignment w:val="top"/>
        <w:rPr>
          <w:rFonts w:ascii="Arial" w:hAnsi="Arial" w:cs="Arial"/>
          <w:color w:val="111111"/>
          <w:szCs w:val="24"/>
        </w:rPr>
      </w:pPr>
    </w:p>
    <w:p w:rsidR="006F60D1" w:rsidRDefault="006F60D1" w:rsidP="006F60D1">
      <w:pPr>
        <w:shd w:val="clear" w:color="auto" w:fill="FFFFFF"/>
        <w:spacing w:before="0" w:line="276" w:lineRule="auto"/>
        <w:textAlignment w:val="top"/>
        <w:rPr>
          <w:rFonts w:ascii="Arial" w:hAnsi="Arial" w:cs="Arial"/>
          <w:color w:val="111111"/>
          <w:szCs w:val="24"/>
        </w:rPr>
      </w:pPr>
      <w:r>
        <w:rPr>
          <w:rFonts w:ascii="Arial" w:hAnsi="Arial" w:cs="Arial"/>
          <w:color w:val="111111"/>
          <w:szCs w:val="24"/>
        </w:rPr>
        <w:t xml:space="preserve">Section 10.04 clarifies that if the Secretary receives more than one application under section 10.02 in respect of the same deceased person, the Secretary may decline to consider the application because the Secretary believes that the matter should be dealt with by a court. </w:t>
      </w:r>
    </w:p>
    <w:p w:rsidR="006F60D1" w:rsidRDefault="006F60D1" w:rsidP="006F60D1">
      <w:pPr>
        <w:shd w:val="clear" w:color="auto" w:fill="FFFFFF"/>
        <w:spacing w:before="0" w:line="276" w:lineRule="auto"/>
        <w:textAlignment w:val="top"/>
        <w:rPr>
          <w:rFonts w:ascii="Arial" w:hAnsi="Arial" w:cs="Arial"/>
          <w:color w:val="111111"/>
          <w:szCs w:val="24"/>
        </w:rPr>
      </w:pPr>
    </w:p>
    <w:p w:rsidR="006F60D1" w:rsidRPr="00713C73" w:rsidRDefault="006F60D1" w:rsidP="006F60D1">
      <w:pPr>
        <w:shd w:val="clear" w:color="auto" w:fill="FFFFFF"/>
        <w:spacing w:before="0" w:line="276" w:lineRule="auto"/>
        <w:textAlignment w:val="top"/>
        <w:rPr>
          <w:rFonts w:ascii="Arial" w:hAnsi="Arial" w:cs="Arial"/>
          <w:color w:val="111111"/>
          <w:szCs w:val="24"/>
        </w:rPr>
      </w:pPr>
      <w:r>
        <w:rPr>
          <w:rFonts w:ascii="Arial" w:hAnsi="Arial" w:cs="Arial"/>
          <w:color w:val="111111"/>
          <w:szCs w:val="24"/>
        </w:rPr>
        <w:t xml:space="preserve">In the situation where there are joint executors or administrators of the deceased person’s estate, the Secretary will generally only determine the first application received in accordance with subsection 10.03(1). However, if the Secretary receives more than one application under section 10.02 from joint executors or administrators </w:t>
      </w:r>
      <w:r>
        <w:rPr>
          <w:rFonts w:ascii="Arial" w:hAnsi="Arial" w:cs="Arial"/>
          <w:color w:val="111111"/>
          <w:szCs w:val="24"/>
        </w:rPr>
        <w:lastRenderedPageBreak/>
        <w:t xml:space="preserve">for the same deceased person, the Secretary may decline to consider the applications if the matter should be dealt with by a court.  </w:t>
      </w:r>
    </w:p>
    <w:p w:rsidR="006F60D1" w:rsidRDefault="006F60D1" w:rsidP="006F60D1">
      <w:pPr>
        <w:shd w:val="clear" w:color="auto" w:fill="FFFFFF"/>
        <w:spacing w:before="0" w:line="276" w:lineRule="auto"/>
        <w:textAlignment w:val="top"/>
        <w:rPr>
          <w:rFonts w:ascii="Arial" w:hAnsi="Arial" w:cs="Arial"/>
          <w:color w:val="111111"/>
          <w:szCs w:val="24"/>
        </w:rPr>
      </w:pPr>
    </w:p>
    <w:p w:rsidR="006F60D1" w:rsidRDefault="006F60D1" w:rsidP="006F60D1">
      <w:pPr>
        <w:shd w:val="clear" w:color="auto" w:fill="FFFFFF"/>
        <w:spacing w:before="0" w:line="276" w:lineRule="auto"/>
        <w:textAlignment w:val="top"/>
        <w:rPr>
          <w:rFonts w:ascii="Arial" w:hAnsi="Arial" w:cs="Arial"/>
          <w:b/>
          <w:i/>
          <w:color w:val="111111"/>
          <w:szCs w:val="24"/>
        </w:rPr>
      </w:pPr>
      <w:r>
        <w:rPr>
          <w:rFonts w:ascii="Arial" w:hAnsi="Arial" w:cs="Arial"/>
          <w:b/>
          <w:i/>
          <w:color w:val="111111"/>
          <w:szCs w:val="24"/>
        </w:rPr>
        <w:t>Cancellation of determination</w:t>
      </w:r>
    </w:p>
    <w:p w:rsidR="006F60D1" w:rsidRPr="001516F6" w:rsidRDefault="006F60D1" w:rsidP="006F60D1">
      <w:pPr>
        <w:shd w:val="clear" w:color="auto" w:fill="FFFFFF"/>
        <w:spacing w:before="0" w:line="276" w:lineRule="auto"/>
        <w:textAlignment w:val="top"/>
        <w:rPr>
          <w:rFonts w:ascii="Arial" w:hAnsi="Arial" w:cs="Arial"/>
          <w:b/>
          <w:i/>
          <w:color w:val="111111"/>
          <w:szCs w:val="24"/>
        </w:rPr>
      </w:pPr>
    </w:p>
    <w:p w:rsidR="006F60D1" w:rsidRDefault="006F60D1" w:rsidP="006F60D1">
      <w:pPr>
        <w:shd w:val="clear" w:color="auto" w:fill="FFFFFF"/>
        <w:spacing w:before="0" w:line="276" w:lineRule="auto"/>
        <w:textAlignment w:val="top"/>
        <w:rPr>
          <w:rFonts w:ascii="Arial" w:hAnsi="Arial" w:cs="Arial"/>
          <w:color w:val="111111"/>
          <w:szCs w:val="24"/>
        </w:rPr>
      </w:pPr>
      <w:r>
        <w:rPr>
          <w:rFonts w:ascii="Arial" w:hAnsi="Arial" w:cs="Arial"/>
          <w:color w:val="111111"/>
          <w:szCs w:val="24"/>
        </w:rPr>
        <w:t xml:space="preserve">Section 10.05 inserts a provision dealing with the cancellation of a person’s approved legal personal representative status. This allows the Secretary to decide to cancel a person’s status if someone with a better claim comes forward under paragraphs 10.03(1)(a), (b) or (c) or if the Secretary is satisfied it is no longer appropriate for a person to be a legal personal representative of the deceased person. </w:t>
      </w:r>
    </w:p>
    <w:p w:rsidR="006F60D1" w:rsidRDefault="006F60D1" w:rsidP="006F60D1">
      <w:pPr>
        <w:shd w:val="clear" w:color="auto" w:fill="FFFFFF"/>
        <w:spacing w:before="0" w:line="276" w:lineRule="auto"/>
        <w:textAlignment w:val="top"/>
        <w:rPr>
          <w:rFonts w:ascii="Arial" w:hAnsi="Arial" w:cs="Arial"/>
          <w:color w:val="111111"/>
          <w:szCs w:val="24"/>
        </w:rPr>
      </w:pPr>
    </w:p>
    <w:p w:rsidR="006F60D1" w:rsidRDefault="006F60D1" w:rsidP="006F60D1">
      <w:pPr>
        <w:shd w:val="clear" w:color="auto" w:fill="FFFFFF"/>
        <w:spacing w:before="0" w:line="276" w:lineRule="auto"/>
        <w:textAlignment w:val="top"/>
        <w:rPr>
          <w:rFonts w:ascii="Arial" w:hAnsi="Arial" w:cs="Arial"/>
          <w:color w:val="111111"/>
          <w:szCs w:val="24"/>
        </w:rPr>
      </w:pPr>
      <w:r>
        <w:rPr>
          <w:rFonts w:ascii="Arial" w:hAnsi="Arial" w:cs="Arial"/>
          <w:color w:val="111111"/>
          <w:szCs w:val="24"/>
        </w:rPr>
        <w:t>Paragraph 10.05(1</w:t>
      </w:r>
      <w:proofErr w:type="gramStart"/>
      <w:r>
        <w:rPr>
          <w:rFonts w:ascii="Arial" w:hAnsi="Arial" w:cs="Arial"/>
          <w:color w:val="111111"/>
          <w:szCs w:val="24"/>
        </w:rPr>
        <w:t>)(</w:t>
      </w:r>
      <w:proofErr w:type="gramEnd"/>
      <w:r>
        <w:rPr>
          <w:rFonts w:ascii="Arial" w:hAnsi="Arial" w:cs="Arial"/>
          <w:color w:val="111111"/>
          <w:szCs w:val="24"/>
        </w:rPr>
        <w:t xml:space="preserve">b) allows the Secretary to cancel a determination where the Secretary is satisfied that the person has not acted or is not acting in the best interests of the estate of the deceased person. </w:t>
      </w:r>
    </w:p>
    <w:p w:rsidR="006F60D1" w:rsidRDefault="006F60D1" w:rsidP="006F60D1">
      <w:pPr>
        <w:shd w:val="clear" w:color="auto" w:fill="FFFFFF"/>
        <w:spacing w:before="0" w:line="276" w:lineRule="auto"/>
        <w:textAlignment w:val="top"/>
        <w:rPr>
          <w:rFonts w:ascii="Arial" w:hAnsi="Arial" w:cs="Arial"/>
          <w:color w:val="111111"/>
          <w:szCs w:val="24"/>
        </w:rPr>
      </w:pPr>
    </w:p>
    <w:p w:rsidR="006F60D1" w:rsidRDefault="006F60D1" w:rsidP="006F60D1">
      <w:pPr>
        <w:shd w:val="clear" w:color="auto" w:fill="FFFFFF"/>
        <w:spacing w:before="0" w:line="276" w:lineRule="auto"/>
        <w:textAlignment w:val="top"/>
        <w:rPr>
          <w:rFonts w:ascii="Arial" w:hAnsi="Arial" w:cs="Arial"/>
          <w:color w:val="111111"/>
          <w:szCs w:val="24"/>
        </w:rPr>
      </w:pPr>
      <w:r>
        <w:rPr>
          <w:rFonts w:ascii="Arial" w:hAnsi="Arial" w:cs="Arial"/>
          <w:color w:val="111111"/>
          <w:szCs w:val="24"/>
        </w:rPr>
        <w:t>The Secretary is not required to provide notice to any person affected by a decision under subsection 10.05(1) or afford the opportunity to make submissions if the Secretary is satisfied that to do so is in the best interests of the estate of the deceased person. Also, the Secretary may decline to consider whether to cancel a determination under subsection 10.05(1) because the Secretary believes that the matter should be dealt with by a court.</w:t>
      </w:r>
    </w:p>
    <w:p w:rsidR="006F60D1" w:rsidRDefault="006F60D1" w:rsidP="006F60D1">
      <w:pPr>
        <w:shd w:val="clear" w:color="auto" w:fill="FFFFFF"/>
        <w:spacing w:before="0" w:line="276" w:lineRule="auto"/>
        <w:textAlignment w:val="top"/>
        <w:rPr>
          <w:rFonts w:ascii="Arial" w:hAnsi="Arial" w:cs="Arial"/>
          <w:color w:val="111111"/>
          <w:szCs w:val="24"/>
        </w:rPr>
      </w:pPr>
    </w:p>
    <w:p w:rsidR="006F60D1" w:rsidRPr="00713C73" w:rsidRDefault="006F60D1" w:rsidP="006F60D1">
      <w:pPr>
        <w:shd w:val="clear" w:color="auto" w:fill="FFFFFF"/>
        <w:spacing w:before="0" w:line="276" w:lineRule="auto"/>
        <w:textAlignment w:val="top"/>
        <w:rPr>
          <w:rFonts w:ascii="Arial" w:hAnsi="Arial" w:cs="Arial"/>
          <w:b/>
          <w:i/>
          <w:color w:val="111111"/>
          <w:szCs w:val="24"/>
        </w:rPr>
      </w:pPr>
      <w:r>
        <w:rPr>
          <w:rFonts w:ascii="Arial" w:hAnsi="Arial" w:cs="Arial"/>
          <w:b/>
          <w:i/>
          <w:color w:val="111111"/>
          <w:szCs w:val="24"/>
        </w:rPr>
        <w:t>One approved legal personal representative</w:t>
      </w:r>
    </w:p>
    <w:p w:rsidR="006F60D1" w:rsidRDefault="006F60D1" w:rsidP="006F60D1">
      <w:pPr>
        <w:shd w:val="clear" w:color="auto" w:fill="FFFFFF"/>
        <w:spacing w:before="0" w:line="276" w:lineRule="auto"/>
        <w:textAlignment w:val="top"/>
        <w:rPr>
          <w:rFonts w:ascii="Arial" w:hAnsi="Arial" w:cs="Arial"/>
          <w:color w:val="111111"/>
          <w:szCs w:val="24"/>
        </w:rPr>
      </w:pPr>
    </w:p>
    <w:p w:rsidR="006F60D1" w:rsidRDefault="006F60D1" w:rsidP="006F60D1">
      <w:pPr>
        <w:shd w:val="clear" w:color="auto" w:fill="FFFFFF"/>
        <w:spacing w:before="0" w:line="276" w:lineRule="auto"/>
        <w:textAlignment w:val="top"/>
        <w:rPr>
          <w:rFonts w:ascii="Arial" w:hAnsi="Arial" w:cs="Arial"/>
          <w:color w:val="111111"/>
          <w:szCs w:val="24"/>
        </w:rPr>
      </w:pPr>
      <w:r>
        <w:rPr>
          <w:rFonts w:ascii="Arial" w:hAnsi="Arial" w:cs="Arial"/>
          <w:color w:val="111111"/>
          <w:szCs w:val="24"/>
        </w:rPr>
        <w:t xml:space="preserve">Section 10.06 clarifies that there can be only one approved legal personal representative in respect of a deceased person at any one time. If there is an approved legal personal representative for a deceased person and someone else makes an application to be the legal personal representative in respect of the same deceased person, the Secretary will have to consider whether sections 10.04 and 10.05 apply. </w:t>
      </w:r>
    </w:p>
    <w:p w:rsidR="006F60D1" w:rsidRDefault="006F60D1" w:rsidP="006F60D1">
      <w:pPr>
        <w:shd w:val="clear" w:color="auto" w:fill="FFFFFF"/>
        <w:spacing w:before="0" w:line="276" w:lineRule="auto"/>
        <w:textAlignment w:val="top"/>
        <w:rPr>
          <w:rFonts w:ascii="Arial" w:hAnsi="Arial" w:cs="Arial"/>
          <w:color w:val="111111"/>
          <w:szCs w:val="24"/>
        </w:rPr>
      </w:pPr>
    </w:p>
    <w:p w:rsidR="006F60D1" w:rsidRDefault="006F60D1" w:rsidP="006F60D1">
      <w:pPr>
        <w:shd w:val="clear" w:color="auto" w:fill="FFFFFF"/>
        <w:spacing w:before="0" w:line="276" w:lineRule="auto"/>
        <w:textAlignment w:val="top"/>
        <w:rPr>
          <w:rFonts w:ascii="Arial" w:hAnsi="Arial" w:cs="Arial"/>
          <w:b/>
          <w:i/>
          <w:color w:val="111111"/>
          <w:szCs w:val="24"/>
        </w:rPr>
      </w:pPr>
      <w:r>
        <w:rPr>
          <w:rFonts w:ascii="Arial" w:hAnsi="Arial" w:cs="Arial"/>
          <w:b/>
          <w:i/>
          <w:color w:val="111111"/>
          <w:szCs w:val="24"/>
        </w:rPr>
        <w:t>Effect of making a payment</w:t>
      </w:r>
    </w:p>
    <w:p w:rsidR="006F60D1" w:rsidRPr="00713C73" w:rsidRDefault="006F60D1" w:rsidP="006F60D1">
      <w:pPr>
        <w:shd w:val="clear" w:color="auto" w:fill="FFFFFF"/>
        <w:spacing w:before="0" w:line="276" w:lineRule="auto"/>
        <w:textAlignment w:val="top"/>
        <w:rPr>
          <w:rFonts w:ascii="Arial" w:hAnsi="Arial" w:cs="Arial"/>
          <w:b/>
          <w:i/>
          <w:color w:val="111111"/>
          <w:szCs w:val="24"/>
        </w:rPr>
      </w:pPr>
    </w:p>
    <w:p w:rsidR="006F60D1" w:rsidRPr="00D15ACC" w:rsidRDefault="006F60D1" w:rsidP="006F60D1">
      <w:pPr>
        <w:shd w:val="clear" w:color="auto" w:fill="FFFFFF"/>
        <w:spacing w:before="0" w:line="276" w:lineRule="auto"/>
        <w:textAlignment w:val="top"/>
        <w:rPr>
          <w:rFonts w:ascii="Arial" w:hAnsi="Arial" w:cs="Arial"/>
          <w:color w:val="111111"/>
          <w:szCs w:val="24"/>
        </w:rPr>
      </w:pPr>
      <w:r>
        <w:rPr>
          <w:rFonts w:ascii="Arial" w:hAnsi="Arial" w:cs="Arial"/>
          <w:color w:val="111111"/>
          <w:szCs w:val="24"/>
        </w:rPr>
        <w:t xml:space="preserve">Section 10.07 explains the effect of making a payment. If the Secretary makes a payment under section 40 of the Act to an approved legal personal representative, no other person may make any claim or bring any action against the Secretary on account of a payment made under the Act to the approved legal personal representative. </w:t>
      </w:r>
    </w:p>
    <w:p w:rsidR="006F60D1" w:rsidRDefault="006F60D1" w:rsidP="006F60D1">
      <w:pPr>
        <w:spacing w:before="0" w:after="200" w:line="276" w:lineRule="auto"/>
        <w:rPr>
          <w:rFonts w:ascii="Arial" w:hAnsi="Arial" w:cs="Arial"/>
          <w:iCs/>
          <w:szCs w:val="24"/>
          <w:u w:val="single"/>
        </w:rPr>
      </w:pPr>
    </w:p>
    <w:p w:rsidR="006F60D1" w:rsidRDefault="006F60D1" w:rsidP="006F60D1">
      <w:pPr>
        <w:spacing w:before="0" w:after="200" w:line="276" w:lineRule="auto"/>
        <w:rPr>
          <w:rFonts w:ascii="Arial" w:hAnsi="Arial" w:cs="Arial"/>
          <w:iCs/>
          <w:szCs w:val="24"/>
          <w:u w:val="single"/>
        </w:rPr>
      </w:pPr>
    </w:p>
    <w:p w:rsidR="006F60D1" w:rsidRPr="00BC76EB" w:rsidRDefault="006F60D1" w:rsidP="006F60D1">
      <w:pPr>
        <w:spacing w:before="0"/>
        <w:ind w:right="91"/>
        <w:rPr>
          <w:rStyle w:val="BookTitle"/>
          <w:rFonts w:ascii="Arial" w:hAnsi="Arial" w:cs="Arial"/>
          <w:i w:val="0"/>
          <w:iCs w:val="0"/>
          <w:smallCaps w:val="0"/>
          <w:spacing w:val="0"/>
          <w:szCs w:val="24"/>
        </w:rPr>
      </w:pPr>
    </w:p>
    <w:p w:rsidR="006546B7" w:rsidRPr="00383E9C" w:rsidRDefault="006546B7" w:rsidP="006546B7">
      <w:pPr>
        <w:spacing w:before="360" w:after="120"/>
        <w:jc w:val="center"/>
        <w:rPr>
          <w:rFonts w:ascii="Arial" w:hAnsi="Arial" w:cs="Arial"/>
          <w:b/>
          <w:szCs w:val="24"/>
        </w:rPr>
      </w:pPr>
      <w:r w:rsidRPr="00383E9C">
        <w:rPr>
          <w:rFonts w:ascii="Arial" w:hAnsi="Arial" w:cs="Arial"/>
          <w:b/>
          <w:szCs w:val="24"/>
        </w:rPr>
        <w:lastRenderedPageBreak/>
        <w:t>Statement of Compatibility with Human Rights</w:t>
      </w:r>
    </w:p>
    <w:p w:rsidR="006546B7" w:rsidRPr="00383E9C" w:rsidRDefault="006546B7" w:rsidP="006546B7">
      <w:pPr>
        <w:spacing w:before="120" w:after="120"/>
        <w:jc w:val="center"/>
        <w:rPr>
          <w:rFonts w:ascii="Arial" w:hAnsi="Arial" w:cs="Arial"/>
          <w:szCs w:val="24"/>
        </w:rPr>
      </w:pPr>
      <w:r w:rsidRPr="00383E9C">
        <w:rPr>
          <w:rFonts w:ascii="Arial" w:hAnsi="Arial" w:cs="Arial"/>
          <w:i/>
          <w:szCs w:val="24"/>
        </w:rPr>
        <w:t>Prepared in accordance with Part 3 of the Human Rights (Parliamentary Scrutiny) Act 2011</w:t>
      </w:r>
    </w:p>
    <w:p w:rsidR="006546B7" w:rsidRPr="00383E9C" w:rsidRDefault="006546B7" w:rsidP="006546B7">
      <w:pPr>
        <w:spacing w:before="120" w:after="120"/>
        <w:jc w:val="center"/>
        <w:rPr>
          <w:rFonts w:ascii="Arial" w:hAnsi="Arial" w:cs="Arial"/>
          <w:szCs w:val="24"/>
          <w:highlight w:val="yellow"/>
        </w:rPr>
      </w:pPr>
    </w:p>
    <w:p w:rsidR="006546B7" w:rsidRPr="00383E9C" w:rsidRDefault="00E14A11" w:rsidP="006546B7">
      <w:pPr>
        <w:spacing w:before="120" w:after="120"/>
        <w:jc w:val="center"/>
        <w:rPr>
          <w:rFonts w:ascii="Arial" w:hAnsi="Arial" w:cs="Arial"/>
          <w:b/>
          <w:i/>
          <w:szCs w:val="24"/>
          <w:highlight w:val="yellow"/>
        </w:rPr>
      </w:pPr>
      <w:r w:rsidRPr="00383E9C">
        <w:rPr>
          <w:rFonts w:ascii="Arial" w:hAnsi="Arial" w:cs="Arial"/>
          <w:b/>
          <w:i/>
          <w:szCs w:val="24"/>
        </w:rPr>
        <w:t>Business Services Wage Assessment Tool Payment Scheme Amendment Rules 2016</w:t>
      </w:r>
    </w:p>
    <w:p w:rsidR="006546B7" w:rsidRPr="00383E9C" w:rsidRDefault="006546B7" w:rsidP="006546B7">
      <w:pPr>
        <w:spacing w:before="120" w:after="120"/>
        <w:jc w:val="center"/>
        <w:rPr>
          <w:rFonts w:ascii="Arial" w:hAnsi="Arial" w:cs="Arial"/>
          <w:szCs w:val="24"/>
          <w:highlight w:val="yellow"/>
        </w:rPr>
      </w:pPr>
    </w:p>
    <w:p w:rsidR="00D812E2" w:rsidRPr="00383E9C" w:rsidRDefault="00D812E2" w:rsidP="007D63D6">
      <w:pPr>
        <w:spacing w:before="100" w:beforeAutospacing="1"/>
        <w:jc w:val="center"/>
        <w:rPr>
          <w:rFonts w:ascii="Arial" w:hAnsi="Arial" w:cs="Arial"/>
          <w:i/>
          <w:szCs w:val="24"/>
        </w:rPr>
      </w:pPr>
      <w:r w:rsidRPr="00383E9C">
        <w:rPr>
          <w:rFonts w:ascii="Arial" w:hAnsi="Arial" w:cs="Arial"/>
          <w:szCs w:val="24"/>
        </w:rPr>
        <w:t xml:space="preserve">This instrument is compatible with the human rights and freedoms recognised or declared in the international instruments listed in section 3 of the </w:t>
      </w:r>
      <w:r w:rsidRPr="00383E9C">
        <w:rPr>
          <w:rFonts w:ascii="Arial" w:hAnsi="Arial" w:cs="Arial"/>
          <w:i/>
          <w:szCs w:val="24"/>
        </w:rPr>
        <w:t>Human Rights (Parliamentary Scrutiny) Act 2011.</w:t>
      </w:r>
    </w:p>
    <w:p w:rsidR="006546B7" w:rsidRPr="00383E9C" w:rsidRDefault="002A63EA" w:rsidP="00FD6BF4">
      <w:pPr>
        <w:spacing w:after="120"/>
        <w:jc w:val="both"/>
        <w:rPr>
          <w:rFonts w:ascii="Arial" w:hAnsi="Arial" w:cs="Arial"/>
          <w:b/>
          <w:szCs w:val="24"/>
        </w:rPr>
      </w:pPr>
      <w:r w:rsidRPr="00383E9C">
        <w:rPr>
          <w:rFonts w:ascii="Arial" w:hAnsi="Arial" w:cs="Arial"/>
          <w:b/>
          <w:szCs w:val="24"/>
        </w:rPr>
        <w:t>Overview of the legislative i</w:t>
      </w:r>
      <w:r w:rsidR="006546B7" w:rsidRPr="00383E9C">
        <w:rPr>
          <w:rFonts w:ascii="Arial" w:hAnsi="Arial" w:cs="Arial"/>
          <w:b/>
          <w:szCs w:val="24"/>
        </w:rPr>
        <w:t>nstrument</w:t>
      </w:r>
    </w:p>
    <w:p w:rsidR="006544E0" w:rsidRPr="00383E9C" w:rsidRDefault="006C0CFA" w:rsidP="006C0CFA">
      <w:pPr>
        <w:spacing w:before="0"/>
        <w:jc w:val="both"/>
        <w:rPr>
          <w:rFonts w:ascii="Arial" w:eastAsia="Calibri" w:hAnsi="Arial" w:cs="Arial"/>
          <w:szCs w:val="24"/>
          <w:lang w:eastAsia="en-US"/>
        </w:rPr>
      </w:pPr>
      <w:r w:rsidRPr="00383E9C">
        <w:rPr>
          <w:rFonts w:ascii="Arial" w:eastAsia="Calibri" w:hAnsi="Arial" w:cs="Arial"/>
          <w:szCs w:val="24"/>
          <w:lang w:eastAsia="en-US"/>
        </w:rPr>
        <w:t xml:space="preserve">The </w:t>
      </w:r>
      <w:r w:rsidRPr="00383E9C">
        <w:rPr>
          <w:rFonts w:ascii="Arial" w:eastAsia="Calibri" w:hAnsi="Arial" w:cs="Arial"/>
          <w:i/>
          <w:szCs w:val="24"/>
          <w:lang w:eastAsia="en-US"/>
        </w:rPr>
        <w:t xml:space="preserve">Business Services Wage Assessment Tool Payment Scheme </w:t>
      </w:r>
      <w:r w:rsidR="006544E0" w:rsidRPr="00383E9C">
        <w:rPr>
          <w:rFonts w:ascii="Arial" w:eastAsia="Calibri" w:hAnsi="Arial" w:cs="Arial"/>
          <w:i/>
          <w:szCs w:val="24"/>
          <w:lang w:eastAsia="en-US"/>
        </w:rPr>
        <w:t xml:space="preserve">Amendment </w:t>
      </w:r>
      <w:r w:rsidRPr="00383E9C">
        <w:rPr>
          <w:rFonts w:ascii="Arial" w:eastAsia="Calibri" w:hAnsi="Arial" w:cs="Arial"/>
          <w:i/>
          <w:szCs w:val="24"/>
          <w:lang w:eastAsia="en-US"/>
        </w:rPr>
        <w:t>Rules 201</w:t>
      </w:r>
      <w:r w:rsidR="006544E0" w:rsidRPr="00383E9C">
        <w:rPr>
          <w:rFonts w:ascii="Arial" w:eastAsia="Calibri" w:hAnsi="Arial" w:cs="Arial"/>
          <w:i/>
          <w:szCs w:val="24"/>
          <w:lang w:eastAsia="en-US"/>
        </w:rPr>
        <w:t>6</w:t>
      </w:r>
      <w:r w:rsidRPr="00383E9C">
        <w:rPr>
          <w:rFonts w:ascii="Arial" w:eastAsia="Calibri" w:hAnsi="Arial" w:cs="Arial"/>
          <w:szCs w:val="24"/>
          <w:lang w:eastAsia="en-US"/>
        </w:rPr>
        <w:t xml:space="preserve"> (the </w:t>
      </w:r>
      <w:r w:rsidR="000B0A65" w:rsidRPr="00383E9C">
        <w:rPr>
          <w:rFonts w:ascii="Arial" w:eastAsia="Calibri" w:hAnsi="Arial" w:cs="Arial"/>
          <w:szCs w:val="24"/>
          <w:lang w:eastAsia="en-US"/>
        </w:rPr>
        <w:t xml:space="preserve">Amendment </w:t>
      </w:r>
      <w:r w:rsidRPr="00383E9C">
        <w:rPr>
          <w:rFonts w:ascii="Arial" w:eastAsia="Calibri" w:hAnsi="Arial" w:cs="Arial"/>
          <w:szCs w:val="24"/>
          <w:lang w:eastAsia="en-US"/>
        </w:rPr>
        <w:t xml:space="preserve">Rules) </w:t>
      </w:r>
      <w:r w:rsidR="006544E0" w:rsidRPr="00383E9C">
        <w:rPr>
          <w:rFonts w:ascii="Arial" w:eastAsia="Calibri" w:hAnsi="Arial" w:cs="Arial"/>
          <w:szCs w:val="24"/>
          <w:lang w:eastAsia="en-US"/>
        </w:rPr>
        <w:t xml:space="preserve">is enacted to deal with matters consequential to the </w:t>
      </w:r>
      <w:r w:rsidR="006544E0" w:rsidRPr="00383E9C">
        <w:rPr>
          <w:rFonts w:ascii="Arial" w:eastAsia="Calibri" w:hAnsi="Arial" w:cs="Arial"/>
          <w:i/>
          <w:szCs w:val="24"/>
          <w:lang w:eastAsia="en-US"/>
        </w:rPr>
        <w:t xml:space="preserve">Business Services Wage Assessment Tool Payment Scheme </w:t>
      </w:r>
      <w:r w:rsidR="00E62C37" w:rsidRPr="00383E9C">
        <w:rPr>
          <w:rFonts w:ascii="Arial" w:eastAsia="Calibri" w:hAnsi="Arial" w:cs="Arial"/>
          <w:i/>
          <w:szCs w:val="24"/>
          <w:lang w:eastAsia="en-US"/>
        </w:rPr>
        <w:t>Amendment Act</w:t>
      </w:r>
      <w:r w:rsidR="006544E0" w:rsidRPr="00383E9C">
        <w:rPr>
          <w:rFonts w:ascii="Arial" w:eastAsia="Calibri" w:hAnsi="Arial" w:cs="Arial"/>
          <w:i/>
          <w:szCs w:val="24"/>
          <w:lang w:eastAsia="en-US"/>
        </w:rPr>
        <w:t xml:space="preserve"> 201</w:t>
      </w:r>
      <w:r w:rsidR="00E62C37" w:rsidRPr="00383E9C">
        <w:rPr>
          <w:rFonts w:ascii="Arial" w:eastAsia="Calibri" w:hAnsi="Arial" w:cs="Arial"/>
          <w:i/>
          <w:szCs w:val="24"/>
          <w:lang w:eastAsia="en-US"/>
        </w:rPr>
        <w:t>6</w:t>
      </w:r>
      <w:r w:rsidR="008806BF" w:rsidRPr="00383E9C">
        <w:rPr>
          <w:rFonts w:ascii="Arial" w:eastAsia="Calibri" w:hAnsi="Arial" w:cs="Arial"/>
          <w:i/>
          <w:szCs w:val="24"/>
          <w:lang w:eastAsia="en-US"/>
        </w:rPr>
        <w:t xml:space="preserve"> </w:t>
      </w:r>
      <w:r w:rsidR="008806BF" w:rsidRPr="00383E9C">
        <w:rPr>
          <w:rFonts w:ascii="Arial" w:eastAsia="Calibri" w:hAnsi="Arial" w:cs="Arial"/>
          <w:szCs w:val="24"/>
          <w:lang w:eastAsia="en-US"/>
        </w:rPr>
        <w:t xml:space="preserve">(the </w:t>
      </w:r>
      <w:r w:rsidR="000B0A65" w:rsidRPr="00383E9C">
        <w:rPr>
          <w:rFonts w:ascii="Arial" w:eastAsia="Calibri" w:hAnsi="Arial" w:cs="Arial"/>
          <w:szCs w:val="24"/>
          <w:lang w:eastAsia="en-US"/>
        </w:rPr>
        <w:t xml:space="preserve">Amendment </w:t>
      </w:r>
      <w:r w:rsidR="008806BF" w:rsidRPr="00383E9C">
        <w:rPr>
          <w:rFonts w:ascii="Arial" w:eastAsia="Calibri" w:hAnsi="Arial" w:cs="Arial"/>
          <w:szCs w:val="24"/>
          <w:lang w:eastAsia="en-US"/>
        </w:rPr>
        <w:t>Act)</w:t>
      </w:r>
      <w:r w:rsidR="006544E0" w:rsidRPr="00383E9C">
        <w:rPr>
          <w:rFonts w:ascii="Arial" w:eastAsia="Calibri" w:hAnsi="Arial" w:cs="Arial"/>
          <w:i/>
          <w:szCs w:val="24"/>
          <w:lang w:eastAsia="en-US"/>
        </w:rPr>
        <w:t xml:space="preserve">, </w:t>
      </w:r>
      <w:r w:rsidR="006544E0" w:rsidRPr="00383E9C">
        <w:rPr>
          <w:rFonts w:ascii="Arial" w:eastAsia="Calibri" w:hAnsi="Arial" w:cs="Arial"/>
          <w:szCs w:val="24"/>
          <w:lang w:eastAsia="en-US"/>
        </w:rPr>
        <w:t xml:space="preserve">as a result of the agreed settlement terms, subject to Federal Court approval, of the representative proceeding, </w:t>
      </w:r>
      <w:r w:rsidR="006544E0" w:rsidRPr="00383E9C">
        <w:rPr>
          <w:rFonts w:ascii="Arial" w:eastAsia="Calibri" w:hAnsi="Arial" w:cs="Arial"/>
          <w:i/>
          <w:szCs w:val="24"/>
          <w:lang w:eastAsia="en-US"/>
        </w:rPr>
        <w:t>Duval-Comrie v the</w:t>
      </w:r>
      <w:r w:rsidR="000B0A65" w:rsidRPr="00383E9C">
        <w:rPr>
          <w:rFonts w:ascii="Arial" w:eastAsia="Calibri" w:hAnsi="Arial" w:cs="Arial"/>
          <w:i/>
          <w:szCs w:val="24"/>
          <w:lang w:eastAsia="en-US"/>
        </w:rPr>
        <w:t> </w:t>
      </w:r>
      <w:r w:rsidR="006544E0" w:rsidRPr="00383E9C">
        <w:rPr>
          <w:rFonts w:ascii="Arial" w:eastAsia="Calibri" w:hAnsi="Arial" w:cs="Arial"/>
          <w:i/>
          <w:szCs w:val="24"/>
          <w:lang w:eastAsia="en-US"/>
        </w:rPr>
        <w:t xml:space="preserve">Commonwealth of Australia VID 1367 of 2013. </w:t>
      </w:r>
    </w:p>
    <w:p w:rsidR="006544E0" w:rsidRPr="00383E9C" w:rsidRDefault="006544E0" w:rsidP="006C0CFA">
      <w:pPr>
        <w:spacing w:before="0"/>
        <w:jc w:val="both"/>
        <w:rPr>
          <w:rFonts w:ascii="Arial" w:eastAsia="Calibri" w:hAnsi="Arial" w:cs="Arial"/>
          <w:szCs w:val="24"/>
          <w:lang w:eastAsia="en-US"/>
        </w:rPr>
      </w:pPr>
    </w:p>
    <w:p w:rsidR="006C0CFA" w:rsidRPr="00383E9C" w:rsidRDefault="006544E0" w:rsidP="006C0CFA">
      <w:pPr>
        <w:spacing w:before="0"/>
        <w:jc w:val="both"/>
        <w:rPr>
          <w:rFonts w:ascii="Arial" w:eastAsia="Calibri" w:hAnsi="Arial" w:cs="Arial"/>
          <w:szCs w:val="24"/>
          <w:lang w:eastAsia="en-US"/>
        </w:rPr>
      </w:pPr>
      <w:r w:rsidRPr="00383E9C">
        <w:rPr>
          <w:rFonts w:ascii="Arial" w:eastAsia="Calibri" w:hAnsi="Arial" w:cs="Arial"/>
          <w:szCs w:val="24"/>
          <w:lang w:eastAsia="en-US"/>
        </w:rPr>
        <w:t xml:space="preserve">The Rules </w:t>
      </w:r>
      <w:r w:rsidR="006C0CFA" w:rsidRPr="00383E9C">
        <w:rPr>
          <w:rFonts w:ascii="Arial" w:eastAsia="Calibri" w:hAnsi="Arial" w:cs="Arial"/>
          <w:szCs w:val="24"/>
          <w:lang w:eastAsia="en-US"/>
        </w:rPr>
        <w:t xml:space="preserve">provide </w:t>
      </w:r>
      <w:r w:rsidRPr="00383E9C">
        <w:rPr>
          <w:rFonts w:ascii="Arial" w:eastAsia="Calibri" w:hAnsi="Arial" w:cs="Arial"/>
          <w:szCs w:val="24"/>
          <w:lang w:eastAsia="en-US"/>
        </w:rPr>
        <w:t>a</w:t>
      </w:r>
      <w:r w:rsidR="006C0CFA" w:rsidRPr="00383E9C">
        <w:rPr>
          <w:rFonts w:ascii="Arial" w:eastAsia="Calibri" w:hAnsi="Arial" w:cs="Arial"/>
          <w:szCs w:val="24"/>
          <w:lang w:eastAsia="en-US"/>
        </w:rPr>
        <w:t xml:space="preserve"> framework for the operation of the </w:t>
      </w:r>
      <w:r w:rsidR="00BB777F" w:rsidRPr="00383E9C">
        <w:rPr>
          <w:rFonts w:ascii="Arial" w:eastAsia="Calibri" w:hAnsi="Arial" w:cs="Arial"/>
          <w:szCs w:val="24"/>
          <w:lang w:eastAsia="en-US"/>
        </w:rPr>
        <w:t>Business Services Assessment Tool (BSWAT) P</w:t>
      </w:r>
      <w:r w:rsidR="006C0CFA" w:rsidRPr="00383E9C">
        <w:rPr>
          <w:rFonts w:ascii="Arial" w:eastAsia="Calibri" w:hAnsi="Arial" w:cs="Arial"/>
          <w:szCs w:val="24"/>
          <w:lang w:eastAsia="en-US"/>
        </w:rPr>
        <w:t xml:space="preserve">ayment </w:t>
      </w:r>
      <w:r w:rsidR="00BB777F" w:rsidRPr="00383E9C">
        <w:rPr>
          <w:rFonts w:ascii="Arial" w:eastAsia="Calibri" w:hAnsi="Arial" w:cs="Arial"/>
          <w:szCs w:val="24"/>
          <w:lang w:eastAsia="en-US"/>
        </w:rPr>
        <w:t>S</w:t>
      </w:r>
      <w:r w:rsidR="006C0CFA" w:rsidRPr="00383E9C">
        <w:rPr>
          <w:rFonts w:ascii="Arial" w:eastAsia="Calibri" w:hAnsi="Arial" w:cs="Arial"/>
          <w:szCs w:val="24"/>
          <w:lang w:eastAsia="en-US"/>
        </w:rPr>
        <w:t>cheme. The Rules address in more detail matters such as eligibility; calculating the payment amount; acceptances; internal and external reviews; nominees; disclosure of information; and legal advice and financial counselling services.</w:t>
      </w:r>
    </w:p>
    <w:p w:rsidR="006544E0" w:rsidRPr="00383E9C" w:rsidRDefault="006544E0" w:rsidP="006C0CFA">
      <w:pPr>
        <w:spacing w:before="0"/>
        <w:jc w:val="both"/>
        <w:rPr>
          <w:rFonts w:ascii="Arial" w:eastAsia="Calibri" w:hAnsi="Arial" w:cs="Arial"/>
          <w:szCs w:val="24"/>
          <w:lang w:eastAsia="en-US"/>
        </w:rPr>
      </w:pPr>
    </w:p>
    <w:p w:rsidR="006544E0" w:rsidRPr="00383E9C" w:rsidRDefault="00E478D5" w:rsidP="006C0CFA">
      <w:pPr>
        <w:spacing w:before="0"/>
        <w:jc w:val="both"/>
        <w:rPr>
          <w:rFonts w:ascii="Arial" w:eastAsia="Calibri" w:hAnsi="Arial" w:cs="Arial"/>
          <w:szCs w:val="24"/>
          <w:lang w:eastAsia="en-US"/>
        </w:rPr>
      </w:pPr>
      <w:r w:rsidRPr="00383E9C">
        <w:rPr>
          <w:rFonts w:ascii="Arial" w:eastAsia="Calibri" w:hAnsi="Arial" w:cs="Arial"/>
          <w:szCs w:val="24"/>
          <w:lang w:eastAsia="en-US"/>
        </w:rPr>
        <w:t xml:space="preserve">On 19 November 2015, the parties to </w:t>
      </w:r>
      <w:r w:rsidRPr="00383E9C">
        <w:rPr>
          <w:rFonts w:ascii="Arial" w:eastAsia="Calibri" w:hAnsi="Arial" w:cs="Arial"/>
          <w:i/>
          <w:szCs w:val="24"/>
          <w:lang w:eastAsia="en-US"/>
        </w:rPr>
        <w:t xml:space="preserve">Duval-Comrie v Commonwealth </w:t>
      </w:r>
      <w:r w:rsidRPr="00383E9C">
        <w:rPr>
          <w:rFonts w:ascii="Arial" w:eastAsia="Calibri" w:hAnsi="Arial" w:cs="Arial"/>
          <w:szCs w:val="24"/>
          <w:lang w:eastAsia="en-US"/>
        </w:rPr>
        <w:t xml:space="preserve">agreed to settle the </w:t>
      </w:r>
      <w:r w:rsidR="00FF0546" w:rsidRPr="00383E9C">
        <w:rPr>
          <w:rFonts w:ascii="Arial" w:eastAsia="Calibri" w:hAnsi="Arial" w:cs="Arial"/>
          <w:szCs w:val="24"/>
          <w:lang w:eastAsia="en-US"/>
        </w:rPr>
        <w:t>representative proceedings</w:t>
      </w:r>
      <w:r w:rsidRPr="00383E9C">
        <w:rPr>
          <w:rFonts w:ascii="Arial" w:eastAsia="Calibri" w:hAnsi="Arial" w:cs="Arial"/>
          <w:szCs w:val="24"/>
          <w:lang w:eastAsia="en-US"/>
        </w:rPr>
        <w:t xml:space="preserve"> on the basis the Commonwealth take all necessary legal and legislative measures to amend the Act to:</w:t>
      </w:r>
    </w:p>
    <w:p w:rsidR="00E478D5" w:rsidRPr="00383E9C" w:rsidRDefault="00E478D5" w:rsidP="006C0CFA">
      <w:pPr>
        <w:spacing w:before="0"/>
        <w:jc w:val="both"/>
        <w:rPr>
          <w:rFonts w:ascii="Arial" w:eastAsia="Calibri" w:hAnsi="Arial" w:cs="Arial"/>
          <w:szCs w:val="24"/>
          <w:lang w:eastAsia="en-US"/>
        </w:rPr>
      </w:pPr>
    </w:p>
    <w:p w:rsidR="00484492" w:rsidRPr="00383E9C" w:rsidRDefault="00484492" w:rsidP="00484492">
      <w:pPr>
        <w:pStyle w:val="ListParagraph"/>
        <w:numPr>
          <w:ilvl w:val="0"/>
          <w:numId w:val="21"/>
        </w:numPr>
        <w:spacing w:before="0"/>
        <w:jc w:val="both"/>
        <w:rPr>
          <w:rFonts w:ascii="Arial" w:eastAsia="Calibri" w:hAnsi="Arial" w:cs="Arial"/>
          <w:szCs w:val="24"/>
          <w:lang w:eastAsia="en-US"/>
        </w:rPr>
      </w:pPr>
      <w:r w:rsidRPr="00383E9C">
        <w:rPr>
          <w:rFonts w:ascii="Arial" w:eastAsia="Calibri" w:hAnsi="Arial" w:cs="Arial"/>
          <w:szCs w:val="24"/>
          <w:lang w:eastAsia="en-US"/>
        </w:rPr>
        <w:t>increase payments under the Act to 70 per cent;</w:t>
      </w:r>
    </w:p>
    <w:p w:rsidR="00484492" w:rsidRPr="00383E9C" w:rsidRDefault="00484492" w:rsidP="00484492">
      <w:pPr>
        <w:pStyle w:val="ListParagraph"/>
        <w:numPr>
          <w:ilvl w:val="0"/>
          <w:numId w:val="21"/>
        </w:numPr>
        <w:spacing w:before="0"/>
        <w:jc w:val="both"/>
        <w:rPr>
          <w:rFonts w:ascii="Arial" w:eastAsia="Calibri" w:hAnsi="Arial" w:cs="Arial"/>
          <w:szCs w:val="24"/>
          <w:lang w:eastAsia="en-US"/>
        </w:rPr>
      </w:pPr>
      <w:r w:rsidRPr="00383E9C">
        <w:rPr>
          <w:rFonts w:ascii="Arial" w:eastAsia="Calibri" w:hAnsi="Arial" w:cs="Arial"/>
          <w:szCs w:val="24"/>
          <w:lang w:eastAsia="en-US"/>
        </w:rPr>
        <w:t>extend</w:t>
      </w:r>
      <w:r w:rsidR="00E62C37" w:rsidRPr="00383E9C">
        <w:rPr>
          <w:rFonts w:ascii="Arial" w:eastAsia="Calibri" w:hAnsi="Arial" w:cs="Arial"/>
          <w:szCs w:val="24"/>
          <w:lang w:eastAsia="en-US"/>
        </w:rPr>
        <w:t xml:space="preserve"> the Payment Scheme dates by 12 months;</w:t>
      </w:r>
    </w:p>
    <w:p w:rsidR="00E62C37" w:rsidRPr="00383E9C" w:rsidRDefault="00E62C37" w:rsidP="00484492">
      <w:pPr>
        <w:pStyle w:val="ListParagraph"/>
        <w:numPr>
          <w:ilvl w:val="0"/>
          <w:numId w:val="21"/>
        </w:numPr>
        <w:spacing w:before="0"/>
        <w:jc w:val="both"/>
        <w:rPr>
          <w:rFonts w:ascii="Arial" w:eastAsia="Calibri" w:hAnsi="Arial" w:cs="Arial"/>
          <w:szCs w:val="24"/>
          <w:lang w:eastAsia="en-US"/>
        </w:rPr>
      </w:pPr>
      <w:r w:rsidRPr="00383E9C">
        <w:rPr>
          <w:rFonts w:ascii="Arial" w:eastAsia="Calibri" w:hAnsi="Arial" w:cs="Arial"/>
          <w:szCs w:val="24"/>
          <w:lang w:eastAsia="en-US"/>
        </w:rPr>
        <w:t>provide a top-up payment for individuals who have received a 50 per cent payment prior to amendments; and</w:t>
      </w:r>
    </w:p>
    <w:p w:rsidR="00E62C37" w:rsidRPr="00383E9C" w:rsidRDefault="00E62C37" w:rsidP="00484492">
      <w:pPr>
        <w:pStyle w:val="ListParagraph"/>
        <w:numPr>
          <w:ilvl w:val="0"/>
          <w:numId w:val="21"/>
        </w:numPr>
        <w:spacing w:before="0"/>
        <w:jc w:val="both"/>
        <w:rPr>
          <w:rFonts w:ascii="Arial" w:eastAsia="Calibri" w:hAnsi="Arial" w:cs="Arial"/>
          <w:szCs w:val="24"/>
          <w:lang w:eastAsia="en-US"/>
        </w:rPr>
      </w:pPr>
      <w:r w:rsidRPr="00383E9C">
        <w:rPr>
          <w:rFonts w:ascii="Arial" w:eastAsia="Calibri" w:hAnsi="Arial" w:cs="Arial"/>
          <w:szCs w:val="24"/>
          <w:lang w:eastAsia="en-US"/>
        </w:rPr>
        <w:t xml:space="preserve">any minor associated amendments that may be necessary or desirable to assist the Commonwealth to administer the </w:t>
      </w:r>
      <w:r w:rsidR="00BB777F" w:rsidRPr="00383E9C">
        <w:rPr>
          <w:rFonts w:ascii="Arial" w:eastAsia="Calibri" w:hAnsi="Arial" w:cs="Arial"/>
          <w:szCs w:val="24"/>
          <w:lang w:eastAsia="en-US"/>
        </w:rPr>
        <w:t>BSWAT</w:t>
      </w:r>
      <w:r w:rsidRPr="00383E9C">
        <w:rPr>
          <w:rFonts w:ascii="Arial" w:eastAsia="Calibri" w:hAnsi="Arial" w:cs="Arial"/>
          <w:szCs w:val="24"/>
          <w:lang w:eastAsia="en-US"/>
        </w:rPr>
        <w:t xml:space="preserve"> Payment Scheme.</w:t>
      </w:r>
    </w:p>
    <w:p w:rsidR="00E62C37" w:rsidRPr="00383E9C" w:rsidRDefault="00E62C37" w:rsidP="00E62C37">
      <w:pPr>
        <w:spacing w:before="0"/>
        <w:jc w:val="both"/>
        <w:rPr>
          <w:rFonts w:ascii="Arial" w:eastAsia="Calibri" w:hAnsi="Arial" w:cs="Arial"/>
          <w:b/>
          <w:szCs w:val="24"/>
          <w:lang w:eastAsia="en-US"/>
        </w:rPr>
      </w:pPr>
    </w:p>
    <w:p w:rsidR="00E62C37" w:rsidRPr="00383E9C" w:rsidRDefault="00E62C37" w:rsidP="00E62C37">
      <w:pPr>
        <w:spacing w:before="0"/>
        <w:jc w:val="both"/>
        <w:rPr>
          <w:rFonts w:ascii="Arial" w:eastAsia="Calibri" w:hAnsi="Arial" w:cs="Arial"/>
          <w:b/>
          <w:szCs w:val="24"/>
          <w:lang w:eastAsia="en-US"/>
        </w:rPr>
      </w:pPr>
      <w:r w:rsidRPr="00383E9C">
        <w:rPr>
          <w:rFonts w:ascii="Arial" w:eastAsia="Calibri" w:hAnsi="Arial" w:cs="Arial"/>
          <w:b/>
          <w:szCs w:val="24"/>
          <w:lang w:eastAsia="en-US"/>
        </w:rPr>
        <w:t>Amendment to BSWAT Rules</w:t>
      </w:r>
    </w:p>
    <w:p w:rsidR="00E62C37" w:rsidRPr="00383E9C" w:rsidRDefault="00E62C37" w:rsidP="00E62C37">
      <w:pPr>
        <w:spacing w:before="0"/>
        <w:jc w:val="both"/>
        <w:rPr>
          <w:rFonts w:ascii="Arial" w:eastAsia="Calibri" w:hAnsi="Arial" w:cs="Arial"/>
          <w:b/>
          <w:szCs w:val="24"/>
          <w:lang w:eastAsia="en-US"/>
        </w:rPr>
      </w:pPr>
    </w:p>
    <w:p w:rsidR="00FB2C5B" w:rsidRPr="00383E9C" w:rsidRDefault="00672BC7" w:rsidP="006C0CFA">
      <w:pPr>
        <w:spacing w:before="0"/>
        <w:jc w:val="both"/>
        <w:rPr>
          <w:rFonts w:ascii="Arial" w:eastAsia="Calibri" w:hAnsi="Arial" w:cs="Arial"/>
          <w:szCs w:val="24"/>
          <w:lang w:eastAsia="en-US"/>
        </w:rPr>
      </w:pPr>
      <w:r w:rsidRPr="00383E9C">
        <w:rPr>
          <w:rFonts w:ascii="Arial" w:eastAsia="Calibri" w:hAnsi="Arial" w:cs="Arial"/>
          <w:szCs w:val="24"/>
          <w:lang w:eastAsia="en-US"/>
        </w:rPr>
        <w:t xml:space="preserve">The </w:t>
      </w:r>
      <w:r w:rsidR="00F61567" w:rsidRPr="00383E9C">
        <w:rPr>
          <w:rFonts w:ascii="Arial" w:eastAsia="Calibri" w:hAnsi="Arial" w:cs="Arial"/>
          <w:szCs w:val="24"/>
          <w:lang w:eastAsia="en-US"/>
        </w:rPr>
        <w:t xml:space="preserve">Amendment </w:t>
      </w:r>
      <w:r w:rsidRPr="00383E9C">
        <w:rPr>
          <w:rFonts w:ascii="Arial" w:eastAsia="Calibri" w:hAnsi="Arial" w:cs="Arial"/>
          <w:szCs w:val="24"/>
          <w:lang w:eastAsia="en-US"/>
        </w:rPr>
        <w:t xml:space="preserve">Rules will amend the </w:t>
      </w:r>
      <w:r w:rsidRPr="00383E9C">
        <w:rPr>
          <w:rFonts w:ascii="Arial" w:eastAsia="Calibri" w:hAnsi="Arial" w:cs="Arial"/>
          <w:i/>
          <w:szCs w:val="24"/>
          <w:lang w:eastAsia="en-US"/>
        </w:rPr>
        <w:t>Business Services Wage Assessment Tool Payment Scheme Rules 2015</w:t>
      </w:r>
      <w:r w:rsidR="00F61567" w:rsidRPr="00383E9C">
        <w:rPr>
          <w:rFonts w:ascii="Arial" w:eastAsia="Calibri" w:hAnsi="Arial" w:cs="Arial"/>
          <w:i/>
          <w:szCs w:val="24"/>
          <w:lang w:eastAsia="en-US"/>
        </w:rPr>
        <w:t xml:space="preserve"> </w:t>
      </w:r>
      <w:r w:rsidR="00F61567" w:rsidRPr="00383E9C">
        <w:rPr>
          <w:rFonts w:ascii="Arial" w:eastAsia="Calibri" w:hAnsi="Arial" w:cs="Arial"/>
          <w:szCs w:val="24"/>
          <w:lang w:eastAsia="en-US"/>
        </w:rPr>
        <w:t>(Rules)</w:t>
      </w:r>
      <w:r w:rsidRPr="00383E9C">
        <w:rPr>
          <w:rFonts w:ascii="Arial" w:eastAsia="Calibri" w:hAnsi="Arial" w:cs="Arial"/>
          <w:i/>
          <w:szCs w:val="24"/>
          <w:lang w:eastAsia="en-US"/>
        </w:rPr>
        <w:t xml:space="preserve">, </w:t>
      </w:r>
      <w:r w:rsidRPr="00383E9C">
        <w:rPr>
          <w:rFonts w:ascii="Arial" w:eastAsia="Calibri" w:hAnsi="Arial" w:cs="Arial"/>
          <w:szCs w:val="24"/>
          <w:lang w:eastAsia="en-US"/>
        </w:rPr>
        <w:t xml:space="preserve">to </w:t>
      </w:r>
      <w:r w:rsidR="008806BF" w:rsidRPr="00383E9C">
        <w:rPr>
          <w:rFonts w:ascii="Arial" w:eastAsia="Calibri" w:hAnsi="Arial" w:cs="Arial"/>
          <w:szCs w:val="24"/>
          <w:lang w:eastAsia="en-US"/>
        </w:rPr>
        <w:t>adjust</w:t>
      </w:r>
      <w:r w:rsidRPr="00383E9C">
        <w:rPr>
          <w:rFonts w:ascii="Arial" w:eastAsia="Calibri" w:hAnsi="Arial" w:cs="Arial"/>
          <w:szCs w:val="24"/>
          <w:lang w:eastAsia="en-US"/>
        </w:rPr>
        <w:t xml:space="preserve"> the </w:t>
      </w:r>
      <w:r w:rsidR="006234D8" w:rsidRPr="00383E9C">
        <w:rPr>
          <w:rFonts w:ascii="Arial" w:eastAsia="Calibri" w:hAnsi="Arial" w:cs="Arial"/>
          <w:szCs w:val="24"/>
          <w:lang w:eastAsia="en-US"/>
        </w:rPr>
        <w:t>calculation of</w:t>
      </w:r>
      <w:r w:rsidRPr="00383E9C">
        <w:rPr>
          <w:rFonts w:ascii="Arial" w:eastAsia="Calibri" w:hAnsi="Arial" w:cs="Arial"/>
          <w:szCs w:val="24"/>
          <w:lang w:eastAsia="en-US"/>
        </w:rPr>
        <w:t xml:space="preserve"> </w:t>
      </w:r>
      <w:r w:rsidR="00FF0546" w:rsidRPr="00383E9C">
        <w:rPr>
          <w:rFonts w:ascii="Arial" w:eastAsia="Calibri" w:hAnsi="Arial" w:cs="Arial"/>
          <w:szCs w:val="24"/>
          <w:lang w:eastAsia="en-US"/>
        </w:rPr>
        <w:t xml:space="preserve">the </w:t>
      </w:r>
      <w:r w:rsidRPr="00383E9C">
        <w:rPr>
          <w:rFonts w:ascii="Arial" w:eastAsia="Calibri" w:hAnsi="Arial" w:cs="Arial"/>
          <w:szCs w:val="24"/>
          <w:lang w:eastAsia="en-US"/>
        </w:rPr>
        <w:t>payment amount</w:t>
      </w:r>
      <w:r w:rsidR="006234D8" w:rsidRPr="00383E9C">
        <w:rPr>
          <w:rFonts w:ascii="Arial" w:eastAsia="Calibri" w:hAnsi="Arial" w:cs="Arial"/>
          <w:szCs w:val="24"/>
          <w:lang w:eastAsia="en-US"/>
        </w:rPr>
        <w:t xml:space="preserve"> to 70 per cent of </w:t>
      </w:r>
      <w:r w:rsidR="00FF0546" w:rsidRPr="00383E9C">
        <w:rPr>
          <w:rFonts w:ascii="Arial" w:eastAsia="Calibri" w:hAnsi="Arial" w:cs="Arial"/>
          <w:szCs w:val="24"/>
          <w:lang w:eastAsia="en-US"/>
        </w:rPr>
        <w:t xml:space="preserve">the difference between the amount the person actually received </w:t>
      </w:r>
      <w:proofErr w:type="gramStart"/>
      <w:r w:rsidR="00FF0546" w:rsidRPr="00383E9C">
        <w:rPr>
          <w:rFonts w:ascii="Arial" w:eastAsia="Calibri" w:hAnsi="Arial" w:cs="Arial"/>
          <w:szCs w:val="24"/>
          <w:lang w:eastAsia="en-US"/>
        </w:rPr>
        <w:t xml:space="preserve">and </w:t>
      </w:r>
      <w:r w:rsidR="006234D8" w:rsidRPr="00383E9C">
        <w:rPr>
          <w:rFonts w:ascii="Arial" w:eastAsia="Calibri" w:hAnsi="Arial" w:cs="Arial"/>
          <w:szCs w:val="24"/>
          <w:lang w:eastAsia="en-US"/>
        </w:rPr>
        <w:t xml:space="preserve"> </w:t>
      </w:r>
      <w:r w:rsidR="00FF0546" w:rsidRPr="00383E9C">
        <w:rPr>
          <w:rFonts w:ascii="Arial" w:eastAsia="Calibri" w:hAnsi="Arial" w:cs="Arial"/>
          <w:szCs w:val="24"/>
          <w:lang w:eastAsia="en-US"/>
        </w:rPr>
        <w:t>the</w:t>
      </w:r>
      <w:proofErr w:type="gramEnd"/>
      <w:r w:rsidR="00FF0546" w:rsidRPr="00383E9C">
        <w:rPr>
          <w:rFonts w:ascii="Arial" w:eastAsia="Calibri" w:hAnsi="Arial" w:cs="Arial"/>
          <w:szCs w:val="24"/>
          <w:lang w:eastAsia="en-US"/>
        </w:rPr>
        <w:t xml:space="preserve"> amount the </w:t>
      </w:r>
      <w:r w:rsidR="006234D8" w:rsidRPr="00383E9C">
        <w:rPr>
          <w:rFonts w:ascii="Arial" w:eastAsia="Calibri" w:hAnsi="Arial" w:cs="Arial"/>
          <w:szCs w:val="24"/>
          <w:lang w:eastAsia="en-US"/>
        </w:rPr>
        <w:t>person would have been paid had the wage been calculated using only the productivity scored component of the BSWAT</w:t>
      </w:r>
      <w:r w:rsidR="009B17E6" w:rsidRPr="00383E9C">
        <w:rPr>
          <w:rFonts w:ascii="Arial" w:eastAsia="Calibri" w:hAnsi="Arial" w:cs="Arial"/>
          <w:szCs w:val="24"/>
          <w:lang w:eastAsia="en-US"/>
        </w:rPr>
        <w:t>. This will</w:t>
      </w:r>
      <w:r w:rsidRPr="00383E9C">
        <w:rPr>
          <w:rFonts w:ascii="Arial" w:eastAsia="Calibri" w:hAnsi="Arial" w:cs="Arial"/>
          <w:szCs w:val="24"/>
          <w:lang w:eastAsia="en-US"/>
        </w:rPr>
        <w:t xml:space="preserve"> reflect the recent</w:t>
      </w:r>
      <w:r w:rsidR="00C4770A" w:rsidRPr="00383E9C">
        <w:rPr>
          <w:rFonts w:ascii="Arial" w:eastAsia="Calibri" w:hAnsi="Arial" w:cs="Arial"/>
          <w:szCs w:val="24"/>
          <w:lang w:eastAsia="en-US"/>
        </w:rPr>
        <w:t>ly</w:t>
      </w:r>
      <w:r w:rsidRPr="00383E9C">
        <w:rPr>
          <w:rFonts w:ascii="Arial" w:eastAsia="Calibri" w:hAnsi="Arial" w:cs="Arial"/>
          <w:szCs w:val="24"/>
          <w:lang w:eastAsia="en-US"/>
        </w:rPr>
        <w:t xml:space="preserve"> agreed settlement terms of </w:t>
      </w:r>
      <w:r w:rsidRPr="00383E9C">
        <w:rPr>
          <w:rFonts w:ascii="Arial" w:eastAsia="Calibri" w:hAnsi="Arial" w:cs="Arial"/>
          <w:i/>
          <w:szCs w:val="24"/>
          <w:lang w:eastAsia="en-US"/>
        </w:rPr>
        <w:t>Duval-Comrie v Commonwealth</w:t>
      </w:r>
      <w:r w:rsidR="00C44B0E" w:rsidRPr="00383E9C">
        <w:rPr>
          <w:rFonts w:ascii="Arial" w:eastAsia="Calibri" w:hAnsi="Arial" w:cs="Arial"/>
          <w:i/>
          <w:szCs w:val="24"/>
          <w:lang w:eastAsia="en-US"/>
        </w:rPr>
        <w:t xml:space="preserve"> </w:t>
      </w:r>
      <w:r w:rsidR="00FF0546" w:rsidRPr="00383E9C">
        <w:rPr>
          <w:rFonts w:ascii="Arial" w:eastAsia="Calibri" w:hAnsi="Arial" w:cs="Arial"/>
          <w:szCs w:val="24"/>
          <w:lang w:eastAsia="en-US"/>
        </w:rPr>
        <w:t>representative proceeding</w:t>
      </w:r>
      <w:r w:rsidR="00FB2C5B" w:rsidRPr="00383E9C">
        <w:rPr>
          <w:rFonts w:ascii="Arial" w:eastAsia="Calibri" w:hAnsi="Arial" w:cs="Arial"/>
          <w:i/>
          <w:szCs w:val="24"/>
          <w:lang w:eastAsia="en-US"/>
        </w:rPr>
        <w:t>.</w:t>
      </w:r>
    </w:p>
    <w:p w:rsidR="00FB2C5B" w:rsidRPr="00383E9C" w:rsidRDefault="00FB2C5B">
      <w:pPr>
        <w:spacing w:before="0" w:after="200" w:line="276" w:lineRule="auto"/>
        <w:rPr>
          <w:rFonts w:ascii="Arial" w:eastAsia="Calibri" w:hAnsi="Arial" w:cs="Arial"/>
          <w:szCs w:val="24"/>
          <w:lang w:eastAsia="en-US"/>
        </w:rPr>
      </w:pPr>
    </w:p>
    <w:p w:rsidR="00C44B0E" w:rsidRPr="00383E9C" w:rsidRDefault="00FB2C5B" w:rsidP="00FB2C5B">
      <w:pPr>
        <w:spacing w:before="0"/>
        <w:jc w:val="both"/>
        <w:rPr>
          <w:rFonts w:ascii="Arial" w:hAnsi="Arial" w:cs="Arial"/>
        </w:rPr>
      </w:pPr>
      <w:r w:rsidRPr="00383E9C">
        <w:rPr>
          <w:rFonts w:ascii="Arial" w:hAnsi="Arial" w:cs="Arial"/>
        </w:rPr>
        <w:lastRenderedPageBreak/>
        <w:t xml:space="preserve">The Rules allow a deceased person’s legal personal representative, to engage with the </w:t>
      </w:r>
      <w:r w:rsidR="00FF0546" w:rsidRPr="00383E9C">
        <w:rPr>
          <w:rFonts w:ascii="Arial" w:hAnsi="Arial" w:cs="Arial"/>
        </w:rPr>
        <w:t>P</w:t>
      </w:r>
      <w:r w:rsidRPr="00383E9C">
        <w:rPr>
          <w:rFonts w:ascii="Arial" w:hAnsi="Arial" w:cs="Arial"/>
        </w:rPr>
        <w:t xml:space="preserve">ayment </w:t>
      </w:r>
      <w:r w:rsidR="00FF0546" w:rsidRPr="00383E9C">
        <w:rPr>
          <w:rFonts w:ascii="Arial" w:hAnsi="Arial" w:cs="Arial"/>
        </w:rPr>
        <w:t>S</w:t>
      </w:r>
      <w:r w:rsidRPr="00383E9C">
        <w:rPr>
          <w:rFonts w:ascii="Arial" w:hAnsi="Arial" w:cs="Arial"/>
        </w:rPr>
        <w:t xml:space="preserve">cheme on their behalf. </w:t>
      </w:r>
      <w:proofErr w:type="gramStart"/>
      <w:r w:rsidRPr="00383E9C">
        <w:rPr>
          <w:rFonts w:ascii="Arial" w:hAnsi="Arial" w:cs="Arial"/>
        </w:rPr>
        <w:t>The money that would have been paid to the person (if any), if the person was eligible and the offer accepted, will be paid to the person’s estate.</w:t>
      </w:r>
      <w:proofErr w:type="gramEnd"/>
    </w:p>
    <w:p w:rsidR="00FB2C5B" w:rsidRPr="00383E9C" w:rsidRDefault="00FB2C5B" w:rsidP="00FB2C5B">
      <w:pPr>
        <w:spacing w:before="0"/>
        <w:jc w:val="both"/>
        <w:rPr>
          <w:rFonts w:ascii="Arial" w:eastAsia="Calibri" w:hAnsi="Arial" w:cs="Arial"/>
          <w:szCs w:val="24"/>
          <w:lang w:eastAsia="en-US"/>
        </w:rPr>
      </w:pPr>
    </w:p>
    <w:p w:rsidR="006C0CFA" w:rsidRPr="00383E9C" w:rsidRDefault="006C0CFA" w:rsidP="006C0CFA">
      <w:pPr>
        <w:spacing w:before="0"/>
        <w:jc w:val="both"/>
        <w:rPr>
          <w:rFonts w:ascii="Arial" w:eastAsia="Calibri" w:hAnsi="Arial" w:cs="Arial"/>
          <w:szCs w:val="24"/>
          <w:lang w:eastAsia="en-US"/>
        </w:rPr>
      </w:pPr>
      <w:r w:rsidRPr="00383E9C">
        <w:rPr>
          <w:rFonts w:ascii="Arial" w:eastAsia="Calibri" w:hAnsi="Arial" w:cs="Arial"/>
          <w:szCs w:val="24"/>
          <w:lang w:eastAsia="en-US"/>
        </w:rPr>
        <w:t>The Rules promote the following human rights:</w:t>
      </w:r>
    </w:p>
    <w:p w:rsidR="006C0CFA" w:rsidRPr="00383E9C" w:rsidRDefault="00EF4750" w:rsidP="00383E9C">
      <w:pPr>
        <w:pStyle w:val="ListParagraph"/>
        <w:numPr>
          <w:ilvl w:val="0"/>
          <w:numId w:val="24"/>
        </w:numPr>
        <w:spacing w:after="120"/>
        <w:rPr>
          <w:rFonts w:ascii="Arial" w:eastAsiaTheme="minorHAnsi" w:hAnsi="Arial" w:cs="Arial"/>
          <w:szCs w:val="24"/>
          <w:lang w:eastAsia="en-US"/>
        </w:rPr>
      </w:pPr>
      <w:r w:rsidRPr="00383E9C">
        <w:rPr>
          <w:rFonts w:ascii="Arial" w:eastAsiaTheme="minorHAnsi" w:hAnsi="Arial" w:cs="Arial"/>
          <w:szCs w:val="24"/>
          <w:lang w:eastAsia="en-US"/>
        </w:rPr>
        <w:t>Rights to a fair hearing</w:t>
      </w:r>
    </w:p>
    <w:p w:rsidR="001D0DCF" w:rsidRPr="00383E9C" w:rsidRDefault="001D0DCF" w:rsidP="00383E9C">
      <w:pPr>
        <w:pStyle w:val="ListParagraph"/>
        <w:numPr>
          <w:ilvl w:val="0"/>
          <w:numId w:val="24"/>
        </w:numPr>
        <w:spacing w:after="120"/>
        <w:rPr>
          <w:rFonts w:ascii="Arial" w:eastAsiaTheme="minorHAnsi" w:hAnsi="Arial" w:cs="Arial"/>
          <w:szCs w:val="24"/>
          <w:lang w:eastAsia="en-US"/>
        </w:rPr>
      </w:pPr>
      <w:r w:rsidRPr="00383E9C">
        <w:rPr>
          <w:rFonts w:ascii="Arial" w:eastAsiaTheme="minorHAnsi" w:hAnsi="Arial" w:cs="Arial"/>
          <w:szCs w:val="24"/>
          <w:lang w:eastAsia="en-US"/>
        </w:rPr>
        <w:t>Right to protection against arbitrary and unlawful interference with privacy</w:t>
      </w:r>
    </w:p>
    <w:p w:rsidR="006546B7" w:rsidRPr="00383E9C" w:rsidRDefault="006546B7" w:rsidP="006C0CFA">
      <w:pPr>
        <w:spacing w:after="120"/>
        <w:rPr>
          <w:rFonts w:ascii="Arial" w:hAnsi="Arial" w:cs="Arial"/>
          <w:b/>
          <w:sz w:val="28"/>
          <w:szCs w:val="28"/>
        </w:rPr>
      </w:pPr>
      <w:r w:rsidRPr="00383E9C">
        <w:rPr>
          <w:rFonts w:ascii="Arial" w:hAnsi="Arial" w:cs="Arial"/>
          <w:b/>
          <w:sz w:val="28"/>
          <w:szCs w:val="28"/>
        </w:rPr>
        <w:t>Human rights implications</w:t>
      </w:r>
    </w:p>
    <w:p w:rsidR="00EF4750" w:rsidRPr="00383E9C" w:rsidRDefault="00EF4750" w:rsidP="004B1815">
      <w:pPr>
        <w:spacing w:before="120" w:after="120" w:line="276" w:lineRule="auto"/>
        <w:rPr>
          <w:rFonts w:ascii="Arial" w:eastAsia="Calibri" w:hAnsi="Arial" w:cs="Arial"/>
          <w:b/>
          <w:i/>
          <w:szCs w:val="24"/>
          <w:lang w:eastAsia="en-US"/>
        </w:rPr>
      </w:pPr>
      <w:r w:rsidRPr="00383E9C">
        <w:rPr>
          <w:rFonts w:ascii="Arial" w:eastAsia="Calibri" w:hAnsi="Arial" w:cs="Arial"/>
          <w:b/>
          <w:szCs w:val="24"/>
          <w:lang w:eastAsia="en-US"/>
        </w:rPr>
        <w:t xml:space="preserve">The right to fair hearing: Article 14(1) of the </w:t>
      </w:r>
      <w:r w:rsidRPr="00383E9C">
        <w:rPr>
          <w:rFonts w:ascii="Arial" w:eastAsia="Calibri" w:hAnsi="Arial" w:cs="Arial"/>
          <w:b/>
          <w:i/>
          <w:szCs w:val="24"/>
          <w:lang w:eastAsia="en-US"/>
        </w:rPr>
        <w:t>International Covenant on Civil and Political Rights</w:t>
      </w:r>
      <w:r w:rsidRPr="00383E9C">
        <w:rPr>
          <w:rFonts w:ascii="Arial" w:eastAsia="Calibri" w:hAnsi="Arial" w:cs="Arial"/>
          <w:b/>
          <w:szCs w:val="24"/>
          <w:lang w:eastAsia="en-US"/>
        </w:rPr>
        <w:t xml:space="preserve"> (ICCPR) and Article 13 of the </w:t>
      </w:r>
      <w:r w:rsidRPr="00383E9C">
        <w:rPr>
          <w:rFonts w:ascii="Arial" w:eastAsia="Calibri" w:hAnsi="Arial" w:cs="Arial"/>
          <w:b/>
          <w:i/>
          <w:szCs w:val="24"/>
          <w:lang w:eastAsia="en-US"/>
        </w:rPr>
        <w:t>Convention on the Rights of Persons with Disabilities</w:t>
      </w:r>
      <w:r w:rsidRPr="00383E9C">
        <w:rPr>
          <w:rFonts w:ascii="Arial" w:eastAsia="Calibri" w:hAnsi="Arial" w:cs="Arial"/>
          <w:b/>
          <w:szCs w:val="24"/>
          <w:lang w:eastAsia="en-US"/>
        </w:rPr>
        <w:t xml:space="preserve"> (CRPD).</w:t>
      </w:r>
    </w:p>
    <w:p w:rsidR="009C3C12" w:rsidRPr="00383E9C" w:rsidRDefault="009C3C12" w:rsidP="009C3C12">
      <w:pPr>
        <w:spacing w:before="120" w:after="120"/>
        <w:rPr>
          <w:rFonts w:ascii="Arial" w:hAnsi="Arial" w:cs="Arial"/>
          <w:szCs w:val="24"/>
        </w:rPr>
      </w:pPr>
      <w:r w:rsidRPr="00383E9C">
        <w:rPr>
          <w:rFonts w:ascii="Arial" w:hAnsi="Arial" w:cs="Arial"/>
          <w:szCs w:val="24"/>
        </w:rPr>
        <w:t xml:space="preserve">The right in Article 14 of the ICCPR provides that all persons shall be equal before courts and tribunals and be entitled to a fair and public hearing by a competent, independent and impartial tribunal established by law. Article 13 of the CRPD also requires States to ensure effective access to justice for persons on an equal basis, including through the provision of procedural accommodations.  </w:t>
      </w:r>
    </w:p>
    <w:p w:rsidR="009C3C12" w:rsidRPr="00383E9C" w:rsidRDefault="009C3C12" w:rsidP="009C3C12">
      <w:pPr>
        <w:spacing w:before="120" w:after="120"/>
        <w:rPr>
          <w:rFonts w:ascii="Arial" w:hAnsi="Arial" w:cs="Arial"/>
          <w:szCs w:val="24"/>
        </w:rPr>
      </w:pPr>
      <w:r w:rsidRPr="00383E9C">
        <w:rPr>
          <w:rFonts w:ascii="Arial" w:hAnsi="Arial" w:cs="Arial"/>
          <w:szCs w:val="24"/>
        </w:rPr>
        <w:t xml:space="preserve">The </w:t>
      </w:r>
      <w:r w:rsidR="00C4770A" w:rsidRPr="00383E9C">
        <w:rPr>
          <w:rFonts w:ascii="Arial" w:hAnsi="Arial" w:cs="Arial"/>
          <w:szCs w:val="24"/>
        </w:rPr>
        <w:t xml:space="preserve">Amendment </w:t>
      </w:r>
      <w:r w:rsidR="00E757F3" w:rsidRPr="00383E9C">
        <w:rPr>
          <w:rFonts w:ascii="Arial" w:hAnsi="Arial" w:cs="Arial"/>
          <w:szCs w:val="24"/>
        </w:rPr>
        <w:t xml:space="preserve">Act </w:t>
      </w:r>
      <w:r w:rsidRPr="00383E9C">
        <w:rPr>
          <w:rFonts w:ascii="Arial" w:hAnsi="Arial" w:cs="Arial"/>
          <w:szCs w:val="24"/>
        </w:rPr>
        <w:t xml:space="preserve">engages the right to a fair hearing but does not limit that right by implementing the settlement terms of </w:t>
      </w:r>
      <w:r w:rsidRPr="00383E9C">
        <w:rPr>
          <w:rFonts w:ascii="Arial" w:hAnsi="Arial" w:cs="Arial"/>
          <w:i/>
          <w:szCs w:val="24"/>
        </w:rPr>
        <w:t>Duval-Comrie v Commonwealth</w:t>
      </w:r>
      <w:r w:rsidRPr="00383E9C">
        <w:rPr>
          <w:rFonts w:ascii="Arial" w:hAnsi="Arial" w:cs="Arial"/>
          <w:szCs w:val="24"/>
        </w:rPr>
        <w:t xml:space="preserve"> of 19</w:t>
      </w:r>
      <w:r w:rsidR="007B30D2" w:rsidRPr="00383E9C">
        <w:rPr>
          <w:rFonts w:ascii="Arial" w:hAnsi="Arial" w:cs="Arial"/>
          <w:szCs w:val="24"/>
        </w:rPr>
        <w:t> </w:t>
      </w:r>
      <w:r w:rsidRPr="00383E9C">
        <w:rPr>
          <w:rFonts w:ascii="Arial" w:hAnsi="Arial" w:cs="Arial"/>
          <w:szCs w:val="24"/>
        </w:rPr>
        <w:t xml:space="preserve">November 2015, including through increasing the rate payable under the Payment Scheme to 70 per cent.  The </w:t>
      </w:r>
      <w:r w:rsidR="00C4770A" w:rsidRPr="00383E9C">
        <w:rPr>
          <w:rFonts w:ascii="Arial" w:hAnsi="Arial" w:cs="Arial"/>
          <w:szCs w:val="24"/>
        </w:rPr>
        <w:t xml:space="preserve">Amendment </w:t>
      </w:r>
      <w:r w:rsidR="00E757F3" w:rsidRPr="00383E9C">
        <w:rPr>
          <w:rFonts w:ascii="Arial" w:hAnsi="Arial" w:cs="Arial"/>
          <w:szCs w:val="24"/>
        </w:rPr>
        <w:t xml:space="preserve">Act </w:t>
      </w:r>
      <w:r w:rsidRPr="00383E9C">
        <w:rPr>
          <w:rFonts w:ascii="Arial" w:hAnsi="Arial" w:cs="Arial"/>
          <w:szCs w:val="24"/>
        </w:rPr>
        <w:t xml:space="preserve">does not affect a person’s ability to seek legal recourse separately. </w:t>
      </w:r>
    </w:p>
    <w:p w:rsidR="009C3C12" w:rsidRPr="00383E9C" w:rsidRDefault="009C3C12" w:rsidP="009C3C12">
      <w:pPr>
        <w:spacing w:before="120" w:after="120"/>
        <w:rPr>
          <w:rFonts w:ascii="Arial" w:hAnsi="Arial" w:cs="Arial"/>
          <w:szCs w:val="24"/>
        </w:rPr>
      </w:pPr>
      <w:r w:rsidRPr="00383E9C">
        <w:rPr>
          <w:rFonts w:ascii="Arial" w:hAnsi="Arial" w:cs="Arial"/>
          <w:szCs w:val="24"/>
        </w:rPr>
        <w:t xml:space="preserve">Representative proceedings are governed by the </w:t>
      </w:r>
      <w:r w:rsidRPr="00383E9C">
        <w:rPr>
          <w:rFonts w:ascii="Arial" w:hAnsi="Arial" w:cs="Arial"/>
          <w:i/>
          <w:szCs w:val="24"/>
        </w:rPr>
        <w:t>Federal Court of Australia Act 1976</w:t>
      </w:r>
      <w:r w:rsidRPr="00383E9C">
        <w:rPr>
          <w:rFonts w:ascii="Arial" w:hAnsi="Arial" w:cs="Arial"/>
          <w:szCs w:val="24"/>
        </w:rPr>
        <w:t xml:space="preserve"> and the </w:t>
      </w:r>
      <w:r w:rsidRPr="00383E9C">
        <w:rPr>
          <w:rFonts w:ascii="Arial" w:hAnsi="Arial" w:cs="Arial"/>
          <w:i/>
          <w:szCs w:val="24"/>
        </w:rPr>
        <w:t>Federal Court Rules 2011</w:t>
      </w:r>
      <w:r w:rsidRPr="00383E9C">
        <w:rPr>
          <w:rFonts w:ascii="Arial" w:hAnsi="Arial" w:cs="Arial"/>
          <w:szCs w:val="24"/>
        </w:rPr>
        <w:t xml:space="preserve">. The </w:t>
      </w:r>
      <w:r w:rsidR="00C4770A" w:rsidRPr="00383E9C">
        <w:rPr>
          <w:rFonts w:ascii="Arial" w:hAnsi="Arial" w:cs="Arial"/>
          <w:szCs w:val="24"/>
        </w:rPr>
        <w:t xml:space="preserve">Amendment </w:t>
      </w:r>
      <w:r w:rsidR="00E757F3" w:rsidRPr="00383E9C">
        <w:rPr>
          <w:rFonts w:ascii="Arial" w:hAnsi="Arial" w:cs="Arial"/>
          <w:szCs w:val="24"/>
        </w:rPr>
        <w:t xml:space="preserve">Act </w:t>
      </w:r>
      <w:r w:rsidRPr="00383E9C">
        <w:rPr>
          <w:rFonts w:ascii="Arial" w:hAnsi="Arial" w:cs="Arial"/>
          <w:szCs w:val="24"/>
        </w:rPr>
        <w:t>provides choice to individuals, and is only one option available to people with intellectual disability. Individuals can choose to accept an offer under the Payment Scheme, or commence their own legal proceedings against the Commonwealth if they think they have been unlawfully discriminated against.</w:t>
      </w:r>
    </w:p>
    <w:p w:rsidR="009C3C12" w:rsidRPr="00383E9C" w:rsidRDefault="00FF0546" w:rsidP="009C3C12">
      <w:pPr>
        <w:spacing w:before="120" w:after="120"/>
        <w:rPr>
          <w:rFonts w:ascii="Arial" w:hAnsi="Arial" w:cs="Arial"/>
          <w:szCs w:val="24"/>
        </w:rPr>
      </w:pPr>
      <w:r w:rsidRPr="00383E9C">
        <w:rPr>
          <w:rFonts w:ascii="Arial" w:hAnsi="Arial" w:cs="Arial"/>
          <w:szCs w:val="24"/>
        </w:rPr>
        <w:t xml:space="preserve">Group </w:t>
      </w:r>
      <w:r w:rsidR="009C3C12" w:rsidRPr="00383E9C">
        <w:rPr>
          <w:rFonts w:ascii="Arial" w:hAnsi="Arial" w:cs="Arial"/>
          <w:szCs w:val="24"/>
        </w:rPr>
        <w:t xml:space="preserve">members in </w:t>
      </w:r>
      <w:r w:rsidR="009C3C12" w:rsidRPr="00383E9C">
        <w:rPr>
          <w:rFonts w:ascii="Arial" w:hAnsi="Arial" w:cs="Arial"/>
          <w:i/>
          <w:szCs w:val="24"/>
        </w:rPr>
        <w:t>Duval-Comrie v Commonwealth</w:t>
      </w:r>
      <w:r w:rsidR="009C3C12" w:rsidRPr="00383E9C">
        <w:rPr>
          <w:rFonts w:ascii="Arial" w:hAnsi="Arial" w:cs="Arial"/>
          <w:szCs w:val="24"/>
        </w:rPr>
        <w:t xml:space="preserve"> </w:t>
      </w:r>
      <w:r w:rsidRPr="00383E9C">
        <w:rPr>
          <w:rFonts w:ascii="Arial" w:hAnsi="Arial" w:cs="Arial"/>
          <w:szCs w:val="24"/>
        </w:rPr>
        <w:t>will</w:t>
      </w:r>
      <w:r w:rsidR="009C3C12" w:rsidRPr="00383E9C">
        <w:rPr>
          <w:rFonts w:ascii="Arial" w:hAnsi="Arial" w:cs="Arial"/>
          <w:szCs w:val="24"/>
        </w:rPr>
        <w:t xml:space="preserve"> release the Commonwealth from liability arising from the use of the BSWAT, if the Commonwealth amends the Act </w:t>
      </w:r>
      <w:r w:rsidR="00C4770A" w:rsidRPr="00383E9C">
        <w:rPr>
          <w:rFonts w:ascii="Arial" w:hAnsi="Arial" w:cs="Arial"/>
          <w:szCs w:val="24"/>
        </w:rPr>
        <w:t xml:space="preserve">and the Rules, </w:t>
      </w:r>
      <w:r w:rsidR="009C3C12" w:rsidRPr="00383E9C">
        <w:rPr>
          <w:rFonts w:ascii="Arial" w:hAnsi="Arial" w:cs="Arial"/>
          <w:szCs w:val="24"/>
        </w:rPr>
        <w:t xml:space="preserve">and the settlement is approved by the Federal Court. The parties to the representative proceedings agree that the Payment Scheme is the most appropriate vehicle for compensation. However, </w:t>
      </w:r>
      <w:r w:rsidRPr="00383E9C">
        <w:rPr>
          <w:rFonts w:ascii="Arial" w:hAnsi="Arial" w:cs="Arial"/>
          <w:szCs w:val="24"/>
        </w:rPr>
        <w:t xml:space="preserve">group </w:t>
      </w:r>
      <w:r w:rsidR="009C3C12" w:rsidRPr="00383E9C">
        <w:rPr>
          <w:rFonts w:ascii="Arial" w:hAnsi="Arial" w:cs="Arial"/>
          <w:szCs w:val="24"/>
        </w:rPr>
        <w:t xml:space="preserve">members have been given an opportunity to “opt-out” of the representative proceeding. </w:t>
      </w:r>
    </w:p>
    <w:p w:rsidR="009C3C12" w:rsidRPr="00383E9C" w:rsidRDefault="00FF0546" w:rsidP="009C3C12">
      <w:pPr>
        <w:spacing w:before="120" w:after="120"/>
        <w:rPr>
          <w:rFonts w:ascii="Arial" w:hAnsi="Arial" w:cs="Arial"/>
          <w:szCs w:val="24"/>
        </w:rPr>
      </w:pPr>
      <w:r w:rsidRPr="00383E9C">
        <w:rPr>
          <w:rFonts w:ascii="Arial" w:hAnsi="Arial" w:cs="Arial"/>
          <w:szCs w:val="24"/>
        </w:rPr>
        <w:t>On</w:t>
      </w:r>
      <w:r w:rsidR="009C3C12" w:rsidRPr="00383E9C">
        <w:rPr>
          <w:rFonts w:ascii="Arial" w:hAnsi="Arial" w:cs="Arial"/>
          <w:szCs w:val="24"/>
        </w:rPr>
        <w:t xml:space="preserve"> 21 December 2015</w:t>
      </w:r>
      <w:r w:rsidRPr="00383E9C">
        <w:rPr>
          <w:rFonts w:ascii="Arial" w:hAnsi="Arial" w:cs="Arial"/>
          <w:szCs w:val="24"/>
        </w:rPr>
        <w:t>,</w:t>
      </w:r>
      <w:r w:rsidR="009C3C12" w:rsidRPr="00383E9C">
        <w:rPr>
          <w:rFonts w:ascii="Arial" w:hAnsi="Arial" w:cs="Arial"/>
          <w:szCs w:val="24"/>
        </w:rPr>
        <w:t xml:space="preserve"> </w:t>
      </w:r>
      <w:r w:rsidRPr="00383E9C">
        <w:rPr>
          <w:rFonts w:ascii="Arial" w:hAnsi="Arial" w:cs="Arial"/>
          <w:szCs w:val="24"/>
        </w:rPr>
        <w:t xml:space="preserve">the Federal Court </w:t>
      </w:r>
      <w:r w:rsidR="009C3C12" w:rsidRPr="00383E9C">
        <w:rPr>
          <w:rFonts w:ascii="Arial" w:hAnsi="Arial" w:cs="Arial"/>
          <w:szCs w:val="24"/>
        </w:rPr>
        <w:t>permit</w:t>
      </w:r>
      <w:r w:rsidRPr="00383E9C">
        <w:rPr>
          <w:rFonts w:ascii="Arial" w:hAnsi="Arial" w:cs="Arial"/>
          <w:szCs w:val="24"/>
        </w:rPr>
        <w:t>ted</w:t>
      </w:r>
      <w:r w:rsidR="009C3C12" w:rsidRPr="00383E9C">
        <w:rPr>
          <w:rFonts w:ascii="Arial" w:hAnsi="Arial" w:cs="Arial"/>
          <w:szCs w:val="24"/>
        </w:rPr>
        <w:t xml:space="preserve"> the Applicant to amend the statement of claim to broaden group membership. These new </w:t>
      </w:r>
      <w:r w:rsidRPr="00383E9C">
        <w:rPr>
          <w:rFonts w:ascii="Arial" w:hAnsi="Arial" w:cs="Arial"/>
          <w:szCs w:val="24"/>
        </w:rPr>
        <w:t xml:space="preserve">group </w:t>
      </w:r>
      <w:r w:rsidR="009C3C12" w:rsidRPr="00383E9C">
        <w:rPr>
          <w:rFonts w:ascii="Arial" w:hAnsi="Arial" w:cs="Arial"/>
          <w:szCs w:val="24"/>
        </w:rPr>
        <w:t>members have the additional benefit of knowing the</w:t>
      </w:r>
      <w:r w:rsidRPr="00383E9C">
        <w:rPr>
          <w:rFonts w:ascii="Arial" w:hAnsi="Arial" w:cs="Arial"/>
          <w:szCs w:val="24"/>
        </w:rPr>
        <w:t xml:space="preserve"> proposed</w:t>
      </w:r>
      <w:r w:rsidR="009C3C12" w:rsidRPr="00383E9C">
        <w:rPr>
          <w:rFonts w:ascii="Arial" w:hAnsi="Arial" w:cs="Arial"/>
          <w:szCs w:val="24"/>
        </w:rPr>
        <w:t xml:space="preserve"> settlement </w:t>
      </w:r>
      <w:r w:rsidRPr="00383E9C">
        <w:rPr>
          <w:rFonts w:ascii="Arial" w:hAnsi="Arial" w:cs="Arial"/>
          <w:szCs w:val="24"/>
        </w:rPr>
        <w:t>and</w:t>
      </w:r>
      <w:r w:rsidR="009C3C12" w:rsidRPr="00383E9C">
        <w:rPr>
          <w:rFonts w:ascii="Arial" w:hAnsi="Arial" w:cs="Arial"/>
          <w:szCs w:val="24"/>
        </w:rPr>
        <w:t xml:space="preserve"> have an opportunity to “opt</w:t>
      </w:r>
      <w:r w:rsidR="009C3C12" w:rsidRPr="00383E9C">
        <w:rPr>
          <w:rFonts w:ascii="Arial" w:hAnsi="Arial" w:cs="Arial"/>
          <w:szCs w:val="24"/>
        </w:rPr>
        <w:noBreakHyphen/>
        <w:t>out” before 23 April 2016.</w:t>
      </w:r>
    </w:p>
    <w:p w:rsidR="009C3C12" w:rsidRPr="00383E9C" w:rsidRDefault="009C3C12" w:rsidP="009C3C12">
      <w:pPr>
        <w:spacing w:before="120" w:after="120"/>
        <w:rPr>
          <w:rFonts w:ascii="Arial" w:hAnsi="Arial" w:cs="Arial"/>
          <w:szCs w:val="24"/>
        </w:rPr>
      </w:pPr>
      <w:r w:rsidRPr="00383E9C">
        <w:rPr>
          <w:rFonts w:ascii="Arial" w:hAnsi="Arial" w:cs="Arial"/>
          <w:szCs w:val="24"/>
        </w:rPr>
        <w:t xml:space="preserve">On this basis, the </w:t>
      </w:r>
      <w:r w:rsidR="00E757F3" w:rsidRPr="00383E9C">
        <w:rPr>
          <w:rFonts w:ascii="Arial" w:hAnsi="Arial" w:cs="Arial"/>
          <w:szCs w:val="24"/>
        </w:rPr>
        <w:t xml:space="preserve">Amendment Act </w:t>
      </w:r>
      <w:r w:rsidR="007B30D2" w:rsidRPr="00383E9C">
        <w:rPr>
          <w:rFonts w:ascii="Arial" w:hAnsi="Arial" w:cs="Arial"/>
          <w:szCs w:val="24"/>
        </w:rPr>
        <w:t xml:space="preserve">and the </w:t>
      </w:r>
      <w:r w:rsidR="00E757F3" w:rsidRPr="00383E9C">
        <w:rPr>
          <w:rFonts w:ascii="Arial" w:hAnsi="Arial" w:cs="Arial"/>
          <w:szCs w:val="24"/>
        </w:rPr>
        <w:t xml:space="preserve">Amendment </w:t>
      </w:r>
      <w:r w:rsidR="007B30D2" w:rsidRPr="00383E9C">
        <w:rPr>
          <w:rFonts w:ascii="Arial" w:hAnsi="Arial" w:cs="Arial"/>
          <w:szCs w:val="24"/>
        </w:rPr>
        <w:t>Rules engage and do</w:t>
      </w:r>
      <w:r w:rsidRPr="00383E9C">
        <w:rPr>
          <w:rFonts w:ascii="Arial" w:hAnsi="Arial" w:cs="Arial"/>
          <w:szCs w:val="24"/>
        </w:rPr>
        <w:t xml:space="preserve"> not limit the right to a fair hearing.  </w:t>
      </w:r>
    </w:p>
    <w:p w:rsidR="009C3C12" w:rsidRPr="00383E9C" w:rsidRDefault="009C3C12" w:rsidP="009C3C12">
      <w:pPr>
        <w:spacing w:before="120" w:after="120"/>
        <w:rPr>
          <w:rFonts w:ascii="Arial" w:hAnsi="Arial" w:cs="Arial"/>
          <w:szCs w:val="24"/>
        </w:rPr>
      </w:pPr>
      <w:r w:rsidRPr="00383E9C">
        <w:rPr>
          <w:rFonts w:ascii="Arial" w:hAnsi="Arial" w:cs="Arial"/>
          <w:szCs w:val="24"/>
        </w:rPr>
        <w:t xml:space="preserve">It is the Australian Government’s position that the Payment Scheme is the most favourable outcome for employees, their families and carers and providers by removing any perceived liability on the part of supported employers that have used the BSWAT to assess the wages of their employees. </w:t>
      </w:r>
    </w:p>
    <w:p w:rsidR="00C32ADF" w:rsidRPr="00383E9C" w:rsidRDefault="007B30D2" w:rsidP="00AF47D6">
      <w:pPr>
        <w:spacing w:before="0"/>
        <w:jc w:val="both"/>
        <w:rPr>
          <w:rFonts w:ascii="Arial" w:hAnsi="Arial" w:cs="Arial"/>
        </w:rPr>
      </w:pPr>
      <w:r w:rsidRPr="00383E9C">
        <w:rPr>
          <w:rFonts w:ascii="Arial" w:hAnsi="Arial" w:cs="Arial"/>
        </w:rPr>
        <w:lastRenderedPageBreak/>
        <w:t>The Rules operationalise the Payment Scheme and provide participants with certainty of the method used to calculate the payment amount. Individuals are able to consider an offer made through the Payment Scheme and choose the option which they believe best suits</w:t>
      </w:r>
      <w:r w:rsidR="004616C3" w:rsidRPr="00383E9C">
        <w:rPr>
          <w:rFonts w:ascii="Arial" w:hAnsi="Arial" w:cs="Arial"/>
        </w:rPr>
        <w:t xml:space="preserve"> their individual circumstances, including a person’s legal personal representative on behalf of a deceased person. </w:t>
      </w:r>
    </w:p>
    <w:p w:rsidR="00FB2C5B" w:rsidRPr="00383E9C" w:rsidRDefault="00FB2C5B" w:rsidP="00AF47D6">
      <w:pPr>
        <w:spacing w:before="0"/>
        <w:jc w:val="both"/>
        <w:rPr>
          <w:rFonts w:ascii="Arial" w:hAnsi="Arial" w:cs="Arial"/>
        </w:rPr>
      </w:pPr>
    </w:p>
    <w:p w:rsidR="00FB2C5B" w:rsidRPr="00383E9C" w:rsidRDefault="00FB2C5B" w:rsidP="00FB2C5B">
      <w:pPr>
        <w:spacing w:before="0"/>
        <w:jc w:val="both"/>
        <w:rPr>
          <w:rFonts w:ascii="Arial" w:eastAsia="Calibri" w:hAnsi="Arial" w:cs="Arial"/>
          <w:szCs w:val="24"/>
          <w:lang w:eastAsia="en-US"/>
        </w:rPr>
      </w:pPr>
      <w:r w:rsidRPr="00383E9C">
        <w:rPr>
          <w:rFonts w:ascii="Arial" w:hAnsi="Arial" w:cs="Arial"/>
        </w:rPr>
        <w:t xml:space="preserve">The amendment to the Rules </w:t>
      </w:r>
      <w:r w:rsidRPr="00383E9C">
        <w:rPr>
          <w:rFonts w:ascii="Arial" w:eastAsia="Calibri" w:hAnsi="Arial" w:cs="Arial"/>
          <w:szCs w:val="24"/>
          <w:lang w:eastAsia="en-US"/>
        </w:rPr>
        <w:t>revises the principle for calculating a payment amount, that will reflect 70 per cent of what a person would have been paid had the wage been calculated using only the productivity scored component of the BSWAT. The</w:t>
      </w:r>
      <w:r w:rsidR="005940BD" w:rsidRPr="00383E9C">
        <w:rPr>
          <w:rFonts w:ascii="Arial" w:eastAsia="Calibri" w:hAnsi="Arial" w:cs="Arial"/>
          <w:szCs w:val="24"/>
          <w:lang w:eastAsia="en-US"/>
        </w:rPr>
        <w:t> </w:t>
      </w:r>
      <w:r w:rsidRPr="00383E9C">
        <w:rPr>
          <w:rFonts w:ascii="Arial" w:eastAsia="Calibri" w:hAnsi="Arial" w:cs="Arial"/>
          <w:szCs w:val="24"/>
          <w:lang w:eastAsia="en-US"/>
        </w:rPr>
        <w:t>payment amount is calculated at 70 per cent of the difference between the two amounts.</w:t>
      </w:r>
    </w:p>
    <w:p w:rsidR="00FB2C5B" w:rsidRPr="00383E9C" w:rsidRDefault="00FB2C5B" w:rsidP="00FB2C5B">
      <w:pPr>
        <w:spacing w:before="120" w:after="120"/>
        <w:jc w:val="both"/>
        <w:rPr>
          <w:rFonts w:ascii="Arial" w:eastAsia="Calibri" w:hAnsi="Arial" w:cs="Arial"/>
          <w:szCs w:val="24"/>
          <w:lang w:eastAsia="en-US"/>
        </w:rPr>
      </w:pPr>
      <w:r w:rsidRPr="00383E9C">
        <w:rPr>
          <w:rFonts w:ascii="Arial" w:eastAsia="Calibri" w:hAnsi="Arial" w:cs="Arial"/>
          <w:szCs w:val="24"/>
          <w:lang w:eastAsia="en-US"/>
        </w:rPr>
        <w:t xml:space="preserve">The </w:t>
      </w:r>
      <w:r w:rsidR="00E757F3" w:rsidRPr="00383E9C">
        <w:rPr>
          <w:rFonts w:ascii="Arial" w:eastAsia="Calibri" w:hAnsi="Arial" w:cs="Arial"/>
          <w:szCs w:val="24"/>
          <w:lang w:eastAsia="en-US"/>
        </w:rPr>
        <w:t xml:space="preserve">Amendment </w:t>
      </w:r>
      <w:r w:rsidRPr="00383E9C">
        <w:rPr>
          <w:rFonts w:ascii="Arial" w:eastAsia="Calibri" w:hAnsi="Arial" w:cs="Arial"/>
          <w:szCs w:val="24"/>
          <w:lang w:eastAsia="en-US"/>
        </w:rPr>
        <w:t xml:space="preserve">Rules also </w:t>
      </w:r>
      <w:r w:rsidRPr="00383E9C">
        <w:rPr>
          <w:rFonts w:ascii="Arial" w:hAnsi="Arial" w:cs="Arial"/>
          <w:szCs w:val="24"/>
          <w:lang w:eastAsia="en-US"/>
        </w:rPr>
        <w:t xml:space="preserve">allow a deceased person, through their legal personal representative, to engage with the </w:t>
      </w:r>
      <w:r w:rsidR="00BA0CA7" w:rsidRPr="00383E9C">
        <w:rPr>
          <w:rFonts w:ascii="Arial" w:hAnsi="Arial" w:cs="Arial"/>
          <w:szCs w:val="24"/>
          <w:lang w:eastAsia="en-US"/>
        </w:rPr>
        <w:t>P</w:t>
      </w:r>
      <w:r w:rsidRPr="00383E9C">
        <w:rPr>
          <w:rFonts w:ascii="Arial" w:hAnsi="Arial" w:cs="Arial"/>
          <w:szCs w:val="24"/>
          <w:lang w:eastAsia="en-US"/>
        </w:rPr>
        <w:t xml:space="preserve">ayment </w:t>
      </w:r>
      <w:r w:rsidR="00BA0CA7" w:rsidRPr="00383E9C">
        <w:rPr>
          <w:rFonts w:ascii="Arial" w:hAnsi="Arial" w:cs="Arial"/>
          <w:szCs w:val="24"/>
          <w:lang w:eastAsia="en-US"/>
        </w:rPr>
        <w:t>S</w:t>
      </w:r>
      <w:r w:rsidRPr="00383E9C">
        <w:rPr>
          <w:rFonts w:ascii="Arial" w:hAnsi="Arial" w:cs="Arial"/>
          <w:szCs w:val="24"/>
          <w:lang w:eastAsia="en-US"/>
        </w:rPr>
        <w:t xml:space="preserve">cheme on their behalf.  This has the effect of broadening the group of people who are potentially eligible for the </w:t>
      </w:r>
      <w:r w:rsidR="00BA0CA7" w:rsidRPr="00383E9C">
        <w:rPr>
          <w:rFonts w:ascii="Arial" w:hAnsi="Arial" w:cs="Arial"/>
          <w:szCs w:val="24"/>
          <w:lang w:eastAsia="en-US"/>
        </w:rPr>
        <w:t>P</w:t>
      </w:r>
      <w:r w:rsidRPr="00383E9C">
        <w:rPr>
          <w:rFonts w:ascii="Arial" w:hAnsi="Arial" w:cs="Arial"/>
          <w:szCs w:val="24"/>
          <w:lang w:eastAsia="en-US"/>
        </w:rPr>
        <w:t xml:space="preserve">ayment </w:t>
      </w:r>
      <w:r w:rsidR="00BA0CA7" w:rsidRPr="00383E9C">
        <w:rPr>
          <w:rFonts w:ascii="Arial" w:hAnsi="Arial" w:cs="Arial"/>
          <w:szCs w:val="24"/>
          <w:lang w:eastAsia="en-US"/>
        </w:rPr>
        <w:t>S</w:t>
      </w:r>
      <w:r w:rsidRPr="00383E9C">
        <w:rPr>
          <w:rFonts w:ascii="Arial" w:hAnsi="Arial" w:cs="Arial"/>
          <w:szCs w:val="24"/>
          <w:lang w:eastAsia="en-US"/>
        </w:rPr>
        <w:t xml:space="preserve">cheme.  Deceased persons can be class members in </w:t>
      </w:r>
      <w:r w:rsidRPr="00383E9C">
        <w:rPr>
          <w:rFonts w:ascii="Arial" w:eastAsia="Calibri" w:hAnsi="Arial" w:cs="Arial"/>
          <w:i/>
          <w:szCs w:val="24"/>
          <w:lang w:eastAsia="en-US"/>
        </w:rPr>
        <w:t xml:space="preserve">Duval-Comrie v Commonwealth </w:t>
      </w:r>
      <w:r w:rsidRPr="00383E9C">
        <w:rPr>
          <w:rFonts w:ascii="Arial" w:eastAsia="Calibri" w:hAnsi="Arial" w:cs="Arial"/>
          <w:szCs w:val="24"/>
          <w:lang w:eastAsia="en-US"/>
        </w:rPr>
        <w:t xml:space="preserve">and </w:t>
      </w:r>
      <w:r w:rsidR="00E757F3" w:rsidRPr="00383E9C">
        <w:rPr>
          <w:rFonts w:ascii="Arial" w:eastAsia="Calibri" w:hAnsi="Arial" w:cs="Arial"/>
          <w:szCs w:val="24"/>
          <w:lang w:eastAsia="en-US"/>
        </w:rPr>
        <w:t xml:space="preserve">the Amendment </w:t>
      </w:r>
      <w:r w:rsidRPr="00383E9C">
        <w:rPr>
          <w:rFonts w:ascii="Arial" w:eastAsia="Calibri" w:hAnsi="Arial" w:cs="Arial"/>
          <w:szCs w:val="24"/>
          <w:lang w:eastAsia="en-US"/>
        </w:rPr>
        <w:t>Rules</w:t>
      </w:r>
      <w:r w:rsidR="005940BD" w:rsidRPr="00383E9C">
        <w:rPr>
          <w:rFonts w:ascii="Arial" w:eastAsia="Calibri" w:hAnsi="Arial" w:cs="Arial"/>
          <w:szCs w:val="24"/>
          <w:lang w:eastAsia="en-US"/>
        </w:rPr>
        <w:t xml:space="preserve"> ensure</w:t>
      </w:r>
      <w:r w:rsidRPr="00383E9C">
        <w:rPr>
          <w:rFonts w:ascii="Arial" w:eastAsia="Calibri" w:hAnsi="Arial" w:cs="Arial"/>
          <w:szCs w:val="24"/>
          <w:lang w:eastAsia="en-US"/>
        </w:rPr>
        <w:t xml:space="preserve"> these people would not be disadvantaged. </w:t>
      </w:r>
    </w:p>
    <w:p w:rsidR="00FB2C5B" w:rsidRPr="00383E9C" w:rsidRDefault="00FB2C5B" w:rsidP="00AF47D6">
      <w:pPr>
        <w:spacing w:before="0"/>
        <w:jc w:val="both"/>
        <w:rPr>
          <w:rFonts w:ascii="Arial" w:hAnsi="Arial" w:cs="Arial"/>
        </w:rPr>
      </w:pPr>
    </w:p>
    <w:p w:rsidR="007D666C" w:rsidRPr="00383E9C" w:rsidRDefault="007D666C" w:rsidP="00AF47D6">
      <w:pPr>
        <w:spacing w:before="0"/>
        <w:jc w:val="both"/>
        <w:rPr>
          <w:rFonts w:ascii="Arial" w:hAnsi="Arial" w:cs="Arial"/>
        </w:rPr>
      </w:pPr>
      <w:r w:rsidRPr="00383E9C">
        <w:rPr>
          <w:rFonts w:ascii="Arial" w:hAnsi="Arial" w:cs="Arial"/>
        </w:rPr>
        <w:t>The</w:t>
      </w:r>
      <w:r w:rsidR="00E757F3" w:rsidRPr="00383E9C">
        <w:rPr>
          <w:rFonts w:ascii="Arial" w:hAnsi="Arial" w:cs="Arial"/>
        </w:rPr>
        <w:t xml:space="preserve"> Amendment</w:t>
      </w:r>
      <w:r w:rsidRPr="00383E9C">
        <w:rPr>
          <w:rFonts w:ascii="Arial" w:hAnsi="Arial" w:cs="Arial"/>
        </w:rPr>
        <w:t xml:space="preserve"> Rules </w:t>
      </w:r>
      <w:r w:rsidR="002551F2" w:rsidRPr="00383E9C">
        <w:rPr>
          <w:rFonts w:ascii="Arial" w:hAnsi="Arial" w:cs="Arial"/>
        </w:rPr>
        <w:t>up-</w:t>
      </w:r>
      <w:r w:rsidR="00BC6949" w:rsidRPr="00383E9C">
        <w:rPr>
          <w:rFonts w:ascii="Arial" w:hAnsi="Arial" w:cs="Arial"/>
        </w:rPr>
        <w:t>hold</w:t>
      </w:r>
      <w:r w:rsidRPr="00383E9C">
        <w:rPr>
          <w:rFonts w:ascii="Arial" w:hAnsi="Arial" w:cs="Arial"/>
        </w:rPr>
        <w:t xml:space="preserve"> the </w:t>
      </w:r>
      <w:r w:rsidR="002551F2" w:rsidRPr="00383E9C">
        <w:rPr>
          <w:rFonts w:ascii="Arial" w:hAnsi="Arial" w:cs="Arial"/>
        </w:rPr>
        <w:t>human rights of fair hearing of a living person</w:t>
      </w:r>
      <w:r w:rsidRPr="00383E9C">
        <w:rPr>
          <w:rFonts w:ascii="Arial" w:hAnsi="Arial" w:cs="Arial"/>
        </w:rPr>
        <w:t xml:space="preserve"> to have legal recourse through the </w:t>
      </w:r>
      <w:r w:rsidR="00E757F3" w:rsidRPr="00383E9C">
        <w:rPr>
          <w:rFonts w:ascii="Arial" w:hAnsi="Arial" w:cs="Arial"/>
        </w:rPr>
        <w:t>P</w:t>
      </w:r>
      <w:r w:rsidRPr="00383E9C">
        <w:rPr>
          <w:rFonts w:ascii="Arial" w:hAnsi="Arial" w:cs="Arial"/>
        </w:rPr>
        <w:t xml:space="preserve">ayment </w:t>
      </w:r>
      <w:r w:rsidR="00E757F3" w:rsidRPr="00383E9C">
        <w:rPr>
          <w:rFonts w:ascii="Arial" w:hAnsi="Arial" w:cs="Arial"/>
        </w:rPr>
        <w:t>S</w:t>
      </w:r>
      <w:r w:rsidRPr="00383E9C">
        <w:rPr>
          <w:rFonts w:ascii="Arial" w:hAnsi="Arial" w:cs="Arial"/>
        </w:rPr>
        <w:t>cheme</w:t>
      </w:r>
      <w:r w:rsidR="002551F2" w:rsidRPr="00383E9C">
        <w:rPr>
          <w:rFonts w:ascii="Arial" w:hAnsi="Arial" w:cs="Arial"/>
        </w:rPr>
        <w:t>,</w:t>
      </w:r>
      <w:r w:rsidRPr="00383E9C">
        <w:rPr>
          <w:rFonts w:ascii="Arial" w:hAnsi="Arial" w:cs="Arial"/>
        </w:rPr>
        <w:t xml:space="preserve"> on behalf of a deceased person who would have been eligible for the BSWAT </w:t>
      </w:r>
      <w:r w:rsidR="00E757F3" w:rsidRPr="00383E9C">
        <w:rPr>
          <w:rFonts w:ascii="Arial" w:hAnsi="Arial" w:cs="Arial"/>
        </w:rPr>
        <w:t>P</w:t>
      </w:r>
      <w:r w:rsidRPr="00383E9C">
        <w:rPr>
          <w:rFonts w:ascii="Arial" w:hAnsi="Arial" w:cs="Arial"/>
        </w:rPr>
        <w:t xml:space="preserve">ayment </w:t>
      </w:r>
      <w:r w:rsidR="00E757F3" w:rsidRPr="00383E9C">
        <w:rPr>
          <w:rFonts w:ascii="Arial" w:hAnsi="Arial" w:cs="Arial"/>
        </w:rPr>
        <w:t>S</w:t>
      </w:r>
      <w:r w:rsidRPr="00383E9C">
        <w:rPr>
          <w:rFonts w:ascii="Arial" w:hAnsi="Arial" w:cs="Arial"/>
        </w:rPr>
        <w:t>cheme.</w:t>
      </w:r>
    </w:p>
    <w:p w:rsidR="007D666C" w:rsidRPr="00383E9C" w:rsidRDefault="007D666C" w:rsidP="00AF47D6">
      <w:pPr>
        <w:spacing w:before="0"/>
        <w:jc w:val="both"/>
        <w:rPr>
          <w:rFonts w:ascii="Arial" w:hAnsi="Arial" w:cs="Arial"/>
        </w:rPr>
      </w:pPr>
    </w:p>
    <w:p w:rsidR="0061121B" w:rsidRPr="00383E9C" w:rsidRDefault="004616C3" w:rsidP="00AF47D6">
      <w:pPr>
        <w:spacing w:before="0"/>
        <w:jc w:val="both"/>
        <w:rPr>
          <w:rFonts w:ascii="Arial" w:hAnsi="Arial" w:cs="Arial"/>
        </w:rPr>
      </w:pPr>
      <w:r w:rsidRPr="00383E9C">
        <w:rPr>
          <w:rFonts w:ascii="Arial" w:hAnsi="Arial" w:cs="Arial"/>
        </w:rPr>
        <w:t xml:space="preserve">The </w:t>
      </w:r>
      <w:r w:rsidR="00E757F3" w:rsidRPr="00383E9C">
        <w:rPr>
          <w:rFonts w:ascii="Arial" w:hAnsi="Arial" w:cs="Arial"/>
        </w:rPr>
        <w:t xml:space="preserve">Amendment </w:t>
      </w:r>
      <w:r w:rsidRPr="00383E9C">
        <w:rPr>
          <w:rFonts w:ascii="Arial" w:hAnsi="Arial" w:cs="Arial"/>
        </w:rPr>
        <w:t xml:space="preserve">Rules provide details on </w:t>
      </w:r>
      <w:r w:rsidR="005117DD" w:rsidRPr="00383E9C">
        <w:rPr>
          <w:rFonts w:ascii="Arial" w:hAnsi="Arial" w:cs="Arial"/>
        </w:rPr>
        <w:t>how a decease</w:t>
      </w:r>
      <w:r w:rsidR="00E757F3" w:rsidRPr="00383E9C">
        <w:rPr>
          <w:rFonts w:ascii="Arial" w:hAnsi="Arial" w:cs="Arial"/>
        </w:rPr>
        <w:t>d</w:t>
      </w:r>
      <w:r w:rsidR="005117DD" w:rsidRPr="00383E9C">
        <w:rPr>
          <w:rFonts w:ascii="Arial" w:hAnsi="Arial" w:cs="Arial"/>
        </w:rPr>
        <w:t xml:space="preserve"> person</w:t>
      </w:r>
      <w:r w:rsidR="00C32ADF" w:rsidRPr="00383E9C">
        <w:rPr>
          <w:rFonts w:ascii="Arial" w:hAnsi="Arial" w:cs="Arial"/>
        </w:rPr>
        <w:t>’s</w:t>
      </w:r>
      <w:r w:rsidR="002551F2" w:rsidRPr="00383E9C">
        <w:rPr>
          <w:rFonts w:ascii="Arial" w:hAnsi="Arial" w:cs="Arial"/>
        </w:rPr>
        <w:t xml:space="preserve"> Legal P</w:t>
      </w:r>
      <w:r w:rsidR="005117DD" w:rsidRPr="00383E9C">
        <w:rPr>
          <w:rFonts w:ascii="Arial" w:hAnsi="Arial" w:cs="Arial"/>
        </w:rPr>
        <w:t xml:space="preserve">ersonal </w:t>
      </w:r>
      <w:r w:rsidR="002551F2" w:rsidRPr="00383E9C">
        <w:rPr>
          <w:rFonts w:ascii="Arial" w:hAnsi="Arial" w:cs="Arial"/>
        </w:rPr>
        <w:t>R</w:t>
      </w:r>
      <w:r w:rsidR="005117DD" w:rsidRPr="00383E9C">
        <w:rPr>
          <w:rFonts w:ascii="Arial" w:hAnsi="Arial" w:cs="Arial"/>
        </w:rPr>
        <w:t xml:space="preserve">epresentative </w:t>
      </w:r>
      <w:r w:rsidR="002551F2" w:rsidRPr="00383E9C">
        <w:rPr>
          <w:rFonts w:ascii="Arial" w:hAnsi="Arial" w:cs="Arial"/>
        </w:rPr>
        <w:t xml:space="preserve">(LPR) </w:t>
      </w:r>
      <w:r w:rsidR="00C32ADF" w:rsidRPr="00383E9C">
        <w:rPr>
          <w:rFonts w:ascii="Arial" w:hAnsi="Arial" w:cs="Arial"/>
        </w:rPr>
        <w:t>can</w:t>
      </w:r>
      <w:r w:rsidR="005117DD" w:rsidRPr="00383E9C">
        <w:rPr>
          <w:rFonts w:ascii="Arial" w:hAnsi="Arial" w:cs="Arial"/>
        </w:rPr>
        <w:t xml:space="preserve"> engage with the</w:t>
      </w:r>
      <w:r w:rsidR="0061121B" w:rsidRPr="00383E9C">
        <w:rPr>
          <w:rFonts w:ascii="Arial" w:hAnsi="Arial" w:cs="Arial"/>
        </w:rPr>
        <w:t xml:space="preserve"> </w:t>
      </w:r>
      <w:r w:rsidR="00E757F3" w:rsidRPr="00383E9C">
        <w:rPr>
          <w:rFonts w:ascii="Arial" w:hAnsi="Arial" w:cs="Arial"/>
        </w:rPr>
        <w:t>P</w:t>
      </w:r>
      <w:r w:rsidR="0061121B" w:rsidRPr="00383E9C">
        <w:rPr>
          <w:rFonts w:ascii="Arial" w:hAnsi="Arial" w:cs="Arial"/>
        </w:rPr>
        <w:t xml:space="preserve">ayment </w:t>
      </w:r>
      <w:r w:rsidR="00E757F3" w:rsidRPr="00383E9C">
        <w:rPr>
          <w:rFonts w:ascii="Arial" w:hAnsi="Arial" w:cs="Arial"/>
        </w:rPr>
        <w:t>S</w:t>
      </w:r>
      <w:r w:rsidR="0061121B" w:rsidRPr="00383E9C">
        <w:rPr>
          <w:rFonts w:ascii="Arial" w:hAnsi="Arial" w:cs="Arial"/>
        </w:rPr>
        <w:t>cheme on behalf</w:t>
      </w:r>
      <w:r w:rsidR="00E757F3" w:rsidRPr="00383E9C">
        <w:rPr>
          <w:rFonts w:ascii="Arial" w:hAnsi="Arial" w:cs="Arial"/>
        </w:rPr>
        <w:t xml:space="preserve"> of the deceased person’s estate</w:t>
      </w:r>
      <w:r w:rsidR="0061121B" w:rsidRPr="00383E9C">
        <w:rPr>
          <w:rFonts w:ascii="Arial" w:hAnsi="Arial" w:cs="Arial"/>
        </w:rPr>
        <w:t>, including:</w:t>
      </w:r>
    </w:p>
    <w:p w:rsidR="0061121B" w:rsidRPr="00383E9C" w:rsidRDefault="0061121B" w:rsidP="00AF47D6">
      <w:pPr>
        <w:spacing w:before="0"/>
        <w:jc w:val="both"/>
        <w:rPr>
          <w:rFonts w:ascii="Arial" w:hAnsi="Arial" w:cs="Arial"/>
        </w:rPr>
      </w:pPr>
    </w:p>
    <w:p w:rsidR="00051E2A" w:rsidRPr="00383E9C" w:rsidRDefault="00051E2A" w:rsidP="0061121B">
      <w:pPr>
        <w:pStyle w:val="ListParagraph"/>
        <w:numPr>
          <w:ilvl w:val="0"/>
          <w:numId w:val="22"/>
        </w:numPr>
        <w:spacing w:before="0"/>
        <w:jc w:val="both"/>
        <w:rPr>
          <w:rFonts w:ascii="Arial" w:hAnsi="Arial" w:cs="Arial"/>
        </w:rPr>
      </w:pPr>
      <w:r w:rsidRPr="00383E9C">
        <w:rPr>
          <w:rFonts w:ascii="Arial" w:hAnsi="Arial" w:cs="Arial"/>
        </w:rPr>
        <w:t>s</w:t>
      </w:r>
      <w:r w:rsidR="0061121B" w:rsidRPr="00383E9C">
        <w:rPr>
          <w:rFonts w:ascii="Arial" w:hAnsi="Arial" w:cs="Arial"/>
        </w:rPr>
        <w:t>etting out the way in which a person can apply to be recognised as a deceased person’</w:t>
      </w:r>
      <w:r w:rsidR="001E0FBA" w:rsidRPr="00383E9C">
        <w:rPr>
          <w:rFonts w:ascii="Arial" w:hAnsi="Arial" w:cs="Arial"/>
        </w:rPr>
        <w:t>s LPR</w:t>
      </w:r>
      <w:r w:rsidRPr="00383E9C">
        <w:rPr>
          <w:rFonts w:ascii="Arial" w:hAnsi="Arial" w:cs="Arial"/>
        </w:rPr>
        <w:t>;</w:t>
      </w:r>
    </w:p>
    <w:p w:rsidR="007B30D2" w:rsidRPr="00383E9C" w:rsidRDefault="0061121B" w:rsidP="0061121B">
      <w:pPr>
        <w:pStyle w:val="ListParagraph"/>
        <w:numPr>
          <w:ilvl w:val="0"/>
          <w:numId w:val="22"/>
        </w:numPr>
        <w:spacing w:before="0"/>
        <w:jc w:val="both"/>
        <w:rPr>
          <w:rFonts w:ascii="Arial" w:hAnsi="Arial" w:cs="Arial"/>
        </w:rPr>
      </w:pPr>
      <w:r w:rsidRPr="00383E9C">
        <w:rPr>
          <w:rFonts w:ascii="Arial" w:hAnsi="Arial" w:cs="Arial"/>
        </w:rPr>
        <w:t xml:space="preserve">the criteria the person must meet for the Secretary of the Department of Social Services to appoint that person as the </w:t>
      </w:r>
      <w:r w:rsidR="001E0FBA" w:rsidRPr="00383E9C">
        <w:rPr>
          <w:rFonts w:ascii="Arial" w:hAnsi="Arial" w:cs="Arial"/>
        </w:rPr>
        <w:t>LPR</w:t>
      </w:r>
      <w:r w:rsidRPr="00383E9C">
        <w:rPr>
          <w:rFonts w:ascii="Arial" w:hAnsi="Arial" w:cs="Arial"/>
        </w:rPr>
        <w:t xml:space="preserve"> of the deceased person’</w:t>
      </w:r>
      <w:r w:rsidR="00051E2A" w:rsidRPr="00383E9C">
        <w:rPr>
          <w:rFonts w:ascii="Arial" w:hAnsi="Arial" w:cs="Arial"/>
        </w:rPr>
        <w:t>s estate;</w:t>
      </w:r>
      <w:r w:rsidR="00C147C8" w:rsidRPr="00383E9C">
        <w:rPr>
          <w:rFonts w:ascii="Arial" w:hAnsi="Arial" w:cs="Arial"/>
        </w:rPr>
        <w:t xml:space="preserve"> and</w:t>
      </w:r>
    </w:p>
    <w:p w:rsidR="00051E2A" w:rsidRPr="00383E9C" w:rsidRDefault="002551F2" w:rsidP="0061121B">
      <w:pPr>
        <w:pStyle w:val="ListParagraph"/>
        <w:numPr>
          <w:ilvl w:val="0"/>
          <w:numId w:val="22"/>
        </w:numPr>
        <w:spacing w:before="0"/>
        <w:jc w:val="both"/>
        <w:rPr>
          <w:rFonts w:ascii="Arial" w:hAnsi="Arial" w:cs="Arial"/>
        </w:rPr>
      </w:pPr>
      <w:r w:rsidRPr="00383E9C">
        <w:rPr>
          <w:rFonts w:ascii="Arial" w:hAnsi="Arial" w:cs="Arial"/>
        </w:rPr>
        <w:t xml:space="preserve">setting out </w:t>
      </w:r>
      <w:r w:rsidR="00C147C8" w:rsidRPr="00383E9C">
        <w:rPr>
          <w:rFonts w:ascii="Arial" w:hAnsi="Arial" w:cs="Arial"/>
        </w:rPr>
        <w:t xml:space="preserve">the criteria </w:t>
      </w:r>
      <w:r w:rsidR="00E757F3" w:rsidRPr="00383E9C">
        <w:rPr>
          <w:rFonts w:ascii="Arial" w:hAnsi="Arial" w:cs="Arial"/>
        </w:rPr>
        <w:t xml:space="preserve">for when </w:t>
      </w:r>
      <w:r w:rsidR="00C147C8" w:rsidRPr="00383E9C">
        <w:rPr>
          <w:rFonts w:ascii="Arial" w:hAnsi="Arial" w:cs="Arial"/>
        </w:rPr>
        <w:t xml:space="preserve">an appointment </w:t>
      </w:r>
      <w:r w:rsidRPr="00383E9C">
        <w:rPr>
          <w:rFonts w:ascii="Arial" w:hAnsi="Arial" w:cs="Arial"/>
        </w:rPr>
        <w:t>may</w:t>
      </w:r>
      <w:r w:rsidR="00C147C8" w:rsidRPr="00383E9C">
        <w:rPr>
          <w:rFonts w:ascii="Arial" w:hAnsi="Arial" w:cs="Arial"/>
        </w:rPr>
        <w:t xml:space="preserve"> be cancelled.</w:t>
      </w:r>
    </w:p>
    <w:p w:rsidR="006F60D1" w:rsidRDefault="006F60D1">
      <w:pPr>
        <w:spacing w:before="0" w:after="200" w:line="276" w:lineRule="auto"/>
        <w:rPr>
          <w:rFonts w:ascii="Arial" w:hAnsi="Arial" w:cs="Arial"/>
          <w:b/>
          <w:szCs w:val="24"/>
        </w:rPr>
      </w:pPr>
      <w:r>
        <w:rPr>
          <w:rFonts w:ascii="Arial" w:hAnsi="Arial" w:cs="Arial"/>
          <w:b/>
          <w:szCs w:val="24"/>
        </w:rPr>
        <w:br w:type="page"/>
      </w:r>
    </w:p>
    <w:p w:rsidR="00676F8E" w:rsidRPr="00383E9C" w:rsidRDefault="004B1815" w:rsidP="003D04AC">
      <w:pPr>
        <w:spacing w:before="120" w:after="120" w:line="276" w:lineRule="auto"/>
        <w:rPr>
          <w:rFonts w:ascii="Arial" w:eastAsia="Calibri" w:hAnsi="Arial" w:cs="Arial"/>
          <w:b/>
          <w:i/>
          <w:szCs w:val="24"/>
          <w:lang w:eastAsia="en-US"/>
        </w:rPr>
      </w:pPr>
      <w:r w:rsidRPr="00383E9C">
        <w:rPr>
          <w:rFonts w:ascii="Arial" w:hAnsi="Arial" w:cs="Arial"/>
          <w:b/>
          <w:szCs w:val="24"/>
        </w:rPr>
        <w:lastRenderedPageBreak/>
        <w:t xml:space="preserve">The right to protection against arbitrary and unlawful interference with privacy Article 17 </w:t>
      </w:r>
      <w:r w:rsidR="003D04AC" w:rsidRPr="00383E9C">
        <w:rPr>
          <w:rFonts w:ascii="Arial" w:eastAsia="Calibri" w:hAnsi="Arial" w:cs="Arial"/>
          <w:b/>
          <w:szCs w:val="24"/>
          <w:lang w:eastAsia="en-US"/>
        </w:rPr>
        <w:t xml:space="preserve">of the </w:t>
      </w:r>
      <w:r w:rsidR="003D04AC" w:rsidRPr="00383E9C">
        <w:rPr>
          <w:rFonts w:ascii="Arial" w:eastAsia="Calibri" w:hAnsi="Arial" w:cs="Arial"/>
          <w:b/>
          <w:i/>
          <w:szCs w:val="24"/>
          <w:lang w:eastAsia="en-US"/>
        </w:rPr>
        <w:t>International Covenant on Civil and Political Rights</w:t>
      </w:r>
      <w:r w:rsidR="003D04AC" w:rsidRPr="00383E9C">
        <w:rPr>
          <w:rFonts w:ascii="Arial" w:eastAsia="Calibri" w:hAnsi="Arial" w:cs="Arial"/>
          <w:b/>
          <w:szCs w:val="24"/>
          <w:lang w:eastAsia="en-US"/>
        </w:rPr>
        <w:t xml:space="preserve"> (ICCPR), and Article 22 of the </w:t>
      </w:r>
      <w:r w:rsidR="003D04AC" w:rsidRPr="00383E9C">
        <w:rPr>
          <w:rFonts w:ascii="Arial" w:eastAsia="Calibri" w:hAnsi="Arial" w:cs="Arial"/>
          <w:b/>
          <w:i/>
          <w:szCs w:val="24"/>
          <w:lang w:eastAsia="en-US"/>
        </w:rPr>
        <w:t>Convention on the Rights of Persons with Disabilities</w:t>
      </w:r>
      <w:r w:rsidR="003D04AC" w:rsidRPr="00383E9C">
        <w:rPr>
          <w:rFonts w:ascii="Arial" w:eastAsia="Calibri" w:hAnsi="Arial" w:cs="Arial"/>
          <w:b/>
          <w:szCs w:val="24"/>
          <w:lang w:eastAsia="en-US"/>
        </w:rPr>
        <w:t xml:space="preserve"> (CRPD).</w:t>
      </w:r>
    </w:p>
    <w:p w:rsidR="004B1815" w:rsidRPr="00383E9C" w:rsidRDefault="003D04AC" w:rsidP="00676F8E">
      <w:pPr>
        <w:spacing w:after="120"/>
        <w:rPr>
          <w:rFonts w:ascii="Arial" w:hAnsi="Arial" w:cs="Arial"/>
          <w:szCs w:val="24"/>
        </w:rPr>
      </w:pPr>
      <w:r w:rsidRPr="00383E9C">
        <w:rPr>
          <w:rFonts w:ascii="Arial" w:hAnsi="Arial" w:cs="Arial"/>
          <w:szCs w:val="24"/>
        </w:rPr>
        <w:t>The</w:t>
      </w:r>
      <w:r w:rsidR="00176E59" w:rsidRPr="00383E9C">
        <w:rPr>
          <w:rFonts w:ascii="Arial" w:hAnsi="Arial" w:cs="Arial"/>
          <w:szCs w:val="24"/>
        </w:rPr>
        <w:t xml:space="preserve"> Amendment</w:t>
      </w:r>
      <w:r w:rsidRPr="00383E9C">
        <w:rPr>
          <w:rFonts w:ascii="Arial" w:hAnsi="Arial" w:cs="Arial"/>
          <w:szCs w:val="24"/>
        </w:rPr>
        <w:t xml:space="preserve"> Rules also engage</w:t>
      </w:r>
      <w:r w:rsidR="004B1815" w:rsidRPr="00383E9C">
        <w:rPr>
          <w:rFonts w:ascii="Arial" w:hAnsi="Arial" w:cs="Arial"/>
          <w:szCs w:val="24"/>
        </w:rPr>
        <w:t xml:space="preserve"> and limit the right to arbitrary and unlawful interferences with a person’s privacy, family, home or correspondence in Article 17 of ICCPR and Article 22 of the CRPD. </w:t>
      </w:r>
    </w:p>
    <w:p w:rsidR="004B1815" w:rsidRPr="00383E9C" w:rsidRDefault="004B1815" w:rsidP="00676F8E">
      <w:pPr>
        <w:spacing w:after="120"/>
        <w:rPr>
          <w:rFonts w:ascii="Arial" w:hAnsi="Arial" w:cs="Arial"/>
          <w:szCs w:val="24"/>
        </w:rPr>
      </w:pPr>
      <w:r w:rsidRPr="00383E9C">
        <w:rPr>
          <w:rFonts w:ascii="Arial" w:hAnsi="Arial" w:cs="Arial"/>
          <w:szCs w:val="24"/>
        </w:rPr>
        <w:t>The right may be subject to permissible limitations, provided they are authorised by law and not arbitrary. In order for an inference with the right to privacy to be permissible, the interference must be authorised by law, be for a reason consistent with the provisions, aims and objectives of the ICCPR and be reasonable in the particular circumstances. The United Nations Human Rights Committee has interpreted ‘reasonableness’ in this context to imply that any interference with privacy must be proportional to the end sought and be necessary in the circumstances of any given case.</w:t>
      </w:r>
    </w:p>
    <w:p w:rsidR="00300E80" w:rsidRPr="00383E9C" w:rsidRDefault="00F61567" w:rsidP="00676F8E">
      <w:pPr>
        <w:spacing w:after="120"/>
        <w:rPr>
          <w:rFonts w:ascii="Arial" w:hAnsi="Arial" w:cs="Arial"/>
          <w:szCs w:val="24"/>
        </w:rPr>
      </w:pPr>
      <w:r w:rsidRPr="00383E9C">
        <w:rPr>
          <w:rFonts w:ascii="Arial" w:hAnsi="Arial" w:cs="Arial"/>
          <w:szCs w:val="24"/>
        </w:rPr>
        <w:t xml:space="preserve">The Amendment Rules will allow the Secretary of the Department of Social Services to issue a public interest certificate in accordance with the </w:t>
      </w:r>
      <w:r w:rsidRPr="00383E9C">
        <w:rPr>
          <w:rFonts w:ascii="Arial" w:hAnsi="Arial" w:cs="Arial"/>
          <w:i/>
          <w:szCs w:val="24"/>
        </w:rPr>
        <w:t>Business Services Wage Assessment Tool Payment Scheme</w:t>
      </w:r>
      <w:r w:rsidRPr="00383E9C">
        <w:rPr>
          <w:rFonts w:ascii="Arial" w:hAnsi="Arial" w:cs="Arial"/>
          <w:szCs w:val="24"/>
        </w:rPr>
        <w:t xml:space="preserve"> </w:t>
      </w:r>
      <w:r w:rsidRPr="00383E9C">
        <w:rPr>
          <w:rFonts w:ascii="Arial" w:hAnsi="Arial" w:cs="Arial"/>
          <w:i/>
          <w:szCs w:val="24"/>
        </w:rPr>
        <w:t xml:space="preserve">Act 2015 </w:t>
      </w:r>
      <w:r w:rsidRPr="00383E9C">
        <w:rPr>
          <w:rFonts w:ascii="Arial" w:hAnsi="Arial" w:cs="Arial"/>
          <w:szCs w:val="24"/>
        </w:rPr>
        <w:t xml:space="preserve">(Act) and Rules for the purposes of research and analysis which is in the public interest. </w:t>
      </w:r>
      <w:r w:rsidR="00300E80" w:rsidRPr="00383E9C">
        <w:rPr>
          <w:rFonts w:ascii="Arial" w:hAnsi="Arial" w:cs="Arial"/>
          <w:szCs w:val="24"/>
        </w:rPr>
        <w:t xml:space="preserve">The Rules have been amended to allow the </w:t>
      </w:r>
      <w:r w:rsidR="00C52042" w:rsidRPr="00383E9C">
        <w:rPr>
          <w:rFonts w:ascii="Arial" w:hAnsi="Arial" w:cs="Arial"/>
          <w:szCs w:val="24"/>
        </w:rPr>
        <w:t xml:space="preserve">Secretary </w:t>
      </w:r>
      <w:r w:rsidR="00300E80" w:rsidRPr="00383E9C">
        <w:rPr>
          <w:rFonts w:ascii="Arial" w:hAnsi="Arial" w:cs="Arial"/>
          <w:szCs w:val="24"/>
        </w:rPr>
        <w:t xml:space="preserve">to </w:t>
      </w:r>
      <w:r w:rsidR="002641FC" w:rsidRPr="00383E9C">
        <w:rPr>
          <w:rFonts w:ascii="Arial" w:hAnsi="Arial" w:cs="Arial"/>
          <w:szCs w:val="24"/>
        </w:rPr>
        <w:t>disclose</w:t>
      </w:r>
      <w:r w:rsidR="00300E80" w:rsidRPr="00383E9C">
        <w:rPr>
          <w:rFonts w:ascii="Arial" w:hAnsi="Arial" w:cs="Arial"/>
          <w:szCs w:val="24"/>
        </w:rPr>
        <w:t xml:space="preserve"> </w:t>
      </w:r>
      <w:r w:rsidRPr="00383E9C">
        <w:rPr>
          <w:rFonts w:ascii="Arial" w:hAnsi="Arial" w:cs="Arial"/>
          <w:szCs w:val="24"/>
        </w:rPr>
        <w:t>protected information;</w:t>
      </w:r>
      <w:r w:rsidR="00300E80" w:rsidRPr="00383E9C">
        <w:rPr>
          <w:rFonts w:ascii="Arial" w:hAnsi="Arial" w:cs="Arial"/>
          <w:szCs w:val="24"/>
        </w:rPr>
        <w:t xml:space="preserve"> it has collected for the purpose of administering the BSWAT </w:t>
      </w:r>
      <w:r w:rsidR="00176E59" w:rsidRPr="00383E9C">
        <w:rPr>
          <w:rFonts w:ascii="Arial" w:hAnsi="Arial" w:cs="Arial"/>
          <w:szCs w:val="24"/>
        </w:rPr>
        <w:t>P</w:t>
      </w:r>
      <w:r w:rsidR="00300E80" w:rsidRPr="00383E9C">
        <w:rPr>
          <w:rFonts w:ascii="Arial" w:hAnsi="Arial" w:cs="Arial"/>
          <w:szCs w:val="24"/>
        </w:rPr>
        <w:t xml:space="preserve">ayment </w:t>
      </w:r>
      <w:r w:rsidR="00176E59" w:rsidRPr="00383E9C">
        <w:rPr>
          <w:rFonts w:ascii="Arial" w:hAnsi="Arial" w:cs="Arial"/>
          <w:szCs w:val="24"/>
        </w:rPr>
        <w:t>S</w:t>
      </w:r>
      <w:r w:rsidR="00300E80" w:rsidRPr="00383E9C">
        <w:rPr>
          <w:rFonts w:ascii="Arial" w:hAnsi="Arial" w:cs="Arial"/>
          <w:szCs w:val="24"/>
        </w:rPr>
        <w:t>cheme</w:t>
      </w:r>
      <w:r w:rsidR="002641FC" w:rsidRPr="00383E9C">
        <w:rPr>
          <w:rFonts w:ascii="Arial" w:hAnsi="Arial" w:cs="Arial"/>
          <w:szCs w:val="24"/>
        </w:rPr>
        <w:t xml:space="preserve">, to </w:t>
      </w:r>
      <w:r w:rsidR="00042F55" w:rsidRPr="00383E9C">
        <w:rPr>
          <w:rFonts w:ascii="Arial" w:hAnsi="Arial" w:cs="Arial"/>
          <w:szCs w:val="24"/>
        </w:rPr>
        <w:t xml:space="preserve">external </w:t>
      </w:r>
      <w:r w:rsidR="002641FC" w:rsidRPr="00383E9C">
        <w:rPr>
          <w:rFonts w:ascii="Arial" w:hAnsi="Arial" w:cs="Arial"/>
          <w:szCs w:val="24"/>
        </w:rPr>
        <w:t>consultants</w:t>
      </w:r>
      <w:r w:rsidR="00300E80" w:rsidRPr="00383E9C">
        <w:rPr>
          <w:rFonts w:ascii="Arial" w:hAnsi="Arial" w:cs="Arial"/>
          <w:szCs w:val="24"/>
        </w:rPr>
        <w:t xml:space="preserve"> for research </w:t>
      </w:r>
      <w:r w:rsidR="00176E59" w:rsidRPr="00383E9C">
        <w:rPr>
          <w:rFonts w:ascii="Arial" w:hAnsi="Arial" w:cs="Arial"/>
          <w:szCs w:val="24"/>
        </w:rPr>
        <w:t xml:space="preserve">and analysis </w:t>
      </w:r>
      <w:r w:rsidR="002641FC" w:rsidRPr="00383E9C">
        <w:rPr>
          <w:rFonts w:ascii="Arial" w:hAnsi="Arial" w:cs="Arial"/>
          <w:szCs w:val="24"/>
        </w:rPr>
        <w:t>purposes</w:t>
      </w:r>
      <w:r w:rsidR="00D62D42" w:rsidRPr="00383E9C">
        <w:rPr>
          <w:rFonts w:ascii="Arial" w:hAnsi="Arial" w:cs="Arial"/>
          <w:szCs w:val="24"/>
        </w:rPr>
        <w:t xml:space="preserve">. </w:t>
      </w:r>
      <w:r w:rsidRPr="00383E9C">
        <w:rPr>
          <w:rFonts w:ascii="Arial" w:hAnsi="Arial" w:cs="Arial"/>
          <w:szCs w:val="24"/>
        </w:rPr>
        <w:t xml:space="preserve">The Secretary must comply with the rules set out in Chapter 8 of the Rules in making disclosures in the public interest under paragraph 81(1)(a) of the Act. </w:t>
      </w:r>
      <w:r w:rsidR="0016189E" w:rsidRPr="00383E9C">
        <w:rPr>
          <w:rFonts w:ascii="Arial" w:hAnsi="Arial" w:cs="Arial"/>
          <w:szCs w:val="24"/>
        </w:rPr>
        <w:t xml:space="preserve"> </w:t>
      </w:r>
    </w:p>
    <w:p w:rsidR="006546B7" w:rsidRPr="00383E9C" w:rsidRDefault="00042F55" w:rsidP="00FD6BF4">
      <w:pPr>
        <w:spacing w:after="120"/>
        <w:rPr>
          <w:rFonts w:ascii="Arial" w:hAnsi="Arial" w:cs="Arial"/>
          <w:b/>
          <w:szCs w:val="24"/>
        </w:rPr>
      </w:pPr>
      <w:r w:rsidRPr="00383E9C">
        <w:rPr>
          <w:rFonts w:ascii="Arial" w:hAnsi="Arial" w:cs="Arial"/>
          <w:szCs w:val="24"/>
        </w:rPr>
        <w:t xml:space="preserve"> </w:t>
      </w:r>
      <w:r w:rsidR="006546B7" w:rsidRPr="00383E9C">
        <w:rPr>
          <w:rFonts w:ascii="Arial" w:hAnsi="Arial" w:cs="Arial"/>
          <w:b/>
          <w:szCs w:val="24"/>
        </w:rPr>
        <w:t xml:space="preserve">Conclusion </w:t>
      </w:r>
    </w:p>
    <w:p w:rsidR="00AF47D6" w:rsidRPr="00383E9C" w:rsidRDefault="00AF47D6" w:rsidP="00AF47D6">
      <w:pPr>
        <w:spacing w:before="120" w:after="120"/>
        <w:rPr>
          <w:rFonts w:ascii="Arial" w:eastAsiaTheme="minorHAnsi" w:hAnsi="Arial" w:cs="Arial"/>
          <w:szCs w:val="24"/>
          <w:lang w:eastAsia="en-US"/>
        </w:rPr>
      </w:pPr>
      <w:r w:rsidRPr="00383E9C">
        <w:rPr>
          <w:rFonts w:ascii="Arial" w:eastAsiaTheme="minorHAnsi" w:hAnsi="Arial" w:cs="Arial"/>
          <w:szCs w:val="24"/>
          <w:lang w:eastAsia="en-US"/>
        </w:rPr>
        <w:t xml:space="preserve">The </w:t>
      </w:r>
      <w:r w:rsidR="00FB2C5B" w:rsidRPr="00383E9C">
        <w:rPr>
          <w:rFonts w:ascii="Arial" w:eastAsiaTheme="minorHAnsi" w:hAnsi="Arial" w:cs="Arial"/>
          <w:szCs w:val="24"/>
          <w:lang w:eastAsia="en-US"/>
        </w:rPr>
        <w:t>Rules</w:t>
      </w:r>
      <w:r w:rsidRPr="00383E9C">
        <w:rPr>
          <w:rFonts w:ascii="Arial" w:eastAsiaTheme="minorHAnsi" w:hAnsi="Arial" w:cs="Arial"/>
          <w:szCs w:val="24"/>
          <w:lang w:eastAsia="en-US"/>
        </w:rPr>
        <w:t xml:space="preserve"> </w:t>
      </w:r>
      <w:r w:rsidR="00FB2C5B" w:rsidRPr="00383E9C">
        <w:rPr>
          <w:rFonts w:ascii="Arial" w:eastAsiaTheme="minorHAnsi" w:hAnsi="Arial" w:cs="Arial"/>
          <w:szCs w:val="24"/>
          <w:lang w:eastAsia="en-US"/>
        </w:rPr>
        <w:t>are</w:t>
      </w:r>
      <w:r w:rsidRPr="00383E9C">
        <w:rPr>
          <w:rFonts w:ascii="Arial" w:eastAsiaTheme="minorHAnsi" w:hAnsi="Arial" w:cs="Arial"/>
          <w:szCs w:val="24"/>
          <w:lang w:eastAsia="en-US"/>
        </w:rPr>
        <w:t xml:space="preserve"> compatible with human rights because it promotes the protection of human rights and </w:t>
      </w:r>
      <w:r w:rsidRPr="00383E9C">
        <w:rPr>
          <w:rFonts w:ascii="Arial" w:eastAsiaTheme="minorHAnsi" w:hAnsi="Arial" w:cs="Arial"/>
          <w:szCs w:val="24"/>
          <w:lang w:val="en-GB" w:eastAsia="en-US"/>
        </w:rPr>
        <w:t xml:space="preserve">to the extent that it may limit human rights, those limitations are reasonable, necessary and </w:t>
      </w:r>
      <w:r w:rsidRPr="00383E9C">
        <w:rPr>
          <w:rFonts w:ascii="Arial" w:eastAsiaTheme="minorHAnsi" w:hAnsi="Arial" w:cs="Arial"/>
          <w:szCs w:val="24"/>
          <w:lang w:eastAsia="en-US"/>
        </w:rPr>
        <w:t xml:space="preserve">proportionate.  </w:t>
      </w:r>
    </w:p>
    <w:bookmarkEnd w:id="0"/>
    <w:p w:rsidR="00AD1645" w:rsidRPr="00383E9C" w:rsidRDefault="007D6B0B" w:rsidP="00E23C53">
      <w:pPr>
        <w:spacing w:before="120" w:after="120"/>
        <w:jc w:val="center"/>
        <w:rPr>
          <w:rFonts w:ascii="Arial" w:hAnsi="Arial" w:cs="Arial"/>
          <w:b/>
          <w:bCs/>
          <w:szCs w:val="24"/>
        </w:rPr>
      </w:pPr>
      <w:r w:rsidRPr="00383E9C">
        <w:rPr>
          <w:rFonts w:ascii="Arial" w:hAnsi="Arial" w:cs="Arial"/>
          <w:b/>
          <w:szCs w:val="24"/>
        </w:rPr>
        <w:t>Minister for Social Services</w:t>
      </w:r>
      <w:r w:rsidR="00591CBF" w:rsidRPr="00383E9C">
        <w:rPr>
          <w:rFonts w:ascii="Arial" w:hAnsi="Arial" w:cs="Arial"/>
          <w:b/>
          <w:szCs w:val="24"/>
        </w:rPr>
        <w:br/>
      </w:r>
      <w:r w:rsidR="00E14A11" w:rsidRPr="00383E9C">
        <w:rPr>
          <w:rFonts w:ascii="Arial" w:hAnsi="Arial" w:cs="Arial"/>
          <w:b/>
          <w:szCs w:val="24"/>
        </w:rPr>
        <w:t>Christian Porter</w:t>
      </w:r>
    </w:p>
    <w:p w:rsidR="007B69DD" w:rsidRPr="00383E9C" w:rsidRDefault="007B69DD">
      <w:pPr>
        <w:spacing w:before="0" w:after="200" w:line="276" w:lineRule="auto"/>
        <w:rPr>
          <w:rFonts w:ascii="Arial" w:hAnsi="Arial" w:cs="Arial"/>
          <w:b/>
          <w:bCs/>
          <w:szCs w:val="24"/>
        </w:rPr>
      </w:pPr>
    </w:p>
    <w:p w:rsidR="002810A5" w:rsidRPr="00383E9C" w:rsidRDefault="002810A5" w:rsidP="007D63D6">
      <w:pPr>
        <w:spacing w:before="0"/>
        <w:ind w:right="91"/>
        <w:rPr>
          <w:rStyle w:val="BookTitle"/>
          <w:rFonts w:ascii="Arial" w:hAnsi="Arial" w:cs="Arial"/>
          <w:i w:val="0"/>
          <w:iCs w:val="0"/>
          <w:smallCaps w:val="0"/>
          <w:spacing w:val="0"/>
          <w:szCs w:val="24"/>
        </w:rPr>
      </w:pPr>
    </w:p>
    <w:sectPr w:rsidR="002810A5" w:rsidRPr="00383E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45" w:rsidRDefault="00AD1645" w:rsidP="00AD1645">
      <w:pPr>
        <w:spacing w:before="0"/>
      </w:pPr>
      <w:r>
        <w:separator/>
      </w:r>
    </w:p>
  </w:endnote>
  <w:endnote w:type="continuationSeparator" w:id="0">
    <w:p w:rsidR="00AD1645" w:rsidRDefault="00AD1645"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45" w:rsidRDefault="00AD1645" w:rsidP="00AD1645">
      <w:pPr>
        <w:spacing w:before="0"/>
      </w:pPr>
      <w:r>
        <w:separator/>
      </w:r>
    </w:p>
  </w:footnote>
  <w:footnote w:type="continuationSeparator" w:id="0">
    <w:p w:rsidR="00AD1645" w:rsidRDefault="00AD1645" w:rsidP="00AD16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3D0005"/>
    <w:multiLevelType w:val="hybridMultilevel"/>
    <w:tmpl w:val="EFC01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8532F5"/>
    <w:multiLevelType w:val="hybridMultilevel"/>
    <w:tmpl w:val="20328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B73BBE"/>
    <w:multiLevelType w:val="hybridMultilevel"/>
    <w:tmpl w:val="61AC8E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D1017A1"/>
    <w:multiLevelType w:val="hybridMultilevel"/>
    <w:tmpl w:val="7996C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D744E0"/>
    <w:multiLevelType w:val="hybridMultilevel"/>
    <w:tmpl w:val="ECF03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94A02ED"/>
    <w:multiLevelType w:val="hybridMultilevel"/>
    <w:tmpl w:val="EA72BB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13D7D74"/>
    <w:multiLevelType w:val="hybridMultilevel"/>
    <w:tmpl w:val="4BC42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4B942625"/>
    <w:multiLevelType w:val="hybridMultilevel"/>
    <w:tmpl w:val="067AE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E0B3C91"/>
    <w:multiLevelType w:val="hybridMultilevel"/>
    <w:tmpl w:val="ABD49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C9802B6"/>
    <w:multiLevelType w:val="hybridMultilevel"/>
    <w:tmpl w:val="E1262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01E2205"/>
    <w:multiLevelType w:val="hybridMultilevel"/>
    <w:tmpl w:val="C8586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4">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8"/>
  </w:num>
  <w:num w:numId="4">
    <w:abstractNumId w:val="21"/>
  </w:num>
  <w:num w:numId="5">
    <w:abstractNumId w:val="19"/>
  </w:num>
  <w:num w:numId="6">
    <w:abstractNumId w:val="1"/>
  </w:num>
  <w:num w:numId="7">
    <w:abstractNumId w:val="15"/>
  </w:num>
  <w:num w:numId="8">
    <w:abstractNumId w:val="23"/>
  </w:num>
  <w:num w:numId="9">
    <w:abstractNumId w:val="11"/>
  </w:num>
  <w:num w:numId="10">
    <w:abstractNumId w:val="24"/>
  </w:num>
  <w:num w:numId="11">
    <w:abstractNumId w:val="2"/>
  </w:num>
  <w:num w:numId="12">
    <w:abstractNumId w:val="9"/>
  </w:num>
  <w:num w:numId="13">
    <w:abstractNumId w:val="0"/>
  </w:num>
  <w:num w:numId="14">
    <w:abstractNumId w:val="12"/>
  </w:num>
  <w:num w:numId="15">
    <w:abstractNumId w:val="10"/>
  </w:num>
  <w:num w:numId="16">
    <w:abstractNumId w:val="22"/>
  </w:num>
  <w:num w:numId="17">
    <w:abstractNumId w:val="6"/>
  </w:num>
  <w:num w:numId="18">
    <w:abstractNumId w:val="17"/>
  </w:num>
  <w:num w:numId="19">
    <w:abstractNumId w:val="3"/>
  </w:num>
  <w:num w:numId="20">
    <w:abstractNumId w:val="20"/>
  </w:num>
  <w:num w:numId="21">
    <w:abstractNumId w:val="5"/>
  </w:num>
  <w:num w:numId="22">
    <w:abstractNumId w:val="13"/>
  </w:num>
  <w:num w:numId="23">
    <w:abstractNumId w:val="7"/>
  </w:num>
  <w:num w:numId="24">
    <w:abstractNumId w:val="14"/>
  </w:num>
  <w:num w:numId="25">
    <w:abstractNumId w:val="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668E"/>
    <w:rsid w:val="0001278B"/>
    <w:rsid w:val="00021ED2"/>
    <w:rsid w:val="0002691A"/>
    <w:rsid w:val="00030B79"/>
    <w:rsid w:val="00031D0B"/>
    <w:rsid w:val="00042F55"/>
    <w:rsid w:val="00043B6D"/>
    <w:rsid w:val="00051C3F"/>
    <w:rsid w:val="00051E2A"/>
    <w:rsid w:val="00061743"/>
    <w:rsid w:val="00066DAE"/>
    <w:rsid w:val="00074C1A"/>
    <w:rsid w:val="000760DC"/>
    <w:rsid w:val="000844AF"/>
    <w:rsid w:val="00084B46"/>
    <w:rsid w:val="00085730"/>
    <w:rsid w:val="00090B9E"/>
    <w:rsid w:val="00096B8D"/>
    <w:rsid w:val="000A3595"/>
    <w:rsid w:val="000A772F"/>
    <w:rsid w:val="000B0A65"/>
    <w:rsid w:val="000B3F3F"/>
    <w:rsid w:val="000B4130"/>
    <w:rsid w:val="000B5B6F"/>
    <w:rsid w:val="000C2DDB"/>
    <w:rsid w:val="000C5204"/>
    <w:rsid w:val="000D365F"/>
    <w:rsid w:val="000E02A0"/>
    <w:rsid w:val="000E3915"/>
    <w:rsid w:val="001108C6"/>
    <w:rsid w:val="00110F59"/>
    <w:rsid w:val="0011719D"/>
    <w:rsid w:val="00117C6F"/>
    <w:rsid w:val="00126429"/>
    <w:rsid w:val="001310C6"/>
    <w:rsid w:val="00140359"/>
    <w:rsid w:val="0014275B"/>
    <w:rsid w:val="00144B60"/>
    <w:rsid w:val="001502F9"/>
    <w:rsid w:val="0015134A"/>
    <w:rsid w:val="00152472"/>
    <w:rsid w:val="00153D2F"/>
    <w:rsid w:val="0016189E"/>
    <w:rsid w:val="00163809"/>
    <w:rsid w:val="0016653C"/>
    <w:rsid w:val="00172C28"/>
    <w:rsid w:val="00174625"/>
    <w:rsid w:val="00176E59"/>
    <w:rsid w:val="00191AEC"/>
    <w:rsid w:val="001920F3"/>
    <w:rsid w:val="001A737C"/>
    <w:rsid w:val="001B259B"/>
    <w:rsid w:val="001B5379"/>
    <w:rsid w:val="001B7370"/>
    <w:rsid w:val="001C64F9"/>
    <w:rsid w:val="001D0DCF"/>
    <w:rsid w:val="001D32BF"/>
    <w:rsid w:val="001D69AF"/>
    <w:rsid w:val="001E0060"/>
    <w:rsid w:val="001E0FBA"/>
    <w:rsid w:val="001E4101"/>
    <w:rsid w:val="001E5B72"/>
    <w:rsid w:val="001E5D12"/>
    <w:rsid w:val="001E630D"/>
    <w:rsid w:val="001E7422"/>
    <w:rsid w:val="001F4805"/>
    <w:rsid w:val="001F4E3C"/>
    <w:rsid w:val="002154EE"/>
    <w:rsid w:val="00224887"/>
    <w:rsid w:val="002329E1"/>
    <w:rsid w:val="002334D9"/>
    <w:rsid w:val="00233AE2"/>
    <w:rsid w:val="00234F9E"/>
    <w:rsid w:val="0024760C"/>
    <w:rsid w:val="002533F0"/>
    <w:rsid w:val="002551F2"/>
    <w:rsid w:val="0025781E"/>
    <w:rsid w:val="002641FC"/>
    <w:rsid w:val="002642C7"/>
    <w:rsid w:val="00264C31"/>
    <w:rsid w:val="00274CAF"/>
    <w:rsid w:val="00276D06"/>
    <w:rsid w:val="00276F09"/>
    <w:rsid w:val="002810A5"/>
    <w:rsid w:val="00283079"/>
    <w:rsid w:val="002926E3"/>
    <w:rsid w:val="002A0E63"/>
    <w:rsid w:val="002A2A71"/>
    <w:rsid w:val="002A523B"/>
    <w:rsid w:val="002A6007"/>
    <w:rsid w:val="002A63EA"/>
    <w:rsid w:val="002A7C33"/>
    <w:rsid w:val="002B0175"/>
    <w:rsid w:val="002B42ED"/>
    <w:rsid w:val="002C1403"/>
    <w:rsid w:val="002C1938"/>
    <w:rsid w:val="002C2252"/>
    <w:rsid w:val="002C6177"/>
    <w:rsid w:val="002D0F1C"/>
    <w:rsid w:val="002D35D8"/>
    <w:rsid w:val="002D4522"/>
    <w:rsid w:val="002E0BB1"/>
    <w:rsid w:val="002F260E"/>
    <w:rsid w:val="00300D8B"/>
    <w:rsid w:val="00300E80"/>
    <w:rsid w:val="003028F9"/>
    <w:rsid w:val="003119FD"/>
    <w:rsid w:val="003263EE"/>
    <w:rsid w:val="00334F9D"/>
    <w:rsid w:val="00337065"/>
    <w:rsid w:val="00341AC4"/>
    <w:rsid w:val="003430FC"/>
    <w:rsid w:val="003434E2"/>
    <w:rsid w:val="00345FFE"/>
    <w:rsid w:val="0035378F"/>
    <w:rsid w:val="003606C5"/>
    <w:rsid w:val="00365424"/>
    <w:rsid w:val="00365770"/>
    <w:rsid w:val="00374A77"/>
    <w:rsid w:val="00380666"/>
    <w:rsid w:val="00383E9C"/>
    <w:rsid w:val="00386EC2"/>
    <w:rsid w:val="00387D89"/>
    <w:rsid w:val="00392EB6"/>
    <w:rsid w:val="00393D4E"/>
    <w:rsid w:val="00394743"/>
    <w:rsid w:val="003A04AD"/>
    <w:rsid w:val="003B1790"/>
    <w:rsid w:val="003B2BB8"/>
    <w:rsid w:val="003B3655"/>
    <w:rsid w:val="003B44E1"/>
    <w:rsid w:val="003B6009"/>
    <w:rsid w:val="003C0376"/>
    <w:rsid w:val="003C3368"/>
    <w:rsid w:val="003C46ED"/>
    <w:rsid w:val="003C54B6"/>
    <w:rsid w:val="003D0475"/>
    <w:rsid w:val="003D04AC"/>
    <w:rsid w:val="003D34FF"/>
    <w:rsid w:val="003D71F6"/>
    <w:rsid w:val="003D7BFA"/>
    <w:rsid w:val="003E1784"/>
    <w:rsid w:val="003E661F"/>
    <w:rsid w:val="00400273"/>
    <w:rsid w:val="00420387"/>
    <w:rsid w:val="0042132E"/>
    <w:rsid w:val="004255DA"/>
    <w:rsid w:val="00445536"/>
    <w:rsid w:val="00446D6C"/>
    <w:rsid w:val="00447CDB"/>
    <w:rsid w:val="0045240C"/>
    <w:rsid w:val="00453FC9"/>
    <w:rsid w:val="00454405"/>
    <w:rsid w:val="00456FBD"/>
    <w:rsid w:val="004616C3"/>
    <w:rsid w:val="004646E1"/>
    <w:rsid w:val="00470C3D"/>
    <w:rsid w:val="004726FF"/>
    <w:rsid w:val="004814F1"/>
    <w:rsid w:val="00482411"/>
    <w:rsid w:val="00483940"/>
    <w:rsid w:val="00484492"/>
    <w:rsid w:val="004956ED"/>
    <w:rsid w:val="0049646F"/>
    <w:rsid w:val="00497768"/>
    <w:rsid w:val="004A0C19"/>
    <w:rsid w:val="004A126A"/>
    <w:rsid w:val="004A24AF"/>
    <w:rsid w:val="004B1815"/>
    <w:rsid w:val="004B3147"/>
    <w:rsid w:val="004B54CA"/>
    <w:rsid w:val="004C163F"/>
    <w:rsid w:val="004D336A"/>
    <w:rsid w:val="004E3A61"/>
    <w:rsid w:val="004E431D"/>
    <w:rsid w:val="004E5CBF"/>
    <w:rsid w:val="004F1CD0"/>
    <w:rsid w:val="004F264A"/>
    <w:rsid w:val="004F3AE9"/>
    <w:rsid w:val="004F5308"/>
    <w:rsid w:val="004F69ED"/>
    <w:rsid w:val="00511520"/>
    <w:rsid w:val="005117DD"/>
    <w:rsid w:val="00527238"/>
    <w:rsid w:val="005332C8"/>
    <w:rsid w:val="00540BD8"/>
    <w:rsid w:val="0055503B"/>
    <w:rsid w:val="00562CBC"/>
    <w:rsid w:val="0056603F"/>
    <w:rsid w:val="00566538"/>
    <w:rsid w:val="00566BF6"/>
    <w:rsid w:val="00570884"/>
    <w:rsid w:val="00576330"/>
    <w:rsid w:val="0057641C"/>
    <w:rsid w:val="005766D2"/>
    <w:rsid w:val="00591CBF"/>
    <w:rsid w:val="00591D1A"/>
    <w:rsid w:val="005940BD"/>
    <w:rsid w:val="00594251"/>
    <w:rsid w:val="005B130D"/>
    <w:rsid w:val="005C2BE2"/>
    <w:rsid w:val="005C390A"/>
    <w:rsid w:val="005C3AA9"/>
    <w:rsid w:val="005C54B4"/>
    <w:rsid w:val="005C78B2"/>
    <w:rsid w:val="005E4167"/>
    <w:rsid w:val="005E4362"/>
    <w:rsid w:val="005E4607"/>
    <w:rsid w:val="005E7B26"/>
    <w:rsid w:val="005F41C9"/>
    <w:rsid w:val="005F5E17"/>
    <w:rsid w:val="00607A05"/>
    <w:rsid w:val="0061121B"/>
    <w:rsid w:val="00614C63"/>
    <w:rsid w:val="00620404"/>
    <w:rsid w:val="00622668"/>
    <w:rsid w:val="00622B71"/>
    <w:rsid w:val="006234D8"/>
    <w:rsid w:val="00624E34"/>
    <w:rsid w:val="00632F44"/>
    <w:rsid w:val="006402A6"/>
    <w:rsid w:val="006407D3"/>
    <w:rsid w:val="0064167D"/>
    <w:rsid w:val="00650B9C"/>
    <w:rsid w:val="00650C1C"/>
    <w:rsid w:val="00650F71"/>
    <w:rsid w:val="00651FFE"/>
    <w:rsid w:val="00652974"/>
    <w:rsid w:val="006544E0"/>
    <w:rsid w:val="006546B7"/>
    <w:rsid w:val="006643AB"/>
    <w:rsid w:val="0067070B"/>
    <w:rsid w:val="00672BC7"/>
    <w:rsid w:val="00676F8E"/>
    <w:rsid w:val="00680EF2"/>
    <w:rsid w:val="00681C7F"/>
    <w:rsid w:val="006833AC"/>
    <w:rsid w:val="00683FF5"/>
    <w:rsid w:val="00687351"/>
    <w:rsid w:val="0069474B"/>
    <w:rsid w:val="006A0A46"/>
    <w:rsid w:val="006A1F70"/>
    <w:rsid w:val="006A2923"/>
    <w:rsid w:val="006A4CE7"/>
    <w:rsid w:val="006A5D55"/>
    <w:rsid w:val="006A6D51"/>
    <w:rsid w:val="006C0CFA"/>
    <w:rsid w:val="006C5E5E"/>
    <w:rsid w:val="006D2BB5"/>
    <w:rsid w:val="006D370A"/>
    <w:rsid w:val="006E1B19"/>
    <w:rsid w:val="006E683E"/>
    <w:rsid w:val="006F0769"/>
    <w:rsid w:val="006F60D1"/>
    <w:rsid w:val="00701486"/>
    <w:rsid w:val="00704286"/>
    <w:rsid w:val="00720E42"/>
    <w:rsid w:val="007352E7"/>
    <w:rsid w:val="0073766B"/>
    <w:rsid w:val="00740A3E"/>
    <w:rsid w:val="00744650"/>
    <w:rsid w:val="00762A05"/>
    <w:rsid w:val="00771003"/>
    <w:rsid w:val="0077461F"/>
    <w:rsid w:val="0078126B"/>
    <w:rsid w:val="00785261"/>
    <w:rsid w:val="007907A8"/>
    <w:rsid w:val="007938F3"/>
    <w:rsid w:val="0079557B"/>
    <w:rsid w:val="007A53DD"/>
    <w:rsid w:val="007B0256"/>
    <w:rsid w:val="007B30D2"/>
    <w:rsid w:val="007B69DD"/>
    <w:rsid w:val="007C1A4B"/>
    <w:rsid w:val="007C4060"/>
    <w:rsid w:val="007C5234"/>
    <w:rsid w:val="007D6273"/>
    <w:rsid w:val="007D63D6"/>
    <w:rsid w:val="007D666C"/>
    <w:rsid w:val="007D6B0B"/>
    <w:rsid w:val="007E4FAD"/>
    <w:rsid w:val="007F44F6"/>
    <w:rsid w:val="00803528"/>
    <w:rsid w:val="00807264"/>
    <w:rsid w:val="00807CD7"/>
    <w:rsid w:val="008131F1"/>
    <w:rsid w:val="00816CFA"/>
    <w:rsid w:val="0083135C"/>
    <w:rsid w:val="00835203"/>
    <w:rsid w:val="00841C22"/>
    <w:rsid w:val="00847DB5"/>
    <w:rsid w:val="00854DA3"/>
    <w:rsid w:val="00860BE9"/>
    <w:rsid w:val="008707FE"/>
    <w:rsid w:val="00871F28"/>
    <w:rsid w:val="008761FF"/>
    <w:rsid w:val="008806BF"/>
    <w:rsid w:val="00880E92"/>
    <w:rsid w:val="008947D6"/>
    <w:rsid w:val="00896466"/>
    <w:rsid w:val="008B026E"/>
    <w:rsid w:val="008B1AA5"/>
    <w:rsid w:val="008B4CF1"/>
    <w:rsid w:val="008C2E1E"/>
    <w:rsid w:val="008C3A1F"/>
    <w:rsid w:val="008D2D41"/>
    <w:rsid w:val="008D2FC2"/>
    <w:rsid w:val="008D59CA"/>
    <w:rsid w:val="008D68B6"/>
    <w:rsid w:val="008D7A97"/>
    <w:rsid w:val="008E1D0E"/>
    <w:rsid w:val="008E320A"/>
    <w:rsid w:val="008F0659"/>
    <w:rsid w:val="008F5702"/>
    <w:rsid w:val="0090702B"/>
    <w:rsid w:val="00913AC4"/>
    <w:rsid w:val="009140F6"/>
    <w:rsid w:val="00915A96"/>
    <w:rsid w:val="009225F0"/>
    <w:rsid w:val="00930624"/>
    <w:rsid w:val="00932E80"/>
    <w:rsid w:val="00935A03"/>
    <w:rsid w:val="00936DA3"/>
    <w:rsid w:val="009426E4"/>
    <w:rsid w:val="00946730"/>
    <w:rsid w:val="00950ACB"/>
    <w:rsid w:val="0095196E"/>
    <w:rsid w:val="00956519"/>
    <w:rsid w:val="00966756"/>
    <w:rsid w:val="00966F79"/>
    <w:rsid w:val="00970D92"/>
    <w:rsid w:val="00973738"/>
    <w:rsid w:val="009747AC"/>
    <w:rsid w:val="00982502"/>
    <w:rsid w:val="00984556"/>
    <w:rsid w:val="00985038"/>
    <w:rsid w:val="0099649B"/>
    <w:rsid w:val="009A4EAB"/>
    <w:rsid w:val="009A5D3E"/>
    <w:rsid w:val="009B17E6"/>
    <w:rsid w:val="009B71A9"/>
    <w:rsid w:val="009C2131"/>
    <w:rsid w:val="009C3C12"/>
    <w:rsid w:val="009C63A9"/>
    <w:rsid w:val="009C63B6"/>
    <w:rsid w:val="009D1BE5"/>
    <w:rsid w:val="009F0846"/>
    <w:rsid w:val="009F3C43"/>
    <w:rsid w:val="00A06B72"/>
    <w:rsid w:val="00A07D5E"/>
    <w:rsid w:val="00A21409"/>
    <w:rsid w:val="00A219A7"/>
    <w:rsid w:val="00A27E85"/>
    <w:rsid w:val="00A30A05"/>
    <w:rsid w:val="00A375D4"/>
    <w:rsid w:val="00A37984"/>
    <w:rsid w:val="00A42690"/>
    <w:rsid w:val="00A4616D"/>
    <w:rsid w:val="00A52C45"/>
    <w:rsid w:val="00A6045B"/>
    <w:rsid w:val="00A63D74"/>
    <w:rsid w:val="00A66DD0"/>
    <w:rsid w:val="00A719D2"/>
    <w:rsid w:val="00A763EC"/>
    <w:rsid w:val="00A7799B"/>
    <w:rsid w:val="00A863CC"/>
    <w:rsid w:val="00A8767B"/>
    <w:rsid w:val="00A94C22"/>
    <w:rsid w:val="00AA0F80"/>
    <w:rsid w:val="00AA37AC"/>
    <w:rsid w:val="00AA45C6"/>
    <w:rsid w:val="00AA4857"/>
    <w:rsid w:val="00AA621D"/>
    <w:rsid w:val="00AB37C2"/>
    <w:rsid w:val="00AB7356"/>
    <w:rsid w:val="00AC271F"/>
    <w:rsid w:val="00AC2755"/>
    <w:rsid w:val="00AC635D"/>
    <w:rsid w:val="00AC7832"/>
    <w:rsid w:val="00AD0C9C"/>
    <w:rsid w:val="00AD1347"/>
    <w:rsid w:val="00AD1645"/>
    <w:rsid w:val="00AE11F6"/>
    <w:rsid w:val="00AE3176"/>
    <w:rsid w:val="00AF0E6A"/>
    <w:rsid w:val="00AF47D6"/>
    <w:rsid w:val="00B01538"/>
    <w:rsid w:val="00B04EB0"/>
    <w:rsid w:val="00B24D89"/>
    <w:rsid w:val="00B25A90"/>
    <w:rsid w:val="00B261D9"/>
    <w:rsid w:val="00B33E33"/>
    <w:rsid w:val="00B376E6"/>
    <w:rsid w:val="00B465D9"/>
    <w:rsid w:val="00B52B87"/>
    <w:rsid w:val="00B54C30"/>
    <w:rsid w:val="00B6472A"/>
    <w:rsid w:val="00B73680"/>
    <w:rsid w:val="00B74531"/>
    <w:rsid w:val="00B777D9"/>
    <w:rsid w:val="00B80E44"/>
    <w:rsid w:val="00B821A0"/>
    <w:rsid w:val="00B95264"/>
    <w:rsid w:val="00B97B98"/>
    <w:rsid w:val="00BA0CA7"/>
    <w:rsid w:val="00BA2DB9"/>
    <w:rsid w:val="00BB0D37"/>
    <w:rsid w:val="00BB777F"/>
    <w:rsid w:val="00BC6949"/>
    <w:rsid w:val="00BC76EB"/>
    <w:rsid w:val="00BD25AE"/>
    <w:rsid w:val="00BD53B5"/>
    <w:rsid w:val="00BD7E9D"/>
    <w:rsid w:val="00BE56A0"/>
    <w:rsid w:val="00BE7148"/>
    <w:rsid w:val="00BF2FB3"/>
    <w:rsid w:val="00BF481A"/>
    <w:rsid w:val="00C147C8"/>
    <w:rsid w:val="00C21C68"/>
    <w:rsid w:val="00C2733D"/>
    <w:rsid w:val="00C32ADF"/>
    <w:rsid w:val="00C35089"/>
    <w:rsid w:val="00C36DE7"/>
    <w:rsid w:val="00C37944"/>
    <w:rsid w:val="00C37BA8"/>
    <w:rsid w:val="00C44B0E"/>
    <w:rsid w:val="00C450CA"/>
    <w:rsid w:val="00C4511C"/>
    <w:rsid w:val="00C455A2"/>
    <w:rsid w:val="00C4770A"/>
    <w:rsid w:val="00C52042"/>
    <w:rsid w:val="00C559BF"/>
    <w:rsid w:val="00C72045"/>
    <w:rsid w:val="00C7238E"/>
    <w:rsid w:val="00C77B41"/>
    <w:rsid w:val="00CA33B2"/>
    <w:rsid w:val="00CA3D78"/>
    <w:rsid w:val="00CA43C4"/>
    <w:rsid w:val="00CA6F15"/>
    <w:rsid w:val="00CB03D0"/>
    <w:rsid w:val="00CB344C"/>
    <w:rsid w:val="00CB42CE"/>
    <w:rsid w:val="00CC7EC4"/>
    <w:rsid w:val="00CE3DB4"/>
    <w:rsid w:val="00CF0527"/>
    <w:rsid w:val="00D11651"/>
    <w:rsid w:val="00D15ACC"/>
    <w:rsid w:val="00D16EDF"/>
    <w:rsid w:val="00D1706F"/>
    <w:rsid w:val="00D2075E"/>
    <w:rsid w:val="00D21D83"/>
    <w:rsid w:val="00D243C5"/>
    <w:rsid w:val="00D31C51"/>
    <w:rsid w:val="00D367AA"/>
    <w:rsid w:val="00D37C2C"/>
    <w:rsid w:val="00D41C7D"/>
    <w:rsid w:val="00D44ABA"/>
    <w:rsid w:val="00D459E0"/>
    <w:rsid w:val="00D61C4B"/>
    <w:rsid w:val="00D62CF1"/>
    <w:rsid w:val="00D62D42"/>
    <w:rsid w:val="00D708CA"/>
    <w:rsid w:val="00D72F4B"/>
    <w:rsid w:val="00D812E2"/>
    <w:rsid w:val="00D92A9F"/>
    <w:rsid w:val="00DA02E1"/>
    <w:rsid w:val="00DB39E9"/>
    <w:rsid w:val="00DB6E7A"/>
    <w:rsid w:val="00DC5528"/>
    <w:rsid w:val="00DC765C"/>
    <w:rsid w:val="00DD3BC1"/>
    <w:rsid w:val="00DE0717"/>
    <w:rsid w:val="00DE3A1F"/>
    <w:rsid w:val="00DF2123"/>
    <w:rsid w:val="00DF7950"/>
    <w:rsid w:val="00E01E71"/>
    <w:rsid w:val="00E027AF"/>
    <w:rsid w:val="00E14A11"/>
    <w:rsid w:val="00E15CFF"/>
    <w:rsid w:val="00E230ED"/>
    <w:rsid w:val="00E23C53"/>
    <w:rsid w:val="00E32139"/>
    <w:rsid w:val="00E41D46"/>
    <w:rsid w:val="00E44FD4"/>
    <w:rsid w:val="00E478D5"/>
    <w:rsid w:val="00E62C37"/>
    <w:rsid w:val="00E708B1"/>
    <w:rsid w:val="00E72DC6"/>
    <w:rsid w:val="00E745BB"/>
    <w:rsid w:val="00E757F3"/>
    <w:rsid w:val="00E7675B"/>
    <w:rsid w:val="00E87016"/>
    <w:rsid w:val="00E907A4"/>
    <w:rsid w:val="00E9199F"/>
    <w:rsid w:val="00E91CBC"/>
    <w:rsid w:val="00E9738E"/>
    <w:rsid w:val="00E979AD"/>
    <w:rsid w:val="00EA16F9"/>
    <w:rsid w:val="00EA2DDC"/>
    <w:rsid w:val="00EA3666"/>
    <w:rsid w:val="00EA677D"/>
    <w:rsid w:val="00EA6829"/>
    <w:rsid w:val="00EA76C2"/>
    <w:rsid w:val="00EB2AC5"/>
    <w:rsid w:val="00EB51BC"/>
    <w:rsid w:val="00EC0C59"/>
    <w:rsid w:val="00EC25F5"/>
    <w:rsid w:val="00EC47F6"/>
    <w:rsid w:val="00EC4906"/>
    <w:rsid w:val="00ED0B83"/>
    <w:rsid w:val="00ED1D5E"/>
    <w:rsid w:val="00ED6412"/>
    <w:rsid w:val="00ED6613"/>
    <w:rsid w:val="00EE2764"/>
    <w:rsid w:val="00EE76EE"/>
    <w:rsid w:val="00EF4750"/>
    <w:rsid w:val="00EF54F0"/>
    <w:rsid w:val="00F0576D"/>
    <w:rsid w:val="00F108ED"/>
    <w:rsid w:val="00F227A4"/>
    <w:rsid w:val="00F328DA"/>
    <w:rsid w:val="00F35271"/>
    <w:rsid w:val="00F35580"/>
    <w:rsid w:val="00F40254"/>
    <w:rsid w:val="00F40AF5"/>
    <w:rsid w:val="00F43069"/>
    <w:rsid w:val="00F502A9"/>
    <w:rsid w:val="00F52853"/>
    <w:rsid w:val="00F61567"/>
    <w:rsid w:val="00F754A3"/>
    <w:rsid w:val="00F8251D"/>
    <w:rsid w:val="00FA0F37"/>
    <w:rsid w:val="00FA6F53"/>
    <w:rsid w:val="00FA7196"/>
    <w:rsid w:val="00FB1628"/>
    <w:rsid w:val="00FB2C5B"/>
    <w:rsid w:val="00FC09E9"/>
    <w:rsid w:val="00FC6827"/>
    <w:rsid w:val="00FD2F20"/>
    <w:rsid w:val="00FD368E"/>
    <w:rsid w:val="00FD6BF4"/>
    <w:rsid w:val="00FD7A80"/>
    <w:rsid w:val="00FE305C"/>
    <w:rsid w:val="00FE5C69"/>
    <w:rsid w:val="00FF0546"/>
    <w:rsid w:val="00FF20B0"/>
    <w:rsid w:val="00FF3D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7D6"/>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subsection">
    <w:name w:val="subsection"/>
    <w:basedOn w:val="Normal"/>
    <w:rsid w:val="00F40AF5"/>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7D6"/>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subsection">
    <w:name w:val="subsection"/>
    <w:basedOn w:val="Normal"/>
    <w:rsid w:val="00F40AF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127431">
      <w:bodyDiv w:val="1"/>
      <w:marLeft w:val="0"/>
      <w:marRight w:val="0"/>
      <w:marTop w:val="0"/>
      <w:marBottom w:val="0"/>
      <w:divBdr>
        <w:top w:val="none" w:sz="0" w:space="0" w:color="auto"/>
        <w:left w:val="none" w:sz="0" w:space="0" w:color="auto"/>
        <w:bottom w:val="none" w:sz="0" w:space="0" w:color="auto"/>
        <w:right w:val="none" w:sz="0" w:space="0" w:color="auto"/>
      </w:divBdr>
    </w:div>
    <w:div w:id="986710998">
      <w:bodyDiv w:val="1"/>
      <w:marLeft w:val="0"/>
      <w:marRight w:val="0"/>
      <w:marTop w:val="0"/>
      <w:marBottom w:val="0"/>
      <w:divBdr>
        <w:top w:val="none" w:sz="0" w:space="0" w:color="auto"/>
        <w:left w:val="none" w:sz="0" w:space="0" w:color="auto"/>
        <w:bottom w:val="none" w:sz="0" w:space="0" w:color="auto"/>
        <w:right w:val="none" w:sz="0" w:space="0" w:color="auto"/>
      </w:divBdr>
    </w:div>
    <w:div w:id="1467969039">
      <w:bodyDiv w:val="1"/>
      <w:marLeft w:val="0"/>
      <w:marRight w:val="0"/>
      <w:marTop w:val="0"/>
      <w:marBottom w:val="0"/>
      <w:divBdr>
        <w:top w:val="none" w:sz="0" w:space="0" w:color="auto"/>
        <w:left w:val="none" w:sz="0" w:space="0" w:color="auto"/>
        <w:bottom w:val="none" w:sz="0" w:space="0" w:color="auto"/>
        <w:right w:val="none" w:sz="0" w:space="0" w:color="auto"/>
      </w:divBdr>
    </w:div>
    <w:div w:id="1479420475">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F6D0B0E3DC1CA4D9E47673BF73EF769" ma:contentTypeVersion="" ma:contentTypeDescription="PDMS Documentation Content Type" ma:contentTypeScope="" ma:versionID="3dd6d766d250fcc5d9ea0952ee2bb1e3">
  <xsd:schema xmlns:xsd="http://www.w3.org/2001/XMLSchema" xmlns:xs="http://www.w3.org/2001/XMLSchema" xmlns:p="http://schemas.microsoft.com/office/2006/metadata/properties" xmlns:ns2="3179130F-116E-4C1D-9F0E-0A487020D2E0" targetNamespace="http://schemas.microsoft.com/office/2006/metadata/properties" ma:root="true" ma:fieldsID="d7ad133f6cb4c01ba19fcac2b56dafab" ns2:_="">
    <xsd:import namespace="3179130F-116E-4C1D-9F0E-0A487020D2E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130F-116E-4C1D-9F0E-0A487020D2E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Reason xmlns="3179130F-116E-4C1D-9F0E-0A487020D2E0" xsi:nil="true"/>
    <SecurityClassification xmlns="3179130F-116E-4C1D-9F0E-0A487020D2E0" xsi:nil="true"/>
    <pdms_DocumentType xmlns="3179130F-116E-4C1D-9F0E-0A487020D2E0" xsi:nil="true"/>
    <pdms_SecurityClassification xmlns="3179130F-116E-4C1D-9F0E-0A487020D2E0" xsi:nil="true"/>
    <pdms_AttachedBy xmlns="3179130F-116E-4C1D-9F0E-0A487020D2E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ECAD3-EF7F-47AB-94D4-F8F26B1C871E}">
  <ds:schemaRefs>
    <ds:schemaRef ds:uri="http://schemas.microsoft.com/sharepoint/v3/contenttype/forms"/>
  </ds:schemaRefs>
</ds:datastoreItem>
</file>

<file path=customXml/itemProps2.xml><?xml version="1.0" encoding="utf-8"?>
<ds:datastoreItem xmlns:ds="http://schemas.openxmlformats.org/officeDocument/2006/customXml" ds:itemID="{E05C96CE-9E93-47AC-A240-CD45FE818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130F-116E-4C1D-9F0E-0A487020D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5BB601-FFB3-444C-A0E3-4A80301F5399}">
  <ds:schemaRefs>
    <ds:schemaRef ds:uri="http://schemas.microsoft.com/office/infopath/2007/PartnerControls"/>
    <ds:schemaRef ds:uri="http://schemas.microsoft.com/office/2006/metadata/properties"/>
    <ds:schemaRef ds:uri="http://purl.org/dc/dcmitype/"/>
    <ds:schemaRef ds:uri="http://purl.org/dc/elements/1.1/"/>
    <ds:schemaRef ds:uri="3179130F-116E-4C1D-9F0E-0A487020D2E0"/>
    <ds:schemaRef ds:uri="http://purl.org/dc/terms/"/>
    <ds:schemaRef ds:uri="http://www.w3.org/XML/1998/namespace"/>
    <ds:schemaRef ds:uri="http://schemas.openxmlformats.org/package/2006/metadata/core-properties"/>
    <ds:schemaRef ds:uri="http://schemas.microsoft.com/office/2006/documentManagement/types"/>
  </ds:schemaRefs>
</ds:datastoreItem>
</file>

<file path=customXml/itemProps4.xml><?xml version="1.0" encoding="utf-8"?>
<ds:datastoreItem xmlns:ds="http://schemas.openxmlformats.org/officeDocument/2006/customXml" ds:itemID="{94E19CB0-7A81-43E9-BEF3-20081577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2831</Words>
  <Characters>16141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Burrowes, Megan</cp:lastModifiedBy>
  <cp:revision>2</cp:revision>
  <cp:lastPrinted>2016-04-13T23:06:00Z</cp:lastPrinted>
  <dcterms:created xsi:type="dcterms:W3CDTF">2016-04-13T23:54:00Z</dcterms:created>
  <dcterms:modified xsi:type="dcterms:W3CDTF">2016-04-13T23:54:00Z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0x010100266966F133664895A6EE3632470D45F501006F6D0B0E3DC1CA4D9E47673BF73EF769</vt:lpwstr>
  </property>
</Properties>
</file>