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77D04" w:rsidRDefault="00952ED1" w:rsidP="00515B8E">
      <w:pPr>
        <w:pStyle w:val="Heading1"/>
        <w:spacing w:before="120" w:after="240"/>
        <w:jc w:val="center"/>
        <w:rPr>
          <w:rFonts w:ascii="Times New Roman" w:hAnsi="Times New Roman" w:cs="Times New Roman"/>
          <w:sz w:val="24"/>
          <w:szCs w:val="24"/>
        </w:rPr>
      </w:pPr>
      <w:r w:rsidRPr="00977D04">
        <w:rPr>
          <w:rFonts w:ascii="Times New Roman" w:hAnsi="Times New Roman" w:cs="Times New Roman"/>
          <w:sz w:val="24"/>
          <w:szCs w:val="24"/>
        </w:rPr>
        <w:t>E</w:t>
      </w:r>
      <w:r w:rsidR="00BA0BF3" w:rsidRPr="00977D04">
        <w:rPr>
          <w:rFonts w:ascii="Times New Roman" w:hAnsi="Times New Roman" w:cs="Times New Roman"/>
          <w:sz w:val="24"/>
          <w:szCs w:val="24"/>
        </w:rPr>
        <w:t>XPLANATORY STATEMENT</w:t>
      </w:r>
    </w:p>
    <w:p w:rsidR="006A749C" w:rsidRPr="00977D04" w:rsidRDefault="00474C20">
      <w:pPr>
        <w:jc w:val="center"/>
        <w:rPr>
          <w:b/>
        </w:rPr>
      </w:pPr>
      <w:r w:rsidRPr="00977D04">
        <w:rPr>
          <w:b/>
        </w:rPr>
        <w:t>Issued by the Authority of the Minister for Finance</w:t>
      </w:r>
    </w:p>
    <w:p w:rsidR="006A749C" w:rsidRPr="00977D04" w:rsidRDefault="006A749C">
      <w:pPr>
        <w:jc w:val="center"/>
        <w:rPr>
          <w:b/>
        </w:rPr>
      </w:pPr>
    </w:p>
    <w:p w:rsidR="006A749C" w:rsidRDefault="00474C20">
      <w:pPr>
        <w:jc w:val="center"/>
        <w:rPr>
          <w:i/>
        </w:rPr>
      </w:pPr>
      <w:r w:rsidRPr="00977D04">
        <w:rPr>
          <w:i/>
        </w:rPr>
        <w:t>Public Governance, Performance and Accountability Act 2013</w:t>
      </w:r>
    </w:p>
    <w:p w:rsidR="006A749C" w:rsidRPr="00977D04" w:rsidRDefault="006A749C" w:rsidP="00FA5224">
      <w:pPr>
        <w:jc w:val="center"/>
        <w:rPr>
          <w:i/>
        </w:rPr>
      </w:pPr>
    </w:p>
    <w:p w:rsidR="00B01F50" w:rsidRPr="00977D04" w:rsidRDefault="00B01F50" w:rsidP="00B01F50">
      <w:pPr>
        <w:jc w:val="center"/>
        <w:rPr>
          <w:i/>
        </w:rPr>
      </w:pPr>
      <w:r w:rsidRPr="00035FE8">
        <w:rPr>
          <w:i/>
        </w:rPr>
        <w:t>Public Governance, Performance and Accountability</w:t>
      </w:r>
      <w:r w:rsidR="00042B38">
        <w:rPr>
          <w:i/>
        </w:rPr>
        <w:t xml:space="preserve"> </w:t>
      </w:r>
      <w:r w:rsidR="00D470B1">
        <w:rPr>
          <w:i/>
        </w:rPr>
        <w:t>Amendment</w:t>
      </w:r>
      <w:r w:rsidR="00042B38">
        <w:rPr>
          <w:i/>
        </w:rPr>
        <w:t xml:space="preserve"> </w:t>
      </w:r>
      <w:r w:rsidR="00241AFA" w:rsidRPr="00D41A45">
        <w:rPr>
          <w:i/>
        </w:rPr>
        <w:t>(</w:t>
      </w:r>
      <w:r w:rsidR="00817573">
        <w:rPr>
          <w:i/>
        </w:rPr>
        <w:t>CSC</w:t>
      </w:r>
      <w:r w:rsidR="00241AFA">
        <w:rPr>
          <w:i/>
        </w:rPr>
        <w:t xml:space="preserve">) </w:t>
      </w:r>
      <w:r w:rsidR="00FA5224">
        <w:rPr>
          <w:i/>
        </w:rPr>
        <w:t>Rule 201</w:t>
      </w:r>
      <w:r w:rsidR="00100C8D">
        <w:rPr>
          <w:i/>
        </w:rPr>
        <w:t>6</w:t>
      </w:r>
    </w:p>
    <w:p w:rsidR="006A749C" w:rsidRPr="00977D04" w:rsidRDefault="006A749C">
      <w:pPr>
        <w:jc w:val="center"/>
        <w:rPr>
          <w:i/>
        </w:rPr>
      </w:pPr>
    </w:p>
    <w:p w:rsidR="003561C5" w:rsidRPr="00596CD4" w:rsidRDefault="003561C5" w:rsidP="003561C5">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sidR="00561ED6">
        <w:rPr>
          <w:lang w:val="en-AU"/>
        </w:rPr>
        <w:t xml:space="preserve">.  </w:t>
      </w:r>
      <w:r w:rsidRPr="00596CD4">
        <w:t>Section 101 of the PGPA Act provides that the Finance Minister may make rules by legislative instrument to prescribe matters giving effect to the Act.</w:t>
      </w:r>
    </w:p>
    <w:p w:rsidR="003561C5" w:rsidRDefault="003561C5" w:rsidP="00596CD4">
      <w:pPr>
        <w:rPr>
          <w:lang w:val="en-AU"/>
        </w:rPr>
      </w:pPr>
    </w:p>
    <w:p w:rsidR="00596CD4" w:rsidRDefault="00FA5224" w:rsidP="00B01F50">
      <w:pPr>
        <w:rPr>
          <w:lang w:val="en-AU"/>
        </w:rPr>
      </w:pPr>
      <w:r>
        <w:t xml:space="preserve">The </w:t>
      </w:r>
      <w:r w:rsidR="00905230" w:rsidRPr="00905230">
        <w:rPr>
          <w:i/>
        </w:rPr>
        <w:t xml:space="preserve">Public Governance, Performance and Accountability Amendment </w:t>
      </w:r>
      <w:r w:rsidR="00241AFA" w:rsidRPr="00D41A45">
        <w:rPr>
          <w:i/>
        </w:rPr>
        <w:t>(</w:t>
      </w:r>
      <w:r w:rsidR="00817573">
        <w:rPr>
          <w:i/>
        </w:rPr>
        <w:t>CSC</w:t>
      </w:r>
      <w:r w:rsidR="00241AFA">
        <w:rPr>
          <w:i/>
        </w:rPr>
        <w:t xml:space="preserve">) </w:t>
      </w:r>
      <w:r>
        <w:rPr>
          <w:i/>
        </w:rPr>
        <w:t>Rule 201</w:t>
      </w:r>
      <w:r w:rsidR="00100C8D">
        <w:rPr>
          <w:i/>
        </w:rPr>
        <w:t>6</w:t>
      </w:r>
      <w:r>
        <w:t xml:space="preserve"> </w:t>
      </w:r>
      <w:r w:rsidR="00035FE8">
        <w:t>(</w:t>
      </w:r>
      <w:r>
        <w:t>Amendment </w:t>
      </w:r>
      <w:r w:rsidR="00035FE8">
        <w:t xml:space="preserve">Rule) </w:t>
      </w:r>
      <w:r w:rsidR="00596CD4" w:rsidRPr="001F74A6">
        <w:t>is being mad</w:t>
      </w:r>
      <w:r w:rsidR="007F3F00">
        <w:t xml:space="preserve">e to amend </w:t>
      </w:r>
      <w:r>
        <w:t>the rule</w:t>
      </w:r>
      <w:r w:rsidR="00B01F50" w:rsidRPr="001F74A6">
        <w:t xml:space="preserve"> instrument made under t</w:t>
      </w:r>
      <w:r w:rsidR="00B01F50">
        <w:t>he PGPA Act</w:t>
      </w:r>
      <w:r>
        <w:t xml:space="preserve">, </w:t>
      </w:r>
      <w:r w:rsidR="00B01F50">
        <w:rPr>
          <w:lang w:val="en-AU"/>
        </w:rPr>
        <w:t xml:space="preserve">the </w:t>
      </w:r>
      <w:r w:rsidR="00B01F50" w:rsidRPr="004310CB">
        <w:rPr>
          <w:i/>
          <w:lang w:val="en-AU"/>
        </w:rPr>
        <w:t>Public Governance, Performance and Accountability Rule 2014</w:t>
      </w:r>
      <w:r w:rsidR="00D470B1">
        <w:rPr>
          <w:lang w:val="en-AU"/>
        </w:rPr>
        <w:t xml:space="preserve"> (PGPA </w:t>
      </w:r>
      <w:r w:rsidR="00B01F50">
        <w:rPr>
          <w:lang w:val="en-AU"/>
        </w:rPr>
        <w:t xml:space="preserve">Rule).  </w:t>
      </w:r>
    </w:p>
    <w:p w:rsidR="00A07460" w:rsidRDefault="00A07460" w:rsidP="00B01F50">
      <w:pPr>
        <w:rPr>
          <w:lang w:val="en-AU"/>
        </w:rPr>
      </w:pPr>
    </w:p>
    <w:p w:rsidR="00A07460" w:rsidRPr="00A07460" w:rsidRDefault="00A07460" w:rsidP="00A07460">
      <w:pPr>
        <w:autoSpaceDE w:val="0"/>
        <w:autoSpaceDN w:val="0"/>
      </w:pPr>
      <w:r w:rsidRPr="00A979BC">
        <w:t xml:space="preserve">Under subsection 33(3) of the </w:t>
      </w:r>
      <w:r w:rsidRPr="00EC410D">
        <w:rPr>
          <w:i/>
        </w:rPr>
        <w:t>Acts Interpretation Act 1901</w:t>
      </w:r>
      <w:r w:rsidRPr="00A979BC">
        <w:t>, where an Act confers a power to make, grant or issue any instrument of a legislative or</w:t>
      </w:r>
      <w:r>
        <w:t xml:space="preserve"> </w:t>
      </w:r>
      <w:r w:rsidRPr="00A979BC">
        <w:t>administrative character (including rules, regulations or by-laws), the power shall be construed as including a power exercisable in the like manner and</w:t>
      </w:r>
      <w:r>
        <w:t xml:space="preserve"> </w:t>
      </w:r>
      <w:r w:rsidRPr="00A979BC">
        <w:t>subject to the like conditions (if any) to repeal, rescind, revoke, amend, or vary any such instrument</w:t>
      </w:r>
      <w:r>
        <w:t xml:space="preserve">.  </w:t>
      </w:r>
    </w:p>
    <w:p w:rsidR="002519C6" w:rsidRDefault="002519C6" w:rsidP="002519C6"/>
    <w:p w:rsidR="0021466E" w:rsidRDefault="00817573">
      <w:r>
        <w:t>Com</w:t>
      </w:r>
      <w:r w:rsidR="00804C97">
        <w:t>S</w:t>
      </w:r>
      <w:r>
        <w:t xml:space="preserve">uper </w:t>
      </w:r>
      <w:r w:rsidR="008001AC">
        <w:t xml:space="preserve">merged </w:t>
      </w:r>
      <w:r>
        <w:t xml:space="preserve">with </w:t>
      </w:r>
      <w:r w:rsidR="00193A3B">
        <w:t>Commonwealth Superannuation Corporation (</w:t>
      </w:r>
      <w:r>
        <w:t>CSC</w:t>
      </w:r>
      <w:r w:rsidR="00193A3B">
        <w:t>)</w:t>
      </w:r>
      <w:r>
        <w:t xml:space="preserve"> on 1 July 2015</w:t>
      </w:r>
      <w:r w:rsidR="008001AC">
        <w:t xml:space="preserve">.  </w:t>
      </w:r>
      <w:r w:rsidR="00696B60" w:rsidRPr="00B817E6">
        <w:t xml:space="preserve">ComSuper </w:t>
      </w:r>
      <w:r w:rsidR="00696B60">
        <w:t xml:space="preserve">was </w:t>
      </w:r>
      <w:r w:rsidR="00696B60" w:rsidRPr="00B817E6">
        <w:t>a non-corporate Commonwealth entity (</w:t>
      </w:r>
      <w:r w:rsidR="004E3F75">
        <w:t>NCE</w:t>
      </w:r>
      <w:r w:rsidR="00696B60" w:rsidRPr="00B817E6">
        <w:t>)</w:t>
      </w:r>
      <w:r w:rsidR="00696B60">
        <w:t xml:space="preserve"> for the </w:t>
      </w:r>
      <w:r w:rsidR="00376DB4">
        <w:t>p</w:t>
      </w:r>
      <w:r w:rsidR="009F3FA6">
        <w:t>urposes of the PGPA </w:t>
      </w:r>
      <w:r w:rsidR="00696B60">
        <w:t xml:space="preserve">Act.  </w:t>
      </w:r>
      <w:proofErr w:type="spellStart"/>
      <w:r w:rsidR="00696B60">
        <w:t>ComSuper’s</w:t>
      </w:r>
      <w:proofErr w:type="spellEnd"/>
      <w:r w:rsidR="00696B60">
        <w:t xml:space="preserve"> main function was </w:t>
      </w:r>
      <w:r w:rsidR="00696B60" w:rsidRPr="00B817E6">
        <w:t>to provide administrative services to CSC in relation to the superannuation schemes administered by CSC</w:t>
      </w:r>
      <w:r w:rsidR="00696B60">
        <w:t>.</w:t>
      </w:r>
      <w:r w:rsidR="00696B60" w:rsidRPr="00696B60">
        <w:t xml:space="preserve"> </w:t>
      </w:r>
      <w:r w:rsidR="00696B60">
        <w:t xml:space="preserve"> </w:t>
      </w:r>
      <w:r w:rsidR="00696B60" w:rsidRPr="00B817E6">
        <w:t xml:space="preserve">CSC is the trustee </w:t>
      </w:r>
      <w:r w:rsidR="0052646A">
        <w:t>of</w:t>
      </w:r>
      <w:r w:rsidR="0052646A" w:rsidRPr="00B817E6">
        <w:t xml:space="preserve"> </w:t>
      </w:r>
      <w:r w:rsidR="00696B60" w:rsidRPr="00B817E6">
        <w:t>the Australian Government’s main civilian and military superannuation schemes.  CSC is a corporate Commonwealth entity (</w:t>
      </w:r>
      <w:r w:rsidR="00696B60" w:rsidRPr="00696B60">
        <w:t>CCE</w:t>
      </w:r>
      <w:r w:rsidR="00696B60">
        <w:t>) for the purposes of</w:t>
      </w:r>
      <w:r w:rsidR="007F5F63">
        <w:t xml:space="preserve"> </w:t>
      </w:r>
      <w:r w:rsidR="00696B60">
        <w:t>the PGPA Act.</w:t>
      </w:r>
    </w:p>
    <w:p w:rsidR="0021466E" w:rsidRDefault="0021466E"/>
    <w:p w:rsidR="0021466E" w:rsidRDefault="00376DB4">
      <w:r>
        <w:t xml:space="preserve">The merger was implemented by the </w:t>
      </w:r>
      <w:r w:rsidR="001F0871" w:rsidRPr="001F0871">
        <w:rPr>
          <w:i/>
        </w:rPr>
        <w:t>Governance of Australian Government Superannuation Schemes Legislation Amendment Act 2015</w:t>
      </w:r>
      <w:r w:rsidR="006B7769">
        <w:rPr>
          <w:i/>
        </w:rPr>
        <w:t xml:space="preserve"> </w:t>
      </w:r>
      <w:r w:rsidR="001F0871" w:rsidRPr="001F0871">
        <w:t>(GAGSSLA Act)</w:t>
      </w:r>
      <w:r>
        <w:t>.  At commencement of the</w:t>
      </w:r>
      <w:r w:rsidR="003729E2">
        <w:t xml:space="preserve"> merger</w:t>
      </w:r>
      <w:r w:rsidR="004E0794">
        <w:t>,</w:t>
      </w:r>
      <w:r w:rsidR="00696B60">
        <w:t xml:space="preserve"> ComSu</w:t>
      </w:r>
      <w:r w:rsidR="003729E2">
        <w:t>p</w:t>
      </w:r>
      <w:r w:rsidR="00696B60">
        <w:t>e</w:t>
      </w:r>
      <w:r w:rsidR="003729E2">
        <w:t xml:space="preserve">r was abolished.  </w:t>
      </w:r>
      <w:r w:rsidR="00E1765D">
        <w:t>CSC is now responsible for providing administrati</w:t>
      </w:r>
      <w:r w:rsidR="00F6402B">
        <w:t>ve</w:t>
      </w:r>
      <w:r w:rsidR="00E1765D">
        <w:t xml:space="preserve"> services in relation to the Australian Government</w:t>
      </w:r>
      <w:r w:rsidR="004B507D">
        <w:t>’s main</w:t>
      </w:r>
      <w:r w:rsidR="00E1765D">
        <w:t xml:space="preserve"> civilian and military superannuation schemes.  </w:t>
      </w:r>
    </w:p>
    <w:p w:rsidR="0021466E" w:rsidRDefault="0021466E"/>
    <w:p w:rsidR="00D41C39" w:rsidRDefault="00E27E4D" w:rsidP="00D41C39">
      <w:pPr>
        <w:spacing w:after="120"/>
      </w:pPr>
      <w:r>
        <w:t xml:space="preserve">Following the merger of ComSuper </w:t>
      </w:r>
      <w:r w:rsidR="00376DB4">
        <w:t>with</w:t>
      </w:r>
      <w:r>
        <w:t xml:space="preserve"> CSC</w:t>
      </w:r>
      <w:r w:rsidR="004E0794">
        <w:t>,</w:t>
      </w:r>
      <w:r>
        <w:t xml:space="preserve"> </w:t>
      </w:r>
      <w:r w:rsidR="00817573">
        <w:t xml:space="preserve">the </w:t>
      </w:r>
      <w:r w:rsidR="00FA5224">
        <w:t>Amendment</w:t>
      </w:r>
      <w:r w:rsidR="00B01F50">
        <w:t xml:space="preserve"> </w:t>
      </w:r>
      <w:r w:rsidR="005C29D9" w:rsidRPr="001F74A6">
        <w:t>Rule</w:t>
      </w:r>
      <w:r w:rsidR="005C29D9" w:rsidRPr="00977D04">
        <w:t xml:space="preserve"> </w:t>
      </w:r>
      <w:r w:rsidR="00817573">
        <w:t xml:space="preserve">is being made.  </w:t>
      </w:r>
      <w:r w:rsidR="003729E2">
        <w:t xml:space="preserve">The Amendment Rule </w:t>
      </w:r>
      <w:r w:rsidR="00804C97">
        <w:t xml:space="preserve">makes CSC subject to certain </w:t>
      </w:r>
      <w:r w:rsidR="00EC597D">
        <w:t xml:space="preserve">arrangements </w:t>
      </w:r>
      <w:r w:rsidR="00804C97">
        <w:t xml:space="preserve">that applied to ComSuper when it </w:t>
      </w:r>
      <w:r w:rsidR="00FF2A52">
        <w:t>performed the</w:t>
      </w:r>
      <w:r w:rsidR="00804C97">
        <w:t xml:space="preserve"> </w:t>
      </w:r>
      <w:r w:rsidR="007F5F63">
        <w:t xml:space="preserve">administrative services </w:t>
      </w:r>
      <w:r w:rsidR="00804C97">
        <w:t>function</w:t>
      </w:r>
      <w:r w:rsidR="007F5F63">
        <w:t xml:space="preserve"> in relation to the superannuation schemes administered by CSC</w:t>
      </w:r>
      <w:r w:rsidR="00804C97">
        <w:t xml:space="preserve">.  </w:t>
      </w:r>
      <w:r w:rsidR="00193A3B">
        <w:t>The Amendment Rule</w:t>
      </w:r>
      <w:r w:rsidR="00817573">
        <w:t xml:space="preserve"> will</w:t>
      </w:r>
      <w:r w:rsidR="008D08F0">
        <w:t>:</w:t>
      </w:r>
      <w:r w:rsidR="00916010" w:rsidRPr="00977D04">
        <w:rPr>
          <w:rFonts w:eastAsia="Times New Roman"/>
          <w:color w:val="000000" w:themeColor="text1"/>
          <w:lang w:val="en-AU" w:bidi="ar-SA"/>
        </w:rPr>
        <w:t xml:space="preserve"> </w:t>
      </w:r>
    </w:p>
    <w:p w:rsidR="00EA0253" w:rsidRPr="00800E3F" w:rsidRDefault="006D4D22" w:rsidP="00817573">
      <w:pPr>
        <w:pStyle w:val="ListParagraph"/>
        <w:numPr>
          <w:ilvl w:val="0"/>
          <w:numId w:val="15"/>
        </w:numPr>
        <w:spacing w:after="240"/>
        <w:ind w:left="714" w:hanging="357"/>
        <w:contextualSpacing w:val="0"/>
        <w:rPr>
          <w:lang w:val="en-AU"/>
        </w:rPr>
      </w:pPr>
      <w:proofErr w:type="gramStart"/>
      <w:r w:rsidRPr="00800E3F">
        <w:t>provide</w:t>
      </w:r>
      <w:proofErr w:type="gramEnd"/>
      <w:r w:rsidRPr="00800E3F">
        <w:t xml:space="preserve"> that</w:t>
      </w:r>
      <w:r w:rsidR="001F0871" w:rsidRPr="001F0871">
        <w:t>, in relation to amounts received by CSC on behalf of the Commonwealth and certain other amounts,</w:t>
      </w:r>
      <w:r w:rsidRPr="00800E3F">
        <w:t xml:space="preserve"> CSC must comply with </w:t>
      </w:r>
      <w:r w:rsidR="001F0871" w:rsidRPr="001F0871">
        <w:t>directions relating to bank accounts opened and maintained in Australia given by the Finance Minister</w:t>
      </w:r>
      <w:r w:rsidR="001F0871">
        <w:t xml:space="preserve"> in delegating his or her power</w:t>
      </w:r>
      <w:r w:rsidR="001F0871" w:rsidRPr="001F0871">
        <w:t xml:space="preserve"> </w:t>
      </w:r>
      <w:r w:rsidR="00D10553">
        <w:t>in</w:t>
      </w:r>
      <w:r w:rsidR="001F0871" w:rsidRPr="001F0871">
        <w:t xml:space="preserve"> subsection 53(1) of the PGPA Act to </w:t>
      </w:r>
      <w:r w:rsidR="004E3F75">
        <w:t>NCE</w:t>
      </w:r>
      <w:r w:rsidR="00EA1EDC">
        <w:t>s</w:t>
      </w:r>
      <w:r w:rsidR="001F0871" w:rsidRPr="001F0871">
        <w:t xml:space="preserve">.  </w:t>
      </w:r>
      <w:r w:rsidRPr="00800E3F">
        <w:t>The</w:t>
      </w:r>
      <w:r w:rsidR="001F0871" w:rsidRPr="001F0871">
        <w:t xml:space="preserve"> amounts </w:t>
      </w:r>
      <w:r w:rsidR="007F5F63">
        <w:t>covered by the</w:t>
      </w:r>
      <w:r w:rsidR="001F0871" w:rsidRPr="001F0871">
        <w:t xml:space="preserve"> requirement include </w:t>
      </w:r>
      <w:r w:rsidRPr="00800E3F">
        <w:rPr>
          <w:lang w:val="en-AU"/>
        </w:rPr>
        <w:t>administration fees</w:t>
      </w:r>
      <w:r w:rsidR="001F0871" w:rsidRPr="001F0871">
        <w:rPr>
          <w:lang w:val="en-AU"/>
        </w:rPr>
        <w:t xml:space="preserve"> and </w:t>
      </w:r>
      <w:r w:rsidR="0096176D">
        <w:rPr>
          <w:lang w:val="en-AU"/>
        </w:rPr>
        <w:t>amounts that CSC collects from agencies, on</w:t>
      </w:r>
      <w:r w:rsidRPr="00800E3F">
        <w:rPr>
          <w:lang w:val="en-AU"/>
        </w:rPr>
        <w:t xml:space="preserve"> behalf of the Commonwealth</w:t>
      </w:r>
      <w:r w:rsidR="0096176D">
        <w:rPr>
          <w:lang w:val="en-AU"/>
        </w:rPr>
        <w:t>, in line with government policy</w:t>
      </w:r>
      <w:r w:rsidRPr="00800E3F">
        <w:rPr>
          <w:lang w:val="en-AU"/>
        </w:rPr>
        <w:t>.  In practice, this will mean</w:t>
      </w:r>
      <w:r w:rsidR="001F0871" w:rsidRPr="001F0871">
        <w:rPr>
          <w:lang w:val="en-AU"/>
        </w:rPr>
        <w:t xml:space="preserve"> </w:t>
      </w:r>
      <w:r w:rsidRPr="00800E3F">
        <w:rPr>
          <w:lang w:val="en-AU"/>
        </w:rPr>
        <w:t xml:space="preserve">that </w:t>
      </w:r>
      <w:r w:rsidR="001F0871" w:rsidRPr="001F0871">
        <w:rPr>
          <w:lang w:val="en-AU"/>
        </w:rPr>
        <w:t xml:space="preserve">Commonwealth money and certain other money held in </w:t>
      </w:r>
      <w:r w:rsidRPr="00800E3F">
        <w:rPr>
          <w:lang w:val="en-AU"/>
        </w:rPr>
        <w:t xml:space="preserve">CSC bank accounts will continue to be consolidated at the end of each day and banking arrangements </w:t>
      </w:r>
      <w:r w:rsidR="001F0871" w:rsidRPr="001F0871">
        <w:rPr>
          <w:lang w:val="en-AU"/>
        </w:rPr>
        <w:t>for th</w:t>
      </w:r>
      <w:r w:rsidR="007F5F63">
        <w:rPr>
          <w:lang w:val="en-AU"/>
        </w:rPr>
        <w:t xml:space="preserve">is money </w:t>
      </w:r>
      <w:r w:rsidRPr="00800E3F">
        <w:rPr>
          <w:lang w:val="en-AU"/>
        </w:rPr>
        <w:t xml:space="preserve">will need to comply with the </w:t>
      </w:r>
      <w:r w:rsidR="001F0871" w:rsidRPr="001F0871">
        <w:rPr>
          <w:lang w:val="en-AU"/>
        </w:rPr>
        <w:t>directions</w:t>
      </w:r>
      <w:r w:rsidRPr="00800E3F">
        <w:rPr>
          <w:lang w:val="en-AU"/>
        </w:rPr>
        <w:t xml:space="preserve">.  </w:t>
      </w:r>
      <w:r w:rsidR="001F0871" w:rsidRPr="001F0871">
        <w:rPr>
          <w:lang w:val="en-AU"/>
        </w:rPr>
        <w:lastRenderedPageBreak/>
        <w:t>CSC will not be requi</w:t>
      </w:r>
      <w:r w:rsidR="00D33524">
        <w:rPr>
          <w:lang w:val="en-AU"/>
        </w:rPr>
        <w:t xml:space="preserve">red to apply the directions </w:t>
      </w:r>
      <w:r w:rsidR="001F0871" w:rsidRPr="001F0871">
        <w:rPr>
          <w:lang w:val="en-AU"/>
        </w:rPr>
        <w:t>in managing money that the organisation holds in its own right</w:t>
      </w:r>
      <w:r w:rsidRPr="00800E3F">
        <w:rPr>
          <w:lang w:val="en-AU"/>
        </w:rPr>
        <w:t>;</w:t>
      </w:r>
    </w:p>
    <w:p w:rsidR="00817573" w:rsidRDefault="00817573" w:rsidP="00817573">
      <w:pPr>
        <w:pStyle w:val="ListParagraph"/>
        <w:numPr>
          <w:ilvl w:val="0"/>
          <w:numId w:val="15"/>
        </w:numPr>
        <w:spacing w:after="240"/>
        <w:ind w:left="714" w:hanging="357"/>
        <w:contextualSpacing w:val="0"/>
        <w:rPr>
          <w:lang w:val="en-AU"/>
        </w:rPr>
      </w:pPr>
      <w:proofErr w:type="gramStart"/>
      <w:r>
        <w:t>provide</w:t>
      </w:r>
      <w:proofErr w:type="gramEnd"/>
      <w:r>
        <w:t xml:space="preserve"> that </w:t>
      </w:r>
      <w:r w:rsidR="00E1765D">
        <w:t>th</w:t>
      </w:r>
      <w:r w:rsidR="00E27E4D">
        <w:t xml:space="preserve">e </w:t>
      </w:r>
      <w:r w:rsidRPr="00817573">
        <w:rPr>
          <w:lang w:val="en-AU"/>
        </w:rPr>
        <w:t>function</w:t>
      </w:r>
      <w:r w:rsidR="00E1765D">
        <w:rPr>
          <w:lang w:val="en-AU"/>
        </w:rPr>
        <w:t xml:space="preserve"> of providing administrati</w:t>
      </w:r>
      <w:r w:rsidR="00D922C3">
        <w:rPr>
          <w:lang w:val="en-AU"/>
        </w:rPr>
        <w:t>ve</w:t>
      </w:r>
      <w:r w:rsidR="00E1765D">
        <w:rPr>
          <w:lang w:val="en-AU"/>
        </w:rPr>
        <w:t xml:space="preserve"> services in relation to the superannuation schemes administered by CSC,</w:t>
      </w:r>
      <w:r w:rsidRPr="00817573">
        <w:rPr>
          <w:lang w:val="en-AU"/>
        </w:rPr>
        <w:t xml:space="preserve"> formerly performed by Com</w:t>
      </w:r>
      <w:r w:rsidR="00077988">
        <w:rPr>
          <w:lang w:val="en-AU"/>
        </w:rPr>
        <w:t>S</w:t>
      </w:r>
      <w:r w:rsidRPr="00817573">
        <w:rPr>
          <w:lang w:val="en-AU"/>
        </w:rPr>
        <w:t>uper</w:t>
      </w:r>
      <w:r w:rsidR="00E1765D">
        <w:rPr>
          <w:lang w:val="en-AU"/>
        </w:rPr>
        <w:t>,</w:t>
      </w:r>
      <w:r w:rsidRPr="00817573">
        <w:rPr>
          <w:lang w:val="en-AU"/>
        </w:rPr>
        <w:t xml:space="preserve"> will continue to be subject to</w:t>
      </w:r>
      <w:r w:rsidR="00EA1EDC">
        <w:rPr>
          <w:lang w:val="en-AU"/>
        </w:rPr>
        <w:t>,</w:t>
      </w:r>
      <w:r w:rsidRPr="00817573">
        <w:rPr>
          <w:lang w:val="en-AU"/>
        </w:rPr>
        <w:t xml:space="preserve"> and need to comply with</w:t>
      </w:r>
      <w:r w:rsidR="00EA1EDC">
        <w:rPr>
          <w:lang w:val="en-AU"/>
        </w:rPr>
        <w:t>,</w:t>
      </w:r>
      <w:r w:rsidRPr="00817573">
        <w:rPr>
          <w:lang w:val="en-AU"/>
        </w:rPr>
        <w:t xml:space="preserve"> the </w:t>
      </w:r>
      <w:r w:rsidRPr="00817573">
        <w:rPr>
          <w:i/>
          <w:lang w:val="en-AU"/>
        </w:rPr>
        <w:t xml:space="preserve">Commonwealth Procurement Rules </w:t>
      </w:r>
      <w:r w:rsidR="00F6402B">
        <w:rPr>
          <w:i/>
          <w:lang w:val="en-AU"/>
        </w:rPr>
        <w:t xml:space="preserve">– July </w:t>
      </w:r>
      <w:r w:rsidRPr="00817573">
        <w:rPr>
          <w:i/>
          <w:lang w:val="en-AU"/>
        </w:rPr>
        <w:t>2014</w:t>
      </w:r>
      <w:r w:rsidR="003847C2">
        <w:rPr>
          <w:i/>
          <w:lang w:val="en-AU"/>
        </w:rPr>
        <w:t xml:space="preserve"> </w:t>
      </w:r>
      <w:r w:rsidR="003847C2">
        <w:rPr>
          <w:lang w:val="en-AU"/>
        </w:rPr>
        <w:t>(CPRs)</w:t>
      </w:r>
      <w:r w:rsidR="003729E2">
        <w:rPr>
          <w:lang w:val="en-AU"/>
        </w:rPr>
        <w:t>,</w:t>
      </w:r>
      <w:r w:rsidR="00E1765D">
        <w:rPr>
          <w:lang w:val="en-AU"/>
        </w:rPr>
        <w:t xml:space="preserve"> now that this function is performed by CSC</w:t>
      </w:r>
      <w:r w:rsidRPr="00817573">
        <w:rPr>
          <w:lang w:val="en-AU"/>
        </w:rPr>
        <w:t xml:space="preserve">.  </w:t>
      </w:r>
      <w:r w:rsidR="00E1765D">
        <w:rPr>
          <w:lang w:val="en-AU"/>
        </w:rPr>
        <w:t>T</w:t>
      </w:r>
      <w:r w:rsidRPr="00817573">
        <w:rPr>
          <w:lang w:val="en-AU"/>
        </w:rPr>
        <w:t xml:space="preserve">he CPRs will not apply to CSC in respect </w:t>
      </w:r>
      <w:r w:rsidR="004B507D">
        <w:rPr>
          <w:lang w:val="en-AU"/>
        </w:rPr>
        <w:t xml:space="preserve">of </w:t>
      </w:r>
      <w:r w:rsidRPr="00817573">
        <w:rPr>
          <w:lang w:val="en-AU"/>
        </w:rPr>
        <w:t>any of its other functions, such as fund management and investment management</w:t>
      </w:r>
      <w:r w:rsidR="0096176D">
        <w:rPr>
          <w:lang w:val="en-AU"/>
        </w:rPr>
        <w:t>; and</w:t>
      </w:r>
    </w:p>
    <w:p w:rsidR="0021466E" w:rsidRDefault="003729E2">
      <w:pPr>
        <w:pStyle w:val="ListParagraph"/>
        <w:numPr>
          <w:ilvl w:val="0"/>
          <w:numId w:val="15"/>
        </w:numPr>
        <w:ind w:left="714" w:hanging="357"/>
        <w:contextualSpacing w:val="0"/>
        <w:rPr>
          <w:lang w:val="en-AU"/>
        </w:rPr>
      </w:pPr>
      <w:proofErr w:type="gramStart"/>
      <w:r w:rsidRPr="005B4798">
        <w:t>allow</w:t>
      </w:r>
      <w:proofErr w:type="gramEnd"/>
      <w:r w:rsidRPr="005B4798">
        <w:t xml:space="preserve"> </w:t>
      </w:r>
      <w:r w:rsidR="00F6402B">
        <w:t xml:space="preserve">the Board of CSC, </w:t>
      </w:r>
      <w:r w:rsidR="00450B37">
        <w:t xml:space="preserve">which is </w:t>
      </w:r>
      <w:r w:rsidR="00F6402B">
        <w:t xml:space="preserve">a CCE, or an official of </w:t>
      </w:r>
      <w:r w:rsidRPr="005B4798">
        <w:t>CSC</w:t>
      </w:r>
      <w:r w:rsidR="00696B60">
        <w:t xml:space="preserve"> </w:t>
      </w:r>
      <w:r w:rsidRPr="005B4798">
        <w:t>to</w:t>
      </w:r>
      <w:r>
        <w:t xml:space="preserve"> </w:t>
      </w:r>
      <w:r w:rsidR="007F5F63">
        <w:t xml:space="preserve">be delegated </w:t>
      </w:r>
      <w:r>
        <w:t xml:space="preserve">and </w:t>
      </w:r>
      <w:r w:rsidR="007F5F63">
        <w:t xml:space="preserve">the </w:t>
      </w:r>
      <w:r w:rsidR="00D10553">
        <w:t xml:space="preserve">Board of </w:t>
      </w:r>
      <w:r w:rsidR="007F5F63">
        <w:t>CSC to sub</w:t>
      </w:r>
      <w:r w:rsidR="00096BB9">
        <w:t>-</w:t>
      </w:r>
      <w:r>
        <w:t xml:space="preserve">delegate certain </w:t>
      </w:r>
      <w:r w:rsidR="007F5F63">
        <w:t xml:space="preserve">powers, functions or duties </w:t>
      </w:r>
      <w:r w:rsidR="00096BB9">
        <w:t>relating to</w:t>
      </w:r>
      <w:r w:rsidR="007F5F63">
        <w:t xml:space="preserve"> recovery of </w:t>
      </w:r>
      <w:r w:rsidRPr="005B4798">
        <w:t>debt</w:t>
      </w:r>
      <w:r w:rsidR="007F5F63">
        <w:t xml:space="preserve">s owing to the Commonwealth </w:t>
      </w:r>
      <w:r>
        <w:t xml:space="preserve">under the PGPA Act and </w:t>
      </w:r>
      <w:r w:rsidR="00EA1EDC">
        <w:t xml:space="preserve">the </w:t>
      </w:r>
      <w:r w:rsidR="001F0871" w:rsidRPr="001F0871">
        <w:t>PGPA Rule</w:t>
      </w:r>
      <w:r w:rsidR="00096BB9">
        <w:rPr>
          <w:i/>
        </w:rPr>
        <w:t xml:space="preserve">.  </w:t>
      </w:r>
      <w:r w:rsidR="001F0871" w:rsidRPr="001F0871">
        <w:t xml:space="preserve">This is necessary given </w:t>
      </w:r>
      <w:r w:rsidR="00096BB9">
        <w:t xml:space="preserve">CSC’s function to provide </w:t>
      </w:r>
      <w:r w:rsidR="001F0871" w:rsidRPr="001F0871">
        <w:t xml:space="preserve">administrative services in relation to the superannuation schemes </w:t>
      </w:r>
      <w:r w:rsidR="00096BB9">
        <w:t xml:space="preserve">administered by the </w:t>
      </w:r>
      <w:proofErr w:type="spellStart"/>
      <w:r w:rsidR="00096BB9">
        <w:t>organisation</w:t>
      </w:r>
      <w:proofErr w:type="spellEnd"/>
      <w:r w:rsidR="00696B60">
        <w:t>.  The</w:t>
      </w:r>
      <w:r w:rsidR="002A7301">
        <w:t xml:space="preserve"> relevant</w:t>
      </w:r>
      <w:r w:rsidR="00817573">
        <w:t xml:space="preserve"> </w:t>
      </w:r>
      <w:r w:rsidR="007F5F63">
        <w:t>powers, functions or duties</w:t>
      </w:r>
      <w:r w:rsidR="00696B60">
        <w:t xml:space="preserve"> were </w:t>
      </w:r>
      <w:r w:rsidR="00817573">
        <w:t>performed by Com</w:t>
      </w:r>
      <w:r w:rsidR="00077988">
        <w:t>S</w:t>
      </w:r>
      <w:r w:rsidR="00817573">
        <w:t>uper</w:t>
      </w:r>
      <w:r w:rsidR="007F5F63">
        <w:t xml:space="preserve"> </w:t>
      </w:r>
      <w:r w:rsidR="00096BB9">
        <w:t xml:space="preserve">when it </w:t>
      </w:r>
      <w:r w:rsidR="002A7301">
        <w:t xml:space="preserve">previously </w:t>
      </w:r>
      <w:r w:rsidR="00096BB9">
        <w:t>undertook this administrative services function</w:t>
      </w:r>
      <w:r w:rsidR="00CA5129">
        <w:t>.</w:t>
      </w:r>
      <w:r w:rsidR="001F0871" w:rsidRPr="001F0871">
        <w:t xml:space="preserve">  </w:t>
      </w:r>
      <w:r w:rsidR="00CA5129">
        <w:t xml:space="preserve">Debts owed to CSC in its own </w:t>
      </w:r>
      <w:r w:rsidR="00096BB9">
        <w:t>right</w:t>
      </w:r>
      <w:r w:rsidR="00CA5129">
        <w:t xml:space="preserve"> </w:t>
      </w:r>
      <w:r w:rsidR="001F0871" w:rsidRPr="001F0871">
        <w:t xml:space="preserve">are not affected by the Amendment Rule and </w:t>
      </w:r>
      <w:r w:rsidR="00CA5129">
        <w:t>will be managed in the same manner as has been CSC’s practice to date.</w:t>
      </w:r>
    </w:p>
    <w:p w:rsidR="0021466E" w:rsidRDefault="0021466E">
      <w:pPr>
        <w:rPr>
          <w:lang w:val="en-AU"/>
        </w:rPr>
      </w:pPr>
    </w:p>
    <w:p w:rsidR="005C5470" w:rsidRPr="00977D04" w:rsidRDefault="00301C10">
      <w:pPr>
        <w:pStyle w:val="ParaNumbering"/>
        <w:rPr>
          <w:szCs w:val="24"/>
        </w:rPr>
      </w:pPr>
      <w:r w:rsidRPr="00977D04">
        <w:rPr>
          <w:szCs w:val="24"/>
        </w:rPr>
        <w:t xml:space="preserve">Details of the </w:t>
      </w:r>
      <w:r w:rsidR="00FA5224">
        <w:t>Amendment</w:t>
      </w:r>
      <w:r w:rsidR="005C29D9" w:rsidRPr="001F74A6">
        <w:t xml:space="preserve"> Rule</w:t>
      </w:r>
      <w:r w:rsidR="005C29D9" w:rsidRPr="00977D04">
        <w:rPr>
          <w:szCs w:val="24"/>
        </w:rPr>
        <w:t xml:space="preserve"> </w:t>
      </w:r>
      <w:r w:rsidR="0004247F" w:rsidRPr="00977D04">
        <w:rPr>
          <w:szCs w:val="24"/>
        </w:rPr>
        <w:t>are</w:t>
      </w:r>
      <w:r w:rsidRPr="00977D04">
        <w:rPr>
          <w:szCs w:val="24"/>
        </w:rPr>
        <w:t xml:space="preserve"> set out at </w:t>
      </w:r>
      <w:r w:rsidRPr="00977D04">
        <w:rPr>
          <w:szCs w:val="24"/>
          <w:u w:val="single"/>
        </w:rPr>
        <w:t>Attachment A</w:t>
      </w:r>
      <w:r w:rsidR="00561ED6">
        <w:rPr>
          <w:szCs w:val="24"/>
        </w:rPr>
        <w:t xml:space="preserve">.  </w:t>
      </w:r>
      <w:r w:rsidRPr="00977D04">
        <w:rPr>
          <w:szCs w:val="24"/>
        </w:rPr>
        <w:t xml:space="preserve">A </w:t>
      </w:r>
      <w:r w:rsidR="002E307D" w:rsidRPr="00977D04">
        <w:rPr>
          <w:szCs w:val="24"/>
        </w:rPr>
        <w:t>s</w:t>
      </w:r>
      <w:r w:rsidRPr="00977D04">
        <w:rPr>
          <w:szCs w:val="24"/>
        </w:rPr>
        <w:t xml:space="preserve">tatement of </w:t>
      </w:r>
      <w:r w:rsidR="002E307D" w:rsidRPr="00977D04">
        <w:rPr>
          <w:szCs w:val="24"/>
        </w:rPr>
        <w:t>c</w:t>
      </w:r>
      <w:r w:rsidRPr="00977D04">
        <w:rPr>
          <w:szCs w:val="24"/>
        </w:rPr>
        <w:t xml:space="preserve">ompatibility with </w:t>
      </w:r>
      <w:r w:rsidR="002E307D" w:rsidRPr="00977D04">
        <w:rPr>
          <w:szCs w:val="24"/>
        </w:rPr>
        <w:t>h</w:t>
      </w:r>
      <w:r w:rsidRPr="00977D04">
        <w:rPr>
          <w:szCs w:val="24"/>
        </w:rPr>
        <w:t xml:space="preserve">uman </w:t>
      </w:r>
      <w:r w:rsidR="002E307D" w:rsidRPr="00977D04">
        <w:rPr>
          <w:szCs w:val="24"/>
        </w:rPr>
        <w:t>r</w:t>
      </w:r>
      <w:r w:rsidRPr="00977D04">
        <w:rPr>
          <w:szCs w:val="24"/>
        </w:rPr>
        <w:t xml:space="preserve">ights is at </w:t>
      </w:r>
      <w:r w:rsidRPr="00977D04">
        <w:rPr>
          <w:szCs w:val="24"/>
          <w:u w:val="single"/>
        </w:rPr>
        <w:t>Attachment B</w:t>
      </w:r>
      <w:r w:rsidR="00561ED6">
        <w:rPr>
          <w:szCs w:val="24"/>
        </w:rPr>
        <w:t xml:space="preserve">.  </w:t>
      </w:r>
    </w:p>
    <w:p w:rsidR="005C5470" w:rsidRPr="00977D04" w:rsidRDefault="005C5470">
      <w:pPr>
        <w:pStyle w:val="ParaNumbering"/>
        <w:rPr>
          <w:szCs w:val="24"/>
        </w:rPr>
      </w:pPr>
    </w:p>
    <w:p w:rsidR="005C5470" w:rsidRDefault="00301C10">
      <w:pPr>
        <w:pStyle w:val="ParaNumbering"/>
        <w:rPr>
          <w:i/>
          <w:szCs w:val="24"/>
        </w:rPr>
      </w:pPr>
      <w:r w:rsidRPr="00977D04">
        <w:rPr>
          <w:szCs w:val="24"/>
        </w:rPr>
        <w:t xml:space="preserve">The </w:t>
      </w:r>
      <w:r w:rsidR="00035FE8">
        <w:t>Amendment</w:t>
      </w:r>
      <w:r w:rsidR="005C29D9" w:rsidRPr="001F74A6">
        <w:t xml:space="preserve"> Rule</w:t>
      </w:r>
      <w:r w:rsidR="005C29D9" w:rsidRPr="00977D04">
        <w:rPr>
          <w:szCs w:val="24"/>
        </w:rPr>
        <w:t xml:space="preserve"> </w:t>
      </w:r>
      <w:r w:rsidRPr="00977D04">
        <w:rPr>
          <w:szCs w:val="24"/>
        </w:rPr>
        <w:t>is a legislative instrument for the purposes of the</w:t>
      </w:r>
      <w:r w:rsidRPr="00977D04">
        <w:rPr>
          <w:i/>
          <w:szCs w:val="24"/>
        </w:rPr>
        <w:t xml:space="preserve"> Legislative Instruments Act 2003</w:t>
      </w:r>
      <w:r w:rsidR="00561ED6">
        <w:rPr>
          <w:i/>
          <w:szCs w:val="24"/>
        </w:rPr>
        <w:t xml:space="preserve">.  </w:t>
      </w:r>
    </w:p>
    <w:p w:rsidR="008F1ABF" w:rsidRDefault="008F1ABF">
      <w:pPr>
        <w:pStyle w:val="ParaNumbering"/>
        <w:rPr>
          <w:i/>
          <w:szCs w:val="24"/>
        </w:rPr>
      </w:pPr>
    </w:p>
    <w:p w:rsidR="004816AF" w:rsidRDefault="00A53E39" w:rsidP="004816AF">
      <w:pPr>
        <w:pStyle w:val="Heading2"/>
        <w:spacing w:before="0"/>
        <w:rPr>
          <w:rFonts w:ascii="Times New Roman" w:hAnsi="Times New Roman" w:cs="Times New Roman"/>
          <w:sz w:val="24"/>
          <w:szCs w:val="24"/>
        </w:rPr>
      </w:pPr>
      <w:r w:rsidRPr="009F3AB5">
        <w:rPr>
          <w:rFonts w:ascii="Times New Roman" w:hAnsi="Times New Roman" w:cs="Times New Roman"/>
          <w:sz w:val="24"/>
          <w:szCs w:val="24"/>
        </w:rPr>
        <w:t>Consultation</w:t>
      </w:r>
    </w:p>
    <w:p w:rsidR="00725A1C" w:rsidRDefault="00725A1C"/>
    <w:p w:rsidR="004835F5" w:rsidRPr="00C351ED" w:rsidRDefault="00452242" w:rsidP="00D41C39">
      <w:pPr>
        <w:sectPr w:rsidR="004835F5" w:rsidRPr="00C351ED" w:rsidSect="004835F5">
          <w:headerReference w:type="default" r:id="rId9"/>
          <w:footerReference w:type="default" r:id="rId10"/>
          <w:pgSz w:w="11906" w:h="16838"/>
          <w:pgMar w:top="1440" w:right="1440" w:bottom="1440" w:left="1440" w:header="708" w:footer="514" w:gutter="0"/>
          <w:cols w:space="708"/>
          <w:titlePg/>
          <w:docGrid w:linePitch="360"/>
        </w:sectPr>
      </w:pPr>
      <w:r w:rsidRPr="00C432B5">
        <w:rPr>
          <w:lang w:val="en-AU"/>
        </w:rPr>
        <w:t>T</w:t>
      </w:r>
      <w:r w:rsidR="009F3AB5" w:rsidRPr="00C432B5">
        <w:t xml:space="preserve">he Department of Finance </w:t>
      </w:r>
      <w:r w:rsidR="008F1ABF">
        <w:t xml:space="preserve">(Finance) </w:t>
      </w:r>
      <w:r w:rsidR="009F3AB5" w:rsidRPr="00C432B5">
        <w:t xml:space="preserve">consulted </w:t>
      </w:r>
      <w:r w:rsidR="00817573">
        <w:t>with</w:t>
      </w:r>
      <w:r w:rsidR="00FA5224">
        <w:t xml:space="preserve"> </w:t>
      </w:r>
      <w:r w:rsidR="00817573">
        <w:t>CSC</w:t>
      </w:r>
      <w:r w:rsidR="00241AFA" w:rsidRPr="008D4C42">
        <w:t>.</w:t>
      </w:r>
      <w:r w:rsidR="003847C2">
        <w:t xml:space="preserve">  </w:t>
      </w:r>
      <w:r w:rsidR="00CE6595" w:rsidRPr="003847C2">
        <w:t xml:space="preserve">The </w:t>
      </w:r>
      <w:r w:rsidR="00D41C39" w:rsidRPr="003847C2">
        <w:t xml:space="preserve">Amendment </w:t>
      </w:r>
      <w:r w:rsidR="00CE6595" w:rsidRPr="003847C2">
        <w:t>Rule was drafted by the</w:t>
      </w:r>
      <w:r w:rsidR="00203F10" w:rsidRPr="003847C2">
        <w:t xml:space="preserve"> O</w:t>
      </w:r>
      <w:r w:rsidR="00B464B5" w:rsidRPr="003847C2">
        <w:t>ffice of Parliamentary Counsel</w:t>
      </w:r>
      <w:r w:rsidR="003847C2" w:rsidRPr="003847C2">
        <w:t>.</w:t>
      </w:r>
    </w:p>
    <w:p w:rsidR="00F276BB" w:rsidRDefault="00F276BB" w:rsidP="00F276BB">
      <w:pPr>
        <w:pStyle w:val="Heading2"/>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 xml:space="preserve">Attachment </w:t>
      </w:r>
      <w:r>
        <w:rPr>
          <w:rFonts w:ascii="Times New Roman" w:hAnsi="Times New Roman" w:cs="Times New Roman"/>
          <w:sz w:val="24"/>
          <w:szCs w:val="24"/>
          <w:u w:val="single"/>
        </w:rPr>
        <w:t>A</w:t>
      </w:r>
    </w:p>
    <w:p w:rsidR="00F276BB" w:rsidRDefault="00F276BB">
      <w:pPr>
        <w:rPr>
          <w:b/>
          <w:u w:val="single"/>
        </w:rPr>
      </w:pPr>
    </w:p>
    <w:p w:rsidR="004276C7" w:rsidRPr="004276C7" w:rsidRDefault="00A07460" w:rsidP="004276C7">
      <w:pPr>
        <w:spacing w:before="200"/>
        <w:rPr>
          <w:b/>
          <w:i/>
          <w:u w:val="single"/>
        </w:rPr>
      </w:pPr>
      <w:r w:rsidRPr="00977D04">
        <w:rPr>
          <w:b/>
          <w:u w:val="single"/>
        </w:rPr>
        <w:t xml:space="preserve">Details of the </w:t>
      </w:r>
      <w:r w:rsidRPr="00905230">
        <w:rPr>
          <w:b/>
          <w:i/>
          <w:u w:val="single"/>
        </w:rPr>
        <w:t>Public Governance, Performance and Accountability Amendment (</w:t>
      </w:r>
      <w:r w:rsidR="00817573">
        <w:rPr>
          <w:b/>
          <w:i/>
          <w:u w:val="single"/>
        </w:rPr>
        <w:t>CSC</w:t>
      </w:r>
      <w:r>
        <w:rPr>
          <w:b/>
          <w:i/>
          <w:u w:val="single"/>
        </w:rPr>
        <w:t>) Rule 201</w:t>
      </w:r>
      <w:r w:rsidR="00100C8D">
        <w:rPr>
          <w:b/>
          <w:i/>
          <w:u w:val="single"/>
        </w:rPr>
        <w:t>6</w:t>
      </w:r>
    </w:p>
    <w:p w:rsidR="0035416D" w:rsidRPr="00977D04" w:rsidRDefault="0035416D" w:rsidP="004276C7">
      <w:pPr>
        <w:spacing w:before="200"/>
      </w:pPr>
    </w:p>
    <w:p w:rsidR="003C0A8B" w:rsidRPr="00984450" w:rsidRDefault="004816AF">
      <w:pPr>
        <w:rPr>
          <w:b/>
          <w:lang w:val="en-AU"/>
        </w:rPr>
      </w:pPr>
      <w:r w:rsidRPr="004816AF">
        <w:rPr>
          <w:b/>
          <w:lang w:val="en-AU"/>
        </w:rPr>
        <w:t>Section 1—Name</w:t>
      </w:r>
    </w:p>
    <w:p w:rsidR="003C0A8B" w:rsidRPr="00977D04" w:rsidRDefault="003C0A8B">
      <w:pPr>
        <w:rPr>
          <w:lang w:val="en-AU"/>
        </w:rPr>
      </w:pPr>
    </w:p>
    <w:p w:rsidR="003C0A8B" w:rsidRPr="004276C7" w:rsidRDefault="008F323F" w:rsidP="004276C7">
      <w:pPr>
        <w:rPr>
          <w:i/>
        </w:rPr>
      </w:pPr>
      <w:r w:rsidRPr="00977D04">
        <w:rPr>
          <w:lang w:val="en-AU"/>
        </w:rPr>
        <w:t xml:space="preserve">This section provides that the title of the </w:t>
      </w:r>
      <w:r w:rsidR="00452242">
        <w:rPr>
          <w:lang w:val="en-AU"/>
        </w:rPr>
        <w:t>instrument</w:t>
      </w:r>
      <w:r w:rsidRPr="00977D04">
        <w:rPr>
          <w:lang w:val="en-AU"/>
        </w:rPr>
        <w:t xml:space="preserve"> is the</w:t>
      </w:r>
      <w:r w:rsidR="007F3F00" w:rsidRPr="007F3F00">
        <w:rPr>
          <w:i/>
        </w:rPr>
        <w:t xml:space="preserve"> </w:t>
      </w:r>
      <w:r w:rsidR="00905230" w:rsidRPr="00905230">
        <w:rPr>
          <w:i/>
        </w:rPr>
        <w:t>Public Governance, Performance and Accountability Amendment (</w:t>
      </w:r>
      <w:r w:rsidR="00817573">
        <w:rPr>
          <w:i/>
        </w:rPr>
        <w:t>CSC</w:t>
      </w:r>
      <w:r w:rsidR="00EA0253">
        <w:rPr>
          <w:i/>
        </w:rPr>
        <w:t>) Rule </w:t>
      </w:r>
      <w:r w:rsidR="00EA0253" w:rsidRPr="00EA0253">
        <w:rPr>
          <w:i/>
        </w:rPr>
        <w:t>201</w:t>
      </w:r>
      <w:r w:rsidR="00100C8D">
        <w:rPr>
          <w:i/>
        </w:rPr>
        <w:t>6</w:t>
      </w:r>
      <w:r w:rsidR="00905230">
        <w:t xml:space="preserve"> (</w:t>
      </w:r>
      <w:r w:rsidR="00FA5224">
        <w:t>Amendment</w:t>
      </w:r>
      <w:r w:rsidR="00905230">
        <w:t xml:space="preserve"> </w:t>
      </w:r>
      <w:r w:rsidR="005C29D9" w:rsidRPr="00905230">
        <w:t>Rule</w:t>
      </w:r>
      <w:r w:rsidR="00FF2457" w:rsidRPr="00035FE8">
        <w:rPr>
          <w:lang w:val="en-AU"/>
        </w:rPr>
        <w:t>).</w:t>
      </w:r>
    </w:p>
    <w:p w:rsidR="003C0A8B" w:rsidRPr="00977D04" w:rsidRDefault="003C0A8B">
      <w:pPr>
        <w:rPr>
          <w:lang w:val="en-AU"/>
        </w:rPr>
      </w:pPr>
    </w:p>
    <w:p w:rsidR="003C0A8B" w:rsidRPr="00984450" w:rsidRDefault="004816AF">
      <w:pPr>
        <w:rPr>
          <w:b/>
          <w:lang w:val="en-AU"/>
        </w:rPr>
      </w:pPr>
      <w:r w:rsidRPr="004816AF">
        <w:rPr>
          <w:b/>
          <w:lang w:val="en-AU"/>
        </w:rPr>
        <w:t>Section 2—Commencement</w:t>
      </w:r>
    </w:p>
    <w:p w:rsidR="003C0A8B" w:rsidRPr="00977D04" w:rsidRDefault="003C0A8B">
      <w:pPr>
        <w:rPr>
          <w:lang w:val="en-AU"/>
        </w:rPr>
      </w:pPr>
    </w:p>
    <w:p w:rsidR="003C0A8B" w:rsidRDefault="008F323F">
      <w:r w:rsidRPr="00977D04">
        <w:rPr>
          <w:lang w:val="en-AU"/>
        </w:rPr>
        <w:t xml:space="preserve">This section </w:t>
      </w:r>
      <w:r w:rsidR="00F826B8">
        <w:rPr>
          <w:lang w:val="en-AU"/>
        </w:rPr>
        <w:t xml:space="preserve">provides that </w:t>
      </w:r>
      <w:r w:rsidR="00035FE8">
        <w:rPr>
          <w:lang w:val="en-AU"/>
        </w:rPr>
        <w:t>each provision of the</w:t>
      </w:r>
      <w:r w:rsidR="00035FE8" w:rsidRPr="00977D04">
        <w:rPr>
          <w:lang w:val="en-AU"/>
        </w:rPr>
        <w:t xml:space="preserve"> </w:t>
      </w:r>
      <w:r w:rsidR="00035FE8">
        <w:rPr>
          <w:lang w:val="en-AU"/>
        </w:rPr>
        <w:t>instrument</w:t>
      </w:r>
      <w:r w:rsidR="00035FE8" w:rsidRPr="00977D04">
        <w:rPr>
          <w:lang w:val="en-AU"/>
        </w:rPr>
        <w:t xml:space="preserve"> </w:t>
      </w:r>
      <w:r w:rsidR="00035FE8">
        <w:rPr>
          <w:lang w:val="en-AU"/>
        </w:rPr>
        <w:t xml:space="preserve">specified in column 1 of the table </w:t>
      </w:r>
      <w:r w:rsidR="006A749C" w:rsidRPr="00977D04">
        <w:t>commences</w:t>
      </w:r>
      <w:r w:rsidR="00FA5224">
        <w:t>, or is taken to have commenced,</w:t>
      </w:r>
      <w:r w:rsidR="006A749C" w:rsidRPr="00977D04">
        <w:t xml:space="preserve"> </w:t>
      </w:r>
      <w:r w:rsidR="00035FE8">
        <w:t>in accordance with column 2 of the table.</w:t>
      </w:r>
    </w:p>
    <w:p w:rsidR="00035FE8" w:rsidRDefault="00035FE8"/>
    <w:p w:rsidR="00035FE8" w:rsidRDefault="00D41C39">
      <w:r>
        <w:t xml:space="preserve">The </w:t>
      </w:r>
      <w:r w:rsidR="005C77BF">
        <w:t xml:space="preserve">whole of the </w:t>
      </w:r>
      <w:r>
        <w:t xml:space="preserve">Amendment Rule </w:t>
      </w:r>
      <w:r w:rsidR="00B07AE9">
        <w:t>will commence on the day after it is registered on the Federal Register of Legislative Instruments</w:t>
      </w:r>
      <w:r>
        <w:t>.</w:t>
      </w:r>
    </w:p>
    <w:p w:rsidR="003C0A8B" w:rsidRPr="00977D04" w:rsidRDefault="003C0A8B">
      <w:pPr>
        <w:rPr>
          <w:lang w:val="en-AU"/>
        </w:rPr>
      </w:pPr>
    </w:p>
    <w:p w:rsidR="003C0A8B" w:rsidRPr="00984450" w:rsidRDefault="004816AF">
      <w:pPr>
        <w:rPr>
          <w:b/>
          <w:i/>
          <w:lang w:val="en-AU"/>
        </w:rPr>
      </w:pPr>
      <w:r w:rsidRPr="004816AF">
        <w:rPr>
          <w:b/>
          <w:lang w:val="en-AU"/>
        </w:rPr>
        <w:t>Section 3—Authority</w:t>
      </w:r>
    </w:p>
    <w:p w:rsidR="003C0A8B" w:rsidRPr="00977D04" w:rsidRDefault="003C0A8B">
      <w:pPr>
        <w:rPr>
          <w:lang w:val="en-AU"/>
        </w:rPr>
      </w:pPr>
    </w:p>
    <w:p w:rsidR="003C0A8B" w:rsidRPr="00B46CA4" w:rsidRDefault="008F323F">
      <w:pPr>
        <w:rPr>
          <w:lang w:val="en-AU"/>
        </w:rPr>
      </w:pPr>
      <w:r w:rsidRPr="00977D04">
        <w:rPr>
          <w:lang w:val="en-AU"/>
        </w:rPr>
        <w:t xml:space="preserve">This section </w:t>
      </w:r>
      <w:r w:rsidR="001E087F" w:rsidRPr="00977D04">
        <w:rPr>
          <w:lang w:val="en-AU"/>
        </w:rPr>
        <w:t xml:space="preserve">states </w:t>
      </w:r>
      <w:r w:rsidRPr="00977D04">
        <w:rPr>
          <w:lang w:val="en-AU"/>
        </w:rPr>
        <w:t>that the</w:t>
      </w:r>
      <w:r w:rsidR="00F826B8">
        <w:rPr>
          <w:lang w:val="en-AU"/>
        </w:rPr>
        <w:t xml:space="preserve"> </w:t>
      </w:r>
      <w:r w:rsidR="00E00FD6">
        <w:rPr>
          <w:lang w:val="en-AU"/>
        </w:rPr>
        <w:t>instrument</w:t>
      </w:r>
      <w:r w:rsidRPr="00977D04">
        <w:rPr>
          <w:lang w:val="en-AU"/>
        </w:rPr>
        <w:t xml:space="preserve"> is made under the</w:t>
      </w:r>
      <w:r w:rsidR="00E00FD6">
        <w:rPr>
          <w:lang w:val="en-AU"/>
        </w:rPr>
        <w:t xml:space="preserve"> </w:t>
      </w:r>
      <w:r w:rsidR="004276C7">
        <w:rPr>
          <w:i/>
          <w:lang w:val="en-AU"/>
        </w:rPr>
        <w:t xml:space="preserve">Public Governance, Performance and Accountability Act 2013 </w:t>
      </w:r>
      <w:r w:rsidR="00905230">
        <w:rPr>
          <w:lang w:val="en-AU"/>
        </w:rPr>
        <w:t>(PGPA Act)</w:t>
      </w:r>
      <w:r w:rsidR="00FA5224">
        <w:rPr>
          <w:lang w:val="en-AU"/>
        </w:rPr>
        <w:t>.</w:t>
      </w:r>
    </w:p>
    <w:p w:rsidR="003C0A8B" w:rsidRPr="00977D04" w:rsidRDefault="003C0A8B">
      <w:pPr>
        <w:rPr>
          <w:lang w:val="en-AU"/>
        </w:rPr>
      </w:pPr>
    </w:p>
    <w:p w:rsidR="003C0A8B" w:rsidRPr="00D75553" w:rsidRDefault="0096391F">
      <w:pPr>
        <w:rPr>
          <w:b/>
          <w:lang w:val="en-AU"/>
        </w:rPr>
      </w:pPr>
      <w:r>
        <w:rPr>
          <w:b/>
          <w:lang w:val="en-AU"/>
        </w:rPr>
        <w:t>Section 4—Schedules</w:t>
      </w:r>
    </w:p>
    <w:p w:rsidR="003C0A8B" w:rsidRPr="00977D04" w:rsidRDefault="003C0A8B">
      <w:pPr>
        <w:rPr>
          <w:lang w:val="en-AU"/>
        </w:rPr>
      </w:pPr>
    </w:p>
    <w:p w:rsidR="007F23C3" w:rsidRDefault="004276C7">
      <w:r>
        <w:t>This section provides that each legislative instrument that is specified in a Schedule to this Rule is amended or repealed as set out.</w:t>
      </w:r>
    </w:p>
    <w:p w:rsidR="004276C7" w:rsidRDefault="004276C7">
      <w:pPr>
        <w:rPr>
          <w:lang w:val="en-AU"/>
        </w:rPr>
      </w:pPr>
    </w:p>
    <w:p w:rsidR="00984450" w:rsidRDefault="0096391F">
      <w:pPr>
        <w:rPr>
          <w:b/>
          <w:lang w:val="en-AU"/>
        </w:rPr>
      </w:pPr>
      <w:r>
        <w:rPr>
          <w:b/>
          <w:lang w:val="en-AU"/>
        </w:rPr>
        <w:t>Schedule 1</w:t>
      </w:r>
      <w:r w:rsidRPr="004816AF">
        <w:rPr>
          <w:b/>
          <w:lang w:val="en-AU"/>
        </w:rPr>
        <w:t>—</w:t>
      </w:r>
      <w:r>
        <w:rPr>
          <w:b/>
          <w:lang w:val="en-AU"/>
        </w:rPr>
        <w:t>Amendments</w:t>
      </w:r>
    </w:p>
    <w:p w:rsidR="00035FE8" w:rsidRPr="00977D04" w:rsidRDefault="00035FE8" w:rsidP="00035FE8">
      <w:pPr>
        <w:rPr>
          <w:lang w:val="en-AU"/>
        </w:rPr>
      </w:pPr>
    </w:p>
    <w:p w:rsidR="00035FE8" w:rsidRDefault="00035FE8" w:rsidP="00035FE8">
      <w:pPr>
        <w:rPr>
          <w:b/>
        </w:rPr>
      </w:pPr>
      <w:r w:rsidRPr="00F54C58">
        <w:rPr>
          <w:b/>
          <w:i/>
        </w:rPr>
        <w:t>Public Governance,</w:t>
      </w:r>
      <w:r>
        <w:rPr>
          <w:b/>
          <w:i/>
        </w:rPr>
        <w:t xml:space="preserve"> Performance and Accountability</w:t>
      </w:r>
      <w:r w:rsidR="00905230">
        <w:rPr>
          <w:b/>
          <w:i/>
        </w:rPr>
        <w:t xml:space="preserve"> </w:t>
      </w:r>
      <w:r w:rsidRPr="00F54C58">
        <w:rPr>
          <w:b/>
          <w:i/>
        </w:rPr>
        <w:t>Rule 2014</w:t>
      </w:r>
      <w:r w:rsidRPr="00F54C58">
        <w:rPr>
          <w:b/>
        </w:rPr>
        <w:t xml:space="preserve"> (</w:t>
      </w:r>
      <w:r w:rsidR="00FA5224">
        <w:rPr>
          <w:b/>
        </w:rPr>
        <w:t>PGPA</w:t>
      </w:r>
      <w:r w:rsidRPr="00F54C58">
        <w:rPr>
          <w:b/>
        </w:rPr>
        <w:t xml:space="preserve"> Rule)</w:t>
      </w:r>
    </w:p>
    <w:p w:rsidR="0021466E" w:rsidRDefault="001F0871">
      <w:pPr>
        <w:spacing w:before="200"/>
        <w:rPr>
          <w:b/>
          <w:u w:val="single"/>
        </w:rPr>
      </w:pPr>
      <w:r w:rsidRPr="001F0871">
        <w:rPr>
          <w:b/>
          <w:u w:val="single"/>
        </w:rPr>
        <w:t>Banking in relation to Commonwealth and certain other money</w:t>
      </w:r>
    </w:p>
    <w:p w:rsidR="00305CD6" w:rsidRDefault="00305CD6" w:rsidP="00035FE8">
      <w:pPr>
        <w:rPr>
          <w:b/>
          <w:lang w:val="en-AU"/>
        </w:rPr>
      </w:pPr>
    </w:p>
    <w:p w:rsidR="00035FE8" w:rsidRDefault="00035FE8" w:rsidP="00035FE8">
      <w:pPr>
        <w:rPr>
          <w:b/>
          <w:lang w:val="en-AU"/>
        </w:rPr>
      </w:pPr>
      <w:r>
        <w:rPr>
          <w:b/>
          <w:lang w:val="en-AU"/>
        </w:rPr>
        <w:t xml:space="preserve">Item 1 – </w:t>
      </w:r>
      <w:r w:rsidR="00B07AE9">
        <w:rPr>
          <w:b/>
          <w:lang w:val="en-AU"/>
        </w:rPr>
        <w:t>Section 4</w:t>
      </w:r>
    </w:p>
    <w:p w:rsidR="00905230" w:rsidRDefault="00905230" w:rsidP="00905230">
      <w:pPr>
        <w:rPr>
          <w:b/>
          <w:lang w:val="en-AU"/>
        </w:rPr>
      </w:pPr>
    </w:p>
    <w:p w:rsidR="0004770C" w:rsidRDefault="00905230" w:rsidP="008D08F0">
      <w:r w:rsidRPr="00EE0DB9">
        <w:t xml:space="preserve">This </w:t>
      </w:r>
      <w:r w:rsidR="008D08F0">
        <w:t xml:space="preserve">item </w:t>
      </w:r>
      <w:r w:rsidR="00167923">
        <w:t xml:space="preserve">inserts new definitions into section </w:t>
      </w:r>
      <w:r w:rsidR="00804C97">
        <w:t xml:space="preserve">4 </w:t>
      </w:r>
      <w:r w:rsidR="00167923">
        <w:t>of the PGPA Rule referring to “banking delegation direction”</w:t>
      </w:r>
      <w:r w:rsidR="0037438D">
        <w:t xml:space="preserve">, “CSC” and “superannuation scheme administered by CSC”.  </w:t>
      </w:r>
      <w:r w:rsidR="0037438D" w:rsidRPr="00472A05">
        <w:t>While these terms are largely self-explanatory, the following defined terms are noted</w:t>
      </w:r>
      <w:r w:rsidR="00EA1EDC">
        <w:t>:</w:t>
      </w:r>
    </w:p>
    <w:p w:rsidR="0004770C" w:rsidRDefault="0004770C" w:rsidP="0004770C">
      <w:pPr>
        <w:pStyle w:val="NormalWeb"/>
        <w:numPr>
          <w:ilvl w:val="0"/>
          <w:numId w:val="37"/>
        </w:numPr>
        <w:spacing w:before="0" w:beforeAutospacing="0" w:after="120" w:afterAutospacing="0"/>
        <w:ind w:left="426" w:hanging="426"/>
        <w:rPr>
          <w:rFonts w:ascii="Times New Roman" w:hAnsi="Times New Roman" w:cs="Times New Roman"/>
        </w:rPr>
      </w:pPr>
      <w:r w:rsidRPr="0037438D">
        <w:rPr>
          <w:rFonts w:ascii="Times New Roman" w:hAnsi="Times New Roman" w:cs="Times New Roman"/>
          <w:b/>
          <w:i/>
        </w:rPr>
        <w:t>CSC</w:t>
      </w:r>
      <w:r w:rsidRPr="0037438D">
        <w:rPr>
          <w:rFonts w:ascii="Times New Roman" w:hAnsi="Times New Roman" w:cs="Times New Roman"/>
        </w:rPr>
        <w:t xml:space="preserve"> is short for Commonwealth Superannuation Corporation and is the body corporate that was formerly referred to as Australian Reward Investment Alliance.  The body corporate is continued in existence by section 5 of the </w:t>
      </w:r>
      <w:r w:rsidR="0037438D" w:rsidRPr="0037438D">
        <w:rPr>
          <w:rFonts w:ascii="Times New Roman" w:hAnsi="Times New Roman" w:cs="Times New Roman"/>
          <w:i/>
        </w:rPr>
        <w:t xml:space="preserve">Governance of Australian Government Superannuation Schemes </w:t>
      </w:r>
      <w:r w:rsidR="0037438D">
        <w:rPr>
          <w:rFonts w:ascii="Times New Roman" w:hAnsi="Times New Roman" w:cs="Times New Roman"/>
          <w:i/>
        </w:rPr>
        <w:t>Act 2011</w:t>
      </w:r>
      <w:r w:rsidR="000D17FC">
        <w:rPr>
          <w:rFonts w:ascii="Times New Roman" w:hAnsi="Times New Roman" w:cs="Times New Roman"/>
          <w:i/>
        </w:rPr>
        <w:t xml:space="preserve"> </w:t>
      </w:r>
      <w:r w:rsidR="000D17FC" w:rsidRPr="000D17FC">
        <w:rPr>
          <w:rFonts w:ascii="Times New Roman" w:hAnsi="Times New Roman" w:cs="Times New Roman"/>
        </w:rPr>
        <w:t>(GAGSS Act)</w:t>
      </w:r>
      <w:r w:rsidRPr="0037438D">
        <w:rPr>
          <w:rFonts w:ascii="Times New Roman" w:hAnsi="Times New Roman" w:cs="Times New Roman"/>
        </w:rPr>
        <w:t>.</w:t>
      </w:r>
    </w:p>
    <w:p w:rsidR="00367027" w:rsidRDefault="0037438D" w:rsidP="003847C2">
      <w:pPr>
        <w:pStyle w:val="NormalWeb"/>
        <w:numPr>
          <w:ilvl w:val="0"/>
          <w:numId w:val="37"/>
        </w:numPr>
        <w:spacing w:before="0" w:beforeAutospacing="0" w:after="120" w:afterAutospacing="0"/>
        <w:ind w:left="426" w:hanging="426"/>
        <w:rPr>
          <w:rFonts w:ascii="Times New Roman" w:hAnsi="Times New Roman" w:cs="Times New Roman"/>
        </w:rPr>
      </w:pPr>
      <w:proofErr w:type="gramStart"/>
      <w:r w:rsidRPr="0037438D">
        <w:rPr>
          <w:rFonts w:ascii="Times New Roman" w:hAnsi="Times New Roman" w:cs="Times New Roman"/>
          <w:b/>
          <w:i/>
        </w:rPr>
        <w:t>superannuation</w:t>
      </w:r>
      <w:proofErr w:type="gramEnd"/>
      <w:r w:rsidRPr="0037438D">
        <w:rPr>
          <w:rFonts w:ascii="Times New Roman" w:hAnsi="Times New Roman" w:cs="Times New Roman"/>
          <w:b/>
          <w:i/>
        </w:rPr>
        <w:t xml:space="preserve"> scheme administered by CSC </w:t>
      </w:r>
      <w:r w:rsidRPr="0037438D">
        <w:rPr>
          <w:rFonts w:ascii="Times New Roman" w:hAnsi="Times New Roman" w:cs="Times New Roman"/>
        </w:rPr>
        <w:t>is a list of the schemes that are administered by CSC and is a reference to any of the schemes listed.</w:t>
      </w:r>
    </w:p>
    <w:p w:rsidR="003847C2" w:rsidRPr="003847C2" w:rsidRDefault="003847C2" w:rsidP="003847C2">
      <w:pPr>
        <w:pStyle w:val="NormalWeb"/>
        <w:spacing w:before="0" w:beforeAutospacing="0" w:after="120" w:afterAutospacing="0"/>
        <w:ind w:left="426"/>
        <w:rPr>
          <w:rFonts w:ascii="Times New Roman" w:hAnsi="Times New Roman" w:cs="Times New Roman"/>
        </w:rPr>
      </w:pPr>
    </w:p>
    <w:p w:rsidR="00367027" w:rsidRDefault="00367027" w:rsidP="00283E8B">
      <w:pPr>
        <w:keepNext/>
        <w:keepLines/>
        <w:rPr>
          <w:b/>
          <w:lang w:val="en-AU"/>
        </w:rPr>
      </w:pPr>
      <w:r>
        <w:rPr>
          <w:b/>
          <w:lang w:val="en-AU"/>
        </w:rPr>
        <w:lastRenderedPageBreak/>
        <w:t xml:space="preserve">Item 2 – </w:t>
      </w:r>
      <w:r w:rsidR="00167923">
        <w:rPr>
          <w:b/>
          <w:lang w:val="en-AU"/>
        </w:rPr>
        <w:t>Division 2 of Part</w:t>
      </w:r>
      <w:r w:rsidR="00804C97">
        <w:rPr>
          <w:b/>
          <w:lang w:val="en-AU"/>
        </w:rPr>
        <w:t xml:space="preserve"> </w:t>
      </w:r>
      <w:r w:rsidR="00167923">
        <w:rPr>
          <w:b/>
          <w:lang w:val="en-AU"/>
        </w:rPr>
        <w:t>2-4 (heading)</w:t>
      </w:r>
    </w:p>
    <w:p w:rsidR="00807F57" w:rsidRPr="00807F57" w:rsidRDefault="00807F57" w:rsidP="00283E8B">
      <w:pPr>
        <w:keepNext/>
        <w:keepLines/>
      </w:pPr>
    </w:p>
    <w:p w:rsidR="00367027" w:rsidRDefault="00367027" w:rsidP="00283E8B">
      <w:pPr>
        <w:keepNext/>
        <w:keepLines/>
      </w:pPr>
      <w:r w:rsidRPr="00EE0DB9">
        <w:t>This</w:t>
      </w:r>
      <w:r>
        <w:t xml:space="preserve"> item </w:t>
      </w:r>
      <w:r w:rsidR="00167923">
        <w:t xml:space="preserve">repeals and substitutes the current heading with “Division 2 – Banking” </w:t>
      </w:r>
      <w:r w:rsidR="0021466E">
        <w:t xml:space="preserve">and inserts </w:t>
      </w:r>
      <w:r w:rsidR="000829C6">
        <w:t>new Subdivision A – Banking by corporate Commonwealth entities and new Subdivision B – Banking or dealing with relevant money received by officials</w:t>
      </w:r>
      <w:r w:rsidR="00670EE2">
        <w:t>.</w:t>
      </w:r>
    </w:p>
    <w:p w:rsidR="000829C6" w:rsidRDefault="000829C6" w:rsidP="00367027"/>
    <w:p w:rsidR="00670EE2" w:rsidRDefault="000829C6" w:rsidP="00367027">
      <w:r>
        <w:t>Subdivision A comprises n</w:t>
      </w:r>
      <w:r w:rsidR="00670EE2">
        <w:t>ew section 18A</w:t>
      </w:r>
      <w:r>
        <w:t>, which</w:t>
      </w:r>
      <w:r w:rsidR="00670EE2">
        <w:t xml:space="preserve"> will </w:t>
      </w:r>
      <w:r w:rsidR="00670EE2" w:rsidRPr="00670EE2">
        <w:t xml:space="preserve">provide </w:t>
      </w:r>
      <w:r w:rsidR="00670EE2">
        <w:t xml:space="preserve">that CSC must comply with all banking delegation directions in relation to certain amounts, identified in section 18A.  These amounts </w:t>
      </w:r>
      <w:r>
        <w:t>are</w:t>
      </w:r>
      <w:r w:rsidR="00670EE2">
        <w:t>:</w:t>
      </w:r>
    </w:p>
    <w:p w:rsidR="00670EE2" w:rsidRDefault="00670EE2" w:rsidP="00670EE2">
      <w:pPr>
        <w:pStyle w:val="ListParagraph"/>
        <w:numPr>
          <w:ilvl w:val="0"/>
          <w:numId w:val="15"/>
        </w:numPr>
        <w:spacing w:after="240"/>
        <w:ind w:left="714" w:hanging="357"/>
        <w:contextualSpacing w:val="0"/>
      </w:pPr>
      <w:proofErr w:type="gramStart"/>
      <w:r>
        <w:t>amounts</w:t>
      </w:r>
      <w:proofErr w:type="gramEnd"/>
      <w:r>
        <w:t xml:space="preserve"> received by CSC for the purposes of making payments mentioned in sectio</w:t>
      </w:r>
      <w:r w:rsidR="004B507D">
        <w:t>n </w:t>
      </w:r>
      <w:r>
        <w:t xml:space="preserve">29A of the </w:t>
      </w:r>
      <w:r w:rsidR="000829C6">
        <w:t>GAGSS Act</w:t>
      </w:r>
      <w:r w:rsidR="0052646A">
        <w:t xml:space="preserve"> </w:t>
      </w:r>
      <w:r>
        <w:t>(which deals with making payments on behalf of the Commonwealth)</w:t>
      </w:r>
      <w:r w:rsidR="00336BFF">
        <w:t xml:space="preserve">.  </w:t>
      </w:r>
      <w:r w:rsidR="00E64442">
        <w:t>In practice, the</w:t>
      </w:r>
      <w:r w:rsidR="00FC1513">
        <w:t xml:space="preserve">se </w:t>
      </w:r>
      <w:r w:rsidR="002A7301">
        <w:t xml:space="preserve">are largely </w:t>
      </w:r>
      <w:r w:rsidR="00FC1513">
        <w:t>amounts drawn by CSC from C</w:t>
      </w:r>
      <w:r w:rsidR="00CF4EB9">
        <w:t xml:space="preserve">ommonwealth appropriations to pay superannuation benefit payments under </w:t>
      </w:r>
      <w:r w:rsidR="00336BFF">
        <w:t xml:space="preserve">superannuation Acts administered by </w:t>
      </w:r>
      <w:r w:rsidR="00FC1513">
        <w:t xml:space="preserve">the </w:t>
      </w:r>
      <w:proofErr w:type="spellStart"/>
      <w:r w:rsidR="00FC1513">
        <w:t>organisation</w:t>
      </w:r>
      <w:proofErr w:type="spellEnd"/>
      <w:r>
        <w:t>;</w:t>
      </w:r>
    </w:p>
    <w:p w:rsidR="00670EE2" w:rsidRDefault="00670EE2" w:rsidP="00670EE2">
      <w:pPr>
        <w:pStyle w:val="ListParagraph"/>
        <w:numPr>
          <w:ilvl w:val="0"/>
          <w:numId w:val="15"/>
        </w:numPr>
        <w:spacing w:after="240"/>
        <w:ind w:left="714" w:hanging="357"/>
        <w:contextualSpacing w:val="0"/>
      </w:pPr>
      <w:r>
        <w:tab/>
      </w:r>
      <w:proofErr w:type="gramStart"/>
      <w:r>
        <w:t>amounts</w:t>
      </w:r>
      <w:proofErr w:type="gramEnd"/>
      <w:r>
        <w:t xml:space="preserve"> received by CSC under section 29B of </w:t>
      </w:r>
      <w:r w:rsidR="000829C6">
        <w:t>the GAGSS Act</w:t>
      </w:r>
      <w:r>
        <w:t xml:space="preserve"> (which deals with receiving payments or other amounts on behalf of the Commonwealth)</w:t>
      </w:r>
      <w:r w:rsidR="00336BFF">
        <w:t xml:space="preserve">.  </w:t>
      </w:r>
      <w:r w:rsidR="00E64442">
        <w:t>In practice, these amounts include</w:t>
      </w:r>
      <w:r w:rsidR="00336BFF">
        <w:t xml:space="preserve"> administration fees</w:t>
      </w:r>
      <w:r w:rsidR="000829C6">
        <w:t xml:space="preserve"> and </w:t>
      </w:r>
      <w:r w:rsidR="005743BD">
        <w:t xml:space="preserve">amounts </w:t>
      </w:r>
      <w:r w:rsidR="005D16D5">
        <w:t xml:space="preserve">that CSC collects from agencies, on behalf of the Commonwealth, in line with </w:t>
      </w:r>
      <w:r w:rsidR="00137F01">
        <w:t>government policy</w:t>
      </w:r>
      <w:r w:rsidR="00FC1513">
        <w:t>.  The amounts collected form part of the Consolidated Revenue Fund</w:t>
      </w:r>
      <w:r>
        <w:t>;</w:t>
      </w:r>
    </w:p>
    <w:p w:rsidR="00670EE2" w:rsidRDefault="00670EE2" w:rsidP="00670EE2">
      <w:pPr>
        <w:pStyle w:val="ListParagraph"/>
        <w:numPr>
          <w:ilvl w:val="0"/>
          <w:numId w:val="15"/>
        </w:numPr>
        <w:spacing w:after="240"/>
        <w:ind w:left="714" w:hanging="357"/>
        <w:contextualSpacing w:val="0"/>
      </w:pPr>
      <w:r>
        <w:tab/>
        <w:t xml:space="preserve">any other amounts received by CSC (whether for the purpose of making payments or for any other purpose) on behalf of the Commonwealth for the purpose of performing CSC’s function under paragraph 8(1)(c) of </w:t>
      </w:r>
      <w:r w:rsidR="0040654D">
        <w:t xml:space="preserve">the GAGSS </w:t>
      </w:r>
      <w:r>
        <w:t>Act</w:t>
      </w:r>
      <w:r w:rsidR="00CF4EB9">
        <w:t xml:space="preserve">.  </w:t>
      </w:r>
      <w:r w:rsidR="002A7301">
        <w:t>The inclusion of this</w:t>
      </w:r>
      <w:r w:rsidR="00FC1513">
        <w:t xml:space="preserve"> category of amounts </w:t>
      </w:r>
      <w:proofErr w:type="spellStart"/>
      <w:r w:rsidR="002A7301">
        <w:t>recognises</w:t>
      </w:r>
      <w:proofErr w:type="spellEnd"/>
      <w:r w:rsidR="002A7301">
        <w:t xml:space="preserve"> that </w:t>
      </w:r>
      <w:r w:rsidR="00FC1513">
        <w:t xml:space="preserve">CSC </w:t>
      </w:r>
      <w:r w:rsidR="002A7301">
        <w:t>may</w:t>
      </w:r>
      <w:r w:rsidR="00FC1513">
        <w:t xml:space="preserve"> handle </w:t>
      </w:r>
      <w:r w:rsidR="007900B3">
        <w:t xml:space="preserve">Commonwealth money </w:t>
      </w:r>
      <w:r w:rsidR="00077988">
        <w:t xml:space="preserve">in </w:t>
      </w:r>
      <w:r w:rsidR="00EE0909">
        <w:t xml:space="preserve">doing </w:t>
      </w:r>
      <w:r w:rsidR="00112DCF">
        <w:t xml:space="preserve">things </w:t>
      </w:r>
      <w:r w:rsidR="00800E3F">
        <w:t>incidental</w:t>
      </w:r>
      <w:r w:rsidR="00EE0909">
        <w:t xml:space="preserve"> to, or conducive to, the performance of </w:t>
      </w:r>
      <w:r w:rsidR="00FC1513">
        <w:t>CSC’s</w:t>
      </w:r>
      <w:r w:rsidR="00281FF0">
        <w:t xml:space="preserve"> </w:t>
      </w:r>
      <w:r w:rsidR="00077988">
        <w:t xml:space="preserve">other </w:t>
      </w:r>
      <w:r w:rsidR="00EE0909">
        <w:t>legislated functions</w:t>
      </w:r>
      <w:r>
        <w:t>;</w:t>
      </w:r>
    </w:p>
    <w:p w:rsidR="0021466E" w:rsidRDefault="00670EE2">
      <w:pPr>
        <w:pStyle w:val="ListParagraph"/>
        <w:numPr>
          <w:ilvl w:val="0"/>
          <w:numId w:val="15"/>
        </w:numPr>
        <w:ind w:left="714" w:hanging="357"/>
        <w:contextualSpacing w:val="0"/>
      </w:pPr>
      <w:r>
        <w:tab/>
        <w:t xml:space="preserve">amounts received by CSC that are referable or equivalent to amounts credited to the Services for Other Entities and Trust Moneys – ComSuper Special Account </w:t>
      </w:r>
      <w:r w:rsidR="00066B3A">
        <w:t>(the SOETM</w:t>
      </w:r>
      <w:r w:rsidR="00077988">
        <w:t xml:space="preserve"> – ComSuper Special Account</w:t>
      </w:r>
      <w:r w:rsidR="00066B3A">
        <w:t xml:space="preserve">) </w:t>
      </w:r>
      <w:r>
        <w:t xml:space="preserve">established by the </w:t>
      </w:r>
      <w:r w:rsidRPr="00670EE2">
        <w:rPr>
          <w:i/>
        </w:rPr>
        <w:t>Financial Management and Accountability (Establishment of Special Account for ComSuper) Determination 2011/06</w:t>
      </w:r>
      <w:r>
        <w:t>.</w:t>
      </w:r>
      <w:r w:rsidR="00066B3A">
        <w:t xml:space="preserve">  The amounts </w:t>
      </w:r>
      <w:r w:rsidR="00112DCF">
        <w:t xml:space="preserve">credited to the </w:t>
      </w:r>
      <w:r w:rsidR="00066B3A">
        <w:t xml:space="preserve">SOETM – ComSuper Special Account </w:t>
      </w:r>
      <w:r w:rsidR="00112DCF">
        <w:t>are held on trust or otherwise for the benefit of persons other than the Commonwealth.</w:t>
      </w:r>
      <w:r w:rsidR="00FC1513">
        <w:t xml:space="preserve">  </w:t>
      </w:r>
      <w:r w:rsidR="006704B0">
        <w:t>The requirement for CSC to apply the ba</w:t>
      </w:r>
      <w:r w:rsidR="00F6402B">
        <w:t>n</w:t>
      </w:r>
      <w:r w:rsidR="006704B0">
        <w:t>king delegation directions in relation to these amounts continues arrangements that applied under the former ComSuper.</w:t>
      </w:r>
    </w:p>
    <w:p w:rsidR="0021466E" w:rsidRDefault="0021466E"/>
    <w:p w:rsidR="00066B3A" w:rsidRDefault="00082FEE" w:rsidP="00367027">
      <w:r>
        <w:t xml:space="preserve">Note 1 at the end of subsection 18A(1) </w:t>
      </w:r>
      <w:r w:rsidR="00BA68E0">
        <w:t xml:space="preserve">informs the reader that the </w:t>
      </w:r>
      <w:r w:rsidR="001F0871" w:rsidRPr="001F0871">
        <w:rPr>
          <w:i/>
        </w:rPr>
        <w:t>Financial Management and Accountability (Establishment of Special Account for ComSuper) Determination 2011/06</w:t>
      </w:r>
      <w:r w:rsidR="00BA68E0">
        <w:t xml:space="preserve"> is continued in force and modified by item 36 of Schedule 2 to the </w:t>
      </w:r>
      <w:r w:rsidR="001F0871" w:rsidRPr="001F0871">
        <w:rPr>
          <w:i/>
        </w:rPr>
        <w:t>Public Governance, Performance and Accountability (Consequential and Transitional Provisions) Act 2014</w:t>
      </w:r>
      <w:r w:rsidR="00BA68E0">
        <w:t xml:space="preserve"> </w:t>
      </w:r>
      <w:r w:rsidR="00FB513F">
        <w:t>(PGPA</w:t>
      </w:r>
      <w:r w:rsidR="004B507D">
        <w:t xml:space="preserve"> </w:t>
      </w:r>
      <w:r w:rsidR="00FB513F">
        <w:t xml:space="preserve">(C&amp;T) Act) </w:t>
      </w:r>
      <w:r w:rsidR="00BA68E0">
        <w:t xml:space="preserve">and item 8 of Schedule 2 to the </w:t>
      </w:r>
      <w:r w:rsidR="009F3509" w:rsidRPr="009F3509">
        <w:rPr>
          <w:i/>
        </w:rPr>
        <w:t>Governance of Australian Government Superannuation Schemes Legislation Amendment Act 2015</w:t>
      </w:r>
      <w:r w:rsidR="0052646A">
        <w:t xml:space="preserve"> (</w:t>
      </w:r>
      <w:r w:rsidR="001F0871" w:rsidRPr="001F0871">
        <w:t>GAGSSLA Act</w:t>
      </w:r>
      <w:r w:rsidR="0052646A">
        <w:t>)</w:t>
      </w:r>
      <w:r w:rsidR="00BA68E0">
        <w:rPr>
          <w:i/>
        </w:rPr>
        <w:t xml:space="preserve">.  </w:t>
      </w:r>
      <w:r w:rsidR="001F0871" w:rsidRPr="001F0871">
        <w:t>Under item 36 of Schedule 2 to the</w:t>
      </w:r>
      <w:r w:rsidR="00FB513F">
        <w:rPr>
          <w:i/>
        </w:rPr>
        <w:t xml:space="preserve"> </w:t>
      </w:r>
      <w:r w:rsidR="001F0871" w:rsidRPr="001F0871">
        <w:t>PGPA</w:t>
      </w:r>
      <w:r w:rsidR="004B507D">
        <w:t xml:space="preserve"> </w:t>
      </w:r>
      <w:r w:rsidR="001F0871" w:rsidRPr="001F0871">
        <w:t>(C&amp;T) Act</w:t>
      </w:r>
      <w:r w:rsidR="00FB513F">
        <w:t xml:space="preserve">, the </w:t>
      </w:r>
      <w:r w:rsidR="00066B3A">
        <w:t>SOETM -</w:t>
      </w:r>
      <w:r w:rsidR="00F6402B">
        <w:t xml:space="preserve"> </w:t>
      </w:r>
      <w:r w:rsidR="00066B3A">
        <w:t xml:space="preserve">ComSuper </w:t>
      </w:r>
      <w:r w:rsidR="00FB513F">
        <w:t xml:space="preserve">Special Account is taken to have been made under subsection 78(1) of the PGPA Act. </w:t>
      </w:r>
      <w:r w:rsidRPr="00FB513F">
        <w:t xml:space="preserve"> </w:t>
      </w:r>
      <w:r w:rsidR="00FB513F">
        <w:t xml:space="preserve">Under item 8 of Schedule 2 to the GAGSSLA Act, references to ComSuper in the instrument establishing the </w:t>
      </w:r>
      <w:r w:rsidR="00066B3A">
        <w:t>SOETM</w:t>
      </w:r>
      <w:r w:rsidR="00112DCF">
        <w:t xml:space="preserve"> - </w:t>
      </w:r>
      <w:r w:rsidR="00066B3A">
        <w:t xml:space="preserve">ComSuper </w:t>
      </w:r>
      <w:r w:rsidR="00FB513F">
        <w:t xml:space="preserve">Special Account </w:t>
      </w:r>
      <w:r w:rsidR="00066B3A">
        <w:t xml:space="preserve">have effect from commencement of the </w:t>
      </w:r>
      <w:r w:rsidR="00CD7D4D">
        <w:t xml:space="preserve">ComSuper-CSC </w:t>
      </w:r>
      <w:r w:rsidR="00066B3A">
        <w:t>merger as if the</w:t>
      </w:r>
      <w:r w:rsidR="00CD7D4D">
        <w:t xml:space="preserve">y were references to </w:t>
      </w:r>
      <w:r w:rsidR="00066B3A">
        <w:t>CSC.</w:t>
      </w:r>
    </w:p>
    <w:p w:rsidR="00066B3A" w:rsidRDefault="00066B3A" w:rsidP="00367027"/>
    <w:p w:rsidR="00066B3A" w:rsidRDefault="00066B3A" w:rsidP="00367027">
      <w:r>
        <w:lastRenderedPageBreak/>
        <w:t xml:space="preserve">Note 2 </w:t>
      </w:r>
      <w:proofErr w:type="gramStart"/>
      <w:r>
        <w:t>assists</w:t>
      </w:r>
      <w:proofErr w:type="gramEnd"/>
      <w:r>
        <w:t xml:space="preserve"> the reader by </w:t>
      </w:r>
      <w:r w:rsidR="00CD7D4D">
        <w:t>indicating that</w:t>
      </w:r>
      <w:r>
        <w:t xml:space="preserve"> other provisions relating to CSC are contained in section 28A.</w:t>
      </w:r>
    </w:p>
    <w:p w:rsidR="007D69B2" w:rsidRDefault="007D69B2" w:rsidP="00367027"/>
    <w:p w:rsidR="00167923" w:rsidRDefault="00670EE2" w:rsidP="00367027">
      <w:r>
        <w:t xml:space="preserve">A </w:t>
      </w:r>
      <w:r w:rsidRPr="0040654D">
        <w:rPr>
          <w:b/>
        </w:rPr>
        <w:t>banking delegation direction</w:t>
      </w:r>
      <w:r>
        <w:t xml:space="preserve"> is defined in new subsection 18A(2) as being a direction, in force at the time that the section commences, that is given in a delegation of the Finance Minister’s power under subsection 53(1) of the PGPA Act and that relates to bank accounts opened and maintained in Australia.</w:t>
      </w:r>
    </w:p>
    <w:p w:rsidR="00F6402B" w:rsidRDefault="00F6402B"/>
    <w:p w:rsidR="002C4037" w:rsidRDefault="002C4037">
      <w:r>
        <w:t>New Subdivision B consists of existing sections 19 to 21 of the PGPA Rule which relate to banking or dealing with relevant money received by officials.</w:t>
      </w:r>
    </w:p>
    <w:p w:rsidR="002C4037" w:rsidRDefault="002C4037"/>
    <w:p w:rsidR="0021466E" w:rsidRDefault="0037438D">
      <w:pPr>
        <w:pStyle w:val="ActHead5"/>
        <w:spacing w:before="0"/>
      </w:pPr>
      <w:proofErr w:type="gramStart"/>
      <w:r>
        <w:t>28A  Modifications</w:t>
      </w:r>
      <w:proofErr w:type="gramEnd"/>
      <w:r>
        <w:t xml:space="preserve"> of the Act and instruments for CSC</w:t>
      </w:r>
    </w:p>
    <w:p w:rsidR="00167923" w:rsidRDefault="00167923" w:rsidP="00167923">
      <w:pPr>
        <w:rPr>
          <w:b/>
          <w:lang w:val="en-AU"/>
        </w:rPr>
      </w:pPr>
    </w:p>
    <w:p w:rsidR="00167923" w:rsidRDefault="00167923" w:rsidP="00167923">
      <w:pPr>
        <w:rPr>
          <w:b/>
          <w:lang w:val="en-AU"/>
        </w:rPr>
      </w:pPr>
      <w:r w:rsidRPr="00670EE2">
        <w:rPr>
          <w:b/>
          <w:lang w:val="en-AU"/>
        </w:rPr>
        <w:t>Item 3 – Before section 29</w:t>
      </w:r>
    </w:p>
    <w:p w:rsidR="00167923" w:rsidRDefault="00167923" w:rsidP="008D08F0">
      <w:pPr>
        <w:rPr>
          <w:b/>
          <w:i/>
          <w:u w:val="single"/>
        </w:rPr>
      </w:pPr>
    </w:p>
    <w:p w:rsidR="00670EE2" w:rsidRDefault="00CA5129" w:rsidP="00670EE2">
      <w:r>
        <w:t>This item inserts a new section 28A “Modifications of the Act and instruments for CSC”</w:t>
      </w:r>
      <w:r w:rsidR="00EE2C25">
        <w:t xml:space="preserve"> in the PGPA Rule</w:t>
      </w:r>
      <w:r>
        <w:t xml:space="preserve">, with the purpose of modifying the operation of the </w:t>
      </w:r>
      <w:r w:rsidR="0040654D">
        <w:t xml:space="preserve">PGPA </w:t>
      </w:r>
      <w:r>
        <w:t xml:space="preserve">Act and the </w:t>
      </w:r>
      <w:r w:rsidR="000D17FC" w:rsidRPr="000D17FC">
        <w:rPr>
          <w:i/>
        </w:rPr>
        <w:t>Commonwealth Procurement Rules – July 2014</w:t>
      </w:r>
      <w:r>
        <w:t xml:space="preserve"> </w:t>
      </w:r>
      <w:r w:rsidR="000D17FC">
        <w:t xml:space="preserve">(CPRs) </w:t>
      </w:r>
      <w:r>
        <w:t xml:space="preserve">for CSC.  New section 28A is made </w:t>
      </w:r>
      <w:r w:rsidR="001F0871" w:rsidRPr="001F0871">
        <w:t>for</w:t>
      </w:r>
      <w:r>
        <w:t xml:space="preserve"> section 104 of the </w:t>
      </w:r>
      <w:r w:rsidR="0040654D">
        <w:t>PGPA Act</w:t>
      </w:r>
      <w:r w:rsidR="001F0871" w:rsidRPr="001F0871">
        <w:t>, which permits rules to be made to modify the application, with respect to CSC, of the PGPA Act</w:t>
      </w:r>
      <w:r w:rsidR="0040654D">
        <w:t>,</w:t>
      </w:r>
      <w:r w:rsidR="001F0871" w:rsidRPr="001F0871">
        <w:t xml:space="preserve"> the PGPA rules or an instrument made under section 105B or 105C</w:t>
      </w:r>
      <w:r w:rsidR="0040654D">
        <w:t xml:space="preserve"> of the PGPA Act</w:t>
      </w:r>
      <w:r w:rsidR="001F0871" w:rsidRPr="001F0871">
        <w:t>.</w:t>
      </w:r>
    </w:p>
    <w:p w:rsidR="000B5699" w:rsidRDefault="000B5699" w:rsidP="00670EE2"/>
    <w:p w:rsidR="00670EE2" w:rsidRPr="000B5699" w:rsidRDefault="000B5699" w:rsidP="00670EE2">
      <w:pPr>
        <w:rPr>
          <w:b/>
        </w:rPr>
      </w:pPr>
      <w:proofErr w:type="gramStart"/>
      <w:r w:rsidRPr="000B5699">
        <w:rPr>
          <w:b/>
        </w:rPr>
        <w:t>28A(</w:t>
      </w:r>
      <w:proofErr w:type="gramEnd"/>
      <w:r w:rsidRPr="000B5699">
        <w:rPr>
          <w:b/>
        </w:rPr>
        <w:t xml:space="preserve">1) </w:t>
      </w:r>
      <w:r w:rsidRPr="000B5699">
        <w:rPr>
          <w:b/>
          <w:i/>
        </w:rPr>
        <w:t>Delegation of powers, functions and duties in relation to recovery of debts</w:t>
      </w:r>
    </w:p>
    <w:p w:rsidR="000B5699" w:rsidRDefault="000B5699" w:rsidP="00670EE2"/>
    <w:p w:rsidR="00682380" w:rsidRDefault="002302B7" w:rsidP="00670EE2">
      <w:r>
        <w:t xml:space="preserve">Debts owing to the Commonwealth are generally recovered by </w:t>
      </w:r>
      <w:r w:rsidR="000D17FC">
        <w:t>non-corporate Commonwealth entities (</w:t>
      </w:r>
      <w:r w:rsidR="004E3F75">
        <w:t>NCE</w:t>
      </w:r>
      <w:r w:rsidR="000D17FC">
        <w:t>s)</w:t>
      </w:r>
      <w:r>
        <w:t xml:space="preserve">, which are legally part of the Commonwealth.  In doing so, </w:t>
      </w:r>
      <w:r w:rsidR="004E3F75">
        <w:t>NCE</w:t>
      </w:r>
      <w:r>
        <w:t xml:space="preserve">s are subject to </w:t>
      </w:r>
      <w:r w:rsidR="00682380">
        <w:t>arrangements</w:t>
      </w:r>
      <w:r>
        <w:t xml:space="preserve"> for recovery of </w:t>
      </w:r>
      <w:r w:rsidR="00682380">
        <w:t xml:space="preserve">debts due to the Commonwealth </w:t>
      </w:r>
      <w:r w:rsidR="004A3CB4">
        <w:t xml:space="preserve">that are </w:t>
      </w:r>
      <w:r w:rsidR="00682380">
        <w:t>set down in the</w:t>
      </w:r>
      <w:r>
        <w:t xml:space="preserve"> PGPA Act and the PGPA Rule.  </w:t>
      </w:r>
      <w:r w:rsidR="004A3CB4">
        <w:t>Under this legislation, the arrangements do not apply to</w:t>
      </w:r>
      <w:r w:rsidR="00682380">
        <w:t xml:space="preserve"> </w:t>
      </w:r>
      <w:r w:rsidR="000D17FC">
        <w:t>corporate Commonwealth entities (CCEs)</w:t>
      </w:r>
      <w:r w:rsidR="004A3CB4">
        <w:t>, such as CSC,</w:t>
      </w:r>
      <w:r w:rsidR="00682380">
        <w:t xml:space="preserve"> </w:t>
      </w:r>
      <w:r w:rsidR="0076226E">
        <w:t>as</w:t>
      </w:r>
      <w:r w:rsidR="00682380">
        <w:t xml:space="preserve"> </w:t>
      </w:r>
      <w:r w:rsidR="004A3CB4">
        <w:t>these</w:t>
      </w:r>
      <w:r w:rsidR="00682380">
        <w:t xml:space="preserve"> entities do not usually recover debts</w:t>
      </w:r>
      <w:r w:rsidR="004A3CB4">
        <w:t xml:space="preserve"> on behalf of the Commonwealth.</w:t>
      </w:r>
    </w:p>
    <w:p w:rsidR="00682380" w:rsidRDefault="00682380" w:rsidP="00670EE2"/>
    <w:p w:rsidR="0076226E" w:rsidRDefault="004A3CB4">
      <w:r>
        <w:t>The administration</w:t>
      </w:r>
      <w:r w:rsidR="00682380">
        <w:t xml:space="preserve"> function that CSC assumed from ComSuper at commencement of the merger, </w:t>
      </w:r>
      <w:r>
        <w:t>involves CSC recovering debts owing to the Commonwealth (generally arising due to overpayments of superannuation benefits from Commonwealth appropriations)</w:t>
      </w:r>
      <w:r w:rsidR="00682380">
        <w:t xml:space="preserve">.  </w:t>
      </w:r>
      <w:r>
        <w:t xml:space="preserve">The </w:t>
      </w:r>
      <w:r w:rsidR="000D17FC">
        <w:t xml:space="preserve">GAGSSLA Act </w:t>
      </w:r>
      <w:r>
        <w:t>therefore insert</w:t>
      </w:r>
      <w:r w:rsidR="00EE2C25">
        <w:t>ed a new section 29C in the GAGS</w:t>
      </w:r>
      <w:r>
        <w:t xml:space="preserve">S Act that provides for rules made for the </w:t>
      </w:r>
      <w:r w:rsidR="00491235">
        <w:t xml:space="preserve">purposes of the PGPA Act in relation to recovery of debts owing to the Commonwealth to apply to CSC in the same way as those rules apply to a </w:t>
      </w:r>
      <w:r w:rsidR="004E3F75">
        <w:t>NCE</w:t>
      </w:r>
      <w:r w:rsidR="00491235">
        <w:t>.</w:t>
      </w:r>
    </w:p>
    <w:p w:rsidR="0076226E" w:rsidRDefault="0076226E"/>
    <w:p w:rsidR="0013766B" w:rsidRDefault="00DB2E36">
      <w:r>
        <w:t>The Amendment</w:t>
      </w:r>
      <w:r w:rsidR="00A40BBB">
        <w:t xml:space="preserve"> Rule </w:t>
      </w:r>
      <w:r w:rsidR="00250D92">
        <w:t xml:space="preserve">addresses </w:t>
      </w:r>
      <w:r w:rsidR="0076226E">
        <w:t xml:space="preserve">residual matters </w:t>
      </w:r>
      <w:r w:rsidR="00EE2C25">
        <w:t>relating to</w:t>
      </w:r>
      <w:r w:rsidR="0076226E">
        <w:t xml:space="preserve"> the application of arrangements for recovery of </w:t>
      </w:r>
      <w:r w:rsidR="00EE2C25">
        <w:t xml:space="preserve">debts due to the </w:t>
      </w:r>
      <w:r w:rsidR="0076226E">
        <w:t xml:space="preserve">Commonwealth under the PGPA Act and PGPA Rule </w:t>
      </w:r>
      <w:r w:rsidR="00673868">
        <w:t xml:space="preserve">to CSC, so that CSC is able to more </w:t>
      </w:r>
      <w:r w:rsidR="00250D92">
        <w:t xml:space="preserve">efficiently </w:t>
      </w:r>
      <w:r w:rsidR="00BD4571">
        <w:t xml:space="preserve">and effectively </w:t>
      </w:r>
      <w:r w:rsidR="009B68AD">
        <w:t>perform</w:t>
      </w:r>
      <w:r w:rsidR="0013766B">
        <w:t xml:space="preserve"> </w:t>
      </w:r>
      <w:r w:rsidR="0076226E">
        <w:t xml:space="preserve">this </w:t>
      </w:r>
      <w:r w:rsidR="009B68AD">
        <w:t>part</w:t>
      </w:r>
      <w:r w:rsidR="0076226E">
        <w:t xml:space="preserve"> of its administrati</w:t>
      </w:r>
      <w:r w:rsidR="00EE2C25">
        <w:t>ve services</w:t>
      </w:r>
      <w:r w:rsidR="0076226E">
        <w:t xml:space="preserve"> function</w:t>
      </w:r>
      <w:r w:rsidR="00250D92">
        <w:t>.</w:t>
      </w:r>
    </w:p>
    <w:p w:rsidR="0013766B" w:rsidRDefault="0013766B"/>
    <w:p w:rsidR="0013766B" w:rsidRDefault="0013766B" w:rsidP="00283E8B">
      <w:r>
        <w:t xml:space="preserve">Specifically, </w:t>
      </w:r>
      <w:r w:rsidR="00DB2E36">
        <w:t>the Amendment</w:t>
      </w:r>
      <w:r>
        <w:t xml:space="preserve"> Rule inserts new subsection </w:t>
      </w:r>
      <w:proofErr w:type="gramStart"/>
      <w:r>
        <w:t>28A(</w:t>
      </w:r>
      <w:proofErr w:type="gramEnd"/>
      <w:r>
        <w:t xml:space="preserve">1) </w:t>
      </w:r>
      <w:r w:rsidR="00EE2C25">
        <w:t>in</w:t>
      </w:r>
      <w:r w:rsidR="00F6402B">
        <w:t>to</w:t>
      </w:r>
      <w:r>
        <w:t xml:space="preserve"> the PGPA Rule</w:t>
      </w:r>
      <w:r w:rsidR="00EE2C25">
        <w:t>,</w:t>
      </w:r>
      <w:r>
        <w:t xml:space="preserve"> which modifies the operation of subsection 107(1) and section 110 of the PGPA Act to </w:t>
      </w:r>
      <w:r w:rsidR="005B07E5">
        <w:t>enable</w:t>
      </w:r>
      <w:r>
        <w:t xml:space="preserve"> the Finance Minister and </w:t>
      </w:r>
      <w:r w:rsidR="009B68AD">
        <w:t>the CSC Board</w:t>
      </w:r>
      <w:r w:rsidR="00EE2C25">
        <w:t>,</w:t>
      </w:r>
      <w:r w:rsidR="009B68AD">
        <w:t xml:space="preserve"> as the accountable authority of CSC</w:t>
      </w:r>
      <w:r w:rsidR="00EE2C25">
        <w:t>,</w:t>
      </w:r>
      <w:r w:rsidR="009B68AD">
        <w:t xml:space="preserve"> to delegate certain powers, functions and duties under the PGPA Act and PGPA Rule, concerning the recovery of debts due to the Commonwealth, as if CSC were a </w:t>
      </w:r>
      <w:r w:rsidR="004E3F75">
        <w:t>NCE</w:t>
      </w:r>
      <w:r w:rsidR="009B68AD">
        <w:t xml:space="preserve">.  The powers, functions or duties that will be delegable to, and by the CSC Board, as a result of the modification </w:t>
      </w:r>
      <w:r w:rsidR="005B07E5">
        <w:t>are</w:t>
      </w:r>
      <w:r w:rsidR="00673868">
        <w:t xml:space="preserve"> those</w:t>
      </w:r>
      <w:r w:rsidR="00E17DF5">
        <w:t xml:space="preserve"> under</w:t>
      </w:r>
      <w:r w:rsidR="009B68AD">
        <w:t>:</w:t>
      </w:r>
    </w:p>
    <w:p w:rsidR="0021466E" w:rsidRDefault="005B07E5" w:rsidP="00283E8B">
      <w:pPr>
        <w:pStyle w:val="ListParagraph"/>
        <w:keepNext/>
        <w:keepLines/>
        <w:numPr>
          <w:ilvl w:val="0"/>
          <w:numId w:val="44"/>
        </w:numPr>
        <w:spacing w:after="120"/>
        <w:ind w:left="714" w:hanging="357"/>
        <w:contextualSpacing w:val="0"/>
      </w:pPr>
      <w:proofErr w:type="gramStart"/>
      <w:r>
        <w:lastRenderedPageBreak/>
        <w:t>p</w:t>
      </w:r>
      <w:r w:rsidR="0059163F">
        <w:t>aragraph</w:t>
      </w:r>
      <w:proofErr w:type="gramEnd"/>
      <w:r>
        <w:t xml:space="preserve"> 63(1)(b) of the PGPA Act, which </w:t>
      </w:r>
      <w:r w:rsidR="0059163F">
        <w:t>enables the Finance Minister, on behalf of the Commonwealth</w:t>
      </w:r>
      <w:r>
        <w:t>,</w:t>
      </w:r>
      <w:r w:rsidR="0059163F">
        <w:t xml:space="preserve"> to </w:t>
      </w:r>
      <w:proofErr w:type="spellStart"/>
      <w:r w:rsidR="00A40BBB">
        <w:t>authoris</w:t>
      </w:r>
      <w:r w:rsidR="0059163F">
        <w:t>e</w:t>
      </w:r>
      <w:proofErr w:type="spellEnd"/>
      <w:r w:rsidR="0059163F">
        <w:t xml:space="preserve"> the modification of the terms and conditions on which an amount owing to the Commonwealth is to be paid to the Commonwealth.  </w:t>
      </w:r>
      <w:r>
        <w:t>This is necessary</w:t>
      </w:r>
      <w:r w:rsidR="00E45150">
        <w:t xml:space="preserve"> as</w:t>
      </w:r>
      <w:r>
        <w:t xml:space="preserve">, while the legislation governing the superannuation schemes administered by CSC </w:t>
      </w:r>
      <w:r w:rsidR="00EE2C25">
        <w:t>includes provisions enabling</w:t>
      </w:r>
      <w:r>
        <w:t xml:space="preserve"> the </w:t>
      </w:r>
      <w:proofErr w:type="spellStart"/>
      <w:r>
        <w:t>organisation</w:t>
      </w:r>
      <w:proofErr w:type="spellEnd"/>
      <w:r>
        <w:t xml:space="preserve"> to recover debts due to the Commonwealth by </w:t>
      </w:r>
      <w:proofErr w:type="spellStart"/>
      <w:r>
        <w:t>instalments</w:t>
      </w:r>
      <w:proofErr w:type="spellEnd"/>
      <w:r w:rsidR="00673868">
        <w:t xml:space="preserve"> or to otherwise modify the terms and conditions on which such debts are to be paid to the Commonwealth, certain debts are not covered by these provisions; and</w:t>
      </w:r>
    </w:p>
    <w:p w:rsidR="0021466E" w:rsidRDefault="00E17DF5">
      <w:pPr>
        <w:pStyle w:val="ListParagraph"/>
        <w:numPr>
          <w:ilvl w:val="0"/>
          <w:numId w:val="44"/>
        </w:numPr>
      </w:pPr>
      <w:proofErr w:type="gramStart"/>
      <w:r>
        <w:t>section</w:t>
      </w:r>
      <w:proofErr w:type="gramEnd"/>
      <w:r>
        <w:t xml:space="preserve"> 11 of the PGPA Rules, which requires accountable authorities of </w:t>
      </w:r>
      <w:r w:rsidR="004E3F75">
        <w:t>NCE</w:t>
      </w:r>
      <w:r>
        <w:t>s to pursue recovery of debts due to the Commonwealth (unless certain requirements are met).</w:t>
      </w:r>
    </w:p>
    <w:p w:rsidR="0076226E" w:rsidRDefault="0076226E"/>
    <w:p w:rsidR="00035645" w:rsidRDefault="00035645" w:rsidP="00035645">
      <w:r>
        <w:t xml:space="preserve">The note assists the reader by </w:t>
      </w:r>
      <w:r w:rsidR="00AE3D43">
        <w:t xml:space="preserve">alerting them to the effect of subsections 107(1) and </w:t>
      </w:r>
      <w:r w:rsidR="008E43CA">
        <w:t xml:space="preserve">section </w:t>
      </w:r>
      <w:r w:rsidR="00AE3D43">
        <w:t>110 of the PGPA Act</w:t>
      </w:r>
      <w:r w:rsidR="008E43CA">
        <w:t>, and noting that para</w:t>
      </w:r>
      <w:r w:rsidR="00F6402B">
        <w:t>graph 63</w:t>
      </w:r>
      <w:r w:rsidR="00370010">
        <w:t>(1</w:t>
      </w:r>
      <w:proofErr w:type="gramStart"/>
      <w:r w:rsidR="00370010">
        <w:t>)(</w:t>
      </w:r>
      <w:proofErr w:type="gramEnd"/>
      <w:r w:rsidR="00370010">
        <w:t xml:space="preserve">b) and section </w:t>
      </w:r>
      <w:r w:rsidR="00EE2C25">
        <w:t>11 of the instrument</w:t>
      </w:r>
      <w:r w:rsidR="00370010">
        <w:t xml:space="preserve"> deal with recovery of debts</w:t>
      </w:r>
      <w:r w:rsidR="00AE3D43">
        <w:t>.</w:t>
      </w:r>
    </w:p>
    <w:p w:rsidR="00AE3D43" w:rsidRDefault="00AE3D43" w:rsidP="00035645"/>
    <w:p w:rsidR="00AE3D43" w:rsidRPr="00AE3D43" w:rsidRDefault="00AE3D43" w:rsidP="00035645">
      <w:pPr>
        <w:rPr>
          <w:b/>
        </w:rPr>
      </w:pPr>
      <w:proofErr w:type="gramStart"/>
      <w:r w:rsidRPr="00AE3D43">
        <w:rPr>
          <w:b/>
        </w:rPr>
        <w:t>28A(</w:t>
      </w:r>
      <w:proofErr w:type="gramEnd"/>
      <w:r w:rsidRPr="00AE3D43">
        <w:rPr>
          <w:b/>
        </w:rPr>
        <w:t xml:space="preserve">2) </w:t>
      </w:r>
      <w:r w:rsidRPr="00AE3D43">
        <w:rPr>
          <w:b/>
          <w:i/>
        </w:rPr>
        <w:t xml:space="preserve">Limited application of Commonwealth Procurement Rules </w:t>
      </w:r>
      <w:r w:rsidR="00F6402B">
        <w:rPr>
          <w:b/>
          <w:i/>
        </w:rPr>
        <w:t xml:space="preserve">– July </w:t>
      </w:r>
      <w:r w:rsidRPr="00AE3D43">
        <w:rPr>
          <w:b/>
          <w:i/>
        </w:rPr>
        <w:t>2014 to CSC</w:t>
      </w:r>
    </w:p>
    <w:p w:rsidR="000B5699" w:rsidRDefault="000B5699" w:rsidP="00670EE2"/>
    <w:p w:rsidR="00403F0E" w:rsidRDefault="00403F0E" w:rsidP="00403F0E">
      <w:r w:rsidRPr="00196CA6">
        <w:t xml:space="preserve">The Australian Government is a signatory to a number of international trade agreements.  Under these agreements Australia has made commitments in relation to government procurement.  Australia’s obligations in relation to government procurement under these various trade agreements and their implementing legislation are </w:t>
      </w:r>
      <w:r>
        <w:t xml:space="preserve">partially </w:t>
      </w:r>
      <w:r w:rsidRPr="00196CA6">
        <w:t xml:space="preserve">reflected in </w:t>
      </w:r>
      <w:r w:rsidRPr="00403F0E">
        <w:t>CPRs</w:t>
      </w:r>
      <w:r w:rsidR="00370010">
        <w:t xml:space="preserve"> issued under subsection </w:t>
      </w:r>
      <w:proofErr w:type="gramStart"/>
      <w:r w:rsidR="00370010">
        <w:t>105B(</w:t>
      </w:r>
      <w:proofErr w:type="gramEnd"/>
      <w:r w:rsidR="00370010">
        <w:t>1) of the PGPA Act</w:t>
      </w:r>
      <w:r w:rsidRPr="00196CA6">
        <w:t>.</w:t>
      </w:r>
    </w:p>
    <w:p w:rsidR="00403F0E" w:rsidRPr="00196CA6" w:rsidRDefault="00403F0E" w:rsidP="00403F0E"/>
    <w:p w:rsidR="00E021DB" w:rsidRDefault="00700A62" w:rsidP="00403F0E">
      <w:r>
        <w:t xml:space="preserve">ComSuper was subject to </w:t>
      </w:r>
      <w:r w:rsidR="00E021DB">
        <w:t xml:space="preserve">the </w:t>
      </w:r>
      <w:r>
        <w:t xml:space="preserve">government procurement obligations under </w:t>
      </w:r>
      <w:r w:rsidR="00E021DB">
        <w:t>relevant</w:t>
      </w:r>
      <w:r>
        <w:t xml:space="preserve"> free trade agreements.  For example, ComSuper</w:t>
      </w:r>
      <w:r w:rsidR="00403F0E" w:rsidRPr="00196CA6">
        <w:t xml:space="preserve"> </w:t>
      </w:r>
      <w:r w:rsidR="00403F0E">
        <w:t>wa</w:t>
      </w:r>
      <w:r w:rsidR="00403F0E" w:rsidRPr="00196CA6">
        <w:t>s a listed ‘procuring entity’ under Annex 15-A of the A</w:t>
      </w:r>
      <w:r>
        <w:t>ustralia-</w:t>
      </w:r>
      <w:r w:rsidR="00403F0E" w:rsidRPr="00196CA6">
        <w:t>U</w:t>
      </w:r>
      <w:r>
        <w:t xml:space="preserve">nited </w:t>
      </w:r>
      <w:r w:rsidR="00403F0E" w:rsidRPr="00196CA6">
        <w:t>S</w:t>
      </w:r>
      <w:r>
        <w:t xml:space="preserve">tates </w:t>
      </w:r>
      <w:r w:rsidR="00403F0E" w:rsidRPr="00196CA6">
        <w:t>F</w:t>
      </w:r>
      <w:r>
        <w:t xml:space="preserve">ree </w:t>
      </w:r>
      <w:r w:rsidR="00403F0E" w:rsidRPr="00196CA6">
        <w:t>T</w:t>
      </w:r>
      <w:r>
        <w:t xml:space="preserve">rade </w:t>
      </w:r>
      <w:r w:rsidR="00403F0E" w:rsidRPr="00196CA6">
        <w:t>A</w:t>
      </w:r>
      <w:r>
        <w:t>greement</w:t>
      </w:r>
      <w:r w:rsidR="00403F0E" w:rsidRPr="00196CA6">
        <w:t xml:space="preserve"> and </w:t>
      </w:r>
      <w:r>
        <w:t xml:space="preserve">the </w:t>
      </w:r>
      <w:r w:rsidR="00403F0E" w:rsidRPr="00196CA6">
        <w:t>A</w:t>
      </w:r>
      <w:r>
        <w:t>ustralia-</w:t>
      </w:r>
      <w:r w:rsidR="00403F0E" w:rsidRPr="00196CA6">
        <w:t>C</w:t>
      </w:r>
      <w:r>
        <w:t xml:space="preserve">hile </w:t>
      </w:r>
      <w:r w:rsidR="00403F0E" w:rsidRPr="00196CA6">
        <w:t>F</w:t>
      </w:r>
      <w:r>
        <w:t xml:space="preserve">ree </w:t>
      </w:r>
      <w:r w:rsidR="00403F0E" w:rsidRPr="00196CA6">
        <w:t>T</w:t>
      </w:r>
      <w:r>
        <w:t xml:space="preserve">rade </w:t>
      </w:r>
      <w:r w:rsidR="00403F0E" w:rsidRPr="00196CA6">
        <w:t>A</w:t>
      </w:r>
      <w:r>
        <w:t xml:space="preserve">greement and, therefore, </w:t>
      </w:r>
      <w:r w:rsidR="00403F0E" w:rsidRPr="00196CA6">
        <w:t xml:space="preserve">the government procurement obligations </w:t>
      </w:r>
      <w:r w:rsidR="00E021DB">
        <w:t>applied to its function</w:t>
      </w:r>
      <w:r w:rsidR="00B67BEE">
        <w:t>s</w:t>
      </w:r>
      <w:r w:rsidR="00E021DB">
        <w:t xml:space="preserve"> </w:t>
      </w:r>
      <w:r w:rsidR="00403F0E" w:rsidRPr="00196CA6">
        <w:t xml:space="preserve">under </w:t>
      </w:r>
      <w:r w:rsidR="00450B37">
        <w:t>these agreements</w:t>
      </w:r>
      <w:r w:rsidR="00403F0E" w:rsidRPr="00196CA6">
        <w:t xml:space="preserve">.  </w:t>
      </w:r>
      <w:r w:rsidR="0052646A">
        <w:t xml:space="preserve">ComSuper met these obligations by applying the CPRs, which apply to all </w:t>
      </w:r>
      <w:r w:rsidR="004E3F75">
        <w:t>NCE</w:t>
      </w:r>
      <w:r w:rsidR="0052646A">
        <w:t>s and CCEs prescribed unde</w:t>
      </w:r>
      <w:r>
        <w:t>r section 30 of the PGPA Rule.</w:t>
      </w:r>
    </w:p>
    <w:p w:rsidR="00E021DB" w:rsidRDefault="00E021DB" w:rsidP="00403F0E"/>
    <w:p w:rsidR="00831340" w:rsidRDefault="0052646A" w:rsidP="00403F0E">
      <w:r>
        <w:t xml:space="preserve">As a result of </w:t>
      </w:r>
      <w:r w:rsidR="00700A62">
        <w:t xml:space="preserve">the merger of the </w:t>
      </w:r>
      <w:proofErr w:type="spellStart"/>
      <w:r w:rsidR="00700A62">
        <w:t>organisations</w:t>
      </w:r>
      <w:proofErr w:type="spellEnd"/>
      <w:r w:rsidR="00E021DB">
        <w:t xml:space="preserve"> on 1 July 2015</w:t>
      </w:r>
      <w:r w:rsidR="00700A62">
        <w:t>,</w:t>
      </w:r>
      <w:r>
        <w:t xml:space="preserve"> </w:t>
      </w:r>
      <w:r w:rsidR="00403F0E" w:rsidRPr="00196CA6">
        <w:t xml:space="preserve">ComSuper </w:t>
      </w:r>
      <w:r w:rsidR="00403F0E">
        <w:t>was</w:t>
      </w:r>
      <w:r w:rsidR="00403F0E" w:rsidRPr="00196CA6">
        <w:t xml:space="preserve"> abolished and its function</w:t>
      </w:r>
      <w:r w:rsidR="00E021DB">
        <w:t xml:space="preserve"> of providing administrative services in relation to the schemes administered by CSC</w:t>
      </w:r>
      <w:r w:rsidR="00403F0E" w:rsidRPr="00196CA6">
        <w:t xml:space="preserve"> transferred to CSC</w:t>
      </w:r>
      <w:r w:rsidR="00E021DB">
        <w:t xml:space="preserve"> (which </w:t>
      </w:r>
      <w:r w:rsidR="00831340">
        <w:t>was not</w:t>
      </w:r>
      <w:r w:rsidR="00E021DB">
        <w:t xml:space="preserve"> </w:t>
      </w:r>
      <w:r w:rsidR="00831340">
        <w:t>subject to the CPRs as it was not prescribed under section 30 of the PGPA Rule</w:t>
      </w:r>
      <w:r w:rsidR="00E021DB">
        <w:t xml:space="preserve">, </w:t>
      </w:r>
      <w:r w:rsidR="00831340">
        <w:t>which deals with procurement by CCEs)</w:t>
      </w:r>
      <w:r w:rsidR="00403F0E">
        <w:t>.</w:t>
      </w:r>
    </w:p>
    <w:p w:rsidR="00831340" w:rsidRDefault="00831340" w:rsidP="00403F0E"/>
    <w:p w:rsidR="00403F0E" w:rsidRDefault="00403F0E" w:rsidP="00403F0E">
      <w:r>
        <w:t>W</w:t>
      </w:r>
      <w:r w:rsidRPr="00AC69B4">
        <w:t>here a ‘procuring entity’ is merged or abolished</w:t>
      </w:r>
      <w:r w:rsidR="00450B37">
        <w:t xml:space="preserve"> or other machinery of government changes occur</w:t>
      </w:r>
      <w:r w:rsidRPr="00AC69B4">
        <w:t>, the free trade agreement obligations attach to the function</w:t>
      </w:r>
      <w:r w:rsidR="00EE2C25">
        <w:t>,</w:t>
      </w:r>
      <w:r w:rsidRPr="00AC69B4">
        <w:t xml:space="preserve"> not the entity.  </w:t>
      </w:r>
      <w:r w:rsidR="00450B37">
        <w:t>T</w:t>
      </w:r>
      <w:r w:rsidR="00EE2C25">
        <w:t xml:space="preserve">his means that </w:t>
      </w:r>
      <w:r w:rsidRPr="00196CA6">
        <w:t xml:space="preserve">the </w:t>
      </w:r>
      <w:r>
        <w:t xml:space="preserve">superannuation </w:t>
      </w:r>
      <w:r w:rsidRPr="00196CA6">
        <w:t>scheme administrati</w:t>
      </w:r>
      <w:r w:rsidR="00EE2C25">
        <w:t>ve services</w:t>
      </w:r>
      <w:r w:rsidRPr="00196CA6">
        <w:t xml:space="preserve"> function </w:t>
      </w:r>
      <w:r w:rsidR="00F02E40">
        <w:t>that transferred from</w:t>
      </w:r>
      <w:r w:rsidRPr="00196CA6">
        <w:t xml:space="preserve"> ComSuper </w:t>
      </w:r>
      <w:r w:rsidR="00F02E40">
        <w:t xml:space="preserve">to CSC </w:t>
      </w:r>
      <w:r w:rsidRPr="00196CA6">
        <w:t>continue</w:t>
      </w:r>
      <w:r w:rsidR="00EE2C25">
        <w:t>s</w:t>
      </w:r>
      <w:r w:rsidRPr="00196CA6">
        <w:t xml:space="preserve"> to be subject to the government procurement obligations under Australia’s international trade agreements.</w:t>
      </w:r>
      <w:r w:rsidR="00450B37">
        <w:t xml:space="preserve">  </w:t>
      </w:r>
      <w:r w:rsidR="00524815">
        <w:t>These</w:t>
      </w:r>
      <w:r w:rsidR="00450B37">
        <w:t xml:space="preserve"> obligations apply to CSC’s provision of administrative services for all of the civilian and military schemes under the </w:t>
      </w:r>
      <w:proofErr w:type="spellStart"/>
      <w:r w:rsidR="00450B37">
        <w:t>organisation’s</w:t>
      </w:r>
      <w:proofErr w:type="spellEnd"/>
      <w:r w:rsidR="00450B37">
        <w:t xml:space="preserve"> management.</w:t>
      </w:r>
    </w:p>
    <w:p w:rsidR="00403F0E" w:rsidRDefault="00403F0E" w:rsidP="00403F0E"/>
    <w:p w:rsidR="00403F0E" w:rsidRDefault="00E549E8" w:rsidP="00403F0E">
      <w:r>
        <w:t>T</w:t>
      </w:r>
      <w:r w:rsidR="00125BBE">
        <w:t>o support compliance with international free trade agreement obligations, n</w:t>
      </w:r>
      <w:r w:rsidR="00403F0E">
        <w:t xml:space="preserve">ew subsection 28A(2) </w:t>
      </w:r>
      <w:r w:rsidR="00125BBE">
        <w:t xml:space="preserve">of the PGPA Rule </w:t>
      </w:r>
      <w:r w:rsidR="00DB2E36">
        <w:t>(inserted by the Amendment</w:t>
      </w:r>
      <w:r w:rsidR="00125BBE">
        <w:t xml:space="preserve"> Rule) </w:t>
      </w:r>
      <w:r w:rsidR="00403F0E">
        <w:t>modifies the operation of the CPRs by applying them to CSC’s function of providing administrative services relating to superan</w:t>
      </w:r>
      <w:r w:rsidR="004B7B61">
        <w:t>n</w:t>
      </w:r>
      <w:r w:rsidR="00403F0E">
        <w:t>uation schemes administered by CSC</w:t>
      </w:r>
      <w:r w:rsidR="004B7B61">
        <w:t xml:space="preserve">.  This is the function which CSC </w:t>
      </w:r>
      <w:r w:rsidR="00EE2C25">
        <w:t>assumed</w:t>
      </w:r>
      <w:r w:rsidR="004B7B61">
        <w:t xml:space="preserve"> from ComSuper.  The CPRs do not apply to CSC in respect of any of its other functions.</w:t>
      </w:r>
    </w:p>
    <w:p w:rsidR="004B7B61" w:rsidRDefault="004B7B61" w:rsidP="00403F0E"/>
    <w:p w:rsidR="004B7B61" w:rsidRDefault="004B7B61" w:rsidP="003847C2">
      <w:pPr>
        <w:keepNext/>
        <w:keepLines/>
      </w:pPr>
      <w:proofErr w:type="gramStart"/>
      <w:r w:rsidRPr="00AE3D43">
        <w:rPr>
          <w:b/>
        </w:rPr>
        <w:lastRenderedPageBreak/>
        <w:t>28A(</w:t>
      </w:r>
      <w:proofErr w:type="gramEnd"/>
      <w:r>
        <w:rPr>
          <w:b/>
        </w:rPr>
        <w:t>3</w:t>
      </w:r>
      <w:r w:rsidRPr="00AE3D43">
        <w:rPr>
          <w:b/>
        </w:rPr>
        <w:t xml:space="preserve">) </w:t>
      </w:r>
      <w:r w:rsidRPr="00AE3D43">
        <w:rPr>
          <w:b/>
          <w:i/>
        </w:rPr>
        <w:t xml:space="preserve">Limited application of Commonwealth Procurement Rules </w:t>
      </w:r>
      <w:r w:rsidR="00F6402B">
        <w:rPr>
          <w:b/>
          <w:i/>
        </w:rPr>
        <w:t xml:space="preserve">– July </w:t>
      </w:r>
      <w:r w:rsidRPr="00AE3D43">
        <w:rPr>
          <w:b/>
          <w:i/>
        </w:rPr>
        <w:t>2014 to CSC</w:t>
      </w:r>
    </w:p>
    <w:p w:rsidR="00AE3D43" w:rsidRDefault="00AE3D43" w:rsidP="003847C2">
      <w:pPr>
        <w:keepNext/>
        <w:keepLines/>
      </w:pPr>
    </w:p>
    <w:p w:rsidR="00172BF9" w:rsidRDefault="004B7B61" w:rsidP="003847C2">
      <w:pPr>
        <w:keepNext/>
        <w:keepLines/>
      </w:pPr>
      <w:r w:rsidRPr="00196CA6">
        <w:t xml:space="preserve">Although CSC is a CCE, in order to comply with the Australian Government’s international trade obligations, to the </w:t>
      </w:r>
      <w:r>
        <w:t xml:space="preserve">limited </w:t>
      </w:r>
      <w:r w:rsidRPr="00196CA6">
        <w:t>extent that the CPRs apply to CSC</w:t>
      </w:r>
      <w:r>
        <w:t xml:space="preserve"> (</w:t>
      </w:r>
      <w:r w:rsidR="00172BF9">
        <w:t xml:space="preserve">that is, CSC’s </w:t>
      </w:r>
      <w:r>
        <w:t>function of providing administrative services relating to superannuation schemes administered by CSC)</w:t>
      </w:r>
      <w:r w:rsidRPr="00196CA6">
        <w:t>, they will apply</w:t>
      </w:r>
      <w:r w:rsidR="00EE2C25">
        <w:t>, under new paragraph 28A(3)(c),</w:t>
      </w:r>
      <w:r w:rsidRPr="00196CA6">
        <w:t xml:space="preserve"> as if CSC were a </w:t>
      </w:r>
      <w:r w:rsidR="004E3F75">
        <w:t>NCE</w:t>
      </w:r>
      <w:r>
        <w:t xml:space="preserve">.  </w:t>
      </w:r>
      <w:r w:rsidR="00172BF9">
        <w:t xml:space="preserve">This means, for example, that CSC will apply the </w:t>
      </w:r>
      <w:r w:rsidR="004E3F75">
        <w:t>NCE</w:t>
      </w:r>
      <w:r w:rsidR="00172BF9">
        <w:t xml:space="preserve"> reporting and procurement thresholds (to the extent the CPRs apply).</w:t>
      </w:r>
    </w:p>
    <w:p w:rsidR="00172BF9" w:rsidRDefault="00172BF9" w:rsidP="00670EE2"/>
    <w:p w:rsidR="004B7B61" w:rsidRDefault="007551CB" w:rsidP="00670EE2">
      <w:r>
        <w:t xml:space="preserve">There are </w:t>
      </w:r>
      <w:r w:rsidR="00EE2C25">
        <w:t>certain</w:t>
      </w:r>
      <w:r>
        <w:t xml:space="preserve"> </w:t>
      </w:r>
      <w:r w:rsidR="004B7B61">
        <w:t xml:space="preserve">exceptions </w:t>
      </w:r>
      <w:r w:rsidR="005B45E3">
        <w:t>to CSC be</w:t>
      </w:r>
      <w:r>
        <w:t>ing</w:t>
      </w:r>
      <w:r w:rsidR="005B45E3">
        <w:t xml:space="preserve"> treated as a </w:t>
      </w:r>
      <w:r w:rsidR="004E3F75">
        <w:t>NCE</w:t>
      </w:r>
      <w:r w:rsidR="005B45E3">
        <w:t xml:space="preserve"> for the purposes of the limited application of the CPRs</w:t>
      </w:r>
      <w:r>
        <w:t>.  They</w:t>
      </w:r>
      <w:r w:rsidR="005B45E3">
        <w:t xml:space="preserve"> </w:t>
      </w:r>
      <w:r w:rsidR="004B7B61">
        <w:t>are:</w:t>
      </w:r>
    </w:p>
    <w:p w:rsidR="0021466E" w:rsidRDefault="00172BF9">
      <w:pPr>
        <w:pStyle w:val="ListParagraph"/>
        <w:numPr>
          <w:ilvl w:val="0"/>
          <w:numId w:val="42"/>
        </w:numPr>
        <w:spacing w:after="120"/>
        <w:ind w:left="760" w:hanging="357"/>
        <w:contextualSpacing w:val="0"/>
      </w:pPr>
      <w:proofErr w:type="gramStart"/>
      <w:r>
        <w:t>procurement</w:t>
      </w:r>
      <w:r w:rsidR="007551CB">
        <w:t>-</w:t>
      </w:r>
      <w:r>
        <w:t>connected</w:t>
      </w:r>
      <w:proofErr w:type="gramEnd"/>
      <w:r>
        <w:t xml:space="preserve"> policies</w:t>
      </w:r>
      <w:r w:rsidR="00F4149A">
        <w:t xml:space="preserve"> covered by </w:t>
      </w:r>
      <w:r>
        <w:t>rules 4.</w:t>
      </w:r>
      <w:r w:rsidR="007551CB">
        <w:t>7</w:t>
      </w:r>
      <w:r>
        <w:t xml:space="preserve"> and 4.</w:t>
      </w:r>
      <w:r w:rsidR="007551CB">
        <w:t>8</w:t>
      </w:r>
      <w:r>
        <w:t xml:space="preserve"> of the CPRs.  </w:t>
      </w:r>
      <w:r w:rsidR="00EE2C25">
        <w:t xml:space="preserve">Under new paragraph </w:t>
      </w:r>
      <w:proofErr w:type="gramStart"/>
      <w:r w:rsidR="00EE2C25">
        <w:t>28A(</w:t>
      </w:r>
      <w:proofErr w:type="gramEnd"/>
      <w:r w:rsidR="00EE2C25">
        <w:t xml:space="preserve">3)(a) </w:t>
      </w:r>
      <w:r>
        <w:t>CSC would be treated as a prescribed CCE</w:t>
      </w:r>
      <w:r w:rsidR="00EE2C25">
        <w:t xml:space="preserve"> in relation to these policies</w:t>
      </w:r>
      <w:r w:rsidR="00F4149A">
        <w:t>.  As a result CSC will only be</w:t>
      </w:r>
      <w:r w:rsidR="00703B1A">
        <w:t xml:space="preserve"> required to comply with rules 4.7 and 4.8 </w:t>
      </w:r>
      <w:r>
        <w:t xml:space="preserve">where </w:t>
      </w:r>
      <w:r w:rsidR="00703B1A">
        <w:t xml:space="preserve">a government policy order has been made under </w:t>
      </w:r>
      <w:r w:rsidRPr="00172BF9">
        <w:t>section 22</w:t>
      </w:r>
      <w:r>
        <w:t xml:space="preserve"> of the PGPA Act</w:t>
      </w:r>
      <w:r w:rsidR="00703B1A">
        <w:t xml:space="preserve"> (which deals with the application of government policy to CCEs) that specifies</w:t>
      </w:r>
      <w:r w:rsidR="005F5787">
        <w:t xml:space="preserve"> that procurement-</w:t>
      </w:r>
      <w:r w:rsidR="00703B1A">
        <w:t>connected policies apply in relation to CSC</w:t>
      </w:r>
      <w:r w:rsidR="00807F57">
        <w:t>; and</w:t>
      </w:r>
    </w:p>
    <w:p w:rsidR="004B7B61" w:rsidRDefault="004B7B61" w:rsidP="004B7B61">
      <w:pPr>
        <w:pStyle w:val="ListParagraph"/>
        <w:numPr>
          <w:ilvl w:val="0"/>
          <w:numId w:val="42"/>
        </w:numPr>
      </w:pPr>
      <w:proofErr w:type="gramStart"/>
      <w:r>
        <w:t>coordinated</w:t>
      </w:r>
      <w:proofErr w:type="gramEnd"/>
      <w:r>
        <w:t xml:space="preserve"> procurements </w:t>
      </w:r>
      <w:r w:rsidR="00F4149A">
        <w:t xml:space="preserve">covered by </w:t>
      </w:r>
      <w:r>
        <w:t>rules 4.9 and 4.10 of the CPRs</w:t>
      </w:r>
      <w:r w:rsidR="00172BF9">
        <w:t xml:space="preserve">. </w:t>
      </w:r>
      <w:r>
        <w:t xml:space="preserve"> </w:t>
      </w:r>
      <w:r w:rsidR="00EE2C25">
        <w:t xml:space="preserve">Under new paragraph </w:t>
      </w:r>
      <w:proofErr w:type="gramStart"/>
      <w:r w:rsidR="00EE2C25">
        <w:t>28A(</w:t>
      </w:r>
      <w:proofErr w:type="gramEnd"/>
      <w:r w:rsidR="00EE2C25">
        <w:t xml:space="preserve">3)(b) </w:t>
      </w:r>
      <w:r>
        <w:t>CSC would be treated as a prescribed CCE</w:t>
      </w:r>
      <w:r w:rsidR="00EE2C25">
        <w:t xml:space="preserve"> in relation to coordinated procurements</w:t>
      </w:r>
      <w:r w:rsidR="00F4149A">
        <w:t>.  As a result</w:t>
      </w:r>
      <w:r w:rsidR="00DB2E36">
        <w:t xml:space="preserve"> </w:t>
      </w:r>
      <w:r>
        <w:t xml:space="preserve">CSC </w:t>
      </w:r>
      <w:r w:rsidR="00F4149A">
        <w:t xml:space="preserve">will have </w:t>
      </w:r>
      <w:r>
        <w:t xml:space="preserve">the discretion to opt in to coordinated procurements (to the extent that the CPRs apply to CSC – </w:t>
      </w:r>
      <w:r w:rsidR="00DB2E36">
        <w:t>that is,</w:t>
      </w:r>
      <w:r>
        <w:t xml:space="preserve"> in relation to its superannuation scheme administrati</w:t>
      </w:r>
      <w:r w:rsidR="0099569D">
        <w:t>ve services</w:t>
      </w:r>
      <w:r>
        <w:t xml:space="preserve"> function)</w:t>
      </w:r>
      <w:r w:rsidR="00DB2E36">
        <w:t>.</w:t>
      </w:r>
    </w:p>
    <w:p w:rsidR="004B7B61" w:rsidRDefault="004B7B61" w:rsidP="00670EE2"/>
    <w:p w:rsidR="00670EE2" w:rsidRDefault="00670EE2" w:rsidP="008D08F0"/>
    <w:p w:rsidR="00E04807" w:rsidRDefault="00E04807" w:rsidP="008D08F0"/>
    <w:p w:rsidR="00E04807" w:rsidRDefault="00E04807" w:rsidP="008D08F0"/>
    <w:p w:rsidR="0037438D" w:rsidRPr="000B5699" w:rsidRDefault="0037438D" w:rsidP="008D08F0"/>
    <w:p w:rsidR="00670EE2" w:rsidRPr="000B5699" w:rsidRDefault="00670EE2" w:rsidP="008D08F0"/>
    <w:p w:rsidR="00670EE2" w:rsidRPr="00670EE2" w:rsidRDefault="00670EE2" w:rsidP="008D08F0">
      <w:pPr>
        <w:sectPr w:rsidR="00670EE2" w:rsidRPr="00670EE2" w:rsidSect="00AE08B4">
          <w:headerReference w:type="default" r:id="rId11"/>
          <w:pgSz w:w="11906" w:h="16838"/>
          <w:pgMar w:top="1440" w:right="1440" w:bottom="1440" w:left="1440" w:header="708" w:footer="514" w:gutter="0"/>
          <w:pgNumType w:start="1"/>
          <w:cols w:space="708"/>
          <w:titlePg/>
          <w:docGrid w:linePitch="360"/>
        </w:sectPr>
      </w:pPr>
    </w:p>
    <w:p w:rsidR="004E45B0" w:rsidRDefault="00BF1181" w:rsidP="00DE19D0">
      <w:pPr>
        <w:pStyle w:val="Heading2"/>
        <w:spacing w:before="0"/>
        <w:jc w:val="right"/>
        <w:rPr>
          <w:rFonts w:ascii="Times New Roman" w:hAnsi="Times New Roman" w:cs="Times New Roman"/>
          <w:sz w:val="24"/>
          <w:szCs w:val="24"/>
          <w:u w:val="single"/>
        </w:rPr>
      </w:pPr>
      <w:r w:rsidRPr="00BF1181">
        <w:rPr>
          <w:rFonts w:ascii="Times New Roman" w:hAnsi="Times New Roman" w:cs="Times New Roman"/>
          <w:sz w:val="24"/>
          <w:szCs w:val="24"/>
          <w:u w:val="single"/>
        </w:rPr>
        <w:lastRenderedPageBreak/>
        <w:t>Attachment B</w:t>
      </w:r>
    </w:p>
    <w:p w:rsidR="008D08F0" w:rsidRPr="008D08F0" w:rsidRDefault="008D08F0" w:rsidP="008D08F0"/>
    <w:p w:rsidR="007E6A30" w:rsidRDefault="00167E2E" w:rsidP="003167B7">
      <w:pPr>
        <w:pStyle w:val="Heading2"/>
        <w:jc w:val="center"/>
        <w:rPr>
          <w:rFonts w:ascii="Times New Roman" w:hAnsi="Times New Roman" w:cs="Times New Roman"/>
          <w:sz w:val="24"/>
          <w:szCs w:val="24"/>
        </w:rPr>
      </w:pPr>
      <w:r w:rsidRPr="003847C2">
        <w:rPr>
          <w:rFonts w:ascii="Times New Roman" w:hAnsi="Times New Roman"/>
          <w:sz w:val="24"/>
        </w:rPr>
        <w:t xml:space="preserve">Statement of </w:t>
      </w:r>
      <w:r w:rsidR="00D75AD5" w:rsidRPr="003847C2">
        <w:rPr>
          <w:rFonts w:ascii="Times New Roman" w:hAnsi="Times New Roman"/>
          <w:sz w:val="24"/>
        </w:rPr>
        <w:t xml:space="preserve">Compatibility </w:t>
      </w:r>
      <w:r w:rsidRPr="003847C2">
        <w:rPr>
          <w:rFonts w:ascii="Times New Roman" w:hAnsi="Times New Roman"/>
          <w:sz w:val="24"/>
        </w:rPr>
        <w:t xml:space="preserve">with </w:t>
      </w:r>
      <w:r w:rsidR="00D75AD5" w:rsidRPr="003847C2">
        <w:rPr>
          <w:rFonts w:ascii="Times New Roman" w:hAnsi="Times New Roman"/>
          <w:sz w:val="24"/>
        </w:rPr>
        <w:t>Human Rights</w:t>
      </w:r>
    </w:p>
    <w:p w:rsidR="00C445FC" w:rsidRPr="00C445FC" w:rsidRDefault="00C445FC" w:rsidP="00C445FC"/>
    <w:p w:rsidR="003C49CD" w:rsidRDefault="00167E2E" w:rsidP="00D976E6">
      <w:pPr>
        <w:rPr>
          <w:i/>
        </w:rPr>
      </w:pPr>
      <w:r w:rsidRPr="00977D04">
        <w:t xml:space="preserve">Prepared in accordance with Part 3 of the </w:t>
      </w:r>
      <w:r w:rsidRPr="00977D04">
        <w:rPr>
          <w:i/>
        </w:rPr>
        <w:t>Human Rights (Parliamentary Scrutiny) Act 2011</w:t>
      </w:r>
    </w:p>
    <w:p w:rsidR="009C481F" w:rsidRPr="00977D04" w:rsidRDefault="009C481F" w:rsidP="00D976E6"/>
    <w:p w:rsidR="00905230" w:rsidRPr="00905230" w:rsidRDefault="00905230" w:rsidP="00905230">
      <w:pPr>
        <w:rPr>
          <w:b/>
          <w:i/>
        </w:rPr>
      </w:pPr>
      <w:r w:rsidRPr="00905230">
        <w:rPr>
          <w:b/>
          <w:i/>
        </w:rPr>
        <w:t>Public Governance, Performance and Accountability Amendment (</w:t>
      </w:r>
      <w:r w:rsidR="00817573">
        <w:rPr>
          <w:b/>
          <w:i/>
        </w:rPr>
        <w:t>CSC</w:t>
      </w:r>
      <w:r>
        <w:rPr>
          <w:b/>
          <w:i/>
        </w:rPr>
        <w:t>) Rule </w:t>
      </w:r>
      <w:r w:rsidR="00EA0253">
        <w:rPr>
          <w:b/>
          <w:i/>
        </w:rPr>
        <w:t>201</w:t>
      </w:r>
      <w:r w:rsidR="00100C8D">
        <w:rPr>
          <w:b/>
          <w:i/>
        </w:rPr>
        <w:t>6</w:t>
      </w:r>
    </w:p>
    <w:p w:rsidR="009C481F" w:rsidRPr="00977D04" w:rsidRDefault="009C481F" w:rsidP="00D976E6"/>
    <w:p w:rsidR="00A609F2" w:rsidRPr="00977D04" w:rsidRDefault="00E00E37" w:rsidP="003167B7">
      <w:pPr>
        <w:rPr>
          <w:i/>
        </w:rPr>
      </w:pPr>
      <w:r w:rsidRPr="00977D04">
        <w:t xml:space="preserve">The </w:t>
      </w:r>
      <w:r w:rsidR="00905230" w:rsidRPr="00905230">
        <w:rPr>
          <w:i/>
        </w:rPr>
        <w:t>Public Governance, Performance and Accountability Amendment (</w:t>
      </w:r>
      <w:r w:rsidR="00817573">
        <w:rPr>
          <w:i/>
        </w:rPr>
        <w:t>CSC</w:t>
      </w:r>
      <w:r w:rsidR="00C86F9B">
        <w:rPr>
          <w:i/>
        </w:rPr>
        <w:t>) Amendment Rule 201</w:t>
      </w:r>
      <w:r w:rsidR="00100C8D">
        <w:rPr>
          <w:i/>
        </w:rPr>
        <w:t>6</w:t>
      </w:r>
      <w:r w:rsidR="00EA0253">
        <w:rPr>
          <w:i/>
        </w:rPr>
        <w:t xml:space="preserve"> </w:t>
      </w:r>
      <w:r w:rsidR="00905230">
        <w:t>(</w:t>
      </w:r>
      <w:r w:rsidR="008D08F0">
        <w:t>Amendment</w:t>
      </w:r>
      <w:r w:rsidR="00905230">
        <w:t xml:space="preserve"> Rule)</w:t>
      </w:r>
      <w:r w:rsidR="0092738C" w:rsidRPr="00977D04">
        <w:t xml:space="preserve"> </w:t>
      </w:r>
      <w:r w:rsidRPr="00977D04">
        <w:t xml:space="preserve">is compatible with the human rights and freedoms recognised or declared in the international instruments listed in section 3 of the </w:t>
      </w:r>
      <w:r w:rsidRPr="00977D04">
        <w:rPr>
          <w:i/>
        </w:rPr>
        <w:t>Human Rights (Parliamentary Scrutiny) Act 2011.</w:t>
      </w:r>
    </w:p>
    <w:p w:rsidR="009C481F" w:rsidRPr="00977D04" w:rsidRDefault="009C481F" w:rsidP="00D976E6"/>
    <w:p w:rsidR="00C351ED" w:rsidRDefault="00661056" w:rsidP="00D976E6">
      <w:pPr>
        <w:rPr>
          <w:b/>
          <w:lang w:val="en-AU"/>
        </w:rPr>
      </w:pPr>
      <w:r w:rsidRPr="00977D04">
        <w:rPr>
          <w:b/>
          <w:lang w:val="en-AU"/>
        </w:rPr>
        <w:t>Overview</w:t>
      </w:r>
      <w:r w:rsidR="00474C20" w:rsidRPr="00977D04">
        <w:rPr>
          <w:b/>
          <w:lang w:val="en-AU"/>
        </w:rPr>
        <w:t xml:space="preserve"> of the legislative instrument</w:t>
      </w:r>
    </w:p>
    <w:p w:rsidR="003847C2" w:rsidRPr="00977D04" w:rsidRDefault="003847C2" w:rsidP="00D976E6">
      <w:pPr>
        <w:rPr>
          <w:b/>
          <w:lang w:val="en-AU"/>
        </w:rPr>
      </w:pPr>
    </w:p>
    <w:p w:rsidR="003847C2" w:rsidRPr="00596CD4" w:rsidRDefault="003847C2" w:rsidP="003847C2">
      <w:pPr>
        <w:rPr>
          <w:lang w:val="en-AU"/>
        </w:rPr>
      </w:pPr>
      <w:r w:rsidRPr="00977D04">
        <w:rPr>
          <w:lang w:val="en-AU"/>
        </w:rPr>
        <w:t xml:space="preserve">The </w:t>
      </w:r>
      <w:r w:rsidRPr="00977D04">
        <w:rPr>
          <w:i/>
          <w:lang w:val="en-AU"/>
        </w:rPr>
        <w:t>Public Governance, Performance and Accountability Act 2013</w:t>
      </w:r>
      <w:r>
        <w:rPr>
          <w:lang w:val="en-AU"/>
        </w:rPr>
        <w:t xml:space="preserve"> (PGPA Act) sets</w:t>
      </w:r>
      <w:r w:rsidRPr="00977D04">
        <w:rPr>
          <w:lang w:val="en-AU"/>
        </w:rPr>
        <w:t xml:space="preserve"> out a framework for regulating resource management by the Commonwealth and relevant entities</w:t>
      </w:r>
      <w:r>
        <w:rPr>
          <w:lang w:val="en-AU"/>
        </w:rPr>
        <w:t xml:space="preserve">.  </w:t>
      </w:r>
      <w:r w:rsidRPr="00596CD4">
        <w:t>Section 101 of the PGPA Act provides that the Finance Minister may make rules by legislative instrument to prescribe matters giving effect to the Act.</w:t>
      </w:r>
    </w:p>
    <w:p w:rsidR="003847C2" w:rsidRDefault="003847C2" w:rsidP="003847C2">
      <w:pPr>
        <w:rPr>
          <w:lang w:val="en-AU"/>
        </w:rPr>
      </w:pPr>
    </w:p>
    <w:p w:rsidR="003847C2" w:rsidRDefault="003847C2" w:rsidP="003847C2">
      <w:pPr>
        <w:rPr>
          <w:lang w:val="en-AU"/>
        </w:rPr>
      </w:pPr>
      <w:r>
        <w:t xml:space="preserve">The </w:t>
      </w:r>
      <w:r w:rsidRPr="00905230">
        <w:rPr>
          <w:i/>
        </w:rPr>
        <w:t xml:space="preserve">Public Governance, Performance and Accountability Amendment </w:t>
      </w:r>
      <w:r w:rsidRPr="00D41A45">
        <w:rPr>
          <w:i/>
        </w:rPr>
        <w:t>(</w:t>
      </w:r>
      <w:r>
        <w:rPr>
          <w:i/>
        </w:rPr>
        <w:t>CSC) Rule 2015</w:t>
      </w:r>
      <w:r>
        <w:t xml:space="preserve"> (Amendment Rule) </w:t>
      </w:r>
      <w:r w:rsidRPr="001F74A6">
        <w:t>is being mad</w:t>
      </w:r>
      <w:r>
        <w:t>e to amend the rule</w:t>
      </w:r>
      <w:r w:rsidRPr="001F74A6">
        <w:t xml:space="preserve"> instrument made under t</w:t>
      </w:r>
      <w:r>
        <w:t xml:space="preserve">he PGPA Act, </w:t>
      </w:r>
      <w:r>
        <w:rPr>
          <w:lang w:val="en-AU"/>
        </w:rPr>
        <w:t xml:space="preserve">the </w:t>
      </w:r>
      <w:r w:rsidRPr="004310CB">
        <w:rPr>
          <w:i/>
          <w:lang w:val="en-AU"/>
        </w:rPr>
        <w:t>Public Governance, Performance and Accountability Rule 2014</w:t>
      </w:r>
      <w:r>
        <w:rPr>
          <w:lang w:val="en-AU"/>
        </w:rPr>
        <w:t xml:space="preserve"> (PGPA Rule).  </w:t>
      </w:r>
    </w:p>
    <w:p w:rsidR="003847C2" w:rsidRDefault="003847C2" w:rsidP="003847C2">
      <w:pPr>
        <w:rPr>
          <w:lang w:val="en-AU"/>
        </w:rPr>
      </w:pPr>
    </w:p>
    <w:p w:rsidR="003847C2" w:rsidRPr="00A07460" w:rsidRDefault="003847C2" w:rsidP="003847C2">
      <w:pPr>
        <w:autoSpaceDE w:val="0"/>
        <w:autoSpaceDN w:val="0"/>
      </w:pPr>
      <w:r w:rsidRPr="00A979BC">
        <w:t xml:space="preserve">Under subsection 33(3) of the </w:t>
      </w:r>
      <w:r w:rsidRPr="00EC410D">
        <w:rPr>
          <w:i/>
        </w:rPr>
        <w:t>Acts Interpretation Act 1901</w:t>
      </w:r>
      <w:r w:rsidRPr="00A979BC">
        <w:t>, where an Act confers a power to make, grant or issue any instrument of a legislative or</w:t>
      </w:r>
      <w:r>
        <w:t xml:space="preserve"> </w:t>
      </w:r>
      <w:r w:rsidRPr="00A979BC">
        <w:t>administrative character (including rules, regulations or by-laws), the power shall be construed as including a power exercisable in the like manner and</w:t>
      </w:r>
      <w:r>
        <w:t xml:space="preserve"> </w:t>
      </w:r>
      <w:r w:rsidRPr="00A979BC">
        <w:t>subject to the like conditions (if any) to repeal, rescind, revoke, amend, or vary any such instrument</w:t>
      </w:r>
      <w:r>
        <w:t xml:space="preserve">.  </w:t>
      </w:r>
    </w:p>
    <w:p w:rsidR="003847C2" w:rsidRDefault="003847C2" w:rsidP="003847C2"/>
    <w:p w:rsidR="003847C2" w:rsidRDefault="003847C2" w:rsidP="003847C2">
      <w:r>
        <w:t xml:space="preserve">ComSuper merged with Commonwealth Superannuation Corporation (CSC) on 1 July 2015.  </w:t>
      </w:r>
      <w:r w:rsidRPr="00B817E6">
        <w:t xml:space="preserve">ComSuper </w:t>
      </w:r>
      <w:r>
        <w:t xml:space="preserve">was </w:t>
      </w:r>
      <w:r w:rsidRPr="00B817E6">
        <w:t>a non-corporate Commonwealth entity (</w:t>
      </w:r>
      <w:r w:rsidR="004E3F75">
        <w:t>NCE</w:t>
      </w:r>
      <w:r w:rsidRPr="00B817E6">
        <w:t>)</w:t>
      </w:r>
      <w:r>
        <w:t xml:space="preserve"> for the purposes of the PGPA Act.  </w:t>
      </w:r>
      <w:proofErr w:type="spellStart"/>
      <w:r>
        <w:t>ComSuper’s</w:t>
      </w:r>
      <w:proofErr w:type="spellEnd"/>
      <w:r>
        <w:t xml:space="preserve"> main function was </w:t>
      </w:r>
      <w:r w:rsidRPr="00B817E6">
        <w:t>to provide administrative services to CSC in relation to the superannuation schemes administered by CSC</w:t>
      </w:r>
      <w:r>
        <w:t>.</w:t>
      </w:r>
      <w:r w:rsidRPr="00696B60">
        <w:t xml:space="preserve"> </w:t>
      </w:r>
      <w:r>
        <w:t xml:space="preserve"> </w:t>
      </w:r>
      <w:r w:rsidRPr="00B817E6">
        <w:t xml:space="preserve">CSC is the trustee </w:t>
      </w:r>
      <w:r w:rsidR="00F544AA">
        <w:t>of</w:t>
      </w:r>
      <w:r w:rsidR="00F544AA" w:rsidRPr="00B817E6">
        <w:t xml:space="preserve"> </w:t>
      </w:r>
      <w:r w:rsidRPr="00B817E6">
        <w:t>the Australian Government’s main civilian and military superannuation schemes.  CSC is a corporate Commonwealth entity (</w:t>
      </w:r>
      <w:r w:rsidRPr="00696B60">
        <w:t>CCE</w:t>
      </w:r>
      <w:r>
        <w:t>) for the purposes of the PGPA Act.</w:t>
      </w:r>
    </w:p>
    <w:p w:rsidR="003847C2" w:rsidRDefault="003847C2" w:rsidP="003847C2"/>
    <w:p w:rsidR="003847C2" w:rsidRDefault="003847C2" w:rsidP="003847C2">
      <w:r>
        <w:t xml:space="preserve">The merger was implemented by the </w:t>
      </w:r>
      <w:r w:rsidRPr="001F0871">
        <w:rPr>
          <w:i/>
        </w:rPr>
        <w:t>Governance of Australian Government Superannuation Schemes Legislation Amendment Act 2015</w:t>
      </w:r>
      <w:r>
        <w:rPr>
          <w:i/>
        </w:rPr>
        <w:t xml:space="preserve"> </w:t>
      </w:r>
      <w:r w:rsidRPr="001F0871">
        <w:t>(GAGSSLA Act)</w:t>
      </w:r>
      <w:r>
        <w:t>.  At commencement of the merger</w:t>
      </w:r>
      <w:r w:rsidR="004E0794">
        <w:t>,</w:t>
      </w:r>
      <w:r>
        <w:t xml:space="preserve"> ComSuper was abolished.  CSC is now responsible for providing administrative services in relation to the Australian Government</w:t>
      </w:r>
      <w:r w:rsidR="004B507D">
        <w:t>’s</w:t>
      </w:r>
      <w:r>
        <w:t xml:space="preserve"> </w:t>
      </w:r>
      <w:r w:rsidR="00F40AD8">
        <w:t xml:space="preserve">main </w:t>
      </w:r>
      <w:r>
        <w:t xml:space="preserve">civilian and military superannuation schemes.  </w:t>
      </w:r>
    </w:p>
    <w:p w:rsidR="00524815" w:rsidRDefault="00524815" w:rsidP="003847C2"/>
    <w:p w:rsidR="003847C2" w:rsidRDefault="003847C2" w:rsidP="003847C2">
      <w:pPr>
        <w:keepNext/>
        <w:keepLines/>
        <w:spacing w:after="120"/>
      </w:pPr>
      <w:r>
        <w:t>Following the merger of ComSuper with CSC</w:t>
      </w:r>
      <w:r w:rsidR="004E0794">
        <w:t>,</w:t>
      </w:r>
      <w:r>
        <w:t xml:space="preserve"> the Amendment </w:t>
      </w:r>
      <w:r w:rsidRPr="001F74A6">
        <w:t>Rule</w:t>
      </w:r>
      <w:r w:rsidRPr="00977D04">
        <w:t xml:space="preserve"> </w:t>
      </w:r>
      <w:r>
        <w:t xml:space="preserve">is being made.  The Amendment Rule makes CSC subject to certain </w:t>
      </w:r>
      <w:r w:rsidR="00EC597D">
        <w:t xml:space="preserve">arrangements </w:t>
      </w:r>
      <w:r>
        <w:t>that applied to ComSuper when it performed the administrative services function in relation to the superannuation schemes administered by CSC.  The Amendment Rule will:</w:t>
      </w:r>
      <w:r w:rsidRPr="00977D04">
        <w:rPr>
          <w:rFonts w:eastAsia="Times New Roman"/>
          <w:color w:val="000000" w:themeColor="text1"/>
          <w:lang w:val="en-AU" w:bidi="ar-SA"/>
        </w:rPr>
        <w:t xml:space="preserve"> </w:t>
      </w:r>
    </w:p>
    <w:p w:rsidR="003847C2" w:rsidRPr="00800E3F" w:rsidRDefault="003847C2" w:rsidP="003847C2">
      <w:pPr>
        <w:pStyle w:val="ListParagraph"/>
        <w:numPr>
          <w:ilvl w:val="0"/>
          <w:numId w:val="15"/>
        </w:numPr>
        <w:spacing w:after="240"/>
        <w:ind w:left="714" w:hanging="357"/>
        <w:contextualSpacing w:val="0"/>
        <w:rPr>
          <w:lang w:val="en-AU"/>
        </w:rPr>
      </w:pPr>
      <w:proofErr w:type="gramStart"/>
      <w:r w:rsidRPr="00800E3F">
        <w:t>provide</w:t>
      </w:r>
      <w:proofErr w:type="gramEnd"/>
      <w:r w:rsidRPr="00800E3F">
        <w:t xml:space="preserve"> that</w:t>
      </w:r>
      <w:r w:rsidRPr="001F0871">
        <w:t>, in relation to amounts received by CSC on behalf of the Commonwealth and certain other amounts,</w:t>
      </w:r>
      <w:r w:rsidRPr="00800E3F">
        <w:t xml:space="preserve"> CSC must comply with </w:t>
      </w:r>
      <w:r w:rsidRPr="001F0871">
        <w:t xml:space="preserve">directions relating to bank </w:t>
      </w:r>
      <w:r w:rsidRPr="001F0871">
        <w:lastRenderedPageBreak/>
        <w:t>accounts opened and maintained in Australia given by the Finance Minister</w:t>
      </w:r>
      <w:r>
        <w:t xml:space="preserve"> in delegating his or her power</w:t>
      </w:r>
      <w:r w:rsidRPr="001F0871">
        <w:t xml:space="preserve"> </w:t>
      </w:r>
      <w:r>
        <w:t>in</w:t>
      </w:r>
      <w:r w:rsidRPr="001F0871">
        <w:t xml:space="preserve"> subsection 53(1) of the PGPA Act to </w:t>
      </w:r>
      <w:r w:rsidR="004E3F75">
        <w:t>NCE</w:t>
      </w:r>
      <w:r>
        <w:t>s</w:t>
      </w:r>
      <w:r w:rsidRPr="001F0871">
        <w:t xml:space="preserve">.  </w:t>
      </w:r>
      <w:r w:rsidRPr="00800E3F">
        <w:t>The</w:t>
      </w:r>
      <w:r w:rsidRPr="001F0871">
        <w:t xml:space="preserve"> amounts </w:t>
      </w:r>
      <w:r>
        <w:t>covered by the</w:t>
      </w:r>
      <w:r w:rsidRPr="001F0871">
        <w:t xml:space="preserve"> requirement include </w:t>
      </w:r>
      <w:r w:rsidRPr="00800E3F">
        <w:rPr>
          <w:lang w:val="en-AU"/>
        </w:rPr>
        <w:t>administration fees</w:t>
      </w:r>
      <w:r w:rsidRPr="001F0871">
        <w:rPr>
          <w:lang w:val="en-AU"/>
        </w:rPr>
        <w:t xml:space="preserve"> and </w:t>
      </w:r>
      <w:r>
        <w:rPr>
          <w:lang w:val="en-AU"/>
        </w:rPr>
        <w:t>amounts that CSC collects from agencies, on</w:t>
      </w:r>
      <w:r w:rsidRPr="00800E3F">
        <w:rPr>
          <w:lang w:val="en-AU"/>
        </w:rPr>
        <w:t xml:space="preserve"> behalf of the Commonwealth</w:t>
      </w:r>
      <w:r>
        <w:rPr>
          <w:lang w:val="en-AU"/>
        </w:rPr>
        <w:t>, in line with government policy</w:t>
      </w:r>
      <w:r w:rsidRPr="00800E3F">
        <w:rPr>
          <w:lang w:val="en-AU"/>
        </w:rPr>
        <w:t>.  In practice, this will mean</w:t>
      </w:r>
      <w:r w:rsidRPr="001F0871">
        <w:rPr>
          <w:lang w:val="en-AU"/>
        </w:rPr>
        <w:t xml:space="preserve"> </w:t>
      </w:r>
      <w:r w:rsidRPr="00800E3F">
        <w:rPr>
          <w:lang w:val="en-AU"/>
        </w:rPr>
        <w:t xml:space="preserve">that </w:t>
      </w:r>
      <w:r w:rsidRPr="001F0871">
        <w:rPr>
          <w:lang w:val="en-AU"/>
        </w:rPr>
        <w:t xml:space="preserve">Commonwealth money and certain other money held in </w:t>
      </w:r>
      <w:r w:rsidRPr="00800E3F">
        <w:rPr>
          <w:lang w:val="en-AU"/>
        </w:rPr>
        <w:t xml:space="preserve">CSC bank accounts will continue to be consolidated at the end of each day and banking arrangements </w:t>
      </w:r>
      <w:r w:rsidRPr="001F0871">
        <w:rPr>
          <w:lang w:val="en-AU"/>
        </w:rPr>
        <w:t>for th</w:t>
      </w:r>
      <w:r>
        <w:rPr>
          <w:lang w:val="en-AU"/>
        </w:rPr>
        <w:t xml:space="preserve">is money </w:t>
      </w:r>
      <w:r w:rsidRPr="00800E3F">
        <w:rPr>
          <w:lang w:val="en-AU"/>
        </w:rPr>
        <w:t xml:space="preserve">will need to comply with the </w:t>
      </w:r>
      <w:r w:rsidRPr="001F0871">
        <w:rPr>
          <w:lang w:val="en-AU"/>
        </w:rPr>
        <w:t>directions</w:t>
      </w:r>
      <w:r w:rsidRPr="00800E3F">
        <w:rPr>
          <w:lang w:val="en-AU"/>
        </w:rPr>
        <w:t xml:space="preserve">.  </w:t>
      </w:r>
      <w:r w:rsidRPr="001F0871">
        <w:rPr>
          <w:lang w:val="en-AU"/>
        </w:rPr>
        <w:t>CSC will not be requi</w:t>
      </w:r>
      <w:r>
        <w:rPr>
          <w:lang w:val="en-AU"/>
        </w:rPr>
        <w:t xml:space="preserve">red to apply the directions </w:t>
      </w:r>
      <w:r w:rsidRPr="001F0871">
        <w:rPr>
          <w:lang w:val="en-AU"/>
        </w:rPr>
        <w:t>in managing money that the organisation holds in its own right</w:t>
      </w:r>
      <w:r w:rsidRPr="00800E3F">
        <w:rPr>
          <w:lang w:val="en-AU"/>
        </w:rPr>
        <w:t>;</w:t>
      </w:r>
    </w:p>
    <w:p w:rsidR="003847C2" w:rsidRDefault="003847C2" w:rsidP="003847C2">
      <w:pPr>
        <w:pStyle w:val="ListParagraph"/>
        <w:numPr>
          <w:ilvl w:val="0"/>
          <w:numId w:val="15"/>
        </w:numPr>
        <w:spacing w:after="240"/>
        <w:ind w:left="714" w:hanging="357"/>
        <w:contextualSpacing w:val="0"/>
        <w:rPr>
          <w:lang w:val="en-AU"/>
        </w:rPr>
      </w:pPr>
      <w:proofErr w:type="gramStart"/>
      <w:r>
        <w:t>provide</w:t>
      </w:r>
      <w:proofErr w:type="gramEnd"/>
      <w:r>
        <w:t xml:space="preserve"> that the </w:t>
      </w:r>
      <w:r w:rsidRPr="00817573">
        <w:rPr>
          <w:lang w:val="en-AU"/>
        </w:rPr>
        <w:t>function</w:t>
      </w:r>
      <w:r>
        <w:rPr>
          <w:lang w:val="en-AU"/>
        </w:rPr>
        <w:t xml:space="preserve"> of providing administrati</w:t>
      </w:r>
      <w:r w:rsidR="00D922C3">
        <w:rPr>
          <w:lang w:val="en-AU"/>
        </w:rPr>
        <w:t>ve</w:t>
      </w:r>
      <w:r>
        <w:rPr>
          <w:lang w:val="en-AU"/>
        </w:rPr>
        <w:t xml:space="preserve"> services in relation to the superannuation schemes administered by CSC,</w:t>
      </w:r>
      <w:r w:rsidRPr="00817573">
        <w:rPr>
          <w:lang w:val="en-AU"/>
        </w:rPr>
        <w:t xml:space="preserve"> formerly performed by Com</w:t>
      </w:r>
      <w:r>
        <w:rPr>
          <w:lang w:val="en-AU"/>
        </w:rPr>
        <w:t>S</w:t>
      </w:r>
      <w:r w:rsidRPr="00817573">
        <w:rPr>
          <w:lang w:val="en-AU"/>
        </w:rPr>
        <w:t>uper</w:t>
      </w:r>
      <w:r>
        <w:rPr>
          <w:lang w:val="en-AU"/>
        </w:rPr>
        <w:t>,</w:t>
      </w:r>
      <w:r w:rsidRPr="00817573">
        <w:rPr>
          <w:lang w:val="en-AU"/>
        </w:rPr>
        <w:t xml:space="preserve"> will continue to be subject to</w:t>
      </w:r>
      <w:r>
        <w:rPr>
          <w:lang w:val="en-AU"/>
        </w:rPr>
        <w:t>,</w:t>
      </w:r>
      <w:r w:rsidRPr="00817573">
        <w:rPr>
          <w:lang w:val="en-AU"/>
        </w:rPr>
        <w:t xml:space="preserve"> and need to comply with</w:t>
      </w:r>
      <w:r>
        <w:rPr>
          <w:lang w:val="en-AU"/>
        </w:rPr>
        <w:t>,</w:t>
      </w:r>
      <w:r w:rsidRPr="00817573">
        <w:rPr>
          <w:lang w:val="en-AU"/>
        </w:rPr>
        <w:t xml:space="preserve"> the </w:t>
      </w:r>
      <w:r w:rsidRPr="00817573">
        <w:rPr>
          <w:i/>
          <w:lang w:val="en-AU"/>
        </w:rPr>
        <w:t xml:space="preserve">Commonwealth Procurement Rules </w:t>
      </w:r>
      <w:r>
        <w:rPr>
          <w:i/>
          <w:lang w:val="en-AU"/>
        </w:rPr>
        <w:t xml:space="preserve">– July </w:t>
      </w:r>
      <w:r w:rsidRPr="00817573">
        <w:rPr>
          <w:i/>
          <w:lang w:val="en-AU"/>
        </w:rPr>
        <w:t>2014</w:t>
      </w:r>
      <w:r>
        <w:rPr>
          <w:i/>
          <w:lang w:val="en-AU"/>
        </w:rPr>
        <w:t xml:space="preserve"> </w:t>
      </w:r>
      <w:r>
        <w:rPr>
          <w:lang w:val="en-AU"/>
        </w:rPr>
        <w:t>(CPRs), now that this function is performed by CSC</w:t>
      </w:r>
      <w:r w:rsidRPr="00817573">
        <w:rPr>
          <w:lang w:val="en-AU"/>
        </w:rPr>
        <w:t xml:space="preserve">.  </w:t>
      </w:r>
      <w:r>
        <w:rPr>
          <w:lang w:val="en-AU"/>
        </w:rPr>
        <w:t>T</w:t>
      </w:r>
      <w:r w:rsidRPr="00817573">
        <w:rPr>
          <w:lang w:val="en-AU"/>
        </w:rPr>
        <w:t xml:space="preserve">he CPRs will not apply to CSC in respect </w:t>
      </w:r>
      <w:r w:rsidR="00F40AD8">
        <w:rPr>
          <w:lang w:val="en-AU"/>
        </w:rPr>
        <w:t xml:space="preserve">of </w:t>
      </w:r>
      <w:r w:rsidRPr="00817573">
        <w:rPr>
          <w:lang w:val="en-AU"/>
        </w:rPr>
        <w:t>any of its other functions, such as fund management and investment management</w:t>
      </w:r>
      <w:r>
        <w:rPr>
          <w:lang w:val="en-AU"/>
        </w:rPr>
        <w:t>; and</w:t>
      </w:r>
    </w:p>
    <w:p w:rsidR="003847C2" w:rsidRDefault="003847C2" w:rsidP="003847C2">
      <w:pPr>
        <w:pStyle w:val="ListParagraph"/>
        <w:numPr>
          <w:ilvl w:val="0"/>
          <w:numId w:val="15"/>
        </w:numPr>
        <w:ind w:left="714" w:hanging="357"/>
        <w:contextualSpacing w:val="0"/>
        <w:rPr>
          <w:lang w:val="en-AU"/>
        </w:rPr>
      </w:pPr>
      <w:proofErr w:type="gramStart"/>
      <w:r w:rsidRPr="005B4798">
        <w:t>allow</w:t>
      </w:r>
      <w:proofErr w:type="gramEnd"/>
      <w:r w:rsidRPr="005B4798">
        <w:t xml:space="preserve"> </w:t>
      </w:r>
      <w:r>
        <w:t xml:space="preserve">the Board of CSC, </w:t>
      </w:r>
      <w:r w:rsidR="00891F52">
        <w:t xml:space="preserve">which is </w:t>
      </w:r>
      <w:r>
        <w:t xml:space="preserve">a CCE, or an official of </w:t>
      </w:r>
      <w:r w:rsidRPr="005B4798">
        <w:t>CSC</w:t>
      </w:r>
      <w:r>
        <w:t xml:space="preserve"> </w:t>
      </w:r>
      <w:r w:rsidRPr="005B4798">
        <w:t>to</w:t>
      </w:r>
      <w:r>
        <w:t xml:space="preserve"> be delegated and the Board of CSC to sub-delegate certain powers, functions or duties relating to recovery of </w:t>
      </w:r>
      <w:r w:rsidRPr="005B4798">
        <w:t>debt</w:t>
      </w:r>
      <w:r>
        <w:t xml:space="preserve">s owing to the Commonwealth under the PGPA Act and the </w:t>
      </w:r>
      <w:r w:rsidRPr="001F0871">
        <w:t>PGPA Rule</w:t>
      </w:r>
      <w:r>
        <w:rPr>
          <w:i/>
        </w:rPr>
        <w:t xml:space="preserve">.  </w:t>
      </w:r>
      <w:r w:rsidRPr="001F0871">
        <w:t xml:space="preserve">This is necessary given </w:t>
      </w:r>
      <w:r>
        <w:t xml:space="preserve">CSC’s function to provide </w:t>
      </w:r>
      <w:r w:rsidRPr="001F0871">
        <w:t xml:space="preserve">administrative services in relation to the superannuation schemes </w:t>
      </w:r>
      <w:r>
        <w:t xml:space="preserve">administered by the </w:t>
      </w:r>
      <w:proofErr w:type="spellStart"/>
      <w:r>
        <w:t>organisation</w:t>
      </w:r>
      <w:proofErr w:type="spellEnd"/>
      <w:r>
        <w:t>.  The relevant powers, functions or duties were performed by ComSuper when it previously undertook this administrative services function.</w:t>
      </w:r>
      <w:r w:rsidRPr="001F0871">
        <w:t xml:space="preserve">  </w:t>
      </w:r>
      <w:r>
        <w:t xml:space="preserve">Debts owed to CSC in its own right </w:t>
      </w:r>
      <w:r w:rsidRPr="001F0871">
        <w:t xml:space="preserve">are not affected by the Amendment Rule and </w:t>
      </w:r>
      <w:r>
        <w:t>will be managed in the same manner as has been CSC’s practice to date.</w:t>
      </w:r>
    </w:p>
    <w:p w:rsidR="003847C2" w:rsidRDefault="003847C2" w:rsidP="007E6A30">
      <w:pPr>
        <w:rPr>
          <w:b/>
        </w:rPr>
      </w:pPr>
    </w:p>
    <w:p w:rsidR="009C481F" w:rsidRPr="00A34022" w:rsidRDefault="00474C20" w:rsidP="007E6A30">
      <w:pPr>
        <w:rPr>
          <w:b/>
        </w:rPr>
      </w:pPr>
      <w:r w:rsidRPr="00977D04">
        <w:rPr>
          <w:b/>
        </w:rPr>
        <w:t>Human rights implications</w:t>
      </w:r>
    </w:p>
    <w:p w:rsidR="00167E2E" w:rsidRPr="00977D04"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nstrument do</w:t>
      </w:r>
      <w:r w:rsidR="005503F7" w:rsidRPr="00977D04">
        <w:t>es</w:t>
      </w:r>
      <w:r w:rsidRPr="00977D04">
        <w:t xml:space="preserve"> not engage any of the applicable rights or freedoms.</w:t>
      </w:r>
    </w:p>
    <w:p w:rsidR="00A609F2" w:rsidRDefault="00A609F2" w:rsidP="00D976E6">
      <w:pPr>
        <w:rPr>
          <w:b/>
        </w:rPr>
      </w:pPr>
    </w:p>
    <w:p w:rsidR="009C481F" w:rsidRPr="00A34022" w:rsidRDefault="00474C20" w:rsidP="00D976E6">
      <w:pPr>
        <w:rPr>
          <w:b/>
        </w:rPr>
      </w:pPr>
      <w:r w:rsidRPr="00977D04">
        <w:rPr>
          <w:b/>
        </w:rPr>
        <w:t>Conclusion</w:t>
      </w:r>
    </w:p>
    <w:p w:rsidR="00B328B9" w:rsidRDefault="00167E2E" w:rsidP="00D976E6">
      <w:r w:rsidRPr="00977D04">
        <w:t>Th</w:t>
      </w:r>
      <w:r w:rsidR="005503F7" w:rsidRPr="00977D04">
        <w:t>e</w:t>
      </w:r>
      <w:r w:rsidRPr="00977D04">
        <w:t xml:space="preserve"> </w:t>
      </w:r>
      <w:r w:rsidR="0092738C" w:rsidRPr="00977D04">
        <w:t>l</w:t>
      </w:r>
      <w:r w:rsidRPr="00977D04">
        <w:t xml:space="preserve">egislative </w:t>
      </w:r>
      <w:r w:rsidR="0092738C" w:rsidRPr="00977D04">
        <w:t>i</w:t>
      </w:r>
      <w:r w:rsidRPr="00977D04">
        <w:t>nstrumen</w:t>
      </w:r>
      <w:r w:rsidR="006A6ED3" w:rsidRPr="00977D04">
        <w:t>t</w:t>
      </w:r>
      <w:r w:rsidR="005503F7" w:rsidRPr="00977D04">
        <w:t xml:space="preserve"> i</w:t>
      </w:r>
      <w:r w:rsidR="006A6ED3" w:rsidRPr="00977D04">
        <w:t>s</w:t>
      </w:r>
      <w:r w:rsidRPr="00977D04">
        <w:t xml:space="preserve"> compatible with human rights as </w:t>
      </w:r>
      <w:r w:rsidR="0092738C" w:rsidRPr="00977D04">
        <w:t xml:space="preserve">it </w:t>
      </w:r>
      <w:r w:rsidR="001C68FE" w:rsidRPr="00977D04">
        <w:t>do</w:t>
      </w:r>
      <w:r w:rsidR="0092738C" w:rsidRPr="00977D04">
        <w:t>es</w:t>
      </w:r>
      <w:r w:rsidR="001C68FE" w:rsidRPr="00977D04">
        <w:t xml:space="preserve"> </w:t>
      </w:r>
      <w:r w:rsidRPr="00977D04">
        <w:t>not</w:t>
      </w:r>
      <w:r w:rsidR="00C874C4">
        <w:t xml:space="preserve"> raise any human rights issues.</w:t>
      </w:r>
    </w:p>
    <w:p w:rsidR="008D08F0" w:rsidRDefault="008D08F0" w:rsidP="00D976E6"/>
    <w:p w:rsidR="008D08F0" w:rsidRDefault="008D08F0" w:rsidP="00D976E6"/>
    <w:p w:rsidR="008D08F0" w:rsidRDefault="008D08F0" w:rsidP="00D976E6"/>
    <w:p w:rsidR="003847C2" w:rsidRDefault="003847C2" w:rsidP="00D976E6"/>
    <w:p w:rsidR="00283E8B" w:rsidRDefault="00283E8B" w:rsidP="00D976E6"/>
    <w:p w:rsidR="008D08F0" w:rsidRPr="00977D04" w:rsidRDefault="008D08F0" w:rsidP="00D976E6"/>
    <w:p w:rsidR="00661056" w:rsidRPr="00977D04" w:rsidRDefault="00661056" w:rsidP="00661056">
      <w:pPr>
        <w:pStyle w:val="paranumbering0"/>
        <w:spacing w:before="0" w:beforeAutospacing="0" w:after="0" w:afterAutospacing="0"/>
        <w:jc w:val="center"/>
        <w:rPr>
          <w:b/>
        </w:rPr>
      </w:pPr>
      <w:r w:rsidRPr="00977D04">
        <w:rPr>
          <w:b/>
        </w:rPr>
        <w:t>Senator the Hon Mathias Cormann</w:t>
      </w:r>
    </w:p>
    <w:p w:rsidR="00BE3437" w:rsidRPr="00DE19D0" w:rsidRDefault="00661056" w:rsidP="00DE19D0">
      <w:pPr>
        <w:pStyle w:val="paranumbering0"/>
        <w:spacing w:before="0" w:beforeAutospacing="0" w:after="0" w:afterAutospacing="0"/>
        <w:jc w:val="center"/>
        <w:rPr>
          <w:b/>
        </w:rPr>
      </w:pPr>
      <w:r w:rsidRPr="00977D04">
        <w:rPr>
          <w:b/>
        </w:rPr>
        <w:t>Minister for Finance</w:t>
      </w:r>
    </w:p>
    <w:sectPr w:rsidR="00BE3437" w:rsidRPr="00DE19D0" w:rsidSect="00AE08B4">
      <w:pgSz w:w="11906" w:h="16838"/>
      <w:pgMar w:top="1440" w:right="1440" w:bottom="1440" w:left="1440" w:header="708" w:footer="51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EC" w:rsidRDefault="000363EC" w:rsidP="00D976E6">
      <w:r>
        <w:separator/>
      </w:r>
    </w:p>
    <w:p w:rsidR="000363EC" w:rsidRDefault="000363EC" w:rsidP="00D976E6"/>
  </w:endnote>
  <w:endnote w:type="continuationSeparator" w:id="0">
    <w:p w:rsidR="000363EC" w:rsidRDefault="000363EC" w:rsidP="00D976E6">
      <w:r>
        <w:continuationSeparator/>
      </w:r>
    </w:p>
    <w:p w:rsidR="000363EC" w:rsidRDefault="000363EC"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DB" w:rsidRDefault="00E02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EC" w:rsidRDefault="000363EC" w:rsidP="00D976E6">
      <w:r>
        <w:separator/>
      </w:r>
    </w:p>
    <w:p w:rsidR="000363EC" w:rsidRDefault="000363EC" w:rsidP="00D976E6"/>
  </w:footnote>
  <w:footnote w:type="continuationSeparator" w:id="0">
    <w:p w:rsidR="000363EC" w:rsidRDefault="000363EC" w:rsidP="00D976E6">
      <w:r>
        <w:continuationSeparator/>
      </w:r>
    </w:p>
    <w:p w:rsidR="000363EC" w:rsidRDefault="000363EC"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00712"/>
      <w:docPartObj>
        <w:docPartGallery w:val="Page Numbers (Top of Page)"/>
        <w:docPartUnique/>
      </w:docPartObj>
    </w:sdtPr>
    <w:sdtContent>
      <w:p w:rsidR="00E021DB" w:rsidRDefault="00834E39">
        <w:pPr>
          <w:pStyle w:val="Header"/>
          <w:jc w:val="center"/>
        </w:pPr>
        <w:fldSimple w:instr=" PAGE   \* MERGEFORMAT ">
          <w:r w:rsidR="004E3F75">
            <w:rPr>
              <w:noProof/>
            </w:rPr>
            <w:t>2</w:t>
          </w:r>
        </w:fldSimple>
      </w:p>
    </w:sdtContent>
  </w:sdt>
  <w:p w:rsidR="00E021DB" w:rsidRDefault="00E021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0832"/>
      <w:docPartObj>
        <w:docPartGallery w:val="Page Numbers (Top of Page)"/>
        <w:docPartUnique/>
      </w:docPartObj>
    </w:sdtPr>
    <w:sdtContent>
      <w:p w:rsidR="00E021DB" w:rsidRDefault="00834E39">
        <w:pPr>
          <w:pStyle w:val="Header"/>
          <w:jc w:val="center"/>
        </w:pPr>
        <w:fldSimple w:instr=" PAGE   \* MERGEFORMAT ">
          <w:r w:rsidR="004E3F75">
            <w:rPr>
              <w:noProof/>
            </w:rPr>
            <w:t>2</w:t>
          </w:r>
        </w:fldSimple>
      </w:p>
    </w:sdtContent>
  </w:sdt>
  <w:p w:rsidR="00E021DB" w:rsidRPr="0054075E" w:rsidRDefault="00E021DB" w:rsidP="00540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7C8A"/>
    <w:multiLevelType w:val="hybridMultilevel"/>
    <w:tmpl w:val="FDC89A32"/>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1">
    <w:nsid w:val="09582D18"/>
    <w:multiLevelType w:val="hybridMultilevel"/>
    <w:tmpl w:val="4B70836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1D1BE8"/>
    <w:multiLevelType w:val="hybridMultilevel"/>
    <w:tmpl w:val="A8509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B920F8"/>
    <w:multiLevelType w:val="hybridMultilevel"/>
    <w:tmpl w:val="09F2E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11697D"/>
    <w:multiLevelType w:val="hybridMultilevel"/>
    <w:tmpl w:val="376A4044"/>
    <w:lvl w:ilvl="0" w:tplc="ADF8B48A">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201B72"/>
    <w:multiLevelType w:val="hybridMultilevel"/>
    <w:tmpl w:val="93D4B75A"/>
    <w:lvl w:ilvl="0" w:tplc="77E02F8C">
      <w:start w:val="2"/>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22">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CF04FB0"/>
    <w:multiLevelType w:val="hybridMultilevel"/>
    <w:tmpl w:val="878C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4E3A18"/>
    <w:multiLevelType w:val="hybridMultilevel"/>
    <w:tmpl w:val="963CF9CE"/>
    <w:lvl w:ilvl="0" w:tplc="AFDC0F36">
      <w:start w:val="1"/>
      <w:numFmt w:val="bullet"/>
      <w:pStyle w:val="Normal1"/>
      <w:lvlText w:val=""/>
      <w:lvlJc w:val="left"/>
      <w:pPr>
        <w:ind w:left="720" w:hanging="360"/>
      </w:pPr>
      <w:rPr>
        <w:rFonts w:ascii="Symbol" w:hAnsi="Symbol" w:hint="default"/>
        <w:color w:val="auto"/>
      </w:rPr>
    </w:lvl>
    <w:lvl w:ilvl="1" w:tplc="FB00C5A4">
      <w:start w:val="1"/>
      <w:numFmt w:val="bullet"/>
      <w:pStyle w:val="Style5"/>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6554C56"/>
    <w:multiLevelType w:val="hybridMultilevel"/>
    <w:tmpl w:val="ADF623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D112858"/>
    <w:multiLevelType w:val="hybridMultilevel"/>
    <w:tmpl w:val="F382560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292EFB"/>
    <w:multiLevelType w:val="hybridMultilevel"/>
    <w:tmpl w:val="0BB0BD6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3">
    <w:nsid w:val="67E32F79"/>
    <w:multiLevelType w:val="hybridMultilevel"/>
    <w:tmpl w:val="E2B02A8A"/>
    <w:lvl w:ilvl="0" w:tplc="5DBA05AA">
      <w:start w:val="1"/>
      <w:numFmt w:val="decimal"/>
      <w:lvlText w:val="%1."/>
      <w:lvlJc w:val="left"/>
      <w:pPr>
        <w:ind w:left="1854" w:hanging="360"/>
      </w:pPr>
      <w:rPr>
        <w:rFonts w:hint="default"/>
        <w:b w:val="0"/>
        <w:i w:val="0"/>
      </w:rPr>
    </w:lvl>
    <w:lvl w:ilvl="1" w:tplc="0C090001">
      <w:start w:val="1"/>
      <w:numFmt w:val="decimal"/>
      <w:lvlText w:val="%2."/>
      <w:lvlJc w:val="left"/>
      <w:pPr>
        <w:tabs>
          <w:tab w:val="num" w:pos="2574"/>
        </w:tabs>
        <w:ind w:left="2574" w:hanging="360"/>
      </w:pPr>
    </w:lvl>
    <w:lvl w:ilvl="2" w:tplc="0C09001B">
      <w:start w:val="1"/>
      <w:numFmt w:val="decimal"/>
      <w:lvlText w:val="%3."/>
      <w:lvlJc w:val="left"/>
      <w:pPr>
        <w:tabs>
          <w:tab w:val="num" w:pos="3294"/>
        </w:tabs>
        <w:ind w:left="3294" w:hanging="360"/>
      </w:pPr>
    </w:lvl>
    <w:lvl w:ilvl="3" w:tplc="0C09000F">
      <w:start w:val="1"/>
      <w:numFmt w:val="decimal"/>
      <w:lvlText w:val="%4."/>
      <w:lvlJc w:val="left"/>
      <w:pPr>
        <w:tabs>
          <w:tab w:val="num" w:pos="4014"/>
        </w:tabs>
        <w:ind w:left="4014" w:hanging="360"/>
      </w:pPr>
    </w:lvl>
    <w:lvl w:ilvl="4" w:tplc="0C090019">
      <w:start w:val="1"/>
      <w:numFmt w:val="decimal"/>
      <w:lvlText w:val="%5."/>
      <w:lvlJc w:val="left"/>
      <w:pPr>
        <w:tabs>
          <w:tab w:val="num" w:pos="4734"/>
        </w:tabs>
        <w:ind w:left="4734" w:hanging="360"/>
      </w:pPr>
    </w:lvl>
    <w:lvl w:ilvl="5" w:tplc="0C09001B">
      <w:start w:val="1"/>
      <w:numFmt w:val="decimal"/>
      <w:lvlText w:val="%6."/>
      <w:lvlJc w:val="left"/>
      <w:pPr>
        <w:tabs>
          <w:tab w:val="num" w:pos="5454"/>
        </w:tabs>
        <w:ind w:left="5454" w:hanging="360"/>
      </w:pPr>
    </w:lvl>
    <w:lvl w:ilvl="6" w:tplc="0C09000F">
      <w:start w:val="1"/>
      <w:numFmt w:val="decimal"/>
      <w:lvlText w:val="%7."/>
      <w:lvlJc w:val="left"/>
      <w:pPr>
        <w:tabs>
          <w:tab w:val="num" w:pos="6174"/>
        </w:tabs>
        <w:ind w:left="6174" w:hanging="360"/>
      </w:pPr>
    </w:lvl>
    <w:lvl w:ilvl="7" w:tplc="0C090019">
      <w:start w:val="1"/>
      <w:numFmt w:val="decimal"/>
      <w:lvlText w:val="%8."/>
      <w:lvlJc w:val="left"/>
      <w:pPr>
        <w:tabs>
          <w:tab w:val="num" w:pos="6894"/>
        </w:tabs>
        <w:ind w:left="6894" w:hanging="360"/>
      </w:pPr>
    </w:lvl>
    <w:lvl w:ilvl="8" w:tplc="0C09001B">
      <w:start w:val="1"/>
      <w:numFmt w:val="decimal"/>
      <w:lvlText w:val="%9."/>
      <w:lvlJc w:val="left"/>
      <w:pPr>
        <w:tabs>
          <w:tab w:val="num" w:pos="7614"/>
        </w:tabs>
        <w:ind w:left="7614" w:hanging="360"/>
      </w:pPr>
    </w:lvl>
  </w:abstractNum>
  <w:abstractNum w:abstractNumId="34">
    <w:nsid w:val="6A7E2E8A"/>
    <w:multiLevelType w:val="hybridMultilevel"/>
    <w:tmpl w:val="4DCCDC9C"/>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6">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2946681"/>
    <w:multiLevelType w:val="hybridMultilevel"/>
    <w:tmpl w:val="745EB5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5C0EE5"/>
    <w:multiLevelType w:val="hybridMultilevel"/>
    <w:tmpl w:val="846E1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BC20DEC"/>
    <w:multiLevelType w:val="hybridMultilevel"/>
    <w:tmpl w:val="7CA2BFA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2">
    <w:nsid w:val="7BE60CA6"/>
    <w:multiLevelType w:val="hybridMultilevel"/>
    <w:tmpl w:val="D818D3A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3">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6"/>
  </w:num>
  <w:num w:numId="4">
    <w:abstractNumId w:val="17"/>
  </w:num>
  <w:num w:numId="5">
    <w:abstractNumId w:val="6"/>
  </w:num>
  <w:num w:numId="6">
    <w:abstractNumId w:val="43"/>
  </w:num>
  <w:num w:numId="7">
    <w:abstractNumId w:val="2"/>
  </w:num>
  <w:num w:numId="8">
    <w:abstractNumId w:val="18"/>
  </w:num>
  <w:num w:numId="9">
    <w:abstractNumId w:val="19"/>
  </w:num>
  <w:num w:numId="10">
    <w:abstractNumId w:val="12"/>
  </w:num>
  <w:num w:numId="11">
    <w:abstractNumId w:val="7"/>
  </w:num>
  <w:num w:numId="12">
    <w:abstractNumId w:val="10"/>
  </w:num>
  <w:num w:numId="13">
    <w:abstractNumId w:val="22"/>
  </w:num>
  <w:num w:numId="14">
    <w:abstractNumId w:val="13"/>
  </w:num>
  <w:num w:numId="15">
    <w:abstractNumId w:val="24"/>
  </w:num>
  <w:num w:numId="16">
    <w:abstractNumId w:val="31"/>
  </w:num>
  <w:num w:numId="17">
    <w:abstractNumId w:val="9"/>
  </w:num>
  <w:num w:numId="18">
    <w:abstractNumId w:val="40"/>
  </w:num>
  <w:num w:numId="19">
    <w:abstractNumId w:val="27"/>
  </w:num>
  <w:num w:numId="20">
    <w:abstractNumId w:val="35"/>
  </w:num>
  <w:num w:numId="21">
    <w:abstractNumId w:val="21"/>
  </w:num>
  <w:num w:numId="22">
    <w:abstractNumId w:val="14"/>
  </w:num>
  <w:num w:numId="23">
    <w:abstractNumId w:val="3"/>
  </w:num>
  <w:num w:numId="24">
    <w:abstractNumId w:val="5"/>
  </w:num>
  <w:num w:numId="25">
    <w:abstractNumId w:val="36"/>
  </w:num>
  <w:num w:numId="26">
    <w:abstractNumId w:val="30"/>
  </w:num>
  <w:num w:numId="27">
    <w:abstractNumId w:val="38"/>
  </w:num>
  <w:num w:numId="28">
    <w:abstractNumId w:val="20"/>
  </w:num>
  <w:num w:numId="29">
    <w:abstractNumId w:val="33"/>
  </w:num>
  <w:num w:numId="30">
    <w:abstractNumId w:val="11"/>
  </w:num>
  <w:num w:numId="31">
    <w:abstractNumId w:val="34"/>
  </w:num>
  <w:num w:numId="32">
    <w:abstractNumId w:val="29"/>
  </w:num>
  <w:num w:numId="33">
    <w:abstractNumId w:val="25"/>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
  </w:num>
  <w:num w:numId="37">
    <w:abstractNumId w:val="0"/>
  </w:num>
  <w:num w:numId="38">
    <w:abstractNumId w:val="15"/>
  </w:num>
  <w:num w:numId="39">
    <w:abstractNumId w:val="28"/>
  </w:num>
  <w:num w:numId="40">
    <w:abstractNumId w:val="32"/>
  </w:num>
  <w:num w:numId="41">
    <w:abstractNumId w:val="39"/>
  </w:num>
  <w:num w:numId="42">
    <w:abstractNumId w:val="42"/>
  </w:num>
  <w:num w:numId="43">
    <w:abstractNumId w:val="4"/>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452D0D"/>
    <w:rsid w:val="00000A08"/>
    <w:rsid w:val="000034CC"/>
    <w:rsid w:val="000043E7"/>
    <w:rsid w:val="00005815"/>
    <w:rsid w:val="00005FF6"/>
    <w:rsid w:val="0000625E"/>
    <w:rsid w:val="00007FE2"/>
    <w:rsid w:val="0001085E"/>
    <w:rsid w:val="0001195F"/>
    <w:rsid w:val="00011FEC"/>
    <w:rsid w:val="00012890"/>
    <w:rsid w:val="000128B4"/>
    <w:rsid w:val="0001494F"/>
    <w:rsid w:val="00016A7B"/>
    <w:rsid w:val="00016E00"/>
    <w:rsid w:val="00021B4D"/>
    <w:rsid w:val="00021D8B"/>
    <w:rsid w:val="00021EF2"/>
    <w:rsid w:val="00022030"/>
    <w:rsid w:val="00022317"/>
    <w:rsid w:val="00023434"/>
    <w:rsid w:val="000254DC"/>
    <w:rsid w:val="000261AD"/>
    <w:rsid w:val="00026944"/>
    <w:rsid w:val="00026BC5"/>
    <w:rsid w:val="00030C2A"/>
    <w:rsid w:val="0003418C"/>
    <w:rsid w:val="00034E7B"/>
    <w:rsid w:val="00035645"/>
    <w:rsid w:val="00035FE8"/>
    <w:rsid w:val="000363EC"/>
    <w:rsid w:val="00037239"/>
    <w:rsid w:val="000373C0"/>
    <w:rsid w:val="00037A61"/>
    <w:rsid w:val="00040627"/>
    <w:rsid w:val="0004247F"/>
    <w:rsid w:val="00042B38"/>
    <w:rsid w:val="000433F3"/>
    <w:rsid w:val="00044073"/>
    <w:rsid w:val="000465AC"/>
    <w:rsid w:val="0004770C"/>
    <w:rsid w:val="00050EC4"/>
    <w:rsid w:val="000512E1"/>
    <w:rsid w:val="00051C48"/>
    <w:rsid w:val="00053353"/>
    <w:rsid w:val="00053B13"/>
    <w:rsid w:val="0005407E"/>
    <w:rsid w:val="000554B7"/>
    <w:rsid w:val="00057D2F"/>
    <w:rsid w:val="0006098E"/>
    <w:rsid w:val="00061B95"/>
    <w:rsid w:val="00063152"/>
    <w:rsid w:val="00064FA4"/>
    <w:rsid w:val="00066013"/>
    <w:rsid w:val="00066B3A"/>
    <w:rsid w:val="000678F3"/>
    <w:rsid w:val="000717A8"/>
    <w:rsid w:val="000718DC"/>
    <w:rsid w:val="00071FEE"/>
    <w:rsid w:val="00076A90"/>
    <w:rsid w:val="00076B6F"/>
    <w:rsid w:val="0007737C"/>
    <w:rsid w:val="00077550"/>
    <w:rsid w:val="00077988"/>
    <w:rsid w:val="000801D8"/>
    <w:rsid w:val="00080476"/>
    <w:rsid w:val="00080A2B"/>
    <w:rsid w:val="0008188E"/>
    <w:rsid w:val="000829C6"/>
    <w:rsid w:val="00082FEE"/>
    <w:rsid w:val="00085E21"/>
    <w:rsid w:val="00090136"/>
    <w:rsid w:val="00090756"/>
    <w:rsid w:val="00091186"/>
    <w:rsid w:val="00093909"/>
    <w:rsid w:val="000969F7"/>
    <w:rsid w:val="00096BB9"/>
    <w:rsid w:val="00097075"/>
    <w:rsid w:val="000A5518"/>
    <w:rsid w:val="000A5D25"/>
    <w:rsid w:val="000A6F15"/>
    <w:rsid w:val="000B09EC"/>
    <w:rsid w:val="000B280B"/>
    <w:rsid w:val="000B332F"/>
    <w:rsid w:val="000B5699"/>
    <w:rsid w:val="000B64FC"/>
    <w:rsid w:val="000B693D"/>
    <w:rsid w:val="000B7217"/>
    <w:rsid w:val="000C009F"/>
    <w:rsid w:val="000C0E45"/>
    <w:rsid w:val="000C1985"/>
    <w:rsid w:val="000C2407"/>
    <w:rsid w:val="000D076A"/>
    <w:rsid w:val="000D0AB1"/>
    <w:rsid w:val="000D15D9"/>
    <w:rsid w:val="000D17FC"/>
    <w:rsid w:val="000D2ED1"/>
    <w:rsid w:val="000D455D"/>
    <w:rsid w:val="000D4F6A"/>
    <w:rsid w:val="000D5C03"/>
    <w:rsid w:val="000D67F0"/>
    <w:rsid w:val="000E0B88"/>
    <w:rsid w:val="000E2A43"/>
    <w:rsid w:val="000E3A7C"/>
    <w:rsid w:val="000E540D"/>
    <w:rsid w:val="000E54FC"/>
    <w:rsid w:val="000F1205"/>
    <w:rsid w:val="000F1F20"/>
    <w:rsid w:val="000F687D"/>
    <w:rsid w:val="000F6A2C"/>
    <w:rsid w:val="000F7101"/>
    <w:rsid w:val="00100C8D"/>
    <w:rsid w:val="001019A4"/>
    <w:rsid w:val="00103D96"/>
    <w:rsid w:val="00104D0C"/>
    <w:rsid w:val="00105CAE"/>
    <w:rsid w:val="00106789"/>
    <w:rsid w:val="00106AFA"/>
    <w:rsid w:val="0011290B"/>
    <w:rsid w:val="00112DCF"/>
    <w:rsid w:val="00114A68"/>
    <w:rsid w:val="00115B5D"/>
    <w:rsid w:val="00117851"/>
    <w:rsid w:val="001220A9"/>
    <w:rsid w:val="00125A1D"/>
    <w:rsid w:val="00125BBE"/>
    <w:rsid w:val="00131A55"/>
    <w:rsid w:val="00131BB9"/>
    <w:rsid w:val="00132DCA"/>
    <w:rsid w:val="00132F9A"/>
    <w:rsid w:val="00134A1D"/>
    <w:rsid w:val="0013538B"/>
    <w:rsid w:val="00135B9F"/>
    <w:rsid w:val="0013766B"/>
    <w:rsid w:val="00137F01"/>
    <w:rsid w:val="00140166"/>
    <w:rsid w:val="00144068"/>
    <w:rsid w:val="00144EA6"/>
    <w:rsid w:val="00146231"/>
    <w:rsid w:val="00146277"/>
    <w:rsid w:val="0014629D"/>
    <w:rsid w:val="00157EBE"/>
    <w:rsid w:val="001613B4"/>
    <w:rsid w:val="001616B6"/>
    <w:rsid w:val="001633F6"/>
    <w:rsid w:val="0016392F"/>
    <w:rsid w:val="00163ADB"/>
    <w:rsid w:val="0016479C"/>
    <w:rsid w:val="001647FC"/>
    <w:rsid w:val="00165F95"/>
    <w:rsid w:val="001677F9"/>
    <w:rsid w:val="00167923"/>
    <w:rsid w:val="00167E2E"/>
    <w:rsid w:val="00170890"/>
    <w:rsid w:val="001709E7"/>
    <w:rsid w:val="00172BF9"/>
    <w:rsid w:val="00176D5D"/>
    <w:rsid w:val="00177D59"/>
    <w:rsid w:val="00180197"/>
    <w:rsid w:val="0018067C"/>
    <w:rsid w:val="0018527C"/>
    <w:rsid w:val="00185E46"/>
    <w:rsid w:val="001861C4"/>
    <w:rsid w:val="00186FE6"/>
    <w:rsid w:val="00191999"/>
    <w:rsid w:val="00191A27"/>
    <w:rsid w:val="00193A3B"/>
    <w:rsid w:val="00195261"/>
    <w:rsid w:val="0019658C"/>
    <w:rsid w:val="00196919"/>
    <w:rsid w:val="0019709B"/>
    <w:rsid w:val="00197283"/>
    <w:rsid w:val="00197F02"/>
    <w:rsid w:val="001A019D"/>
    <w:rsid w:val="001A06F8"/>
    <w:rsid w:val="001A09DE"/>
    <w:rsid w:val="001A1EBC"/>
    <w:rsid w:val="001A228A"/>
    <w:rsid w:val="001A42A8"/>
    <w:rsid w:val="001A60F4"/>
    <w:rsid w:val="001A745A"/>
    <w:rsid w:val="001B18DD"/>
    <w:rsid w:val="001B24D6"/>
    <w:rsid w:val="001B2F5D"/>
    <w:rsid w:val="001B7ECD"/>
    <w:rsid w:val="001C0A53"/>
    <w:rsid w:val="001C0D33"/>
    <w:rsid w:val="001C2785"/>
    <w:rsid w:val="001C2D98"/>
    <w:rsid w:val="001C3154"/>
    <w:rsid w:val="001C4F31"/>
    <w:rsid w:val="001C57A1"/>
    <w:rsid w:val="001C5E34"/>
    <w:rsid w:val="001C6112"/>
    <w:rsid w:val="001C612A"/>
    <w:rsid w:val="001C68FE"/>
    <w:rsid w:val="001D0454"/>
    <w:rsid w:val="001D182C"/>
    <w:rsid w:val="001D1914"/>
    <w:rsid w:val="001D551C"/>
    <w:rsid w:val="001D638D"/>
    <w:rsid w:val="001D6578"/>
    <w:rsid w:val="001D73B8"/>
    <w:rsid w:val="001D7E5A"/>
    <w:rsid w:val="001E087F"/>
    <w:rsid w:val="001E0982"/>
    <w:rsid w:val="001E1224"/>
    <w:rsid w:val="001E34BC"/>
    <w:rsid w:val="001E40D6"/>
    <w:rsid w:val="001E4518"/>
    <w:rsid w:val="001E4CEA"/>
    <w:rsid w:val="001E5E26"/>
    <w:rsid w:val="001E75C1"/>
    <w:rsid w:val="001F07AD"/>
    <w:rsid w:val="001F0871"/>
    <w:rsid w:val="001F2529"/>
    <w:rsid w:val="001F400C"/>
    <w:rsid w:val="001F5359"/>
    <w:rsid w:val="001F590C"/>
    <w:rsid w:val="001F5E4F"/>
    <w:rsid w:val="001F687E"/>
    <w:rsid w:val="001F72A9"/>
    <w:rsid w:val="001F74A6"/>
    <w:rsid w:val="002032FC"/>
    <w:rsid w:val="00203F10"/>
    <w:rsid w:val="0020484A"/>
    <w:rsid w:val="00206192"/>
    <w:rsid w:val="00206508"/>
    <w:rsid w:val="00206C2D"/>
    <w:rsid w:val="00207B5F"/>
    <w:rsid w:val="00207C29"/>
    <w:rsid w:val="0021045C"/>
    <w:rsid w:val="00210EFB"/>
    <w:rsid w:val="0021459A"/>
    <w:rsid w:val="0021466E"/>
    <w:rsid w:val="00216919"/>
    <w:rsid w:val="0021740E"/>
    <w:rsid w:val="00220F02"/>
    <w:rsid w:val="002226FB"/>
    <w:rsid w:val="00222981"/>
    <w:rsid w:val="00222F07"/>
    <w:rsid w:val="00223932"/>
    <w:rsid w:val="0022412F"/>
    <w:rsid w:val="002246AE"/>
    <w:rsid w:val="002265B9"/>
    <w:rsid w:val="002272EA"/>
    <w:rsid w:val="002302B7"/>
    <w:rsid w:val="00233481"/>
    <w:rsid w:val="00236791"/>
    <w:rsid w:val="00241AFA"/>
    <w:rsid w:val="00243BAA"/>
    <w:rsid w:val="00246632"/>
    <w:rsid w:val="002474CE"/>
    <w:rsid w:val="00250D92"/>
    <w:rsid w:val="00251841"/>
    <w:rsid w:val="0025196F"/>
    <w:rsid w:val="002519C6"/>
    <w:rsid w:val="00251FFC"/>
    <w:rsid w:val="00257472"/>
    <w:rsid w:val="00260183"/>
    <w:rsid w:val="002609DC"/>
    <w:rsid w:val="00261293"/>
    <w:rsid w:val="002616FA"/>
    <w:rsid w:val="00261B84"/>
    <w:rsid w:val="00262235"/>
    <w:rsid w:val="00266A8E"/>
    <w:rsid w:val="00266B6D"/>
    <w:rsid w:val="00267D8A"/>
    <w:rsid w:val="002711F5"/>
    <w:rsid w:val="00272007"/>
    <w:rsid w:val="002728D1"/>
    <w:rsid w:val="00274B9C"/>
    <w:rsid w:val="00274CAE"/>
    <w:rsid w:val="002772BE"/>
    <w:rsid w:val="00277FDB"/>
    <w:rsid w:val="0028025B"/>
    <w:rsid w:val="00281515"/>
    <w:rsid w:val="002818AD"/>
    <w:rsid w:val="00281FF0"/>
    <w:rsid w:val="002839A5"/>
    <w:rsid w:val="00283E8B"/>
    <w:rsid w:val="002843D1"/>
    <w:rsid w:val="002853A5"/>
    <w:rsid w:val="0028727F"/>
    <w:rsid w:val="00287772"/>
    <w:rsid w:val="00287F5F"/>
    <w:rsid w:val="002908A1"/>
    <w:rsid w:val="00291842"/>
    <w:rsid w:val="002918CE"/>
    <w:rsid w:val="002934AF"/>
    <w:rsid w:val="0029535F"/>
    <w:rsid w:val="00296D46"/>
    <w:rsid w:val="00297EE9"/>
    <w:rsid w:val="00297FF2"/>
    <w:rsid w:val="002A1A8B"/>
    <w:rsid w:val="002A24AD"/>
    <w:rsid w:val="002A282E"/>
    <w:rsid w:val="002A49B0"/>
    <w:rsid w:val="002A6402"/>
    <w:rsid w:val="002A65CB"/>
    <w:rsid w:val="002A666E"/>
    <w:rsid w:val="002A7301"/>
    <w:rsid w:val="002B1949"/>
    <w:rsid w:val="002C0A4C"/>
    <w:rsid w:val="002C1217"/>
    <w:rsid w:val="002C20D1"/>
    <w:rsid w:val="002C21C1"/>
    <w:rsid w:val="002C4037"/>
    <w:rsid w:val="002C5CF8"/>
    <w:rsid w:val="002C6606"/>
    <w:rsid w:val="002D004B"/>
    <w:rsid w:val="002D36F0"/>
    <w:rsid w:val="002D51B2"/>
    <w:rsid w:val="002D6258"/>
    <w:rsid w:val="002E01CE"/>
    <w:rsid w:val="002E0D75"/>
    <w:rsid w:val="002E0F3C"/>
    <w:rsid w:val="002E136B"/>
    <w:rsid w:val="002E2701"/>
    <w:rsid w:val="002E307D"/>
    <w:rsid w:val="002F0217"/>
    <w:rsid w:val="002F214A"/>
    <w:rsid w:val="002F23F0"/>
    <w:rsid w:val="002F2EC8"/>
    <w:rsid w:val="002F7774"/>
    <w:rsid w:val="002F77DE"/>
    <w:rsid w:val="00301C10"/>
    <w:rsid w:val="00301CD1"/>
    <w:rsid w:val="00305CD6"/>
    <w:rsid w:val="00306D19"/>
    <w:rsid w:val="00306D63"/>
    <w:rsid w:val="00310587"/>
    <w:rsid w:val="0031099E"/>
    <w:rsid w:val="00312581"/>
    <w:rsid w:val="0031473F"/>
    <w:rsid w:val="00315546"/>
    <w:rsid w:val="00315A11"/>
    <w:rsid w:val="00315E9C"/>
    <w:rsid w:val="003167B7"/>
    <w:rsid w:val="00322CAC"/>
    <w:rsid w:val="003233A0"/>
    <w:rsid w:val="0032354D"/>
    <w:rsid w:val="00323A1A"/>
    <w:rsid w:val="00324047"/>
    <w:rsid w:val="00326483"/>
    <w:rsid w:val="0032663B"/>
    <w:rsid w:val="003267C3"/>
    <w:rsid w:val="003313DE"/>
    <w:rsid w:val="00332640"/>
    <w:rsid w:val="003327B3"/>
    <w:rsid w:val="00333469"/>
    <w:rsid w:val="00336BFF"/>
    <w:rsid w:val="0033754A"/>
    <w:rsid w:val="00341D38"/>
    <w:rsid w:val="00342EC7"/>
    <w:rsid w:val="003437FF"/>
    <w:rsid w:val="00345121"/>
    <w:rsid w:val="003458B4"/>
    <w:rsid w:val="00347CC6"/>
    <w:rsid w:val="0035104C"/>
    <w:rsid w:val="0035248E"/>
    <w:rsid w:val="003533EA"/>
    <w:rsid w:val="0035416D"/>
    <w:rsid w:val="003549E2"/>
    <w:rsid w:val="003561C5"/>
    <w:rsid w:val="00356CCE"/>
    <w:rsid w:val="00357216"/>
    <w:rsid w:val="00362A63"/>
    <w:rsid w:val="00363C60"/>
    <w:rsid w:val="0036443A"/>
    <w:rsid w:val="00365F54"/>
    <w:rsid w:val="00367027"/>
    <w:rsid w:val="00370010"/>
    <w:rsid w:val="003704E8"/>
    <w:rsid w:val="00370C91"/>
    <w:rsid w:val="00370F50"/>
    <w:rsid w:val="003729E2"/>
    <w:rsid w:val="0037438D"/>
    <w:rsid w:val="00376DB4"/>
    <w:rsid w:val="00376F24"/>
    <w:rsid w:val="003804F8"/>
    <w:rsid w:val="0038080A"/>
    <w:rsid w:val="00380B15"/>
    <w:rsid w:val="00382FEA"/>
    <w:rsid w:val="003847C2"/>
    <w:rsid w:val="0038485E"/>
    <w:rsid w:val="0038530C"/>
    <w:rsid w:val="003954A0"/>
    <w:rsid w:val="00395C9F"/>
    <w:rsid w:val="00395EB4"/>
    <w:rsid w:val="003A2566"/>
    <w:rsid w:val="003A25D0"/>
    <w:rsid w:val="003A5D56"/>
    <w:rsid w:val="003A5DB3"/>
    <w:rsid w:val="003A657C"/>
    <w:rsid w:val="003A6FF0"/>
    <w:rsid w:val="003B0C6F"/>
    <w:rsid w:val="003B1654"/>
    <w:rsid w:val="003B4161"/>
    <w:rsid w:val="003B611F"/>
    <w:rsid w:val="003B72D5"/>
    <w:rsid w:val="003B738F"/>
    <w:rsid w:val="003C0972"/>
    <w:rsid w:val="003C0A8B"/>
    <w:rsid w:val="003C226F"/>
    <w:rsid w:val="003C2CC2"/>
    <w:rsid w:val="003C3575"/>
    <w:rsid w:val="003C49CD"/>
    <w:rsid w:val="003C4BF6"/>
    <w:rsid w:val="003C6CB8"/>
    <w:rsid w:val="003C6DB3"/>
    <w:rsid w:val="003D1C4D"/>
    <w:rsid w:val="003D21CC"/>
    <w:rsid w:val="003E052E"/>
    <w:rsid w:val="003E179E"/>
    <w:rsid w:val="003E2CE1"/>
    <w:rsid w:val="003E3538"/>
    <w:rsid w:val="003E39C3"/>
    <w:rsid w:val="003E3C8A"/>
    <w:rsid w:val="003F5656"/>
    <w:rsid w:val="00403F0E"/>
    <w:rsid w:val="004062D7"/>
    <w:rsid w:val="0040654D"/>
    <w:rsid w:val="00406CDE"/>
    <w:rsid w:val="00406EB7"/>
    <w:rsid w:val="004111A2"/>
    <w:rsid w:val="00411D73"/>
    <w:rsid w:val="00413BD9"/>
    <w:rsid w:val="00413ED9"/>
    <w:rsid w:val="004146F9"/>
    <w:rsid w:val="00415B3F"/>
    <w:rsid w:val="004165B9"/>
    <w:rsid w:val="00417420"/>
    <w:rsid w:val="00420510"/>
    <w:rsid w:val="0042298C"/>
    <w:rsid w:val="0042359C"/>
    <w:rsid w:val="0042666E"/>
    <w:rsid w:val="004276C7"/>
    <w:rsid w:val="00427E4B"/>
    <w:rsid w:val="004310CB"/>
    <w:rsid w:val="00431E77"/>
    <w:rsid w:val="00431F5D"/>
    <w:rsid w:val="00431FB8"/>
    <w:rsid w:val="004342C0"/>
    <w:rsid w:val="00434E5C"/>
    <w:rsid w:val="004367A4"/>
    <w:rsid w:val="004378A0"/>
    <w:rsid w:val="0044131F"/>
    <w:rsid w:val="00443844"/>
    <w:rsid w:val="00446662"/>
    <w:rsid w:val="00446A8A"/>
    <w:rsid w:val="00447E0E"/>
    <w:rsid w:val="00450B37"/>
    <w:rsid w:val="00450C7D"/>
    <w:rsid w:val="00451CCE"/>
    <w:rsid w:val="00451F06"/>
    <w:rsid w:val="00452242"/>
    <w:rsid w:val="00452D0D"/>
    <w:rsid w:val="00455DF8"/>
    <w:rsid w:val="00457F89"/>
    <w:rsid w:val="004601FD"/>
    <w:rsid w:val="00461A2C"/>
    <w:rsid w:val="00467BD0"/>
    <w:rsid w:val="00471401"/>
    <w:rsid w:val="00471841"/>
    <w:rsid w:val="004725C6"/>
    <w:rsid w:val="00474C20"/>
    <w:rsid w:val="004766F4"/>
    <w:rsid w:val="004770DC"/>
    <w:rsid w:val="0048100E"/>
    <w:rsid w:val="004816AF"/>
    <w:rsid w:val="004835F5"/>
    <w:rsid w:val="00484A17"/>
    <w:rsid w:val="004856FC"/>
    <w:rsid w:val="00487238"/>
    <w:rsid w:val="00491235"/>
    <w:rsid w:val="00495107"/>
    <w:rsid w:val="00496EDF"/>
    <w:rsid w:val="00497509"/>
    <w:rsid w:val="004A039A"/>
    <w:rsid w:val="004A12BF"/>
    <w:rsid w:val="004A1967"/>
    <w:rsid w:val="004A1BDD"/>
    <w:rsid w:val="004A3CB4"/>
    <w:rsid w:val="004A43A6"/>
    <w:rsid w:val="004A5CD4"/>
    <w:rsid w:val="004A6F55"/>
    <w:rsid w:val="004A7B43"/>
    <w:rsid w:val="004B1905"/>
    <w:rsid w:val="004B3ED8"/>
    <w:rsid w:val="004B507D"/>
    <w:rsid w:val="004B6092"/>
    <w:rsid w:val="004B798B"/>
    <w:rsid w:val="004B7B61"/>
    <w:rsid w:val="004C041D"/>
    <w:rsid w:val="004C243D"/>
    <w:rsid w:val="004C474E"/>
    <w:rsid w:val="004C4D35"/>
    <w:rsid w:val="004C54D6"/>
    <w:rsid w:val="004C5940"/>
    <w:rsid w:val="004C5D10"/>
    <w:rsid w:val="004C72F0"/>
    <w:rsid w:val="004D0B37"/>
    <w:rsid w:val="004D102D"/>
    <w:rsid w:val="004D5837"/>
    <w:rsid w:val="004E0794"/>
    <w:rsid w:val="004E11C1"/>
    <w:rsid w:val="004E1285"/>
    <w:rsid w:val="004E1C3D"/>
    <w:rsid w:val="004E2F91"/>
    <w:rsid w:val="004E3AC2"/>
    <w:rsid w:val="004E3F75"/>
    <w:rsid w:val="004E45B0"/>
    <w:rsid w:val="004F0ADE"/>
    <w:rsid w:val="004F0C0F"/>
    <w:rsid w:val="004F312F"/>
    <w:rsid w:val="004F55AD"/>
    <w:rsid w:val="00501194"/>
    <w:rsid w:val="00503225"/>
    <w:rsid w:val="00503562"/>
    <w:rsid w:val="00504022"/>
    <w:rsid w:val="00505B3D"/>
    <w:rsid w:val="00507E7A"/>
    <w:rsid w:val="00511E7E"/>
    <w:rsid w:val="00514B3D"/>
    <w:rsid w:val="00515980"/>
    <w:rsid w:val="00515B8E"/>
    <w:rsid w:val="00521265"/>
    <w:rsid w:val="005219AA"/>
    <w:rsid w:val="00524376"/>
    <w:rsid w:val="00524815"/>
    <w:rsid w:val="0052646A"/>
    <w:rsid w:val="005265D0"/>
    <w:rsid w:val="00527EA6"/>
    <w:rsid w:val="00530040"/>
    <w:rsid w:val="0053006C"/>
    <w:rsid w:val="0053458D"/>
    <w:rsid w:val="005354CD"/>
    <w:rsid w:val="00535841"/>
    <w:rsid w:val="0054075E"/>
    <w:rsid w:val="005417A4"/>
    <w:rsid w:val="00542D61"/>
    <w:rsid w:val="005503F7"/>
    <w:rsid w:val="00550D2A"/>
    <w:rsid w:val="00551496"/>
    <w:rsid w:val="00552876"/>
    <w:rsid w:val="005532B4"/>
    <w:rsid w:val="005542C1"/>
    <w:rsid w:val="00554901"/>
    <w:rsid w:val="00554BFE"/>
    <w:rsid w:val="0055596F"/>
    <w:rsid w:val="0056043B"/>
    <w:rsid w:val="005614D0"/>
    <w:rsid w:val="00561ED6"/>
    <w:rsid w:val="00562BEB"/>
    <w:rsid w:val="00563C05"/>
    <w:rsid w:val="00563E7F"/>
    <w:rsid w:val="005641D6"/>
    <w:rsid w:val="005667AA"/>
    <w:rsid w:val="00567785"/>
    <w:rsid w:val="00567DFD"/>
    <w:rsid w:val="005702E5"/>
    <w:rsid w:val="00572508"/>
    <w:rsid w:val="00573DF1"/>
    <w:rsid w:val="005743BD"/>
    <w:rsid w:val="005744E9"/>
    <w:rsid w:val="005746B4"/>
    <w:rsid w:val="00577587"/>
    <w:rsid w:val="00581920"/>
    <w:rsid w:val="00582A7D"/>
    <w:rsid w:val="0058397C"/>
    <w:rsid w:val="00584F3E"/>
    <w:rsid w:val="005860DE"/>
    <w:rsid w:val="00590094"/>
    <w:rsid w:val="00590BAA"/>
    <w:rsid w:val="0059163F"/>
    <w:rsid w:val="005918B5"/>
    <w:rsid w:val="00594706"/>
    <w:rsid w:val="00594933"/>
    <w:rsid w:val="005956AC"/>
    <w:rsid w:val="00595983"/>
    <w:rsid w:val="00596CD4"/>
    <w:rsid w:val="005972A3"/>
    <w:rsid w:val="005A1339"/>
    <w:rsid w:val="005A21CF"/>
    <w:rsid w:val="005A3293"/>
    <w:rsid w:val="005A6D76"/>
    <w:rsid w:val="005B0034"/>
    <w:rsid w:val="005B01BF"/>
    <w:rsid w:val="005B07E5"/>
    <w:rsid w:val="005B3CB2"/>
    <w:rsid w:val="005B45E3"/>
    <w:rsid w:val="005B544C"/>
    <w:rsid w:val="005B7B3F"/>
    <w:rsid w:val="005C29D9"/>
    <w:rsid w:val="005C31A3"/>
    <w:rsid w:val="005C3715"/>
    <w:rsid w:val="005C5470"/>
    <w:rsid w:val="005C6557"/>
    <w:rsid w:val="005C77BF"/>
    <w:rsid w:val="005D04AF"/>
    <w:rsid w:val="005D0558"/>
    <w:rsid w:val="005D16D5"/>
    <w:rsid w:val="005D1B5E"/>
    <w:rsid w:val="005D2C2A"/>
    <w:rsid w:val="005D3750"/>
    <w:rsid w:val="005D6969"/>
    <w:rsid w:val="005E10A2"/>
    <w:rsid w:val="005E4FAF"/>
    <w:rsid w:val="005E5F49"/>
    <w:rsid w:val="005E6A8D"/>
    <w:rsid w:val="005E7912"/>
    <w:rsid w:val="005F0FE5"/>
    <w:rsid w:val="005F23EF"/>
    <w:rsid w:val="005F36A8"/>
    <w:rsid w:val="005F3DBF"/>
    <w:rsid w:val="005F5787"/>
    <w:rsid w:val="005F6249"/>
    <w:rsid w:val="005F7A45"/>
    <w:rsid w:val="006008F7"/>
    <w:rsid w:val="0060219B"/>
    <w:rsid w:val="006068AF"/>
    <w:rsid w:val="00607DBB"/>
    <w:rsid w:val="00610B00"/>
    <w:rsid w:val="0061335A"/>
    <w:rsid w:val="00614637"/>
    <w:rsid w:val="00614B21"/>
    <w:rsid w:val="006158C8"/>
    <w:rsid w:val="00616C5D"/>
    <w:rsid w:val="00622157"/>
    <w:rsid w:val="00626265"/>
    <w:rsid w:val="006332BD"/>
    <w:rsid w:val="0063433B"/>
    <w:rsid w:val="00634667"/>
    <w:rsid w:val="00637F44"/>
    <w:rsid w:val="00640FC7"/>
    <w:rsid w:val="006450F3"/>
    <w:rsid w:val="006461B9"/>
    <w:rsid w:val="00646F27"/>
    <w:rsid w:val="00646F88"/>
    <w:rsid w:val="006471E4"/>
    <w:rsid w:val="006514A0"/>
    <w:rsid w:val="00653702"/>
    <w:rsid w:val="00656E73"/>
    <w:rsid w:val="00657759"/>
    <w:rsid w:val="00657C55"/>
    <w:rsid w:val="00661056"/>
    <w:rsid w:val="00661076"/>
    <w:rsid w:val="006632FE"/>
    <w:rsid w:val="006639E8"/>
    <w:rsid w:val="0066606C"/>
    <w:rsid w:val="006674F1"/>
    <w:rsid w:val="00667DEE"/>
    <w:rsid w:val="00670482"/>
    <w:rsid w:val="006704B0"/>
    <w:rsid w:val="00670EE2"/>
    <w:rsid w:val="006714A5"/>
    <w:rsid w:val="0067186D"/>
    <w:rsid w:val="00672661"/>
    <w:rsid w:val="00672D48"/>
    <w:rsid w:val="00673473"/>
    <w:rsid w:val="00673868"/>
    <w:rsid w:val="00673D80"/>
    <w:rsid w:val="0068160B"/>
    <w:rsid w:val="00681C56"/>
    <w:rsid w:val="00682380"/>
    <w:rsid w:val="00687021"/>
    <w:rsid w:val="006915E2"/>
    <w:rsid w:val="006919AB"/>
    <w:rsid w:val="0069366D"/>
    <w:rsid w:val="00693FB0"/>
    <w:rsid w:val="00695A8B"/>
    <w:rsid w:val="00695EA2"/>
    <w:rsid w:val="00696B60"/>
    <w:rsid w:val="00697C43"/>
    <w:rsid w:val="00697F48"/>
    <w:rsid w:val="006A07A6"/>
    <w:rsid w:val="006A20A1"/>
    <w:rsid w:val="006A3009"/>
    <w:rsid w:val="006A3C08"/>
    <w:rsid w:val="006A417C"/>
    <w:rsid w:val="006A50A9"/>
    <w:rsid w:val="006A51DE"/>
    <w:rsid w:val="006A642D"/>
    <w:rsid w:val="006A6ED3"/>
    <w:rsid w:val="006A6F84"/>
    <w:rsid w:val="006A749C"/>
    <w:rsid w:val="006B09C1"/>
    <w:rsid w:val="006B1670"/>
    <w:rsid w:val="006B30DE"/>
    <w:rsid w:val="006B3772"/>
    <w:rsid w:val="006B38D6"/>
    <w:rsid w:val="006B3E56"/>
    <w:rsid w:val="006B7769"/>
    <w:rsid w:val="006B7B43"/>
    <w:rsid w:val="006C0FE5"/>
    <w:rsid w:val="006C120B"/>
    <w:rsid w:val="006C6F94"/>
    <w:rsid w:val="006C7E51"/>
    <w:rsid w:val="006D077B"/>
    <w:rsid w:val="006D2212"/>
    <w:rsid w:val="006D258C"/>
    <w:rsid w:val="006D36F5"/>
    <w:rsid w:val="006D38D2"/>
    <w:rsid w:val="006D46D6"/>
    <w:rsid w:val="006D4BCA"/>
    <w:rsid w:val="006D4D22"/>
    <w:rsid w:val="006D5003"/>
    <w:rsid w:val="006D5420"/>
    <w:rsid w:val="006E0413"/>
    <w:rsid w:val="006E2791"/>
    <w:rsid w:val="006E2AEF"/>
    <w:rsid w:val="006E43DE"/>
    <w:rsid w:val="006E53BF"/>
    <w:rsid w:val="006E5D24"/>
    <w:rsid w:val="006F47D9"/>
    <w:rsid w:val="006F49C3"/>
    <w:rsid w:val="006F654F"/>
    <w:rsid w:val="006F6C87"/>
    <w:rsid w:val="006F7B99"/>
    <w:rsid w:val="00700652"/>
    <w:rsid w:val="00700A62"/>
    <w:rsid w:val="00703B1A"/>
    <w:rsid w:val="0070485F"/>
    <w:rsid w:val="00704FFE"/>
    <w:rsid w:val="0071108C"/>
    <w:rsid w:val="00712114"/>
    <w:rsid w:val="00714068"/>
    <w:rsid w:val="007149B1"/>
    <w:rsid w:val="0071583C"/>
    <w:rsid w:val="007167D5"/>
    <w:rsid w:val="0071739C"/>
    <w:rsid w:val="00717CA0"/>
    <w:rsid w:val="00723465"/>
    <w:rsid w:val="007251D8"/>
    <w:rsid w:val="00725A1C"/>
    <w:rsid w:val="00727540"/>
    <w:rsid w:val="007314B5"/>
    <w:rsid w:val="007328D3"/>
    <w:rsid w:val="0073452A"/>
    <w:rsid w:val="007357D2"/>
    <w:rsid w:val="00737470"/>
    <w:rsid w:val="00737824"/>
    <w:rsid w:val="00737F7A"/>
    <w:rsid w:val="00741A77"/>
    <w:rsid w:val="00742842"/>
    <w:rsid w:val="00742C87"/>
    <w:rsid w:val="00743C7A"/>
    <w:rsid w:val="007466FE"/>
    <w:rsid w:val="007470A4"/>
    <w:rsid w:val="007478DD"/>
    <w:rsid w:val="007504F7"/>
    <w:rsid w:val="00750F20"/>
    <w:rsid w:val="007551CB"/>
    <w:rsid w:val="00757A24"/>
    <w:rsid w:val="00760C51"/>
    <w:rsid w:val="00760CA3"/>
    <w:rsid w:val="0076226E"/>
    <w:rsid w:val="00763F72"/>
    <w:rsid w:val="007643A5"/>
    <w:rsid w:val="00765F0B"/>
    <w:rsid w:val="00767345"/>
    <w:rsid w:val="00770245"/>
    <w:rsid w:val="007714FF"/>
    <w:rsid w:val="0077298B"/>
    <w:rsid w:val="00776833"/>
    <w:rsid w:val="00781846"/>
    <w:rsid w:val="00784041"/>
    <w:rsid w:val="0078464F"/>
    <w:rsid w:val="00786CC5"/>
    <w:rsid w:val="007900B3"/>
    <w:rsid w:val="00790DFE"/>
    <w:rsid w:val="00791817"/>
    <w:rsid w:val="00792471"/>
    <w:rsid w:val="00793904"/>
    <w:rsid w:val="00794FCA"/>
    <w:rsid w:val="00795612"/>
    <w:rsid w:val="007A0D3C"/>
    <w:rsid w:val="007A0DA6"/>
    <w:rsid w:val="007A2C4E"/>
    <w:rsid w:val="007A40CE"/>
    <w:rsid w:val="007A5801"/>
    <w:rsid w:val="007A70F1"/>
    <w:rsid w:val="007B011B"/>
    <w:rsid w:val="007B0401"/>
    <w:rsid w:val="007B04BD"/>
    <w:rsid w:val="007B05A1"/>
    <w:rsid w:val="007B0A15"/>
    <w:rsid w:val="007B3498"/>
    <w:rsid w:val="007B5455"/>
    <w:rsid w:val="007B54F1"/>
    <w:rsid w:val="007B7C4B"/>
    <w:rsid w:val="007C1962"/>
    <w:rsid w:val="007D1AD7"/>
    <w:rsid w:val="007D5B8F"/>
    <w:rsid w:val="007D5C88"/>
    <w:rsid w:val="007D69B2"/>
    <w:rsid w:val="007D7A27"/>
    <w:rsid w:val="007E0308"/>
    <w:rsid w:val="007E37F9"/>
    <w:rsid w:val="007E5747"/>
    <w:rsid w:val="007E6382"/>
    <w:rsid w:val="007E6A30"/>
    <w:rsid w:val="007E7C9D"/>
    <w:rsid w:val="007F12AE"/>
    <w:rsid w:val="007F23C3"/>
    <w:rsid w:val="007F31F9"/>
    <w:rsid w:val="007F3F00"/>
    <w:rsid w:val="007F42B1"/>
    <w:rsid w:val="007F4473"/>
    <w:rsid w:val="007F4937"/>
    <w:rsid w:val="007F5EDB"/>
    <w:rsid w:val="007F5F63"/>
    <w:rsid w:val="008001AC"/>
    <w:rsid w:val="008005CE"/>
    <w:rsid w:val="008008C1"/>
    <w:rsid w:val="00800E3F"/>
    <w:rsid w:val="00802C95"/>
    <w:rsid w:val="008042C5"/>
    <w:rsid w:val="00804C97"/>
    <w:rsid w:val="00805160"/>
    <w:rsid w:val="00805A50"/>
    <w:rsid w:val="00806A5C"/>
    <w:rsid w:val="00807264"/>
    <w:rsid w:val="00807B22"/>
    <w:rsid w:val="00807F57"/>
    <w:rsid w:val="00812870"/>
    <w:rsid w:val="008141C4"/>
    <w:rsid w:val="008160E7"/>
    <w:rsid w:val="008171FB"/>
    <w:rsid w:val="00817573"/>
    <w:rsid w:val="00820BA6"/>
    <w:rsid w:val="00822B43"/>
    <w:rsid w:val="00824456"/>
    <w:rsid w:val="0082495E"/>
    <w:rsid w:val="00827DFA"/>
    <w:rsid w:val="008302C6"/>
    <w:rsid w:val="00831340"/>
    <w:rsid w:val="008323B2"/>
    <w:rsid w:val="00833282"/>
    <w:rsid w:val="00834E39"/>
    <w:rsid w:val="00840A19"/>
    <w:rsid w:val="008422E2"/>
    <w:rsid w:val="008438DF"/>
    <w:rsid w:val="00845110"/>
    <w:rsid w:val="008454FC"/>
    <w:rsid w:val="00855BE9"/>
    <w:rsid w:val="008569EB"/>
    <w:rsid w:val="00856F7C"/>
    <w:rsid w:val="008576AD"/>
    <w:rsid w:val="00862F91"/>
    <w:rsid w:val="00864A15"/>
    <w:rsid w:val="008668A7"/>
    <w:rsid w:val="00870CE6"/>
    <w:rsid w:val="00872841"/>
    <w:rsid w:val="00873E70"/>
    <w:rsid w:val="00875805"/>
    <w:rsid w:val="008765B6"/>
    <w:rsid w:val="00880333"/>
    <w:rsid w:val="008833A8"/>
    <w:rsid w:val="008857DB"/>
    <w:rsid w:val="00886297"/>
    <w:rsid w:val="00887B2E"/>
    <w:rsid w:val="00890FBD"/>
    <w:rsid w:val="00891623"/>
    <w:rsid w:val="00891F52"/>
    <w:rsid w:val="008940E3"/>
    <w:rsid w:val="008A2D7B"/>
    <w:rsid w:val="008A5901"/>
    <w:rsid w:val="008A610C"/>
    <w:rsid w:val="008B0C66"/>
    <w:rsid w:val="008B1136"/>
    <w:rsid w:val="008B1CF2"/>
    <w:rsid w:val="008B229B"/>
    <w:rsid w:val="008B2D4A"/>
    <w:rsid w:val="008B7511"/>
    <w:rsid w:val="008B7CF5"/>
    <w:rsid w:val="008C016F"/>
    <w:rsid w:val="008C04FE"/>
    <w:rsid w:val="008C0D55"/>
    <w:rsid w:val="008C2DBE"/>
    <w:rsid w:val="008C4CF4"/>
    <w:rsid w:val="008C4D2C"/>
    <w:rsid w:val="008C5E3C"/>
    <w:rsid w:val="008D0485"/>
    <w:rsid w:val="008D08F0"/>
    <w:rsid w:val="008D1AC7"/>
    <w:rsid w:val="008D22B4"/>
    <w:rsid w:val="008D492F"/>
    <w:rsid w:val="008D4C42"/>
    <w:rsid w:val="008E21FF"/>
    <w:rsid w:val="008E24F3"/>
    <w:rsid w:val="008E309B"/>
    <w:rsid w:val="008E43CA"/>
    <w:rsid w:val="008E74E6"/>
    <w:rsid w:val="008F0A5C"/>
    <w:rsid w:val="008F1ABF"/>
    <w:rsid w:val="008F209C"/>
    <w:rsid w:val="008F20E7"/>
    <w:rsid w:val="008F2166"/>
    <w:rsid w:val="008F323F"/>
    <w:rsid w:val="008F4F61"/>
    <w:rsid w:val="008F5EC7"/>
    <w:rsid w:val="008F67EE"/>
    <w:rsid w:val="009002E4"/>
    <w:rsid w:val="009015C3"/>
    <w:rsid w:val="00902FEF"/>
    <w:rsid w:val="0090333B"/>
    <w:rsid w:val="0090363A"/>
    <w:rsid w:val="00905230"/>
    <w:rsid w:val="0090543F"/>
    <w:rsid w:val="00906220"/>
    <w:rsid w:val="00916010"/>
    <w:rsid w:val="00916BD3"/>
    <w:rsid w:val="00917ABA"/>
    <w:rsid w:val="0092041D"/>
    <w:rsid w:val="00921772"/>
    <w:rsid w:val="009221E2"/>
    <w:rsid w:val="00923262"/>
    <w:rsid w:val="009238AC"/>
    <w:rsid w:val="00925B37"/>
    <w:rsid w:val="00925FB7"/>
    <w:rsid w:val="009261A1"/>
    <w:rsid w:val="0092738C"/>
    <w:rsid w:val="00930168"/>
    <w:rsid w:val="009321E5"/>
    <w:rsid w:val="00932527"/>
    <w:rsid w:val="009328FC"/>
    <w:rsid w:val="009359B6"/>
    <w:rsid w:val="00937AA1"/>
    <w:rsid w:val="009421E1"/>
    <w:rsid w:val="00943E09"/>
    <w:rsid w:val="00944272"/>
    <w:rsid w:val="0094557D"/>
    <w:rsid w:val="009468F0"/>
    <w:rsid w:val="00947605"/>
    <w:rsid w:val="00951607"/>
    <w:rsid w:val="00952ED1"/>
    <w:rsid w:val="00952FA3"/>
    <w:rsid w:val="009542CF"/>
    <w:rsid w:val="00954A43"/>
    <w:rsid w:val="009556C2"/>
    <w:rsid w:val="009570F3"/>
    <w:rsid w:val="00961021"/>
    <w:rsid w:val="0096176D"/>
    <w:rsid w:val="0096391F"/>
    <w:rsid w:val="00965A32"/>
    <w:rsid w:val="00970FA8"/>
    <w:rsid w:val="009711BE"/>
    <w:rsid w:val="00972689"/>
    <w:rsid w:val="00973426"/>
    <w:rsid w:val="009735BA"/>
    <w:rsid w:val="0097482E"/>
    <w:rsid w:val="00976674"/>
    <w:rsid w:val="00976E37"/>
    <w:rsid w:val="00977650"/>
    <w:rsid w:val="0097797C"/>
    <w:rsid w:val="00977D04"/>
    <w:rsid w:val="00980415"/>
    <w:rsid w:val="0098153F"/>
    <w:rsid w:val="0098200D"/>
    <w:rsid w:val="0098225E"/>
    <w:rsid w:val="009831BA"/>
    <w:rsid w:val="0098379F"/>
    <w:rsid w:val="009839E5"/>
    <w:rsid w:val="00983DFB"/>
    <w:rsid w:val="00984450"/>
    <w:rsid w:val="00986D43"/>
    <w:rsid w:val="009877E2"/>
    <w:rsid w:val="0099057E"/>
    <w:rsid w:val="00990BB2"/>
    <w:rsid w:val="009910AE"/>
    <w:rsid w:val="0099342F"/>
    <w:rsid w:val="009935C5"/>
    <w:rsid w:val="0099569D"/>
    <w:rsid w:val="009976C0"/>
    <w:rsid w:val="009A1C81"/>
    <w:rsid w:val="009A31BF"/>
    <w:rsid w:val="009A3369"/>
    <w:rsid w:val="009A3C5A"/>
    <w:rsid w:val="009A3D01"/>
    <w:rsid w:val="009B00DD"/>
    <w:rsid w:val="009B1CD2"/>
    <w:rsid w:val="009B41D9"/>
    <w:rsid w:val="009B446D"/>
    <w:rsid w:val="009B476F"/>
    <w:rsid w:val="009B5BC0"/>
    <w:rsid w:val="009B68AD"/>
    <w:rsid w:val="009C0A93"/>
    <w:rsid w:val="009C16CF"/>
    <w:rsid w:val="009C2D4F"/>
    <w:rsid w:val="009C449A"/>
    <w:rsid w:val="009C4556"/>
    <w:rsid w:val="009C481F"/>
    <w:rsid w:val="009C75A8"/>
    <w:rsid w:val="009C762A"/>
    <w:rsid w:val="009D1475"/>
    <w:rsid w:val="009D2B60"/>
    <w:rsid w:val="009D2EC9"/>
    <w:rsid w:val="009D319D"/>
    <w:rsid w:val="009D3A00"/>
    <w:rsid w:val="009E0210"/>
    <w:rsid w:val="009E3017"/>
    <w:rsid w:val="009E5F39"/>
    <w:rsid w:val="009F00B0"/>
    <w:rsid w:val="009F2A78"/>
    <w:rsid w:val="009F32D5"/>
    <w:rsid w:val="009F3509"/>
    <w:rsid w:val="009F3AB5"/>
    <w:rsid w:val="009F3FA6"/>
    <w:rsid w:val="009F44AA"/>
    <w:rsid w:val="009F4A79"/>
    <w:rsid w:val="009F6A71"/>
    <w:rsid w:val="009F6E07"/>
    <w:rsid w:val="009F7BDA"/>
    <w:rsid w:val="00A0063A"/>
    <w:rsid w:val="00A01C71"/>
    <w:rsid w:val="00A036AC"/>
    <w:rsid w:val="00A0393E"/>
    <w:rsid w:val="00A03A50"/>
    <w:rsid w:val="00A03C3E"/>
    <w:rsid w:val="00A068E4"/>
    <w:rsid w:val="00A07268"/>
    <w:rsid w:val="00A07460"/>
    <w:rsid w:val="00A07924"/>
    <w:rsid w:val="00A106AB"/>
    <w:rsid w:val="00A113B5"/>
    <w:rsid w:val="00A134EB"/>
    <w:rsid w:val="00A15A5F"/>
    <w:rsid w:val="00A160A6"/>
    <w:rsid w:val="00A201D2"/>
    <w:rsid w:val="00A21DC0"/>
    <w:rsid w:val="00A26E77"/>
    <w:rsid w:val="00A26FA9"/>
    <w:rsid w:val="00A31538"/>
    <w:rsid w:val="00A31D84"/>
    <w:rsid w:val="00A34022"/>
    <w:rsid w:val="00A34934"/>
    <w:rsid w:val="00A35A63"/>
    <w:rsid w:val="00A37534"/>
    <w:rsid w:val="00A40BBB"/>
    <w:rsid w:val="00A461E3"/>
    <w:rsid w:val="00A507E4"/>
    <w:rsid w:val="00A5154B"/>
    <w:rsid w:val="00A535AE"/>
    <w:rsid w:val="00A53E39"/>
    <w:rsid w:val="00A54EBB"/>
    <w:rsid w:val="00A5559B"/>
    <w:rsid w:val="00A56A24"/>
    <w:rsid w:val="00A601D6"/>
    <w:rsid w:val="00A609F2"/>
    <w:rsid w:val="00A61374"/>
    <w:rsid w:val="00A61470"/>
    <w:rsid w:val="00A63EDE"/>
    <w:rsid w:val="00A669BE"/>
    <w:rsid w:val="00A66CF7"/>
    <w:rsid w:val="00A66D05"/>
    <w:rsid w:val="00A67933"/>
    <w:rsid w:val="00A74C4D"/>
    <w:rsid w:val="00A74EDA"/>
    <w:rsid w:val="00A77863"/>
    <w:rsid w:val="00A80817"/>
    <w:rsid w:val="00A808FD"/>
    <w:rsid w:val="00A812DF"/>
    <w:rsid w:val="00A86CF3"/>
    <w:rsid w:val="00A87B4E"/>
    <w:rsid w:val="00A87C84"/>
    <w:rsid w:val="00A93E8E"/>
    <w:rsid w:val="00A951A2"/>
    <w:rsid w:val="00AA0DBC"/>
    <w:rsid w:val="00AA2057"/>
    <w:rsid w:val="00AA26E1"/>
    <w:rsid w:val="00AA6EFF"/>
    <w:rsid w:val="00AA721B"/>
    <w:rsid w:val="00AB095D"/>
    <w:rsid w:val="00AB440B"/>
    <w:rsid w:val="00AB58F2"/>
    <w:rsid w:val="00AB5C04"/>
    <w:rsid w:val="00AB5C8F"/>
    <w:rsid w:val="00AB7D1D"/>
    <w:rsid w:val="00AC24C5"/>
    <w:rsid w:val="00AC5647"/>
    <w:rsid w:val="00AC574E"/>
    <w:rsid w:val="00AC60B9"/>
    <w:rsid w:val="00AC6670"/>
    <w:rsid w:val="00AC76AA"/>
    <w:rsid w:val="00AD0739"/>
    <w:rsid w:val="00AD2131"/>
    <w:rsid w:val="00AD45EA"/>
    <w:rsid w:val="00AD7797"/>
    <w:rsid w:val="00AE08B4"/>
    <w:rsid w:val="00AE14FC"/>
    <w:rsid w:val="00AE2D3B"/>
    <w:rsid w:val="00AE3D43"/>
    <w:rsid w:val="00AE55F9"/>
    <w:rsid w:val="00AE6BCD"/>
    <w:rsid w:val="00AF1B26"/>
    <w:rsid w:val="00AF1B33"/>
    <w:rsid w:val="00AF2F58"/>
    <w:rsid w:val="00AF36CB"/>
    <w:rsid w:val="00AF3CF2"/>
    <w:rsid w:val="00AF4566"/>
    <w:rsid w:val="00AF474A"/>
    <w:rsid w:val="00AF6D8D"/>
    <w:rsid w:val="00AF7658"/>
    <w:rsid w:val="00B0037E"/>
    <w:rsid w:val="00B0140C"/>
    <w:rsid w:val="00B01F50"/>
    <w:rsid w:val="00B043E9"/>
    <w:rsid w:val="00B076A4"/>
    <w:rsid w:val="00B0788B"/>
    <w:rsid w:val="00B07AE9"/>
    <w:rsid w:val="00B107AC"/>
    <w:rsid w:val="00B128A6"/>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3F89"/>
    <w:rsid w:val="00B343A7"/>
    <w:rsid w:val="00B36AF8"/>
    <w:rsid w:val="00B37F9F"/>
    <w:rsid w:val="00B41036"/>
    <w:rsid w:val="00B41BDA"/>
    <w:rsid w:val="00B41FE3"/>
    <w:rsid w:val="00B4482B"/>
    <w:rsid w:val="00B464B5"/>
    <w:rsid w:val="00B46CA4"/>
    <w:rsid w:val="00B472AE"/>
    <w:rsid w:val="00B50230"/>
    <w:rsid w:val="00B5093F"/>
    <w:rsid w:val="00B515B3"/>
    <w:rsid w:val="00B5536C"/>
    <w:rsid w:val="00B60293"/>
    <w:rsid w:val="00B62B01"/>
    <w:rsid w:val="00B6427A"/>
    <w:rsid w:val="00B668FB"/>
    <w:rsid w:val="00B67849"/>
    <w:rsid w:val="00B67BEE"/>
    <w:rsid w:val="00B71A39"/>
    <w:rsid w:val="00B76B30"/>
    <w:rsid w:val="00B7735C"/>
    <w:rsid w:val="00B77392"/>
    <w:rsid w:val="00B808DC"/>
    <w:rsid w:val="00B80BBC"/>
    <w:rsid w:val="00B81DCF"/>
    <w:rsid w:val="00B82319"/>
    <w:rsid w:val="00B85851"/>
    <w:rsid w:val="00B85E06"/>
    <w:rsid w:val="00B872EA"/>
    <w:rsid w:val="00B932BD"/>
    <w:rsid w:val="00B96770"/>
    <w:rsid w:val="00B97CF7"/>
    <w:rsid w:val="00BA011E"/>
    <w:rsid w:val="00BA0691"/>
    <w:rsid w:val="00BA097C"/>
    <w:rsid w:val="00BA0BF3"/>
    <w:rsid w:val="00BA1001"/>
    <w:rsid w:val="00BA1763"/>
    <w:rsid w:val="00BA293D"/>
    <w:rsid w:val="00BA5077"/>
    <w:rsid w:val="00BA68E0"/>
    <w:rsid w:val="00BA6EFD"/>
    <w:rsid w:val="00BA78F7"/>
    <w:rsid w:val="00BB08C4"/>
    <w:rsid w:val="00BB0E7B"/>
    <w:rsid w:val="00BB12C2"/>
    <w:rsid w:val="00BB16BA"/>
    <w:rsid w:val="00BB53D3"/>
    <w:rsid w:val="00BB6960"/>
    <w:rsid w:val="00BC2158"/>
    <w:rsid w:val="00BC2A56"/>
    <w:rsid w:val="00BC4568"/>
    <w:rsid w:val="00BC4CDF"/>
    <w:rsid w:val="00BC75E6"/>
    <w:rsid w:val="00BD0493"/>
    <w:rsid w:val="00BD0539"/>
    <w:rsid w:val="00BD12DC"/>
    <w:rsid w:val="00BD1E94"/>
    <w:rsid w:val="00BD32FD"/>
    <w:rsid w:val="00BD4571"/>
    <w:rsid w:val="00BD48A6"/>
    <w:rsid w:val="00BD4C48"/>
    <w:rsid w:val="00BD4D4A"/>
    <w:rsid w:val="00BE3437"/>
    <w:rsid w:val="00BE7066"/>
    <w:rsid w:val="00BF036C"/>
    <w:rsid w:val="00BF1181"/>
    <w:rsid w:val="00BF32B9"/>
    <w:rsid w:val="00BF4D68"/>
    <w:rsid w:val="00BF6D73"/>
    <w:rsid w:val="00C00D5E"/>
    <w:rsid w:val="00C038E4"/>
    <w:rsid w:val="00C05EA7"/>
    <w:rsid w:val="00C10296"/>
    <w:rsid w:val="00C122F3"/>
    <w:rsid w:val="00C1311B"/>
    <w:rsid w:val="00C13594"/>
    <w:rsid w:val="00C135D5"/>
    <w:rsid w:val="00C1421A"/>
    <w:rsid w:val="00C142D8"/>
    <w:rsid w:val="00C17205"/>
    <w:rsid w:val="00C176B4"/>
    <w:rsid w:val="00C200AC"/>
    <w:rsid w:val="00C225DE"/>
    <w:rsid w:val="00C22C59"/>
    <w:rsid w:val="00C23E8A"/>
    <w:rsid w:val="00C24A3A"/>
    <w:rsid w:val="00C24E0A"/>
    <w:rsid w:val="00C24E61"/>
    <w:rsid w:val="00C30C40"/>
    <w:rsid w:val="00C32450"/>
    <w:rsid w:val="00C351ED"/>
    <w:rsid w:val="00C3782D"/>
    <w:rsid w:val="00C37D30"/>
    <w:rsid w:val="00C413D7"/>
    <w:rsid w:val="00C432B5"/>
    <w:rsid w:val="00C445FC"/>
    <w:rsid w:val="00C44E15"/>
    <w:rsid w:val="00C45166"/>
    <w:rsid w:val="00C46EF6"/>
    <w:rsid w:val="00C510F2"/>
    <w:rsid w:val="00C52A14"/>
    <w:rsid w:val="00C52B6B"/>
    <w:rsid w:val="00C5484B"/>
    <w:rsid w:val="00C54C9F"/>
    <w:rsid w:val="00C57055"/>
    <w:rsid w:val="00C60565"/>
    <w:rsid w:val="00C61633"/>
    <w:rsid w:val="00C622A5"/>
    <w:rsid w:val="00C62C67"/>
    <w:rsid w:val="00C62FC6"/>
    <w:rsid w:val="00C65056"/>
    <w:rsid w:val="00C67025"/>
    <w:rsid w:val="00C71E62"/>
    <w:rsid w:val="00C72BCD"/>
    <w:rsid w:val="00C72EC5"/>
    <w:rsid w:val="00C733E5"/>
    <w:rsid w:val="00C74E5C"/>
    <w:rsid w:val="00C761CE"/>
    <w:rsid w:val="00C765A9"/>
    <w:rsid w:val="00C76CF1"/>
    <w:rsid w:val="00C7759D"/>
    <w:rsid w:val="00C77A77"/>
    <w:rsid w:val="00C827CD"/>
    <w:rsid w:val="00C8485D"/>
    <w:rsid w:val="00C857DE"/>
    <w:rsid w:val="00C86F9B"/>
    <w:rsid w:val="00C874C4"/>
    <w:rsid w:val="00C91892"/>
    <w:rsid w:val="00C93EDD"/>
    <w:rsid w:val="00CA02BB"/>
    <w:rsid w:val="00CA2FAE"/>
    <w:rsid w:val="00CA35E3"/>
    <w:rsid w:val="00CA4984"/>
    <w:rsid w:val="00CA4C3F"/>
    <w:rsid w:val="00CA5129"/>
    <w:rsid w:val="00CA629D"/>
    <w:rsid w:val="00CA6FCD"/>
    <w:rsid w:val="00CA7EEE"/>
    <w:rsid w:val="00CB0175"/>
    <w:rsid w:val="00CB1C6A"/>
    <w:rsid w:val="00CB2FD4"/>
    <w:rsid w:val="00CB6F34"/>
    <w:rsid w:val="00CB7846"/>
    <w:rsid w:val="00CC02A2"/>
    <w:rsid w:val="00CC4C4B"/>
    <w:rsid w:val="00CC5033"/>
    <w:rsid w:val="00CC601F"/>
    <w:rsid w:val="00CC7D02"/>
    <w:rsid w:val="00CD268A"/>
    <w:rsid w:val="00CD2DC6"/>
    <w:rsid w:val="00CD7D4D"/>
    <w:rsid w:val="00CE1C74"/>
    <w:rsid w:val="00CE34DB"/>
    <w:rsid w:val="00CE5699"/>
    <w:rsid w:val="00CE5AE7"/>
    <w:rsid w:val="00CE6595"/>
    <w:rsid w:val="00CE750C"/>
    <w:rsid w:val="00CE7CE8"/>
    <w:rsid w:val="00CF4EB9"/>
    <w:rsid w:val="00CF5055"/>
    <w:rsid w:val="00CF7820"/>
    <w:rsid w:val="00D0194F"/>
    <w:rsid w:val="00D05FB3"/>
    <w:rsid w:val="00D072F1"/>
    <w:rsid w:val="00D077A9"/>
    <w:rsid w:val="00D10316"/>
    <w:rsid w:val="00D10553"/>
    <w:rsid w:val="00D14961"/>
    <w:rsid w:val="00D15892"/>
    <w:rsid w:val="00D17345"/>
    <w:rsid w:val="00D1787F"/>
    <w:rsid w:val="00D17999"/>
    <w:rsid w:val="00D2189E"/>
    <w:rsid w:val="00D24861"/>
    <w:rsid w:val="00D33524"/>
    <w:rsid w:val="00D35E0C"/>
    <w:rsid w:val="00D3655B"/>
    <w:rsid w:val="00D41C39"/>
    <w:rsid w:val="00D43718"/>
    <w:rsid w:val="00D43942"/>
    <w:rsid w:val="00D43C69"/>
    <w:rsid w:val="00D44C6C"/>
    <w:rsid w:val="00D470B1"/>
    <w:rsid w:val="00D531F3"/>
    <w:rsid w:val="00D55978"/>
    <w:rsid w:val="00D56F87"/>
    <w:rsid w:val="00D60A4D"/>
    <w:rsid w:val="00D615B4"/>
    <w:rsid w:val="00D61DD7"/>
    <w:rsid w:val="00D62D8C"/>
    <w:rsid w:val="00D63115"/>
    <w:rsid w:val="00D64ECC"/>
    <w:rsid w:val="00D65DBE"/>
    <w:rsid w:val="00D66929"/>
    <w:rsid w:val="00D721AD"/>
    <w:rsid w:val="00D72401"/>
    <w:rsid w:val="00D73A2C"/>
    <w:rsid w:val="00D73FCE"/>
    <w:rsid w:val="00D7410D"/>
    <w:rsid w:val="00D747DC"/>
    <w:rsid w:val="00D75553"/>
    <w:rsid w:val="00D7569F"/>
    <w:rsid w:val="00D75AD5"/>
    <w:rsid w:val="00D7683A"/>
    <w:rsid w:val="00D76CB0"/>
    <w:rsid w:val="00D80967"/>
    <w:rsid w:val="00D83186"/>
    <w:rsid w:val="00D8500C"/>
    <w:rsid w:val="00D865BD"/>
    <w:rsid w:val="00D87FE8"/>
    <w:rsid w:val="00D90DDF"/>
    <w:rsid w:val="00D922C3"/>
    <w:rsid w:val="00D9282C"/>
    <w:rsid w:val="00D92C1F"/>
    <w:rsid w:val="00D954CF"/>
    <w:rsid w:val="00D95C57"/>
    <w:rsid w:val="00D970BC"/>
    <w:rsid w:val="00D976E6"/>
    <w:rsid w:val="00DA2476"/>
    <w:rsid w:val="00DA4AE0"/>
    <w:rsid w:val="00DA6917"/>
    <w:rsid w:val="00DA6E5D"/>
    <w:rsid w:val="00DA7A40"/>
    <w:rsid w:val="00DA7D04"/>
    <w:rsid w:val="00DA7D55"/>
    <w:rsid w:val="00DB05DD"/>
    <w:rsid w:val="00DB262A"/>
    <w:rsid w:val="00DB2E36"/>
    <w:rsid w:val="00DB393C"/>
    <w:rsid w:val="00DC0627"/>
    <w:rsid w:val="00DC44A8"/>
    <w:rsid w:val="00DC53C0"/>
    <w:rsid w:val="00DC6867"/>
    <w:rsid w:val="00DC7576"/>
    <w:rsid w:val="00DC7CBC"/>
    <w:rsid w:val="00DD03A4"/>
    <w:rsid w:val="00DD3E47"/>
    <w:rsid w:val="00DD4F80"/>
    <w:rsid w:val="00DD513B"/>
    <w:rsid w:val="00DE1573"/>
    <w:rsid w:val="00DE1752"/>
    <w:rsid w:val="00DE19D0"/>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0FD6"/>
    <w:rsid w:val="00E01AFB"/>
    <w:rsid w:val="00E021DB"/>
    <w:rsid w:val="00E0251A"/>
    <w:rsid w:val="00E04807"/>
    <w:rsid w:val="00E04F1E"/>
    <w:rsid w:val="00E05043"/>
    <w:rsid w:val="00E0539D"/>
    <w:rsid w:val="00E06FED"/>
    <w:rsid w:val="00E079BE"/>
    <w:rsid w:val="00E07A94"/>
    <w:rsid w:val="00E1052A"/>
    <w:rsid w:val="00E10565"/>
    <w:rsid w:val="00E133D2"/>
    <w:rsid w:val="00E13CAB"/>
    <w:rsid w:val="00E15A6B"/>
    <w:rsid w:val="00E1765D"/>
    <w:rsid w:val="00E17DF5"/>
    <w:rsid w:val="00E22CAC"/>
    <w:rsid w:val="00E233F0"/>
    <w:rsid w:val="00E23DE5"/>
    <w:rsid w:val="00E23F04"/>
    <w:rsid w:val="00E26BDA"/>
    <w:rsid w:val="00E27103"/>
    <w:rsid w:val="00E27E4D"/>
    <w:rsid w:val="00E27EEF"/>
    <w:rsid w:val="00E30392"/>
    <w:rsid w:val="00E31D0C"/>
    <w:rsid w:val="00E32E37"/>
    <w:rsid w:val="00E3511D"/>
    <w:rsid w:val="00E356B8"/>
    <w:rsid w:val="00E35F90"/>
    <w:rsid w:val="00E44FC5"/>
    <w:rsid w:val="00E45150"/>
    <w:rsid w:val="00E45CC6"/>
    <w:rsid w:val="00E46ACA"/>
    <w:rsid w:val="00E46B72"/>
    <w:rsid w:val="00E47963"/>
    <w:rsid w:val="00E5020D"/>
    <w:rsid w:val="00E5082B"/>
    <w:rsid w:val="00E512C6"/>
    <w:rsid w:val="00E5134D"/>
    <w:rsid w:val="00E5200E"/>
    <w:rsid w:val="00E52593"/>
    <w:rsid w:val="00E529C6"/>
    <w:rsid w:val="00E547F2"/>
    <w:rsid w:val="00E549E8"/>
    <w:rsid w:val="00E5507F"/>
    <w:rsid w:val="00E577BB"/>
    <w:rsid w:val="00E64442"/>
    <w:rsid w:val="00E661AC"/>
    <w:rsid w:val="00E677A6"/>
    <w:rsid w:val="00E7012B"/>
    <w:rsid w:val="00E702CA"/>
    <w:rsid w:val="00E71F41"/>
    <w:rsid w:val="00E722D3"/>
    <w:rsid w:val="00E72F6D"/>
    <w:rsid w:val="00E7439B"/>
    <w:rsid w:val="00E77A64"/>
    <w:rsid w:val="00E80978"/>
    <w:rsid w:val="00E817CC"/>
    <w:rsid w:val="00E851CB"/>
    <w:rsid w:val="00E85AEB"/>
    <w:rsid w:val="00E85EB4"/>
    <w:rsid w:val="00E869EE"/>
    <w:rsid w:val="00E93916"/>
    <w:rsid w:val="00E9393E"/>
    <w:rsid w:val="00E94BCC"/>
    <w:rsid w:val="00E95352"/>
    <w:rsid w:val="00E96A40"/>
    <w:rsid w:val="00E96BA1"/>
    <w:rsid w:val="00E977A4"/>
    <w:rsid w:val="00E978C4"/>
    <w:rsid w:val="00EA0253"/>
    <w:rsid w:val="00EA0CCB"/>
    <w:rsid w:val="00EA0E44"/>
    <w:rsid w:val="00EA1EDC"/>
    <w:rsid w:val="00EA2575"/>
    <w:rsid w:val="00EA269B"/>
    <w:rsid w:val="00EA56D9"/>
    <w:rsid w:val="00EA75F5"/>
    <w:rsid w:val="00EB128F"/>
    <w:rsid w:val="00EB3435"/>
    <w:rsid w:val="00EB371B"/>
    <w:rsid w:val="00EB53D0"/>
    <w:rsid w:val="00EB5BE7"/>
    <w:rsid w:val="00EB6FA4"/>
    <w:rsid w:val="00EB7010"/>
    <w:rsid w:val="00EC0CB5"/>
    <w:rsid w:val="00EC3ABF"/>
    <w:rsid w:val="00EC3CBE"/>
    <w:rsid w:val="00EC52D0"/>
    <w:rsid w:val="00EC58D6"/>
    <w:rsid w:val="00EC597D"/>
    <w:rsid w:val="00ED28B0"/>
    <w:rsid w:val="00ED376C"/>
    <w:rsid w:val="00ED49E8"/>
    <w:rsid w:val="00ED5767"/>
    <w:rsid w:val="00EE0899"/>
    <w:rsid w:val="00EE0909"/>
    <w:rsid w:val="00EE0DB9"/>
    <w:rsid w:val="00EE182E"/>
    <w:rsid w:val="00EE26F4"/>
    <w:rsid w:val="00EE2C25"/>
    <w:rsid w:val="00EE37FE"/>
    <w:rsid w:val="00EE3CD0"/>
    <w:rsid w:val="00EE3FFA"/>
    <w:rsid w:val="00EE41EC"/>
    <w:rsid w:val="00EE66A0"/>
    <w:rsid w:val="00EE75F7"/>
    <w:rsid w:val="00EF012F"/>
    <w:rsid w:val="00EF0821"/>
    <w:rsid w:val="00EF2329"/>
    <w:rsid w:val="00EF6EA2"/>
    <w:rsid w:val="00F016F1"/>
    <w:rsid w:val="00F01D95"/>
    <w:rsid w:val="00F027EC"/>
    <w:rsid w:val="00F02E40"/>
    <w:rsid w:val="00F056D1"/>
    <w:rsid w:val="00F06173"/>
    <w:rsid w:val="00F075BE"/>
    <w:rsid w:val="00F107B4"/>
    <w:rsid w:val="00F11B14"/>
    <w:rsid w:val="00F12AF3"/>
    <w:rsid w:val="00F13281"/>
    <w:rsid w:val="00F132DF"/>
    <w:rsid w:val="00F13BAE"/>
    <w:rsid w:val="00F13C91"/>
    <w:rsid w:val="00F22A7A"/>
    <w:rsid w:val="00F2377C"/>
    <w:rsid w:val="00F23E79"/>
    <w:rsid w:val="00F2560A"/>
    <w:rsid w:val="00F2702D"/>
    <w:rsid w:val="00F274A9"/>
    <w:rsid w:val="00F276BB"/>
    <w:rsid w:val="00F30A3A"/>
    <w:rsid w:val="00F334CA"/>
    <w:rsid w:val="00F34A83"/>
    <w:rsid w:val="00F3586D"/>
    <w:rsid w:val="00F362CD"/>
    <w:rsid w:val="00F37299"/>
    <w:rsid w:val="00F40AD8"/>
    <w:rsid w:val="00F4112E"/>
    <w:rsid w:val="00F411A8"/>
    <w:rsid w:val="00F41398"/>
    <w:rsid w:val="00F4149A"/>
    <w:rsid w:val="00F430D9"/>
    <w:rsid w:val="00F44D19"/>
    <w:rsid w:val="00F46201"/>
    <w:rsid w:val="00F470B7"/>
    <w:rsid w:val="00F4797F"/>
    <w:rsid w:val="00F518FA"/>
    <w:rsid w:val="00F529BA"/>
    <w:rsid w:val="00F532A9"/>
    <w:rsid w:val="00F544AA"/>
    <w:rsid w:val="00F5454F"/>
    <w:rsid w:val="00F54C58"/>
    <w:rsid w:val="00F55794"/>
    <w:rsid w:val="00F56D3A"/>
    <w:rsid w:val="00F56EA9"/>
    <w:rsid w:val="00F60016"/>
    <w:rsid w:val="00F60224"/>
    <w:rsid w:val="00F63555"/>
    <w:rsid w:val="00F6402B"/>
    <w:rsid w:val="00F64ABE"/>
    <w:rsid w:val="00F71353"/>
    <w:rsid w:val="00F74EDD"/>
    <w:rsid w:val="00F770B3"/>
    <w:rsid w:val="00F80D27"/>
    <w:rsid w:val="00F811C7"/>
    <w:rsid w:val="00F81851"/>
    <w:rsid w:val="00F826B8"/>
    <w:rsid w:val="00F83E96"/>
    <w:rsid w:val="00F842B2"/>
    <w:rsid w:val="00F84C29"/>
    <w:rsid w:val="00F852B8"/>
    <w:rsid w:val="00F86B20"/>
    <w:rsid w:val="00F9060C"/>
    <w:rsid w:val="00F90877"/>
    <w:rsid w:val="00F91A37"/>
    <w:rsid w:val="00F935E6"/>
    <w:rsid w:val="00F93C3D"/>
    <w:rsid w:val="00F95375"/>
    <w:rsid w:val="00F95FE8"/>
    <w:rsid w:val="00F9627C"/>
    <w:rsid w:val="00FA0AFE"/>
    <w:rsid w:val="00FA0E5E"/>
    <w:rsid w:val="00FA1CC7"/>
    <w:rsid w:val="00FA2C06"/>
    <w:rsid w:val="00FA5224"/>
    <w:rsid w:val="00FA62A1"/>
    <w:rsid w:val="00FA66F3"/>
    <w:rsid w:val="00FA6B79"/>
    <w:rsid w:val="00FB03BF"/>
    <w:rsid w:val="00FB3297"/>
    <w:rsid w:val="00FB513F"/>
    <w:rsid w:val="00FB5F28"/>
    <w:rsid w:val="00FB60A4"/>
    <w:rsid w:val="00FB724C"/>
    <w:rsid w:val="00FB778F"/>
    <w:rsid w:val="00FC1513"/>
    <w:rsid w:val="00FC309B"/>
    <w:rsid w:val="00FC3A9E"/>
    <w:rsid w:val="00FC789C"/>
    <w:rsid w:val="00FC7A7C"/>
    <w:rsid w:val="00FD24F6"/>
    <w:rsid w:val="00FD3642"/>
    <w:rsid w:val="00FD372A"/>
    <w:rsid w:val="00FD3C56"/>
    <w:rsid w:val="00FD4113"/>
    <w:rsid w:val="00FD4A07"/>
    <w:rsid w:val="00FD659B"/>
    <w:rsid w:val="00FD6EC5"/>
    <w:rsid w:val="00FE05F4"/>
    <w:rsid w:val="00FE26A8"/>
    <w:rsid w:val="00FE355B"/>
    <w:rsid w:val="00FE5A20"/>
    <w:rsid w:val="00FE6224"/>
    <w:rsid w:val="00FE6723"/>
    <w:rsid w:val="00FE6737"/>
    <w:rsid w:val="00FF13AE"/>
    <w:rsid w:val="00FF1A86"/>
    <w:rsid w:val="00FF2457"/>
    <w:rsid w:val="00FF2A52"/>
    <w:rsid w:val="00FF3444"/>
    <w:rsid w:val="00FF37CC"/>
    <w:rsid w:val="00FF56E6"/>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Subitem">
    <w:name w:val="Subitem"/>
    <w:aliases w:val="iss"/>
    <w:basedOn w:val="Normal"/>
    <w:rsid w:val="008C4D2C"/>
    <w:pPr>
      <w:spacing w:before="180"/>
      <w:ind w:left="709" w:hanging="709"/>
    </w:pPr>
    <w:rPr>
      <w:rFonts w:eastAsia="Times New Roman"/>
      <w:sz w:val="22"/>
      <w:szCs w:val="20"/>
      <w:lang w:val="en-AU" w:eastAsia="en-AU" w:bidi="ar-SA"/>
    </w:rPr>
  </w:style>
  <w:style w:type="paragraph" w:customStyle="1" w:styleId="ActHead5">
    <w:name w:val="ActHead 5"/>
    <w:aliases w:val="s"/>
    <w:basedOn w:val="Normal"/>
    <w:next w:val="subsection"/>
    <w:link w:val="ActHead5Char"/>
    <w:qFormat/>
    <w:rsid w:val="00977D04"/>
    <w:pPr>
      <w:keepNext/>
      <w:keepLines/>
      <w:spacing w:before="280"/>
      <w:ind w:left="1134" w:hanging="1134"/>
      <w:outlineLvl w:val="4"/>
    </w:pPr>
    <w:rPr>
      <w:rFonts w:eastAsia="Times New Roman"/>
      <w:b/>
      <w:kern w:val="28"/>
      <w:szCs w:val="20"/>
      <w:lang w:val="en-AU" w:eastAsia="en-AU" w:bidi="ar-SA"/>
    </w:rPr>
  </w:style>
  <w:style w:type="character" w:customStyle="1" w:styleId="CharDivNo">
    <w:name w:val="CharDivNo"/>
    <w:basedOn w:val="DefaultParagraphFont"/>
    <w:qFormat/>
    <w:rsid w:val="00977D04"/>
  </w:style>
  <w:style w:type="character" w:customStyle="1" w:styleId="CharDivText">
    <w:name w:val="CharDivText"/>
    <w:basedOn w:val="DefaultParagraphFont"/>
    <w:qFormat/>
    <w:rsid w:val="00977D04"/>
  </w:style>
  <w:style w:type="character" w:customStyle="1" w:styleId="CharSectno">
    <w:name w:val="CharSectno"/>
    <w:basedOn w:val="DefaultParagraphFont"/>
    <w:qFormat/>
    <w:rsid w:val="00977D04"/>
  </w:style>
  <w:style w:type="paragraph" w:customStyle="1" w:styleId="subsection">
    <w:name w:val="subsection"/>
    <w:aliases w:val="ss"/>
    <w:basedOn w:val="Normal"/>
    <w:rsid w:val="00977D04"/>
    <w:pPr>
      <w:tabs>
        <w:tab w:val="right" w:pos="1021"/>
      </w:tabs>
      <w:spacing w:before="180"/>
      <w:ind w:left="1134" w:hanging="1134"/>
    </w:pPr>
    <w:rPr>
      <w:rFonts w:eastAsia="Times New Roman"/>
      <w:sz w:val="22"/>
      <w:szCs w:val="20"/>
      <w:lang w:val="en-AU" w:eastAsia="en-AU" w:bidi="ar-SA"/>
    </w:rPr>
  </w:style>
  <w:style w:type="paragraph" w:customStyle="1" w:styleId="notedraft">
    <w:name w:val="note(draft)"/>
    <w:aliases w:val="nd"/>
    <w:basedOn w:val="Normal"/>
    <w:rsid w:val="00977D04"/>
    <w:pPr>
      <w:spacing w:before="240"/>
      <w:ind w:left="284" w:hanging="284"/>
    </w:pPr>
    <w:rPr>
      <w:rFonts w:eastAsia="Times New Roman"/>
      <w:i/>
      <w:szCs w:val="20"/>
      <w:lang w:val="en-AU" w:eastAsia="en-AU" w:bidi="ar-SA"/>
    </w:rPr>
  </w:style>
  <w:style w:type="paragraph" w:customStyle="1" w:styleId="notetext">
    <w:name w:val="note(text)"/>
    <w:aliases w:val="n"/>
    <w:basedOn w:val="Normal"/>
    <w:rsid w:val="00977D04"/>
    <w:pPr>
      <w:spacing w:before="122"/>
      <w:ind w:left="1985" w:hanging="851"/>
    </w:pPr>
    <w:rPr>
      <w:rFonts w:eastAsia="Times New Roman"/>
      <w:sz w:val="18"/>
      <w:szCs w:val="20"/>
      <w:lang w:val="en-AU" w:eastAsia="en-AU" w:bidi="ar-SA"/>
    </w:rPr>
  </w:style>
  <w:style w:type="paragraph" w:customStyle="1" w:styleId="ActHead9">
    <w:name w:val="ActHead 9"/>
    <w:aliases w:val="aat"/>
    <w:basedOn w:val="Normal"/>
    <w:next w:val="Normal"/>
    <w:qFormat/>
    <w:rsid w:val="008C5E3C"/>
    <w:pPr>
      <w:keepNext/>
      <w:keepLines/>
      <w:spacing w:before="280"/>
      <w:ind w:left="1134" w:hanging="1134"/>
      <w:outlineLvl w:val="8"/>
    </w:pPr>
    <w:rPr>
      <w:rFonts w:eastAsia="Times New Roman"/>
      <w:b/>
      <w:i/>
      <w:kern w:val="28"/>
      <w:sz w:val="28"/>
      <w:szCs w:val="20"/>
      <w:lang w:val="en-AU" w:eastAsia="en-AU" w:bidi="ar-SA"/>
    </w:rPr>
  </w:style>
  <w:style w:type="paragraph" w:customStyle="1" w:styleId="Normal1">
    <w:name w:val="Normal1"/>
    <w:basedOn w:val="ListParagraph"/>
    <w:link w:val="NormalChar"/>
    <w:qFormat/>
    <w:rsid w:val="00F56D3A"/>
    <w:pPr>
      <w:numPr>
        <w:numId w:val="33"/>
      </w:numPr>
      <w:tabs>
        <w:tab w:val="left" w:pos="426"/>
      </w:tabs>
      <w:spacing w:after="120"/>
    </w:pPr>
    <w:rPr>
      <w:rFonts w:eastAsiaTheme="minorHAnsi"/>
      <w:szCs w:val="28"/>
      <w:u w:val="single"/>
      <w:lang w:val="en-AU" w:bidi="ar-SA"/>
    </w:rPr>
  </w:style>
  <w:style w:type="paragraph" w:customStyle="1" w:styleId="Style5">
    <w:name w:val="Style5"/>
    <w:basedOn w:val="Normal1"/>
    <w:qFormat/>
    <w:rsid w:val="00F56D3A"/>
    <w:pPr>
      <w:numPr>
        <w:ilvl w:val="1"/>
      </w:numPr>
      <w:tabs>
        <w:tab w:val="clear" w:pos="426"/>
        <w:tab w:val="left" w:pos="1276"/>
      </w:tabs>
      <w:ind w:left="754" w:hanging="397"/>
    </w:pPr>
  </w:style>
  <w:style w:type="character" w:customStyle="1" w:styleId="NormalChar">
    <w:name w:val="Normal Char"/>
    <w:basedOn w:val="DefaultParagraphFont"/>
    <w:link w:val="Normal1"/>
    <w:locked/>
    <w:rsid w:val="00F56D3A"/>
    <w:rPr>
      <w:rFonts w:ascii="Times New Roman" w:eastAsiaTheme="minorHAnsi" w:hAnsi="Times New Roman" w:cs="Times New Roman"/>
      <w:sz w:val="24"/>
      <w:szCs w:val="28"/>
      <w:u w:val="single"/>
      <w:lang w:val="en-AU" w:bidi="ar-SA"/>
    </w:rPr>
  </w:style>
  <w:style w:type="paragraph" w:styleId="NormalWeb">
    <w:name w:val="Normal (Web)"/>
    <w:basedOn w:val="Normal"/>
    <w:uiPriority w:val="99"/>
    <w:unhideWhenUsed/>
    <w:rsid w:val="0004770C"/>
    <w:pPr>
      <w:spacing w:before="100" w:beforeAutospacing="1" w:after="100" w:afterAutospacing="1"/>
    </w:pPr>
    <w:rPr>
      <w:rFonts w:ascii="Arial" w:eastAsia="Times New Roman" w:hAnsi="Arial" w:cs="Arial"/>
      <w:lang w:val="en-AU" w:eastAsia="en-AU" w:bidi="ar-SA"/>
    </w:rPr>
  </w:style>
  <w:style w:type="character" w:customStyle="1" w:styleId="ActHead5Char">
    <w:name w:val="ActHead 5 Char"/>
    <w:aliases w:val="s Char"/>
    <w:link w:val="ActHead5"/>
    <w:locked/>
    <w:rsid w:val="0037438D"/>
    <w:rPr>
      <w:rFonts w:ascii="Times New Roman" w:eastAsia="Times New Roman" w:hAnsi="Times New Roman" w:cs="Times New Roman"/>
      <w:b/>
      <w:kern w:val="28"/>
      <w:sz w:val="24"/>
      <w:szCs w:val="20"/>
      <w:lang w:val="en-AU" w:eastAsia="en-AU" w:bidi="ar-SA"/>
    </w:rPr>
  </w:style>
  <w:style w:type="paragraph" w:styleId="Revision">
    <w:name w:val="Revision"/>
    <w:hidden/>
    <w:uiPriority w:val="99"/>
    <w:semiHidden/>
    <w:rsid w:val="00CA6FCD"/>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0494">
      <w:bodyDiv w:val="1"/>
      <w:marLeft w:val="0"/>
      <w:marRight w:val="0"/>
      <w:marTop w:val="0"/>
      <w:marBottom w:val="0"/>
      <w:divBdr>
        <w:top w:val="none" w:sz="0" w:space="0" w:color="auto"/>
        <w:left w:val="none" w:sz="0" w:space="0" w:color="auto"/>
        <w:bottom w:val="none" w:sz="0" w:space="0" w:color="auto"/>
        <w:right w:val="none" w:sz="0" w:space="0" w:color="auto"/>
      </w:divBdr>
      <w:divsChild>
        <w:div w:id="1777603212">
          <w:marLeft w:val="0"/>
          <w:marRight w:val="0"/>
          <w:marTop w:val="0"/>
          <w:marBottom w:val="0"/>
          <w:divBdr>
            <w:top w:val="none" w:sz="0" w:space="0" w:color="auto"/>
            <w:left w:val="none" w:sz="0" w:space="0" w:color="auto"/>
            <w:bottom w:val="none" w:sz="0" w:space="0" w:color="auto"/>
            <w:right w:val="none" w:sz="0" w:space="0" w:color="auto"/>
          </w:divBdr>
          <w:divsChild>
            <w:div w:id="699476247">
              <w:marLeft w:val="0"/>
              <w:marRight w:val="0"/>
              <w:marTop w:val="0"/>
              <w:marBottom w:val="0"/>
              <w:divBdr>
                <w:top w:val="none" w:sz="0" w:space="0" w:color="auto"/>
                <w:left w:val="none" w:sz="0" w:space="0" w:color="auto"/>
                <w:bottom w:val="none" w:sz="0" w:space="0" w:color="auto"/>
                <w:right w:val="none" w:sz="0" w:space="0" w:color="auto"/>
              </w:divBdr>
              <w:divsChild>
                <w:div w:id="1070038343">
                  <w:marLeft w:val="0"/>
                  <w:marRight w:val="0"/>
                  <w:marTop w:val="0"/>
                  <w:marBottom w:val="0"/>
                  <w:divBdr>
                    <w:top w:val="none" w:sz="0" w:space="0" w:color="auto"/>
                    <w:left w:val="none" w:sz="0" w:space="0" w:color="auto"/>
                    <w:bottom w:val="none" w:sz="0" w:space="0" w:color="auto"/>
                    <w:right w:val="none" w:sz="0" w:space="0" w:color="auto"/>
                  </w:divBdr>
                  <w:divsChild>
                    <w:div w:id="1333558219">
                      <w:marLeft w:val="0"/>
                      <w:marRight w:val="0"/>
                      <w:marTop w:val="0"/>
                      <w:marBottom w:val="0"/>
                      <w:divBdr>
                        <w:top w:val="none" w:sz="0" w:space="0" w:color="auto"/>
                        <w:left w:val="none" w:sz="0" w:space="0" w:color="auto"/>
                        <w:bottom w:val="none" w:sz="0" w:space="0" w:color="auto"/>
                        <w:right w:val="none" w:sz="0" w:space="0" w:color="auto"/>
                      </w:divBdr>
                      <w:divsChild>
                        <w:div w:id="1725446707">
                          <w:marLeft w:val="0"/>
                          <w:marRight w:val="0"/>
                          <w:marTop w:val="0"/>
                          <w:marBottom w:val="0"/>
                          <w:divBdr>
                            <w:top w:val="single" w:sz="4" w:space="0" w:color="828282"/>
                            <w:left w:val="single" w:sz="4" w:space="0" w:color="828282"/>
                            <w:bottom w:val="single" w:sz="4" w:space="0" w:color="828282"/>
                            <w:right w:val="single" w:sz="4" w:space="0" w:color="828282"/>
                          </w:divBdr>
                          <w:divsChild>
                            <w:div w:id="81880978">
                              <w:marLeft w:val="0"/>
                              <w:marRight w:val="0"/>
                              <w:marTop w:val="0"/>
                              <w:marBottom w:val="0"/>
                              <w:divBdr>
                                <w:top w:val="none" w:sz="0" w:space="0" w:color="auto"/>
                                <w:left w:val="none" w:sz="0" w:space="0" w:color="auto"/>
                                <w:bottom w:val="none" w:sz="0" w:space="0" w:color="auto"/>
                                <w:right w:val="none" w:sz="0" w:space="0" w:color="auto"/>
                              </w:divBdr>
                              <w:divsChild>
                                <w:div w:id="1185292097">
                                  <w:marLeft w:val="0"/>
                                  <w:marRight w:val="0"/>
                                  <w:marTop w:val="0"/>
                                  <w:marBottom w:val="0"/>
                                  <w:divBdr>
                                    <w:top w:val="none" w:sz="0" w:space="0" w:color="auto"/>
                                    <w:left w:val="none" w:sz="0" w:space="0" w:color="auto"/>
                                    <w:bottom w:val="none" w:sz="0" w:space="0" w:color="auto"/>
                                    <w:right w:val="none" w:sz="0" w:space="0" w:color="auto"/>
                                  </w:divBdr>
                                  <w:divsChild>
                                    <w:div w:id="379283011">
                                      <w:marLeft w:val="0"/>
                                      <w:marRight w:val="0"/>
                                      <w:marTop w:val="0"/>
                                      <w:marBottom w:val="0"/>
                                      <w:divBdr>
                                        <w:top w:val="none" w:sz="0" w:space="0" w:color="auto"/>
                                        <w:left w:val="none" w:sz="0" w:space="0" w:color="auto"/>
                                        <w:bottom w:val="none" w:sz="0" w:space="0" w:color="auto"/>
                                        <w:right w:val="none" w:sz="0" w:space="0" w:color="auto"/>
                                      </w:divBdr>
                                      <w:divsChild>
                                        <w:div w:id="1464229685">
                                          <w:marLeft w:val="0"/>
                                          <w:marRight w:val="0"/>
                                          <w:marTop w:val="0"/>
                                          <w:marBottom w:val="0"/>
                                          <w:divBdr>
                                            <w:top w:val="none" w:sz="0" w:space="0" w:color="auto"/>
                                            <w:left w:val="none" w:sz="0" w:space="0" w:color="auto"/>
                                            <w:bottom w:val="none" w:sz="0" w:space="0" w:color="auto"/>
                                            <w:right w:val="none" w:sz="0" w:space="0" w:color="auto"/>
                                          </w:divBdr>
                                          <w:divsChild>
                                            <w:div w:id="1712727031">
                                              <w:marLeft w:val="0"/>
                                              <w:marRight w:val="0"/>
                                              <w:marTop w:val="0"/>
                                              <w:marBottom w:val="0"/>
                                              <w:divBdr>
                                                <w:top w:val="none" w:sz="0" w:space="0" w:color="auto"/>
                                                <w:left w:val="none" w:sz="0" w:space="0" w:color="auto"/>
                                                <w:bottom w:val="none" w:sz="0" w:space="0" w:color="auto"/>
                                                <w:right w:val="none" w:sz="0" w:space="0" w:color="auto"/>
                                              </w:divBdr>
                                              <w:divsChild>
                                                <w:div w:id="10575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073499">
      <w:bodyDiv w:val="1"/>
      <w:marLeft w:val="0"/>
      <w:marRight w:val="0"/>
      <w:marTop w:val="0"/>
      <w:marBottom w:val="0"/>
      <w:divBdr>
        <w:top w:val="none" w:sz="0" w:space="0" w:color="auto"/>
        <w:left w:val="none" w:sz="0" w:space="0" w:color="auto"/>
        <w:bottom w:val="none" w:sz="0" w:space="0" w:color="auto"/>
        <w:right w:val="none" w:sz="0" w:space="0" w:color="auto"/>
      </w:divBdr>
      <w:divsChild>
        <w:div w:id="1931624743">
          <w:marLeft w:val="0"/>
          <w:marRight w:val="0"/>
          <w:marTop w:val="0"/>
          <w:marBottom w:val="0"/>
          <w:divBdr>
            <w:top w:val="none" w:sz="0" w:space="0" w:color="auto"/>
            <w:left w:val="none" w:sz="0" w:space="0" w:color="auto"/>
            <w:bottom w:val="none" w:sz="0" w:space="0" w:color="auto"/>
            <w:right w:val="none" w:sz="0" w:space="0" w:color="auto"/>
          </w:divBdr>
          <w:divsChild>
            <w:div w:id="1454905482">
              <w:marLeft w:val="0"/>
              <w:marRight w:val="0"/>
              <w:marTop w:val="0"/>
              <w:marBottom w:val="0"/>
              <w:divBdr>
                <w:top w:val="none" w:sz="0" w:space="0" w:color="auto"/>
                <w:left w:val="none" w:sz="0" w:space="0" w:color="auto"/>
                <w:bottom w:val="none" w:sz="0" w:space="0" w:color="auto"/>
                <w:right w:val="none" w:sz="0" w:space="0" w:color="auto"/>
              </w:divBdr>
              <w:divsChild>
                <w:div w:id="1034771451">
                  <w:marLeft w:val="10"/>
                  <w:marRight w:val="10"/>
                  <w:marTop w:val="0"/>
                  <w:marBottom w:val="0"/>
                  <w:divBdr>
                    <w:top w:val="single" w:sz="4" w:space="0" w:color="FFFFFF"/>
                    <w:left w:val="single" w:sz="4" w:space="0" w:color="FFFFFF"/>
                    <w:bottom w:val="single" w:sz="4" w:space="8" w:color="FFFFFF"/>
                    <w:right w:val="single" w:sz="4" w:space="0" w:color="FFFFFF"/>
                  </w:divBdr>
                  <w:divsChild>
                    <w:div w:id="139199952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197428883">
      <w:bodyDiv w:val="1"/>
      <w:marLeft w:val="0"/>
      <w:marRight w:val="0"/>
      <w:marTop w:val="0"/>
      <w:marBottom w:val="0"/>
      <w:divBdr>
        <w:top w:val="none" w:sz="0" w:space="0" w:color="auto"/>
        <w:left w:val="none" w:sz="0" w:space="0" w:color="auto"/>
        <w:bottom w:val="none" w:sz="0" w:space="0" w:color="auto"/>
        <w:right w:val="none" w:sz="0" w:space="0" w:color="auto"/>
      </w:divBdr>
      <w:divsChild>
        <w:div w:id="892931088">
          <w:marLeft w:val="0"/>
          <w:marRight w:val="0"/>
          <w:marTop w:val="0"/>
          <w:marBottom w:val="0"/>
          <w:divBdr>
            <w:top w:val="none" w:sz="0" w:space="0" w:color="auto"/>
            <w:left w:val="none" w:sz="0" w:space="0" w:color="auto"/>
            <w:bottom w:val="none" w:sz="0" w:space="0" w:color="auto"/>
            <w:right w:val="none" w:sz="0" w:space="0" w:color="auto"/>
          </w:divBdr>
          <w:divsChild>
            <w:div w:id="730344853">
              <w:marLeft w:val="0"/>
              <w:marRight w:val="0"/>
              <w:marTop w:val="0"/>
              <w:marBottom w:val="0"/>
              <w:divBdr>
                <w:top w:val="none" w:sz="0" w:space="0" w:color="auto"/>
                <w:left w:val="none" w:sz="0" w:space="0" w:color="auto"/>
                <w:bottom w:val="none" w:sz="0" w:space="0" w:color="auto"/>
                <w:right w:val="none" w:sz="0" w:space="0" w:color="auto"/>
              </w:divBdr>
              <w:divsChild>
                <w:div w:id="1852068367">
                  <w:marLeft w:val="0"/>
                  <w:marRight w:val="0"/>
                  <w:marTop w:val="0"/>
                  <w:marBottom w:val="0"/>
                  <w:divBdr>
                    <w:top w:val="none" w:sz="0" w:space="0" w:color="auto"/>
                    <w:left w:val="none" w:sz="0" w:space="0" w:color="auto"/>
                    <w:bottom w:val="none" w:sz="0" w:space="0" w:color="auto"/>
                    <w:right w:val="none" w:sz="0" w:space="0" w:color="auto"/>
                  </w:divBdr>
                  <w:divsChild>
                    <w:div w:id="1731613985">
                      <w:marLeft w:val="0"/>
                      <w:marRight w:val="0"/>
                      <w:marTop w:val="0"/>
                      <w:marBottom w:val="0"/>
                      <w:divBdr>
                        <w:top w:val="none" w:sz="0" w:space="0" w:color="auto"/>
                        <w:left w:val="none" w:sz="0" w:space="0" w:color="auto"/>
                        <w:bottom w:val="none" w:sz="0" w:space="0" w:color="auto"/>
                        <w:right w:val="none" w:sz="0" w:space="0" w:color="auto"/>
                      </w:divBdr>
                      <w:divsChild>
                        <w:div w:id="1882940652">
                          <w:marLeft w:val="0"/>
                          <w:marRight w:val="0"/>
                          <w:marTop w:val="0"/>
                          <w:marBottom w:val="0"/>
                          <w:divBdr>
                            <w:top w:val="single" w:sz="6" w:space="0" w:color="828282"/>
                            <w:left w:val="single" w:sz="6" w:space="0" w:color="828282"/>
                            <w:bottom w:val="single" w:sz="6" w:space="0" w:color="828282"/>
                            <w:right w:val="single" w:sz="6" w:space="0" w:color="828282"/>
                          </w:divBdr>
                          <w:divsChild>
                            <w:div w:id="860512799">
                              <w:marLeft w:val="0"/>
                              <w:marRight w:val="0"/>
                              <w:marTop w:val="0"/>
                              <w:marBottom w:val="0"/>
                              <w:divBdr>
                                <w:top w:val="none" w:sz="0" w:space="0" w:color="auto"/>
                                <w:left w:val="none" w:sz="0" w:space="0" w:color="auto"/>
                                <w:bottom w:val="none" w:sz="0" w:space="0" w:color="auto"/>
                                <w:right w:val="none" w:sz="0" w:space="0" w:color="auto"/>
                              </w:divBdr>
                              <w:divsChild>
                                <w:div w:id="260185932">
                                  <w:marLeft w:val="0"/>
                                  <w:marRight w:val="0"/>
                                  <w:marTop w:val="0"/>
                                  <w:marBottom w:val="0"/>
                                  <w:divBdr>
                                    <w:top w:val="none" w:sz="0" w:space="0" w:color="auto"/>
                                    <w:left w:val="none" w:sz="0" w:space="0" w:color="auto"/>
                                    <w:bottom w:val="none" w:sz="0" w:space="0" w:color="auto"/>
                                    <w:right w:val="none" w:sz="0" w:space="0" w:color="auto"/>
                                  </w:divBdr>
                                  <w:divsChild>
                                    <w:div w:id="555049347">
                                      <w:marLeft w:val="0"/>
                                      <w:marRight w:val="0"/>
                                      <w:marTop w:val="0"/>
                                      <w:marBottom w:val="0"/>
                                      <w:divBdr>
                                        <w:top w:val="none" w:sz="0" w:space="0" w:color="auto"/>
                                        <w:left w:val="none" w:sz="0" w:space="0" w:color="auto"/>
                                        <w:bottom w:val="none" w:sz="0" w:space="0" w:color="auto"/>
                                        <w:right w:val="none" w:sz="0" w:space="0" w:color="auto"/>
                                      </w:divBdr>
                                      <w:divsChild>
                                        <w:div w:id="997731018">
                                          <w:marLeft w:val="0"/>
                                          <w:marRight w:val="0"/>
                                          <w:marTop w:val="0"/>
                                          <w:marBottom w:val="0"/>
                                          <w:divBdr>
                                            <w:top w:val="none" w:sz="0" w:space="0" w:color="auto"/>
                                            <w:left w:val="none" w:sz="0" w:space="0" w:color="auto"/>
                                            <w:bottom w:val="none" w:sz="0" w:space="0" w:color="auto"/>
                                            <w:right w:val="none" w:sz="0" w:space="0" w:color="auto"/>
                                          </w:divBdr>
                                          <w:divsChild>
                                            <w:div w:id="574585546">
                                              <w:marLeft w:val="0"/>
                                              <w:marRight w:val="0"/>
                                              <w:marTop w:val="0"/>
                                              <w:marBottom w:val="0"/>
                                              <w:divBdr>
                                                <w:top w:val="none" w:sz="0" w:space="0" w:color="auto"/>
                                                <w:left w:val="none" w:sz="0" w:space="0" w:color="auto"/>
                                                <w:bottom w:val="none" w:sz="0" w:space="0" w:color="auto"/>
                                                <w:right w:val="none" w:sz="0" w:space="0" w:color="auto"/>
                                              </w:divBdr>
                                              <w:divsChild>
                                                <w:div w:id="1815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771355">
      <w:bodyDiv w:val="1"/>
      <w:marLeft w:val="0"/>
      <w:marRight w:val="0"/>
      <w:marTop w:val="0"/>
      <w:marBottom w:val="0"/>
      <w:divBdr>
        <w:top w:val="none" w:sz="0" w:space="0" w:color="auto"/>
        <w:left w:val="none" w:sz="0" w:space="0" w:color="auto"/>
        <w:bottom w:val="none" w:sz="0" w:space="0" w:color="auto"/>
        <w:right w:val="none" w:sz="0" w:space="0" w:color="auto"/>
      </w:divBdr>
      <w:divsChild>
        <w:div w:id="1247378480">
          <w:marLeft w:val="0"/>
          <w:marRight w:val="0"/>
          <w:marTop w:val="0"/>
          <w:marBottom w:val="0"/>
          <w:divBdr>
            <w:top w:val="none" w:sz="0" w:space="0" w:color="auto"/>
            <w:left w:val="none" w:sz="0" w:space="0" w:color="auto"/>
            <w:bottom w:val="none" w:sz="0" w:space="0" w:color="auto"/>
            <w:right w:val="none" w:sz="0" w:space="0" w:color="auto"/>
          </w:divBdr>
          <w:divsChild>
            <w:div w:id="2134399394">
              <w:marLeft w:val="0"/>
              <w:marRight w:val="0"/>
              <w:marTop w:val="0"/>
              <w:marBottom w:val="0"/>
              <w:divBdr>
                <w:top w:val="none" w:sz="0" w:space="0" w:color="auto"/>
                <w:left w:val="none" w:sz="0" w:space="0" w:color="auto"/>
                <w:bottom w:val="none" w:sz="0" w:space="0" w:color="auto"/>
                <w:right w:val="none" w:sz="0" w:space="0" w:color="auto"/>
              </w:divBdr>
              <w:divsChild>
                <w:div w:id="1965231005">
                  <w:marLeft w:val="0"/>
                  <w:marRight w:val="0"/>
                  <w:marTop w:val="0"/>
                  <w:marBottom w:val="0"/>
                  <w:divBdr>
                    <w:top w:val="none" w:sz="0" w:space="0" w:color="auto"/>
                    <w:left w:val="none" w:sz="0" w:space="0" w:color="auto"/>
                    <w:bottom w:val="none" w:sz="0" w:space="0" w:color="auto"/>
                    <w:right w:val="none" w:sz="0" w:space="0" w:color="auto"/>
                  </w:divBdr>
                  <w:divsChild>
                    <w:div w:id="2005011660">
                      <w:marLeft w:val="0"/>
                      <w:marRight w:val="0"/>
                      <w:marTop w:val="0"/>
                      <w:marBottom w:val="0"/>
                      <w:divBdr>
                        <w:top w:val="none" w:sz="0" w:space="0" w:color="auto"/>
                        <w:left w:val="none" w:sz="0" w:space="0" w:color="auto"/>
                        <w:bottom w:val="none" w:sz="0" w:space="0" w:color="auto"/>
                        <w:right w:val="none" w:sz="0" w:space="0" w:color="auto"/>
                      </w:divBdr>
                      <w:divsChild>
                        <w:div w:id="21322771">
                          <w:marLeft w:val="0"/>
                          <w:marRight w:val="0"/>
                          <w:marTop w:val="0"/>
                          <w:marBottom w:val="0"/>
                          <w:divBdr>
                            <w:top w:val="single" w:sz="6" w:space="0" w:color="828282"/>
                            <w:left w:val="single" w:sz="6" w:space="0" w:color="828282"/>
                            <w:bottom w:val="single" w:sz="6" w:space="0" w:color="828282"/>
                            <w:right w:val="single" w:sz="6" w:space="0" w:color="828282"/>
                          </w:divBdr>
                          <w:divsChild>
                            <w:div w:id="2010670924">
                              <w:marLeft w:val="0"/>
                              <w:marRight w:val="0"/>
                              <w:marTop w:val="0"/>
                              <w:marBottom w:val="0"/>
                              <w:divBdr>
                                <w:top w:val="none" w:sz="0" w:space="0" w:color="auto"/>
                                <w:left w:val="none" w:sz="0" w:space="0" w:color="auto"/>
                                <w:bottom w:val="none" w:sz="0" w:space="0" w:color="auto"/>
                                <w:right w:val="none" w:sz="0" w:space="0" w:color="auto"/>
                              </w:divBdr>
                              <w:divsChild>
                                <w:div w:id="133764441">
                                  <w:marLeft w:val="0"/>
                                  <w:marRight w:val="0"/>
                                  <w:marTop w:val="0"/>
                                  <w:marBottom w:val="0"/>
                                  <w:divBdr>
                                    <w:top w:val="none" w:sz="0" w:space="0" w:color="auto"/>
                                    <w:left w:val="none" w:sz="0" w:space="0" w:color="auto"/>
                                    <w:bottom w:val="none" w:sz="0" w:space="0" w:color="auto"/>
                                    <w:right w:val="none" w:sz="0" w:space="0" w:color="auto"/>
                                  </w:divBdr>
                                  <w:divsChild>
                                    <w:div w:id="147357288">
                                      <w:marLeft w:val="0"/>
                                      <w:marRight w:val="0"/>
                                      <w:marTop w:val="0"/>
                                      <w:marBottom w:val="0"/>
                                      <w:divBdr>
                                        <w:top w:val="none" w:sz="0" w:space="0" w:color="auto"/>
                                        <w:left w:val="none" w:sz="0" w:space="0" w:color="auto"/>
                                        <w:bottom w:val="none" w:sz="0" w:space="0" w:color="auto"/>
                                        <w:right w:val="none" w:sz="0" w:space="0" w:color="auto"/>
                                      </w:divBdr>
                                      <w:divsChild>
                                        <w:div w:id="2067874854">
                                          <w:marLeft w:val="0"/>
                                          <w:marRight w:val="0"/>
                                          <w:marTop w:val="0"/>
                                          <w:marBottom w:val="0"/>
                                          <w:divBdr>
                                            <w:top w:val="none" w:sz="0" w:space="0" w:color="auto"/>
                                            <w:left w:val="none" w:sz="0" w:space="0" w:color="auto"/>
                                            <w:bottom w:val="none" w:sz="0" w:space="0" w:color="auto"/>
                                            <w:right w:val="none" w:sz="0" w:space="0" w:color="auto"/>
                                          </w:divBdr>
                                          <w:divsChild>
                                            <w:div w:id="2018918925">
                                              <w:marLeft w:val="0"/>
                                              <w:marRight w:val="0"/>
                                              <w:marTop w:val="0"/>
                                              <w:marBottom w:val="0"/>
                                              <w:divBdr>
                                                <w:top w:val="none" w:sz="0" w:space="0" w:color="auto"/>
                                                <w:left w:val="none" w:sz="0" w:space="0" w:color="auto"/>
                                                <w:bottom w:val="none" w:sz="0" w:space="0" w:color="auto"/>
                                                <w:right w:val="none" w:sz="0" w:space="0" w:color="auto"/>
                                              </w:divBdr>
                                              <w:divsChild>
                                                <w:div w:id="4943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370F4-CB0B-4B13-9352-81457098949F}">
  <ds:schemaRefs>
    <ds:schemaRef ds:uri="http://schemas.openxmlformats.org/officeDocument/2006/bibliography"/>
  </ds:schemaRefs>
</ds:datastoreItem>
</file>

<file path=customXml/itemProps2.xml><?xml version="1.0" encoding="utf-8"?>
<ds:datastoreItem xmlns:ds="http://schemas.openxmlformats.org/officeDocument/2006/customXml" ds:itemID="{BACA5533-DFA2-4835-8669-2D8103CE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Anna Fredericks, 1384</cp:lastModifiedBy>
  <cp:revision>3</cp:revision>
  <cp:lastPrinted>2015-10-14T22:24:00Z</cp:lastPrinted>
  <dcterms:created xsi:type="dcterms:W3CDTF">2016-03-14T23:53:00Z</dcterms:created>
  <dcterms:modified xsi:type="dcterms:W3CDTF">2016-03-16T01:27:00Z</dcterms:modified>
</cp:coreProperties>
</file>