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15D1" w:rsidRDefault="002E3579" w:rsidP="00674B00">
      <w:r w:rsidRPr="00465074"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8pt;height:78.9pt" o:ole="" fillcolor="window">
            <v:imagedata r:id="rId9" o:title=""/>
          </v:shape>
          <o:OLEObject Type="Embed" ProgID="Word.Picture.8" ShapeID="_x0000_i1025" DrawAspect="Content" ObjectID="_1521454233" r:id="rId10"/>
        </w:object>
      </w:r>
    </w:p>
    <w:p w:rsidR="000347F9" w:rsidRDefault="007F1754">
      <w:pPr>
        <w:pStyle w:val="Title"/>
        <w:pBdr>
          <w:bottom w:val="single" w:sz="4" w:space="3" w:color="auto"/>
        </w:pBdr>
      </w:pPr>
      <w:bookmarkStart w:id="1" w:name="Citation"/>
      <w:r>
        <w:t xml:space="preserve">Therapeutic Goods (Foreign Countries) Determination </w:t>
      </w:r>
      <w:bookmarkEnd w:id="1"/>
      <w:r>
        <w:t>2016</w:t>
      </w:r>
    </w:p>
    <w:p w:rsidR="000347F9" w:rsidRDefault="000347F9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Therapeutic Goods Act 1989</w:t>
      </w:r>
    </w:p>
    <w:p w:rsidR="000347F9" w:rsidRPr="004D0CC1" w:rsidRDefault="000347F9">
      <w:pPr>
        <w:spacing w:before="360"/>
        <w:jc w:val="both"/>
        <w:rPr>
          <w:sz w:val="22"/>
          <w:szCs w:val="22"/>
        </w:rPr>
      </w:pPr>
      <w:r w:rsidRPr="004D0CC1">
        <w:rPr>
          <w:sz w:val="22"/>
          <w:szCs w:val="22"/>
        </w:rPr>
        <w:t xml:space="preserve">I, </w:t>
      </w:r>
      <w:r w:rsidR="007F1754" w:rsidRPr="004D0CC1">
        <w:rPr>
          <w:sz w:val="22"/>
          <w:szCs w:val="22"/>
        </w:rPr>
        <w:t>ANTHONY GILL</w:t>
      </w:r>
      <w:r w:rsidRPr="004D0CC1">
        <w:rPr>
          <w:sz w:val="22"/>
          <w:szCs w:val="22"/>
        </w:rPr>
        <w:t xml:space="preserve">, </w:t>
      </w:r>
      <w:r w:rsidR="00C512F5" w:rsidRPr="004D0CC1">
        <w:rPr>
          <w:sz w:val="22"/>
          <w:szCs w:val="22"/>
        </w:rPr>
        <w:t xml:space="preserve">a delegate of the </w:t>
      </w:r>
      <w:r w:rsidR="00E53F2F">
        <w:rPr>
          <w:sz w:val="22"/>
          <w:szCs w:val="22"/>
        </w:rPr>
        <w:t xml:space="preserve">Secretary of the Department of </w:t>
      </w:r>
      <w:r w:rsidRPr="004D0CC1">
        <w:rPr>
          <w:sz w:val="22"/>
          <w:szCs w:val="22"/>
        </w:rPr>
        <w:t>Health, make th</w:t>
      </w:r>
      <w:r w:rsidR="00EB589A">
        <w:rPr>
          <w:sz w:val="22"/>
          <w:szCs w:val="22"/>
        </w:rPr>
        <w:t xml:space="preserve">e following </w:t>
      </w:r>
      <w:r w:rsidR="009847E4" w:rsidRPr="004D0CC1">
        <w:rPr>
          <w:sz w:val="22"/>
          <w:szCs w:val="22"/>
        </w:rPr>
        <w:t>d</w:t>
      </w:r>
      <w:r w:rsidRPr="004D0CC1">
        <w:rPr>
          <w:sz w:val="22"/>
          <w:szCs w:val="22"/>
        </w:rPr>
        <w:t>etermination.</w:t>
      </w:r>
    </w:p>
    <w:p w:rsidR="00323B45" w:rsidRDefault="00323B45" w:rsidP="00323B45">
      <w:pPr>
        <w:tabs>
          <w:tab w:val="left" w:pos="3119"/>
        </w:tabs>
        <w:spacing w:before="300" w:after="600" w:line="300" w:lineRule="atLeast"/>
        <w:rPr>
          <w:sz w:val="22"/>
          <w:szCs w:val="22"/>
        </w:rPr>
      </w:pPr>
      <w:bookmarkStart w:id="2" w:name="Year"/>
      <w:r w:rsidRPr="004D0CC1">
        <w:rPr>
          <w:sz w:val="22"/>
          <w:szCs w:val="22"/>
        </w:rPr>
        <w:t>Dated</w:t>
      </w:r>
      <w:r>
        <w:rPr>
          <w:sz w:val="22"/>
          <w:szCs w:val="22"/>
        </w:rPr>
        <w:t xml:space="preserve"> </w:t>
      </w:r>
      <w:bookmarkEnd w:id="2"/>
      <w:r>
        <w:rPr>
          <w:sz w:val="22"/>
          <w:szCs w:val="22"/>
        </w:rPr>
        <w:t>6</w:t>
      </w:r>
      <w:r w:rsidRPr="00323B4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2016</w:t>
      </w:r>
    </w:p>
    <w:p w:rsidR="00323B45" w:rsidRDefault="00323B45" w:rsidP="00323B45">
      <w:pPr>
        <w:tabs>
          <w:tab w:val="left" w:pos="3119"/>
        </w:tabs>
        <w:spacing w:before="300" w:after="600" w:line="300" w:lineRule="atLeast"/>
        <w:rPr>
          <w:sz w:val="22"/>
          <w:szCs w:val="22"/>
        </w:rPr>
      </w:pPr>
      <w:r>
        <w:rPr>
          <w:sz w:val="22"/>
          <w:szCs w:val="22"/>
        </w:rPr>
        <w:t>(Signed by)</w:t>
      </w:r>
    </w:p>
    <w:p w:rsidR="000347F9" w:rsidRPr="004D0CC1" w:rsidRDefault="00D75AC7" w:rsidP="00323B45">
      <w:pPr>
        <w:tabs>
          <w:tab w:val="left" w:pos="3119"/>
        </w:tabs>
        <w:spacing w:before="120" w:after="120" w:line="300" w:lineRule="atLeast"/>
        <w:rPr>
          <w:b/>
          <w:sz w:val="22"/>
          <w:szCs w:val="22"/>
        </w:rPr>
      </w:pPr>
      <w:r w:rsidRPr="004D0CC1">
        <w:rPr>
          <w:b/>
          <w:sz w:val="22"/>
          <w:szCs w:val="22"/>
        </w:rPr>
        <w:t>ANTHONY GILL</w:t>
      </w:r>
    </w:p>
    <w:p w:rsidR="000347F9" w:rsidRPr="004D0CC1" w:rsidRDefault="00C512F5" w:rsidP="00323B45">
      <w:pPr>
        <w:pBdr>
          <w:bottom w:val="single" w:sz="4" w:space="12" w:color="auto"/>
        </w:pBdr>
        <w:tabs>
          <w:tab w:val="left" w:pos="3119"/>
        </w:tabs>
        <w:spacing w:before="120" w:after="120" w:line="300" w:lineRule="atLeast"/>
        <w:rPr>
          <w:sz w:val="22"/>
          <w:szCs w:val="22"/>
        </w:rPr>
      </w:pPr>
      <w:bookmarkStart w:id="3" w:name="Minister"/>
      <w:r w:rsidRPr="004D0CC1">
        <w:rPr>
          <w:sz w:val="22"/>
          <w:szCs w:val="22"/>
        </w:rPr>
        <w:t xml:space="preserve">Delegate of the </w:t>
      </w:r>
      <w:r w:rsidR="00E53F2F">
        <w:rPr>
          <w:sz w:val="22"/>
          <w:szCs w:val="22"/>
        </w:rPr>
        <w:t>Secretary</w:t>
      </w:r>
      <w:bookmarkEnd w:id="3"/>
      <w:r w:rsidR="00B7271F">
        <w:rPr>
          <w:sz w:val="22"/>
          <w:szCs w:val="22"/>
        </w:rPr>
        <w:t xml:space="preserve"> of the Department of Health</w:t>
      </w:r>
    </w:p>
    <w:p w:rsidR="000347F9" w:rsidRDefault="000347F9">
      <w:pPr>
        <w:pStyle w:val="SigningPageBreak"/>
        <w:sectPr w:rsidR="000347F9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D4578C" w:rsidRDefault="00D4578C">
      <w:pPr>
        <w:rPr>
          <w:rFonts w:ascii="Arial" w:hAnsi="Arial"/>
          <w:b/>
        </w:rPr>
      </w:pPr>
      <w:r>
        <w:lastRenderedPageBreak/>
        <w:br w:type="page"/>
      </w:r>
    </w:p>
    <w:p w:rsidR="000347F9" w:rsidRDefault="000347F9" w:rsidP="00361A8E">
      <w:pPr>
        <w:pStyle w:val="HR"/>
        <w:ind w:left="284" w:hanging="851"/>
      </w:pPr>
      <w:r>
        <w:lastRenderedPageBreak/>
        <w:t>1</w:t>
      </w:r>
      <w:r>
        <w:tab/>
        <w:t xml:space="preserve">Name of </w:t>
      </w:r>
      <w:r w:rsidR="009847E4">
        <w:t>d</w:t>
      </w:r>
      <w:r>
        <w:t>etermination</w:t>
      </w:r>
    </w:p>
    <w:p w:rsidR="000347F9" w:rsidRPr="004D0CC1" w:rsidRDefault="000347F9" w:rsidP="00361A8E">
      <w:pPr>
        <w:pStyle w:val="R1"/>
        <w:ind w:left="284" w:hanging="851"/>
        <w:rPr>
          <w:sz w:val="22"/>
          <w:szCs w:val="22"/>
        </w:rPr>
      </w:pPr>
      <w:r>
        <w:tab/>
      </w:r>
      <w:r w:rsidRPr="004D0CC1">
        <w:rPr>
          <w:sz w:val="22"/>
          <w:szCs w:val="22"/>
        </w:rPr>
        <w:tab/>
        <w:t xml:space="preserve">This </w:t>
      </w:r>
      <w:r w:rsidR="009847E4" w:rsidRPr="004D0CC1">
        <w:rPr>
          <w:sz w:val="22"/>
          <w:szCs w:val="22"/>
        </w:rPr>
        <w:t>d</w:t>
      </w:r>
      <w:r w:rsidRPr="004D0CC1">
        <w:rPr>
          <w:sz w:val="22"/>
          <w:szCs w:val="22"/>
        </w:rPr>
        <w:t xml:space="preserve">etermination is the </w:t>
      </w:r>
      <w:r w:rsidRPr="004D0CC1">
        <w:rPr>
          <w:i/>
          <w:sz w:val="22"/>
          <w:szCs w:val="22"/>
        </w:rPr>
        <w:fldChar w:fldCharType="begin"/>
      </w:r>
      <w:r w:rsidRPr="004D0CC1">
        <w:rPr>
          <w:i/>
          <w:sz w:val="22"/>
          <w:szCs w:val="22"/>
        </w:rPr>
        <w:instrText xml:space="preserve"> REF Citation \*charformat </w:instrText>
      </w:r>
      <w:r w:rsidR="002E3579">
        <w:rPr>
          <w:i/>
          <w:sz w:val="22"/>
          <w:szCs w:val="22"/>
        </w:rPr>
        <w:instrText xml:space="preserve"> \* MERGEFORMAT </w:instrText>
      </w:r>
      <w:r w:rsidRPr="004D0CC1">
        <w:rPr>
          <w:i/>
          <w:sz w:val="22"/>
          <w:szCs w:val="22"/>
        </w:rPr>
        <w:fldChar w:fldCharType="separate"/>
      </w:r>
      <w:r w:rsidR="002D5AF2" w:rsidRPr="002D5AF2">
        <w:rPr>
          <w:i/>
          <w:sz w:val="22"/>
          <w:szCs w:val="22"/>
        </w:rPr>
        <w:t xml:space="preserve">Therapeutic Goods (Foreign Countries) Determination </w:t>
      </w:r>
      <w:r w:rsidRPr="004D0CC1">
        <w:rPr>
          <w:i/>
          <w:sz w:val="22"/>
          <w:szCs w:val="22"/>
        </w:rPr>
        <w:fldChar w:fldCharType="end"/>
      </w:r>
      <w:r w:rsidR="00B52CB9">
        <w:rPr>
          <w:i/>
          <w:sz w:val="22"/>
          <w:szCs w:val="22"/>
        </w:rPr>
        <w:t>201</w:t>
      </w:r>
      <w:r w:rsidR="007F1754" w:rsidRPr="004D0CC1">
        <w:rPr>
          <w:i/>
          <w:sz w:val="22"/>
          <w:szCs w:val="22"/>
        </w:rPr>
        <w:t>6</w:t>
      </w:r>
      <w:r w:rsidRPr="004D0CC1">
        <w:rPr>
          <w:sz w:val="22"/>
          <w:szCs w:val="22"/>
        </w:rPr>
        <w:t>.</w:t>
      </w:r>
    </w:p>
    <w:p w:rsidR="008736BA" w:rsidRPr="00C73DB8" w:rsidRDefault="000347F9" w:rsidP="00C73DB8">
      <w:pPr>
        <w:pStyle w:val="HR"/>
        <w:ind w:left="284" w:hanging="851"/>
      </w:pPr>
      <w:r>
        <w:t>2</w:t>
      </w:r>
      <w:r>
        <w:tab/>
        <w:t>Commencement</w:t>
      </w:r>
    </w:p>
    <w:p w:rsidR="00736D94" w:rsidRPr="004D0CC1" w:rsidRDefault="00736D94">
      <w:pPr>
        <w:pStyle w:val="R1"/>
        <w:tabs>
          <w:tab w:val="clear" w:pos="794"/>
          <w:tab w:val="right" w:pos="142"/>
        </w:tabs>
        <w:ind w:left="284" w:hanging="851"/>
        <w:rPr>
          <w:sz w:val="22"/>
          <w:szCs w:val="22"/>
        </w:rPr>
      </w:pPr>
      <w:r>
        <w:tab/>
      </w:r>
      <w:r w:rsidRPr="004D0CC1">
        <w:rPr>
          <w:sz w:val="22"/>
          <w:szCs w:val="22"/>
        </w:rPr>
        <w:t>(1)</w:t>
      </w:r>
      <w:r w:rsidRPr="004D0CC1">
        <w:rPr>
          <w:sz w:val="22"/>
          <w:szCs w:val="22"/>
        </w:rPr>
        <w:tab/>
        <w:t>Each provision of this determination specified in column 1 of the table commences, or is taken to have commenced, in accordance with column 2 of the table. Any other statement in column 2 has effect according to its terms.</w:t>
      </w:r>
    </w:p>
    <w:p w:rsidR="00205F54" w:rsidRPr="00205F54" w:rsidRDefault="00205F54" w:rsidP="004D0CC1">
      <w:pPr>
        <w:pStyle w:val="R1"/>
        <w:tabs>
          <w:tab w:val="clear" w:pos="794"/>
          <w:tab w:val="right" w:pos="1134"/>
        </w:tabs>
        <w:ind w:left="284" w:hanging="851"/>
        <w:rPr>
          <w:sz w:val="20"/>
          <w:szCs w:val="20"/>
        </w:rPr>
      </w:pPr>
    </w:p>
    <w:tbl>
      <w:tblPr>
        <w:tblW w:w="4684" w:type="pct"/>
        <w:tblInd w:w="39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83"/>
        <w:gridCol w:w="4071"/>
        <w:gridCol w:w="1418"/>
      </w:tblGrid>
      <w:tr w:rsidR="00724809" w:rsidRPr="00205F54" w:rsidTr="00233A1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24809" w:rsidRPr="00205F54" w:rsidRDefault="00724809" w:rsidP="00233A11">
            <w:pPr>
              <w:keepNext/>
              <w:spacing w:before="60" w:line="240" w:lineRule="atLeast"/>
              <w:rPr>
                <w:b/>
                <w:sz w:val="20"/>
                <w:szCs w:val="20"/>
                <w:lang w:eastAsia="en-US"/>
              </w:rPr>
            </w:pPr>
            <w:r w:rsidRPr="00205F54">
              <w:rPr>
                <w:b/>
                <w:sz w:val="20"/>
                <w:szCs w:val="20"/>
                <w:lang w:eastAsia="en-US"/>
              </w:rPr>
              <w:t>Commencement information</w:t>
            </w:r>
          </w:p>
        </w:tc>
      </w:tr>
      <w:tr w:rsidR="00724809" w:rsidRPr="00205F54" w:rsidTr="00233A11">
        <w:trPr>
          <w:tblHeader/>
        </w:trPr>
        <w:tc>
          <w:tcPr>
            <w:tcW w:w="12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24809" w:rsidRPr="00205F54" w:rsidRDefault="00724809" w:rsidP="00233A11">
            <w:pPr>
              <w:keepNext/>
              <w:spacing w:before="60" w:line="240" w:lineRule="atLeast"/>
              <w:rPr>
                <w:b/>
                <w:sz w:val="20"/>
                <w:szCs w:val="20"/>
                <w:lang w:eastAsia="en-US"/>
              </w:rPr>
            </w:pPr>
            <w:r w:rsidRPr="00205F54">
              <w:rPr>
                <w:b/>
                <w:sz w:val="20"/>
                <w:szCs w:val="20"/>
                <w:lang w:eastAsia="en-US"/>
              </w:rPr>
              <w:t>Column 1</w:t>
            </w:r>
          </w:p>
        </w:tc>
        <w:tc>
          <w:tcPr>
            <w:tcW w:w="27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24809" w:rsidRPr="00205F54" w:rsidRDefault="00724809" w:rsidP="00233A11">
            <w:pPr>
              <w:keepNext/>
              <w:spacing w:before="60" w:line="240" w:lineRule="atLeast"/>
              <w:rPr>
                <w:b/>
                <w:sz w:val="20"/>
                <w:szCs w:val="20"/>
                <w:lang w:eastAsia="en-US"/>
              </w:rPr>
            </w:pPr>
            <w:r w:rsidRPr="00205F54">
              <w:rPr>
                <w:b/>
                <w:sz w:val="20"/>
                <w:szCs w:val="20"/>
                <w:lang w:eastAsia="en-US"/>
              </w:rPr>
              <w:t>Column 2</w:t>
            </w: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24809" w:rsidRPr="00205F54" w:rsidRDefault="00724809" w:rsidP="00233A11">
            <w:pPr>
              <w:keepNext/>
              <w:spacing w:before="60" w:line="240" w:lineRule="atLeast"/>
              <w:rPr>
                <w:b/>
                <w:sz w:val="20"/>
                <w:szCs w:val="20"/>
                <w:lang w:eastAsia="en-US"/>
              </w:rPr>
            </w:pPr>
            <w:r w:rsidRPr="00205F54">
              <w:rPr>
                <w:b/>
                <w:sz w:val="20"/>
                <w:szCs w:val="20"/>
                <w:lang w:eastAsia="en-US"/>
              </w:rPr>
              <w:t>Column 3</w:t>
            </w:r>
          </w:p>
        </w:tc>
      </w:tr>
      <w:tr w:rsidR="00724809" w:rsidRPr="00205F54" w:rsidTr="00233A11">
        <w:trPr>
          <w:tblHeader/>
        </w:trPr>
        <w:tc>
          <w:tcPr>
            <w:tcW w:w="127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24809" w:rsidRPr="00205F54" w:rsidRDefault="00724809" w:rsidP="00233A11">
            <w:pPr>
              <w:keepNext/>
              <w:spacing w:before="60" w:line="240" w:lineRule="atLeast"/>
              <w:rPr>
                <w:b/>
                <w:sz w:val="20"/>
                <w:szCs w:val="20"/>
                <w:lang w:eastAsia="en-US"/>
              </w:rPr>
            </w:pPr>
            <w:r w:rsidRPr="00205F54">
              <w:rPr>
                <w:b/>
                <w:sz w:val="20"/>
                <w:szCs w:val="20"/>
                <w:lang w:eastAsia="en-US"/>
              </w:rPr>
              <w:t>Provisions</w:t>
            </w:r>
          </w:p>
        </w:tc>
        <w:tc>
          <w:tcPr>
            <w:tcW w:w="276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24809" w:rsidRPr="00205F54" w:rsidRDefault="00724809" w:rsidP="00233A11">
            <w:pPr>
              <w:keepNext/>
              <w:spacing w:before="60" w:line="240" w:lineRule="atLeast"/>
              <w:rPr>
                <w:b/>
                <w:sz w:val="20"/>
                <w:szCs w:val="20"/>
                <w:lang w:eastAsia="en-US"/>
              </w:rPr>
            </w:pPr>
            <w:r w:rsidRPr="00205F54">
              <w:rPr>
                <w:b/>
                <w:sz w:val="20"/>
                <w:szCs w:val="20"/>
                <w:lang w:eastAsia="en-US"/>
              </w:rPr>
              <w:t>Commencement</w:t>
            </w:r>
          </w:p>
        </w:tc>
        <w:tc>
          <w:tcPr>
            <w:tcW w:w="96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24809" w:rsidRPr="00205F54" w:rsidRDefault="00724809" w:rsidP="00233A11">
            <w:pPr>
              <w:keepNext/>
              <w:spacing w:before="60" w:line="240" w:lineRule="atLeast"/>
              <w:rPr>
                <w:b/>
                <w:sz w:val="20"/>
                <w:szCs w:val="20"/>
                <w:lang w:eastAsia="en-US"/>
              </w:rPr>
            </w:pPr>
            <w:r w:rsidRPr="00205F54">
              <w:rPr>
                <w:b/>
                <w:sz w:val="20"/>
                <w:szCs w:val="20"/>
                <w:lang w:eastAsia="en-US"/>
              </w:rPr>
              <w:t>Date/Details</w:t>
            </w:r>
          </w:p>
        </w:tc>
      </w:tr>
      <w:tr w:rsidR="00724809" w:rsidRPr="00205F54" w:rsidTr="00233A11">
        <w:tc>
          <w:tcPr>
            <w:tcW w:w="127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24809" w:rsidRPr="00205F54" w:rsidRDefault="00724809" w:rsidP="00233A11">
            <w:pPr>
              <w:spacing w:before="60" w:line="240" w:lineRule="atLeast"/>
              <w:rPr>
                <w:sz w:val="20"/>
                <w:szCs w:val="20"/>
                <w:lang w:eastAsia="en-US"/>
              </w:rPr>
            </w:pPr>
            <w:r w:rsidRPr="00205F54">
              <w:rPr>
                <w:sz w:val="20"/>
                <w:szCs w:val="20"/>
                <w:lang w:eastAsia="en-US"/>
              </w:rPr>
              <w:t xml:space="preserve">1.  The whole of this </w:t>
            </w:r>
            <w:r>
              <w:rPr>
                <w:sz w:val="20"/>
                <w:szCs w:val="20"/>
                <w:lang w:eastAsia="en-US"/>
              </w:rPr>
              <w:t>determination</w:t>
            </w:r>
          </w:p>
        </w:tc>
        <w:tc>
          <w:tcPr>
            <w:tcW w:w="27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24809" w:rsidRPr="00205F54" w:rsidRDefault="00724809" w:rsidP="00233A11">
            <w:pPr>
              <w:spacing w:before="60" w:line="240" w:lineRule="atLeast"/>
              <w:rPr>
                <w:sz w:val="20"/>
                <w:szCs w:val="20"/>
                <w:lang w:eastAsia="en-US"/>
              </w:rPr>
            </w:pPr>
            <w:r w:rsidRPr="00205F54">
              <w:rPr>
                <w:sz w:val="20"/>
                <w:szCs w:val="20"/>
                <w:lang w:eastAsia="en-US"/>
              </w:rPr>
              <w:t xml:space="preserve">The day after this </w:t>
            </w:r>
            <w:r>
              <w:rPr>
                <w:sz w:val="20"/>
                <w:szCs w:val="20"/>
                <w:lang w:eastAsia="en-US"/>
              </w:rPr>
              <w:t xml:space="preserve">determination </w:t>
            </w:r>
            <w:r w:rsidRPr="00205F54">
              <w:rPr>
                <w:sz w:val="20"/>
                <w:szCs w:val="20"/>
                <w:lang w:eastAsia="en-US"/>
              </w:rPr>
              <w:t>is registered.</w:t>
            </w:r>
          </w:p>
        </w:tc>
        <w:tc>
          <w:tcPr>
            <w:tcW w:w="9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24809" w:rsidRPr="00205F54" w:rsidRDefault="00724809" w:rsidP="00233A11">
            <w:pPr>
              <w:spacing w:before="60"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205F54" w:rsidRPr="00205F54" w:rsidRDefault="00205F54" w:rsidP="004D0CC1">
      <w:pPr>
        <w:spacing w:before="122"/>
        <w:ind w:left="1134" w:hanging="850"/>
        <w:jc w:val="both"/>
        <w:rPr>
          <w:sz w:val="18"/>
          <w:szCs w:val="20"/>
        </w:rPr>
      </w:pPr>
      <w:r w:rsidRPr="00205F54">
        <w:rPr>
          <w:snapToGrid w:val="0"/>
          <w:sz w:val="18"/>
          <w:szCs w:val="20"/>
          <w:lang w:eastAsia="en-US"/>
        </w:rPr>
        <w:t>Note:</w:t>
      </w:r>
      <w:r w:rsidRPr="00205F54">
        <w:rPr>
          <w:snapToGrid w:val="0"/>
          <w:sz w:val="18"/>
          <w:szCs w:val="20"/>
          <w:lang w:eastAsia="en-US"/>
        </w:rPr>
        <w:tab/>
        <w:t xml:space="preserve">This table relates only to the provisions of this </w:t>
      </w:r>
      <w:r w:rsidR="00736D94">
        <w:rPr>
          <w:sz w:val="18"/>
          <w:szCs w:val="20"/>
        </w:rPr>
        <w:t xml:space="preserve">determination </w:t>
      </w:r>
      <w:r w:rsidRPr="00205F54">
        <w:rPr>
          <w:snapToGrid w:val="0"/>
          <w:sz w:val="18"/>
          <w:szCs w:val="20"/>
          <w:lang w:eastAsia="en-US"/>
        </w:rPr>
        <w:t xml:space="preserve">as originally made. It will not be amended to deal with any later amendments of this </w:t>
      </w:r>
      <w:r w:rsidR="00F7078D">
        <w:rPr>
          <w:sz w:val="18"/>
          <w:szCs w:val="20"/>
        </w:rPr>
        <w:t>determination</w:t>
      </w:r>
      <w:r w:rsidRPr="00205F54">
        <w:rPr>
          <w:snapToGrid w:val="0"/>
          <w:sz w:val="18"/>
          <w:szCs w:val="20"/>
          <w:lang w:eastAsia="en-US"/>
        </w:rPr>
        <w:t>.</w:t>
      </w:r>
    </w:p>
    <w:p w:rsidR="00736D94" w:rsidRDefault="00736D94" w:rsidP="00736D94">
      <w:pPr>
        <w:pStyle w:val="R2"/>
        <w:tabs>
          <w:tab w:val="clear" w:pos="794"/>
          <w:tab w:val="right" w:pos="142"/>
        </w:tabs>
        <w:ind w:left="284" w:hanging="851"/>
        <w:rPr>
          <w:sz w:val="22"/>
          <w:szCs w:val="20"/>
        </w:rPr>
      </w:pPr>
      <w:r>
        <w:tab/>
        <w:t>(2)</w:t>
      </w:r>
      <w:r>
        <w:tab/>
      </w:r>
      <w:r w:rsidRPr="00205F54">
        <w:rPr>
          <w:sz w:val="22"/>
          <w:szCs w:val="20"/>
        </w:rPr>
        <w:t xml:space="preserve">Any information in column 3 of the table is not part of this </w:t>
      </w:r>
      <w:r>
        <w:rPr>
          <w:sz w:val="22"/>
          <w:szCs w:val="20"/>
        </w:rPr>
        <w:t>determination</w:t>
      </w:r>
      <w:r w:rsidRPr="00205F54">
        <w:rPr>
          <w:sz w:val="22"/>
          <w:szCs w:val="20"/>
        </w:rPr>
        <w:t xml:space="preserve">. Information may be inserted in this column, or information in it may be edited, in any published version of this </w:t>
      </w:r>
      <w:r>
        <w:rPr>
          <w:sz w:val="22"/>
          <w:szCs w:val="20"/>
        </w:rPr>
        <w:t>determination</w:t>
      </w:r>
      <w:r w:rsidRPr="00205F54">
        <w:rPr>
          <w:sz w:val="22"/>
          <w:szCs w:val="20"/>
        </w:rPr>
        <w:t>.</w:t>
      </w:r>
    </w:p>
    <w:p w:rsidR="00A44301" w:rsidRDefault="00A44301" w:rsidP="00361A8E">
      <w:pPr>
        <w:pStyle w:val="HR"/>
        <w:ind w:left="284" w:hanging="851"/>
      </w:pPr>
      <w:r>
        <w:t>3</w:t>
      </w:r>
      <w:r>
        <w:tab/>
      </w:r>
      <w:r w:rsidR="00361A8E">
        <w:t>Authority</w:t>
      </w:r>
    </w:p>
    <w:p w:rsidR="00A44301" w:rsidRDefault="00A44301" w:rsidP="004D0CC1">
      <w:pPr>
        <w:pStyle w:val="A2"/>
        <w:ind w:left="284" w:hanging="851"/>
        <w:rPr>
          <w:sz w:val="22"/>
          <w:szCs w:val="22"/>
        </w:rPr>
      </w:pPr>
      <w:r w:rsidRPr="004D0CC1">
        <w:rPr>
          <w:sz w:val="22"/>
          <w:szCs w:val="22"/>
        </w:rPr>
        <w:tab/>
      </w:r>
      <w:r w:rsidRPr="004D0CC1">
        <w:rPr>
          <w:sz w:val="22"/>
          <w:szCs w:val="22"/>
        </w:rPr>
        <w:tab/>
        <w:t xml:space="preserve">This determination </w:t>
      </w:r>
      <w:r w:rsidR="00361A8E" w:rsidRPr="004D0CC1">
        <w:rPr>
          <w:sz w:val="22"/>
          <w:szCs w:val="22"/>
        </w:rPr>
        <w:t xml:space="preserve">is made under </w:t>
      </w:r>
      <w:r w:rsidR="00D27185">
        <w:rPr>
          <w:sz w:val="22"/>
          <w:szCs w:val="22"/>
        </w:rPr>
        <w:t xml:space="preserve">subsection </w:t>
      </w:r>
      <w:proofErr w:type="gramStart"/>
      <w:r w:rsidR="00D27185">
        <w:rPr>
          <w:sz w:val="22"/>
          <w:szCs w:val="22"/>
        </w:rPr>
        <w:t>19A(</w:t>
      </w:r>
      <w:proofErr w:type="gramEnd"/>
      <w:r w:rsidR="00D27185">
        <w:rPr>
          <w:sz w:val="22"/>
          <w:szCs w:val="22"/>
        </w:rPr>
        <w:t xml:space="preserve">3) of </w:t>
      </w:r>
      <w:r w:rsidR="00361A8E" w:rsidRPr="004D0CC1">
        <w:rPr>
          <w:sz w:val="22"/>
          <w:szCs w:val="22"/>
        </w:rPr>
        <w:t xml:space="preserve">the </w:t>
      </w:r>
      <w:r w:rsidR="00361A8E" w:rsidRPr="004D0CC1">
        <w:rPr>
          <w:i/>
          <w:sz w:val="22"/>
          <w:szCs w:val="22"/>
        </w:rPr>
        <w:t>Therapeutic Goods Act 1989</w:t>
      </w:r>
      <w:r w:rsidR="00361A8E" w:rsidRPr="004D0CC1">
        <w:rPr>
          <w:sz w:val="22"/>
          <w:szCs w:val="22"/>
        </w:rPr>
        <w:t>.</w:t>
      </w:r>
    </w:p>
    <w:p w:rsidR="007475CF" w:rsidRDefault="007475CF" w:rsidP="004D0CC1">
      <w:pPr>
        <w:sectPr w:rsidR="007475CF" w:rsidSect="004D0CC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7" w:h="16839" w:code="9"/>
          <w:pgMar w:top="1985" w:right="1842" w:bottom="2694" w:left="2410" w:header="567" w:footer="1134" w:gutter="0"/>
          <w:cols w:space="708"/>
          <w:docGrid w:linePitch="360"/>
        </w:sectPr>
      </w:pPr>
    </w:p>
    <w:p w:rsidR="00BD0276" w:rsidRDefault="00BD0276" w:rsidP="00BD0276">
      <w:pPr>
        <w:pStyle w:val="HR"/>
        <w:ind w:left="851" w:hanging="851"/>
      </w:pPr>
      <w:r>
        <w:lastRenderedPageBreak/>
        <w:t>4</w:t>
      </w:r>
      <w:r>
        <w:tab/>
        <w:t>Repeal</w:t>
      </w:r>
    </w:p>
    <w:p w:rsidR="00BD0276" w:rsidRDefault="00BD0276" w:rsidP="00BD0276">
      <w:pPr>
        <w:pStyle w:val="A2"/>
        <w:tabs>
          <w:tab w:val="clear" w:pos="794"/>
          <w:tab w:val="right" w:pos="1418"/>
        </w:tabs>
        <w:ind w:left="851" w:hanging="851"/>
        <w:rPr>
          <w:sz w:val="22"/>
          <w:szCs w:val="22"/>
        </w:rPr>
      </w:pPr>
      <w:r w:rsidRPr="00DA4851">
        <w:rPr>
          <w:sz w:val="22"/>
          <w:szCs w:val="22"/>
        </w:rPr>
        <w:tab/>
      </w:r>
      <w:r w:rsidR="00265C92">
        <w:rPr>
          <w:sz w:val="22"/>
          <w:szCs w:val="22"/>
        </w:rPr>
        <w:t>This determination repeals e</w:t>
      </w:r>
      <w:r>
        <w:rPr>
          <w:sz w:val="22"/>
          <w:szCs w:val="22"/>
        </w:rPr>
        <w:t xml:space="preserve">ach instrument </w:t>
      </w:r>
      <w:r w:rsidR="00986043">
        <w:rPr>
          <w:sz w:val="22"/>
          <w:szCs w:val="22"/>
        </w:rPr>
        <w:t xml:space="preserve">mentioned </w:t>
      </w:r>
      <w:r>
        <w:rPr>
          <w:sz w:val="22"/>
          <w:szCs w:val="22"/>
        </w:rPr>
        <w:t>in Schedule 1.</w:t>
      </w:r>
    </w:p>
    <w:p w:rsidR="002E3579" w:rsidRDefault="00BD0276" w:rsidP="004D0CC1">
      <w:pPr>
        <w:pStyle w:val="HR"/>
        <w:ind w:left="851" w:hanging="851"/>
      </w:pPr>
      <w:r>
        <w:t>5</w:t>
      </w:r>
      <w:r w:rsidR="002E3579">
        <w:tab/>
        <w:t>Definitions</w:t>
      </w:r>
    </w:p>
    <w:p w:rsidR="002E3579" w:rsidRPr="004D0CC1" w:rsidRDefault="002E3579" w:rsidP="004D0CC1">
      <w:pPr>
        <w:pStyle w:val="A2"/>
        <w:tabs>
          <w:tab w:val="clear" w:pos="794"/>
        </w:tabs>
        <w:ind w:left="851" w:hanging="851"/>
        <w:rPr>
          <w:sz w:val="22"/>
          <w:szCs w:val="22"/>
        </w:rPr>
      </w:pPr>
      <w:r w:rsidRPr="004D0CC1">
        <w:rPr>
          <w:sz w:val="22"/>
          <w:szCs w:val="22"/>
        </w:rPr>
        <w:tab/>
        <w:t>In this determination:</w:t>
      </w:r>
    </w:p>
    <w:p w:rsidR="002E3579" w:rsidRPr="004D0CC1" w:rsidRDefault="002E3579" w:rsidP="004D0CC1">
      <w:pPr>
        <w:pStyle w:val="A2"/>
        <w:tabs>
          <w:tab w:val="clear" w:pos="794"/>
        </w:tabs>
        <w:ind w:left="851" w:hanging="851"/>
        <w:rPr>
          <w:sz w:val="22"/>
          <w:szCs w:val="22"/>
        </w:rPr>
      </w:pPr>
      <w:r w:rsidRPr="004D0CC1">
        <w:rPr>
          <w:b/>
          <w:i/>
          <w:sz w:val="22"/>
          <w:szCs w:val="22"/>
        </w:rPr>
        <w:tab/>
        <w:t xml:space="preserve">Act </w:t>
      </w:r>
      <w:r w:rsidRPr="004D0CC1">
        <w:rPr>
          <w:sz w:val="22"/>
          <w:szCs w:val="22"/>
        </w:rPr>
        <w:t>means</w:t>
      </w:r>
      <w:r w:rsidRPr="004D0CC1">
        <w:rPr>
          <w:b/>
          <w:sz w:val="22"/>
          <w:szCs w:val="22"/>
        </w:rPr>
        <w:t xml:space="preserve"> </w:t>
      </w:r>
      <w:r w:rsidRPr="004D0CC1">
        <w:rPr>
          <w:i/>
          <w:sz w:val="22"/>
          <w:szCs w:val="22"/>
        </w:rPr>
        <w:t>Therapeutic Goods Act 1989</w:t>
      </w:r>
      <w:r w:rsidRPr="004D0CC1">
        <w:rPr>
          <w:sz w:val="22"/>
          <w:szCs w:val="22"/>
        </w:rPr>
        <w:t>.</w:t>
      </w:r>
    </w:p>
    <w:p w:rsidR="002E3579" w:rsidRPr="003B27F5" w:rsidRDefault="002E3579" w:rsidP="004D0CC1">
      <w:pPr>
        <w:ind w:left="567"/>
      </w:pPr>
    </w:p>
    <w:p w:rsidR="002E3579" w:rsidRDefault="002E3579" w:rsidP="004D0CC1">
      <w:pPr>
        <w:pStyle w:val="Note"/>
        <w:spacing w:before="0"/>
        <w:ind w:left="1531" w:hanging="680"/>
      </w:pPr>
      <w:r>
        <w:rPr>
          <w:i/>
        </w:rPr>
        <w:t>Note</w:t>
      </w:r>
      <w:r>
        <w:rPr>
          <w:i/>
        </w:rPr>
        <w:tab/>
      </w:r>
      <w:r w:rsidRPr="00914E50">
        <w:t xml:space="preserve">A number of </w:t>
      </w:r>
      <w:r w:rsidR="00D75AC7">
        <w:t>expressions</w:t>
      </w:r>
      <w:r w:rsidRPr="00914E50">
        <w:t xml:space="preserve"> </w:t>
      </w:r>
      <w:r w:rsidR="00BF2F99">
        <w:t xml:space="preserve">used </w:t>
      </w:r>
      <w:r w:rsidRPr="00914E50">
        <w:t xml:space="preserve">in this </w:t>
      </w:r>
      <w:r>
        <w:t>d</w:t>
      </w:r>
      <w:r w:rsidRPr="00914E50">
        <w:t>etermination are defined in the Act, including</w:t>
      </w:r>
      <w:r w:rsidR="00D75AC7">
        <w:t xml:space="preserve"> the following</w:t>
      </w:r>
      <w:r w:rsidRPr="00914E50">
        <w:t>:</w:t>
      </w:r>
    </w:p>
    <w:p w:rsidR="002E3579" w:rsidRPr="003B27F5" w:rsidRDefault="00BF2F99" w:rsidP="004D0CC1">
      <w:pPr>
        <w:pStyle w:val="Note"/>
        <w:numPr>
          <w:ilvl w:val="0"/>
          <w:numId w:val="6"/>
        </w:numPr>
        <w:ind w:left="1985" w:hanging="454"/>
      </w:pPr>
      <w:r>
        <w:t>s</w:t>
      </w:r>
      <w:r w:rsidR="002E3579" w:rsidRPr="003B27F5">
        <w:t>upply</w:t>
      </w:r>
      <w:r>
        <w:t>; and</w:t>
      </w:r>
    </w:p>
    <w:p w:rsidR="002E3579" w:rsidRPr="003B27F5" w:rsidRDefault="00BF2F99" w:rsidP="004D0CC1">
      <w:pPr>
        <w:pStyle w:val="Note"/>
        <w:tabs>
          <w:tab w:val="left" w:pos="1985"/>
        </w:tabs>
        <w:ind w:left="1531"/>
      </w:pPr>
      <w:r>
        <w:t>(b)</w:t>
      </w:r>
      <w:r>
        <w:tab/>
      </w:r>
      <w:r w:rsidR="002E3579">
        <w:t>t</w:t>
      </w:r>
      <w:r w:rsidR="002E3579" w:rsidRPr="003B27F5">
        <w:t>herapeutic goods</w:t>
      </w:r>
      <w:r w:rsidR="002E3579">
        <w:t>.</w:t>
      </w:r>
    </w:p>
    <w:p w:rsidR="000347F9" w:rsidRDefault="00EF1EF3" w:rsidP="004D0CC1">
      <w:pPr>
        <w:pStyle w:val="HR"/>
        <w:ind w:left="851" w:hanging="851"/>
      </w:pPr>
      <w:bookmarkStart w:id="4" w:name="BKCheck15B_33"/>
      <w:bookmarkStart w:id="5" w:name="BKCheck15B_1104"/>
      <w:bookmarkStart w:id="6" w:name="BKCheck15B_34"/>
      <w:bookmarkStart w:id="7" w:name="BKCheck15B_35"/>
      <w:bookmarkStart w:id="8" w:name="BKCheck15B_36"/>
      <w:bookmarkStart w:id="9" w:name="BKCheck15B_37"/>
      <w:bookmarkStart w:id="10" w:name="BKCheck15B_38"/>
      <w:bookmarkStart w:id="11" w:name="BKCheck15B_39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lastRenderedPageBreak/>
        <w:t>6</w:t>
      </w:r>
      <w:r w:rsidR="000347F9">
        <w:tab/>
      </w:r>
      <w:r w:rsidR="00A44301">
        <w:t>Foreign countries</w:t>
      </w:r>
    </w:p>
    <w:p w:rsidR="00C36527" w:rsidRPr="004D0CC1" w:rsidRDefault="00C512F5" w:rsidP="00265C92">
      <w:pPr>
        <w:pStyle w:val="A2"/>
        <w:tabs>
          <w:tab w:val="clear" w:pos="794"/>
          <w:tab w:val="right" w:pos="1418"/>
        </w:tabs>
        <w:ind w:left="851" w:hanging="851"/>
        <w:rPr>
          <w:sz w:val="22"/>
          <w:szCs w:val="22"/>
        </w:rPr>
      </w:pPr>
      <w:r w:rsidRPr="004D0CC1">
        <w:rPr>
          <w:sz w:val="22"/>
          <w:szCs w:val="22"/>
        </w:rPr>
        <w:tab/>
      </w:r>
      <w:r w:rsidR="00736D94" w:rsidRPr="004D0CC1">
        <w:rPr>
          <w:sz w:val="22"/>
          <w:szCs w:val="22"/>
        </w:rPr>
        <w:tab/>
      </w:r>
      <w:r w:rsidR="00265C92">
        <w:rPr>
          <w:sz w:val="22"/>
          <w:szCs w:val="22"/>
        </w:rPr>
        <w:t>In relation to an application</w:t>
      </w:r>
      <w:r w:rsidR="00FA510E">
        <w:rPr>
          <w:sz w:val="22"/>
          <w:szCs w:val="22"/>
        </w:rPr>
        <w:t xml:space="preserve"> for approval</w:t>
      </w:r>
      <w:r w:rsidR="00265C92">
        <w:rPr>
          <w:sz w:val="22"/>
          <w:szCs w:val="22"/>
        </w:rPr>
        <w:t xml:space="preserve"> </w:t>
      </w:r>
      <w:r w:rsidR="00C73DB8">
        <w:rPr>
          <w:sz w:val="22"/>
          <w:szCs w:val="22"/>
        </w:rPr>
        <w:t xml:space="preserve">under subsection </w:t>
      </w:r>
      <w:proofErr w:type="gramStart"/>
      <w:r w:rsidR="00C73DB8">
        <w:rPr>
          <w:sz w:val="22"/>
          <w:szCs w:val="22"/>
        </w:rPr>
        <w:t>19A(</w:t>
      </w:r>
      <w:proofErr w:type="gramEnd"/>
      <w:r w:rsidR="00C73DB8">
        <w:rPr>
          <w:sz w:val="22"/>
          <w:szCs w:val="22"/>
        </w:rPr>
        <w:t xml:space="preserve">1) of the Act to import into Australia, or supply in Australia, specified </w:t>
      </w:r>
      <w:r w:rsidR="00265C92">
        <w:rPr>
          <w:sz w:val="22"/>
          <w:szCs w:val="22"/>
        </w:rPr>
        <w:t>therapeutic goods</w:t>
      </w:r>
      <w:r w:rsidR="00C73DB8">
        <w:rPr>
          <w:sz w:val="22"/>
          <w:szCs w:val="22"/>
        </w:rPr>
        <w:t xml:space="preserve">, </w:t>
      </w:r>
      <w:r w:rsidR="00DC0A4F" w:rsidRPr="004D0CC1">
        <w:rPr>
          <w:sz w:val="22"/>
          <w:szCs w:val="22"/>
        </w:rPr>
        <w:t xml:space="preserve">each of </w:t>
      </w:r>
      <w:r w:rsidR="00C36527" w:rsidRPr="004D0CC1">
        <w:rPr>
          <w:sz w:val="22"/>
          <w:szCs w:val="22"/>
        </w:rPr>
        <w:t>t</w:t>
      </w:r>
      <w:r w:rsidRPr="004D0CC1">
        <w:rPr>
          <w:sz w:val="22"/>
          <w:szCs w:val="22"/>
        </w:rPr>
        <w:t xml:space="preserve">he </w:t>
      </w:r>
      <w:r w:rsidR="007F1754" w:rsidRPr="004D0CC1">
        <w:rPr>
          <w:sz w:val="22"/>
          <w:szCs w:val="22"/>
        </w:rPr>
        <w:t xml:space="preserve">following countries </w:t>
      </w:r>
      <w:r w:rsidR="00C73DB8">
        <w:rPr>
          <w:sz w:val="22"/>
          <w:szCs w:val="22"/>
        </w:rPr>
        <w:t>is specified for the purposes of subparagraph 19A(1)(b)(</w:t>
      </w:r>
      <w:proofErr w:type="spellStart"/>
      <w:r w:rsidR="00C73DB8">
        <w:rPr>
          <w:sz w:val="22"/>
          <w:szCs w:val="22"/>
        </w:rPr>
        <w:t>i</w:t>
      </w:r>
      <w:proofErr w:type="spellEnd"/>
      <w:r w:rsidR="00C73DB8">
        <w:rPr>
          <w:sz w:val="22"/>
          <w:szCs w:val="22"/>
        </w:rPr>
        <w:t>):</w:t>
      </w:r>
    </w:p>
    <w:p w:rsidR="00A44301" w:rsidRPr="004D0CC1" w:rsidRDefault="00A44301" w:rsidP="004D0CC1">
      <w:pPr>
        <w:pStyle w:val="P1"/>
        <w:numPr>
          <w:ilvl w:val="0"/>
          <w:numId w:val="5"/>
        </w:numPr>
        <w:tabs>
          <w:tab w:val="clear" w:pos="1191"/>
          <w:tab w:val="right" w:pos="1418"/>
        </w:tabs>
        <w:rPr>
          <w:sz w:val="22"/>
          <w:szCs w:val="22"/>
        </w:rPr>
      </w:pPr>
      <w:r w:rsidRPr="004D0CC1">
        <w:rPr>
          <w:sz w:val="22"/>
          <w:szCs w:val="22"/>
        </w:rPr>
        <w:t>Canada;</w:t>
      </w:r>
    </w:p>
    <w:p w:rsidR="00A44301" w:rsidRPr="004D0CC1" w:rsidRDefault="00A44301" w:rsidP="004D0CC1">
      <w:pPr>
        <w:pStyle w:val="P1"/>
        <w:numPr>
          <w:ilvl w:val="0"/>
          <w:numId w:val="5"/>
        </w:numPr>
        <w:tabs>
          <w:tab w:val="clear" w:pos="1191"/>
          <w:tab w:val="right" w:pos="1418"/>
        </w:tabs>
        <w:rPr>
          <w:sz w:val="22"/>
          <w:szCs w:val="22"/>
        </w:rPr>
      </w:pPr>
      <w:r w:rsidRPr="004D0CC1">
        <w:rPr>
          <w:sz w:val="22"/>
          <w:szCs w:val="22"/>
        </w:rPr>
        <w:t>France;</w:t>
      </w:r>
    </w:p>
    <w:p w:rsidR="00A44301" w:rsidRPr="004D0CC1" w:rsidRDefault="00A44301" w:rsidP="004D0CC1">
      <w:pPr>
        <w:pStyle w:val="P1"/>
        <w:numPr>
          <w:ilvl w:val="0"/>
          <w:numId w:val="5"/>
        </w:numPr>
        <w:tabs>
          <w:tab w:val="clear" w:pos="1191"/>
          <w:tab w:val="right" w:pos="1418"/>
        </w:tabs>
        <w:rPr>
          <w:sz w:val="22"/>
          <w:szCs w:val="22"/>
        </w:rPr>
      </w:pPr>
      <w:r w:rsidRPr="004D0CC1">
        <w:rPr>
          <w:sz w:val="22"/>
          <w:szCs w:val="22"/>
        </w:rPr>
        <w:t>Germany;</w:t>
      </w:r>
    </w:p>
    <w:p w:rsidR="00A44301" w:rsidRPr="004D0CC1" w:rsidRDefault="00A44301" w:rsidP="004D0CC1">
      <w:pPr>
        <w:pStyle w:val="P1"/>
        <w:numPr>
          <w:ilvl w:val="0"/>
          <w:numId w:val="5"/>
        </w:numPr>
        <w:tabs>
          <w:tab w:val="clear" w:pos="1191"/>
          <w:tab w:val="right" w:pos="1418"/>
        </w:tabs>
        <w:rPr>
          <w:sz w:val="22"/>
          <w:szCs w:val="22"/>
        </w:rPr>
      </w:pPr>
      <w:r w:rsidRPr="004D0CC1">
        <w:rPr>
          <w:sz w:val="22"/>
          <w:szCs w:val="22"/>
        </w:rPr>
        <w:t>New Zealand;</w:t>
      </w:r>
    </w:p>
    <w:p w:rsidR="006552E8" w:rsidRDefault="006552E8" w:rsidP="004D0CC1">
      <w:pPr>
        <w:pStyle w:val="P1"/>
        <w:numPr>
          <w:ilvl w:val="0"/>
          <w:numId w:val="5"/>
        </w:numPr>
        <w:tabs>
          <w:tab w:val="clear" w:pos="1191"/>
          <w:tab w:val="right" w:pos="1418"/>
        </w:tabs>
        <w:rPr>
          <w:sz w:val="22"/>
          <w:szCs w:val="22"/>
        </w:rPr>
      </w:pPr>
      <w:r>
        <w:rPr>
          <w:sz w:val="22"/>
          <w:szCs w:val="22"/>
        </w:rPr>
        <w:t>Sweden;</w:t>
      </w:r>
    </w:p>
    <w:p w:rsidR="00A44301" w:rsidRPr="004D0CC1" w:rsidRDefault="00A44301" w:rsidP="004D0CC1">
      <w:pPr>
        <w:pStyle w:val="P1"/>
        <w:numPr>
          <w:ilvl w:val="0"/>
          <w:numId w:val="5"/>
        </w:numPr>
        <w:tabs>
          <w:tab w:val="clear" w:pos="1191"/>
          <w:tab w:val="right" w:pos="1418"/>
        </w:tabs>
        <w:rPr>
          <w:sz w:val="22"/>
          <w:szCs w:val="22"/>
        </w:rPr>
      </w:pPr>
      <w:r w:rsidRPr="004D0CC1">
        <w:rPr>
          <w:sz w:val="22"/>
          <w:szCs w:val="22"/>
        </w:rPr>
        <w:t>Switzerland;</w:t>
      </w:r>
    </w:p>
    <w:p w:rsidR="00BF2F99" w:rsidRDefault="00A44301" w:rsidP="004D0CC1">
      <w:pPr>
        <w:pStyle w:val="P1"/>
        <w:numPr>
          <w:ilvl w:val="0"/>
          <w:numId w:val="5"/>
        </w:numPr>
        <w:tabs>
          <w:tab w:val="clear" w:pos="1191"/>
          <w:tab w:val="right" w:pos="1418"/>
        </w:tabs>
        <w:rPr>
          <w:sz w:val="22"/>
          <w:szCs w:val="22"/>
        </w:rPr>
      </w:pPr>
      <w:r w:rsidRPr="004D0CC1">
        <w:rPr>
          <w:sz w:val="22"/>
          <w:szCs w:val="22"/>
        </w:rPr>
        <w:t>The Netherlands;</w:t>
      </w:r>
    </w:p>
    <w:p w:rsidR="00A44301" w:rsidRPr="004D0CC1" w:rsidRDefault="00A44301" w:rsidP="004D0CC1">
      <w:pPr>
        <w:pStyle w:val="P1"/>
        <w:numPr>
          <w:ilvl w:val="0"/>
          <w:numId w:val="5"/>
        </w:numPr>
        <w:tabs>
          <w:tab w:val="clear" w:pos="1191"/>
          <w:tab w:val="right" w:pos="1418"/>
        </w:tabs>
        <w:rPr>
          <w:sz w:val="22"/>
          <w:szCs w:val="22"/>
        </w:rPr>
      </w:pPr>
      <w:r w:rsidRPr="004D0CC1">
        <w:rPr>
          <w:sz w:val="22"/>
          <w:szCs w:val="22"/>
        </w:rPr>
        <w:t>United Kingdom; and</w:t>
      </w:r>
    </w:p>
    <w:p w:rsidR="00A44301" w:rsidRDefault="00A44301" w:rsidP="004D0CC1">
      <w:pPr>
        <w:pStyle w:val="P1"/>
        <w:numPr>
          <w:ilvl w:val="0"/>
          <w:numId w:val="5"/>
        </w:numPr>
        <w:tabs>
          <w:tab w:val="clear" w:pos="1191"/>
          <w:tab w:val="right" w:pos="1418"/>
        </w:tabs>
        <w:rPr>
          <w:sz w:val="22"/>
          <w:szCs w:val="22"/>
        </w:rPr>
      </w:pPr>
      <w:r w:rsidRPr="004D0CC1">
        <w:rPr>
          <w:sz w:val="22"/>
          <w:szCs w:val="22"/>
        </w:rPr>
        <w:t>United States of America.</w:t>
      </w:r>
    </w:p>
    <w:p w:rsidR="00D4578C" w:rsidRDefault="00D4578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14122" w:rsidRDefault="00714122" w:rsidP="00714122">
      <w:pPr>
        <w:pStyle w:val="AS"/>
      </w:pPr>
      <w:r>
        <w:t>Schedule 1</w:t>
      </w:r>
      <w:r>
        <w:tab/>
      </w:r>
      <w:r w:rsidR="00BD0276">
        <w:t>Repeal</w:t>
      </w:r>
    </w:p>
    <w:p w:rsidR="00714122" w:rsidRDefault="00714122" w:rsidP="00714122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</w:t>
      </w:r>
      <w:r w:rsidR="00BD0276">
        <w:t>4</w:t>
      </w:r>
      <w:r>
        <w:t>)</w:t>
      </w:r>
    </w:p>
    <w:p w:rsidR="00714122" w:rsidRPr="00714122" w:rsidRDefault="00714122" w:rsidP="00714122">
      <w:pPr>
        <w:pStyle w:val="Tabletext0"/>
      </w:pPr>
    </w:p>
    <w:tbl>
      <w:tblPr>
        <w:tblW w:w="8319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792"/>
        <w:gridCol w:w="2676"/>
      </w:tblGrid>
      <w:tr w:rsidR="00B1455A" w:rsidRPr="00714122" w:rsidTr="0068524F">
        <w:trPr>
          <w:cantSplit/>
          <w:tblHeader/>
        </w:trPr>
        <w:tc>
          <w:tcPr>
            <w:tcW w:w="8319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1455A" w:rsidRPr="00714122" w:rsidRDefault="00B1455A" w:rsidP="0068524F">
            <w:pPr>
              <w:keepNext/>
              <w:spacing w:before="60" w:line="240" w:lineRule="atLeast"/>
              <w:ind w:left="290" w:hanging="290"/>
              <w:rPr>
                <w:b/>
                <w:sz w:val="20"/>
                <w:szCs w:val="20"/>
                <w:lang w:eastAsia="en-US"/>
              </w:rPr>
            </w:pPr>
            <w:r w:rsidRPr="00714122">
              <w:rPr>
                <w:b/>
                <w:sz w:val="20"/>
                <w:szCs w:val="20"/>
                <w:lang w:eastAsia="en-US"/>
              </w:rPr>
              <w:t>Repeal of instruments</w:t>
            </w:r>
          </w:p>
        </w:tc>
      </w:tr>
      <w:tr w:rsidR="00B1455A" w:rsidRPr="00714122" w:rsidTr="0068524F">
        <w:trPr>
          <w:cantSplit/>
          <w:tblHeader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1455A" w:rsidRPr="00714122" w:rsidRDefault="00B1455A" w:rsidP="0068524F">
            <w:pPr>
              <w:keepNext/>
              <w:spacing w:before="60" w:line="240" w:lineRule="atLeast"/>
              <w:ind w:left="290" w:hanging="290"/>
              <w:rPr>
                <w:b/>
                <w:sz w:val="20"/>
                <w:szCs w:val="20"/>
                <w:lang w:eastAsia="en-US"/>
              </w:rPr>
            </w:pPr>
            <w:r w:rsidRPr="00714122">
              <w:rPr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479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1455A" w:rsidRPr="00714122" w:rsidRDefault="00B1455A" w:rsidP="0068524F">
            <w:pPr>
              <w:keepNext/>
              <w:spacing w:before="60" w:line="240" w:lineRule="atLeast"/>
              <w:ind w:left="290" w:hanging="290"/>
              <w:rPr>
                <w:b/>
                <w:sz w:val="20"/>
                <w:szCs w:val="20"/>
                <w:lang w:eastAsia="en-US"/>
              </w:rPr>
            </w:pPr>
            <w:r w:rsidRPr="00714122">
              <w:rPr>
                <w:b/>
                <w:sz w:val="20"/>
                <w:szCs w:val="20"/>
                <w:lang w:eastAsia="en-US"/>
              </w:rPr>
              <w:t xml:space="preserve">Instrument name and </w:t>
            </w:r>
            <w:r>
              <w:rPr>
                <w:b/>
                <w:sz w:val="20"/>
                <w:szCs w:val="20"/>
                <w:lang w:eastAsia="en-US"/>
              </w:rPr>
              <w:t>date of making</w:t>
            </w:r>
          </w:p>
        </w:tc>
        <w:tc>
          <w:tcPr>
            <w:tcW w:w="267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1455A" w:rsidRPr="00714122" w:rsidRDefault="00B1455A" w:rsidP="0068524F">
            <w:pPr>
              <w:keepNext/>
              <w:spacing w:before="60" w:line="240" w:lineRule="atLeast"/>
              <w:ind w:left="290" w:hanging="29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Register ID</w:t>
            </w:r>
          </w:p>
        </w:tc>
      </w:tr>
      <w:tr w:rsidR="00B1455A" w:rsidRPr="00BD0276" w:rsidTr="0068524F">
        <w:trPr>
          <w:cantSplit/>
        </w:trPr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55A" w:rsidRPr="00714122" w:rsidRDefault="00B1455A" w:rsidP="0068524F">
            <w:pPr>
              <w:spacing w:before="60" w:line="240" w:lineRule="atLeast"/>
              <w:ind w:left="290" w:hanging="290"/>
              <w:rPr>
                <w:sz w:val="20"/>
                <w:szCs w:val="22"/>
                <w:lang w:eastAsia="en-US"/>
              </w:rPr>
            </w:pPr>
            <w:r w:rsidRPr="00714122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47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55A" w:rsidRPr="00714122" w:rsidRDefault="00B1455A" w:rsidP="0068524F">
            <w:pPr>
              <w:spacing w:before="60" w:line="240" w:lineRule="atLeast"/>
              <w:rPr>
                <w:sz w:val="20"/>
                <w:szCs w:val="20"/>
                <w:lang w:eastAsia="en-US"/>
              </w:rPr>
            </w:pPr>
            <w:r w:rsidRPr="00714122">
              <w:rPr>
                <w:i/>
                <w:sz w:val="20"/>
                <w:szCs w:val="20"/>
                <w:lang w:eastAsia="en-US"/>
              </w:rPr>
              <w:t xml:space="preserve">Therapeutic Goods Act 1989 – </w:t>
            </w:r>
            <w:r w:rsidRPr="004D0CC1">
              <w:rPr>
                <w:sz w:val="20"/>
                <w:szCs w:val="20"/>
                <w:lang w:eastAsia="en-US"/>
              </w:rPr>
              <w:t>Determination under Subsection 19A(3)</w:t>
            </w:r>
            <w:r w:rsidRPr="0071412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</w:t>
            </w:r>
            <w:r w:rsidRPr="00714122">
              <w:rPr>
                <w:sz w:val="20"/>
                <w:szCs w:val="20"/>
                <w:lang w:eastAsia="en-US"/>
              </w:rPr>
              <w:t xml:space="preserve">made </w:t>
            </w:r>
            <w:r>
              <w:rPr>
                <w:sz w:val="20"/>
                <w:szCs w:val="20"/>
                <w:lang w:eastAsia="en-US"/>
              </w:rPr>
              <w:t xml:space="preserve">on </w:t>
            </w:r>
            <w:r w:rsidRPr="00714122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14122">
              <w:rPr>
                <w:sz w:val="20"/>
                <w:szCs w:val="20"/>
                <w:lang w:eastAsia="en-US"/>
              </w:rPr>
              <w:t>May 2004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55A" w:rsidRPr="00BD0276" w:rsidRDefault="00B1455A" w:rsidP="0068524F">
            <w:pPr>
              <w:spacing w:before="60" w:line="240" w:lineRule="atLeast"/>
              <w:ind w:left="290" w:hanging="290"/>
              <w:rPr>
                <w:bCs/>
                <w:sz w:val="20"/>
                <w:szCs w:val="20"/>
                <w:u w:val="single"/>
                <w:lang w:eastAsia="en-US"/>
              </w:rPr>
            </w:pPr>
            <w:r w:rsidRPr="004D0CC1">
              <w:rPr>
                <w:sz w:val="20"/>
                <w:szCs w:val="20"/>
              </w:rPr>
              <w:t>F2007B00588</w:t>
            </w:r>
          </w:p>
        </w:tc>
      </w:tr>
      <w:tr w:rsidR="00B1455A" w:rsidRPr="00714122" w:rsidTr="0068524F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55A" w:rsidRPr="00714122" w:rsidRDefault="00B1455A" w:rsidP="0068524F">
            <w:pPr>
              <w:spacing w:before="60" w:line="240" w:lineRule="atLeast"/>
              <w:ind w:left="290" w:hanging="290"/>
              <w:rPr>
                <w:sz w:val="20"/>
                <w:szCs w:val="22"/>
                <w:lang w:eastAsia="en-US"/>
              </w:rPr>
            </w:pPr>
            <w:r w:rsidRPr="00714122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55A" w:rsidRPr="00714122" w:rsidRDefault="00B1455A" w:rsidP="0068524F">
            <w:pPr>
              <w:spacing w:before="60" w:line="240" w:lineRule="atLeast"/>
              <w:ind w:left="34"/>
              <w:rPr>
                <w:i/>
                <w:sz w:val="20"/>
                <w:szCs w:val="20"/>
                <w:lang w:eastAsia="en-US"/>
              </w:rPr>
            </w:pPr>
            <w:r w:rsidRPr="00714122">
              <w:rPr>
                <w:i/>
                <w:sz w:val="20"/>
                <w:szCs w:val="20"/>
                <w:lang w:eastAsia="en-US"/>
              </w:rPr>
              <w:t xml:space="preserve">Therapeutic Goods Act 1989 – </w:t>
            </w:r>
            <w:r w:rsidRPr="004D0CC1">
              <w:rPr>
                <w:sz w:val="20"/>
                <w:szCs w:val="20"/>
                <w:lang w:eastAsia="en-US"/>
              </w:rPr>
              <w:t>Subsection 19A(3) Determination</w:t>
            </w:r>
            <w:r w:rsidRPr="00714122"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</w:t>
            </w:r>
            <w:r w:rsidRPr="004D0CC1">
              <w:rPr>
                <w:sz w:val="20"/>
                <w:szCs w:val="20"/>
                <w:lang w:eastAsia="en-US"/>
              </w:rPr>
              <w:t xml:space="preserve">made </w:t>
            </w:r>
            <w:r>
              <w:rPr>
                <w:sz w:val="20"/>
                <w:szCs w:val="20"/>
                <w:lang w:eastAsia="en-US"/>
              </w:rPr>
              <w:t xml:space="preserve">on </w:t>
            </w:r>
            <w:r w:rsidRPr="004D0CC1">
              <w:rPr>
                <w:sz w:val="20"/>
                <w:szCs w:val="20"/>
                <w:lang w:eastAsia="en-US"/>
              </w:rPr>
              <w:t>26 August 1997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55A" w:rsidRPr="00714122" w:rsidRDefault="00B1455A" w:rsidP="0068524F">
            <w:pPr>
              <w:spacing w:before="60" w:line="240" w:lineRule="atLeast"/>
              <w:ind w:left="290" w:hanging="290"/>
              <w:rPr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F2007B01106</w:t>
            </w:r>
          </w:p>
        </w:tc>
      </w:tr>
    </w:tbl>
    <w:p w:rsidR="00714122" w:rsidRDefault="00714122" w:rsidP="004D0CC1">
      <w:pPr>
        <w:pStyle w:val="P1"/>
        <w:tabs>
          <w:tab w:val="clear" w:pos="1191"/>
          <w:tab w:val="right" w:pos="1418"/>
        </w:tabs>
        <w:rPr>
          <w:sz w:val="22"/>
          <w:szCs w:val="22"/>
        </w:rPr>
      </w:pPr>
    </w:p>
    <w:p w:rsidR="00C512F5" w:rsidRDefault="00C512F5" w:rsidP="004D0CC1">
      <w:pPr>
        <w:pStyle w:val="R2"/>
        <w:pBdr>
          <w:top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C512F5" w:rsidRDefault="00C512F5" w:rsidP="00C512F5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All legislative instruments and compilations are registered on the Federal Register of Legis</w:t>
      </w:r>
      <w:r w:rsidR="00DC0A4F">
        <w:rPr>
          <w:color w:val="000000"/>
        </w:rPr>
        <w:t xml:space="preserve">lation </w:t>
      </w:r>
      <w:r>
        <w:rPr>
          <w:color w:val="000000"/>
        </w:rPr>
        <w:t xml:space="preserve">kept under the </w:t>
      </w:r>
      <w:r>
        <w:rPr>
          <w:i/>
          <w:color w:val="000000"/>
        </w:rPr>
        <w:t>Legislati</w:t>
      </w:r>
      <w:r w:rsidR="00DC0A4F">
        <w:rPr>
          <w:i/>
          <w:color w:val="000000"/>
        </w:rPr>
        <w:t xml:space="preserve">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http:</w:t>
      </w:r>
      <w:r w:rsidR="00D5615B">
        <w:rPr>
          <w:color w:val="000000"/>
          <w:u w:val="single"/>
        </w:rPr>
        <w:t>//</w:t>
      </w:r>
      <w:r w:rsidRPr="009145DA">
        <w:rPr>
          <w:color w:val="000000"/>
          <w:u w:val="single"/>
        </w:rPr>
        <w:t>w</w:t>
      </w:r>
      <w:r w:rsidRPr="00DA0A32">
        <w:rPr>
          <w:color w:val="000000"/>
          <w:u w:val="single"/>
        </w:rPr>
        <w:t>ww.</w:t>
      </w:r>
      <w:r w:rsidR="00DC0A4F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C512F5" w:rsidRDefault="00C512F5" w:rsidP="00C512F5">
      <w:pPr>
        <w:pStyle w:val="NotesSectionBreak"/>
        <w:sectPr w:rsidR="00C512F5" w:rsidSect="004D0CC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7" w:h="16839" w:code="9"/>
          <w:pgMar w:top="1440" w:right="1842" w:bottom="1985" w:left="1797" w:header="709" w:footer="850" w:gutter="0"/>
          <w:cols w:space="708"/>
          <w:docGrid w:linePitch="360"/>
        </w:sectPr>
      </w:pPr>
    </w:p>
    <w:p w:rsidR="004C3987" w:rsidRDefault="004C3987" w:rsidP="00B61908"/>
    <w:sectPr w:rsidR="004C3987" w:rsidSect="000347F9">
      <w:headerReference w:type="even" r:id="rId28"/>
      <w:headerReference w:type="default" r:id="rId29"/>
      <w:footerReference w:type="even" r:id="rId30"/>
      <w:footerReference w:type="default" r:id="rId31"/>
      <w:footerReference w:type="first" r:id="rId32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3D" w:rsidRDefault="0087313D">
      <w:r>
        <w:separator/>
      </w:r>
    </w:p>
  </w:endnote>
  <w:endnote w:type="continuationSeparator" w:id="0">
    <w:p w:rsidR="0087313D" w:rsidRDefault="0087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54" w:rsidRDefault="007F1754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F1754" w:rsidRPr="000E1CC4">
      <w:tc>
        <w:tcPr>
          <w:tcW w:w="1134" w:type="dxa"/>
        </w:tcPr>
        <w:p w:rsidR="007F1754" w:rsidRPr="000E1CC4" w:rsidRDefault="007F1754" w:rsidP="00C512F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Pr="000E1CC4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7F1754" w:rsidRPr="0056689B" w:rsidRDefault="007F1754" w:rsidP="00C512F5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2D5AF2" w:rsidRPr="002D5AF2">
            <w:rPr>
              <w:rFonts w:ascii="Times New Roman" w:hAnsi="Times New Roman"/>
              <w:i w:val="0"/>
              <w:sz w:val="24"/>
              <w:szCs w:val="24"/>
            </w:rPr>
            <w:t xml:space="preserve">Therapeutic Goods (Foreign Countries) Determination 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7F1754" w:rsidRPr="000E1CC4" w:rsidRDefault="007F1754" w:rsidP="00C512F5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7F1754" w:rsidRDefault="007F1754">
    <w:pPr>
      <w:pStyle w:val="FooterDraft"/>
      <w:ind w:right="360" w:firstLine="360"/>
    </w:pPr>
    <w:r>
      <w:t>DRAFT ONLY</w:t>
    </w:r>
  </w:p>
  <w:p w:rsidR="007F1754" w:rsidRDefault="002D5AF2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Therapeutic Goods (Foreign Countries) Determination 2016 - LI</w:t>
    </w:r>
    <w:r>
      <w:rPr>
        <w:noProof/>
      </w:rPr>
      <w:fldChar w:fldCharType="end"/>
    </w:r>
    <w:r w:rsidR="007F1754" w:rsidRPr="00974D8C">
      <w:t xml:space="preserve"> </w:t>
    </w:r>
    <w:r w:rsidR="007F1754">
      <w:fldChar w:fldCharType="begin"/>
    </w:r>
    <w:r w:rsidR="007F1754">
      <w:instrText xml:space="preserve"> DATE  \@ "D/MM/YYYY"  \* MERGEFORMAT </w:instrText>
    </w:r>
    <w:r w:rsidR="007F1754">
      <w:fldChar w:fldCharType="separate"/>
    </w:r>
    <w:r>
      <w:rPr>
        <w:noProof/>
      </w:rPr>
      <w:t>6/04/2016</w:t>
    </w:r>
    <w:r w:rsidR="007F1754">
      <w:fldChar w:fldCharType="end"/>
    </w:r>
    <w:r w:rsidR="007F1754">
      <w:t xml:space="preserve"> </w:t>
    </w:r>
    <w:r w:rsidR="007F1754">
      <w:fldChar w:fldCharType="begin"/>
    </w:r>
    <w:r w:rsidR="007F1754">
      <w:instrText xml:space="preserve"> TIME  \@ "h:mm am/pm"  \* MERGEFORMAT </w:instrText>
    </w:r>
    <w:r w:rsidR="007F1754">
      <w:fldChar w:fldCharType="separate"/>
    </w:r>
    <w:r>
      <w:rPr>
        <w:noProof/>
      </w:rPr>
      <w:t>1:23 PM</w:t>
    </w:r>
    <w:r w:rsidR="007F1754"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54" w:rsidRDefault="007F1754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F1754">
      <w:tc>
        <w:tcPr>
          <w:tcW w:w="1134" w:type="dxa"/>
        </w:tcPr>
        <w:p w:rsidR="007F1754" w:rsidRPr="003D7214" w:rsidRDefault="007F1754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7F1754" w:rsidRPr="004F5D6D" w:rsidRDefault="006A4C55" w:rsidP="00BD545A">
          <w:pPr>
            <w:pStyle w:val="Footer"/>
            <w:spacing w:before="20" w:line="240" w:lineRule="exact"/>
          </w:pPr>
          <w:fldSimple w:instr=" REF  Citation ">
            <w:r w:rsidR="002D5AF2">
              <w:t xml:space="preserve">Therapeutic Goods (Foreign Countries) Determination </w:t>
            </w:r>
          </w:fldSimple>
        </w:p>
      </w:tc>
      <w:tc>
        <w:tcPr>
          <w:tcW w:w="1134" w:type="dxa"/>
        </w:tcPr>
        <w:p w:rsidR="007F1754" w:rsidRPr="00451BF5" w:rsidRDefault="007F1754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7F1754" w:rsidRDefault="007F1754" w:rsidP="00BD545A">
    <w:pPr>
      <w:pStyle w:val="FooterDraft"/>
      <w:ind w:right="360" w:firstLine="360"/>
    </w:pPr>
    <w:r>
      <w:t>DRAFT ONLY</w:t>
    </w:r>
  </w:p>
  <w:p w:rsidR="007F1754" w:rsidRDefault="002D5AF2" w:rsidP="00BD545A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Therapeutic Goods (Foreign Countries) Determination 2016 - LI</w:t>
    </w:r>
    <w:r>
      <w:rPr>
        <w:noProof/>
      </w:rPr>
      <w:fldChar w:fldCharType="end"/>
    </w:r>
    <w:r w:rsidR="007F1754" w:rsidRPr="00974D8C">
      <w:t xml:space="preserve"> </w:t>
    </w:r>
    <w:r w:rsidR="007F1754">
      <w:fldChar w:fldCharType="begin"/>
    </w:r>
    <w:r w:rsidR="007F1754">
      <w:instrText xml:space="preserve"> DATE  \@ "D/MM/YYYY"  \* MERGEFORMAT </w:instrText>
    </w:r>
    <w:r w:rsidR="007F1754">
      <w:fldChar w:fldCharType="separate"/>
    </w:r>
    <w:r>
      <w:rPr>
        <w:noProof/>
      </w:rPr>
      <w:t>6/04/2016</w:t>
    </w:r>
    <w:r w:rsidR="007F1754">
      <w:fldChar w:fldCharType="end"/>
    </w:r>
    <w:r w:rsidR="007F1754">
      <w:t xml:space="preserve"> </w:t>
    </w:r>
    <w:r w:rsidR="007F1754">
      <w:fldChar w:fldCharType="begin"/>
    </w:r>
    <w:r w:rsidR="007F1754">
      <w:instrText xml:space="preserve"> TIME  \@ "h:mm am/pm"  \* MERGEFORMAT </w:instrText>
    </w:r>
    <w:r w:rsidR="007F1754">
      <w:fldChar w:fldCharType="separate"/>
    </w:r>
    <w:r>
      <w:rPr>
        <w:noProof/>
      </w:rPr>
      <w:t>1:23 PM</w:t>
    </w:r>
    <w:r w:rsidR="007F1754"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54" w:rsidRDefault="007F1754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F1754">
      <w:tc>
        <w:tcPr>
          <w:tcW w:w="1134" w:type="dxa"/>
        </w:tcPr>
        <w:p w:rsidR="007F1754" w:rsidRDefault="007F1754" w:rsidP="00BD545A">
          <w:pPr>
            <w:spacing w:line="240" w:lineRule="exact"/>
          </w:pPr>
        </w:p>
      </w:tc>
      <w:tc>
        <w:tcPr>
          <w:tcW w:w="6095" w:type="dxa"/>
        </w:tcPr>
        <w:p w:rsidR="007F1754" w:rsidRPr="004F5D6D" w:rsidRDefault="006A4C55" w:rsidP="00BD545A">
          <w:pPr>
            <w:pStyle w:val="FooterCitation"/>
          </w:pPr>
          <w:fldSimple w:instr=" REF  Citation ">
            <w:r w:rsidR="002D5AF2">
              <w:t xml:space="preserve">Therapeutic Goods (Foreign Countries) Determination </w:t>
            </w:r>
          </w:fldSimple>
        </w:p>
      </w:tc>
      <w:tc>
        <w:tcPr>
          <w:tcW w:w="1134" w:type="dxa"/>
        </w:tcPr>
        <w:p w:rsidR="007F1754" w:rsidRPr="003D7214" w:rsidRDefault="007F1754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7F1754" w:rsidRDefault="007F1754" w:rsidP="00BD545A">
    <w:pPr>
      <w:pStyle w:val="FooterDraft"/>
    </w:pPr>
    <w:r>
      <w:t>DRAFT ONLY</w:t>
    </w:r>
  </w:p>
  <w:p w:rsidR="007F1754" w:rsidRDefault="002D5AF2" w:rsidP="00BD545A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Therapeutic Goods (Foreign Countries) Determination 2016 - LI</w:t>
    </w:r>
    <w:r>
      <w:rPr>
        <w:noProof/>
      </w:rPr>
      <w:fldChar w:fldCharType="end"/>
    </w:r>
    <w:r w:rsidR="007F1754" w:rsidRPr="00974D8C">
      <w:t xml:space="preserve"> </w:t>
    </w:r>
    <w:r w:rsidR="007F1754">
      <w:fldChar w:fldCharType="begin"/>
    </w:r>
    <w:r w:rsidR="007F1754">
      <w:instrText xml:space="preserve"> DATE  \@ "D/MM/YYYY"  \* MERGEFORMAT </w:instrText>
    </w:r>
    <w:r w:rsidR="007F1754">
      <w:fldChar w:fldCharType="separate"/>
    </w:r>
    <w:r>
      <w:rPr>
        <w:noProof/>
      </w:rPr>
      <w:t>6/04/2016</w:t>
    </w:r>
    <w:r w:rsidR="007F1754">
      <w:fldChar w:fldCharType="end"/>
    </w:r>
    <w:r w:rsidR="007F1754">
      <w:t xml:space="preserve"> </w:t>
    </w:r>
    <w:r w:rsidR="007F1754">
      <w:fldChar w:fldCharType="begin"/>
    </w:r>
    <w:r w:rsidR="007F1754">
      <w:instrText xml:space="preserve"> TIME  \@ "h:mm am/pm"  \* MERGEFORMAT </w:instrText>
    </w:r>
    <w:r w:rsidR="007F1754">
      <w:fldChar w:fldCharType="separate"/>
    </w:r>
    <w:r>
      <w:rPr>
        <w:noProof/>
      </w:rPr>
      <w:t>1:23 PM</w:t>
    </w:r>
    <w:r w:rsidR="007F1754"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54" w:rsidRDefault="007F1754">
    <w:pPr>
      <w:pStyle w:val="FooterDraft"/>
    </w:pPr>
    <w:r>
      <w:t>DRAFT ONLY</w:t>
    </w:r>
  </w:p>
  <w:p w:rsidR="007F1754" w:rsidRPr="00974D8C" w:rsidRDefault="002D5AF2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Therapeutic Goods (Foreign Countries) Determination 2016 - LI</w:t>
    </w:r>
    <w:r>
      <w:rPr>
        <w:noProof/>
      </w:rPr>
      <w:fldChar w:fldCharType="end"/>
    </w:r>
    <w:r w:rsidR="007F1754" w:rsidRPr="00974D8C">
      <w:t xml:space="preserve"> </w:t>
    </w:r>
    <w:r w:rsidR="007F1754">
      <w:fldChar w:fldCharType="begin"/>
    </w:r>
    <w:r w:rsidR="007F1754">
      <w:instrText xml:space="preserve"> DATE  \@ "D/MM/YYYY"  \* MERGEFORMAT </w:instrText>
    </w:r>
    <w:r w:rsidR="007F1754">
      <w:fldChar w:fldCharType="separate"/>
    </w:r>
    <w:r>
      <w:rPr>
        <w:noProof/>
      </w:rPr>
      <w:t>6/04/2016</w:t>
    </w:r>
    <w:r w:rsidR="007F1754">
      <w:fldChar w:fldCharType="end"/>
    </w:r>
    <w:r w:rsidR="007F1754">
      <w:t xml:space="preserve"> </w:t>
    </w:r>
    <w:r w:rsidR="007F1754">
      <w:fldChar w:fldCharType="begin"/>
    </w:r>
    <w:r w:rsidR="007F1754">
      <w:instrText xml:space="preserve"> TIME  \@ "h:mm am/pm"  \* MERGEFORMAT </w:instrText>
    </w:r>
    <w:r w:rsidR="007F1754">
      <w:fldChar w:fldCharType="separate"/>
    </w:r>
    <w:r>
      <w:rPr>
        <w:noProof/>
      </w:rPr>
      <w:t>1:23 PM</w:t>
    </w:r>
    <w:r w:rsidR="007F175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54" w:rsidRDefault="007F1754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F1754" w:rsidRPr="000E1CC4">
      <w:tc>
        <w:tcPr>
          <w:tcW w:w="1134" w:type="dxa"/>
        </w:tcPr>
        <w:p w:rsidR="007F1754" w:rsidRPr="000E1CC4" w:rsidRDefault="007F1754" w:rsidP="00C512F5">
          <w:pPr>
            <w:spacing w:line="240" w:lineRule="exact"/>
          </w:pPr>
        </w:p>
      </w:tc>
      <w:tc>
        <w:tcPr>
          <w:tcW w:w="6095" w:type="dxa"/>
        </w:tcPr>
        <w:p w:rsidR="007F1754" w:rsidRPr="0056689B" w:rsidRDefault="007F1754" w:rsidP="00C512F5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2D5AF2">
            <w:t xml:space="preserve">Therapeutic Goods (Foreign Countries) Determination 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7F1754" w:rsidRPr="000E1CC4" w:rsidRDefault="007F1754" w:rsidP="00C512F5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Pr="000E1CC4">
            <w:rPr>
              <w:rStyle w:val="PageNumber"/>
              <w:rFonts w:cs="Arial"/>
              <w:noProof/>
              <w:szCs w:val="22"/>
            </w:rPr>
            <w:t>3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7F1754" w:rsidRDefault="007F1754">
    <w:pPr>
      <w:pStyle w:val="FooterDraft"/>
    </w:pPr>
    <w:r>
      <w:t>DRAFT ONLY</w:t>
    </w:r>
  </w:p>
  <w:p w:rsidR="007F1754" w:rsidRDefault="002D5AF2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Therapeutic Goods (Foreign Countries) Determination 2016 - LI</w:t>
    </w:r>
    <w:r>
      <w:rPr>
        <w:noProof/>
      </w:rPr>
      <w:fldChar w:fldCharType="end"/>
    </w:r>
    <w:r w:rsidR="007F1754" w:rsidRPr="00974D8C">
      <w:t xml:space="preserve"> </w:t>
    </w:r>
    <w:r w:rsidR="007F1754">
      <w:fldChar w:fldCharType="begin"/>
    </w:r>
    <w:r w:rsidR="007F1754">
      <w:instrText xml:space="preserve"> DATE  \@ "D/MM/YYYY"  \* MERGEFORMAT </w:instrText>
    </w:r>
    <w:r w:rsidR="007F1754">
      <w:fldChar w:fldCharType="separate"/>
    </w:r>
    <w:r>
      <w:rPr>
        <w:noProof/>
      </w:rPr>
      <w:t>6/04/2016</w:t>
    </w:r>
    <w:r w:rsidR="007F1754">
      <w:fldChar w:fldCharType="end"/>
    </w:r>
    <w:r w:rsidR="007F1754">
      <w:t xml:space="preserve"> </w:t>
    </w:r>
    <w:r w:rsidR="007F1754">
      <w:fldChar w:fldCharType="begin"/>
    </w:r>
    <w:r w:rsidR="007F1754">
      <w:instrText xml:space="preserve"> TIME  \@ "h:mm am/pm"  \* MERGEFORMAT </w:instrText>
    </w:r>
    <w:r w:rsidR="007F1754">
      <w:fldChar w:fldCharType="separate"/>
    </w:r>
    <w:r>
      <w:rPr>
        <w:noProof/>
      </w:rPr>
      <w:t>1:23 PM</w:t>
    </w:r>
    <w:r w:rsidR="007F175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54" w:rsidRPr="00974D8C" w:rsidRDefault="007F1754">
    <w:pPr>
      <w:pStyle w:val="FooterInf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64" w:type="dxa"/>
      <w:tblInd w:w="-60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5211"/>
      <w:gridCol w:w="2019"/>
    </w:tblGrid>
    <w:tr w:rsidR="00A44301" w:rsidRPr="002E3579" w:rsidTr="004D0CC1">
      <w:tc>
        <w:tcPr>
          <w:tcW w:w="1134" w:type="dxa"/>
          <w:shd w:val="clear" w:color="auto" w:fill="auto"/>
        </w:tcPr>
        <w:p w:rsidR="00A44301" w:rsidRPr="004D0CC1" w:rsidRDefault="00A44301" w:rsidP="004D0CC1">
          <w:pPr>
            <w:pStyle w:val="Footer"/>
            <w:tabs>
              <w:tab w:val="clear" w:pos="3600"/>
              <w:tab w:val="center" w:pos="3861"/>
            </w:tabs>
            <w:spacing w:before="60"/>
            <w:rPr>
              <w:rStyle w:val="PageNumber"/>
              <w:rFonts w:cs="Arial"/>
              <w:sz w:val="18"/>
            </w:rPr>
          </w:pPr>
        </w:p>
        <w:p w:rsidR="00F7078D" w:rsidRPr="004D0CC1" w:rsidRDefault="00F7078D" w:rsidP="00492FC7">
          <w:pPr>
            <w:pStyle w:val="Footer"/>
            <w:spacing w:before="20"/>
            <w:rPr>
              <w:rStyle w:val="PageNumber"/>
              <w:rFonts w:cs="Arial"/>
            </w:rPr>
          </w:pPr>
        </w:p>
      </w:tc>
      <w:tc>
        <w:tcPr>
          <w:tcW w:w="5211" w:type="dxa"/>
          <w:shd w:val="clear" w:color="auto" w:fill="auto"/>
        </w:tcPr>
        <w:p w:rsidR="00A44301" w:rsidRPr="004D0CC1" w:rsidRDefault="00F7078D" w:rsidP="004D0CC1">
          <w:pPr>
            <w:pStyle w:val="Footer"/>
            <w:spacing w:before="60"/>
            <w:rPr>
              <w:rFonts w:cs="Arial"/>
            </w:rPr>
          </w:pPr>
          <w:r w:rsidRPr="004D0CC1">
            <w:rPr>
              <w:rFonts w:cs="Arial"/>
            </w:rPr>
            <w:t>Therapeutic Goods (Foreign Countries) Determination 2016</w:t>
          </w:r>
        </w:p>
      </w:tc>
      <w:tc>
        <w:tcPr>
          <w:tcW w:w="2019" w:type="dxa"/>
          <w:shd w:val="clear" w:color="auto" w:fill="auto"/>
        </w:tcPr>
        <w:p w:rsidR="00A44301" w:rsidRPr="004D0CC1" w:rsidRDefault="00D27185" w:rsidP="004D0CC1">
          <w:pPr>
            <w:pStyle w:val="Footer"/>
            <w:spacing w:before="60" w:line="276" w:lineRule="auto"/>
            <w:jc w:val="right"/>
            <w:rPr>
              <w:rFonts w:cs="Arial"/>
              <w:i w:val="0"/>
            </w:rPr>
          </w:pPr>
          <w:r>
            <w:rPr>
              <w:rFonts w:cs="Arial"/>
              <w:i w:val="0"/>
            </w:rPr>
            <w:t>2</w:t>
          </w:r>
        </w:p>
      </w:tc>
    </w:tr>
  </w:tbl>
  <w:p w:rsidR="00A44301" w:rsidRDefault="00A443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01" w:rsidRPr="00A41806" w:rsidRDefault="00A44301" w:rsidP="00492FC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A44301" w:rsidRPr="00A41806">
      <w:tc>
        <w:tcPr>
          <w:tcW w:w="1191" w:type="dxa"/>
          <w:shd w:val="clear" w:color="auto" w:fill="auto"/>
        </w:tcPr>
        <w:p w:rsidR="00A44301" w:rsidRPr="00A41806" w:rsidRDefault="006A4C55" w:rsidP="00492FC7">
          <w:pPr>
            <w:pStyle w:val="Footer"/>
            <w:spacing w:before="20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proofErr w:type="gramStart"/>
          <w:r w:rsidR="002D5AF2" w:rsidRPr="002D5AF2">
            <w:t xml:space="preserve">Dated </w:t>
          </w:r>
          <w:proofErr w:type="gramEnd"/>
          <w:r>
            <w:fldChar w:fldCharType="end"/>
          </w:r>
          <w:r w:rsidR="00A44301" w:rsidRPr="00A41806">
            <w:t xml:space="preserve">, </w:t>
          </w:r>
          <w:r w:rsidR="00A44301">
            <w:fldChar w:fldCharType="begin"/>
          </w:r>
          <w:r w:rsidR="00A44301">
            <w:instrText xml:space="preserve"> REF refno \*Charformat </w:instrText>
          </w:r>
          <w:r w:rsidR="00A44301">
            <w:fldChar w:fldCharType="separate"/>
          </w:r>
          <w:r w:rsidR="002D5AF2">
            <w:rPr>
              <w:b/>
              <w:bCs/>
              <w:lang w:val="en-US"/>
            </w:rPr>
            <w:t>Error! Reference source not found.</w:t>
          </w:r>
          <w:r w:rsidR="00A44301">
            <w:fldChar w:fldCharType="end"/>
          </w:r>
        </w:p>
      </w:tc>
      <w:tc>
        <w:tcPr>
          <w:tcW w:w="4820" w:type="dxa"/>
          <w:shd w:val="clear" w:color="auto" w:fill="auto"/>
        </w:tcPr>
        <w:p w:rsidR="00A44301" w:rsidRPr="00EF2F9D" w:rsidRDefault="006A4C55" w:rsidP="00492FC7">
          <w:pPr>
            <w:pStyle w:val="FooterCitation"/>
          </w:pPr>
          <w:fldSimple w:instr=" REF  Citation\*charformat ">
            <w:r w:rsidR="002D5AF2">
              <w:t xml:space="preserve">Therapeutic Goods (Foreign Countries) Determination </w:t>
            </w:r>
          </w:fldSimple>
        </w:p>
      </w:tc>
      <w:tc>
        <w:tcPr>
          <w:tcW w:w="1134" w:type="dxa"/>
          <w:shd w:val="clear" w:color="auto" w:fill="auto"/>
        </w:tcPr>
        <w:p w:rsidR="00A44301" w:rsidRPr="00845B98" w:rsidRDefault="00A44301" w:rsidP="00492FC7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A44301" w:rsidRPr="00A41806" w:rsidRDefault="00A44301" w:rsidP="00492F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F82341" wp14:editId="106D6768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3175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301" w:rsidRPr="004675CE" w:rsidRDefault="00A44301" w:rsidP="00492FC7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:rsidR="00A44301" w:rsidRPr="004675CE" w:rsidRDefault="00A44301" w:rsidP="00492FC7">
                          <w:pPr>
                            <w:pStyle w:val="FooterInfo"/>
                          </w:pPr>
                          <w:r w:rsidRPr="004675CE">
                            <w:fldChar w:fldCharType="begin"/>
                          </w:r>
                          <w:r>
                            <w:instrText xml:space="preserve"> FILENAME 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2D5AF2">
                            <w:rPr>
                              <w:noProof/>
                            </w:rPr>
                            <w:t>Therapeutic Goods (Foreign Countries) Determination 2016 - LI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2D5AF2">
                            <w:rPr>
                              <w:noProof/>
                            </w:rPr>
                            <w:t>6/04/2016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instrText xml:space="preserve"> TIME  \@ "h:mm am/pm" \* charformat </w:instrText>
                          </w:r>
                          <w:r>
                            <w:fldChar w:fldCharType="separate"/>
                          </w:r>
                          <w:r w:rsidR="002D5AF2">
                            <w:rPr>
                              <w:noProof/>
                            </w:rPr>
                            <w:t>1:23 PM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2pt;margin-top:784.75pt;width:349.5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qDrgIAAKs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" filled="f" stroked="f">
              <v:textbox inset="0,0,0,0">
                <w:txbxContent>
                  <w:p w:rsidR="00A44301" w:rsidRPr="004675CE" w:rsidRDefault="00A44301" w:rsidP="00492FC7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:rsidR="00A44301" w:rsidRPr="004675CE" w:rsidRDefault="00A44301" w:rsidP="00492FC7">
                    <w:pPr>
                      <w:pStyle w:val="FooterInfo"/>
                    </w:pPr>
                    <w:r w:rsidRPr="004675CE">
                      <w:fldChar w:fldCharType="begin"/>
                    </w:r>
                    <w:r>
                      <w:instrText xml:space="preserve"> FILENAME 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2D5AF2">
                      <w:rPr>
                        <w:noProof/>
                      </w:rPr>
                      <w:t>Therapeutic Goods (Foreign Countries) Determination 2016 - LI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2D5AF2">
                      <w:rPr>
                        <w:noProof/>
                      </w:rPr>
                      <w:t>6/04/2016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>
                      <w:fldChar w:fldCharType="begin"/>
                    </w:r>
                    <w:r>
                      <w:instrText xml:space="preserve"> TIME  \@ "h:mm am/pm" \* charformat </w:instrText>
                    </w:r>
                    <w:r>
                      <w:fldChar w:fldCharType="separate"/>
                    </w:r>
                    <w:r w:rsidR="002D5AF2">
                      <w:rPr>
                        <w:noProof/>
                      </w:rPr>
                      <w:t>1:23 PM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01" w:rsidRPr="00556EB9" w:rsidRDefault="006A4C55" w:rsidP="00492FC7">
    <w:pPr>
      <w:pStyle w:val="FooterCitation"/>
    </w:pPr>
    <w:fldSimple w:instr=" filename \p \*charformat ">
      <w:r w:rsidR="002D5AF2">
        <w:rPr>
          <w:noProof/>
        </w:rPr>
        <w:t>C:\Users\carteb\Desktop\Therapeutic Goods (Foreign Countries) Determination 2016 - LI.docx</w:t>
      </w:r>
    </w:fldSimple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54" w:rsidRDefault="007F1754" w:rsidP="00C512F5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75AC7">
      <w:tc>
        <w:tcPr>
          <w:tcW w:w="1134" w:type="dxa"/>
          <w:shd w:val="clear" w:color="auto" w:fill="auto"/>
        </w:tcPr>
        <w:p w:rsidR="00D75AC7" w:rsidRPr="003D7214" w:rsidRDefault="00D75AC7" w:rsidP="00C512F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6095" w:type="dxa"/>
          <w:shd w:val="clear" w:color="auto" w:fill="auto"/>
        </w:tcPr>
        <w:p w:rsidR="00D75AC7" w:rsidRPr="003B27F5" w:rsidRDefault="00D75AC7" w:rsidP="003B27F5">
          <w:pPr>
            <w:pStyle w:val="Footer"/>
            <w:tabs>
              <w:tab w:val="center" w:pos="1140"/>
              <w:tab w:val="right" w:pos="5960"/>
            </w:tabs>
            <w:spacing w:before="60"/>
            <w:rPr>
              <w:rFonts w:cs="Arial"/>
            </w:rPr>
          </w:pPr>
          <w:r w:rsidRPr="003B27F5">
            <w:rPr>
              <w:rFonts w:cs="Arial"/>
            </w:rPr>
            <w:t>Therapeutic Goods (Foreign Countries) Determination 2016</w:t>
          </w:r>
        </w:p>
        <w:p w:rsidR="00D75AC7" w:rsidRPr="004F5D6D" w:rsidRDefault="00D75AC7" w:rsidP="00C512F5">
          <w:pPr>
            <w:pStyle w:val="FooterCitation"/>
          </w:pPr>
        </w:p>
      </w:tc>
      <w:tc>
        <w:tcPr>
          <w:tcW w:w="1134" w:type="dxa"/>
          <w:shd w:val="clear" w:color="auto" w:fill="auto"/>
        </w:tcPr>
        <w:p w:rsidR="00D75AC7" w:rsidRPr="00451BF5" w:rsidRDefault="00D75AC7" w:rsidP="00C512F5">
          <w:pPr>
            <w:spacing w:line="240" w:lineRule="exact"/>
            <w:jc w:val="right"/>
            <w:rPr>
              <w:rStyle w:val="PageNumber"/>
            </w:rPr>
          </w:pPr>
          <w:r w:rsidRPr="003B27F5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3B27F5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3B27F5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2D5AF2">
            <w:rPr>
              <w:rStyle w:val="PageNumber"/>
              <w:rFonts w:cs="Arial"/>
              <w:noProof/>
              <w:sz w:val="18"/>
              <w:szCs w:val="18"/>
            </w:rPr>
            <w:t>4</w:t>
          </w:r>
          <w:r w:rsidRPr="003B27F5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7F1754" w:rsidRPr="0055794B" w:rsidRDefault="007F1754" w:rsidP="00C512F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243"/>
    </w:tblGrid>
    <w:tr w:rsidR="007F1754" w:rsidRPr="00D27185" w:rsidTr="004D0CC1">
      <w:tc>
        <w:tcPr>
          <w:tcW w:w="1134" w:type="dxa"/>
          <w:shd w:val="clear" w:color="auto" w:fill="auto"/>
        </w:tcPr>
        <w:p w:rsidR="007F1754" w:rsidRDefault="007F1754" w:rsidP="00C512F5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C0A4F" w:rsidRPr="004D0CC1" w:rsidRDefault="00DC0A4F" w:rsidP="004D0CC1">
          <w:pPr>
            <w:pStyle w:val="Footer"/>
            <w:tabs>
              <w:tab w:val="center" w:pos="1140"/>
              <w:tab w:val="right" w:pos="5960"/>
            </w:tabs>
            <w:spacing w:before="60"/>
            <w:rPr>
              <w:rFonts w:cs="Arial"/>
            </w:rPr>
          </w:pPr>
          <w:r w:rsidRPr="004D0CC1">
            <w:rPr>
              <w:rFonts w:cs="Arial"/>
            </w:rPr>
            <w:t>Therapeutic Goods (Foreign Countries) Determination 2016</w:t>
          </w:r>
        </w:p>
        <w:p w:rsidR="007F1754" w:rsidRPr="004D0CC1" w:rsidRDefault="007F1754" w:rsidP="004D0CC1">
          <w:pPr>
            <w:pStyle w:val="FooterCitation"/>
            <w:spacing w:before="60"/>
            <w:rPr>
              <w:rFonts w:cs="Arial"/>
              <w:szCs w:val="18"/>
            </w:rPr>
          </w:pPr>
        </w:p>
      </w:tc>
      <w:tc>
        <w:tcPr>
          <w:tcW w:w="1243" w:type="dxa"/>
          <w:shd w:val="clear" w:color="auto" w:fill="auto"/>
        </w:tcPr>
        <w:p w:rsidR="007F1754" w:rsidRPr="004D0CC1" w:rsidRDefault="007F1754" w:rsidP="004D0CC1">
          <w:pPr>
            <w:spacing w:before="20" w:line="240" w:lineRule="exact"/>
            <w:jc w:val="right"/>
            <w:rPr>
              <w:rStyle w:val="PageNumber"/>
              <w:rFonts w:cs="Arial"/>
              <w:sz w:val="18"/>
              <w:szCs w:val="18"/>
            </w:rPr>
          </w:pPr>
          <w:r w:rsidRPr="004D0CC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4D0CC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4D0CC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2D5AF2">
            <w:rPr>
              <w:rStyle w:val="PageNumber"/>
              <w:rFonts w:cs="Arial"/>
              <w:noProof/>
              <w:sz w:val="18"/>
              <w:szCs w:val="18"/>
            </w:rPr>
            <w:t>3</w:t>
          </w:r>
          <w:r w:rsidRPr="004D0CC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7F1754" w:rsidRPr="00C83A6D" w:rsidRDefault="007F1754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54" w:rsidRPr="00556EB9" w:rsidRDefault="007F1754" w:rsidP="00C512F5">
    <w:pPr>
      <w:pStyle w:val="FooterCitatio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3D" w:rsidRDefault="0087313D">
      <w:r>
        <w:separator/>
      </w:r>
    </w:p>
  </w:footnote>
  <w:footnote w:type="continuationSeparator" w:id="0">
    <w:p w:rsidR="0087313D" w:rsidRDefault="0087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7F1754" w:rsidRPr="000E1CC4">
      <w:tc>
        <w:tcPr>
          <w:tcW w:w="8385" w:type="dxa"/>
        </w:tcPr>
        <w:p w:rsidR="007F1754" w:rsidRPr="000E1CC4" w:rsidRDefault="007F1754" w:rsidP="00C512F5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7F1754" w:rsidRPr="000E1CC4">
      <w:tc>
        <w:tcPr>
          <w:tcW w:w="8385" w:type="dxa"/>
        </w:tcPr>
        <w:p w:rsidR="007F1754" w:rsidRPr="000E1CC4" w:rsidRDefault="007F1754" w:rsidP="00C512F5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7F1754" w:rsidRPr="000E1CC4">
      <w:tc>
        <w:tcPr>
          <w:tcW w:w="8385" w:type="dxa"/>
        </w:tcPr>
        <w:p w:rsidR="007F1754" w:rsidRPr="0056689B" w:rsidRDefault="007F1754" w:rsidP="00C512F5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7F1754" w:rsidRDefault="007F1754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7F1754">
      <w:tc>
        <w:tcPr>
          <w:tcW w:w="6914" w:type="dxa"/>
        </w:tcPr>
        <w:p w:rsidR="007F1754" w:rsidRDefault="007F1754" w:rsidP="00BD545A">
          <w:pPr>
            <w:pStyle w:val="HeaderLiteOdd"/>
          </w:pPr>
        </w:p>
      </w:tc>
      <w:tc>
        <w:tcPr>
          <w:tcW w:w="1471" w:type="dxa"/>
        </w:tcPr>
        <w:p w:rsidR="007F1754" w:rsidRDefault="007F1754" w:rsidP="00BD545A">
          <w:pPr>
            <w:pStyle w:val="HeaderLiteOdd"/>
          </w:pPr>
        </w:p>
      </w:tc>
    </w:tr>
    <w:tr w:rsidR="007F1754">
      <w:tc>
        <w:tcPr>
          <w:tcW w:w="6914" w:type="dxa"/>
        </w:tcPr>
        <w:p w:rsidR="007F1754" w:rsidRDefault="007F1754" w:rsidP="00BD545A">
          <w:pPr>
            <w:pStyle w:val="HeaderLiteOdd"/>
          </w:pPr>
        </w:p>
      </w:tc>
      <w:tc>
        <w:tcPr>
          <w:tcW w:w="1471" w:type="dxa"/>
        </w:tcPr>
        <w:p w:rsidR="007F1754" w:rsidRDefault="007F1754" w:rsidP="00BD545A">
          <w:pPr>
            <w:pStyle w:val="HeaderLiteOdd"/>
          </w:pPr>
        </w:p>
      </w:tc>
    </w:tr>
    <w:tr w:rsidR="007F1754">
      <w:tc>
        <w:tcPr>
          <w:tcW w:w="8385" w:type="dxa"/>
          <w:gridSpan w:val="2"/>
          <w:tcBorders>
            <w:bottom w:val="single" w:sz="4" w:space="0" w:color="auto"/>
          </w:tcBorders>
        </w:tcPr>
        <w:p w:rsidR="007F1754" w:rsidRDefault="007F1754" w:rsidP="00BD545A">
          <w:pPr>
            <w:pStyle w:val="HeaderBoldOdd"/>
          </w:pPr>
        </w:p>
      </w:tc>
    </w:tr>
  </w:tbl>
  <w:p w:rsidR="007F1754" w:rsidRDefault="007F1754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7F1754" w:rsidRPr="000E1CC4">
      <w:tc>
        <w:tcPr>
          <w:tcW w:w="8385" w:type="dxa"/>
        </w:tcPr>
        <w:p w:rsidR="007F1754" w:rsidRPr="000E1CC4" w:rsidRDefault="007F1754"/>
      </w:tc>
    </w:tr>
    <w:tr w:rsidR="007F1754" w:rsidRPr="000E1CC4">
      <w:tc>
        <w:tcPr>
          <w:tcW w:w="8385" w:type="dxa"/>
        </w:tcPr>
        <w:p w:rsidR="007F1754" w:rsidRPr="000E1CC4" w:rsidRDefault="007F1754"/>
      </w:tc>
    </w:tr>
    <w:tr w:rsidR="007F1754" w:rsidRPr="000E1CC4">
      <w:tc>
        <w:tcPr>
          <w:tcW w:w="8385" w:type="dxa"/>
        </w:tcPr>
        <w:p w:rsidR="007F1754" w:rsidRPr="000E1CC4" w:rsidRDefault="007F1754"/>
      </w:tc>
    </w:tr>
  </w:tbl>
  <w:p w:rsidR="007F1754" w:rsidRDefault="007F17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22" w:type="dxa"/>
      <w:tblInd w:w="-458" w:type="dxa"/>
      <w:tblLook w:val="01E0" w:firstRow="1" w:lastRow="1" w:firstColumn="1" w:lastColumn="1" w:noHBand="0" w:noVBand="0"/>
    </w:tblPr>
    <w:tblGrid>
      <w:gridCol w:w="1838"/>
      <w:gridCol w:w="6384"/>
    </w:tblGrid>
    <w:tr w:rsidR="00A44301" w:rsidTr="004D0CC1">
      <w:tc>
        <w:tcPr>
          <w:tcW w:w="1838" w:type="dxa"/>
        </w:tcPr>
        <w:p w:rsidR="00A44301" w:rsidRDefault="00A44301">
          <w:pPr>
            <w:pStyle w:val="HeaderLiteEven"/>
          </w:pPr>
        </w:p>
      </w:tc>
      <w:tc>
        <w:tcPr>
          <w:tcW w:w="6384" w:type="dxa"/>
          <w:vAlign w:val="bottom"/>
        </w:tcPr>
        <w:p w:rsidR="00A44301" w:rsidRDefault="00A44301">
          <w:pPr>
            <w:pStyle w:val="HeaderLiteEven"/>
          </w:pPr>
        </w:p>
      </w:tc>
    </w:tr>
    <w:tr w:rsidR="00A44301" w:rsidTr="004D0CC1">
      <w:tc>
        <w:tcPr>
          <w:tcW w:w="1838" w:type="dxa"/>
        </w:tcPr>
        <w:p w:rsidR="00A44301" w:rsidRDefault="00A44301">
          <w:pPr>
            <w:pStyle w:val="HeaderLiteEven"/>
          </w:pPr>
        </w:p>
      </w:tc>
      <w:tc>
        <w:tcPr>
          <w:tcW w:w="6384" w:type="dxa"/>
          <w:vAlign w:val="bottom"/>
        </w:tcPr>
        <w:p w:rsidR="00A44301" w:rsidRDefault="00A44301">
          <w:pPr>
            <w:pStyle w:val="HeaderLiteEven"/>
          </w:pPr>
        </w:p>
      </w:tc>
    </w:tr>
    <w:tr w:rsidR="00F71923" w:rsidTr="004D0CC1">
      <w:tc>
        <w:tcPr>
          <w:tcW w:w="8222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71923" w:rsidRPr="004D0CC1" w:rsidRDefault="00D4578C" w:rsidP="004D0CC1">
          <w:pPr>
            <w:pStyle w:val="HeaderBoldOdd"/>
            <w:rPr>
              <w:rFonts w:ascii="Times New Roman" w:hAnsi="Times New Roman"/>
              <w:b w:val="0"/>
              <w:sz w:val="22"/>
              <w:szCs w:val="22"/>
            </w:rPr>
          </w:pPr>
          <w:r>
            <w:rPr>
              <w:rFonts w:ascii="Times New Roman" w:hAnsi="Times New Roman"/>
              <w:b w:val="0"/>
              <w:sz w:val="22"/>
              <w:szCs w:val="22"/>
            </w:rPr>
            <w:t>Section 1</w:t>
          </w:r>
        </w:p>
      </w:tc>
    </w:tr>
  </w:tbl>
  <w:p w:rsidR="00A44301" w:rsidRDefault="00A4430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636"/>
      <w:gridCol w:w="1531"/>
    </w:tblGrid>
    <w:tr w:rsidR="00A44301">
      <w:tc>
        <w:tcPr>
          <w:tcW w:w="5636" w:type="dxa"/>
          <w:vAlign w:val="bottom"/>
        </w:tcPr>
        <w:p w:rsidR="00A44301" w:rsidRDefault="00A44301">
          <w:pPr>
            <w:pStyle w:val="HeaderLiteOdd"/>
          </w:pPr>
        </w:p>
      </w:tc>
      <w:tc>
        <w:tcPr>
          <w:tcW w:w="1531" w:type="dxa"/>
        </w:tcPr>
        <w:p w:rsidR="00A44301" w:rsidRDefault="00A44301">
          <w:pPr>
            <w:pStyle w:val="HeaderLiteOdd"/>
          </w:pPr>
        </w:p>
      </w:tc>
    </w:tr>
    <w:tr w:rsidR="00A44301">
      <w:tc>
        <w:tcPr>
          <w:tcW w:w="5636" w:type="dxa"/>
          <w:vAlign w:val="bottom"/>
        </w:tcPr>
        <w:p w:rsidR="00A44301" w:rsidRDefault="00A44301">
          <w:pPr>
            <w:pStyle w:val="HeaderLiteOdd"/>
          </w:pPr>
        </w:p>
      </w:tc>
      <w:tc>
        <w:tcPr>
          <w:tcW w:w="1531" w:type="dxa"/>
        </w:tcPr>
        <w:p w:rsidR="00A44301" w:rsidRDefault="00A44301">
          <w:pPr>
            <w:pStyle w:val="HeaderLiteOdd"/>
          </w:pPr>
        </w:p>
      </w:tc>
    </w:tr>
    <w:tr w:rsidR="00A44301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44301" w:rsidRDefault="00A44301">
          <w:pPr>
            <w:pStyle w:val="HeaderBoldOdd"/>
          </w:pPr>
        </w:p>
      </w:tc>
    </w:tr>
  </w:tbl>
  <w:p w:rsidR="00A44301" w:rsidRDefault="00A4430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01" w:rsidRDefault="00A443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26" w:type="dxa"/>
      <w:tblLayout w:type="fixed"/>
      <w:tblLook w:val="01E0" w:firstRow="1" w:lastRow="1" w:firstColumn="1" w:lastColumn="1" w:noHBand="0" w:noVBand="0"/>
    </w:tblPr>
    <w:tblGrid>
      <w:gridCol w:w="8426"/>
    </w:tblGrid>
    <w:tr w:rsidR="007F1754" w:rsidRPr="00375ADF" w:rsidTr="004D0CC1">
      <w:tc>
        <w:tcPr>
          <w:tcW w:w="8426" w:type="dxa"/>
        </w:tcPr>
        <w:p w:rsidR="007F1754" w:rsidRPr="00375ADF" w:rsidRDefault="007F1754">
          <w:pPr>
            <w:pStyle w:val="HeaderLiteEven"/>
          </w:pPr>
          <w:r>
            <w:t>Note</w:t>
          </w:r>
        </w:p>
      </w:tc>
    </w:tr>
    <w:tr w:rsidR="007F1754" w:rsidTr="004D0CC1">
      <w:tc>
        <w:tcPr>
          <w:tcW w:w="8426" w:type="dxa"/>
        </w:tcPr>
        <w:p w:rsidR="007F1754" w:rsidRDefault="007F1754">
          <w:pPr>
            <w:pStyle w:val="HeaderLiteEven"/>
          </w:pPr>
        </w:p>
      </w:tc>
    </w:tr>
    <w:tr w:rsidR="007F1754" w:rsidTr="004D0CC1">
      <w:tc>
        <w:tcPr>
          <w:tcW w:w="8426" w:type="dxa"/>
          <w:tcBorders>
            <w:bottom w:val="single" w:sz="4" w:space="0" w:color="auto"/>
          </w:tcBorders>
          <w:shd w:val="clear" w:color="auto" w:fill="auto"/>
        </w:tcPr>
        <w:p w:rsidR="007F1754" w:rsidRPr="004D0CC1" w:rsidRDefault="00D4578C" w:rsidP="004D0CC1">
          <w:pPr>
            <w:pStyle w:val="HeaderBoldEven"/>
            <w:jc w:val="right"/>
            <w:rPr>
              <w:b w:val="0"/>
            </w:rPr>
          </w:pPr>
          <w:r w:rsidRPr="004D0CC1">
            <w:rPr>
              <w:b w:val="0"/>
            </w:rPr>
            <w:t>Schedule 1</w:t>
          </w:r>
        </w:p>
      </w:tc>
    </w:tr>
  </w:tbl>
  <w:p w:rsidR="007F1754" w:rsidRDefault="007F175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72" w:type="dxa"/>
      <w:tblLayout w:type="fixed"/>
      <w:tblLook w:val="01E0" w:firstRow="1" w:lastRow="1" w:firstColumn="1" w:lastColumn="1" w:noHBand="0" w:noVBand="0"/>
    </w:tblPr>
    <w:tblGrid>
      <w:gridCol w:w="8472"/>
    </w:tblGrid>
    <w:tr w:rsidR="007F1754" w:rsidRPr="00375ADF" w:rsidTr="004D0CC1">
      <w:tc>
        <w:tcPr>
          <w:tcW w:w="8472" w:type="dxa"/>
        </w:tcPr>
        <w:p w:rsidR="007F1754" w:rsidRPr="00375ADF" w:rsidRDefault="007F1754">
          <w:pPr>
            <w:pStyle w:val="HeaderLiteOdd"/>
          </w:pPr>
        </w:p>
      </w:tc>
    </w:tr>
    <w:tr w:rsidR="007F1754" w:rsidTr="004D0CC1">
      <w:tc>
        <w:tcPr>
          <w:tcW w:w="8472" w:type="dxa"/>
        </w:tcPr>
        <w:p w:rsidR="007F1754" w:rsidRDefault="007F1754">
          <w:pPr>
            <w:pStyle w:val="HeaderLiteOdd"/>
          </w:pPr>
        </w:p>
      </w:tc>
    </w:tr>
    <w:tr w:rsidR="007F1754" w:rsidTr="004D0CC1">
      <w:tc>
        <w:tcPr>
          <w:tcW w:w="8472" w:type="dxa"/>
          <w:tcBorders>
            <w:bottom w:val="single" w:sz="4" w:space="0" w:color="auto"/>
          </w:tcBorders>
          <w:shd w:val="clear" w:color="auto" w:fill="auto"/>
        </w:tcPr>
        <w:p w:rsidR="007F1754" w:rsidRPr="004D0CC1" w:rsidRDefault="00F71923" w:rsidP="004D0CC1">
          <w:pPr>
            <w:pStyle w:val="HeaderBoldOdd"/>
            <w:tabs>
              <w:tab w:val="left" w:pos="8505"/>
            </w:tabs>
            <w:rPr>
              <w:rFonts w:ascii="Times New Roman" w:hAnsi="Times New Roman"/>
              <w:b w:val="0"/>
              <w:sz w:val="22"/>
              <w:szCs w:val="22"/>
            </w:rPr>
          </w:pPr>
          <w:r w:rsidRPr="004D0CC1">
            <w:rPr>
              <w:rFonts w:ascii="Times New Roman" w:hAnsi="Times New Roman"/>
              <w:b w:val="0"/>
              <w:sz w:val="22"/>
              <w:szCs w:val="22"/>
            </w:rPr>
            <w:t>S</w:t>
          </w:r>
          <w:r w:rsidR="00D4578C">
            <w:rPr>
              <w:rFonts w:ascii="Times New Roman" w:hAnsi="Times New Roman"/>
              <w:b w:val="0"/>
              <w:sz w:val="22"/>
              <w:szCs w:val="22"/>
            </w:rPr>
            <w:t>ection 5</w:t>
          </w:r>
        </w:p>
      </w:tc>
    </w:tr>
  </w:tbl>
  <w:p w:rsidR="007F1754" w:rsidRDefault="007F175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54" w:rsidRDefault="007F1754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7F1754">
      <w:tc>
        <w:tcPr>
          <w:tcW w:w="1494" w:type="dxa"/>
        </w:tcPr>
        <w:p w:rsidR="007F1754" w:rsidRDefault="007F1754" w:rsidP="00BD545A">
          <w:pPr>
            <w:pStyle w:val="HeaderLiteEven"/>
          </w:pPr>
        </w:p>
      </w:tc>
      <w:tc>
        <w:tcPr>
          <w:tcW w:w="6891" w:type="dxa"/>
        </w:tcPr>
        <w:p w:rsidR="007F1754" w:rsidRDefault="007F1754" w:rsidP="00BD545A">
          <w:pPr>
            <w:pStyle w:val="HeaderLiteEven"/>
          </w:pPr>
        </w:p>
      </w:tc>
    </w:tr>
    <w:tr w:rsidR="007F1754">
      <w:tc>
        <w:tcPr>
          <w:tcW w:w="1494" w:type="dxa"/>
        </w:tcPr>
        <w:p w:rsidR="007F1754" w:rsidRDefault="007F1754" w:rsidP="00BD545A">
          <w:pPr>
            <w:pStyle w:val="HeaderLiteEven"/>
          </w:pPr>
        </w:p>
      </w:tc>
      <w:tc>
        <w:tcPr>
          <w:tcW w:w="6891" w:type="dxa"/>
        </w:tcPr>
        <w:p w:rsidR="007F1754" w:rsidRDefault="007F1754" w:rsidP="00BD545A">
          <w:pPr>
            <w:pStyle w:val="HeaderLiteEven"/>
          </w:pPr>
        </w:p>
      </w:tc>
    </w:tr>
    <w:tr w:rsidR="007F1754">
      <w:tc>
        <w:tcPr>
          <w:tcW w:w="8385" w:type="dxa"/>
          <w:gridSpan w:val="2"/>
          <w:tcBorders>
            <w:bottom w:val="single" w:sz="4" w:space="0" w:color="auto"/>
          </w:tcBorders>
        </w:tcPr>
        <w:p w:rsidR="007F1754" w:rsidRDefault="007F1754" w:rsidP="00BD545A">
          <w:pPr>
            <w:pStyle w:val="HeaderBoldEven"/>
          </w:pPr>
        </w:p>
      </w:tc>
    </w:tr>
  </w:tbl>
  <w:p w:rsidR="007F1754" w:rsidRDefault="007F1754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787"/>
        </w:tabs>
        <w:ind w:left="347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27"/>
        </w:tabs>
        <w:ind w:left="347" w:firstLine="0"/>
      </w:pPr>
    </w:lvl>
    <w:lvl w:ilvl="2">
      <w:start w:val="1"/>
      <w:numFmt w:val="lowerLetter"/>
      <w:lvlText w:val="(%3)"/>
      <w:lvlJc w:val="left"/>
      <w:pPr>
        <w:tabs>
          <w:tab w:val="num" w:pos="1067"/>
        </w:tabs>
        <w:ind w:left="1067" w:hanging="432"/>
      </w:pPr>
    </w:lvl>
    <w:lvl w:ilvl="3">
      <w:start w:val="1"/>
      <w:numFmt w:val="lowerRoman"/>
      <w:lvlText w:val="(%4)"/>
      <w:lvlJc w:val="right"/>
      <w:pPr>
        <w:tabs>
          <w:tab w:val="num" w:pos="1211"/>
        </w:tabs>
        <w:ind w:left="1211" w:hanging="144"/>
      </w:pPr>
    </w:lvl>
    <w:lvl w:ilvl="4">
      <w:start w:val="1"/>
      <w:numFmt w:val="decimal"/>
      <w:lvlText w:val="%5)"/>
      <w:lvlJc w:val="left"/>
      <w:pPr>
        <w:tabs>
          <w:tab w:val="num" w:pos="1355"/>
        </w:tabs>
        <w:ind w:left="1355" w:hanging="432"/>
      </w:pPr>
    </w:lvl>
    <w:lvl w:ilvl="5">
      <w:start w:val="1"/>
      <w:numFmt w:val="lowerLetter"/>
      <w:lvlText w:val="%6)"/>
      <w:lvlJc w:val="left"/>
      <w:pPr>
        <w:tabs>
          <w:tab w:val="num" w:pos="1499"/>
        </w:tabs>
        <w:ind w:left="1499" w:hanging="432"/>
      </w:pPr>
    </w:lvl>
    <w:lvl w:ilvl="6">
      <w:start w:val="1"/>
      <w:numFmt w:val="lowerRoman"/>
      <w:lvlText w:val="%7)"/>
      <w:lvlJc w:val="right"/>
      <w:pPr>
        <w:tabs>
          <w:tab w:val="num" w:pos="1643"/>
        </w:tabs>
        <w:ind w:left="1643" w:hanging="288"/>
      </w:pPr>
    </w:lvl>
    <w:lvl w:ilvl="7">
      <w:start w:val="1"/>
      <w:numFmt w:val="lowerLetter"/>
      <w:lvlText w:val="%8."/>
      <w:lvlJc w:val="left"/>
      <w:pPr>
        <w:tabs>
          <w:tab w:val="num" w:pos="1787"/>
        </w:tabs>
        <w:ind w:left="1787" w:hanging="432"/>
      </w:pPr>
    </w:lvl>
    <w:lvl w:ilvl="8">
      <w:start w:val="1"/>
      <w:numFmt w:val="lowerRoman"/>
      <w:lvlText w:val="%9."/>
      <w:lvlJc w:val="right"/>
      <w:pPr>
        <w:tabs>
          <w:tab w:val="num" w:pos="1931"/>
        </w:tabs>
        <w:ind w:left="1931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F8D1150"/>
    <w:multiLevelType w:val="hybridMultilevel"/>
    <w:tmpl w:val="1D96612A"/>
    <w:lvl w:ilvl="0" w:tplc="AB64932A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2B5632AA"/>
    <w:multiLevelType w:val="hybridMultilevel"/>
    <w:tmpl w:val="DB3643EE"/>
    <w:lvl w:ilvl="0" w:tplc="0706B464">
      <w:start w:val="1"/>
      <w:numFmt w:val="lowerLetter"/>
      <w:lvlText w:val="(%1)"/>
      <w:lvlJc w:val="left"/>
      <w:pPr>
        <w:ind w:left="18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1" w:hanging="360"/>
      </w:pPr>
    </w:lvl>
    <w:lvl w:ilvl="2" w:tplc="0C09001B" w:tentative="1">
      <w:start w:val="1"/>
      <w:numFmt w:val="lowerRoman"/>
      <w:lvlText w:val="%3."/>
      <w:lvlJc w:val="right"/>
      <w:pPr>
        <w:ind w:left="3331" w:hanging="180"/>
      </w:pPr>
    </w:lvl>
    <w:lvl w:ilvl="3" w:tplc="0C09000F" w:tentative="1">
      <w:start w:val="1"/>
      <w:numFmt w:val="decimal"/>
      <w:lvlText w:val="%4."/>
      <w:lvlJc w:val="left"/>
      <w:pPr>
        <w:ind w:left="4051" w:hanging="360"/>
      </w:pPr>
    </w:lvl>
    <w:lvl w:ilvl="4" w:tplc="0C090019" w:tentative="1">
      <w:start w:val="1"/>
      <w:numFmt w:val="lowerLetter"/>
      <w:lvlText w:val="%5."/>
      <w:lvlJc w:val="left"/>
      <w:pPr>
        <w:ind w:left="4771" w:hanging="360"/>
      </w:pPr>
    </w:lvl>
    <w:lvl w:ilvl="5" w:tplc="0C09001B" w:tentative="1">
      <w:start w:val="1"/>
      <w:numFmt w:val="lowerRoman"/>
      <w:lvlText w:val="%6."/>
      <w:lvlJc w:val="right"/>
      <w:pPr>
        <w:ind w:left="5491" w:hanging="180"/>
      </w:pPr>
    </w:lvl>
    <w:lvl w:ilvl="6" w:tplc="0C09000F" w:tentative="1">
      <w:start w:val="1"/>
      <w:numFmt w:val="decimal"/>
      <w:lvlText w:val="%7."/>
      <w:lvlJc w:val="left"/>
      <w:pPr>
        <w:ind w:left="6211" w:hanging="360"/>
      </w:pPr>
    </w:lvl>
    <w:lvl w:ilvl="7" w:tplc="0C090019" w:tentative="1">
      <w:start w:val="1"/>
      <w:numFmt w:val="lowerLetter"/>
      <w:lvlText w:val="%8."/>
      <w:lvlJc w:val="left"/>
      <w:pPr>
        <w:ind w:left="6931" w:hanging="360"/>
      </w:pPr>
    </w:lvl>
    <w:lvl w:ilvl="8" w:tplc="0C0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4">
    <w:nsid w:val="37294C03"/>
    <w:multiLevelType w:val="hybridMultilevel"/>
    <w:tmpl w:val="1D96612A"/>
    <w:lvl w:ilvl="0" w:tplc="AB64932A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C512F5"/>
    <w:rsid w:val="000038A0"/>
    <w:rsid w:val="00011A9D"/>
    <w:rsid w:val="00012F8A"/>
    <w:rsid w:val="0001662A"/>
    <w:rsid w:val="00020108"/>
    <w:rsid w:val="0002429B"/>
    <w:rsid w:val="00032F2C"/>
    <w:rsid w:val="000347F9"/>
    <w:rsid w:val="00040090"/>
    <w:rsid w:val="000403D5"/>
    <w:rsid w:val="0004161E"/>
    <w:rsid w:val="000427E4"/>
    <w:rsid w:val="0004456C"/>
    <w:rsid w:val="00045BA4"/>
    <w:rsid w:val="00045F1B"/>
    <w:rsid w:val="00050350"/>
    <w:rsid w:val="000521B7"/>
    <w:rsid w:val="0005339D"/>
    <w:rsid w:val="00060076"/>
    <w:rsid w:val="000646EC"/>
    <w:rsid w:val="00065118"/>
    <w:rsid w:val="00065296"/>
    <w:rsid w:val="000715D1"/>
    <w:rsid w:val="00076C58"/>
    <w:rsid w:val="00076CF7"/>
    <w:rsid w:val="00077591"/>
    <w:rsid w:val="000812A8"/>
    <w:rsid w:val="00082916"/>
    <w:rsid w:val="00083189"/>
    <w:rsid w:val="0008560A"/>
    <w:rsid w:val="00091146"/>
    <w:rsid w:val="0009560E"/>
    <w:rsid w:val="00095849"/>
    <w:rsid w:val="000A0191"/>
    <w:rsid w:val="000A0788"/>
    <w:rsid w:val="000A0CCA"/>
    <w:rsid w:val="000A1742"/>
    <w:rsid w:val="000A54EC"/>
    <w:rsid w:val="000A620C"/>
    <w:rsid w:val="000A7869"/>
    <w:rsid w:val="000B4121"/>
    <w:rsid w:val="000B5062"/>
    <w:rsid w:val="000B51B3"/>
    <w:rsid w:val="000D1916"/>
    <w:rsid w:val="000E16EC"/>
    <w:rsid w:val="000E27E3"/>
    <w:rsid w:val="000E48BD"/>
    <w:rsid w:val="000E7494"/>
    <w:rsid w:val="000F48E4"/>
    <w:rsid w:val="000F4BDA"/>
    <w:rsid w:val="000F6759"/>
    <w:rsid w:val="001050D2"/>
    <w:rsid w:val="00105BB8"/>
    <w:rsid w:val="00111D90"/>
    <w:rsid w:val="00116989"/>
    <w:rsid w:val="00125657"/>
    <w:rsid w:val="001312D8"/>
    <w:rsid w:val="00131CF9"/>
    <w:rsid w:val="001328CE"/>
    <w:rsid w:val="00133889"/>
    <w:rsid w:val="00134DDC"/>
    <w:rsid w:val="00140090"/>
    <w:rsid w:val="001409F1"/>
    <w:rsid w:val="0014186A"/>
    <w:rsid w:val="00141CBA"/>
    <w:rsid w:val="00144DE3"/>
    <w:rsid w:val="0015004A"/>
    <w:rsid w:val="00153195"/>
    <w:rsid w:val="00162609"/>
    <w:rsid w:val="00164935"/>
    <w:rsid w:val="00165D61"/>
    <w:rsid w:val="00174FF8"/>
    <w:rsid w:val="0017685B"/>
    <w:rsid w:val="00185F83"/>
    <w:rsid w:val="00186360"/>
    <w:rsid w:val="00187D63"/>
    <w:rsid w:val="00191FA5"/>
    <w:rsid w:val="00192C10"/>
    <w:rsid w:val="00193F32"/>
    <w:rsid w:val="0019593A"/>
    <w:rsid w:val="001A4DD7"/>
    <w:rsid w:val="001A6767"/>
    <w:rsid w:val="001A6C59"/>
    <w:rsid w:val="001C22F5"/>
    <w:rsid w:val="001C25FE"/>
    <w:rsid w:val="001C7118"/>
    <w:rsid w:val="001C7134"/>
    <w:rsid w:val="001C769F"/>
    <w:rsid w:val="001D6D71"/>
    <w:rsid w:val="001E092D"/>
    <w:rsid w:val="001E1749"/>
    <w:rsid w:val="001F108C"/>
    <w:rsid w:val="001F41C5"/>
    <w:rsid w:val="002015B2"/>
    <w:rsid w:val="00203232"/>
    <w:rsid w:val="00205F54"/>
    <w:rsid w:val="00210652"/>
    <w:rsid w:val="00214C3B"/>
    <w:rsid w:val="00221073"/>
    <w:rsid w:val="002219F1"/>
    <w:rsid w:val="00222FD0"/>
    <w:rsid w:val="002252C7"/>
    <w:rsid w:val="00226138"/>
    <w:rsid w:val="002261A3"/>
    <w:rsid w:val="0022734F"/>
    <w:rsid w:val="00233C57"/>
    <w:rsid w:val="0023489C"/>
    <w:rsid w:val="0024222C"/>
    <w:rsid w:val="00243601"/>
    <w:rsid w:val="00243CDB"/>
    <w:rsid w:val="00244C01"/>
    <w:rsid w:val="00246042"/>
    <w:rsid w:val="00252F17"/>
    <w:rsid w:val="00253DDD"/>
    <w:rsid w:val="0025465F"/>
    <w:rsid w:val="00260912"/>
    <w:rsid w:val="00265C92"/>
    <w:rsid w:val="00266394"/>
    <w:rsid w:val="00267A77"/>
    <w:rsid w:val="00275245"/>
    <w:rsid w:val="00275D31"/>
    <w:rsid w:val="00281E63"/>
    <w:rsid w:val="0028590D"/>
    <w:rsid w:val="0028609E"/>
    <w:rsid w:val="00286CEA"/>
    <w:rsid w:val="0029039D"/>
    <w:rsid w:val="00293BC3"/>
    <w:rsid w:val="002A0984"/>
    <w:rsid w:val="002A19B0"/>
    <w:rsid w:val="002A37DA"/>
    <w:rsid w:val="002A7CE6"/>
    <w:rsid w:val="002B104A"/>
    <w:rsid w:val="002B1EBA"/>
    <w:rsid w:val="002B265A"/>
    <w:rsid w:val="002B3023"/>
    <w:rsid w:val="002B3196"/>
    <w:rsid w:val="002B32C5"/>
    <w:rsid w:val="002B519A"/>
    <w:rsid w:val="002B7DCF"/>
    <w:rsid w:val="002D4558"/>
    <w:rsid w:val="002D5AF2"/>
    <w:rsid w:val="002D71AC"/>
    <w:rsid w:val="002D7932"/>
    <w:rsid w:val="002E1756"/>
    <w:rsid w:val="002E3579"/>
    <w:rsid w:val="002E5749"/>
    <w:rsid w:val="002E5879"/>
    <w:rsid w:val="002F78D5"/>
    <w:rsid w:val="00306194"/>
    <w:rsid w:val="003072E7"/>
    <w:rsid w:val="003231FF"/>
    <w:rsid w:val="00323B45"/>
    <w:rsid w:val="0033573E"/>
    <w:rsid w:val="00336724"/>
    <w:rsid w:val="00343B24"/>
    <w:rsid w:val="00344A60"/>
    <w:rsid w:val="003469E3"/>
    <w:rsid w:val="0035001E"/>
    <w:rsid w:val="0035117D"/>
    <w:rsid w:val="00353F3B"/>
    <w:rsid w:val="00357657"/>
    <w:rsid w:val="00361A8E"/>
    <w:rsid w:val="00367E3F"/>
    <w:rsid w:val="00370DD7"/>
    <w:rsid w:val="0037255F"/>
    <w:rsid w:val="0038199B"/>
    <w:rsid w:val="00382E5F"/>
    <w:rsid w:val="0038766E"/>
    <w:rsid w:val="00387F34"/>
    <w:rsid w:val="00392557"/>
    <w:rsid w:val="0039396B"/>
    <w:rsid w:val="00397A31"/>
    <w:rsid w:val="003A5AF1"/>
    <w:rsid w:val="003A69D6"/>
    <w:rsid w:val="003A77F7"/>
    <w:rsid w:val="003B0D29"/>
    <w:rsid w:val="003B5333"/>
    <w:rsid w:val="003B7DF2"/>
    <w:rsid w:val="003B7E2B"/>
    <w:rsid w:val="003C1D25"/>
    <w:rsid w:val="003C6E11"/>
    <w:rsid w:val="003D1079"/>
    <w:rsid w:val="003D1FD3"/>
    <w:rsid w:val="003D5FC8"/>
    <w:rsid w:val="003D659C"/>
    <w:rsid w:val="003D6F03"/>
    <w:rsid w:val="003E47C5"/>
    <w:rsid w:val="003E5D6F"/>
    <w:rsid w:val="003E6D06"/>
    <w:rsid w:val="003F6833"/>
    <w:rsid w:val="004005D4"/>
    <w:rsid w:val="00403F78"/>
    <w:rsid w:val="00417F39"/>
    <w:rsid w:val="00421964"/>
    <w:rsid w:val="00422522"/>
    <w:rsid w:val="004255DD"/>
    <w:rsid w:val="004311E3"/>
    <w:rsid w:val="00431796"/>
    <w:rsid w:val="00433B06"/>
    <w:rsid w:val="004361A5"/>
    <w:rsid w:val="0043635A"/>
    <w:rsid w:val="00440B24"/>
    <w:rsid w:val="00442AA3"/>
    <w:rsid w:val="00443890"/>
    <w:rsid w:val="0044430D"/>
    <w:rsid w:val="004447F9"/>
    <w:rsid w:val="00444F77"/>
    <w:rsid w:val="004459DE"/>
    <w:rsid w:val="0044776C"/>
    <w:rsid w:val="00450DE1"/>
    <w:rsid w:val="004533FC"/>
    <w:rsid w:val="004624D8"/>
    <w:rsid w:val="00464092"/>
    <w:rsid w:val="004640EA"/>
    <w:rsid w:val="00464AD1"/>
    <w:rsid w:val="00466DBA"/>
    <w:rsid w:val="00481B1B"/>
    <w:rsid w:val="004839A4"/>
    <w:rsid w:val="004879CB"/>
    <w:rsid w:val="00490E29"/>
    <w:rsid w:val="004913EB"/>
    <w:rsid w:val="0049172E"/>
    <w:rsid w:val="00492FC7"/>
    <w:rsid w:val="00494728"/>
    <w:rsid w:val="004A051D"/>
    <w:rsid w:val="004A05C9"/>
    <w:rsid w:val="004A20E2"/>
    <w:rsid w:val="004A7713"/>
    <w:rsid w:val="004A7AA7"/>
    <w:rsid w:val="004B1AC1"/>
    <w:rsid w:val="004B6C4F"/>
    <w:rsid w:val="004C1D98"/>
    <w:rsid w:val="004C3987"/>
    <w:rsid w:val="004C4CC6"/>
    <w:rsid w:val="004D0CC1"/>
    <w:rsid w:val="004D2382"/>
    <w:rsid w:val="004D32C2"/>
    <w:rsid w:val="004D5EAB"/>
    <w:rsid w:val="004D6045"/>
    <w:rsid w:val="004D7C4D"/>
    <w:rsid w:val="004E0619"/>
    <w:rsid w:val="004E1C75"/>
    <w:rsid w:val="004E2FEB"/>
    <w:rsid w:val="004E7590"/>
    <w:rsid w:val="004F03CF"/>
    <w:rsid w:val="004F5D6D"/>
    <w:rsid w:val="004F7AF7"/>
    <w:rsid w:val="00501E0C"/>
    <w:rsid w:val="00504FA0"/>
    <w:rsid w:val="005056C8"/>
    <w:rsid w:val="0051137B"/>
    <w:rsid w:val="00511776"/>
    <w:rsid w:val="00511924"/>
    <w:rsid w:val="00512974"/>
    <w:rsid w:val="0051511D"/>
    <w:rsid w:val="005163B7"/>
    <w:rsid w:val="0052140A"/>
    <w:rsid w:val="0052220C"/>
    <w:rsid w:val="005234C7"/>
    <w:rsid w:val="005238E0"/>
    <w:rsid w:val="005277E8"/>
    <w:rsid w:val="005372AC"/>
    <w:rsid w:val="0054351E"/>
    <w:rsid w:val="005467D3"/>
    <w:rsid w:val="005516CA"/>
    <w:rsid w:val="00554F29"/>
    <w:rsid w:val="00555A50"/>
    <w:rsid w:val="005672DE"/>
    <w:rsid w:val="005749F6"/>
    <w:rsid w:val="00576569"/>
    <w:rsid w:val="00580301"/>
    <w:rsid w:val="005859FB"/>
    <w:rsid w:val="00590B59"/>
    <w:rsid w:val="005924C4"/>
    <w:rsid w:val="005943B6"/>
    <w:rsid w:val="005945F6"/>
    <w:rsid w:val="005A4031"/>
    <w:rsid w:val="005B5BAF"/>
    <w:rsid w:val="005B7B02"/>
    <w:rsid w:val="005C46BA"/>
    <w:rsid w:val="005C4A85"/>
    <w:rsid w:val="005C679E"/>
    <w:rsid w:val="005D0D39"/>
    <w:rsid w:val="005D2F97"/>
    <w:rsid w:val="005D692B"/>
    <w:rsid w:val="005E43E5"/>
    <w:rsid w:val="005E563D"/>
    <w:rsid w:val="005F0DDB"/>
    <w:rsid w:val="005F2089"/>
    <w:rsid w:val="005F47D8"/>
    <w:rsid w:val="005F4B91"/>
    <w:rsid w:val="005F52A1"/>
    <w:rsid w:val="00602748"/>
    <w:rsid w:val="006047C5"/>
    <w:rsid w:val="00604863"/>
    <w:rsid w:val="00621915"/>
    <w:rsid w:val="00624074"/>
    <w:rsid w:val="0062769F"/>
    <w:rsid w:val="00641664"/>
    <w:rsid w:val="00642D60"/>
    <w:rsid w:val="0065001E"/>
    <w:rsid w:val="006533B7"/>
    <w:rsid w:val="006552E8"/>
    <w:rsid w:val="00673223"/>
    <w:rsid w:val="00674B00"/>
    <w:rsid w:val="00681EB7"/>
    <w:rsid w:val="006855B0"/>
    <w:rsid w:val="00686ABD"/>
    <w:rsid w:val="006900AD"/>
    <w:rsid w:val="006A4C55"/>
    <w:rsid w:val="006C2236"/>
    <w:rsid w:val="006C2616"/>
    <w:rsid w:val="006C5742"/>
    <w:rsid w:val="006D018E"/>
    <w:rsid w:val="006D3078"/>
    <w:rsid w:val="006D4034"/>
    <w:rsid w:val="006E01D2"/>
    <w:rsid w:val="006E08D1"/>
    <w:rsid w:val="006E2530"/>
    <w:rsid w:val="006E548F"/>
    <w:rsid w:val="006E7E7A"/>
    <w:rsid w:val="006F0BD8"/>
    <w:rsid w:val="006F73F0"/>
    <w:rsid w:val="00702998"/>
    <w:rsid w:val="0071055A"/>
    <w:rsid w:val="00714122"/>
    <w:rsid w:val="0071414A"/>
    <w:rsid w:val="0071514F"/>
    <w:rsid w:val="00716F1E"/>
    <w:rsid w:val="00722C7F"/>
    <w:rsid w:val="00724809"/>
    <w:rsid w:val="00727685"/>
    <w:rsid w:val="00730AF8"/>
    <w:rsid w:val="00735D7F"/>
    <w:rsid w:val="00736D94"/>
    <w:rsid w:val="007375F7"/>
    <w:rsid w:val="00740322"/>
    <w:rsid w:val="00740916"/>
    <w:rsid w:val="00742FC6"/>
    <w:rsid w:val="007431FF"/>
    <w:rsid w:val="007475CF"/>
    <w:rsid w:val="007519F0"/>
    <w:rsid w:val="00756F9E"/>
    <w:rsid w:val="00765983"/>
    <w:rsid w:val="00772ADE"/>
    <w:rsid w:val="007768DF"/>
    <w:rsid w:val="00777780"/>
    <w:rsid w:val="00781A0F"/>
    <w:rsid w:val="0078300B"/>
    <w:rsid w:val="007833A9"/>
    <w:rsid w:val="007837F2"/>
    <w:rsid w:val="007844E1"/>
    <w:rsid w:val="007851E9"/>
    <w:rsid w:val="007853F8"/>
    <w:rsid w:val="007910D2"/>
    <w:rsid w:val="00794754"/>
    <w:rsid w:val="007A3064"/>
    <w:rsid w:val="007A5F49"/>
    <w:rsid w:val="007C7959"/>
    <w:rsid w:val="007D1A1E"/>
    <w:rsid w:val="007E231D"/>
    <w:rsid w:val="007E3AA5"/>
    <w:rsid w:val="007F0013"/>
    <w:rsid w:val="007F1754"/>
    <w:rsid w:val="007F488D"/>
    <w:rsid w:val="007F75C3"/>
    <w:rsid w:val="007F75DF"/>
    <w:rsid w:val="008002E8"/>
    <w:rsid w:val="008006D5"/>
    <w:rsid w:val="008104B1"/>
    <w:rsid w:val="00811B2B"/>
    <w:rsid w:val="008149B7"/>
    <w:rsid w:val="00814C8C"/>
    <w:rsid w:val="0081675A"/>
    <w:rsid w:val="00825250"/>
    <w:rsid w:val="00830D6E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52B8"/>
    <w:rsid w:val="0086648B"/>
    <w:rsid w:val="008673F2"/>
    <w:rsid w:val="00867E7D"/>
    <w:rsid w:val="00872EB7"/>
    <w:rsid w:val="0087313D"/>
    <w:rsid w:val="008731F9"/>
    <w:rsid w:val="00873699"/>
    <w:rsid w:val="008736BA"/>
    <w:rsid w:val="00873E3C"/>
    <w:rsid w:val="00874029"/>
    <w:rsid w:val="008750E2"/>
    <w:rsid w:val="00876486"/>
    <w:rsid w:val="00885CE0"/>
    <w:rsid w:val="00886003"/>
    <w:rsid w:val="008866E8"/>
    <w:rsid w:val="0088671C"/>
    <w:rsid w:val="00886C7C"/>
    <w:rsid w:val="008A2CE6"/>
    <w:rsid w:val="008A4808"/>
    <w:rsid w:val="008A656F"/>
    <w:rsid w:val="008A65B5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C71D1"/>
    <w:rsid w:val="008D5B3D"/>
    <w:rsid w:val="008E2235"/>
    <w:rsid w:val="008E3423"/>
    <w:rsid w:val="008E63C4"/>
    <w:rsid w:val="008F16BC"/>
    <w:rsid w:val="008F1DAB"/>
    <w:rsid w:val="008F3895"/>
    <w:rsid w:val="008F3C01"/>
    <w:rsid w:val="008F61DF"/>
    <w:rsid w:val="009007F1"/>
    <w:rsid w:val="0090678E"/>
    <w:rsid w:val="009078CC"/>
    <w:rsid w:val="00911F7B"/>
    <w:rsid w:val="00913281"/>
    <w:rsid w:val="00913EA5"/>
    <w:rsid w:val="009146C1"/>
    <w:rsid w:val="00914E50"/>
    <w:rsid w:val="00915D96"/>
    <w:rsid w:val="00921BEE"/>
    <w:rsid w:val="00927849"/>
    <w:rsid w:val="00930919"/>
    <w:rsid w:val="009330CB"/>
    <w:rsid w:val="00934C8F"/>
    <w:rsid w:val="00936379"/>
    <w:rsid w:val="00943CEA"/>
    <w:rsid w:val="00945A5E"/>
    <w:rsid w:val="00951CBF"/>
    <w:rsid w:val="009610D8"/>
    <w:rsid w:val="009612A7"/>
    <w:rsid w:val="00963ADB"/>
    <w:rsid w:val="00967444"/>
    <w:rsid w:val="00973B4C"/>
    <w:rsid w:val="00976374"/>
    <w:rsid w:val="00983A1F"/>
    <w:rsid w:val="009847E4"/>
    <w:rsid w:val="00986043"/>
    <w:rsid w:val="00987485"/>
    <w:rsid w:val="0099167B"/>
    <w:rsid w:val="00993442"/>
    <w:rsid w:val="009A0CC8"/>
    <w:rsid w:val="009A207B"/>
    <w:rsid w:val="009A5A0D"/>
    <w:rsid w:val="009A679E"/>
    <w:rsid w:val="009A6D1B"/>
    <w:rsid w:val="009B303B"/>
    <w:rsid w:val="009B3BDA"/>
    <w:rsid w:val="009B6ED6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9F4FD4"/>
    <w:rsid w:val="00A00C88"/>
    <w:rsid w:val="00A01287"/>
    <w:rsid w:val="00A016BF"/>
    <w:rsid w:val="00A046F7"/>
    <w:rsid w:val="00A10B39"/>
    <w:rsid w:val="00A13F63"/>
    <w:rsid w:val="00A15843"/>
    <w:rsid w:val="00A15B2B"/>
    <w:rsid w:val="00A21D2D"/>
    <w:rsid w:val="00A223AA"/>
    <w:rsid w:val="00A2255B"/>
    <w:rsid w:val="00A24F06"/>
    <w:rsid w:val="00A266F5"/>
    <w:rsid w:val="00A26D17"/>
    <w:rsid w:val="00A30ABA"/>
    <w:rsid w:val="00A314B9"/>
    <w:rsid w:val="00A33D5D"/>
    <w:rsid w:val="00A41885"/>
    <w:rsid w:val="00A41B45"/>
    <w:rsid w:val="00A44301"/>
    <w:rsid w:val="00A52515"/>
    <w:rsid w:val="00A54B37"/>
    <w:rsid w:val="00A609DD"/>
    <w:rsid w:val="00A60B57"/>
    <w:rsid w:val="00A61815"/>
    <w:rsid w:val="00A644DE"/>
    <w:rsid w:val="00A65157"/>
    <w:rsid w:val="00A6740F"/>
    <w:rsid w:val="00A720A6"/>
    <w:rsid w:val="00A767AF"/>
    <w:rsid w:val="00A90C9D"/>
    <w:rsid w:val="00A921BD"/>
    <w:rsid w:val="00A95A88"/>
    <w:rsid w:val="00AA1B63"/>
    <w:rsid w:val="00AA3188"/>
    <w:rsid w:val="00AA420D"/>
    <w:rsid w:val="00AB2C8C"/>
    <w:rsid w:val="00AB444A"/>
    <w:rsid w:val="00AC405E"/>
    <w:rsid w:val="00AD2E44"/>
    <w:rsid w:val="00AE732F"/>
    <w:rsid w:val="00AE7F91"/>
    <w:rsid w:val="00AF074C"/>
    <w:rsid w:val="00AF716F"/>
    <w:rsid w:val="00B03AF0"/>
    <w:rsid w:val="00B04B60"/>
    <w:rsid w:val="00B05373"/>
    <w:rsid w:val="00B067E6"/>
    <w:rsid w:val="00B11A88"/>
    <w:rsid w:val="00B12260"/>
    <w:rsid w:val="00B13F00"/>
    <w:rsid w:val="00B1455A"/>
    <w:rsid w:val="00B156E1"/>
    <w:rsid w:val="00B2251C"/>
    <w:rsid w:val="00B25433"/>
    <w:rsid w:val="00B2626C"/>
    <w:rsid w:val="00B3728B"/>
    <w:rsid w:val="00B408B6"/>
    <w:rsid w:val="00B52CB9"/>
    <w:rsid w:val="00B531ED"/>
    <w:rsid w:val="00B53574"/>
    <w:rsid w:val="00B54636"/>
    <w:rsid w:val="00B550AE"/>
    <w:rsid w:val="00B60027"/>
    <w:rsid w:val="00B6090D"/>
    <w:rsid w:val="00B61908"/>
    <w:rsid w:val="00B63AE9"/>
    <w:rsid w:val="00B662B0"/>
    <w:rsid w:val="00B670FF"/>
    <w:rsid w:val="00B70B80"/>
    <w:rsid w:val="00B7271F"/>
    <w:rsid w:val="00B76BE0"/>
    <w:rsid w:val="00B80913"/>
    <w:rsid w:val="00B8139C"/>
    <w:rsid w:val="00B81DDC"/>
    <w:rsid w:val="00B87674"/>
    <w:rsid w:val="00B91A8D"/>
    <w:rsid w:val="00B96B4F"/>
    <w:rsid w:val="00BA34AD"/>
    <w:rsid w:val="00BA4B2A"/>
    <w:rsid w:val="00BB69FF"/>
    <w:rsid w:val="00BC72D6"/>
    <w:rsid w:val="00BC7740"/>
    <w:rsid w:val="00BD0276"/>
    <w:rsid w:val="00BD41F5"/>
    <w:rsid w:val="00BD4331"/>
    <w:rsid w:val="00BD545A"/>
    <w:rsid w:val="00BD59A7"/>
    <w:rsid w:val="00BF1C2D"/>
    <w:rsid w:val="00BF1C96"/>
    <w:rsid w:val="00BF2735"/>
    <w:rsid w:val="00BF2F99"/>
    <w:rsid w:val="00BF738E"/>
    <w:rsid w:val="00C03F33"/>
    <w:rsid w:val="00C0402F"/>
    <w:rsid w:val="00C14CE5"/>
    <w:rsid w:val="00C24D41"/>
    <w:rsid w:val="00C30025"/>
    <w:rsid w:val="00C3254A"/>
    <w:rsid w:val="00C329A2"/>
    <w:rsid w:val="00C35EC8"/>
    <w:rsid w:val="00C36527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2F5"/>
    <w:rsid w:val="00C51630"/>
    <w:rsid w:val="00C52F4B"/>
    <w:rsid w:val="00C53754"/>
    <w:rsid w:val="00C6035E"/>
    <w:rsid w:val="00C60BDB"/>
    <w:rsid w:val="00C639B5"/>
    <w:rsid w:val="00C651A6"/>
    <w:rsid w:val="00C725F3"/>
    <w:rsid w:val="00C72C99"/>
    <w:rsid w:val="00C73DB8"/>
    <w:rsid w:val="00C822F8"/>
    <w:rsid w:val="00C8251B"/>
    <w:rsid w:val="00C83482"/>
    <w:rsid w:val="00C83A6F"/>
    <w:rsid w:val="00C86CED"/>
    <w:rsid w:val="00C92D6F"/>
    <w:rsid w:val="00C93DEA"/>
    <w:rsid w:val="00C95262"/>
    <w:rsid w:val="00C97351"/>
    <w:rsid w:val="00C97D8E"/>
    <w:rsid w:val="00CA2A23"/>
    <w:rsid w:val="00CA3504"/>
    <w:rsid w:val="00CA752C"/>
    <w:rsid w:val="00CB009F"/>
    <w:rsid w:val="00CB221F"/>
    <w:rsid w:val="00CB2385"/>
    <w:rsid w:val="00CB5713"/>
    <w:rsid w:val="00CB7554"/>
    <w:rsid w:val="00CC3524"/>
    <w:rsid w:val="00CD3C0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85"/>
    <w:rsid w:val="00D271FF"/>
    <w:rsid w:val="00D3367E"/>
    <w:rsid w:val="00D33956"/>
    <w:rsid w:val="00D34F1B"/>
    <w:rsid w:val="00D41229"/>
    <w:rsid w:val="00D4367A"/>
    <w:rsid w:val="00D4578C"/>
    <w:rsid w:val="00D5615B"/>
    <w:rsid w:val="00D57D13"/>
    <w:rsid w:val="00D6243F"/>
    <w:rsid w:val="00D6403A"/>
    <w:rsid w:val="00D70518"/>
    <w:rsid w:val="00D75AC7"/>
    <w:rsid w:val="00D774C6"/>
    <w:rsid w:val="00D80163"/>
    <w:rsid w:val="00D80771"/>
    <w:rsid w:val="00D83163"/>
    <w:rsid w:val="00D84CCB"/>
    <w:rsid w:val="00D84E18"/>
    <w:rsid w:val="00D9468B"/>
    <w:rsid w:val="00D95125"/>
    <w:rsid w:val="00DB2470"/>
    <w:rsid w:val="00DB6D99"/>
    <w:rsid w:val="00DC0A4F"/>
    <w:rsid w:val="00DC54E7"/>
    <w:rsid w:val="00DC7EF2"/>
    <w:rsid w:val="00DC7FB4"/>
    <w:rsid w:val="00DE5043"/>
    <w:rsid w:val="00DE7476"/>
    <w:rsid w:val="00DF0475"/>
    <w:rsid w:val="00DF44BE"/>
    <w:rsid w:val="00DF64FD"/>
    <w:rsid w:val="00E015CE"/>
    <w:rsid w:val="00E05A8C"/>
    <w:rsid w:val="00E05AF6"/>
    <w:rsid w:val="00E10958"/>
    <w:rsid w:val="00E11288"/>
    <w:rsid w:val="00E11D5A"/>
    <w:rsid w:val="00E127AC"/>
    <w:rsid w:val="00E14318"/>
    <w:rsid w:val="00E24EF9"/>
    <w:rsid w:val="00E24FB9"/>
    <w:rsid w:val="00E26CD1"/>
    <w:rsid w:val="00E26F82"/>
    <w:rsid w:val="00E35189"/>
    <w:rsid w:val="00E44149"/>
    <w:rsid w:val="00E44D80"/>
    <w:rsid w:val="00E44E0E"/>
    <w:rsid w:val="00E44ECA"/>
    <w:rsid w:val="00E452DF"/>
    <w:rsid w:val="00E459C3"/>
    <w:rsid w:val="00E53A61"/>
    <w:rsid w:val="00E53F2F"/>
    <w:rsid w:val="00E57384"/>
    <w:rsid w:val="00E5755C"/>
    <w:rsid w:val="00E6578A"/>
    <w:rsid w:val="00E678BB"/>
    <w:rsid w:val="00E726B2"/>
    <w:rsid w:val="00E7293B"/>
    <w:rsid w:val="00E74109"/>
    <w:rsid w:val="00E750F1"/>
    <w:rsid w:val="00E814E3"/>
    <w:rsid w:val="00E83542"/>
    <w:rsid w:val="00E933A5"/>
    <w:rsid w:val="00E96FAB"/>
    <w:rsid w:val="00EA0DE3"/>
    <w:rsid w:val="00EA0E4D"/>
    <w:rsid w:val="00EB03D7"/>
    <w:rsid w:val="00EB1E0E"/>
    <w:rsid w:val="00EB589A"/>
    <w:rsid w:val="00EB77D8"/>
    <w:rsid w:val="00EB7CEA"/>
    <w:rsid w:val="00EC100A"/>
    <w:rsid w:val="00ED03C9"/>
    <w:rsid w:val="00ED16E3"/>
    <w:rsid w:val="00ED1C66"/>
    <w:rsid w:val="00ED1FB9"/>
    <w:rsid w:val="00ED3FA0"/>
    <w:rsid w:val="00EE4BF8"/>
    <w:rsid w:val="00EE58AB"/>
    <w:rsid w:val="00EE739D"/>
    <w:rsid w:val="00EF15F7"/>
    <w:rsid w:val="00EF1EE8"/>
    <w:rsid w:val="00EF1EF3"/>
    <w:rsid w:val="00EF603F"/>
    <w:rsid w:val="00EF63BE"/>
    <w:rsid w:val="00EF69B2"/>
    <w:rsid w:val="00F02711"/>
    <w:rsid w:val="00F02993"/>
    <w:rsid w:val="00F10F95"/>
    <w:rsid w:val="00F11A57"/>
    <w:rsid w:val="00F172D2"/>
    <w:rsid w:val="00F242C4"/>
    <w:rsid w:val="00F2560B"/>
    <w:rsid w:val="00F336D9"/>
    <w:rsid w:val="00F37E63"/>
    <w:rsid w:val="00F41F12"/>
    <w:rsid w:val="00F42393"/>
    <w:rsid w:val="00F460CA"/>
    <w:rsid w:val="00F511C0"/>
    <w:rsid w:val="00F7078D"/>
    <w:rsid w:val="00F71923"/>
    <w:rsid w:val="00F719EC"/>
    <w:rsid w:val="00F71F53"/>
    <w:rsid w:val="00F72DBF"/>
    <w:rsid w:val="00F7591B"/>
    <w:rsid w:val="00F76ECD"/>
    <w:rsid w:val="00F866F7"/>
    <w:rsid w:val="00F86BD5"/>
    <w:rsid w:val="00F90CD5"/>
    <w:rsid w:val="00F92D2D"/>
    <w:rsid w:val="00F9606B"/>
    <w:rsid w:val="00F96711"/>
    <w:rsid w:val="00F97D20"/>
    <w:rsid w:val="00FA1A3B"/>
    <w:rsid w:val="00FA510E"/>
    <w:rsid w:val="00FB1906"/>
    <w:rsid w:val="00FD119D"/>
    <w:rsid w:val="00FD589F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FooterChar">
    <w:name w:val="Footer Char"/>
    <w:basedOn w:val="DefaultParagraphFont"/>
    <w:link w:val="Footer"/>
    <w:rsid w:val="00492FC7"/>
    <w:rPr>
      <w:rFonts w:ascii="Arial" w:hAnsi="Arial"/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92FC7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2E3579"/>
    <w:pPr>
      <w:ind w:left="720"/>
      <w:contextualSpacing/>
    </w:pPr>
  </w:style>
  <w:style w:type="paragraph" w:customStyle="1" w:styleId="Tabletext0">
    <w:name w:val="Tabletext"/>
    <w:aliases w:val="tt"/>
    <w:basedOn w:val="Normal"/>
    <w:rsid w:val="00714122"/>
    <w:pPr>
      <w:spacing w:before="60" w:line="24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FooterChar">
    <w:name w:val="Footer Char"/>
    <w:basedOn w:val="DefaultParagraphFont"/>
    <w:link w:val="Footer"/>
    <w:rsid w:val="00492FC7"/>
    <w:rPr>
      <w:rFonts w:ascii="Arial" w:hAnsi="Arial"/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92FC7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2E3579"/>
    <w:pPr>
      <w:ind w:left="720"/>
      <w:contextualSpacing/>
    </w:pPr>
  </w:style>
  <w:style w:type="paragraph" w:customStyle="1" w:styleId="Tabletext0">
    <w:name w:val="Tabletext"/>
    <w:aliases w:val="tt"/>
    <w:basedOn w:val="Normal"/>
    <w:rsid w:val="00714122"/>
    <w:pPr>
      <w:spacing w:before="60" w:line="24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4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oleObject" Target="embeddings/oleObject1.bin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oter" Target="foot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3CC0-B2B6-4176-B996-5812BCD0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</Template>
  <TotalTime>6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under section 19A(3)</vt:lpstr>
    </vt:vector>
  </TitlesOfParts>
  <Company>Office of Legislative Drafting and Publishing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under section 19A(3)</dc:title>
  <dc:creator>edlinm</dc:creator>
  <cp:lastModifiedBy>Carter, Bless</cp:lastModifiedBy>
  <cp:revision>6</cp:revision>
  <cp:lastPrinted>2016-04-06T03:23:00Z</cp:lastPrinted>
  <dcterms:created xsi:type="dcterms:W3CDTF">2016-04-06T03:16:00Z</dcterms:created>
  <dcterms:modified xsi:type="dcterms:W3CDTF">2016-04-06T03:24:00Z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</Properties>
</file>