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DB" w:rsidRPr="00AD5045" w:rsidRDefault="00AE5DDB" w:rsidP="00AE5DDB">
      <w:pPr>
        <w:jc w:val="center"/>
        <w:rPr>
          <w:rFonts w:ascii="Times New Roman" w:hAnsi="Times New Roman" w:cs="Times New Roman"/>
          <w:u w:val="single"/>
        </w:rPr>
      </w:pPr>
      <w:r w:rsidRPr="00AD5045">
        <w:rPr>
          <w:rFonts w:ascii="Times New Roman" w:hAnsi="Times New Roman" w:cs="Times New Roman"/>
          <w:u w:val="single"/>
        </w:rPr>
        <w:t>EXPLANATORY STATEMENT</w:t>
      </w:r>
    </w:p>
    <w:p w:rsidR="00AE5DDB" w:rsidRDefault="00AE5DDB" w:rsidP="004D4476">
      <w:pPr>
        <w:rPr>
          <w:rFonts w:ascii="Times New Roman" w:hAnsi="Times New Roman" w:cs="Times New Roman"/>
          <w:b/>
        </w:rPr>
      </w:pPr>
    </w:p>
    <w:p w:rsidR="004D4476" w:rsidRDefault="00C5409D" w:rsidP="00AE5DDB">
      <w:pPr>
        <w:jc w:val="center"/>
        <w:rPr>
          <w:rFonts w:ascii="Times New Roman" w:hAnsi="Times New Roman" w:cs="Times New Roman"/>
          <w:b/>
          <w:sz w:val="28"/>
          <w:szCs w:val="28"/>
        </w:rPr>
      </w:pPr>
      <w:r w:rsidRPr="006144B9">
        <w:rPr>
          <w:rFonts w:ascii="Times New Roman" w:hAnsi="Times New Roman" w:cs="Times New Roman"/>
          <w:b/>
          <w:sz w:val="28"/>
          <w:szCs w:val="28"/>
        </w:rPr>
        <w:t>Electoral and Referendum Regulation 2016</w:t>
      </w:r>
    </w:p>
    <w:p w:rsidR="00283FAC" w:rsidRPr="006144B9" w:rsidRDefault="00283FAC" w:rsidP="00AE5DDB">
      <w:pPr>
        <w:jc w:val="center"/>
        <w:rPr>
          <w:rFonts w:ascii="Times New Roman" w:hAnsi="Times New Roman" w:cs="Times New Roman"/>
          <w:b/>
          <w:sz w:val="28"/>
          <w:szCs w:val="28"/>
        </w:rPr>
      </w:pPr>
    </w:p>
    <w:p w:rsidR="00C5409D" w:rsidRPr="00AD5045" w:rsidRDefault="00C5409D" w:rsidP="00C5409D">
      <w:pPr>
        <w:spacing w:before="200" w:after="240"/>
        <w:jc w:val="center"/>
        <w:rPr>
          <w:rFonts w:ascii="Times New Roman" w:hAnsi="Times New Roman" w:cs="Times New Roman"/>
          <w:u w:val="single"/>
        </w:rPr>
      </w:pPr>
      <w:bookmarkStart w:id="0" w:name="_GoBack"/>
      <w:bookmarkEnd w:id="0"/>
      <w:r w:rsidRPr="00AD5045">
        <w:rPr>
          <w:rFonts w:ascii="Times New Roman" w:hAnsi="Times New Roman" w:cs="Times New Roman"/>
          <w:u w:val="single"/>
        </w:rPr>
        <w:t>Issued by Authority of the Minister for Finance</w:t>
      </w:r>
    </w:p>
    <w:p w:rsidR="00C5409D" w:rsidRPr="00AD5045" w:rsidRDefault="00C5409D" w:rsidP="00C5409D">
      <w:pPr>
        <w:jc w:val="center"/>
        <w:rPr>
          <w:rFonts w:ascii="Times New Roman" w:hAnsi="Times New Roman" w:cs="Times New Roman"/>
          <w:i/>
        </w:rPr>
      </w:pPr>
      <w:r w:rsidRPr="00AD5045">
        <w:rPr>
          <w:rFonts w:ascii="Times New Roman" w:hAnsi="Times New Roman" w:cs="Times New Roman"/>
          <w:i/>
        </w:rPr>
        <w:t>Commonwealth Electoral Act 1918</w:t>
      </w:r>
    </w:p>
    <w:p w:rsidR="00C5409D" w:rsidRPr="00AD5045" w:rsidRDefault="00C5409D" w:rsidP="00C5409D">
      <w:pPr>
        <w:jc w:val="center"/>
        <w:rPr>
          <w:rFonts w:ascii="Times New Roman" w:hAnsi="Times New Roman" w:cs="Times New Roman"/>
          <w:i/>
        </w:rPr>
      </w:pPr>
      <w:r w:rsidRPr="00AD5045">
        <w:rPr>
          <w:rFonts w:ascii="Times New Roman" w:hAnsi="Times New Roman" w:cs="Times New Roman"/>
          <w:i/>
        </w:rPr>
        <w:t>Referendum (Machinery Provisions) Act 1984</w:t>
      </w:r>
    </w:p>
    <w:p w:rsidR="00C5409D" w:rsidRPr="00AD5045" w:rsidRDefault="00C5409D" w:rsidP="004D4476">
      <w:pPr>
        <w:rPr>
          <w:rFonts w:ascii="Times New Roman" w:hAnsi="Times New Roman" w:cs="Times New Roman"/>
          <w:b/>
        </w:rPr>
      </w:pPr>
    </w:p>
    <w:p w:rsidR="004D4476" w:rsidRPr="00AD5045" w:rsidRDefault="004D4476" w:rsidP="004D4476">
      <w:pPr>
        <w:rPr>
          <w:rFonts w:ascii="Times New Roman" w:hAnsi="Times New Roman" w:cs="Times New Roman"/>
          <w:b/>
        </w:rPr>
      </w:pPr>
      <w:r w:rsidRPr="00AD5045">
        <w:rPr>
          <w:rFonts w:ascii="Times New Roman" w:hAnsi="Times New Roman" w:cs="Times New Roman"/>
          <w:b/>
        </w:rPr>
        <w:t>Legislative Authority</w:t>
      </w:r>
    </w:p>
    <w:p w:rsidR="004D4476" w:rsidRPr="00AD5045" w:rsidRDefault="004D4476" w:rsidP="004D4476">
      <w:pPr>
        <w:spacing w:after="0"/>
        <w:ind w:right="91"/>
        <w:rPr>
          <w:rFonts w:ascii="Times New Roman" w:eastAsia="Times New Roman" w:hAnsi="Times New Roman" w:cs="Times New Roman"/>
          <w:sz w:val="22"/>
          <w:szCs w:val="24"/>
          <w:lang w:eastAsia="en-AU"/>
        </w:rPr>
      </w:pPr>
      <w:r w:rsidRPr="00AD5045">
        <w:rPr>
          <w:rFonts w:ascii="Times New Roman" w:eastAsia="Times New Roman" w:hAnsi="Times New Roman" w:cs="Times New Roman"/>
          <w:sz w:val="22"/>
          <w:szCs w:val="24"/>
          <w:lang w:eastAsia="en-AU"/>
        </w:rPr>
        <w:t xml:space="preserve">Section 395 of the </w:t>
      </w:r>
      <w:r w:rsidRPr="00AD5045">
        <w:rPr>
          <w:rFonts w:ascii="Times New Roman" w:eastAsia="Times New Roman" w:hAnsi="Times New Roman" w:cs="Times New Roman"/>
          <w:i/>
          <w:iCs/>
          <w:sz w:val="22"/>
          <w:szCs w:val="24"/>
          <w:lang w:eastAsia="en-AU"/>
        </w:rPr>
        <w:t xml:space="preserve">Commonwealth Electoral Act 1918 </w:t>
      </w:r>
      <w:r w:rsidRPr="00AD5045">
        <w:rPr>
          <w:rFonts w:ascii="Times New Roman" w:eastAsia="Times New Roman" w:hAnsi="Times New Roman" w:cs="Times New Roman"/>
          <w:sz w:val="22"/>
          <w:szCs w:val="24"/>
          <w:lang w:eastAsia="en-AU"/>
        </w:rPr>
        <w:t>(the Electoral Act) provides, in part, that the Governor-General may make regulations, not inconsistent with the Electoral Act, prescribing all matters which by that Act are required or permitted to be prescribed, or necessary or convenient to be prescribed for giving effect to the Electoral Act.  </w:t>
      </w:r>
    </w:p>
    <w:p w:rsidR="004D4476" w:rsidRPr="00AD5045" w:rsidRDefault="004D4476" w:rsidP="004D4476">
      <w:pPr>
        <w:spacing w:after="0"/>
        <w:ind w:right="91"/>
        <w:rPr>
          <w:rFonts w:ascii="Times New Roman" w:eastAsia="Times New Roman" w:hAnsi="Times New Roman" w:cs="Times New Roman"/>
          <w:sz w:val="22"/>
          <w:szCs w:val="24"/>
          <w:lang w:eastAsia="en-AU"/>
        </w:rPr>
      </w:pPr>
    </w:p>
    <w:p w:rsidR="004D4476" w:rsidRPr="00AD5045" w:rsidRDefault="004D4476" w:rsidP="00B8478B">
      <w:pPr>
        <w:spacing w:after="240"/>
        <w:ind w:right="91"/>
        <w:rPr>
          <w:rFonts w:ascii="Times New Roman" w:eastAsia="Times New Roman" w:hAnsi="Times New Roman" w:cs="Times New Roman"/>
          <w:sz w:val="22"/>
          <w:szCs w:val="24"/>
          <w:lang w:eastAsia="en-AU"/>
        </w:rPr>
      </w:pPr>
      <w:r w:rsidRPr="00AD5045">
        <w:rPr>
          <w:rFonts w:ascii="Times New Roman" w:eastAsia="Times New Roman" w:hAnsi="Times New Roman" w:cs="Times New Roman"/>
          <w:sz w:val="22"/>
          <w:szCs w:val="24"/>
          <w:lang w:eastAsia="en-AU"/>
        </w:rPr>
        <w:t xml:space="preserve">In addition, section 144 of the </w:t>
      </w:r>
      <w:r w:rsidRPr="00AD5045">
        <w:rPr>
          <w:rFonts w:ascii="Times New Roman" w:eastAsia="Times New Roman" w:hAnsi="Times New Roman" w:cs="Times New Roman"/>
          <w:i/>
          <w:iCs/>
          <w:sz w:val="22"/>
          <w:szCs w:val="24"/>
          <w:lang w:eastAsia="en-AU"/>
        </w:rPr>
        <w:t xml:space="preserve">Referendum (Machinery Provisions) Act 1984 </w:t>
      </w:r>
      <w:r w:rsidRPr="00AD5045">
        <w:rPr>
          <w:rFonts w:ascii="Times New Roman" w:eastAsia="Times New Roman" w:hAnsi="Times New Roman" w:cs="Times New Roman"/>
          <w:sz w:val="22"/>
          <w:szCs w:val="24"/>
          <w:lang w:eastAsia="en-AU"/>
        </w:rPr>
        <w:t>(the Referendum Act)</w:t>
      </w:r>
      <w:r w:rsidRPr="00AD5045">
        <w:rPr>
          <w:rFonts w:ascii="Times New Roman" w:eastAsia="Times New Roman" w:hAnsi="Times New Roman" w:cs="Times New Roman"/>
          <w:i/>
          <w:iCs/>
          <w:sz w:val="22"/>
          <w:szCs w:val="24"/>
          <w:lang w:eastAsia="en-AU"/>
        </w:rPr>
        <w:t xml:space="preserve"> </w:t>
      </w:r>
      <w:r w:rsidRPr="00AD5045">
        <w:rPr>
          <w:rFonts w:ascii="Times New Roman" w:eastAsia="Times New Roman" w:hAnsi="Times New Roman" w:cs="Times New Roman"/>
          <w:sz w:val="22"/>
          <w:szCs w:val="24"/>
          <w:lang w:eastAsia="en-AU"/>
        </w:rPr>
        <w:t>provides, in part, that the Governor-General may make regulations, not inconsistent with that Act, prescribing matters required or permitted by that Act to be prescribed, or necessary or convenient to be prescribed for carrying out or giving effect to that Act.</w:t>
      </w:r>
    </w:p>
    <w:p w:rsidR="004D4476" w:rsidRPr="00AD5045" w:rsidRDefault="00D94081" w:rsidP="004D4476">
      <w:pPr>
        <w:rPr>
          <w:rFonts w:ascii="Times New Roman" w:hAnsi="Times New Roman" w:cs="Times New Roman"/>
          <w:b/>
        </w:rPr>
      </w:pPr>
      <w:r w:rsidRPr="00AD5045">
        <w:rPr>
          <w:rFonts w:ascii="Times New Roman" w:hAnsi="Times New Roman" w:cs="Times New Roman"/>
          <w:b/>
        </w:rPr>
        <w:t xml:space="preserve">Background </w:t>
      </w:r>
    </w:p>
    <w:p w:rsidR="00B8478B" w:rsidRPr="00B8478B" w:rsidRDefault="00B8478B" w:rsidP="00B8478B">
      <w:pPr>
        <w:spacing w:after="240"/>
        <w:ind w:right="91"/>
        <w:rPr>
          <w:rFonts w:ascii="Times New Roman" w:hAnsi="Times New Roman" w:cs="Times New Roman"/>
          <w:szCs w:val="24"/>
        </w:rPr>
      </w:pPr>
      <w:r w:rsidRPr="00B8478B">
        <w:rPr>
          <w:rFonts w:ascii="Times New Roman" w:hAnsi="Times New Roman" w:cs="Times New Roman"/>
          <w:szCs w:val="24"/>
        </w:rPr>
        <w:t xml:space="preserve">The purpose of the </w:t>
      </w:r>
      <w:r w:rsidR="00AE5DDB" w:rsidRPr="00AE5DDB">
        <w:rPr>
          <w:rFonts w:ascii="Times New Roman" w:hAnsi="Times New Roman" w:cs="Times New Roman"/>
          <w:i/>
          <w:szCs w:val="24"/>
        </w:rPr>
        <w:t xml:space="preserve">Electoral and Referendum </w:t>
      </w:r>
      <w:r w:rsidRPr="00AE5DDB">
        <w:rPr>
          <w:rFonts w:ascii="Times New Roman" w:hAnsi="Times New Roman" w:cs="Times New Roman"/>
          <w:i/>
          <w:szCs w:val="24"/>
        </w:rPr>
        <w:t xml:space="preserve">Regulation </w:t>
      </w:r>
      <w:r w:rsidR="00AE5DDB" w:rsidRPr="00AE5DDB">
        <w:rPr>
          <w:rFonts w:ascii="Times New Roman" w:hAnsi="Times New Roman" w:cs="Times New Roman"/>
          <w:i/>
          <w:szCs w:val="24"/>
        </w:rPr>
        <w:t>2016</w:t>
      </w:r>
      <w:r w:rsidR="00AE5DDB">
        <w:rPr>
          <w:rFonts w:ascii="Times New Roman" w:hAnsi="Times New Roman" w:cs="Times New Roman"/>
          <w:szCs w:val="24"/>
        </w:rPr>
        <w:t xml:space="preserve"> (the Regulation) </w:t>
      </w:r>
      <w:r w:rsidRPr="00B8478B">
        <w:rPr>
          <w:rFonts w:ascii="Times New Roman" w:hAnsi="Times New Roman" w:cs="Times New Roman"/>
          <w:szCs w:val="24"/>
        </w:rPr>
        <w:t xml:space="preserve">is to repeal and replace the </w:t>
      </w:r>
      <w:r w:rsidRPr="00B8478B">
        <w:rPr>
          <w:rFonts w:ascii="Times New Roman" w:hAnsi="Times New Roman" w:cs="Times New Roman"/>
          <w:i/>
          <w:szCs w:val="24"/>
        </w:rPr>
        <w:t>Electoral and Referendum Regulations 1940</w:t>
      </w:r>
      <w:r w:rsidRPr="00B8478B">
        <w:rPr>
          <w:rFonts w:ascii="Times New Roman" w:hAnsi="Times New Roman" w:cs="Times New Roman"/>
          <w:szCs w:val="24"/>
        </w:rPr>
        <w:t xml:space="preserve"> </w:t>
      </w:r>
      <w:r w:rsidR="00AE5DDB">
        <w:rPr>
          <w:rFonts w:ascii="Times New Roman" w:hAnsi="Times New Roman" w:cs="Times New Roman"/>
          <w:szCs w:val="24"/>
        </w:rPr>
        <w:t xml:space="preserve">(the 1940 Regulations) </w:t>
      </w:r>
      <w:r w:rsidRPr="00B8478B">
        <w:rPr>
          <w:rFonts w:ascii="Times New Roman" w:hAnsi="Times New Roman" w:cs="Times New Roman"/>
          <w:szCs w:val="24"/>
        </w:rPr>
        <w:t xml:space="preserve">which sunset on 1 April 2016.  The Regulation is substantially based upon the </w:t>
      </w:r>
      <w:r w:rsidR="006144B9">
        <w:rPr>
          <w:rFonts w:ascii="Times New Roman" w:hAnsi="Times New Roman" w:cs="Times New Roman"/>
          <w:szCs w:val="24"/>
        </w:rPr>
        <w:t xml:space="preserve">1940 Regulations </w:t>
      </w:r>
      <w:r w:rsidRPr="00B8478B">
        <w:rPr>
          <w:rFonts w:ascii="Times New Roman" w:hAnsi="Times New Roman" w:cs="Times New Roman"/>
          <w:szCs w:val="24"/>
        </w:rPr>
        <w:t>however the Regulation has been restructured, redundant material has been omitted and the wording of some provisions recast to closer reflect provisions in the Electoral Act and the Referendum Act.</w:t>
      </w:r>
    </w:p>
    <w:p w:rsidR="00B8478B" w:rsidRDefault="00D94081" w:rsidP="00E364DE">
      <w:pPr>
        <w:rPr>
          <w:rFonts w:ascii="Times New Roman" w:hAnsi="Times New Roman" w:cs="Times New Roman"/>
          <w:b/>
        </w:rPr>
      </w:pPr>
      <w:r w:rsidRPr="00AD5045">
        <w:rPr>
          <w:rFonts w:ascii="Times New Roman" w:hAnsi="Times New Roman" w:cs="Times New Roman"/>
          <w:b/>
        </w:rPr>
        <w:t>Purpose</w:t>
      </w:r>
      <w:r>
        <w:rPr>
          <w:rFonts w:ascii="Times New Roman" w:hAnsi="Times New Roman" w:cs="Times New Roman"/>
          <w:b/>
        </w:rPr>
        <w:t xml:space="preserve"> and o</w:t>
      </w:r>
      <w:r w:rsidR="00B8478B" w:rsidRPr="00AD5045">
        <w:rPr>
          <w:rFonts w:ascii="Times New Roman" w:hAnsi="Times New Roman" w:cs="Times New Roman"/>
          <w:b/>
        </w:rPr>
        <w:t>peration</w:t>
      </w:r>
    </w:p>
    <w:p w:rsidR="00B8478B" w:rsidRPr="00B8478B" w:rsidRDefault="00B8478B" w:rsidP="00B8478B">
      <w:pPr>
        <w:spacing w:after="240"/>
        <w:ind w:right="91"/>
        <w:rPr>
          <w:rFonts w:ascii="Times New Roman" w:hAnsi="Times New Roman" w:cs="Times New Roman"/>
          <w:szCs w:val="24"/>
        </w:rPr>
      </w:pPr>
      <w:r w:rsidRPr="00B8478B">
        <w:rPr>
          <w:rFonts w:ascii="Times New Roman" w:hAnsi="Times New Roman" w:cs="Times New Roman"/>
          <w:szCs w:val="24"/>
        </w:rPr>
        <w:t xml:space="preserve">Specific provisions in the Electoral Act </w:t>
      </w:r>
      <w:r>
        <w:rPr>
          <w:rFonts w:ascii="Times New Roman" w:hAnsi="Times New Roman" w:cs="Times New Roman"/>
          <w:szCs w:val="24"/>
        </w:rPr>
        <w:t>and the Referendum Act provide</w:t>
      </w:r>
      <w:r w:rsidRPr="00B8478B">
        <w:rPr>
          <w:rFonts w:ascii="Times New Roman" w:hAnsi="Times New Roman" w:cs="Times New Roman"/>
          <w:szCs w:val="24"/>
        </w:rPr>
        <w:t xml:space="preserve"> that regulations may be made to support particular electoral or enrolment activity.</w:t>
      </w:r>
    </w:p>
    <w:p w:rsidR="00B8478B" w:rsidRPr="00B8478B" w:rsidRDefault="00B8478B" w:rsidP="00B8478B">
      <w:pPr>
        <w:spacing w:after="240"/>
        <w:ind w:right="91"/>
        <w:rPr>
          <w:rFonts w:ascii="Times New Roman" w:hAnsi="Times New Roman" w:cs="Times New Roman"/>
          <w:szCs w:val="24"/>
        </w:rPr>
      </w:pPr>
      <w:r w:rsidRPr="00B8478B">
        <w:rPr>
          <w:rFonts w:ascii="Times New Roman" w:hAnsi="Times New Roman" w:cs="Times New Roman"/>
          <w:szCs w:val="24"/>
        </w:rPr>
        <w:t xml:space="preserve">For the Electoral Act, these include section 202AB which provides that regulations may provide for </w:t>
      </w:r>
      <w:r w:rsidR="007740AB">
        <w:rPr>
          <w:rFonts w:ascii="Times New Roman" w:hAnsi="Times New Roman" w:cs="Times New Roman"/>
          <w:szCs w:val="24"/>
        </w:rPr>
        <w:t xml:space="preserve">people who are </w:t>
      </w:r>
      <w:r w:rsidRPr="00B8478B">
        <w:rPr>
          <w:rFonts w:ascii="Times New Roman" w:hAnsi="Times New Roman" w:cs="Times New Roman"/>
          <w:szCs w:val="24"/>
        </w:rPr>
        <w:t>sight-impaired to vote by an electronically assisted voting method.  Subsection 382(7) provides that a requirement to sign a claim or application is satisfied if a person satisfies the requirements specified in the regulations.  The definition of ‘prescribed authority’ in section 4 and circumstances specified in item 4 of the table in subsection 90B(4) establish a scheme where the Australian Electoral Commission (AEC) can provide roll information to Commonwealth government agencies specified in the regulations.</w:t>
      </w:r>
    </w:p>
    <w:p w:rsidR="00B8478B" w:rsidRDefault="00B8478B" w:rsidP="00B8478B">
      <w:pPr>
        <w:spacing w:after="240"/>
        <w:ind w:right="91"/>
        <w:rPr>
          <w:rFonts w:ascii="Times New Roman" w:hAnsi="Times New Roman" w:cs="Times New Roman"/>
          <w:szCs w:val="24"/>
        </w:rPr>
      </w:pPr>
      <w:r w:rsidRPr="00B8478B">
        <w:rPr>
          <w:rFonts w:ascii="Times New Roman" w:hAnsi="Times New Roman" w:cs="Times New Roman"/>
          <w:szCs w:val="24"/>
        </w:rPr>
        <w:t xml:space="preserve">For the Referendum Act, these include section 73M which provides that regulations may provide for </w:t>
      </w:r>
      <w:r w:rsidR="007740AB">
        <w:rPr>
          <w:rFonts w:ascii="Times New Roman" w:hAnsi="Times New Roman" w:cs="Times New Roman"/>
          <w:szCs w:val="24"/>
        </w:rPr>
        <w:t xml:space="preserve">people who are </w:t>
      </w:r>
      <w:r w:rsidRPr="00B8478B">
        <w:rPr>
          <w:rFonts w:ascii="Times New Roman" w:hAnsi="Times New Roman" w:cs="Times New Roman"/>
          <w:szCs w:val="24"/>
        </w:rPr>
        <w:t>sight-impaired to vote by an electronically assisted voting method.</w:t>
      </w:r>
    </w:p>
    <w:p w:rsidR="006144B9" w:rsidRDefault="006144B9" w:rsidP="00B8478B">
      <w:pPr>
        <w:spacing w:after="240"/>
        <w:ind w:right="91"/>
        <w:rPr>
          <w:rFonts w:ascii="Times New Roman" w:hAnsi="Times New Roman" w:cs="Times New Roman"/>
          <w:szCs w:val="24"/>
        </w:rPr>
      </w:pPr>
      <w:r>
        <w:rPr>
          <w:rFonts w:ascii="Times New Roman" w:hAnsi="Times New Roman" w:cs="Times New Roman"/>
          <w:szCs w:val="24"/>
        </w:rPr>
        <w:lastRenderedPageBreak/>
        <w:t xml:space="preserve">The Regulation, amongst other things, will provide for the provision of roll information to </w:t>
      </w:r>
      <w:r w:rsidR="007740AB">
        <w:rPr>
          <w:rFonts w:ascii="Times New Roman" w:hAnsi="Times New Roman" w:cs="Times New Roman"/>
          <w:szCs w:val="24"/>
        </w:rPr>
        <w:t>prescribed</w:t>
      </w:r>
      <w:r>
        <w:rPr>
          <w:rFonts w:ascii="Times New Roman" w:hAnsi="Times New Roman" w:cs="Times New Roman"/>
          <w:szCs w:val="24"/>
        </w:rPr>
        <w:t xml:space="preserve"> Commonwealth agencies and specify the purposes for which the roll information may be used.  The Regulation will also provide for roll information to be disclosed to entities with obligations under the </w:t>
      </w:r>
      <w:r w:rsidRPr="006144B9">
        <w:rPr>
          <w:rFonts w:ascii="Times New Roman" w:hAnsi="Times New Roman" w:cs="Times New Roman"/>
          <w:i/>
          <w:szCs w:val="24"/>
        </w:rPr>
        <w:t>Anti-Money Laundering and Counter-Terrorism Financing Act 2006</w:t>
      </w:r>
      <w:r>
        <w:rPr>
          <w:rFonts w:ascii="Times New Roman" w:hAnsi="Times New Roman" w:cs="Times New Roman"/>
          <w:szCs w:val="24"/>
        </w:rPr>
        <w:t>, or entitles that act as agents for entities with reporting obligations.</w:t>
      </w:r>
    </w:p>
    <w:p w:rsidR="006144B9" w:rsidRDefault="006144B9" w:rsidP="00B8478B">
      <w:pPr>
        <w:spacing w:after="240"/>
        <w:ind w:right="91"/>
        <w:rPr>
          <w:rFonts w:ascii="Times New Roman" w:hAnsi="Times New Roman" w:cs="Times New Roman"/>
          <w:szCs w:val="24"/>
        </w:rPr>
      </w:pPr>
      <w:r>
        <w:rPr>
          <w:rFonts w:ascii="Times New Roman" w:hAnsi="Times New Roman" w:cs="Times New Roman"/>
          <w:szCs w:val="24"/>
        </w:rPr>
        <w:t xml:space="preserve">The Regulation will also provide the </w:t>
      </w:r>
      <w:r w:rsidR="00CF4F70">
        <w:rPr>
          <w:rFonts w:ascii="Times New Roman" w:hAnsi="Times New Roman" w:cs="Times New Roman"/>
          <w:szCs w:val="24"/>
        </w:rPr>
        <w:t>mechanics for conducting electronically assisted voting at elections and referendums for sight-impaired people.</w:t>
      </w:r>
    </w:p>
    <w:p w:rsidR="000A7F10" w:rsidRPr="00D94081" w:rsidRDefault="00D94081" w:rsidP="00D94081">
      <w:pPr>
        <w:spacing w:after="240"/>
        <w:ind w:right="91"/>
        <w:rPr>
          <w:rFonts w:ascii="Times New Roman" w:hAnsi="Times New Roman" w:cs="Times New Roman"/>
          <w:szCs w:val="24"/>
        </w:rPr>
      </w:pPr>
      <w:r w:rsidRPr="00D94081">
        <w:rPr>
          <w:rFonts w:ascii="Times New Roman" w:hAnsi="Times New Roman" w:cs="Times New Roman"/>
          <w:szCs w:val="24"/>
        </w:rPr>
        <w:t xml:space="preserve">Details of the proposed Regulation are set out in the </w:t>
      </w:r>
      <w:r w:rsidRPr="00D94081">
        <w:rPr>
          <w:rFonts w:ascii="Times New Roman" w:hAnsi="Times New Roman" w:cs="Times New Roman"/>
          <w:szCs w:val="24"/>
          <w:u w:val="single"/>
        </w:rPr>
        <w:t>Attachment</w:t>
      </w:r>
      <w:r w:rsidRPr="00D94081">
        <w:rPr>
          <w:rFonts w:ascii="Times New Roman" w:hAnsi="Times New Roman" w:cs="Times New Roman"/>
          <w:szCs w:val="24"/>
        </w:rPr>
        <w:t>.</w:t>
      </w:r>
    </w:p>
    <w:p w:rsidR="00E364DE" w:rsidRPr="00CF4F70" w:rsidRDefault="00E364DE" w:rsidP="00E364DE">
      <w:pPr>
        <w:rPr>
          <w:rFonts w:ascii="Times New Roman" w:hAnsi="Times New Roman" w:cs="Times New Roman"/>
          <w:b/>
        </w:rPr>
      </w:pPr>
      <w:r w:rsidRPr="00CF4F70">
        <w:rPr>
          <w:rFonts w:ascii="Times New Roman" w:hAnsi="Times New Roman" w:cs="Times New Roman"/>
          <w:b/>
        </w:rPr>
        <w:t xml:space="preserve">Consultation </w:t>
      </w:r>
    </w:p>
    <w:p w:rsidR="00E364DE" w:rsidRDefault="00CF4F70" w:rsidP="00E364DE">
      <w:pPr>
        <w:rPr>
          <w:rFonts w:ascii="Times New Roman" w:hAnsi="Times New Roman" w:cs="Times New Roman"/>
        </w:rPr>
      </w:pPr>
      <w:r w:rsidRPr="00CF4F70">
        <w:rPr>
          <w:rFonts w:ascii="Times New Roman" w:hAnsi="Times New Roman" w:cs="Times New Roman"/>
        </w:rPr>
        <w:t>The Aus</w:t>
      </w:r>
      <w:r>
        <w:rPr>
          <w:rFonts w:ascii="Times New Roman" w:hAnsi="Times New Roman" w:cs="Times New Roman"/>
        </w:rPr>
        <w:t>tralian Electoral Commission consulted extensively with Commonwealth agencies to recast Schedule 1 so that the correct functional group in each agency was receiving roll information and the Department was correctly identified.  No new permitted purposes or agencies were added to Schedule 1 as part of the remaking exercise.</w:t>
      </w:r>
    </w:p>
    <w:p w:rsidR="00CF4F70" w:rsidRPr="00CF4F70" w:rsidRDefault="00CF4F70" w:rsidP="00E364DE">
      <w:pPr>
        <w:rPr>
          <w:rFonts w:ascii="Times New Roman" w:hAnsi="Times New Roman" w:cs="Times New Roman"/>
        </w:rPr>
      </w:pPr>
      <w:r>
        <w:rPr>
          <w:rFonts w:ascii="Times New Roman" w:hAnsi="Times New Roman" w:cs="Times New Roman"/>
        </w:rPr>
        <w:t>As the remaining provisions are essentially the same, no further consultation was conducted.</w:t>
      </w:r>
    </w:p>
    <w:p w:rsidR="00E364DE" w:rsidRPr="00AD5045" w:rsidRDefault="00C5409D" w:rsidP="00E364DE">
      <w:pPr>
        <w:rPr>
          <w:rFonts w:ascii="Times New Roman" w:hAnsi="Times New Roman" w:cs="Times New Roman"/>
          <w:b/>
        </w:rPr>
      </w:pPr>
      <w:r w:rsidRPr="00CF4F70">
        <w:rPr>
          <w:rFonts w:ascii="Times New Roman" w:hAnsi="Times New Roman" w:cs="Times New Roman"/>
          <w:b/>
        </w:rPr>
        <w:t>Statement of compatibility with Human rights</w:t>
      </w:r>
    </w:p>
    <w:p w:rsidR="00B666C7" w:rsidRPr="00427CB0" w:rsidRDefault="00427CB0" w:rsidP="00E364DE">
      <w:pPr>
        <w:rPr>
          <w:rFonts w:ascii="Times New Roman" w:hAnsi="Times New Roman" w:cs="Times New Roman"/>
        </w:rPr>
      </w:pPr>
      <w:r w:rsidRPr="00427CB0">
        <w:rPr>
          <w:rFonts w:ascii="Times New Roman" w:hAnsi="Times New Roman" w:cs="Times New Roman"/>
        </w:rPr>
        <w:t>Th</w:t>
      </w:r>
      <w:r>
        <w:rPr>
          <w:rFonts w:ascii="Times New Roman" w:hAnsi="Times New Roman" w:cs="Times New Roman"/>
        </w:rPr>
        <w:t>e Regulation engages the following human rights:</w:t>
      </w:r>
    </w:p>
    <w:p w:rsidR="005007D9" w:rsidRPr="006D38BB" w:rsidRDefault="005007D9" w:rsidP="005007D9">
      <w:pPr>
        <w:rPr>
          <w:rFonts w:ascii="Times New Roman" w:hAnsi="Times New Roman" w:cs="Times New Roman"/>
          <w:i/>
          <w:szCs w:val="24"/>
        </w:rPr>
      </w:pPr>
      <w:r w:rsidRPr="006D38BB">
        <w:rPr>
          <w:rFonts w:ascii="Times New Roman" w:hAnsi="Times New Roman" w:cs="Times New Roman"/>
          <w:i/>
          <w:szCs w:val="24"/>
        </w:rPr>
        <w:t xml:space="preserve">Take part in the conduct of political affairs </w:t>
      </w:r>
    </w:p>
    <w:p w:rsidR="005007D9" w:rsidRPr="005007D9" w:rsidRDefault="005007D9" w:rsidP="005007D9">
      <w:pPr>
        <w:rPr>
          <w:rFonts w:ascii="Times New Roman" w:hAnsi="Times New Roman" w:cs="Times New Roman"/>
        </w:rPr>
      </w:pPr>
      <w:r w:rsidRPr="005007D9">
        <w:rPr>
          <w:rFonts w:ascii="Times New Roman" w:hAnsi="Times New Roman" w:cs="Times New Roman"/>
        </w:rPr>
        <w:t xml:space="preserve">Article 25 of the International Covenant on Civil and Political Rights (the ICCPR) provides, among other things, that every citizen shall have the right and the opportunity to take part in the conduct of public affairs, directly or through freely chosen representatives and to vote and to be elected at periodic elections.  </w:t>
      </w:r>
    </w:p>
    <w:p w:rsidR="005007D9" w:rsidRPr="006D38BB" w:rsidRDefault="005007D9" w:rsidP="005007D9">
      <w:pPr>
        <w:shd w:val="clear" w:color="auto" w:fill="FFFFFF"/>
        <w:spacing w:before="100" w:beforeAutospacing="1" w:after="100" w:afterAutospacing="1"/>
        <w:textAlignment w:val="top"/>
        <w:rPr>
          <w:rFonts w:ascii="Times New Roman" w:hAnsi="Times New Roman" w:cs="Times New Roman"/>
          <w:bCs/>
          <w:i/>
          <w:szCs w:val="24"/>
          <w:lang w:val="en"/>
        </w:rPr>
      </w:pPr>
      <w:r w:rsidRPr="006D38BB">
        <w:rPr>
          <w:rFonts w:ascii="Times New Roman" w:hAnsi="Times New Roman" w:cs="Times New Roman"/>
          <w:bCs/>
          <w:i/>
          <w:szCs w:val="24"/>
          <w:lang w:val="en"/>
        </w:rPr>
        <w:t>Participation in political and public life</w:t>
      </w:r>
    </w:p>
    <w:p w:rsidR="005007D9" w:rsidRPr="005007D9" w:rsidRDefault="005007D9" w:rsidP="005007D9">
      <w:pPr>
        <w:rPr>
          <w:rFonts w:ascii="Times New Roman" w:hAnsi="Times New Roman" w:cs="Times New Roman"/>
        </w:rPr>
      </w:pPr>
      <w:r w:rsidRPr="005007D9">
        <w:rPr>
          <w:rFonts w:ascii="Times New Roman" w:hAnsi="Times New Roman" w:cs="Times New Roman"/>
        </w:rPr>
        <w:t xml:space="preserve">Article 29 of the Convention on the Rights of Persons with Disabilities (the CRPD) requires that countries guarantee to persons with disabilities political rights and the opportunity to enjoy them on an equal basis with others, including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 </w:t>
      </w:r>
    </w:p>
    <w:p w:rsidR="005007D9" w:rsidRPr="005007D9" w:rsidRDefault="005007D9" w:rsidP="005007D9">
      <w:pPr>
        <w:numPr>
          <w:ilvl w:val="1"/>
          <w:numId w:val="61"/>
        </w:numPr>
        <w:shd w:val="clear" w:color="auto" w:fill="FFFFFF"/>
        <w:spacing w:before="100" w:beforeAutospacing="1" w:after="100" w:afterAutospacing="1"/>
        <w:textAlignment w:val="top"/>
        <w:rPr>
          <w:rFonts w:ascii="Times New Roman" w:hAnsi="Times New Roman" w:cs="Times New Roman"/>
          <w:color w:val="000000"/>
          <w:szCs w:val="24"/>
          <w:lang w:val="en"/>
        </w:rPr>
      </w:pPr>
      <w:r w:rsidRPr="005007D9">
        <w:rPr>
          <w:rFonts w:ascii="Times New Roman" w:hAnsi="Times New Roman" w:cs="Times New Roman"/>
          <w:color w:val="000000"/>
          <w:szCs w:val="24"/>
          <w:lang w:val="en"/>
        </w:rPr>
        <w:t>Ensuring that voting procedures, facilities and materials are appropriate, accessible and easy to understand and use;</w:t>
      </w:r>
    </w:p>
    <w:p w:rsidR="005007D9" w:rsidRPr="005007D9" w:rsidRDefault="005007D9" w:rsidP="005007D9">
      <w:pPr>
        <w:numPr>
          <w:ilvl w:val="1"/>
          <w:numId w:val="61"/>
        </w:numPr>
        <w:shd w:val="clear" w:color="auto" w:fill="FFFFFF"/>
        <w:spacing w:before="100" w:beforeAutospacing="1" w:after="100" w:afterAutospacing="1"/>
        <w:textAlignment w:val="top"/>
        <w:rPr>
          <w:rFonts w:ascii="Times New Roman" w:hAnsi="Times New Roman" w:cs="Times New Roman"/>
          <w:color w:val="000000"/>
          <w:szCs w:val="24"/>
          <w:lang w:val="en"/>
        </w:rPr>
      </w:pPr>
      <w:r w:rsidRPr="005007D9">
        <w:rPr>
          <w:rFonts w:ascii="Times New Roman" w:hAnsi="Times New Roman" w:cs="Times New Roman"/>
          <w:color w:val="000000"/>
          <w:szCs w:val="24"/>
          <w:lang w:val="en"/>
        </w:rPr>
        <w:t>Protecting the right of persons with disabilities to vote by secret ballot in elections and public referendums without intimidation, facilitating the use of assistive and new technologies where appropriate;</w:t>
      </w:r>
    </w:p>
    <w:p w:rsidR="005007D9" w:rsidRPr="005007D9" w:rsidRDefault="005007D9" w:rsidP="005007D9">
      <w:pPr>
        <w:numPr>
          <w:ilvl w:val="1"/>
          <w:numId w:val="61"/>
        </w:numPr>
        <w:shd w:val="clear" w:color="auto" w:fill="FFFFFF"/>
        <w:spacing w:before="100" w:beforeAutospacing="1" w:after="100" w:afterAutospacing="1"/>
        <w:textAlignment w:val="top"/>
        <w:rPr>
          <w:rFonts w:ascii="Times New Roman" w:hAnsi="Times New Roman" w:cs="Times New Roman"/>
          <w:color w:val="000000"/>
          <w:szCs w:val="24"/>
          <w:lang w:val="en"/>
        </w:rPr>
      </w:pPr>
      <w:r w:rsidRPr="005007D9">
        <w:rPr>
          <w:rFonts w:ascii="Times New Roman" w:hAnsi="Times New Roman" w:cs="Times New Roman"/>
          <w:color w:val="000000"/>
          <w:szCs w:val="24"/>
          <w:lang w:val="en"/>
        </w:rPr>
        <w:t>Guaranteeing the free expression of the will of persons with disabilities as electors and to this end, where necessary, at their request, allowing assistance in voting by a person of their own choice.</w:t>
      </w:r>
    </w:p>
    <w:p w:rsidR="005007D9" w:rsidRPr="005007D9" w:rsidRDefault="005007D9" w:rsidP="005007D9">
      <w:pPr>
        <w:rPr>
          <w:rFonts w:ascii="Times New Roman" w:hAnsi="Times New Roman" w:cs="Times New Roman"/>
        </w:rPr>
      </w:pPr>
      <w:r w:rsidRPr="005007D9">
        <w:rPr>
          <w:rFonts w:ascii="Times New Roman" w:hAnsi="Times New Roman" w:cs="Times New Roman"/>
        </w:rPr>
        <w:t>The Regulation improve</w:t>
      </w:r>
      <w:r w:rsidR="006D38BB">
        <w:rPr>
          <w:rFonts w:ascii="Times New Roman" w:hAnsi="Times New Roman" w:cs="Times New Roman"/>
        </w:rPr>
        <w:t>s</w:t>
      </w:r>
      <w:r w:rsidRPr="005007D9">
        <w:rPr>
          <w:rFonts w:ascii="Times New Roman" w:hAnsi="Times New Roman" w:cs="Times New Roman"/>
        </w:rPr>
        <w:t xml:space="preserve"> upon special arrangements that were available to sight-impaired people to assist them voting at the 2010 general election.  They were developed in consultation with peak bodies</w:t>
      </w:r>
      <w:r w:rsidR="005A1A83">
        <w:rPr>
          <w:rFonts w:ascii="Times New Roman" w:hAnsi="Times New Roman" w:cs="Times New Roman"/>
        </w:rPr>
        <w:t xml:space="preserve"> representing people who are sight-impaired</w:t>
      </w:r>
      <w:r w:rsidRPr="005007D9">
        <w:rPr>
          <w:rFonts w:ascii="Times New Roman" w:hAnsi="Times New Roman" w:cs="Times New Roman"/>
        </w:rPr>
        <w:t xml:space="preserve">.  </w:t>
      </w:r>
    </w:p>
    <w:p w:rsidR="005007D9" w:rsidRPr="005007D9" w:rsidRDefault="005007D9" w:rsidP="005007D9">
      <w:pPr>
        <w:rPr>
          <w:rFonts w:ascii="Times New Roman" w:hAnsi="Times New Roman" w:cs="Times New Roman"/>
        </w:rPr>
      </w:pPr>
      <w:r w:rsidRPr="005007D9">
        <w:rPr>
          <w:rFonts w:ascii="Times New Roman" w:hAnsi="Times New Roman" w:cs="Times New Roman"/>
        </w:rPr>
        <w:lastRenderedPageBreak/>
        <w:t xml:space="preserve">They do not represent the only way in which </w:t>
      </w:r>
      <w:r w:rsidR="005A1A83">
        <w:rPr>
          <w:rFonts w:ascii="Times New Roman" w:hAnsi="Times New Roman" w:cs="Times New Roman"/>
        </w:rPr>
        <w:t xml:space="preserve">an elector who is </w:t>
      </w:r>
      <w:r w:rsidRPr="005007D9">
        <w:rPr>
          <w:rFonts w:ascii="Times New Roman" w:hAnsi="Times New Roman" w:cs="Times New Roman"/>
        </w:rPr>
        <w:t xml:space="preserve">sight-impaired (or any people with disabilities) can participate in the political process by voting.  Any person who may need assistance in voting can be helped to vote on Polling Day by a person marking their ballot paper for them at the Polling Place.  They can also be assisted by being allowed to mark their ballot paper outside of the Polling Place (see s234 and s234A of the Electoral Act).  If they seek to vote by lodging a Pre-Poll vote then they can also be assisted to vote by another person if that is necessary (s.200DL of the Electoral Act).  Also sight-impaired people may apply for a postal vote or a general postal vote.   </w:t>
      </w:r>
      <w:r w:rsidR="006D38BB">
        <w:rPr>
          <w:rFonts w:ascii="Times New Roman" w:hAnsi="Times New Roman" w:cs="Times New Roman"/>
        </w:rPr>
        <w:t>There are equivalent provisions in the Referendum Act.</w:t>
      </w:r>
    </w:p>
    <w:p w:rsidR="005007D9" w:rsidRPr="000A7F10" w:rsidRDefault="005007D9" w:rsidP="005007D9">
      <w:pPr>
        <w:shd w:val="clear" w:color="auto" w:fill="FFFFFF"/>
        <w:spacing w:before="100" w:beforeAutospacing="1" w:after="100" w:afterAutospacing="1"/>
        <w:textAlignment w:val="top"/>
        <w:rPr>
          <w:rFonts w:ascii="Times New Roman" w:hAnsi="Times New Roman" w:cs="Times New Roman"/>
          <w:i/>
          <w:color w:val="000000"/>
          <w:szCs w:val="24"/>
          <w:lang w:val="en"/>
        </w:rPr>
      </w:pPr>
      <w:r w:rsidRPr="000A7F10">
        <w:rPr>
          <w:rFonts w:ascii="Times New Roman" w:hAnsi="Times New Roman" w:cs="Times New Roman"/>
          <w:i/>
          <w:color w:val="000000"/>
          <w:szCs w:val="24"/>
          <w:lang w:val="en"/>
        </w:rPr>
        <w:t xml:space="preserve">Conclusion </w:t>
      </w:r>
    </w:p>
    <w:p w:rsidR="00B666C7" w:rsidRPr="005007D9" w:rsidRDefault="005007D9" w:rsidP="005007D9">
      <w:pPr>
        <w:rPr>
          <w:rFonts w:ascii="Times New Roman" w:hAnsi="Times New Roman" w:cs="Times New Roman"/>
        </w:rPr>
      </w:pPr>
      <w:r w:rsidRPr="005007D9">
        <w:rPr>
          <w:rFonts w:ascii="Times New Roman" w:hAnsi="Times New Roman" w:cs="Times New Roman"/>
        </w:rPr>
        <w:t xml:space="preserve">The Regulation </w:t>
      </w:r>
      <w:r w:rsidR="006D38BB">
        <w:rPr>
          <w:rFonts w:ascii="Times New Roman" w:hAnsi="Times New Roman" w:cs="Times New Roman"/>
        </w:rPr>
        <w:t>is</w:t>
      </w:r>
      <w:r w:rsidRPr="005007D9">
        <w:rPr>
          <w:rFonts w:ascii="Times New Roman" w:hAnsi="Times New Roman" w:cs="Times New Roman"/>
        </w:rPr>
        <w:t xml:space="preserve"> compatible with human rights because </w:t>
      </w:r>
      <w:r w:rsidR="006D38BB">
        <w:rPr>
          <w:rFonts w:ascii="Times New Roman" w:hAnsi="Times New Roman" w:cs="Times New Roman"/>
        </w:rPr>
        <w:t>it</w:t>
      </w:r>
      <w:r w:rsidRPr="005007D9">
        <w:rPr>
          <w:rFonts w:ascii="Times New Roman" w:hAnsi="Times New Roman" w:cs="Times New Roman"/>
        </w:rPr>
        <w:t xml:space="preserve"> provide</w:t>
      </w:r>
      <w:r w:rsidR="006D38BB">
        <w:rPr>
          <w:rFonts w:ascii="Times New Roman" w:hAnsi="Times New Roman" w:cs="Times New Roman"/>
        </w:rPr>
        <w:t>s</w:t>
      </w:r>
      <w:r w:rsidRPr="005007D9">
        <w:rPr>
          <w:rFonts w:ascii="Times New Roman" w:hAnsi="Times New Roman" w:cs="Times New Roman"/>
        </w:rPr>
        <w:t xml:space="preserve"> a further method for </w:t>
      </w:r>
      <w:r w:rsidR="005A1A83">
        <w:rPr>
          <w:rFonts w:ascii="Times New Roman" w:hAnsi="Times New Roman" w:cs="Times New Roman"/>
        </w:rPr>
        <w:t xml:space="preserve">people who are </w:t>
      </w:r>
      <w:r w:rsidRPr="005007D9">
        <w:rPr>
          <w:rFonts w:ascii="Times New Roman" w:hAnsi="Times New Roman" w:cs="Times New Roman"/>
        </w:rPr>
        <w:t xml:space="preserve">sight-impaired </w:t>
      </w:r>
      <w:r w:rsidR="005A1A83">
        <w:rPr>
          <w:rFonts w:ascii="Times New Roman" w:hAnsi="Times New Roman" w:cs="Times New Roman"/>
        </w:rPr>
        <w:t>to</w:t>
      </w:r>
      <w:r w:rsidRPr="005007D9">
        <w:rPr>
          <w:rFonts w:ascii="Times New Roman" w:hAnsi="Times New Roman" w:cs="Times New Roman"/>
        </w:rPr>
        <w:t xml:space="preserve"> participat</w:t>
      </w:r>
      <w:r w:rsidR="005A1A83">
        <w:rPr>
          <w:rFonts w:ascii="Times New Roman" w:hAnsi="Times New Roman" w:cs="Times New Roman"/>
        </w:rPr>
        <w:t>e</w:t>
      </w:r>
      <w:r w:rsidRPr="005007D9">
        <w:rPr>
          <w:rFonts w:ascii="Times New Roman" w:hAnsi="Times New Roman" w:cs="Times New Roman"/>
        </w:rPr>
        <w:t xml:space="preserve"> in political and public life by being able to vote more easily by calling a telephone call center.  The Regulation do</w:t>
      </w:r>
      <w:r w:rsidR="005A1A83">
        <w:rPr>
          <w:rFonts w:ascii="Times New Roman" w:hAnsi="Times New Roman" w:cs="Times New Roman"/>
        </w:rPr>
        <w:t>es</w:t>
      </w:r>
      <w:r w:rsidRPr="005007D9">
        <w:rPr>
          <w:rFonts w:ascii="Times New Roman" w:hAnsi="Times New Roman" w:cs="Times New Roman"/>
        </w:rPr>
        <w:t xml:space="preserve"> not preclude sight-impaired people from using existing alternative methods to vote, including seeking a Pre-Poll Vote or a Postal Vote or being assisted to complete their vote at a Polling Station on Election Day.  </w:t>
      </w:r>
    </w:p>
    <w:p w:rsidR="00E364DE" w:rsidRPr="00AD5045" w:rsidRDefault="00E364DE" w:rsidP="00E364DE">
      <w:pPr>
        <w:rPr>
          <w:rFonts w:ascii="Times New Roman" w:hAnsi="Times New Roman" w:cs="Times New Roman"/>
          <w:b/>
          <w:u w:val="single"/>
        </w:rPr>
      </w:pPr>
      <w:r w:rsidRPr="00AD5045">
        <w:rPr>
          <w:rFonts w:ascii="Times New Roman" w:hAnsi="Times New Roman" w:cs="Times New Roman"/>
          <w:b/>
          <w:u w:val="single"/>
        </w:rPr>
        <w:t xml:space="preserve">Details of the </w:t>
      </w:r>
      <w:r w:rsidRPr="00AD5045">
        <w:rPr>
          <w:rFonts w:ascii="Times New Roman" w:hAnsi="Times New Roman" w:cs="Times New Roman"/>
          <w:b/>
          <w:i/>
          <w:u w:val="single"/>
        </w:rPr>
        <w:t>Electoral and Referendum Regulation 2016</w:t>
      </w:r>
      <w:r w:rsidRPr="00AD5045">
        <w:rPr>
          <w:rFonts w:ascii="Times New Roman" w:hAnsi="Times New Roman" w:cs="Times New Roman"/>
          <w:b/>
          <w:u w:val="single"/>
        </w:rPr>
        <w:t xml:space="preserve"> </w:t>
      </w:r>
    </w:p>
    <w:p w:rsidR="00B666C7" w:rsidRPr="00AD5045" w:rsidRDefault="00B666C7">
      <w:pPr>
        <w:rPr>
          <w:rFonts w:ascii="Times New Roman" w:hAnsi="Times New Roman" w:cs="Times New Roman"/>
          <w:b/>
        </w:rPr>
      </w:pPr>
      <w:r w:rsidRPr="00AD5045">
        <w:rPr>
          <w:rFonts w:ascii="Times New Roman" w:hAnsi="Times New Roman" w:cs="Times New Roman"/>
          <w:b/>
        </w:rPr>
        <w:t xml:space="preserve">Part 1—Preliminary </w:t>
      </w:r>
    </w:p>
    <w:p w:rsidR="00900906" w:rsidRPr="00AD5045" w:rsidRDefault="000B74FC">
      <w:pPr>
        <w:rPr>
          <w:rFonts w:ascii="Times New Roman" w:hAnsi="Times New Roman" w:cs="Times New Roman"/>
          <w:u w:val="single"/>
        </w:rPr>
      </w:pPr>
      <w:r w:rsidRPr="00AD5045">
        <w:rPr>
          <w:rFonts w:ascii="Times New Roman" w:hAnsi="Times New Roman" w:cs="Times New Roman"/>
          <w:u w:val="single"/>
        </w:rPr>
        <w:t>Section 1</w:t>
      </w:r>
      <w:r w:rsidR="00900906" w:rsidRPr="00AD5045">
        <w:rPr>
          <w:rFonts w:ascii="Times New Roman" w:hAnsi="Times New Roman" w:cs="Times New Roman"/>
          <w:u w:val="single"/>
        </w:rPr>
        <w:t>- Name of Regulation</w:t>
      </w:r>
    </w:p>
    <w:p w:rsidR="009B1168" w:rsidRPr="00AD5045" w:rsidRDefault="00613381">
      <w:pPr>
        <w:rPr>
          <w:rFonts w:ascii="Times New Roman" w:hAnsi="Times New Roman" w:cs="Times New Roman"/>
        </w:rPr>
      </w:pPr>
      <w:r w:rsidRPr="00AD5045">
        <w:rPr>
          <w:rFonts w:ascii="Times New Roman" w:hAnsi="Times New Roman" w:cs="Times New Roman"/>
        </w:rPr>
        <w:t xml:space="preserve">This </w:t>
      </w:r>
      <w:r w:rsidR="00900906" w:rsidRPr="00AD5045">
        <w:rPr>
          <w:rFonts w:ascii="Times New Roman" w:hAnsi="Times New Roman" w:cs="Times New Roman"/>
        </w:rPr>
        <w:t xml:space="preserve">section provides that the </w:t>
      </w:r>
      <w:r w:rsidR="000A7F10">
        <w:rPr>
          <w:rFonts w:ascii="Times New Roman" w:hAnsi="Times New Roman" w:cs="Times New Roman"/>
        </w:rPr>
        <w:t>name</w:t>
      </w:r>
      <w:r w:rsidR="00900906" w:rsidRPr="00AD5045">
        <w:rPr>
          <w:rFonts w:ascii="Times New Roman" w:hAnsi="Times New Roman" w:cs="Times New Roman"/>
        </w:rPr>
        <w:t xml:space="preserve"> of the Regulation is the </w:t>
      </w:r>
      <w:r w:rsidR="00900906" w:rsidRPr="000A7F10">
        <w:rPr>
          <w:rFonts w:ascii="Times New Roman" w:hAnsi="Times New Roman" w:cs="Times New Roman"/>
          <w:i/>
        </w:rPr>
        <w:t>Electoral and Referendum Regulation 2016</w:t>
      </w:r>
      <w:r w:rsidR="00900906" w:rsidRPr="00AD5045">
        <w:rPr>
          <w:rFonts w:ascii="Times New Roman" w:hAnsi="Times New Roman" w:cs="Times New Roman"/>
        </w:rPr>
        <w:t>.</w:t>
      </w:r>
    </w:p>
    <w:p w:rsidR="009B1168" w:rsidRPr="00AD5045" w:rsidRDefault="009B1168">
      <w:pPr>
        <w:rPr>
          <w:rFonts w:ascii="Times New Roman" w:hAnsi="Times New Roman" w:cs="Times New Roman"/>
          <w:u w:val="single"/>
        </w:rPr>
      </w:pPr>
      <w:r w:rsidRPr="00AD5045">
        <w:rPr>
          <w:rFonts w:ascii="Times New Roman" w:hAnsi="Times New Roman" w:cs="Times New Roman"/>
          <w:u w:val="single"/>
        </w:rPr>
        <w:t>Section 2 – Commencement</w:t>
      </w:r>
    </w:p>
    <w:p w:rsidR="009B1168" w:rsidRPr="00AD5045" w:rsidRDefault="009B1168" w:rsidP="009B1168">
      <w:pPr>
        <w:ind w:right="91"/>
        <w:rPr>
          <w:rFonts w:ascii="Times New Roman" w:hAnsi="Times New Roman" w:cs="Times New Roman"/>
        </w:rPr>
      </w:pPr>
      <w:r w:rsidRPr="00AD5045">
        <w:rPr>
          <w:rFonts w:ascii="Times New Roman" w:hAnsi="Times New Roman" w:cs="Times New Roman"/>
          <w:szCs w:val="24"/>
        </w:rPr>
        <w:t xml:space="preserve">This section provides that the Regulation commences on the day after it is registered. </w:t>
      </w:r>
    </w:p>
    <w:p w:rsidR="000B74FC" w:rsidRPr="003A1879" w:rsidRDefault="009B1168">
      <w:pPr>
        <w:rPr>
          <w:rFonts w:ascii="Times New Roman" w:hAnsi="Times New Roman" w:cs="Times New Roman"/>
          <w:u w:val="single"/>
        </w:rPr>
      </w:pPr>
      <w:r w:rsidRPr="003A1879">
        <w:rPr>
          <w:rFonts w:ascii="Times New Roman" w:hAnsi="Times New Roman" w:cs="Times New Roman"/>
          <w:u w:val="single"/>
        </w:rPr>
        <w:t>Section 3- Authority</w:t>
      </w:r>
    </w:p>
    <w:p w:rsidR="009B1168" w:rsidRPr="00AD5045" w:rsidRDefault="009B1168">
      <w:pPr>
        <w:rPr>
          <w:rFonts w:ascii="Times New Roman" w:hAnsi="Times New Roman" w:cs="Times New Roman"/>
        </w:rPr>
      </w:pPr>
      <w:r w:rsidRPr="00AD5045">
        <w:rPr>
          <w:rFonts w:ascii="Times New Roman" w:hAnsi="Times New Roman" w:cs="Times New Roman"/>
        </w:rPr>
        <w:t xml:space="preserve">This section provides that the Regulation is made under the </w:t>
      </w:r>
      <w:r w:rsidRPr="00AD5045">
        <w:rPr>
          <w:rFonts w:ascii="Times New Roman" w:hAnsi="Times New Roman" w:cs="Times New Roman"/>
          <w:i/>
        </w:rPr>
        <w:t xml:space="preserve">Commonwealth Electoral Act 1918 </w:t>
      </w:r>
      <w:r w:rsidRPr="00AD5045">
        <w:rPr>
          <w:rFonts w:ascii="Times New Roman" w:hAnsi="Times New Roman" w:cs="Times New Roman"/>
        </w:rPr>
        <w:t xml:space="preserve">and the </w:t>
      </w:r>
      <w:r w:rsidRPr="00AD5045">
        <w:rPr>
          <w:rFonts w:ascii="Times New Roman" w:hAnsi="Times New Roman" w:cs="Times New Roman"/>
          <w:i/>
        </w:rPr>
        <w:t>Referendum (Machinery Provisions) Act 1984</w:t>
      </w:r>
      <w:r w:rsidRPr="00AD5045">
        <w:rPr>
          <w:rFonts w:ascii="Times New Roman" w:hAnsi="Times New Roman" w:cs="Times New Roman"/>
        </w:rPr>
        <w:t>.</w:t>
      </w:r>
    </w:p>
    <w:p w:rsidR="009B1168" w:rsidRPr="00AD5045" w:rsidRDefault="009B1168">
      <w:pPr>
        <w:rPr>
          <w:rFonts w:ascii="Times New Roman" w:hAnsi="Times New Roman" w:cs="Times New Roman"/>
          <w:u w:val="single"/>
        </w:rPr>
      </w:pPr>
      <w:r w:rsidRPr="00AD5045">
        <w:rPr>
          <w:rFonts w:ascii="Times New Roman" w:hAnsi="Times New Roman" w:cs="Times New Roman"/>
          <w:u w:val="single"/>
        </w:rPr>
        <w:t>Section 4 – Schedules</w:t>
      </w:r>
    </w:p>
    <w:p w:rsidR="009B1168" w:rsidRPr="00AD5045" w:rsidRDefault="009B1168">
      <w:pPr>
        <w:rPr>
          <w:rFonts w:ascii="Times New Roman" w:hAnsi="Times New Roman" w:cs="Times New Roman"/>
        </w:rPr>
      </w:pPr>
      <w:r w:rsidRPr="00AD5045">
        <w:rPr>
          <w:rFonts w:ascii="Times New Roman" w:hAnsi="Times New Roman" w:cs="Times New Roman"/>
        </w:rPr>
        <w:t xml:space="preserve">This section provides that the items specified in a Schedule to the Regulation is amended, repealed or has effect as specified or set out in the items in the relevant Schedule. </w:t>
      </w:r>
    </w:p>
    <w:p w:rsidR="009B1168" w:rsidRPr="00AD5045" w:rsidRDefault="009B1168">
      <w:pPr>
        <w:rPr>
          <w:rFonts w:ascii="Times New Roman" w:hAnsi="Times New Roman" w:cs="Times New Roman"/>
          <w:u w:val="single"/>
        </w:rPr>
      </w:pPr>
      <w:r w:rsidRPr="00AD5045">
        <w:rPr>
          <w:rFonts w:ascii="Times New Roman" w:hAnsi="Times New Roman" w:cs="Times New Roman"/>
          <w:u w:val="single"/>
        </w:rPr>
        <w:t xml:space="preserve">Section 5 - Definitions </w:t>
      </w:r>
    </w:p>
    <w:p w:rsidR="0031746D" w:rsidRPr="00AD5045" w:rsidRDefault="0031746D">
      <w:pPr>
        <w:rPr>
          <w:rFonts w:ascii="Times New Roman" w:hAnsi="Times New Roman" w:cs="Times New Roman"/>
        </w:rPr>
      </w:pPr>
      <w:r w:rsidRPr="00AD5045">
        <w:rPr>
          <w:rFonts w:ascii="Times New Roman" w:hAnsi="Times New Roman" w:cs="Times New Roman"/>
        </w:rPr>
        <w:t xml:space="preserve">This section specifies the meaning of terms that have been used through the Regulation or clarifies the meaning of term as it is used in the </w:t>
      </w:r>
      <w:r w:rsidRPr="00AD5045">
        <w:rPr>
          <w:rFonts w:ascii="Times New Roman" w:hAnsi="Times New Roman" w:cs="Times New Roman"/>
          <w:i/>
        </w:rPr>
        <w:t xml:space="preserve">Commonwealth Electoral Act 1918 </w:t>
      </w:r>
      <w:r w:rsidRPr="00AD5045">
        <w:rPr>
          <w:rFonts w:ascii="Times New Roman" w:hAnsi="Times New Roman" w:cs="Times New Roman"/>
        </w:rPr>
        <w:t xml:space="preserve">and the </w:t>
      </w:r>
      <w:r w:rsidRPr="00AD5045">
        <w:rPr>
          <w:rFonts w:ascii="Times New Roman" w:hAnsi="Times New Roman" w:cs="Times New Roman"/>
          <w:i/>
        </w:rPr>
        <w:t>Referendum (Machinery Provisions) Act 1984</w:t>
      </w:r>
      <w:r w:rsidRPr="00AD5045">
        <w:rPr>
          <w:rFonts w:ascii="Times New Roman" w:hAnsi="Times New Roman" w:cs="Times New Roman"/>
        </w:rPr>
        <w:t>.</w:t>
      </w:r>
    </w:p>
    <w:p w:rsidR="00620E70" w:rsidRDefault="00620E70">
      <w:pPr>
        <w:rPr>
          <w:rFonts w:ascii="Times New Roman" w:hAnsi="Times New Roman" w:cs="Times New Roman"/>
          <w:b/>
        </w:rPr>
      </w:pPr>
    </w:p>
    <w:p w:rsidR="009B1168" w:rsidRPr="00AD5045" w:rsidRDefault="009B1168">
      <w:pPr>
        <w:rPr>
          <w:rFonts w:ascii="Times New Roman" w:hAnsi="Times New Roman" w:cs="Times New Roman"/>
          <w:b/>
        </w:rPr>
      </w:pPr>
      <w:r w:rsidRPr="00AD5045">
        <w:rPr>
          <w:rFonts w:ascii="Times New Roman" w:hAnsi="Times New Roman" w:cs="Times New Roman"/>
          <w:b/>
        </w:rPr>
        <w:t>Part 2 – Electoral roll matters</w:t>
      </w:r>
    </w:p>
    <w:p w:rsidR="009B1168" w:rsidRPr="00AD5045" w:rsidRDefault="00AD5045">
      <w:pPr>
        <w:rPr>
          <w:rFonts w:ascii="Times New Roman" w:hAnsi="Times New Roman" w:cs="Times New Roman"/>
          <w:u w:val="single"/>
        </w:rPr>
      </w:pPr>
      <w:r w:rsidRPr="00AD5045">
        <w:rPr>
          <w:rFonts w:ascii="Times New Roman" w:hAnsi="Times New Roman" w:cs="Times New Roman"/>
          <w:u w:val="single"/>
        </w:rPr>
        <w:t>Section 6</w:t>
      </w:r>
      <w:r w:rsidR="009B1168" w:rsidRPr="00AD5045">
        <w:rPr>
          <w:rFonts w:ascii="Times New Roman" w:hAnsi="Times New Roman" w:cs="Times New Roman"/>
          <w:u w:val="single"/>
        </w:rPr>
        <w:t xml:space="preserve"> – Prescribed authorities</w:t>
      </w:r>
    </w:p>
    <w:p w:rsidR="00C26F8E" w:rsidRPr="00AD5045" w:rsidRDefault="00C26F8E">
      <w:pPr>
        <w:rPr>
          <w:rFonts w:ascii="Times New Roman" w:hAnsi="Times New Roman" w:cs="Times New Roman"/>
        </w:rPr>
      </w:pPr>
      <w:r w:rsidRPr="00AD5045">
        <w:rPr>
          <w:rFonts w:ascii="Times New Roman" w:hAnsi="Times New Roman" w:cs="Times New Roman"/>
        </w:rPr>
        <w:lastRenderedPageBreak/>
        <w:t xml:space="preserve">This section provides that the Agencies and authorities mentioned in the column headed </w:t>
      </w:r>
      <w:r w:rsidR="003A1879">
        <w:rPr>
          <w:rFonts w:ascii="Times New Roman" w:hAnsi="Times New Roman" w:cs="Times New Roman"/>
        </w:rPr>
        <w:t>‘</w:t>
      </w:r>
      <w:r w:rsidRPr="00AD5045">
        <w:rPr>
          <w:rFonts w:ascii="Times New Roman" w:hAnsi="Times New Roman" w:cs="Times New Roman"/>
        </w:rPr>
        <w:t>Agency or authority</w:t>
      </w:r>
      <w:r w:rsidR="003A1879">
        <w:rPr>
          <w:rFonts w:ascii="Times New Roman" w:hAnsi="Times New Roman" w:cs="Times New Roman"/>
        </w:rPr>
        <w:t>’</w:t>
      </w:r>
      <w:r w:rsidRPr="00AD5045">
        <w:rPr>
          <w:rFonts w:ascii="Times New Roman" w:hAnsi="Times New Roman" w:cs="Times New Roman"/>
        </w:rPr>
        <w:t xml:space="preserve"> of the table in clause 1 of Schedule 1 have been specified as prescribed authorities for the purposes of the </w:t>
      </w:r>
      <w:r w:rsidRPr="00AD5045">
        <w:rPr>
          <w:rFonts w:ascii="Times New Roman" w:hAnsi="Times New Roman" w:cs="Times New Roman"/>
          <w:i/>
        </w:rPr>
        <w:t>Commonwealth Electoral Act 1918</w:t>
      </w:r>
      <w:r w:rsidRPr="00AD5045">
        <w:rPr>
          <w:rFonts w:ascii="Times New Roman" w:hAnsi="Times New Roman" w:cs="Times New Roman"/>
        </w:rPr>
        <w:t>.</w:t>
      </w:r>
    </w:p>
    <w:p w:rsidR="009B1168" w:rsidRPr="00AD5045" w:rsidRDefault="00AD5045">
      <w:pPr>
        <w:rPr>
          <w:rFonts w:ascii="Times New Roman" w:hAnsi="Times New Roman" w:cs="Times New Roman"/>
          <w:u w:val="single"/>
        </w:rPr>
      </w:pPr>
      <w:r w:rsidRPr="00AD5045">
        <w:rPr>
          <w:rFonts w:ascii="Times New Roman" w:hAnsi="Times New Roman" w:cs="Times New Roman"/>
          <w:u w:val="single"/>
        </w:rPr>
        <w:t>Section 7</w:t>
      </w:r>
      <w:r w:rsidR="009B1168" w:rsidRPr="00AD5045">
        <w:rPr>
          <w:rFonts w:ascii="Times New Roman" w:hAnsi="Times New Roman" w:cs="Times New Roman"/>
          <w:u w:val="single"/>
        </w:rPr>
        <w:t xml:space="preserve"> – Arrangements with States – form of Roll</w:t>
      </w:r>
    </w:p>
    <w:p w:rsidR="009B1168" w:rsidRPr="00AD5045" w:rsidRDefault="009B1168">
      <w:pPr>
        <w:rPr>
          <w:rFonts w:ascii="Times New Roman" w:hAnsi="Times New Roman" w:cs="Times New Roman"/>
        </w:rPr>
      </w:pPr>
      <w:r w:rsidRPr="00AD5045">
        <w:rPr>
          <w:rFonts w:ascii="Times New Roman" w:hAnsi="Times New Roman" w:cs="Times New Roman"/>
        </w:rPr>
        <w:t xml:space="preserve">This section provides that for the purposes of paragraph 84(2)(a) of the </w:t>
      </w:r>
      <w:r w:rsidR="00C26F8E" w:rsidRPr="00AD5045">
        <w:rPr>
          <w:rFonts w:ascii="Times New Roman" w:hAnsi="Times New Roman" w:cs="Times New Roman"/>
          <w:i/>
        </w:rPr>
        <w:t>Commonwealth Electoral Act 1918</w:t>
      </w:r>
      <w:r w:rsidR="00C26F8E" w:rsidRPr="00AD5045">
        <w:rPr>
          <w:rFonts w:ascii="Times New Roman" w:hAnsi="Times New Roman" w:cs="Times New Roman"/>
        </w:rPr>
        <w:t>, a circle (o) may appear on the Roll before a person’s name so as to indicate that the person is not enrolled as a Commonwealth elector. The circle (o) signifies that the person is enrolled for the purposes of voting under a State or Territory law only.</w:t>
      </w:r>
    </w:p>
    <w:p w:rsidR="00C26F8E" w:rsidRPr="00AD5045" w:rsidRDefault="00AD5045">
      <w:pPr>
        <w:rPr>
          <w:rFonts w:ascii="Times New Roman" w:hAnsi="Times New Roman" w:cs="Times New Roman"/>
          <w:u w:val="single"/>
        </w:rPr>
      </w:pPr>
      <w:r w:rsidRPr="00AD5045">
        <w:rPr>
          <w:rFonts w:ascii="Times New Roman" w:hAnsi="Times New Roman" w:cs="Times New Roman"/>
          <w:u w:val="single"/>
        </w:rPr>
        <w:t>Section 8</w:t>
      </w:r>
      <w:r w:rsidR="00C26F8E" w:rsidRPr="00AD5045">
        <w:rPr>
          <w:rFonts w:ascii="Times New Roman" w:hAnsi="Times New Roman" w:cs="Times New Roman"/>
          <w:u w:val="single"/>
        </w:rPr>
        <w:t xml:space="preserve"> Provision of information on Rolls to particular people and organisations</w:t>
      </w:r>
    </w:p>
    <w:p w:rsidR="009B1168" w:rsidRPr="00AD5045" w:rsidRDefault="009769B0">
      <w:pPr>
        <w:rPr>
          <w:rFonts w:ascii="Times New Roman" w:hAnsi="Times New Roman" w:cs="Times New Roman"/>
        </w:rPr>
      </w:pPr>
      <w:r w:rsidRPr="00AD5045">
        <w:rPr>
          <w:rFonts w:ascii="Times New Roman" w:hAnsi="Times New Roman" w:cs="Times New Roman"/>
        </w:rPr>
        <w:t>This section provides</w:t>
      </w:r>
      <w:r w:rsidR="002F3508" w:rsidRPr="00AD5045">
        <w:rPr>
          <w:rFonts w:ascii="Times New Roman" w:hAnsi="Times New Roman" w:cs="Times New Roman"/>
        </w:rPr>
        <w:t xml:space="preserve"> that the persons and organisations specified in the table are prescribed for the purposes of receiving Electoral Roll information pursuant to subsection 90B(4) of the Commonwealth Electoral Act 1918. </w:t>
      </w:r>
    </w:p>
    <w:p w:rsidR="002F3508" w:rsidRPr="00AD5045" w:rsidRDefault="00AD5045">
      <w:pPr>
        <w:rPr>
          <w:rFonts w:ascii="Times New Roman" w:hAnsi="Times New Roman" w:cs="Times New Roman"/>
          <w:u w:val="single"/>
        </w:rPr>
      </w:pPr>
      <w:r w:rsidRPr="00AD5045">
        <w:rPr>
          <w:rFonts w:ascii="Times New Roman" w:hAnsi="Times New Roman" w:cs="Times New Roman"/>
          <w:u w:val="single"/>
        </w:rPr>
        <w:t>Section 9</w:t>
      </w:r>
      <w:r w:rsidR="002F3508" w:rsidRPr="00AD5045">
        <w:rPr>
          <w:rFonts w:ascii="Times New Roman" w:hAnsi="Times New Roman" w:cs="Times New Roman"/>
          <w:u w:val="single"/>
        </w:rPr>
        <w:t xml:space="preserve"> Permitted purposes for use of information – prescribed authorities</w:t>
      </w:r>
    </w:p>
    <w:p w:rsidR="002F3508" w:rsidRPr="00AD5045" w:rsidRDefault="002F3508">
      <w:pPr>
        <w:rPr>
          <w:rFonts w:ascii="Times New Roman" w:hAnsi="Times New Roman" w:cs="Times New Roman"/>
        </w:rPr>
      </w:pPr>
      <w:r w:rsidRPr="00AD5045">
        <w:rPr>
          <w:rFonts w:ascii="Times New Roman" w:hAnsi="Times New Roman" w:cs="Times New Roman"/>
        </w:rPr>
        <w:t xml:space="preserve">This section provides that </w:t>
      </w:r>
      <w:r w:rsidR="008A385A" w:rsidRPr="00AD5045">
        <w:rPr>
          <w:rFonts w:ascii="Times New Roman" w:hAnsi="Times New Roman" w:cs="Times New Roman"/>
        </w:rPr>
        <w:t xml:space="preserve">for the purposes of paragraph 91A(2AA)(b) of the </w:t>
      </w:r>
      <w:r w:rsidR="008A385A" w:rsidRPr="00AD5045">
        <w:rPr>
          <w:rFonts w:ascii="Times New Roman" w:hAnsi="Times New Roman" w:cs="Times New Roman"/>
          <w:i/>
        </w:rPr>
        <w:t>Commonwealth Electoral Act 1918</w:t>
      </w:r>
      <w:r w:rsidR="008A385A" w:rsidRPr="00AD5045">
        <w:rPr>
          <w:rFonts w:ascii="Times New Roman" w:hAnsi="Times New Roman" w:cs="Times New Roman"/>
        </w:rPr>
        <w:t>, the prescribed authorities listed Schedule 1 are permitted to use electoral Roll information for the purposes as described in the table in clause 1 of Schedule 1 of the Regulation.</w:t>
      </w:r>
    </w:p>
    <w:p w:rsidR="008A385A" w:rsidRPr="00AD5045" w:rsidRDefault="00AD5045">
      <w:pPr>
        <w:rPr>
          <w:rFonts w:ascii="Times New Roman" w:hAnsi="Times New Roman" w:cs="Times New Roman"/>
          <w:u w:val="single"/>
        </w:rPr>
      </w:pPr>
      <w:r w:rsidRPr="00AD5045">
        <w:rPr>
          <w:rFonts w:ascii="Times New Roman" w:hAnsi="Times New Roman" w:cs="Times New Roman"/>
          <w:u w:val="single"/>
        </w:rPr>
        <w:t>Section 10</w:t>
      </w:r>
      <w:r w:rsidR="008A385A" w:rsidRPr="00AD5045">
        <w:rPr>
          <w:rFonts w:ascii="Times New Roman" w:hAnsi="Times New Roman" w:cs="Times New Roman"/>
          <w:u w:val="single"/>
        </w:rPr>
        <w:t xml:space="preserve"> – Permitted purposes for use of information – Australian Red Cross Blood Service</w:t>
      </w:r>
    </w:p>
    <w:p w:rsidR="008A385A" w:rsidRPr="00AD5045" w:rsidRDefault="008A385A" w:rsidP="00DA4E9C">
      <w:pPr>
        <w:rPr>
          <w:rFonts w:ascii="Times New Roman" w:hAnsi="Times New Roman" w:cs="Times New Roman"/>
        </w:rPr>
      </w:pPr>
      <w:r w:rsidRPr="00AD5045">
        <w:rPr>
          <w:rFonts w:ascii="Times New Roman" w:hAnsi="Times New Roman" w:cs="Times New Roman"/>
        </w:rPr>
        <w:t xml:space="preserve">This section provides that pursuant to paragraph 91A(2A)(c) of the </w:t>
      </w:r>
      <w:r w:rsidRPr="00AD5045">
        <w:rPr>
          <w:rFonts w:ascii="Times New Roman" w:hAnsi="Times New Roman" w:cs="Times New Roman"/>
          <w:i/>
        </w:rPr>
        <w:t>Commonwealth Electoral Act 1918</w:t>
      </w:r>
      <w:r w:rsidRPr="00AD5045">
        <w:rPr>
          <w:rFonts w:ascii="Times New Roman" w:hAnsi="Times New Roman" w:cs="Times New Roman"/>
        </w:rPr>
        <w:t xml:space="preserve">, the Australian Red Cross Blood Service may use electoral Roll information provided under section 90B of the Act </w:t>
      </w:r>
      <w:r w:rsidR="00DA4E9C" w:rsidRPr="00AD5045">
        <w:rPr>
          <w:rFonts w:ascii="Times New Roman" w:hAnsi="Times New Roman" w:cs="Times New Roman"/>
        </w:rPr>
        <w:t xml:space="preserve">to contact blood donors for the listed medical purposes. </w:t>
      </w:r>
      <w:r w:rsidRPr="00AD5045">
        <w:rPr>
          <w:rFonts w:ascii="Times New Roman" w:hAnsi="Times New Roman" w:cs="Times New Roman"/>
        </w:rPr>
        <w:t xml:space="preserve"> </w:t>
      </w:r>
    </w:p>
    <w:p w:rsidR="00DA4E9C" w:rsidRPr="00AD5045" w:rsidRDefault="00AD5045" w:rsidP="008A385A">
      <w:pPr>
        <w:rPr>
          <w:rFonts w:ascii="Times New Roman" w:hAnsi="Times New Roman" w:cs="Times New Roman"/>
          <w:u w:val="single"/>
        </w:rPr>
      </w:pPr>
      <w:r w:rsidRPr="00AD5045">
        <w:rPr>
          <w:rFonts w:ascii="Times New Roman" w:hAnsi="Times New Roman" w:cs="Times New Roman"/>
          <w:u w:val="single"/>
        </w:rPr>
        <w:t>Section 11</w:t>
      </w:r>
      <w:r w:rsidR="008A385A" w:rsidRPr="00AD5045">
        <w:rPr>
          <w:rFonts w:ascii="Times New Roman" w:hAnsi="Times New Roman" w:cs="Times New Roman"/>
          <w:u w:val="single"/>
        </w:rPr>
        <w:t xml:space="preserve"> - Permitted purposes</w:t>
      </w:r>
      <w:r w:rsidR="00DA4E9C" w:rsidRPr="00AD5045">
        <w:rPr>
          <w:rFonts w:ascii="Times New Roman" w:hAnsi="Times New Roman" w:cs="Times New Roman"/>
          <w:u w:val="single"/>
        </w:rPr>
        <w:t xml:space="preserve"> for use of information – other persons or organisations</w:t>
      </w:r>
    </w:p>
    <w:p w:rsidR="008A385A" w:rsidRPr="00AD5045" w:rsidRDefault="00DA4E9C" w:rsidP="00DA4E9C">
      <w:pPr>
        <w:rPr>
          <w:rFonts w:ascii="Times New Roman" w:hAnsi="Times New Roman" w:cs="Times New Roman"/>
        </w:rPr>
      </w:pPr>
      <w:r w:rsidRPr="00AD5045">
        <w:rPr>
          <w:rFonts w:ascii="Times New Roman" w:hAnsi="Times New Roman" w:cs="Times New Roman"/>
        </w:rPr>
        <w:t xml:space="preserve">This section provides that pursuant to paragraph 91A(2A)(c) of the </w:t>
      </w:r>
      <w:r w:rsidRPr="00AD5045">
        <w:rPr>
          <w:rFonts w:ascii="Times New Roman" w:hAnsi="Times New Roman" w:cs="Times New Roman"/>
          <w:i/>
        </w:rPr>
        <w:t>Commonwealth Electoral Act 1918</w:t>
      </w:r>
      <w:r w:rsidRPr="00AD5045">
        <w:rPr>
          <w:rFonts w:ascii="Times New Roman" w:hAnsi="Times New Roman" w:cs="Times New Roman"/>
        </w:rPr>
        <w:t xml:space="preserve">, persons or organisations may use electoral Roll information provided under section 90B to conduct medical research or provide health screening programs where the conditions prescribed in paragraphs </w:t>
      </w:r>
      <w:r w:rsidR="003A1879">
        <w:rPr>
          <w:rFonts w:ascii="Times New Roman" w:hAnsi="Times New Roman" w:cs="Times New Roman"/>
        </w:rPr>
        <w:t>11</w:t>
      </w:r>
      <w:r w:rsidRPr="00AD5045">
        <w:rPr>
          <w:rFonts w:ascii="Times New Roman" w:hAnsi="Times New Roman" w:cs="Times New Roman"/>
        </w:rPr>
        <w:t xml:space="preserve">(a) and (b) can be satisfied. </w:t>
      </w:r>
    </w:p>
    <w:p w:rsidR="00DA4E9C" w:rsidRPr="00AD5045" w:rsidRDefault="00DA4E9C" w:rsidP="00DA4E9C">
      <w:pPr>
        <w:rPr>
          <w:rFonts w:ascii="Times New Roman" w:hAnsi="Times New Roman" w:cs="Times New Roman"/>
          <w:b/>
        </w:rPr>
      </w:pPr>
      <w:r w:rsidRPr="00AD5045">
        <w:rPr>
          <w:rFonts w:ascii="Times New Roman" w:hAnsi="Times New Roman" w:cs="Times New Roman"/>
          <w:b/>
        </w:rPr>
        <w:t>Part 3 – Enrolment matters</w:t>
      </w:r>
    </w:p>
    <w:p w:rsidR="00DA4E9C" w:rsidRPr="00AD5045" w:rsidRDefault="00DA4E9C" w:rsidP="00DA4E9C">
      <w:pPr>
        <w:rPr>
          <w:rFonts w:ascii="Times New Roman" w:hAnsi="Times New Roman" w:cs="Times New Roman"/>
          <w:u w:val="single"/>
        </w:rPr>
      </w:pPr>
      <w:r w:rsidRPr="00AD5045">
        <w:rPr>
          <w:rFonts w:ascii="Times New Roman" w:hAnsi="Times New Roman" w:cs="Times New Roman"/>
          <w:u w:val="single"/>
        </w:rPr>
        <w:t>Section 1</w:t>
      </w:r>
      <w:r w:rsidR="00AD5045" w:rsidRPr="00AD5045">
        <w:rPr>
          <w:rFonts w:ascii="Times New Roman" w:hAnsi="Times New Roman" w:cs="Times New Roman"/>
          <w:u w:val="single"/>
        </w:rPr>
        <w:t>2</w:t>
      </w:r>
      <w:r w:rsidRPr="00AD5045">
        <w:rPr>
          <w:rFonts w:ascii="Times New Roman" w:hAnsi="Times New Roman" w:cs="Times New Roman"/>
          <w:u w:val="single"/>
        </w:rPr>
        <w:t xml:space="preserve"> – Provisional enrolment by applicant for citizenship – prescribed electors </w:t>
      </w:r>
    </w:p>
    <w:p w:rsidR="00884DF3" w:rsidRPr="00AD5045" w:rsidRDefault="00DA4E9C" w:rsidP="00DA4E9C">
      <w:pPr>
        <w:rPr>
          <w:rFonts w:ascii="Times New Roman" w:hAnsi="Times New Roman" w:cs="Times New Roman"/>
        </w:rPr>
      </w:pPr>
      <w:r w:rsidRPr="00AD5045">
        <w:rPr>
          <w:rFonts w:ascii="Times New Roman" w:hAnsi="Times New Roman" w:cs="Times New Roman"/>
        </w:rPr>
        <w:t xml:space="preserve">This section provides </w:t>
      </w:r>
      <w:r w:rsidR="00231C48" w:rsidRPr="00AD5045">
        <w:rPr>
          <w:rFonts w:ascii="Times New Roman" w:hAnsi="Times New Roman" w:cs="Times New Roman"/>
        </w:rPr>
        <w:t>that a person who makes an application for provisional enrolment under section 99B can</w:t>
      </w:r>
      <w:r w:rsidR="00620E70">
        <w:rPr>
          <w:rFonts w:ascii="Times New Roman" w:hAnsi="Times New Roman" w:cs="Times New Roman"/>
        </w:rPr>
        <w:t>,</w:t>
      </w:r>
      <w:r w:rsidR="00231C48" w:rsidRPr="00AD5045">
        <w:rPr>
          <w:rFonts w:ascii="Times New Roman" w:hAnsi="Times New Roman" w:cs="Times New Roman"/>
        </w:rPr>
        <w:t xml:space="preserve"> for the purposes of subparagraph 99B(4)(b)(i)</w:t>
      </w:r>
      <w:r w:rsidR="003A1879">
        <w:rPr>
          <w:rFonts w:ascii="Times New Roman" w:hAnsi="Times New Roman" w:cs="Times New Roman"/>
        </w:rPr>
        <w:t>,</w:t>
      </w:r>
      <w:r w:rsidR="00231C48" w:rsidRPr="00AD5045">
        <w:rPr>
          <w:rFonts w:ascii="Times New Roman" w:hAnsi="Times New Roman" w:cs="Times New Roman"/>
        </w:rPr>
        <w:t xml:space="preserve"> have his or her Department of Immigration </w:t>
      </w:r>
      <w:r w:rsidR="003A1879">
        <w:rPr>
          <w:rFonts w:ascii="Times New Roman" w:hAnsi="Times New Roman" w:cs="Times New Roman"/>
        </w:rPr>
        <w:t xml:space="preserve">and Border Protection </w:t>
      </w:r>
      <w:r w:rsidR="00231C48" w:rsidRPr="00AD5045">
        <w:rPr>
          <w:rFonts w:ascii="Times New Roman" w:hAnsi="Times New Roman" w:cs="Times New Roman"/>
        </w:rPr>
        <w:t xml:space="preserve">notification </w:t>
      </w:r>
      <w:r w:rsidR="003A1879">
        <w:rPr>
          <w:rFonts w:ascii="Times New Roman" w:hAnsi="Times New Roman" w:cs="Times New Roman"/>
        </w:rPr>
        <w:t>attested to</w:t>
      </w:r>
      <w:r w:rsidR="00231C48" w:rsidRPr="00AD5045">
        <w:rPr>
          <w:rFonts w:ascii="Times New Roman" w:hAnsi="Times New Roman" w:cs="Times New Roman"/>
        </w:rPr>
        <w:t xml:space="preserve"> by an elector who falls within the class of electors mentioned in the table in clause 1 of Schedule 2.</w:t>
      </w:r>
    </w:p>
    <w:p w:rsidR="00620E70" w:rsidRDefault="00620E70" w:rsidP="00DA4E9C">
      <w:pPr>
        <w:rPr>
          <w:rFonts w:ascii="Times New Roman" w:hAnsi="Times New Roman" w:cs="Times New Roman"/>
          <w:u w:val="single"/>
        </w:rPr>
      </w:pPr>
    </w:p>
    <w:p w:rsidR="00620E70" w:rsidRDefault="00620E70" w:rsidP="00DA4E9C">
      <w:pPr>
        <w:rPr>
          <w:rFonts w:ascii="Times New Roman" w:hAnsi="Times New Roman" w:cs="Times New Roman"/>
          <w:u w:val="single"/>
        </w:rPr>
      </w:pPr>
    </w:p>
    <w:p w:rsidR="00884DF3" w:rsidRPr="00AD5045" w:rsidRDefault="00A74001" w:rsidP="00DA4E9C">
      <w:pPr>
        <w:rPr>
          <w:rFonts w:ascii="Times New Roman" w:hAnsi="Times New Roman" w:cs="Times New Roman"/>
          <w:u w:val="single"/>
        </w:rPr>
      </w:pPr>
      <w:r>
        <w:rPr>
          <w:rFonts w:ascii="Times New Roman" w:hAnsi="Times New Roman" w:cs="Times New Roman"/>
          <w:u w:val="single"/>
        </w:rPr>
        <w:t>S</w:t>
      </w:r>
      <w:r w:rsidR="00AD5045" w:rsidRPr="00AD5045">
        <w:rPr>
          <w:rFonts w:ascii="Times New Roman" w:hAnsi="Times New Roman" w:cs="Times New Roman"/>
          <w:u w:val="single"/>
        </w:rPr>
        <w:t>ection 13</w:t>
      </w:r>
      <w:r w:rsidR="00884DF3" w:rsidRPr="00AD5045">
        <w:rPr>
          <w:rFonts w:ascii="Times New Roman" w:hAnsi="Times New Roman" w:cs="Times New Roman"/>
          <w:u w:val="single"/>
        </w:rPr>
        <w:t xml:space="preserve"> – Enrolment-related claims or notices do not have to be signed in certain circumstances</w:t>
      </w:r>
    </w:p>
    <w:p w:rsidR="00F44B24" w:rsidRPr="00AD5045" w:rsidRDefault="00AD5045" w:rsidP="00AD5045">
      <w:pPr>
        <w:rPr>
          <w:rFonts w:ascii="Times New Roman" w:hAnsi="Times New Roman" w:cs="Times New Roman"/>
          <w:szCs w:val="24"/>
        </w:rPr>
      </w:pPr>
      <w:r w:rsidRPr="00AD5045">
        <w:rPr>
          <w:rFonts w:ascii="Times New Roman" w:hAnsi="Times New Roman" w:cs="Times New Roman"/>
          <w:szCs w:val="24"/>
        </w:rPr>
        <w:lastRenderedPageBreak/>
        <w:t>This section provide</w:t>
      </w:r>
      <w:r w:rsidR="003A1879">
        <w:rPr>
          <w:rFonts w:ascii="Times New Roman" w:hAnsi="Times New Roman" w:cs="Times New Roman"/>
          <w:szCs w:val="24"/>
        </w:rPr>
        <w:t>s</w:t>
      </w:r>
      <w:r w:rsidRPr="00AD5045">
        <w:rPr>
          <w:rFonts w:ascii="Times New Roman" w:hAnsi="Times New Roman" w:cs="Times New Roman"/>
          <w:szCs w:val="24"/>
        </w:rPr>
        <w:t xml:space="preserve"> that if a person includes his or her date of birth and driver’s licence number on an enrolment claim or application, the requirement for the claim or application to be signed is satisfied.</w:t>
      </w:r>
    </w:p>
    <w:p w:rsidR="00231C48" w:rsidRPr="00AD5045" w:rsidRDefault="00884DF3" w:rsidP="00DA4E9C">
      <w:pPr>
        <w:rPr>
          <w:rFonts w:ascii="Times New Roman" w:hAnsi="Times New Roman" w:cs="Times New Roman"/>
          <w:b/>
          <w:sz w:val="25"/>
          <w:szCs w:val="25"/>
        </w:rPr>
      </w:pPr>
      <w:r w:rsidRPr="00AD5045">
        <w:rPr>
          <w:rFonts w:ascii="Times New Roman" w:hAnsi="Times New Roman" w:cs="Times New Roman"/>
          <w:b/>
          <w:sz w:val="25"/>
          <w:szCs w:val="25"/>
        </w:rPr>
        <w:t>Part 4 – Voting matters</w:t>
      </w:r>
    </w:p>
    <w:p w:rsidR="00884DF3" w:rsidRPr="00AD5045" w:rsidRDefault="00AD5045" w:rsidP="00DA4E9C">
      <w:pPr>
        <w:rPr>
          <w:rFonts w:ascii="Times New Roman" w:hAnsi="Times New Roman" w:cs="Times New Roman"/>
          <w:b/>
        </w:rPr>
      </w:pPr>
      <w:r>
        <w:rPr>
          <w:rFonts w:ascii="Times New Roman" w:hAnsi="Times New Roman" w:cs="Times New Roman"/>
          <w:b/>
        </w:rPr>
        <w:t>Division 1</w:t>
      </w:r>
      <w:r w:rsidR="00884DF3" w:rsidRPr="00AD5045">
        <w:rPr>
          <w:rFonts w:ascii="Times New Roman" w:hAnsi="Times New Roman" w:cs="Times New Roman"/>
          <w:b/>
        </w:rPr>
        <w:t xml:space="preserve"> – Electronically assisted voting for sight-impaired people</w:t>
      </w:r>
    </w:p>
    <w:p w:rsidR="00AD5045" w:rsidRPr="000F0766" w:rsidRDefault="00AD5045" w:rsidP="00AD5045">
      <w:pPr>
        <w:rPr>
          <w:rFonts w:ascii="Times New Roman" w:hAnsi="Times New Roman" w:cs="Times New Roman"/>
          <w:szCs w:val="24"/>
          <w:u w:val="single"/>
        </w:rPr>
      </w:pPr>
      <w:r w:rsidRPr="000F0766">
        <w:rPr>
          <w:rFonts w:ascii="Times New Roman" w:hAnsi="Times New Roman" w:cs="Times New Roman"/>
          <w:szCs w:val="24"/>
          <w:u w:val="single"/>
        </w:rPr>
        <w:t xml:space="preserve">Section </w:t>
      </w:r>
      <w:r>
        <w:rPr>
          <w:rFonts w:ascii="Times New Roman" w:hAnsi="Times New Roman" w:cs="Times New Roman"/>
          <w:szCs w:val="24"/>
          <w:u w:val="single"/>
        </w:rPr>
        <w:t>14</w:t>
      </w:r>
      <w:r w:rsidRPr="000F0766">
        <w:rPr>
          <w:rFonts w:ascii="Times New Roman" w:hAnsi="Times New Roman" w:cs="Times New Roman"/>
          <w:szCs w:val="24"/>
          <w:u w:val="single"/>
        </w:rPr>
        <w:t xml:space="preserve"> – Purpose of Division</w:t>
      </w:r>
    </w:p>
    <w:p w:rsidR="00AD5045" w:rsidRPr="000F0766" w:rsidRDefault="00AD5045" w:rsidP="00AD5045">
      <w:pPr>
        <w:rPr>
          <w:rFonts w:ascii="Times New Roman" w:hAnsi="Times New Roman" w:cs="Times New Roman"/>
          <w:szCs w:val="24"/>
        </w:rPr>
      </w:pPr>
      <w:r w:rsidRPr="000F0766">
        <w:rPr>
          <w:rFonts w:ascii="Times New Roman" w:hAnsi="Times New Roman" w:cs="Times New Roman"/>
          <w:szCs w:val="24"/>
        </w:rPr>
        <w:t>This section provide</w:t>
      </w:r>
      <w:r w:rsidR="003A1879">
        <w:rPr>
          <w:rFonts w:ascii="Times New Roman" w:hAnsi="Times New Roman" w:cs="Times New Roman"/>
          <w:szCs w:val="24"/>
        </w:rPr>
        <w:t>s</w:t>
      </w:r>
      <w:r w:rsidRPr="000F0766">
        <w:rPr>
          <w:rFonts w:ascii="Times New Roman" w:hAnsi="Times New Roman" w:cs="Times New Roman"/>
          <w:szCs w:val="24"/>
        </w:rPr>
        <w:t xml:space="preserve"> that the Division is made for the Parts of the Electoral Act and Referendum Act that provide for electronically assisted voting for sight-impaired people.</w:t>
      </w:r>
    </w:p>
    <w:p w:rsidR="00884DF3" w:rsidRPr="00AD5045" w:rsidRDefault="00AD5045" w:rsidP="00DA4E9C">
      <w:pPr>
        <w:rPr>
          <w:rFonts w:ascii="Times New Roman" w:hAnsi="Times New Roman" w:cs="Times New Roman"/>
          <w:u w:val="single"/>
        </w:rPr>
      </w:pPr>
      <w:r>
        <w:rPr>
          <w:rFonts w:ascii="Times New Roman" w:hAnsi="Times New Roman" w:cs="Times New Roman"/>
          <w:u w:val="single"/>
        </w:rPr>
        <w:t>Section 15</w:t>
      </w:r>
      <w:r w:rsidR="003A1879" w:rsidRPr="000F0766">
        <w:rPr>
          <w:rFonts w:ascii="Times New Roman" w:hAnsi="Times New Roman" w:cs="Times New Roman"/>
          <w:szCs w:val="24"/>
          <w:u w:val="single"/>
        </w:rPr>
        <w:t xml:space="preserve"> – </w:t>
      </w:r>
      <w:r w:rsidR="00884DF3" w:rsidRPr="00AD5045">
        <w:rPr>
          <w:rFonts w:ascii="Times New Roman" w:hAnsi="Times New Roman" w:cs="Times New Roman"/>
          <w:u w:val="single"/>
        </w:rPr>
        <w:t>Authorised call centres</w:t>
      </w:r>
    </w:p>
    <w:p w:rsidR="00884DF3" w:rsidRPr="00AD5045" w:rsidRDefault="00884DF3" w:rsidP="00884DF3">
      <w:pPr>
        <w:rPr>
          <w:rFonts w:ascii="Times New Roman" w:hAnsi="Times New Roman" w:cs="Times New Roman"/>
          <w:szCs w:val="24"/>
        </w:rPr>
      </w:pPr>
      <w:r w:rsidRPr="00AD5045">
        <w:rPr>
          <w:rFonts w:ascii="Times New Roman" w:hAnsi="Times New Roman" w:cs="Times New Roman"/>
        </w:rPr>
        <w:t xml:space="preserve">This section provides that </w:t>
      </w:r>
      <w:r w:rsidRPr="00AD5045">
        <w:rPr>
          <w:rFonts w:ascii="Times New Roman" w:hAnsi="Times New Roman" w:cs="Times New Roman"/>
          <w:szCs w:val="24"/>
        </w:rPr>
        <w:t xml:space="preserve">an ‘authorised call centre’ is a call centre operating to receive calls and assist in voting for people who are sight-impaired. </w:t>
      </w:r>
    </w:p>
    <w:p w:rsidR="00884DF3" w:rsidRPr="00AD5045" w:rsidRDefault="00884DF3" w:rsidP="00884DF3">
      <w:pPr>
        <w:rPr>
          <w:rFonts w:ascii="Times New Roman" w:hAnsi="Times New Roman" w:cs="Times New Roman"/>
          <w:szCs w:val="24"/>
        </w:rPr>
      </w:pPr>
      <w:r w:rsidRPr="00AD5045">
        <w:rPr>
          <w:rFonts w:ascii="Times New Roman" w:hAnsi="Times New Roman" w:cs="Times New Roman"/>
          <w:szCs w:val="24"/>
        </w:rPr>
        <w:t>Section</w:t>
      </w:r>
      <w:r w:rsidR="00AD5045">
        <w:rPr>
          <w:rFonts w:ascii="Times New Roman" w:hAnsi="Times New Roman" w:cs="Times New Roman"/>
          <w:szCs w:val="24"/>
        </w:rPr>
        <w:t xml:space="preserve"> 15</w:t>
      </w:r>
      <w:r w:rsidRPr="00AD5045">
        <w:rPr>
          <w:rFonts w:ascii="Times New Roman" w:hAnsi="Times New Roman" w:cs="Times New Roman"/>
          <w:szCs w:val="24"/>
        </w:rPr>
        <w:t xml:space="preserve"> empowers the Electoral Commissioner to make arrangements to establish one or more authorised call centres.  Authorised call centres are the places where operators will receive calls from sight-impaired voters seeking to register to vote with electronic assistance and then to vote with electronic assistance.  The Electoral Commissioner is also empowered to approve forms or documents to establish consistent procedures to assist call centre operators registering a sight-impaired person and recording a vote made by a sight-impaired person.  </w:t>
      </w:r>
    </w:p>
    <w:p w:rsidR="00884DF3" w:rsidRPr="00AD5045" w:rsidRDefault="00AD5045" w:rsidP="00DA4E9C">
      <w:pPr>
        <w:rPr>
          <w:rFonts w:ascii="Times New Roman" w:hAnsi="Times New Roman" w:cs="Times New Roman"/>
          <w:u w:val="single"/>
        </w:rPr>
      </w:pPr>
      <w:r>
        <w:rPr>
          <w:rFonts w:ascii="Times New Roman" w:hAnsi="Times New Roman" w:cs="Times New Roman"/>
          <w:u w:val="single"/>
        </w:rPr>
        <w:t>Section 16</w:t>
      </w:r>
      <w:r w:rsidR="00884DF3" w:rsidRPr="00AD5045">
        <w:rPr>
          <w:rFonts w:ascii="Times New Roman" w:hAnsi="Times New Roman" w:cs="Times New Roman"/>
          <w:u w:val="single"/>
        </w:rPr>
        <w:t xml:space="preserve"> – Registration </w:t>
      </w:r>
    </w:p>
    <w:p w:rsidR="00884DF3" w:rsidRPr="00AD5045" w:rsidRDefault="007A7CEA" w:rsidP="00884DF3">
      <w:pPr>
        <w:rPr>
          <w:rFonts w:ascii="Times New Roman" w:hAnsi="Times New Roman" w:cs="Times New Roman"/>
          <w:szCs w:val="24"/>
        </w:rPr>
      </w:pPr>
      <w:r w:rsidRPr="00AD5045">
        <w:rPr>
          <w:rFonts w:ascii="Times New Roman" w:hAnsi="Times New Roman" w:cs="Times New Roman"/>
        </w:rPr>
        <w:t xml:space="preserve">This section </w:t>
      </w:r>
      <w:r w:rsidR="00884DF3" w:rsidRPr="00AD5045">
        <w:rPr>
          <w:rFonts w:ascii="Times New Roman" w:hAnsi="Times New Roman" w:cs="Times New Roman"/>
          <w:szCs w:val="24"/>
        </w:rPr>
        <w:t>requires the Electoral Commissioner to determine the hours and days when an authorised call centre will be open; and how a person may be assessed as being eligible to be registered as a sight-impaired person who needs assistance with voting.  Once a person has been assessed as being a sight-impaired person who requires assistance with voting that assessment is registered.  Such voters are described as being ‘registered sight-impaired voters’ and they may vote with an electron</w:t>
      </w:r>
      <w:r w:rsidRPr="00AD5045">
        <w:rPr>
          <w:rFonts w:ascii="Times New Roman" w:hAnsi="Times New Roman" w:cs="Times New Roman"/>
          <w:szCs w:val="24"/>
        </w:rPr>
        <w:t>ically assisted vote at any</w:t>
      </w:r>
      <w:r w:rsidR="00884DF3" w:rsidRPr="00AD5045">
        <w:rPr>
          <w:rFonts w:ascii="Times New Roman" w:hAnsi="Times New Roman" w:cs="Times New Roman"/>
          <w:szCs w:val="24"/>
        </w:rPr>
        <w:t xml:space="preserve"> general election, a Senate election, a by-election and a referendum.  </w:t>
      </w:r>
    </w:p>
    <w:p w:rsidR="00884DF3" w:rsidRPr="00AD5045" w:rsidRDefault="00AD5045" w:rsidP="00DA4E9C">
      <w:pPr>
        <w:rPr>
          <w:rFonts w:ascii="Times New Roman" w:hAnsi="Times New Roman" w:cs="Times New Roman"/>
          <w:u w:val="single"/>
        </w:rPr>
      </w:pPr>
      <w:r>
        <w:rPr>
          <w:rFonts w:ascii="Times New Roman" w:hAnsi="Times New Roman" w:cs="Times New Roman"/>
          <w:u w:val="single"/>
        </w:rPr>
        <w:t>Section 17</w:t>
      </w:r>
      <w:r w:rsidR="00884DF3" w:rsidRPr="00AD5045">
        <w:rPr>
          <w:rFonts w:ascii="Times New Roman" w:hAnsi="Times New Roman" w:cs="Times New Roman"/>
          <w:u w:val="single"/>
        </w:rPr>
        <w:t xml:space="preserve"> – Who is entitled to vote by an electronically assisted vote </w:t>
      </w:r>
    </w:p>
    <w:p w:rsidR="007A7CEA" w:rsidRPr="00AD5045" w:rsidRDefault="007A7CEA" w:rsidP="00884DF3">
      <w:pPr>
        <w:rPr>
          <w:rFonts w:ascii="Times New Roman" w:hAnsi="Times New Roman" w:cs="Times New Roman"/>
          <w:szCs w:val="24"/>
        </w:rPr>
      </w:pPr>
      <w:r w:rsidRPr="00AD5045">
        <w:rPr>
          <w:rFonts w:ascii="Times New Roman" w:hAnsi="Times New Roman" w:cs="Times New Roman"/>
          <w:szCs w:val="24"/>
        </w:rPr>
        <w:t>S</w:t>
      </w:r>
      <w:r w:rsidR="00884DF3" w:rsidRPr="00AD5045">
        <w:rPr>
          <w:rFonts w:ascii="Times New Roman" w:hAnsi="Times New Roman" w:cs="Times New Roman"/>
          <w:szCs w:val="24"/>
        </w:rPr>
        <w:t>ection</w:t>
      </w:r>
      <w:r w:rsidR="00AD5045">
        <w:rPr>
          <w:rFonts w:ascii="Times New Roman" w:hAnsi="Times New Roman" w:cs="Times New Roman"/>
          <w:szCs w:val="24"/>
        </w:rPr>
        <w:t xml:space="preserve"> 17</w:t>
      </w:r>
      <w:r w:rsidR="00884DF3" w:rsidRPr="00AD5045">
        <w:rPr>
          <w:rFonts w:ascii="Times New Roman" w:hAnsi="Times New Roman" w:cs="Times New Roman"/>
          <w:szCs w:val="24"/>
        </w:rPr>
        <w:t xml:space="preserve"> sets out how a registered sight-impaired voter can vo</w:t>
      </w:r>
      <w:r w:rsidRPr="00AD5045">
        <w:rPr>
          <w:rFonts w:ascii="Times New Roman" w:hAnsi="Times New Roman" w:cs="Times New Roman"/>
          <w:szCs w:val="24"/>
        </w:rPr>
        <w:t xml:space="preserve">te with electronic assistance. </w:t>
      </w:r>
      <w:r w:rsidR="00884DF3" w:rsidRPr="00AD5045">
        <w:rPr>
          <w:rFonts w:ascii="Times New Roman" w:hAnsi="Times New Roman" w:cs="Times New Roman"/>
          <w:szCs w:val="24"/>
        </w:rPr>
        <w:t xml:space="preserve">The Electoral Commissioner must determine the hours and days when operators at an authorised call centre will help registered sight-impaired voters to vote and will give directions to operators in relation to requests for an electronically assisted vote.  </w:t>
      </w:r>
      <w:r w:rsidR="00AD5045">
        <w:rPr>
          <w:rFonts w:ascii="Times New Roman" w:hAnsi="Times New Roman" w:cs="Times New Roman"/>
          <w:szCs w:val="24"/>
        </w:rPr>
        <w:t>Section 17</w:t>
      </w:r>
      <w:r w:rsidR="00884DF3" w:rsidRPr="00AD5045">
        <w:rPr>
          <w:rFonts w:ascii="Times New Roman" w:hAnsi="Times New Roman" w:cs="Times New Roman"/>
          <w:szCs w:val="24"/>
        </w:rPr>
        <w:t xml:space="preserve"> also sets out what will be required to qualify a person to vote with electronic assistance and what will disqualify a person from voting with electronic assistance.  </w:t>
      </w:r>
    </w:p>
    <w:p w:rsidR="00884DF3" w:rsidRPr="00AD5045" w:rsidRDefault="00884DF3" w:rsidP="00884DF3">
      <w:pPr>
        <w:rPr>
          <w:rFonts w:ascii="Times New Roman" w:hAnsi="Times New Roman" w:cs="Times New Roman"/>
          <w:szCs w:val="24"/>
        </w:rPr>
      </w:pPr>
      <w:r w:rsidRPr="00AD5045">
        <w:rPr>
          <w:rFonts w:ascii="Times New Roman" w:hAnsi="Times New Roman" w:cs="Times New Roman"/>
          <w:szCs w:val="24"/>
        </w:rPr>
        <w:t xml:space="preserve">The note at the end of the </w:t>
      </w:r>
      <w:r w:rsidR="007A7CEA" w:rsidRPr="00AD5045">
        <w:rPr>
          <w:rFonts w:ascii="Times New Roman" w:hAnsi="Times New Roman" w:cs="Times New Roman"/>
          <w:szCs w:val="24"/>
        </w:rPr>
        <w:t xml:space="preserve">section </w:t>
      </w:r>
      <w:r w:rsidRPr="00AD5045">
        <w:rPr>
          <w:rFonts w:ascii="Times New Roman" w:hAnsi="Times New Roman" w:cs="Times New Roman"/>
          <w:szCs w:val="24"/>
        </w:rPr>
        <w:t>informs a voter that if he or she is not entitled to cast an electronically assisted vote then the voter may be eligible to cast an assisted provisional vote on polling day or an assisted pre-poll vote.</w:t>
      </w:r>
    </w:p>
    <w:p w:rsidR="00A74001" w:rsidRDefault="00A74001" w:rsidP="00DA4E9C">
      <w:pPr>
        <w:rPr>
          <w:rFonts w:ascii="Times New Roman" w:hAnsi="Times New Roman" w:cs="Times New Roman"/>
          <w:u w:val="single"/>
        </w:rPr>
      </w:pPr>
    </w:p>
    <w:p w:rsidR="00884DF3" w:rsidRPr="00AD5045" w:rsidRDefault="00AD5045" w:rsidP="00DA4E9C">
      <w:pPr>
        <w:rPr>
          <w:rFonts w:ascii="Times New Roman" w:hAnsi="Times New Roman" w:cs="Times New Roman"/>
          <w:u w:val="single"/>
        </w:rPr>
      </w:pPr>
      <w:r>
        <w:rPr>
          <w:rFonts w:ascii="Times New Roman" w:hAnsi="Times New Roman" w:cs="Times New Roman"/>
          <w:u w:val="single"/>
        </w:rPr>
        <w:t xml:space="preserve">Section 18 </w:t>
      </w:r>
      <w:r w:rsidRPr="00AD5045">
        <w:rPr>
          <w:rFonts w:ascii="Times New Roman" w:hAnsi="Times New Roman" w:cs="Times New Roman"/>
          <w:u w:val="single"/>
        </w:rPr>
        <w:t>–</w:t>
      </w:r>
      <w:r w:rsidR="00884DF3" w:rsidRPr="00AD5045">
        <w:rPr>
          <w:rFonts w:ascii="Times New Roman" w:hAnsi="Times New Roman" w:cs="Times New Roman"/>
          <w:u w:val="single"/>
        </w:rPr>
        <w:t xml:space="preserve"> Electronically assisted voting—questions to be put to person </w:t>
      </w:r>
    </w:p>
    <w:p w:rsidR="00884DF3" w:rsidRPr="00AD5045" w:rsidRDefault="00AD5045" w:rsidP="00884DF3">
      <w:pPr>
        <w:rPr>
          <w:rFonts w:ascii="Times New Roman" w:hAnsi="Times New Roman" w:cs="Times New Roman"/>
          <w:szCs w:val="24"/>
        </w:rPr>
      </w:pPr>
      <w:r>
        <w:rPr>
          <w:rFonts w:ascii="Times New Roman" w:hAnsi="Times New Roman" w:cs="Times New Roman"/>
          <w:szCs w:val="24"/>
        </w:rPr>
        <w:lastRenderedPageBreak/>
        <w:t>Section 18</w:t>
      </w:r>
      <w:r w:rsidR="00884DF3" w:rsidRPr="00AD5045">
        <w:rPr>
          <w:rFonts w:ascii="Times New Roman" w:hAnsi="Times New Roman" w:cs="Times New Roman"/>
          <w:szCs w:val="24"/>
        </w:rPr>
        <w:t xml:space="preserve"> requires that when a person calls to request an electronically assisted vote the call centre operator must be satisfied that the person is a ‘registered sight-impaired voter’.  If the operator is satisfied they must ask the caller similar questions to those that are asked to all voters under section 229 of the Electoral Act. These questions include “What is your full name?”, “Where do you live?” and “Have you voted before in this election?”.</w:t>
      </w:r>
    </w:p>
    <w:p w:rsidR="00884DF3" w:rsidRPr="00AD5045" w:rsidRDefault="002C2994" w:rsidP="00DA4E9C">
      <w:pPr>
        <w:rPr>
          <w:rFonts w:ascii="Times New Roman" w:hAnsi="Times New Roman" w:cs="Times New Roman"/>
          <w:u w:val="single"/>
        </w:rPr>
      </w:pPr>
      <w:r>
        <w:rPr>
          <w:rFonts w:ascii="Times New Roman" w:hAnsi="Times New Roman" w:cs="Times New Roman"/>
          <w:u w:val="single"/>
        </w:rPr>
        <w:t>Section 19</w:t>
      </w:r>
      <w:r w:rsidR="00884DF3" w:rsidRPr="00AD5045">
        <w:rPr>
          <w:rFonts w:ascii="Times New Roman" w:hAnsi="Times New Roman" w:cs="Times New Roman"/>
          <w:u w:val="single"/>
        </w:rPr>
        <w:t xml:space="preserve"> – Enabling registered sight-impaired voter to vote</w:t>
      </w:r>
    </w:p>
    <w:p w:rsidR="00884DF3" w:rsidRPr="00AD5045" w:rsidRDefault="00884DF3" w:rsidP="00884DF3">
      <w:pPr>
        <w:rPr>
          <w:rFonts w:ascii="Times New Roman" w:hAnsi="Times New Roman" w:cs="Times New Roman"/>
          <w:szCs w:val="24"/>
        </w:rPr>
      </w:pPr>
      <w:r w:rsidRPr="00AD5045">
        <w:rPr>
          <w:rFonts w:ascii="Times New Roman" w:hAnsi="Times New Roman" w:cs="Times New Roman"/>
          <w:szCs w:val="24"/>
        </w:rPr>
        <w:t>Section</w:t>
      </w:r>
      <w:r w:rsidR="002C2994">
        <w:rPr>
          <w:rFonts w:ascii="Times New Roman" w:hAnsi="Times New Roman" w:cs="Times New Roman"/>
          <w:szCs w:val="24"/>
        </w:rPr>
        <w:t xml:space="preserve"> 19</w:t>
      </w:r>
      <w:r w:rsidRPr="00AD5045">
        <w:rPr>
          <w:rFonts w:ascii="Times New Roman" w:hAnsi="Times New Roman" w:cs="Times New Roman"/>
          <w:szCs w:val="24"/>
        </w:rPr>
        <w:t xml:space="preserve"> requires a call centre operator to assist a person who he or she is satisfied is entitled to an electronically assisted vote </w:t>
      </w:r>
      <w:r w:rsidR="00853E84" w:rsidRPr="00AD5045">
        <w:rPr>
          <w:rFonts w:ascii="Times New Roman" w:hAnsi="Times New Roman" w:cs="Times New Roman"/>
          <w:szCs w:val="24"/>
        </w:rPr>
        <w:t xml:space="preserve">to place a vote. </w:t>
      </w:r>
      <w:r w:rsidRPr="00AD5045">
        <w:rPr>
          <w:rFonts w:ascii="Times New Roman" w:hAnsi="Times New Roman" w:cs="Times New Roman"/>
          <w:szCs w:val="24"/>
        </w:rPr>
        <w:t>The Electoral Commissioner may also determine procedures to ensure that all sight-impaired persons who vote receive the same information regarding voting that they would have received if they were sighted.</w:t>
      </w:r>
    </w:p>
    <w:p w:rsidR="00884DF3" w:rsidRPr="00AD5045" w:rsidRDefault="002C2994" w:rsidP="00DA4E9C">
      <w:pPr>
        <w:rPr>
          <w:rFonts w:ascii="Times New Roman" w:hAnsi="Times New Roman" w:cs="Times New Roman"/>
          <w:u w:val="single"/>
        </w:rPr>
      </w:pPr>
      <w:r>
        <w:rPr>
          <w:rFonts w:ascii="Times New Roman" w:hAnsi="Times New Roman" w:cs="Times New Roman"/>
          <w:u w:val="single"/>
        </w:rPr>
        <w:t>Section 20</w:t>
      </w:r>
      <w:r w:rsidR="00884DF3" w:rsidRPr="00AD5045">
        <w:rPr>
          <w:rFonts w:ascii="Times New Roman" w:hAnsi="Times New Roman" w:cs="Times New Roman"/>
          <w:u w:val="single"/>
        </w:rPr>
        <w:t xml:space="preserve"> – Requirements relating to ballot boxes</w:t>
      </w:r>
    </w:p>
    <w:p w:rsidR="002C2994" w:rsidRDefault="002C2994" w:rsidP="002C2994">
      <w:pPr>
        <w:rPr>
          <w:rFonts w:ascii="Times New Roman" w:hAnsi="Times New Roman" w:cs="Times New Roman"/>
          <w:szCs w:val="24"/>
        </w:rPr>
      </w:pPr>
      <w:r w:rsidRPr="000F0766">
        <w:rPr>
          <w:rFonts w:ascii="Times New Roman" w:hAnsi="Times New Roman" w:cs="Times New Roman"/>
          <w:szCs w:val="24"/>
        </w:rPr>
        <w:t xml:space="preserve">Section </w:t>
      </w:r>
      <w:r>
        <w:rPr>
          <w:rFonts w:ascii="Times New Roman" w:hAnsi="Times New Roman" w:cs="Times New Roman"/>
          <w:szCs w:val="24"/>
        </w:rPr>
        <w:t>20</w:t>
      </w:r>
      <w:r w:rsidRPr="000F0766">
        <w:rPr>
          <w:rFonts w:ascii="Times New Roman" w:hAnsi="Times New Roman" w:cs="Times New Roman"/>
          <w:szCs w:val="24"/>
        </w:rPr>
        <w:t xml:space="preserve"> </w:t>
      </w:r>
      <w:r>
        <w:rPr>
          <w:rFonts w:ascii="Times New Roman" w:hAnsi="Times New Roman" w:cs="Times New Roman"/>
          <w:szCs w:val="24"/>
        </w:rPr>
        <w:t>provide</w:t>
      </w:r>
      <w:r w:rsidR="00C8163C">
        <w:rPr>
          <w:rFonts w:ascii="Times New Roman" w:hAnsi="Times New Roman" w:cs="Times New Roman"/>
          <w:szCs w:val="24"/>
        </w:rPr>
        <w:t>s</w:t>
      </w:r>
      <w:r>
        <w:rPr>
          <w:rFonts w:ascii="Times New Roman" w:hAnsi="Times New Roman" w:cs="Times New Roman"/>
          <w:szCs w:val="24"/>
        </w:rPr>
        <w:t xml:space="preserve"> that, for an election, </w:t>
      </w:r>
      <w:r w:rsidRPr="00530E88">
        <w:rPr>
          <w:rFonts w:ascii="Times New Roman" w:hAnsi="Times New Roman" w:cs="Times New Roman"/>
          <w:szCs w:val="24"/>
        </w:rPr>
        <w:t xml:space="preserve">Subdivision C of Division 3 of Part XVA of the Act, other than section 200DR, </w:t>
      </w:r>
      <w:r>
        <w:rPr>
          <w:rFonts w:ascii="Times New Roman" w:hAnsi="Times New Roman" w:cs="Times New Roman"/>
          <w:szCs w:val="24"/>
        </w:rPr>
        <w:t xml:space="preserve">is taken </w:t>
      </w:r>
      <w:r w:rsidRPr="00530E88">
        <w:rPr>
          <w:rFonts w:ascii="Times New Roman" w:hAnsi="Times New Roman" w:cs="Times New Roman"/>
          <w:szCs w:val="24"/>
        </w:rPr>
        <w:t>to apply to ballot</w:t>
      </w:r>
      <w:r w:rsidRPr="00530E88">
        <w:rPr>
          <w:rFonts w:ascii="Times New Roman" w:hAnsi="Times New Roman" w:cs="Times New Roman"/>
          <w:szCs w:val="24"/>
        </w:rPr>
        <w:noBreakHyphen/>
        <w:t>boxes used at an authorised call centre for electronically assisted voting as if the electronically assisted voting were pre</w:t>
      </w:r>
      <w:r w:rsidRPr="00530E88">
        <w:rPr>
          <w:rFonts w:ascii="Times New Roman" w:hAnsi="Times New Roman" w:cs="Times New Roman"/>
          <w:szCs w:val="24"/>
        </w:rPr>
        <w:noBreakHyphen/>
        <w:t>poll ordinary voting</w:t>
      </w:r>
      <w:r>
        <w:rPr>
          <w:rFonts w:ascii="Times New Roman" w:hAnsi="Times New Roman" w:cs="Times New Roman"/>
          <w:szCs w:val="24"/>
        </w:rPr>
        <w:t>.</w:t>
      </w:r>
    </w:p>
    <w:p w:rsidR="002C2994" w:rsidRDefault="002C2994" w:rsidP="002C2994">
      <w:pPr>
        <w:rPr>
          <w:rFonts w:ascii="Times New Roman" w:hAnsi="Times New Roman" w:cs="Times New Roman"/>
          <w:szCs w:val="24"/>
        </w:rPr>
      </w:pPr>
      <w:r>
        <w:rPr>
          <w:rFonts w:ascii="Times New Roman" w:hAnsi="Times New Roman" w:cs="Times New Roman"/>
          <w:szCs w:val="24"/>
        </w:rPr>
        <w:t xml:space="preserve">Section 20 would also provide that, for a referendum, the </w:t>
      </w:r>
      <w:r w:rsidRPr="000F0766">
        <w:rPr>
          <w:rFonts w:ascii="Times New Roman" w:hAnsi="Times New Roman" w:cs="Times New Roman"/>
          <w:szCs w:val="24"/>
        </w:rPr>
        <w:t xml:space="preserve">procedures set out in Subdivision C </w:t>
      </w:r>
      <w:r w:rsidR="00A74001">
        <w:rPr>
          <w:rFonts w:ascii="Times New Roman" w:hAnsi="Times New Roman" w:cs="Times New Roman"/>
          <w:szCs w:val="24"/>
        </w:rPr>
        <w:t xml:space="preserve">of Division 3 </w:t>
      </w:r>
      <w:r w:rsidRPr="000F0766">
        <w:rPr>
          <w:rFonts w:ascii="Times New Roman" w:hAnsi="Times New Roman" w:cs="Times New Roman"/>
          <w:szCs w:val="24"/>
        </w:rPr>
        <w:t>of Part IVA of the Referendum Act, other than section 73CR, apply to ballot boxes used at the national call centre.</w:t>
      </w:r>
    </w:p>
    <w:p w:rsidR="002C2994" w:rsidRPr="000F0766" w:rsidRDefault="002C2994" w:rsidP="002C2994">
      <w:pPr>
        <w:rPr>
          <w:rFonts w:ascii="Times New Roman" w:hAnsi="Times New Roman" w:cs="Times New Roman"/>
          <w:szCs w:val="24"/>
        </w:rPr>
      </w:pPr>
      <w:r w:rsidRPr="000F0766">
        <w:rPr>
          <w:rFonts w:ascii="Times New Roman" w:hAnsi="Times New Roman" w:cs="Times New Roman"/>
          <w:szCs w:val="24"/>
        </w:rPr>
        <w:t>This is a drafting efficiency to use existing provisions for dealing with the security and handling of ballot boxes at the call centre.</w:t>
      </w:r>
    </w:p>
    <w:p w:rsidR="00884DF3" w:rsidRPr="00AD5045" w:rsidRDefault="00884DF3" w:rsidP="00DA4E9C">
      <w:pPr>
        <w:rPr>
          <w:rFonts w:ascii="Times New Roman" w:hAnsi="Times New Roman" w:cs="Times New Roman"/>
          <w:u w:val="single"/>
        </w:rPr>
      </w:pPr>
      <w:r w:rsidRPr="00AD5045">
        <w:rPr>
          <w:rFonts w:ascii="Times New Roman" w:hAnsi="Times New Roman" w:cs="Times New Roman"/>
          <w:u w:val="single"/>
        </w:rPr>
        <w:t>Secti</w:t>
      </w:r>
      <w:r w:rsidR="002C2994">
        <w:rPr>
          <w:rFonts w:ascii="Times New Roman" w:hAnsi="Times New Roman" w:cs="Times New Roman"/>
          <w:u w:val="single"/>
        </w:rPr>
        <w:t>on 21</w:t>
      </w:r>
      <w:r w:rsidRPr="00AD5045">
        <w:rPr>
          <w:rFonts w:ascii="Times New Roman" w:hAnsi="Times New Roman" w:cs="Times New Roman"/>
          <w:u w:val="single"/>
        </w:rPr>
        <w:t xml:space="preserve"> – Role of scrutineers—authorised call centre</w:t>
      </w:r>
    </w:p>
    <w:p w:rsidR="00884DF3" w:rsidRPr="00AD5045" w:rsidRDefault="00BF1511" w:rsidP="00884DF3">
      <w:pPr>
        <w:rPr>
          <w:rFonts w:ascii="Times New Roman" w:hAnsi="Times New Roman" w:cs="Times New Roman"/>
          <w:szCs w:val="24"/>
        </w:rPr>
      </w:pPr>
      <w:r w:rsidRPr="00AD5045">
        <w:rPr>
          <w:rFonts w:ascii="Times New Roman" w:hAnsi="Times New Roman" w:cs="Times New Roman"/>
          <w:szCs w:val="24"/>
        </w:rPr>
        <w:t>Section</w:t>
      </w:r>
      <w:r w:rsidR="002C2994">
        <w:rPr>
          <w:rFonts w:ascii="Times New Roman" w:hAnsi="Times New Roman" w:cs="Times New Roman"/>
          <w:szCs w:val="24"/>
        </w:rPr>
        <w:t xml:space="preserve"> 21</w:t>
      </w:r>
      <w:r w:rsidR="00884DF3" w:rsidRPr="00AD5045">
        <w:rPr>
          <w:rFonts w:ascii="Times New Roman" w:hAnsi="Times New Roman" w:cs="Times New Roman"/>
          <w:szCs w:val="24"/>
        </w:rPr>
        <w:t xml:space="preserve"> provides for the appointment and regulation of scrutineers attending </w:t>
      </w:r>
      <w:r w:rsidR="00C8163C">
        <w:rPr>
          <w:rFonts w:ascii="Times New Roman" w:hAnsi="Times New Roman" w:cs="Times New Roman"/>
          <w:szCs w:val="24"/>
        </w:rPr>
        <w:t xml:space="preserve">an authorised </w:t>
      </w:r>
      <w:r w:rsidR="00884DF3" w:rsidRPr="00AD5045">
        <w:rPr>
          <w:rFonts w:ascii="Times New Roman" w:hAnsi="Times New Roman" w:cs="Times New Roman"/>
          <w:szCs w:val="24"/>
        </w:rPr>
        <w:t xml:space="preserve">call centre.  </w:t>
      </w:r>
      <w:r w:rsidRPr="00AD5045">
        <w:rPr>
          <w:rFonts w:ascii="Times New Roman" w:hAnsi="Times New Roman" w:cs="Times New Roman"/>
          <w:szCs w:val="24"/>
        </w:rPr>
        <w:t>Section</w:t>
      </w:r>
      <w:r w:rsidR="002C2994">
        <w:rPr>
          <w:rFonts w:ascii="Times New Roman" w:hAnsi="Times New Roman" w:cs="Times New Roman"/>
          <w:szCs w:val="24"/>
        </w:rPr>
        <w:t xml:space="preserve"> 21</w:t>
      </w:r>
      <w:r w:rsidR="00884DF3" w:rsidRPr="00AD5045">
        <w:rPr>
          <w:rFonts w:ascii="Times New Roman" w:hAnsi="Times New Roman" w:cs="Times New Roman"/>
          <w:szCs w:val="24"/>
        </w:rPr>
        <w:t xml:space="preserve"> also provides for an offence with a penalty of five penalty units for scrutineers at </w:t>
      </w:r>
      <w:r w:rsidR="00C8163C">
        <w:rPr>
          <w:rFonts w:ascii="Times New Roman" w:hAnsi="Times New Roman" w:cs="Times New Roman"/>
          <w:szCs w:val="24"/>
        </w:rPr>
        <w:t xml:space="preserve">an authorised </w:t>
      </w:r>
      <w:r w:rsidR="00884DF3" w:rsidRPr="00AD5045">
        <w:rPr>
          <w:rFonts w:ascii="Times New Roman" w:hAnsi="Times New Roman" w:cs="Times New Roman"/>
          <w:szCs w:val="24"/>
        </w:rPr>
        <w:t>call centre that interfere with specified personnel or unnecessarily communicate with any person present in the national call centre.  These provisions are modelled on existing provisions in the Electoral Act.</w:t>
      </w:r>
    </w:p>
    <w:p w:rsidR="00884DF3" w:rsidRPr="00AD5045" w:rsidRDefault="002C2994" w:rsidP="00DA4E9C">
      <w:pPr>
        <w:rPr>
          <w:rFonts w:ascii="Times New Roman" w:hAnsi="Times New Roman" w:cs="Times New Roman"/>
          <w:u w:val="single"/>
        </w:rPr>
      </w:pPr>
      <w:r>
        <w:rPr>
          <w:rFonts w:ascii="Times New Roman" w:hAnsi="Times New Roman" w:cs="Times New Roman"/>
          <w:u w:val="single"/>
        </w:rPr>
        <w:t>Section 22</w:t>
      </w:r>
      <w:r w:rsidR="00BF1511" w:rsidRPr="00AD5045">
        <w:rPr>
          <w:rFonts w:ascii="Times New Roman" w:hAnsi="Times New Roman" w:cs="Times New Roman"/>
          <w:u w:val="single"/>
        </w:rPr>
        <w:t xml:space="preserve"> – Record of electronically assisted votes</w:t>
      </w:r>
    </w:p>
    <w:p w:rsidR="00BF1511" w:rsidRPr="00AD5045" w:rsidRDefault="00BF1511" w:rsidP="00BF1511">
      <w:pPr>
        <w:rPr>
          <w:rFonts w:ascii="Times New Roman" w:hAnsi="Times New Roman" w:cs="Times New Roman"/>
          <w:szCs w:val="24"/>
        </w:rPr>
      </w:pPr>
      <w:r w:rsidRPr="00AD5045">
        <w:rPr>
          <w:rFonts w:ascii="Times New Roman" w:hAnsi="Times New Roman" w:cs="Times New Roman"/>
          <w:szCs w:val="24"/>
        </w:rPr>
        <w:t>Section</w:t>
      </w:r>
      <w:r w:rsidR="002C2994">
        <w:rPr>
          <w:rFonts w:ascii="Times New Roman" w:hAnsi="Times New Roman" w:cs="Times New Roman"/>
          <w:szCs w:val="24"/>
        </w:rPr>
        <w:t xml:space="preserve"> 22</w:t>
      </w:r>
      <w:r w:rsidRPr="00AD5045">
        <w:rPr>
          <w:rFonts w:ascii="Times New Roman" w:hAnsi="Times New Roman" w:cs="Times New Roman"/>
          <w:szCs w:val="24"/>
        </w:rPr>
        <w:t xml:space="preserve"> requires that a record of the name of each person who casts an electronically assisted vote must be made.  To ensure that a central record is made to check for instances of multiple voting, if a person votes outside his or her ‘home’ Division then the record of the person voting must be supplied to the Divisional Returning Officer for the Division in which the person is enrolled to vote.</w:t>
      </w:r>
    </w:p>
    <w:p w:rsidR="00BF1511" w:rsidRPr="00AD5045" w:rsidRDefault="002C2994" w:rsidP="00DA4E9C">
      <w:pPr>
        <w:rPr>
          <w:rFonts w:ascii="Times New Roman" w:hAnsi="Times New Roman" w:cs="Times New Roman"/>
          <w:u w:val="single"/>
        </w:rPr>
      </w:pPr>
      <w:r>
        <w:rPr>
          <w:rFonts w:ascii="Times New Roman" w:hAnsi="Times New Roman" w:cs="Times New Roman"/>
          <w:u w:val="single"/>
        </w:rPr>
        <w:t>Section 23</w:t>
      </w:r>
      <w:r w:rsidR="00BF1511" w:rsidRPr="00AD5045">
        <w:rPr>
          <w:rFonts w:ascii="Times New Roman" w:hAnsi="Times New Roman" w:cs="Times New Roman"/>
          <w:u w:val="single"/>
        </w:rPr>
        <w:t xml:space="preserve"> – What must be done with the voter’s ballot papers</w:t>
      </w:r>
    </w:p>
    <w:p w:rsidR="00844C28" w:rsidRPr="002C2994" w:rsidRDefault="002C2994" w:rsidP="00DA4E9C">
      <w:pPr>
        <w:rPr>
          <w:rFonts w:ascii="Times New Roman" w:hAnsi="Times New Roman" w:cs="Times New Roman"/>
          <w:szCs w:val="24"/>
        </w:rPr>
      </w:pPr>
      <w:r>
        <w:rPr>
          <w:rFonts w:ascii="Times New Roman" w:hAnsi="Times New Roman" w:cs="Times New Roman"/>
        </w:rPr>
        <w:t>Section 23</w:t>
      </w:r>
      <w:r w:rsidR="00BF1511" w:rsidRPr="00AD5045">
        <w:rPr>
          <w:rFonts w:ascii="Times New Roman" w:hAnsi="Times New Roman" w:cs="Times New Roman"/>
        </w:rPr>
        <w:t xml:space="preserve"> </w:t>
      </w:r>
      <w:r w:rsidR="00BF1511" w:rsidRPr="00AD5045">
        <w:rPr>
          <w:rFonts w:ascii="Times New Roman" w:hAnsi="Times New Roman" w:cs="Times New Roman"/>
          <w:szCs w:val="24"/>
        </w:rPr>
        <w:t>provides for the treatment of ballot papers once the poll is closed for all Divisions.  An Assistant Returning Officer will sort the envelopes of ballot papers into bundles for each Division and forward each bundle to the relevant Divisional Returning Officer.  Offences apply to persons dealing with ballot papers who are not Assistant Returning Officers or acting under the direction of such a person.</w:t>
      </w:r>
    </w:p>
    <w:p w:rsidR="00BF1511" w:rsidRPr="00AD5045" w:rsidRDefault="002C2994" w:rsidP="00DA4E9C">
      <w:pPr>
        <w:rPr>
          <w:rFonts w:ascii="Times New Roman" w:hAnsi="Times New Roman" w:cs="Times New Roman"/>
          <w:u w:val="single"/>
        </w:rPr>
      </w:pPr>
      <w:r>
        <w:rPr>
          <w:rFonts w:ascii="Times New Roman" w:hAnsi="Times New Roman" w:cs="Times New Roman"/>
          <w:u w:val="single"/>
        </w:rPr>
        <w:t>Section 24</w:t>
      </w:r>
      <w:r w:rsidR="00BF1511" w:rsidRPr="00AD5045">
        <w:rPr>
          <w:rFonts w:ascii="Times New Roman" w:hAnsi="Times New Roman" w:cs="Times New Roman"/>
          <w:u w:val="single"/>
        </w:rPr>
        <w:t xml:space="preserve"> – Scrutiny of ballot papers</w:t>
      </w:r>
    </w:p>
    <w:p w:rsidR="00BF1511" w:rsidRDefault="00BF1511" w:rsidP="00BF1511">
      <w:pPr>
        <w:rPr>
          <w:rFonts w:ascii="Times New Roman" w:hAnsi="Times New Roman" w:cs="Times New Roman"/>
          <w:szCs w:val="24"/>
        </w:rPr>
      </w:pPr>
      <w:r w:rsidRPr="00AD5045">
        <w:rPr>
          <w:rFonts w:ascii="Times New Roman" w:hAnsi="Times New Roman" w:cs="Times New Roman"/>
          <w:szCs w:val="24"/>
        </w:rPr>
        <w:lastRenderedPageBreak/>
        <w:t>Section</w:t>
      </w:r>
      <w:r w:rsidR="002C2994">
        <w:rPr>
          <w:rFonts w:ascii="Times New Roman" w:hAnsi="Times New Roman" w:cs="Times New Roman"/>
          <w:szCs w:val="24"/>
        </w:rPr>
        <w:t xml:space="preserve"> 24</w:t>
      </w:r>
      <w:r w:rsidRPr="00AD5045">
        <w:rPr>
          <w:rFonts w:ascii="Times New Roman" w:hAnsi="Times New Roman" w:cs="Times New Roman"/>
          <w:szCs w:val="24"/>
        </w:rPr>
        <w:t xml:space="preserve"> provides that it is the Divisional Returning Officer, or a person under the direction of such a person, that counts the votes cast by the electronically assisted method.  </w:t>
      </w:r>
      <w:r w:rsidR="002C2994">
        <w:rPr>
          <w:rFonts w:ascii="Times New Roman" w:hAnsi="Times New Roman" w:cs="Times New Roman"/>
          <w:szCs w:val="24"/>
        </w:rPr>
        <w:t>Section 24</w:t>
      </w:r>
      <w:r w:rsidR="002F5099" w:rsidRPr="00AD5045">
        <w:rPr>
          <w:rFonts w:ascii="Times New Roman" w:hAnsi="Times New Roman" w:cs="Times New Roman"/>
          <w:szCs w:val="24"/>
        </w:rPr>
        <w:t xml:space="preserve"> also provides for an offence with a penalty of five penalty units</w:t>
      </w:r>
      <w:r w:rsidR="00C8163C">
        <w:rPr>
          <w:rFonts w:ascii="Times New Roman" w:hAnsi="Times New Roman" w:cs="Times New Roman"/>
          <w:szCs w:val="24"/>
        </w:rPr>
        <w:t xml:space="preserve"> if a person conducts the scrutiny who is not the Divisional Returning Officer or a person acting under the direction of such a person.</w:t>
      </w:r>
    </w:p>
    <w:p w:rsidR="00C8163C" w:rsidRPr="00AD5045" w:rsidRDefault="00C8163C" w:rsidP="00BF1511">
      <w:pPr>
        <w:rPr>
          <w:rFonts w:ascii="Times New Roman" w:hAnsi="Times New Roman" w:cs="Times New Roman"/>
          <w:szCs w:val="24"/>
        </w:rPr>
      </w:pPr>
    </w:p>
    <w:p w:rsidR="00BF1511" w:rsidRPr="002C2994" w:rsidRDefault="002C2994" w:rsidP="00DA4E9C">
      <w:pPr>
        <w:rPr>
          <w:rFonts w:ascii="Times New Roman" w:hAnsi="Times New Roman" w:cs="Times New Roman"/>
          <w:u w:val="single"/>
        </w:rPr>
      </w:pPr>
      <w:r>
        <w:rPr>
          <w:rFonts w:ascii="Times New Roman" w:hAnsi="Times New Roman" w:cs="Times New Roman"/>
          <w:u w:val="single"/>
        </w:rPr>
        <w:t>Section 25</w:t>
      </w:r>
      <w:r w:rsidR="00BF1511" w:rsidRPr="002C2994">
        <w:rPr>
          <w:rFonts w:ascii="Times New Roman" w:hAnsi="Times New Roman" w:cs="Times New Roman"/>
          <w:u w:val="single"/>
        </w:rPr>
        <w:t xml:space="preserve"> – Offences related to electronically assisted voting</w:t>
      </w:r>
    </w:p>
    <w:p w:rsidR="00BF1511" w:rsidRPr="00AD5045" w:rsidRDefault="00BF1511" w:rsidP="00BF1511">
      <w:pPr>
        <w:rPr>
          <w:rFonts w:ascii="Times New Roman" w:hAnsi="Times New Roman" w:cs="Times New Roman"/>
          <w:szCs w:val="24"/>
        </w:rPr>
      </w:pPr>
      <w:r w:rsidRPr="00AD5045">
        <w:rPr>
          <w:rFonts w:ascii="Times New Roman" w:hAnsi="Times New Roman" w:cs="Times New Roman"/>
          <w:szCs w:val="24"/>
        </w:rPr>
        <w:t xml:space="preserve">Section </w:t>
      </w:r>
      <w:r w:rsidR="002C2994">
        <w:rPr>
          <w:rFonts w:ascii="Times New Roman" w:hAnsi="Times New Roman" w:cs="Times New Roman"/>
          <w:szCs w:val="24"/>
        </w:rPr>
        <w:t>25</w:t>
      </w:r>
      <w:r w:rsidRPr="00AD5045">
        <w:rPr>
          <w:rFonts w:ascii="Times New Roman" w:hAnsi="Times New Roman" w:cs="Times New Roman"/>
          <w:szCs w:val="24"/>
        </w:rPr>
        <w:t xml:space="preserve"> provides for a number of offences related to electronically assisted voting, such as interfering with a voter while the voter casts an electronically assisted vote.  The offences do not apply to an officer or person assisting the voter or a call centre operator or assistant call centre operator acting in accordance with section</w:t>
      </w:r>
      <w:r w:rsidR="002C2994">
        <w:rPr>
          <w:rFonts w:ascii="Times New Roman" w:hAnsi="Times New Roman" w:cs="Times New Roman"/>
          <w:szCs w:val="24"/>
        </w:rPr>
        <w:t> </w:t>
      </w:r>
      <w:r w:rsidR="00C8163C">
        <w:rPr>
          <w:rFonts w:ascii="Times New Roman" w:hAnsi="Times New Roman" w:cs="Times New Roman"/>
          <w:szCs w:val="24"/>
        </w:rPr>
        <w:t>19</w:t>
      </w:r>
      <w:r w:rsidRPr="00AD5045">
        <w:rPr>
          <w:rFonts w:ascii="Times New Roman" w:hAnsi="Times New Roman" w:cs="Times New Roman"/>
          <w:szCs w:val="24"/>
        </w:rPr>
        <w:t>.</w:t>
      </w:r>
    </w:p>
    <w:p w:rsidR="00BF1511" w:rsidRPr="002C2994" w:rsidRDefault="00BF1511" w:rsidP="00DA4E9C">
      <w:pPr>
        <w:rPr>
          <w:rFonts w:ascii="Times New Roman" w:hAnsi="Times New Roman" w:cs="Times New Roman"/>
          <w:u w:val="single"/>
        </w:rPr>
      </w:pPr>
      <w:r w:rsidRPr="002C2994">
        <w:rPr>
          <w:rFonts w:ascii="Times New Roman" w:hAnsi="Times New Roman" w:cs="Times New Roman"/>
          <w:u w:val="single"/>
        </w:rPr>
        <w:t xml:space="preserve">Section </w:t>
      </w:r>
      <w:r w:rsidR="002C2994">
        <w:rPr>
          <w:rFonts w:ascii="Times New Roman" w:hAnsi="Times New Roman" w:cs="Times New Roman"/>
          <w:u w:val="single"/>
        </w:rPr>
        <w:t>26</w:t>
      </w:r>
      <w:r w:rsidRPr="002C2994">
        <w:rPr>
          <w:rFonts w:ascii="Times New Roman" w:hAnsi="Times New Roman" w:cs="Times New Roman"/>
          <w:u w:val="single"/>
        </w:rPr>
        <w:t xml:space="preserve"> – Protection of electronic voting hardware or software</w:t>
      </w:r>
    </w:p>
    <w:p w:rsidR="002D0C95" w:rsidRPr="002C2994" w:rsidRDefault="00BF1511" w:rsidP="00DA4E9C">
      <w:pPr>
        <w:rPr>
          <w:rFonts w:ascii="Times New Roman" w:hAnsi="Times New Roman" w:cs="Times New Roman"/>
        </w:rPr>
      </w:pPr>
      <w:r w:rsidRPr="00AD5045">
        <w:rPr>
          <w:rFonts w:ascii="Times New Roman" w:hAnsi="Times New Roman" w:cs="Times New Roman"/>
        </w:rPr>
        <w:t xml:space="preserve">Section </w:t>
      </w:r>
      <w:r w:rsidR="002C2994">
        <w:rPr>
          <w:rFonts w:ascii="Times New Roman" w:hAnsi="Times New Roman" w:cs="Times New Roman"/>
          <w:szCs w:val="24"/>
        </w:rPr>
        <w:t>26</w:t>
      </w:r>
      <w:r w:rsidRPr="00AD5045">
        <w:rPr>
          <w:rFonts w:ascii="Times New Roman" w:hAnsi="Times New Roman" w:cs="Times New Roman"/>
          <w:szCs w:val="24"/>
        </w:rPr>
        <w:t xml:space="preserve"> creates an offence subject to five penalty units for a person who destroys or interferes with a computer program, data file or electronic device which is used or intended to be used for or in connection with electronically assisted voting.  </w:t>
      </w:r>
    </w:p>
    <w:p w:rsidR="00BF1511" w:rsidRPr="00AD5045" w:rsidRDefault="002C2994" w:rsidP="00DA4E9C">
      <w:pPr>
        <w:rPr>
          <w:rFonts w:ascii="Times New Roman" w:hAnsi="Times New Roman" w:cs="Times New Roman"/>
          <w:b/>
          <w:sz w:val="25"/>
          <w:szCs w:val="25"/>
        </w:rPr>
      </w:pPr>
      <w:r>
        <w:rPr>
          <w:rFonts w:ascii="Times New Roman" w:hAnsi="Times New Roman" w:cs="Times New Roman"/>
          <w:b/>
          <w:sz w:val="25"/>
          <w:szCs w:val="25"/>
        </w:rPr>
        <w:t>Division 2</w:t>
      </w:r>
      <w:r w:rsidR="00BF1511" w:rsidRPr="00AD5045">
        <w:rPr>
          <w:rFonts w:ascii="Times New Roman" w:hAnsi="Times New Roman" w:cs="Times New Roman"/>
          <w:b/>
          <w:sz w:val="25"/>
          <w:szCs w:val="25"/>
        </w:rPr>
        <w:t xml:space="preserve"> — Enforcement of law in relation to compulsory voting </w:t>
      </w:r>
    </w:p>
    <w:p w:rsidR="00BF1511" w:rsidRPr="002C2994" w:rsidRDefault="002C2994" w:rsidP="00DA4E9C">
      <w:pPr>
        <w:rPr>
          <w:rFonts w:ascii="Times New Roman" w:hAnsi="Times New Roman" w:cs="Times New Roman"/>
          <w:u w:val="single"/>
        </w:rPr>
      </w:pPr>
      <w:r>
        <w:rPr>
          <w:rFonts w:ascii="Times New Roman" w:hAnsi="Times New Roman" w:cs="Times New Roman"/>
          <w:u w:val="single"/>
        </w:rPr>
        <w:t>Section 27</w:t>
      </w:r>
      <w:r w:rsidR="00BF1511" w:rsidRPr="002C2994">
        <w:rPr>
          <w:rFonts w:ascii="Times New Roman" w:hAnsi="Times New Roman" w:cs="Times New Roman"/>
          <w:u w:val="single"/>
        </w:rPr>
        <w:t xml:space="preserve"> – Proceedings in court on failure of elector to vote</w:t>
      </w:r>
    </w:p>
    <w:p w:rsidR="00C8163C" w:rsidRPr="002C2994" w:rsidRDefault="00C8163C" w:rsidP="00C8163C">
      <w:pPr>
        <w:rPr>
          <w:rFonts w:ascii="Times New Roman" w:hAnsi="Times New Roman" w:cs="Times New Roman"/>
          <w:u w:val="single"/>
        </w:rPr>
      </w:pPr>
      <w:r>
        <w:rPr>
          <w:rFonts w:ascii="Times New Roman" w:hAnsi="Times New Roman" w:cs="Times New Roman"/>
          <w:u w:val="single"/>
        </w:rPr>
        <w:t>Section 28</w:t>
      </w:r>
      <w:r w:rsidRPr="002C2994">
        <w:rPr>
          <w:rFonts w:ascii="Times New Roman" w:hAnsi="Times New Roman" w:cs="Times New Roman"/>
          <w:u w:val="single"/>
        </w:rPr>
        <w:t xml:space="preserve"> – Evidence in court of summary jurisdiction </w:t>
      </w:r>
    </w:p>
    <w:p w:rsidR="002C2994" w:rsidRPr="000F0766" w:rsidRDefault="00C8163C" w:rsidP="002C2994">
      <w:pPr>
        <w:rPr>
          <w:rFonts w:ascii="Times New Roman" w:hAnsi="Times New Roman" w:cs="Times New Roman"/>
          <w:szCs w:val="24"/>
        </w:rPr>
      </w:pPr>
      <w:r>
        <w:rPr>
          <w:rFonts w:ascii="Times New Roman" w:hAnsi="Times New Roman" w:cs="Times New Roman"/>
          <w:szCs w:val="24"/>
        </w:rPr>
        <w:t>S</w:t>
      </w:r>
      <w:r w:rsidR="002C2994" w:rsidRPr="000F0766">
        <w:rPr>
          <w:rFonts w:ascii="Times New Roman" w:hAnsi="Times New Roman" w:cs="Times New Roman"/>
          <w:szCs w:val="24"/>
        </w:rPr>
        <w:t xml:space="preserve">ection </w:t>
      </w:r>
      <w:r>
        <w:rPr>
          <w:rFonts w:ascii="Times New Roman" w:hAnsi="Times New Roman" w:cs="Times New Roman"/>
          <w:szCs w:val="24"/>
        </w:rPr>
        <w:t xml:space="preserve">27 </w:t>
      </w:r>
      <w:r w:rsidR="002C2994" w:rsidRPr="000F0766">
        <w:rPr>
          <w:rFonts w:ascii="Times New Roman" w:hAnsi="Times New Roman" w:cs="Times New Roman"/>
          <w:szCs w:val="24"/>
        </w:rPr>
        <w:t>provide</w:t>
      </w:r>
      <w:r>
        <w:rPr>
          <w:rFonts w:ascii="Times New Roman" w:hAnsi="Times New Roman" w:cs="Times New Roman"/>
          <w:szCs w:val="24"/>
        </w:rPr>
        <w:t>s</w:t>
      </w:r>
      <w:r w:rsidR="002C2994" w:rsidRPr="000F0766">
        <w:rPr>
          <w:rFonts w:ascii="Times New Roman" w:hAnsi="Times New Roman" w:cs="Times New Roman"/>
          <w:szCs w:val="24"/>
        </w:rPr>
        <w:t xml:space="preserve"> that for the prosecution of a person to failing to vote without a valid and sufficient reason at an election or referendum, the Divisional Returning Officer must provide to the court the elector’s response to correspondence from the AEC.</w:t>
      </w:r>
    </w:p>
    <w:p w:rsidR="002D0C95" w:rsidRDefault="00C8163C" w:rsidP="00DA4E9C">
      <w:pPr>
        <w:rPr>
          <w:rFonts w:ascii="Times New Roman" w:hAnsi="Times New Roman" w:cs="Times New Roman"/>
          <w:szCs w:val="24"/>
        </w:rPr>
      </w:pPr>
      <w:r>
        <w:rPr>
          <w:rFonts w:ascii="Times New Roman" w:hAnsi="Times New Roman" w:cs="Times New Roman"/>
          <w:szCs w:val="24"/>
        </w:rPr>
        <w:t xml:space="preserve">Section 28 </w:t>
      </w:r>
      <w:r w:rsidR="002C2994" w:rsidRPr="000F0766">
        <w:rPr>
          <w:rFonts w:ascii="Times New Roman" w:hAnsi="Times New Roman" w:cs="Times New Roman"/>
          <w:szCs w:val="24"/>
        </w:rPr>
        <w:t>provide</w:t>
      </w:r>
      <w:r>
        <w:rPr>
          <w:rFonts w:ascii="Times New Roman" w:hAnsi="Times New Roman" w:cs="Times New Roman"/>
          <w:szCs w:val="24"/>
        </w:rPr>
        <w:t>s</w:t>
      </w:r>
      <w:r w:rsidR="002C2994" w:rsidRPr="000F0766">
        <w:rPr>
          <w:rFonts w:ascii="Times New Roman" w:hAnsi="Times New Roman" w:cs="Times New Roman"/>
          <w:szCs w:val="24"/>
        </w:rPr>
        <w:t xml:space="preserve"> that if the officer authorised by the Electoral Commissioner to initiate proceedings for non-voting files with the court </w:t>
      </w:r>
      <w:r w:rsidR="00C87A8F">
        <w:rPr>
          <w:rFonts w:ascii="Times New Roman" w:hAnsi="Times New Roman" w:cs="Times New Roman"/>
          <w:szCs w:val="24"/>
        </w:rPr>
        <w:t xml:space="preserve">a statutory declaration and a certified extract in the approved form </w:t>
      </w:r>
      <w:r w:rsidR="002C2994" w:rsidRPr="000F0766">
        <w:rPr>
          <w:rFonts w:ascii="Times New Roman" w:hAnsi="Times New Roman" w:cs="Times New Roman"/>
          <w:szCs w:val="24"/>
        </w:rPr>
        <w:t>then the officer does not have to attend the hearing.  This is particularly important for large electoral Divisions that might involve considerable travel for a minor penalty.</w:t>
      </w:r>
      <w:r w:rsidR="00C87A8F">
        <w:rPr>
          <w:rFonts w:ascii="Times New Roman" w:hAnsi="Times New Roman" w:cs="Times New Roman"/>
          <w:szCs w:val="24"/>
        </w:rPr>
        <w:t xml:space="preserve">  The ‘certified extract’ is </w:t>
      </w:r>
      <w:r w:rsidR="00C87A8F" w:rsidRPr="00C87A8F">
        <w:rPr>
          <w:rFonts w:ascii="Times New Roman" w:hAnsi="Times New Roman" w:cs="Times New Roman"/>
          <w:szCs w:val="24"/>
        </w:rPr>
        <w:t>the list of electors that the D</w:t>
      </w:r>
      <w:r w:rsidR="00C87A8F">
        <w:rPr>
          <w:rFonts w:ascii="Times New Roman" w:hAnsi="Times New Roman" w:cs="Times New Roman"/>
          <w:szCs w:val="24"/>
        </w:rPr>
        <w:t xml:space="preserve">ivisional </w:t>
      </w:r>
      <w:r w:rsidR="00C87A8F" w:rsidRPr="00C87A8F">
        <w:rPr>
          <w:rFonts w:ascii="Times New Roman" w:hAnsi="Times New Roman" w:cs="Times New Roman"/>
          <w:szCs w:val="24"/>
        </w:rPr>
        <w:t>R</w:t>
      </w:r>
      <w:r w:rsidR="00C87A8F">
        <w:rPr>
          <w:rFonts w:ascii="Times New Roman" w:hAnsi="Times New Roman" w:cs="Times New Roman"/>
          <w:szCs w:val="24"/>
        </w:rPr>
        <w:t xml:space="preserve">eturning </w:t>
      </w:r>
      <w:r w:rsidR="00C87A8F" w:rsidRPr="00C87A8F">
        <w:rPr>
          <w:rFonts w:ascii="Times New Roman" w:hAnsi="Times New Roman" w:cs="Times New Roman"/>
          <w:szCs w:val="24"/>
        </w:rPr>
        <w:t>O</w:t>
      </w:r>
      <w:r w:rsidR="00C87A8F">
        <w:rPr>
          <w:rFonts w:ascii="Times New Roman" w:hAnsi="Times New Roman" w:cs="Times New Roman"/>
          <w:szCs w:val="24"/>
        </w:rPr>
        <w:t>fficer</w:t>
      </w:r>
      <w:r w:rsidR="00C87A8F" w:rsidRPr="00C87A8F">
        <w:rPr>
          <w:rFonts w:ascii="Times New Roman" w:hAnsi="Times New Roman" w:cs="Times New Roman"/>
          <w:szCs w:val="24"/>
        </w:rPr>
        <w:t xml:space="preserve"> must prepare in accordance with </w:t>
      </w:r>
      <w:r w:rsidR="00C87A8F">
        <w:rPr>
          <w:rFonts w:ascii="Times New Roman" w:hAnsi="Times New Roman" w:cs="Times New Roman"/>
          <w:szCs w:val="24"/>
        </w:rPr>
        <w:t xml:space="preserve">subsection </w:t>
      </w:r>
      <w:r w:rsidR="00C87A8F" w:rsidRPr="00C87A8F">
        <w:rPr>
          <w:rFonts w:ascii="Times New Roman" w:hAnsi="Times New Roman" w:cs="Times New Roman"/>
          <w:szCs w:val="24"/>
        </w:rPr>
        <w:t xml:space="preserve">245(12) of the Electoral Act and </w:t>
      </w:r>
      <w:r w:rsidR="00C87A8F">
        <w:rPr>
          <w:rFonts w:ascii="Times New Roman" w:hAnsi="Times New Roman" w:cs="Times New Roman"/>
          <w:szCs w:val="24"/>
        </w:rPr>
        <w:t xml:space="preserve">subsection 45(12) of </w:t>
      </w:r>
      <w:r w:rsidR="00C87A8F" w:rsidRPr="00C87A8F">
        <w:rPr>
          <w:rFonts w:ascii="Times New Roman" w:hAnsi="Times New Roman" w:cs="Times New Roman"/>
          <w:szCs w:val="24"/>
        </w:rPr>
        <w:t>the Referendum Act</w:t>
      </w:r>
    </w:p>
    <w:p w:rsidR="00C8163C" w:rsidRPr="002C2994" w:rsidRDefault="00C8163C" w:rsidP="00DA4E9C">
      <w:pPr>
        <w:rPr>
          <w:rFonts w:ascii="Times New Roman" w:hAnsi="Times New Roman" w:cs="Times New Roman"/>
          <w:szCs w:val="24"/>
        </w:rPr>
      </w:pPr>
      <w:r>
        <w:rPr>
          <w:rFonts w:ascii="Times New Roman" w:hAnsi="Times New Roman" w:cs="Times New Roman"/>
          <w:szCs w:val="24"/>
        </w:rPr>
        <w:t xml:space="preserve">Advice from the Australian Government Solicitor was sought on if these sections came within the regulation-making power of section 395 of the Electoral Act and section 144 of the Referendum Act.  The Australian Government Solicitor advised that in its view </w:t>
      </w:r>
      <w:r w:rsidR="00F34FE6">
        <w:rPr>
          <w:rFonts w:ascii="Times New Roman" w:hAnsi="Times New Roman" w:cs="Times New Roman"/>
          <w:szCs w:val="24"/>
        </w:rPr>
        <w:t>sections 27 and 28 were likely to be supported by the regulation-making powers noted above.</w:t>
      </w:r>
    </w:p>
    <w:p w:rsidR="00BF1511" w:rsidRPr="00AD5045" w:rsidRDefault="00BF1511" w:rsidP="00DA4E9C">
      <w:pPr>
        <w:rPr>
          <w:rFonts w:ascii="Times New Roman" w:hAnsi="Times New Roman" w:cs="Times New Roman"/>
          <w:b/>
          <w:sz w:val="26"/>
          <w:szCs w:val="26"/>
        </w:rPr>
      </w:pPr>
      <w:r w:rsidRPr="00AD5045">
        <w:rPr>
          <w:rFonts w:ascii="Times New Roman" w:hAnsi="Times New Roman" w:cs="Times New Roman"/>
          <w:b/>
          <w:sz w:val="26"/>
          <w:szCs w:val="26"/>
        </w:rPr>
        <w:t>Schedule 1—Prescribed authorities and permitted purposes for use of information</w:t>
      </w:r>
    </w:p>
    <w:p w:rsidR="00BF1511" w:rsidRPr="00AD5045" w:rsidRDefault="00BF1511" w:rsidP="00DA4E9C">
      <w:pPr>
        <w:rPr>
          <w:rFonts w:ascii="Times New Roman" w:hAnsi="Times New Roman" w:cs="Times New Roman"/>
          <w:b/>
        </w:rPr>
      </w:pPr>
      <w:r w:rsidRPr="00AD5045">
        <w:rPr>
          <w:rFonts w:ascii="Times New Roman" w:hAnsi="Times New Roman" w:cs="Times New Roman"/>
          <w:b/>
        </w:rPr>
        <w:t>Clause 1 – Prescribed authorities and permitted purposes for use of information</w:t>
      </w:r>
    </w:p>
    <w:p w:rsidR="002C2994" w:rsidRDefault="002C2994" w:rsidP="002C2994">
      <w:pPr>
        <w:rPr>
          <w:rFonts w:ascii="Times New Roman" w:hAnsi="Times New Roman" w:cs="Times New Roman"/>
          <w:szCs w:val="24"/>
        </w:rPr>
      </w:pPr>
      <w:r w:rsidRPr="000F0766">
        <w:rPr>
          <w:rFonts w:ascii="Times New Roman" w:hAnsi="Times New Roman" w:cs="Times New Roman"/>
          <w:szCs w:val="24"/>
        </w:rPr>
        <w:t>Clause 1 of Schedule 1 set</w:t>
      </w:r>
      <w:r w:rsidR="00C8163C">
        <w:rPr>
          <w:rFonts w:ascii="Times New Roman" w:hAnsi="Times New Roman" w:cs="Times New Roman"/>
          <w:szCs w:val="24"/>
        </w:rPr>
        <w:t>s</w:t>
      </w:r>
      <w:r w:rsidRPr="000F0766">
        <w:rPr>
          <w:rFonts w:ascii="Times New Roman" w:hAnsi="Times New Roman" w:cs="Times New Roman"/>
          <w:szCs w:val="24"/>
        </w:rPr>
        <w:t xml:space="preserve"> out all the Commonwealth agencies which the Electoral Commission may provide with roll information and the purposes for which that information may be used.</w:t>
      </w:r>
    </w:p>
    <w:p w:rsidR="00F34FE6" w:rsidRDefault="00F34FE6" w:rsidP="002C2994">
      <w:pPr>
        <w:rPr>
          <w:rFonts w:ascii="Times New Roman" w:hAnsi="Times New Roman" w:cs="Times New Roman"/>
          <w:szCs w:val="24"/>
        </w:rPr>
      </w:pPr>
      <w:r>
        <w:rPr>
          <w:rFonts w:ascii="Times New Roman" w:hAnsi="Times New Roman" w:cs="Times New Roman"/>
          <w:szCs w:val="24"/>
        </w:rPr>
        <w:lastRenderedPageBreak/>
        <w:t xml:space="preserve">The list of Commonwealth agencies and permitted purposes set out in Schedule 1 to the Regulation is substantially the same as set out in Schedule 1 to the </w:t>
      </w:r>
      <w:r w:rsidRPr="00F34FE6">
        <w:rPr>
          <w:rFonts w:ascii="Times New Roman" w:hAnsi="Times New Roman" w:cs="Times New Roman"/>
          <w:szCs w:val="24"/>
        </w:rPr>
        <w:t>1940 Regulations</w:t>
      </w:r>
      <w:r>
        <w:rPr>
          <w:rFonts w:ascii="Times New Roman" w:hAnsi="Times New Roman" w:cs="Times New Roman"/>
          <w:szCs w:val="24"/>
        </w:rPr>
        <w:t>.  The key difference is that some agencies are now described by reference to a Department administered by a Minister administering a specified Act.  This will mean that fewer amendments will be required in the future following Machinery of Government changes.</w:t>
      </w:r>
    </w:p>
    <w:p w:rsidR="00F34FE6" w:rsidRPr="000F0766" w:rsidRDefault="00F34FE6" w:rsidP="002C2994">
      <w:pPr>
        <w:rPr>
          <w:rFonts w:ascii="Times New Roman" w:hAnsi="Times New Roman" w:cs="Times New Roman"/>
          <w:szCs w:val="24"/>
        </w:rPr>
      </w:pPr>
      <w:r>
        <w:rPr>
          <w:rFonts w:ascii="Times New Roman" w:hAnsi="Times New Roman" w:cs="Times New Roman"/>
          <w:szCs w:val="24"/>
        </w:rPr>
        <w:t>The Regulation also lists the new name of the Australian Financial Security Authority rather than the Insolvency and Trustee Service of Australia.</w:t>
      </w:r>
    </w:p>
    <w:p w:rsidR="00BF1511" w:rsidRPr="00AD5045" w:rsidRDefault="00BF1511" w:rsidP="00DA4E9C">
      <w:pPr>
        <w:rPr>
          <w:rFonts w:ascii="Times New Roman" w:hAnsi="Times New Roman" w:cs="Times New Roman"/>
          <w:b/>
          <w:sz w:val="26"/>
          <w:szCs w:val="26"/>
        </w:rPr>
      </w:pPr>
      <w:r w:rsidRPr="00AD5045">
        <w:rPr>
          <w:rFonts w:ascii="Times New Roman" w:hAnsi="Times New Roman" w:cs="Times New Roman"/>
          <w:b/>
          <w:sz w:val="26"/>
          <w:szCs w:val="26"/>
        </w:rPr>
        <w:t>Schedule 2—Prescribed electors</w:t>
      </w:r>
    </w:p>
    <w:p w:rsidR="002C2994" w:rsidRPr="000F0766" w:rsidRDefault="002C2994" w:rsidP="002C2994">
      <w:pPr>
        <w:rPr>
          <w:rFonts w:ascii="Times New Roman" w:hAnsi="Times New Roman" w:cs="Times New Roman"/>
          <w:b/>
          <w:szCs w:val="24"/>
        </w:rPr>
      </w:pPr>
      <w:r w:rsidRPr="000F0766">
        <w:rPr>
          <w:rFonts w:ascii="Times New Roman" w:hAnsi="Times New Roman" w:cs="Times New Roman"/>
          <w:b/>
          <w:szCs w:val="24"/>
        </w:rPr>
        <w:t>Clause 1- Prescribed elector</w:t>
      </w:r>
    </w:p>
    <w:p w:rsidR="002C2994" w:rsidRPr="000F0766" w:rsidRDefault="002C2994" w:rsidP="002C2994">
      <w:pPr>
        <w:rPr>
          <w:rFonts w:ascii="Times New Roman" w:hAnsi="Times New Roman" w:cs="Times New Roman"/>
          <w:szCs w:val="24"/>
        </w:rPr>
      </w:pPr>
      <w:r w:rsidRPr="000F0766">
        <w:rPr>
          <w:rFonts w:ascii="Times New Roman" w:hAnsi="Times New Roman" w:cs="Times New Roman"/>
          <w:szCs w:val="24"/>
        </w:rPr>
        <w:t>Clause 1 of Schedule set</w:t>
      </w:r>
      <w:r w:rsidR="00C8163C">
        <w:rPr>
          <w:rFonts w:ascii="Times New Roman" w:hAnsi="Times New Roman" w:cs="Times New Roman"/>
          <w:szCs w:val="24"/>
        </w:rPr>
        <w:t>s</w:t>
      </w:r>
      <w:r w:rsidRPr="000F0766">
        <w:rPr>
          <w:rFonts w:ascii="Times New Roman" w:hAnsi="Times New Roman" w:cs="Times New Roman"/>
          <w:szCs w:val="24"/>
        </w:rPr>
        <w:t xml:space="preserve"> out the classes of electors which may attest to the notification from the Department of Immigration and Border Protection that a person will become an Australian citizen.</w:t>
      </w:r>
    </w:p>
    <w:p w:rsidR="00BF1511" w:rsidRPr="00AD5045" w:rsidRDefault="00F34FE6" w:rsidP="00DA4E9C">
      <w:pPr>
        <w:rPr>
          <w:rFonts w:ascii="Times New Roman" w:hAnsi="Times New Roman" w:cs="Times New Roman"/>
          <w:sz w:val="22"/>
        </w:rPr>
      </w:pPr>
      <w:r>
        <w:rPr>
          <w:rFonts w:ascii="Times New Roman" w:hAnsi="Times New Roman" w:cs="Times New Roman"/>
        </w:rPr>
        <w:t xml:space="preserve">The classes of electors set out in Schedule 2 to the Regulation are substantially the same as set out in Schedule 2 to the 1940 Regulations.  Some classes were omitted as they could no longer be identified with sufficient clarity or because the class was covered off in </w:t>
      </w:r>
      <w:r w:rsidR="001A2AA0">
        <w:rPr>
          <w:rFonts w:ascii="Times New Roman" w:hAnsi="Times New Roman" w:cs="Times New Roman"/>
        </w:rPr>
        <w:t>the catch all provision in item 16.  Item 16 provides that one class of electors is the very broad ‘</w:t>
      </w:r>
      <w:r w:rsidR="003F1BE8">
        <w:rPr>
          <w:rFonts w:ascii="Times New Roman" w:hAnsi="Times New Roman" w:cs="Times New Roman"/>
        </w:rPr>
        <w:t>A person who is not described in a preceding item in this Schedule before whom statutory declarations may be made under a law of the Commonwealth, a State or a Territory’.  Some names were changed to reflect the new name of professional organisations.</w:t>
      </w:r>
    </w:p>
    <w:sectPr w:rsidR="00BF1511" w:rsidRPr="00AD5045"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C6" w:rsidRDefault="000254C6" w:rsidP="000254C6">
      <w:pPr>
        <w:spacing w:after="0"/>
      </w:pPr>
      <w:r>
        <w:separator/>
      </w:r>
    </w:p>
  </w:endnote>
  <w:endnote w:type="continuationSeparator" w:id="0">
    <w:p w:rsidR="000254C6" w:rsidRDefault="000254C6"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4D"/>
    <w:family w:val="auto"/>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C6" w:rsidRDefault="000254C6" w:rsidP="000254C6">
      <w:pPr>
        <w:spacing w:after="0"/>
      </w:pPr>
      <w:r>
        <w:separator/>
      </w:r>
    </w:p>
  </w:footnote>
  <w:footnote w:type="continuationSeparator" w:id="0">
    <w:p w:rsidR="000254C6" w:rsidRDefault="000254C6" w:rsidP="000254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outline w:val="0"/>
        <w:shadow w:val="0"/>
        <w:emboss w:val="0"/>
        <w:imprint w:val="0"/>
        <w:vanish w:val="0"/>
        <w:sz w:val="24"/>
        <w:vertAlign w:val="base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shadow w:val="0"/>
        <w:emboss w:val="0"/>
        <w:imprint w:val="0"/>
        <w:vanish w:val="0"/>
        <w:sz w:val="24"/>
        <w:vertAlign w:val="base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nsid w:val="0A2D1339"/>
    <w:multiLevelType w:val="hybridMultilevel"/>
    <w:tmpl w:val="14044AEE"/>
    <w:lvl w:ilvl="0" w:tplc="F4829F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FB7163D"/>
    <w:multiLevelType w:val="hybridMultilevel"/>
    <w:tmpl w:val="AA143532"/>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outline w:val="0"/>
        <w:shadow w:val="0"/>
        <w:emboss w:val="0"/>
        <w:imprint w:val="0"/>
        <w:vanish w:val="0"/>
        <w:sz w:val="24"/>
        <w:vertAlign w:val="base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3">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shadow w:val="0"/>
        <w:emboss w:val="0"/>
        <w:imprint w:val="0"/>
        <w:vanish w:val="0"/>
        <w:color w:val="auto"/>
        <w:sz w:val="22"/>
        <w:vertAlign w:val="base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4">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5">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7">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18">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19">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1">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outline w:val="0"/>
        <w:shadow w:val="0"/>
        <w:emboss w:val="0"/>
        <w:imprint w:val="0"/>
        <w:vanish w:val="0"/>
        <w:vertAlign w:val="base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2">
    <w:nsid w:val="34542A19"/>
    <w:multiLevelType w:val="hybridMultilevel"/>
    <w:tmpl w:val="886ADA44"/>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4">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6">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outline w:val="0"/>
        <w:shadow w:val="0"/>
        <w:vanish w:val="0"/>
        <w:spacing w:val="0"/>
        <w:kern w:val="0"/>
        <w:position w:val="0"/>
        <w:u w:val="none"/>
        <w:vertAlign w:val="baseline"/>
        <w:em w:val="no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outline w:val="0"/>
        <w:shadow w:val="0"/>
        <w:vanish w:val="0"/>
        <w:spacing w:val="0"/>
        <w:position w:val="0"/>
        <w:sz w:val="24"/>
        <w:u w:val="none"/>
        <w:em w:val="no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29">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1">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2">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5">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6">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37">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38">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2">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3">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5">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8">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2">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4">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55">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57">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8">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abstractNum w:abstractNumId="59">
    <w:nsid w:val="7F094B32"/>
    <w:multiLevelType w:val="hybridMultilevel"/>
    <w:tmpl w:val="52C84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8"/>
  </w:num>
  <w:num w:numId="2">
    <w:abstractNumId w:val="18"/>
  </w:num>
  <w:num w:numId="3">
    <w:abstractNumId w:val="24"/>
  </w:num>
  <w:num w:numId="4">
    <w:abstractNumId w:val="3"/>
  </w:num>
  <w:num w:numId="5">
    <w:abstractNumId w:val="12"/>
  </w:num>
  <w:num w:numId="6">
    <w:abstractNumId w:val="56"/>
  </w:num>
  <w:num w:numId="7">
    <w:abstractNumId w:val="8"/>
  </w:num>
  <w:num w:numId="8">
    <w:abstractNumId w:val="40"/>
  </w:num>
  <w:num w:numId="9">
    <w:abstractNumId w:val="47"/>
  </w:num>
  <w:num w:numId="10">
    <w:abstractNumId w:val="29"/>
  </w:num>
  <w:num w:numId="11">
    <w:abstractNumId w:val="34"/>
  </w:num>
  <w:num w:numId="12">
    <w:abstractNumId w:val="50"/>
  </w:num>
  <w:num w:numId="13">
    <w:abstractNumId w:val="32"/>
  </w:num>
  <w:num w:numId="14">
    <w:abstractNumId w:val="10"/>
  </w:num>
  <w:num w:numId="15">
    <w:abstractNumId w:val="44"/>
  </w:num>
  <w:num w:numId="16">
    <w:abstractNumId w:val="28"/>
  </w:num>
  <w:num w:numId="17">
    <w:abstractNumId w:val="53"/>
  </w:num>
  <w:num w:numId="18">
    <w:abstractNumId w:val="43"/>
  </w:num>
  <w:num w:numId="19">
    <w:abstractNumId w:val="21"/>
  </w:num>
  <w:num w:numId="20">
    <w:abstractNumId w:val="54"/>
  </w:num>
  <w:num w:numId="21">
    <w:abstractNumId w:val="57"/>
  </w:num>
  <w:num w:numId="22">
    <w:abstractNumId w:val="16"/>
  </w:num>
  <w:num w:numId="23">
    <w:abstractNumId w:val="9"/>
  </w:num>
  <w:num w:numId="24">
    <w:abstractNumId w:val="46"/>
  </w:num>
  <w:num w:numId="25">
    <w:abstractNumId w:val="1"/>
  </w:num>
  <w:num w:numId="26">
    <w:abstractNumId w:val="35"/>
  </w:num>
  <w:num w:numId="27">
    <w:abstractNumId w:val="17"/>
  </w:num>
  <w:num w:numId="28">
    <w:abstractNumId w:val="49"/>
  </w:num>
  <w:num w:numId="29">
    <w:abstractNumId w:val="30"/>
  </w:num>
  <w:num w:numId="30">
    <w:abstractNumId w:val="52"/>
  </w:num>
  <w:num w:numId="31">
    <w:abstractNumId w:val="20"/>
  </w:num>
  <w:num w:numId="32">
    <w:abstractNumId w:val="0"/>
  </w:num>
  <w:num w:numId="33">
    <w:abstractNumId w:val="31"/>
  </w:num>
  <w:num w:numId="34">
    <w:abstractNumId w:val="55"/>
  </w:num>
  <w:num w:numId="35">
    <w:abstractNumId w:val="6"/>
  </w:num>
  <w:num w:numId="36">
    <w:abstractNumId w:val="48"/>
  </w:num>
  <w:num w:numId="37">
    <w:abstractNumId w:val="41"/>
  </w:num>
  <w:num w:numId="38">
    <w:abstractNumId w:val="4"/>
  </w:num>
  <w:num w:numId="39">
    <w:abstractNumId w:val="45"/>
  </w:num>
  <w:num w:numId="40">
    <w:abstractNumId w:val="19"/>
  </w:num>
  <w:num w:numId="41">
    <w:abstractNumId w:val="25"/>
  </w:num>
  <w:num w:numId="42">
    <w:abstractNumId w:val="51"/>
  </w:num>
  <w:num w:numId="43">
    <w:abstractNumId w:val="42"/>
  </w:num>
  <w:num w:numId="44">
    <w:abstractNumId w:val="37"/>
  </w:num>
  <w:num w:numId="45">
    <w:abstractNumId w:val="15"/>
  </w:num>
  <w:num w:numId="46">
    <w:abstractNumId w:val="36"/>
  </w:num>
  <w:num w:numId="47">
    <w:abstractNumId w:val="2"/>
  </w:num>
  <w:num w:numId="48">
    <w:abstractNumId w:val="27"/>
  </w:num>
  <w:num w:numId="49">
    <w:abstractNumId w:val="38"/>
  </w:num>
  <w:num w:numId="50">
    <w:abstractNumId w:val="39"/>
  </w:num>
  <w:num w:numId="51">
    <w:abstractNumId w:val="26"/>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23"/>
  </w:num>
  <w:num w:numId="55">
    <w:abstractNumId w:val="14"/>
  </w:num>
  <w:num w:numId="56">
    <w:abstractNumId w:val="58"/>
  </w:num>
  <w:num w:numId="57">
    <w:abstractNumId w:val="59"/>
  </w:num>
  <w:num w:numId="58">
    <w:abstractNumId w:val="5"/>
  </w:num>
  <w:num w:numId="59">
    <w:abstractNumId w:val="22"/>
  </w:num>
  <w:num w:numId="60">
    <w:abstractNumId w:val="7"/>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FC"/>
    <w:rsid w:val="000254C6"/>
    <w:rsid w:val="000A5FBF"/>
    <w:rsid w:val="000A7F10"/>
    <w:rsid w:val="000B74FC"/>
    <w:rsid w:val="001665FA"/>
    <w:rsid w:val="001A2AA0"/>
    <w:rsid w:val="001F0000"/>
    <w:rsid w:val="00231C48"/>
    <w:rsid w:val="00246FF8"/>
    <w:rsid w:val="00283FAC"/>
    <w:rsid w:val="002C2994"/>
    <w:rsid w:val="002D0C95"/>
    <w:rsid w:val="002E3148"/>
    <w:rsid w:val="002F3508"/>
    <w:rsid w:val="002F5099"/>
    <w:rsid w:val="00315817"/>
    <w:rsid w:val="0031746D"/>
    <w:rsid w:val="00382561"/>
    <w:rsid w:val="003A1879"/>
    <w:rsid w:val="003D6630"/>
    <w:rsid w:val="003F0FD1"/>
    <w:rsid w:val="003F1BE8"/>
    <w:rsid w:val="00405C3A"/>
    <w:rsid w:val="00427CB0"/>
    <w:rsid w:val="004312AD"/>
    <w:rsid w:val="004D4476"/>
    <w:rsid w:val="004E290C"/>
    <w:rsid w:val="005007D9"/>
    <w:rsid w:val="005254D2"/>
    <w:rsid w:val="00526DD7"/>
    <w:rsid w:val="00573AD0"/>
    <w:rsid w:val="005A1A83"/>
    <w:rsid w:val="00613381"/>
    <w:rsid w:val="006144B9"/>
    <w:rsid w:val="00620E70"/>
    <w:rsid w:val="006A2B53"/>
    <w:rsid w:val="006D38BB"/>
    <w:rsid w:val="007740AB"/>
    <w:rsid w:val="007A7CEA"/>
    <w:rsid w:val="008228CC"/>
    <w:rsid w:val="00844C28"/>
    <w:rsid w:val="00853E84"/>
    <w:rsid w:val="00884DF3"/>
    <w:rsid w:val="008A385A"/>
    <w:rsid w:val="00900906"/>
    <w:rsid w:val="009769B0"/>
    <w:rsid w:val="009A37BB"/>
    <w:rsid w:val="009B1168"/>
    <w:rsid w:val="00A74001"/>
    <w:rsid w:val="00A84960"/>
    <w:rsid w:val="00AD5045"/>
    <w:rsid w:val="00AE5DDB"/>
    <w:rsid w:val="00AE7CA3"/>
    <w:rsid w:val="00B666C7"/>
    <w:rsid w:val="00B8478B"/>
    <w:rsid w:val="00B91615"/>
    <w:rsid w:val="00BF1511"/>
    <w:rsid w:val="00C26F8E"/>
    <w:rsid w:val="00C5409D"/>
    <w:rsid w:val="00C8163C"/>
    <w:rsid w:val="00C87A8F"/>
    <w:rsid w:val="00CB03CE"/>
    <w:rsid w:val="00CF4F70"/>
    <w:rsid w:val="00D05587"/>
    <w:rsid w:val="00D84954"/>
    <w:rsid w:val="00D94081"/>
    <w:rsid w:val="00DA4E9C"/>
    <w:rsid w:val="00E364DE"/>
    <w:rsid w:val="00ED2C49"/>
    <w:rsid w:val="00F34FE6"/>
    <w:rsid w:val="00F44B24"/>
    <w:rsid w:val="00FE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
    <w:name w:val="List Table 2"/>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
    <w:name w:val="List Table 2"/>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Feeney</dc:creator>
  <cp:lastModifiedBy>Michael Ross</cp:lastModifiedBy>
  <cp:revision>8</cp:revision>
  <cp:lastPrinted>2016-03-16T04:00:00Z</cp:lastPrinted>
  <dcterms:created xsi:type="dcterms:W3CDTF">2016-03-22T02:10:00Z</dcterms:created>
  <dcterms:modified xsi:type="dcterms:W3CDTF">2016-03-22T21:53:00Z</dcterms:modified>
</cp:coreProperties>
</file>