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Caption w:val="Cover page header for AASB Standard / Interpretations"/>
        <w:tblDescription w:val="Identification that the pronouncement is an AASB Standard or Interpretation, the pronouncement number, month of issue and title"/>
      </w:tblPr>
      <w:tblGrid>
        <w:gridCol w:w="4508"/>
        <w:gridCol w:w="4509"/>
      </w:tblGrid>
      <w:tr w:rsidR="00282AEE" w:rsidTr="00903A1A">
        <w:trPr>
          <w:tblHeader/>
        </w:trPr>
        <w:tc>
          <w:tcPr>
            <w:tcW w:w="4508" w:type="dxa"/>
          </w:tcPr>
          <w:p w:rsidR="00282AEE" w:rsidRPr="0000292B" w:rsidRDefault="00282AEE" w:rsidP="004F5020">
            <w:pPr>
              <w:pStyle w:val="CoverStandard"/>
            </w:pPr>
            <w:bookmarkStart w:id="0" w:name="_GoBack"/>
            <w:bookmarkEnd w:id="0"/>
            <w:r>
              <w:t>AASB Standard</w:t>
            </w:r>
          </w:p>
        </w:tc>
        <w:tc>
          <w:tcPr>
            <w:tcW w:w="4509" w:type="dxa"/>
          </w:tcPr>
          <w:p w:rsidR="00282AEE" w:rsidRPr="0000292B" w:rsidRDefault="00282AEE" w:rsidP="004F5020">
            <w:pPr>
              <w:pStyle w:val="CoverNumber"/>
            </w:pPr>
            <w:r>
              <w:t>AASB</w:t>
            </w:r>
            <w:r w:rsidR="004076F5">
              <w:t> </w:t>
            </w:r>
            <w:r w:rsidR="006456A9">
              <w:t>2016-</w:t>
            </w:r>
            <w:r w:rsidR="009E332E">
              <w:t>2</w:t>
            </w:r>
          </w:p>
          <w:p w:rsidR="00282AEE" w:rsidRPr="0000292B" w:rsidRDefault="009E332E" w:rsidP="009E332E">
            <w:pPr>
              <w:pStyle w:val="CoverDate"/>
            </w:pPr>
            <w:bookmarkStart w:id="1" w:name="DocDate"/>
            <w:r>
              <w:t xml:space="preserve">March </w:t>
            </w:r>
            <w:r w:rsidR="00282AEE">
              <w:t>2016</w:t>
            </w:r>
            <w:bookmarkEnd w:id="1"/>
          </w:p>
        </w:tc>
      </w:tr>
    </w:tbl>
    <w:p w:rsidR="00282AEE" w:rsidRPr="0000292B" w:rsidRDefault="00282AEE" w:rsidP="00282AEE">
      <w:pPr>
        <w:pStyle w:val="CoverTitle"/>
      </w:pPr>
      <w:r>
        <w:t xml:space="preserve">Amendments to Australian Accounting Standards </w:t>
      </w:r>
      <w:bookmarkStart w:id="2" w:name="ArisingNo"/>
      <w:r>
        <w:t>–</w:t>
      </w:r>
      <w:r w:rsidR="00541686">
        <w:t xml:space="preserve"> </w:t>
      </w:r>
      <w:r>
        <w:t>Disclosure Initiative: Amendments to AASB</w:t>
      </w:r>
      <w:r w:rsidR="008B1406">
        <w:t> </w:t>
      </w:r>
      <w:r>
        <w:t>107</w:t>
      </w:r>
      <w:bookmarkEnd w:id="2"/>
    </w:p>
    <w:p w:rsidR="00282AEE" w:rsidRDefault="00336710" w:rsidP="00CF0281">
      <w:pPr>
        <w:pStyle w:val="AASBBase"/>
      </w:pPr>
      <w:r w:rsidRPr="0024411C">
        <w:rPr>
          <w:noProof/>
          <w:lang w:eastAsia="en-AU"/>
        </w:rPr>
        <w:drawing>
          <wp:anchor distT="0" distB="0" distL="114300" distR="114300" simplePos="0" relativeHeight="251659264" behindDoc="0" locked="1" layoutInCell="1" allowOverlap="1" wp14:anchorId="0991BA91" wp14:editId="36AF06E5">
            <wp:simplePos x="0" y="0"/>
            <wp:positionH relativeFrom="margin">
              <wp:posOffset>0</wp:posOffset>
            </wp:positionH>
            <wp:positionV relativeFrom="page">
              <wp:posOffset>8893175</wp:posOffset>
            </wp:positionV>
            <wp:extent cx="1677600" cy="1332000"/>
            <wp:effectExtent l="0" t="0" r="0" b="1905"/>
            <wp:wrapNone/>
            <wp:docPr id="5" name="Picture 5"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2AEE" w:rsidRDefault="00282AEE" w:rsidP="00282AEE">
      <w:pPr>
        <w:jc w:val="center"/>
      </w:pPr>
    </w:p>
    <w:p w:rsidR="00282AEE" w:rsidRDefault="00282AEE" w:rsidP="00282AEE"/>
    <w:p w:rsidR="00336710" w:rsidRPr="00282AEE" w:rsidRDefault="00336710" w:rsidP="00282AEE">
      <w:pPr>
        <w:sectPr w:rsidR="00336710" w:rsidRPr="00282AEE" w:rsidSect="00C100EE">
          <w:pgSz w:w="11907" w:h="16839" w:code="9"/>
          <w:pgMar w:top="1440" w:right="1440" w:bottom="1440" w:left="1440" w:header="709" w:footer="709" w:gutter="0"/>
          <w:cols w:space="708"/>
          <w:docGrid w:linePitch="360"/>
        </w:sectPr>
      </w:pPr>
    </w:p>
    <w:p w:rsidR="006456A9" w:rsidRDefault="006456A9" w:rsidP="006456A9">
      <w:pPr>
        <w:pStyle w:val="IASBSectionTitle2NonInd"/>
      </w:pPr>
      <w:r>
        <w:lastRenderedPageBreak/>
        <w:t xml:space="preserve">Obtaining a copy of this Accounting </w:t>
      </w:r>
      <w:fldSimple w:instr=" REF DocType " w:fldLock="1">
        <w:r w:rsidRPr="00CB4C3F">
          <w:t>Standard</w:t>
        </w:r>
      </w:fldSimple>
    </w:p>
    <w:p w:rsidR="006456A9" w:rsidRDefault="006456A9" w:rsidP="006456A9">
      <w:pPr>
        <w:pStyle w:val="AASBBase"/>
        <w:spacing w:after="200"/>
      </w:pPr>
      <w:r>
        <w:t xml:space="preserve">This </w:t>
      </w:r>
      <w:fldSimple w:instr=" REF DocType " w:fldLock="1">
        <w:r w:rsidRPr="00CB4C3F">
          <w:t>Standard</w:t>
        </w:r>
      </w:fldSimple>
      <w:r>
        <w:t xml:space="preserve"> is available on the AASB website: www.aasb.gov.au.</w:t>
      </w:r>
    </w:p>
    <w:p w:rsidR="006456A9" w:rsidRDefault="006456A9" w:rsidP="006456A9">
      <w:pPr>
        <w:pStyle w:val="AASBBase"/>
      </w:pPr>
      <w:r>
        <w:t>Australian Accounting Standards Board</w:t>
      </w:r>
    </w:p>
    <w:p w:rsidR="006456A9" w:rsidRDefault="006456A9" w:rsidP="006456A9">
      <w:pPr>
        <w:pStyle w:val="AASBBase"/>
      </w:pPr>
      <w:r>
        <w:t>PO Box 204</w:t>
      </w:r>
    </w:p>
    <w:p w:rsidR="006456A9" w:rsidRDefault="006456A9" w:rsidP="006456A9">
      <w:pPr>
        <w:pStyle w:val="AASBBase"/>
      </w:pPr>
      <w:r>
        <w:t>Collins Street West</w:t>
      </w:r>
    </w:p>
    <w:p w:rsidR="006456A9" w:rsidRDefault="006456A9" w:rsidP="006456A9">
      <w:pPr>
        <w:pStyle w:val="AASBBase"/>
      </w:pPr>
      <w:r>
        <w:t>Victoria   8007</w:t>
      </w:r>
    </w:p>
    <w:p w:rsidR="006456A9" w:rsidRDefault="006456A9" w:rsidP="006456A9">
      <w:pPr>
        <w:pStyle w:val="AASBPara"/>
      </w:pPr>
      <w:r>
        <w:t>AUSTRALIA</w:t>
      </w:r>
    </w:p>
    <w:p w:rsidR="006456A9" w:rsidRDefault="006456A9" w:rsidP="006456A9">
      <w:pPr>
        <w:pStyle w:val="AASBBase"/>
        <w:tabs>
          <w:tab w:val="left" w:pos="907"/>
        </w:tabs>
      </w:pPr>
      <w:r>
        <w:t>Phone:</w:t>
      </w:r>
      <w:r>
        <w:tab/>
        <w:t>(03) 9617 7637</w:t>
      </w:r>
    </w:p>
    <w:p w:rsidR="006456A9" w:rsidRDefault="006456A9" w:rsidP="006456A9">
      <w:pPr>
        <w:pStyle w:val="AASBBase"/>
        <w:tabs>
          <w:tab w:val="left" w:pos="907"/>
        </w:tabs>
      </w:pPr>
      <w:r>
        <w:t>E-mail:</w:t>
      </w:r>
      <w:r>
        <w:tab/>
        <w:t>publications@aasb.gov.au</w:t>
      </w:r>
    </w:p>
    <w:p w:rsidR="006456A9" w:rsidRDefault="006456A9" w:rsidP="006456A9">
      <w:pPr>
        <w:pStyle w:val="AASBPara"/>
        <w:tabs>
          <w:tab w:val="left" w:pos="907"/>
        </w:tabs>
      </w:pPr>
      <w:r>
        <w:t>Website:</w:t>
      </w:r>
      <w:r>
        <w:tab/>
        <w:t>www.aasb.gov.au</w:t>
      </w:r>
    </w:p>
    <w:p w:rsidR="006456A9" w:rsidRDefault="006456A9" w:rsidP="006456A9">
      <w:pPr>
        <w:pStyle w:val="IASBSectionTitle2NonInd"/>
      </w:pPr>
      <w:r>
        <w:t>Other enquiries</w:t>
      </w:r>
    </w:p>
    <w:p w:rsidR="006456A9" w:rsidRDefault="006456A9" w:rsidP="006456A9">
      <w:pPr>
        <w:pStyle w:val="AASBBase"/>
        <w:tabs>
          <w:tab w:val="left" w:pos="907"/>
        </w:tabs>
      </w:pPr>
      <w:r>
        <w:t>Phone:</w:t>
      </w:r>
      <w:r>
        <w:tab/>
        <w:t>(03) 9617 7600</w:t>
      </w:r>
    </w:p>
    <w:p w:rsidR="006456A9" w:rsidRDefault="006456A9" w:rsidP="006456A9">
      <w:pPr>
        <w:pStyle w:val="AASBBase"/>
        <w:tabs>
          <w:tab w:val="left" w:pos="907"/>
        </w:tabs>
      </w:pPr>
      <w:r>
        <w:t>E-mail:</w:t>
      </w:r>
      <w:r>
        <w:tab/>
        <w:t>standard@aasb.gov.au</w:t>
      </w:r>
    </w:p>
    <w:p w:rsidR="006456A9" w:rsidRDefault="006456A9" w:rsidP="006456A9">
      <w:pPr>
        <w:pStyle w:val="AASBPara"/>
        <w:spacing w:before="6120"/>
      </w:pPr>
      <w:r>
        <w:t>COPYRIGHT</w:t>
      </w:r>
    </w:p>
    <w:p w:rsidR="006456A9" w:rsidRDefault="006456A9" w:rsidP="006456A9">
      <w:pPr>
        <w:pStyle w:val="AASBPara"/>
      </w:pPr>
      <w:r>
        <w:t xml:space="preserve">© Commonwealth of Australia </w:t>
      </w:r>
      <w:bookmarkStart w:id="3" w:name="Year"/>
      <w:r>
        <w:t>201</w:t>
      </w:r>
      <w:bookmarkEnd w:id="3"/>
      <w:r>
        <w:t>6</w:t>
      </w:r>
    </w:p>
    <w:p w:rsidR="006456A9" w:rsidRDefault="006456A9" w:rsidP="006456A9">
      <w:pPr>
        <w:pStyle w:val="AASBPara"/>
      </w:pPr>
      <w:r>
        <w:t xml:space="preserve">This AASB </w:t>
      </w:r>
      <w:fldSimple w:instr=" REF DocType " w:fldLock="1">
        <w:r w:rsidRPr="00CB4C3F">
          <w:t>Standard</w:t>
        </w:r>
      </w:fldSimple>
      <w:r>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 of Finance and Administration, Australian Accounting Standards Board, PO Box 204, Collins Street West, Victoria 8007.</w:t>
      </w:r>
    </w:p>
    <w:p w:rsidR="006456A9" w:rsidRDefault="006456A9" w:rsidP="006456A9">
      <w:pPr>
        <w:pStyle w:val="AASBBase"/>
        <w:spacing w:after="200"/>
      </w:pPr>
      <w:r>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p>
    <w:p w:rsidR="006456A9" w:rsidRDefault="006456A9" w:rsidP="006456A9">
      <w:pPr>
        <w:pStyle w:val="AASBBase"/>
      </w:pPr>
      <w:r>
        <w:t xml:space="preserve">ISSN </w:t>
      </w:r>
      <w:bookmarkStart w:id="4" w:name="ISSN"/>
      <w:r>
        <w:t>1036-4803</w:t>
      </w:r>
      <w:bookmarkEnd w:id="4"/>
    </w:p>
    <w:p w:rsidR="00336710" w:rsidRDefault="00336710" w:rsidP="00FC071C">
      <w:pPr>
        <w:pStyle w:val="AASBBase"/>
        <w:sectPr w:rsidR="00336710" w:rsidSect="006F69EB">
          <w:headerReference w:type="even" r:id="rId10"/>
          <w:headerReference w:type="default" r:id="rId11"/>
          <w:footerReference w:type="even" r:id="rId12"/>
          <w:footerReference w:type="default" r:id="rId13"/>
          <w:pgSz w:w="11907" w:h="16839" w:code="9"/>
          <w:pgMar w:top="1440" w:right="1440" w:bottom="1440" w:left="1440" w:header="709" w:footer="709" w:gutter="0"/>
          <w:pgNumType w:start="2"/>
          <w:cols w:space="708"/>
          <w:docGrid w:linePitch="360"/>
        </w:sectPr>
      </w:pPr>
    </w:p>
    <w:p w:rsidR="006456A9" w:rsidRDefault="006456A9" w:rsidP="006456A9">
      <w:pPr>
        <w:pStyle w:val="ConvSectionTitle"/>
      </w:pPr>
      <w:bookmarkStart w:id="5" w:name="TOCTopStandard"/>
      <w:r>
        <w:lastRenderedPageBreak/>
        <w:t>Contents</w:t>
      </w:r>
    </w:p>
    <w:p w:rsidR="006456A9" w:rsidRDefault="006456A9" w:rsidP="006456A9">
      <w:pPr>
        <w:pStyle w:val="AASBBase"/>
      </w:pPr>
      <w:r>
        <w:t xml:space="preserve">PREFACE </w:t>
      </w:r>
    </w:p>
    <w:p w:rsidR="006456A9" w:rsidRPr="00063009" w:rsidRDefault="006456A9" w:rsidP="006456A9">
      <w:pPr>
        <w:pStyle w:val="AASBBase"/>
      </w:pPr>
    </w:p>
    <w:p w:rsidR="006456A9" w:rsidRPr="000C31B3" w:rsidRDefault="006456A9" w:rsidP="006456A9">
      <w:pPr>
        <w:pStyle w:val="AASBBase"/>
        <w:rPr>
          <w:b/>
        </w:rPr>
      </w:pPr>
      <w:r w:rsidRPr="000C31B3">
        <w:rPr>
          <w:b/>
        </w:rPr>
        <w:t>ACCOUNTING STANDARD</w:t>
      </w:r>
    </w:p>
    <w:p w:rsidR="00336710" w:rsidRPr="003F5C4E" w:rsidRDefault="003F5C4E" w:rsidP="00541686">
      <w:pPr>
        <w:pStyle w:val="AASBPara"/>
        <w:jc w:val="left"/>
        <w:rPr>
          <w:b/>
          <w:i/>
        </w:rPr>
      </w:pPr>
      <w:r>
        <w:rPr>
          <w:b/>
        </w:rPr>
        <w:t>AASB</w:t>
      </w:r>
      <w:r w:rsidR="004076F5">
        <w:rPr>
          <w:b/>
        </w:rPr>
        <w:t> </w:t>
      </w:r>
      <w:r w:rsidR="006456A9">
        <w:rPr>
          <w:b/>
        </w:rPr>
        <w:t>2016-</w:t>
      </w:r>
      <w:r w:rsidR="009E332E">
        <w:rPr>
          <w:b/>
        </w:rPr>
        <w:t>2</w:t>
      </w:r>
      <w:r>
        <w:rPr>
          <w:b/>
        </w:rPr>
        <w:t xml:space="preserve"> </w:t>
      </w:r>
      <w:r>
        <w:rPr>
          <w:b/>
          <w:i/>
        </w:rPr>
        <w:t>AMENDMENTS TO AUSTRALIAN ACCOUNTING STANDARDS – DISCLOSURE INITIATIVE: AMENDMENTS TO AASB 107</w:t>
      </w:r>
    </w:p>
    <w:bookmarkEnd w:id="5"/>
    <w:p w:rsidR="00336710" w:rsidRDefault="001F1828" w:rsidP="00FC071C">
      <w:pPr>
        <w:pStyle w:val="ContentsHeading"/>
      </w:pPr>
      <w:proofErr w:type="gramStart"/>
      <w:r>
        <w:t>f</w:t>
      </w:r>
      <w:r w:rsidR="00336710">
        <w:t>rom</w:t>
      </w:r>
      <w:proofErr w:type="gramEnd"/>
      <w:r w:rsidR="00336710">
        <w:t xml:space="preserve"> </w:t>
      </w:r>
      <w:r w:rsidR="003F5C4E">
        <w:t>page</w:t>
      </w:r>
    </w:p>
    <w:p w:rsidR="00783ADB" w:rsidRPr="006456A9" w:rsidRDefault="00783ADB" w:rsidP="00282AEE">
      <w:pPr>
        <w:pStyle w:val="ContentsLevel1"/>
        <w:jc w:val="left"/>
      </w:pPr>
      <w:bookmarkStart w:id="6" w:name="TOCRange"/>
      <w:bookmarkStart w:id="7" w:name="TOCBottomStandard"/>
      <w:r w:rsidRPr="006456A9">
        <w:t>Objective</w:t>
      </w:r>
      <w:r w:rsidRPr="006456A9">
        <w:tab/>
      </w:r>
      <w:r w:rsidR="008B1406">
        <w:t>5</w:t>
      </w:r>
    </w:p>
    <w:p w:rsidR="00BE5E74" w:rsidRPr="006456A9" w:rsidRDefault="00BE5E74" w:rsidP="00282AEE">
      <w:pPr>
        <w:pStyle w:val="ContentsLevel1"/>
        <w:jc w:val="left"/>
      </w:pPr>
      <w:r w:rsidRPr="006456A9">
        <w:t>application</w:t>
      </w:r>
      <w:r w:rsidR="00944E9F" w:rsidRPr="006456A9">
        <w:tab/>
      </w:r>
      <w:r w:rsidR="008B1406">
        <w:t>5</w:t>
      </w:r>
    </w:p>
    <w:p w:rsidR="00DB56F2" w:rsidRPr="006456A9" w:rsidRDefault="008B1406" w:rsidP="00282AEE">
      <w:pPr>
        <w:pStyle w:val="ContentsLevel1"/>
        <w:jc w:val="left"/>
      </w:pPr>
      <w:r>
        <w:t>Amendments to AASB </w:t>
      </w:r>
      <w:r w:rsidR="003F5C4E" w:rsidRPr="006456A9">
        <w:t xml:space="preserve">107 </w:t>
      </w:r>
      <w:proofErr w:type="gramStart"/>
      <w:r w:rsidR="003F5C4E" w:rsidRPr="006456A9">
        <w:rPr>
          <w:i/>
        </w:rPr>
        <w:t>Statement</w:t>
      </w:r>
      <w:proofErr w:type="gramEnd"/>
      <w:r w:rsidR="003F5C4E" w:rsidRPr="006456A9">
        <w:rPr>
          <w:i/>
        </w:rPr>
        <w:t xml:space="preserve"> of cash Flows</w:t>
      </w:r>
      <w:r w:rsidR="00DB56F2" w:rsidRPr="006456A9">
        <w:tab/>
      </w:r>
      <w:r>
        <w:t>5</w:t>
      </w:r>
    </w:p>
    <w:p w:rsidR="00DB56F2" w:rsidRPr="006456A9" w:rsidRDefault="003F5C4E" w:rsidP="00282AEE">
      <w:pPr>
        <w:pStyle w:val="ContentsLevel1"/>
        <w:jc w:val="left"/>
      </w:pPr>
      <w:r w:rsidRPr="006456A9">
        <w:t>Amendments to the illustra</w:t>
      </w:r>
      <w:r w:rsidR="008B1406">
        <w:t>tive examples accompanying AASB </w:t>
      </w:r>
      <w:r w:rsidRPr="006456A9">
        <w:t xml:space="preserve">107 </w:t>
      </w:r>
      <w:proofErr w:type="gramStart"/>
      <w:r w:rsidRPr="006456A9">
        <w:rPr>
          <w:i/>
        </w:rPr>
        <w:t>Statement</w:t>
      </w:r>
      <w:proofErr w:type="gramEnd"/>
      <w:r w:rsidRPr="006456A9">
        <w:rPr>
          <w:i/>
        </w:rPr>
        <w:t xml:space="preserve"> of cash Flows</w:t>
      </w:r>
      <w:r w:rsidR="00DB56F2" w:rsidRPr="006456A9">
        <w:tab/>
      </w:r>
      <w:r w:rsidR="002500C0">
        <w:t>6</w:t>
      </w:r>
    </w:p>
    <w:p w:rsidR="00282AEE" w:rsidRPr="006456A9" w:rsidRDefault="00282AEE" w:rsidP="00282AEE">
      <w:pPr>
        <w:pStyle w:val="ContentsLevel1"/>
        <w:jc w:val="left"/>
      </w:pPr>
      <w:r w:rsidRPr="006456A9">
        <w:t>Commencement of the Legislative Instrument</w:t>
      </w:r>
      <w:r w:rsidRPr="006456A9">
        <w:tab/>
      </w:r>
      <w:r w:rsidR="002500C0">
        <w:t>7</w:t>
      </w:r>
    </w:p>
    <w:bookmarkEnd w:id="6"/>
    <w:p w:rsidR="003F5C4E" w:rsidRDefault="003F5C4E" w:rsidP="00DB56F2">
      <w:pPr>
        <w:pStyle w:val="ContentsLevel1"/>
      </w:pPr>
    </w:p>
    <w:p w:rsidR="00DB56F2" w:rsidRDefault="00DB56F2" w:rsidP="00DB56F2">
      <w:pPr>
        <w:pStyle w:val="ContentsLevel1"/>
      </w:pPr>
      <w:r>
        <w:t>available on the AASB website</w:t>
      </w:r>
    </w:p>
    <w:p w:rsidR="004D70C0" w:rsidRPr="006456A9" w:rsidRDefault="004D70C0" w:rsidP="00282AEE">
      <w:pPr>
        <w:pStyle w:val="ContentsLevel1"/>
        <w:jc w:val="left"/>
        <w:rPr>
          <w:caps w:val="0"/>
        </w:rPr>
      </w:pPr>
      <w:r w:rsidRPr="006456A9">
        <w:rPr>
          <w:caps w:val="0"/>
        </w:rPr>
        <w:t>Basis for Conclusions on IAS</w:t>
      </w:r>
      <w:r w:rsidR="008B1406">
        <w:rPr>
          <w:caps w:val="0"/>
        </w:rPr>
        <w:t> </w:t>
      </w:r>
      <w:r w:rsidRPr="006456A9">
        <w:rPr>
          <w:caps w:val="0"/>
        </w:rPr>
        <w:t xml:space="preserve">7 – Amendments </w:t>
      </w:r>
    </w:p>
    <w:p w:rsidR="00DB56F2" w:rsidRPr="006456A9" w:rsidRDefault="003F5C4E" w:rsidP="00282AEE">
      <w:pPr>
        <w:pStyle w:val="ContentsLevel1"/>
        <w:jc w:val="left"/>
      </w:pPr>
      <w:r w:rsidRPr="006456A9">
        <w:rPr>
          <w:caps w:val="0"/>
        </w:rPr>
        <w:t>Implementation Guidance on IAS</w:t>
      </w:r>
      <w:r w:rsidR="008B1406">
        <w:rPr>
          <w:caps w:val="0"/>
        </w:rPr>
        <w:t> </w:t>
      </w:r>
      <w:r w:rsidRPr="006456A9">
        <w:rPr>
          <w:caps w:val="0"/>
        </w:rPr>
        <w:t>1 – Amendments</w:t>
      </w:r>
    </w:p>
    <w:p w:rsidR="00DB56F2" w:rsidRPr="00282AEE" w:rsidRDefault="00DB56F2" w:rsidP="00FC071C">
      <w:pPr>
        <w:pStyle w:val="ContentsLevel1"/>
        <w:rPr>
          <w:b w:val="0"/>
        </w:rPr>
      </w:pPr>
    </w:p>
    <w:p w:rsidR="00E627C7" w:rsidRDefault="00E627C7" w:rsidP="00FC071C">
      <w:pPr>
        <w:pStyle w:val="ContentsLevel1"/>
      </w:pPr>
    </w:p>
    <w:p w:rsidR="00336710" w:rsidRDefault="00336710" w:rsidP="00CF0281">
      <w:pPr>
        <w:pStyle w:val="AASBBase"/>
        <w:pBdr>
          <w:top w:val="single" w:sz="4" w:space="1" w:color="auto"/>
          <w:left w:val="single" w:sz="4" w:space="4" w:color="auto"/>
          <w:bottom w:val="single" w:sz="4" w:space="1" w:color="auto"/>
          <w:right w:val="single" w:sz="4" w:space="4" w:color="auto"/>
        </w:pBdr>
      </w:pPr>
      <w:r>
        <w:t>Australian Accounting Standard AASB</w:t>
      </w:r>
      <w:r w:rsidR="004076F5">
        <w:t> </w:t>
      </w:r>
      <w:r w:rsidR="006456A9">
        <w:t>2016-</w:t>
      </w:r>
      <w:r w:rsidR="009E332E">
        <w:t>2</w:t>
      </w:r>
      <w:r w:rsidR="003F5C4E">
        <w:t xml:space="preserve"> </w:t>
      </w:r>
      <w:r w:rsidR="003F5C4E">
        <w:rPr>
          <w:i/>
        </w:rPr>
        <w:t>Amendments to Australian Accounting Standards – Disclosure Initiative: Amendments to AASB</w:t>
      </w:r>
      <w:r w:rsidR="008B1406">
        <w:rPr>
          <w:i/>
        </w:rPr>
        <w:t> </w:t>
      </w:r>
      <w:r w:rsidR="003F5C4E">
        <w:rPr>
          <w:i/>
        </w:rPr>
        <w:t>107</w:t>
      </w:r>
      <w:r>
        <w:t xml:space="preserve"> is set out </w:t>
      </w:r>
      <w:r w:rsidR="003F5C4E">
        <w:t xml:space="preserve">on pages </w:t>
      </w:r>
      <w:r w:rsidR="008B1406">
        <w:t>5</w:t>
      </w:r>
      <w:r w:rsidR="003F5C4E">
        <w:t xml:space="preserve"> </w:t>
      </w:r>
      <w:r w:rsidR="00A33F12">
        <w:t>–</w:t>
      </w:r>
      <w:r w:rsidR="003F5C4E">
        <w:t xml:space="preserve"> </w:t>
      </w:r>
      <w:r w:rsidR="002500C0">
        <w:t>7</w:t>
      </w:r>
      <w:r w:rsidR="003F5C4E">
        <w:t xml:space="preserve">. </w:t>
      </w:r>
      <w:r>
        <w:t>All the pa</w:t>
      </w:r>
      <w:r w:rsidR="003F5C4E">
        <w:t>ragraphs have equal authority.</w:t>
      </w:r>
      <w:bookmarkEnd w:id="7"/>
    </w:p>
    <w:p w:rsidR="00336710" w:rsidRDefault="00336710" w:rsidP="00FC071C">
      <w:pPr>
        <w:pStyle w:val="AASBBase"/>
      </w:pPr>
    </w:p>
    <w:p w:rsidR="00541686" w:rsidRDefault="00541686" w:rsidP="00FC071C">
      <w:pPr>
        <w:pStyle w:val="AASBBase"/>
      </w:pPr>
    </w:p>
    <w:p w:rsidR="006456A9" w:rsidRDefault="006456A9" w:rsidP="00FC071C">
      <w:pPr>
        <w:pStyle w:val="AASBBase"/>
        <w:sectPr w:rsidR="006456A9" w:rsidSect="00FC071C">
          <w:headerReference w:type="even" r:id="rId14"/>
          <w:footerReference w:type="even" r:id="rId15"/>
          <w:footerReference w:type="default" r:id="rId16"/>
          <w:pgSz w:w="11907" w:h="16839" w:code="9"/>
          <w:pgMar w:top="1440" w:right="1440" w:bottom="1440" w:left="1440" w:header="709" w:footer="709" w:gutter="0"/>
          <w:cols w:space="708"/>
          <w:docGrid w:linePitch="360"/>
        </w:sectPr>
      </w:pPr>
    </w:p>
    <w:p w:rsidR="006456A9" w:rsidRDefault="006456A9" w:rsidP="006456A9">
      <w:pPr>
        <w:pStyle w:val="ConvSectionTitle"/>
      </w:pPr>
      <w:r>
        <w:lastRenderedPageBreak/>
        <w:t>Preface</w:t>
      </w:r>
    </w:p>
    <w:p w:rsidR="006456A9" w:rsidRPr="0000292B" w:rsidRDefault="006456A9" w:rsidP="006456A9">
      <w:pPr>
        <w:pStyle w:val="IASBSectionTitle1NonInd"/>
      </w:pPr>
      <w:r>
        <w:t>Standards amended by AASB</w:t>
      </w:r>
      <w:r w:rsidR="004076F5">
        <w:t> </w:t>
      </w:r>
      <w:r>
        <w:t>2016-</w:t>
      </w:r>
      <w:r w:rsidR="009E332E">
        <w:t>2</w:t>
      </w:r>
    </w:p>
    <w:p w:rsidR="006C4176" w:rsidRDefault="006C4176" w:rsidP="006456A9">
      <w:pPr>
        <w:pStyle w:val="IASBNormal"/>
      </w:pPr>
      <w:r>
        <w:t>This Standard makes amendments to AASB</w:t>
      </w:r>
      <w:r w:rsidR="006A5CB5">
        <w:t> </w:t>
      </w:r>
      <w:r>
        <w:t>107</w:t>
      </w:r>
      <w:r w:rsidR="005C5042">
        <w:t xml:space="preserve"> </w:t>
      </w:r>
      <w:r w:rsidR="005C5042" w:rsidRPr="005C5042">
        <w:rPr>
          <w:i/>
        </w:rPr>
        <w:t>Statement of Cash Flows</w:t>
      </w:r>
      <w:r>
        <w:t xml:space="preserve"> (</w:t>
      </w:r>
      <w:r w:rsidR="005F33E9">
        <w:t>August</w:t>
      </w:r>
      <w:r w:rsidR="004076F5">
        <w:t xml:space="preserve"> </w:t>
      </w:r>
      <w:r>
        <w:t>201</w:t>
      </w:r>
      <w:r w:rsidR="005F33E9">
        <w:t>5</w:t>
      </w:r>
      <w:r>
        <w:t>).</w:t>
      </w:r>
    </w:p>
    <w:p w:rsidR="006C4176" w:rsidRPr="00756804" w:rsidRDefault="006C4176" w:rsidP="006456A9">
      <w:pPr>
        <w:pStyle w:val="IASBNormal"/>
      </w:pPr>
      <w:r>
        <w:t>These amendments arise from the issuance of</w:t>
      </w:r>
      <w:r w:rsidR="005C5042">
        <w:t xml:space="preserve"> International Financial Reporting Standard</w:t>
      </w:r>
      <w:r>
        <w:t xml:space="preserve"> </w:t>
      </w:r>
      <w:r w:rsidRPr="005C5042">
        <w:rPr>
          <w:i/>
        </w:rPr>
        <w:t>Disclosure Initiative</w:t>
      </w:r>
      <w:r w:rsidR="006A5CB5">
        <w:rPr>
          <w:i/>
        </w:rPr>
        <w:t xml:space="preserve"> (</w:t>
      </w:r>
      <w:r w:rsidRPr="005C5042">
        <w:rPr>
          <w:i/>
        </w:rPr>
        <w:t>Amendments to IAS</w:t>
      </w:r>
      <w:r w:rsidR="006A5CB5">
        <w:rPr>
          <w:i/>
        </w:rPr>
        <w:t> </w:t>
      </w:r>
      <w:r w:rsidRPr="005C5042">
        <w:rPr>
          <w:i/>
        </w:rPr>
        <w:t>7</w:t>
      </w:r>
      <w:r w:rsidR="006A5CB5">
        <w:rPr>
          <w:i/>
        </w:rPr>
        <w:t>)</w:t>
      </w:r>
      <w:r>
        <w:t xml:space="preserve"> by the International Accounting Standards Board (IASB) in January</w:t>
      </w:r>
      <w:r w:rsidR="004076F5">
        <w:t xml:space="preserve"> </w:t>
      </w:r>
      <w:r>
        <w:t>2016.</w:t>
      </w:r>
    </w:p>
    <w:p w:rsidR="006456A9" w:rsidRPr="003F0206" w:rsidRDefault="006456A9" w:rsidP="006456A9">
      <w:pPr>
        <w:pStyle w:val="IASBSectionTitle1NonInd"/>
      </w:pPr>
      <w:r w:rsidRPr="003F0206">
        <w:t xml:space="preserve">Main </w:t>
      </w:r>
      <w:r>
        <w:t>f</w:t>
      </w:r>
      <w:r w:rsidRPr="003F0206">
        <w:t>eatures of this Standard</w:t>
      </w:r>
    </w:p>
    <w:p w:rsidR="006456A9" w:rsidRPr="003F0206" w:rsidRDefault="006456A9" w:rsidP="006456A9">
      <w:pPr>
        <w:pStyle w:val="IASBSectionTitle2Ind"/>
      </w:pPr>
      <w:r w:rsidRPr="003F0206">
        <w:t xml:space="preserve">Main </w:t>
      </w:r>
      <w:r>
        <w:t>r</w:t>
      </w:r>
      <w:r w:rsidRPr="003F0206">
        <w:t>equirements</w:t>
      </w:r>
    </w:p>
    <w:p w:rsidR="006C4176" w:rsidRDefault="006C4176" w:rsidP="006456A9">
      <w:pPr>
        <w:pStyle w:val="IASBNormal"/>
      </w:pPr>
      <w:r>
        <w:t xml:space="preserve">This Standard </w:t>
      </w:r>
      <w:r w:rsidR="005F33E9">
        <w:t>amends AASB</w:t>
      </w:r>
      <w:r w:rsidR="004076F5">
        <w:t> </w:t>
      </w:r>
      <w:r w:rsidR="005F33E9">
        <w:t>107</w:t>
      </w:r>
      <w:r w:rsidR="003319EB">
        <w:t xml:space="preserve"> </w:t>
      </w:r>
      <w:r w:rsidR="003319EB" w:rsidRPr="003319EB">
        <w:rPr>
          <w:i/>
        </w:rPr>
        <w:t>Statement of Cash Flows</w:t>
      </w:r>
      <w:r w:rsidR="005F33E9">
        <w:t xml:space="preserve"> (August</w:t>
      </w:r>
      <w:r w:rsidR="004076F5">
        <w:t xml:space="preserve"> </w:t>
      </w:r>
      <w:r>
        <w:t>201</w:t>
      </w:r>
      <w:r w:rsidR="005F33E9">
        <w:t>5</w:t>
      </w:r>
      <w:r>
        <w:t>) to require entities</w:t>
      </w:r>
      <w:r w:rsidR="008B2360">
        <w:t xml:space="preserve"> preparing financial statements in accordance with Tier 1</w:t>
      </w:r>
      <w:r>
        <w:t xml:space="preserve"> </w:t>
      </w:r>
      <w:r w:rsidR="009E0791">
        <w:t xml:space="preserve">reporting requirements </w:t>
      </w:r>
      <w:r>
        <w:t xml:space="preserve">to provide disclosures that enable users of financial statements to evaluate changes in liabilities arising from financing activities, including </w:t>
      </w:r>
      <w:r w:rsidR="00241281">
        <w:t xml:space="preserve">both </w:t>
      </w:r>
      <w:r>
        <w:t>changes arising from cash flows and non-cash changes.</w:t>
      </w:r>
    </w:p>
    <w:p w:rsidR="00862A19" w:rsidRPr="003F0206" w:rsidRDefault="00862A19" w:rsidP="00862A19">
      <w:pPr>
        <w:pStyle w:val="IASBSectionTitle2Ind"/>
      </w:pPr>
      <w:r>
        <w:t>Reduced disclosure r</w:t>
      </w:r>
      <w:r w:rsidRPr="003F0206">
        <w:t>equirements</w:t>
      </w:r>
    </w:p>
    <w:p w:rsidR="00862A19" w:rsidRDefault="00862A19" w:rsidP="006456A9">
      <w:pPr>
        <w:pStyle w:val="IASBNormal"/>
      </w:pPr>
      <w:r>
        <w:t xml:space="preserve">The </w:t>
      </w:r>
      <w:r w:rsidR="00A33F12">
        <w:t>new disclosure requirements</w:t>
      </w:r>
      <w:r>
        <w:t xml:space="preserve"> do not apply to entities preparing general purpose financial statements complying with Tier 2 reporting requirements. </w:t>
      </w:r>
    </w:p>
    <w:p w:rsidR="006456A9" w:rsidRPr="003F0206" w:rsidRDefault="006456A9" w:rsidP="006456A9">
      <w:pPr>
        <w:pStyle w:val="IASBSectionTitle2Ind"/>
      </w:pPr>
      <w:r w:rsidRPr="003F0206">
        <w:t>Application date</w:t>
      </w:r>
    </w:p>
    <w:p w:rsidR="006C4176" w:rsidRPr="00E60CA8" w:rsidRDefault="006C4176" w:rsidP="006456A9">
      <w:pPr>
        <w:pStyle w:val="IASBNormal"/>
      </w:pPr>
      <w:r>
        <w:t>This Standard applies to annual periods beginning on or after 1</w:t>
      </w:r>
      <w:r w:rsidR="004076F5">
        <w:t> </w:t>
      </w:r>
      <w:r>
        <w:t>January</w:t>
      </w:r>
      <w:r w:rsidR="004076F5">
        <w:t xml:space="preserve"> </w:t>
      </w:r>
      <w:r>
        <w:t>2017. Earlier application is permitted.</w:t>
      </w:r>
    </w:p>
    <w:p w:rsidR="006456A9" w:rsidRDefault="006456A9" w:rsidP="006456A9">
      <w:pPr>
        <w:pStyle w:val="IASBNormal"/>
      </w:pPr>
    </w:p>
    <w:p w:rsidR="00541686" w:rsidRDefault="00541686" w:rsidP="00FC071C">
      <w:pPr>
        <w:pStyle w:val="AASBBase"/>
        <w:sectPr w:rsidR="00541686" w:rsidSect="00FC071C">
          <w:footerReference w:type="default" r:id="rId17"/>
          <w:headerReference w:type="first" r:id="rId18"/>
          <w:footerReference w:type="first" r:id="rId19"/>
          <w:pgSz w:w="11907" w:h="16839" w:code="9"/>
          <w:pgMar w:top="1440" w:right="1440" w:bottom="1440" w:left="1440" w:header="709" w:footer="709" w:gutter="0"/>
          <w:cols w:space="708"/>
          <w:docGrid w:linePitch="360"/>
        </w:sectPr>
      </w:pPr>
    </w:p>
    <w:p w:rsidR="008B1406" w:rsidRDefault="008B1406" w:rsidP="008B1406">
      <w:pPr>
        <w:pStyle w:val="ConvSectionTitle"/>
      </w:pPr>
      <w:r>
        <w:lastRenderedPageBreak/>
        <w:t>Accounting Standard AASB</w:t>
      </w:r>
      <w:r w:rsidR="004076F5">
        <w:t> </w:t>
      </w:r>
      <w:r>
        <w:t>2016-</w:t>
      </w:r>
      <w:r w:rsidR="001274C3">
        <w:t>2</w:t>
      </w:r>
    </w:p>
    <w:p w:rsidR="008B1406" w:rsidRDefault="008B1406" w:rsidP="008B1406">
      <w:pPr>
        <w:pStyle w:val="IASBNormal"/>
      </w:pPr>
      <w:r>
        <w:t>The Australian Accounting Standards Board makes Accounting Standard AASB</w:t>
      </w:r>
      <w:r w:rsidR="004076F5">
        <w:t> </w:t>
      </w:r>
      <w:r>
        <w:t>2016-</w:t>
      </w:r>
      <w:r w:rsidR="001274C3">
        <w:t>2</w:t>
      </w:r>
      <w:r>
        <w:t xml:space="preserve"> </w:t>
      </w:r>
      <w:r>
        <w:rPr>
          <w:i/>
        </w:rPr>
        <w:t>Amendments to Australian Accounting Standards – Disclosure Initiative: Amendments to AASB 10</w:t>
      </w:r>
      <w:r w:rsidRPr="00E9244D">
        <w:rPr>
          <w:i/>
        </w:rPr>
        <w:t>7</w:t>
      </w:r>
      <w:r w:rsidRPr="00E9244D">
        <w:t xml:space="preserve"> under</w:t>
      </w:r>
      <w:r>
        <w:t xml:space="preserve"> section 334 of the </w:t>
      </w:r>
      <w:r w:rsidRPr="00D51AA9">
        <w:rPr>
          <w:i/>
        </w:rPr>
        <w:t>Corporations Act 2001</w:t>
      </w:r>
      <w:r>
        <w:t>.</w:t>
      </w:r>
    </w:p>
    <w:tbl>
      <w:tblPr>
        <w:tblStyle w:val="TableGrid"/>
        <w:tblW w:w="0" w:type="auto"/>
        <w:tblLook w:val="04A0" w:firstRow="1" w:lastRow="0" w:firstColumn="1" w:lastColumn="0" w:noHBand="0" w:noVBand="1"/>
        <w:tblCaption w:val="Authorisation of the statement that the AASB has made the Standard"/>
        <w:tblDescription w:val="Date when the Standard was made by the AASB, the name of the AASB Chair, and the statement of that position"/>
      </w:tblPr>
      <w:tblGrid>
        <w:gridCol w:w="4508"/>
        <w:gridCol w:w="4509"/>
      </w:tblGrid>
      <w:tr w:rsidR="008B1406" w:rsidTr="004F5020">
        <w:trPr>
          <w:tblHeader/>
        </w:trPr>
        <w:tc>
          <w:tcPr>
            <w:tcW w:w="4508" w:type="dxa"/>
          </w:tcPr>
          <w:p w:rsidR="008B1406" w:rsidRDefault="008B1406" w:rsidP="004F5020">
            <w:pPr>
              <w:pStyle w:val="AASBBase"/>
            </w:pPr>
          </w:p>
        </w:tc>
        <w:tc>
          <w:tcPr>
            <w:tcW w:w="4509" w:type="dxa"/>
          </w:tcPr>
          <w:p w:rsidR="008B1406" w:rsidRDefault="008B1406" w:rsidP="004F5020">
            <w:pPr>
              <w:pStyle w:val="AASBBase"/>
              <w:jc w:val="right"/>
            </w:pPr>
            <w:r>
              <w:t>Kris Peach</w:t>
            </w:r>
          </w:p>
        </w:tc>
      </w:tr>
      <w:tr w:rsidR="008B1406" w:rsidTr="004F5020">
        <w:tc>
          <w:tcPr>
            <w:tcW w:w="4508" w:type="dxa"/>
          </w:tcPr>
          <w:p w:rsidR="008B1406" w:rsidRDefault="008B1406" w:rsidP="001274C3">
            <w:pPr>
              <w:pStyle w:val="AASBBase"/>
            </w:pPr>
            <w:r>
              <w:t xml:space="preserve">Dated </w:t>
            </w:r>
            <w:r w:rsidR="001274C3">
              <w:t>23</w:t>
            </w:r>
            <w:r>
              <w:t xml:space="preserve"> </w:t>
            </w:r>
            <w:r w:rsidR="001274C3">
              <w:t xml:space="preserve">March </w:t>
            </w:r>
            <w:r>
              <w:t>2016</w:t>
            </w:r>
          </w:p>
        </w:tc>
        <w:tc>
          <w:tcPr>
            <w:tcW w:w="4509" w:type="dxa"/>
          </w:tcPr>
          <w:p w:rsidR="008B1406" w:rsidRDefault="008B1406" w:rsidP="004F5020">
            <w:pPr>
              <w:pStyle w:val="AASBBase"/>
              <w:jc w:val="right"/>
            </w:pPr>
            <w:r>
              <w:t>Chair – AASB</w:t>
            </w:r>
          </w:p>
        </w:tc>
      </w:tr>
    </w:tbl>
    <w:p w:rsidR="008B1406" w:rsidRDefault="008B1406" w:rsidP="008B1406">
      <w:pPr>
        <w:pStyle w:val="ConvStandardTitle1"/>
      </w:pPr>
      <w:r>
        <w:t>Accounting Standard AASB</w:t>
      </w:r>
      <w:r w:rsidR="004076F5">
        <w:t> </w:t>
      </w:r>
      <w:r>
        <w:t>2016-</w:t>
      </w:r>
      <w:r w:rsidR="001274C3">
        <w:t>2</w:t>
      </w:r>
    </w:p>
    <w:p w:rsidR="008B1406" w:rsidRPr="00844AB3" w:rsidRDefault="008B1406" w:rsidP="008B1406">
      <w:pPr>
        <w:pStyle w:val="ConvStandardTitle2"/>
      </w:pPr>
      <w:r>
        <w:t>Amendments to Australian Accounting Standards – Disclosure Initiative: Amendments to AASB 107</w:t>
      </w:r>
    </w:p>
    <w:p w:rsidR="00783ADB" w:rsidRDefault="00783ADB" w:rsidP="008B1406">
      <w:pPr>
        <w:pStyle w:val="IASBSectionTitle1NonInd"/>
        <w:spacing w:before="600"/>
      </w:pPr>
      <w:bookmarkStart w:id="8" w:name="F46971097"/>
      <w:r>
        <w:t xml:space="preserve">Objective </w:t>
      </w:r>
    </w:p>
    <w:p w:rsidR="005F33E9" w:rsidRDefault="005F33E9" w:rsidP="008B1406">
      <w:pPr>
        <w:pStyle w:val="IASBNormal"/>
      </w:pPr>
      <w:r>
        <w:t>This Standard amends AASB</w:t>
      </w:r>
      <w:r w:rsidR="004076F5">
        <w:t> </w:t>
      </w:r>
      <w:r>
        <w:t xml:space="preserve">107 </w:t>
      </w:r>
      <w:r w:rsidR="00F219BA" w:rsidRPr="00F219BA">
        <w:rPr>
          <w:i/>
        </w:rPr>
        <w:t>Statement of Cash Flows</w:t>
      </w:r>
      <w:r w:rsidR="00F219BA">
        <w:t xml:space="preserve"> (August</w:t>
      </w:r>
      <w:r w:rsidR="004076F5">
        <w:t xml:space="preserve"> </w:t>
      </w:r>
      <w:r w:rsidR="00F219BA">
        <w:t xml:space="preserve">2015) </w:t>
      </w:r>
      <w:r>
        <w:t>as a con</w:t>
      </w:r>
      <w:r w:rsidR="005C5042">
        <w:t xml:space="preserve">sequence of the issuance of International Financial Reporting Standard </w:t>
      </w:r>
      <w:r w:rsidR="005C5042" w:rsidRPr="005C5042">
        <w:rPr>
          <w:i/>
        </w:rPr>
        <w:t>Disclosure Initiative</w:t>
      </w:r>
      <w:r w:rsidR="004076F5">
        <w:rPr>
          <w:i/>
        </w:rPr>
        <w:t xml:space="preserve"> </w:t>
      </w:r>
      <w:r w:rsidR="006A5CB5">
        <w:rPr>
          <w:i/>
        </w:rPr>
        <w:t>(</w:t>
      </w:r>
      <w:r w:rsidR="005C5042" w:rsidRPr="005C5042">
        <w:rPr>
          <w:i/>
        </w:rPr>
        <w:t xml:space="preserve">Amendments to </w:t>
      </w:r>
      <w:r w:rsidR="008A7B37">
        <w:rPr>
          <w:i/>
        </w:rPr>
        <w:t>IAS 7</w:t>
      </w:r>
      <w:r w:rsidR="006A5CB5">
        <w:rPr>
          <w:i/>
        </w:rPr>
        <w:t>)</w:t>
      </w:r>
      <w:r w:rsidR="005C5042">
        <w:t xml:space="preserve"> by the International Accounting Standards Board in January 2016.</w:t>
      </w:r>
    </w:p>
    <w:p w:rsidR="00BE5E74" w:rsidRDefault="00BE5E74" w:rsidP="008B1406">
      <w:pPr>
        <w:pStyle w:val="IASBSectionTitle1NonInd"/>
        <w:spacing w:before="600"/>
      </w:pPr>
      <w:r>
        <w:t xml:space="preserve">Application </w:t>
      </w:r>
    </w:p>
    <w:p w:rsidR="005C0FC2" w:rsidRPr="001F1828" w:rsidRDefault="001F1828" w:rsidP="001F1828">
      <w:pPr>
        <w:pStyle w:val="IASBNormal"/>
      </w:pPr>
      <w:r>
        <w:t xml:space="preserve">The amendments set out in this Standard apply to entities and financial statements in accordance with the application of the other Standards and </w:t>
      </w:r>
      <w:r w:rsidR="008B1406">
        <w:t>Interpretations set out in AASB </w:t>
      </w:r>
      <w:r>
        <w:t xml:space="preserve">1057 </w:t>
      </w:r>
      <w:r>
        <w:rPr>
          <w:i/>
        </w:rPr>
        <w:t xml:space="preserve">Application of Australian Accounting Standards </w:t>
      </w:r>
      <w:r>
        <w:t>(as amended).</w:t>
      </w:r>
    </w:p>
    <w:p w:rsidR="00BE5E74" w:rsidRDefault="00BE5E74" w:rsidP="00BE5E74">
      <w:pPr>
        <w:pStyle w:val="IASBNormal"/>
      </w:pPr>
      <w:r w:rsidRPr="00027E8B">
        <w:t xml:space="preserve">This Standard applies to annual periods </w:t>
      </w:r>
      <w:bookmarkStart w:id="9" w:name="ApplyText"/>
      <w:r w:rsidRPr="00027E8B">
        <w:t>beginning</w:t>
      </w:r>
      <w:bookmarkEnd w:id="9"/>
      <w:r w:rsidRPr="00027E8B">
        <w:t xml:space="preserve"> on or after </w:t>
      </w:r>
      <w:bookmarkStart w:id="10" w:name="ApplyDate"/>
      <w:r>
        <w:t>1 January</w:t>
      </w:r>
      <w:r w:rsidR="004076F5">
        <w:t xml:space="preserve"> </w:t>
      </w:r>
      <w:r>
        <w:t>201</w:t>
      </w:r>
      <w:bookmarkEnd w:id="10"/>
      <w:r>
        <w:t>7</w:t>
      </w:r>
      <w:r w:rsidRPr="00027E8B">
        <w:t>.</w:t>
      </w:r>
      <w:bookmarkStart w:id="11" w:name="EarlyYesPara"/>
      <w:r>
        <w:t xml:space="preserve"> </w:t>
      </w:r>
      <w:r w:rsidRPr="0000292B">
        <w:t xml:space="preserve">This Standard may be applied to annual periods </w:t>
      </w:r>
      <w:bookmarkStart w:id="12" w:name="EarlyText"/>
      <w:r w:rsidRPr="0000292B">
        <w:t>beginning</w:t>
      </w:r>
      <w:bookmarkEnd w:id="12"/>
      <w:r w:rsidRPr="0000292B">
        <w:t xml:space="preserve"> </w:t>
      </w:r>
      <w:r>
        <w:t>before</w:t>
      </w:r>
      <w:r w:rsidRPr="0000292B">
        <w:t xml:space="preserve"> </w:t>
      </w:r>
      <w:fldSimple w:instr=" REF ApplyDate  \* charformat   \* MERGEFORMAT " w:fldLock="1">
        <w:r>
          <w:t>1 January</w:t>
        </w:r>
        <w:r w:rsidR="004076F5">
          <w:t xml:space="preserve"> </w:t>
        </w:r>
        <w:r>
          <w:t>201</w:t>
        </w:r>
      </w:fldSimple>
      <w:r>
        <w:t>7.</w:t>
      </w:r>
      <w:r w:rsidRPr="0000292B">
        <w:t xml:space="preserve"> When an entity applies this Standard to </w:t>
      </w:r>
      <w:r>
        <w:t xml:space="preserve">such </w:t>
      </w:r>
      <w:r w:rsidRPr="0000292B">
        <w:t>an annual period</w:t>
      </w:r>
      <w:r>
        <w:t>,</w:t>
      </w:r>
      <w:r w:rsidRPr="0000292B">
        <w:t xml:space="preserve"> it shall disclose that fact.</w:t>
      </w:r>
    </w:p>
    <w:p w:rsidR="008A7B37" w:rsidRPr="008A7B37" w:rsidRDefault="008A7B37" w:rsidP="008A7B37">
      <w:pPr>
        <w:pStyle w:val="IASBNormal"/>
      </w:pPr>
      <w:r w:rsidRPr="008A7B37">
        <w:t xml:space="preserve">This Standard uses underlining, striking out and other typographical material to identify some of the amendments to </w:t>
      </w:r>
      <w:r w:rsidR="00862A19">
        <w:t>AASB 107</w:t>
      </w:r>
      <w:r w:rsidRPr="008A7B37">
        <w:t xml:space="preserve">, in order to make the amendments more understandable. However, the amendments made by this Standard do not include that underlining, striking out or other typographical material. </w:t>
      </w:r>
      <w:r w:rsidR="00862A19">
        <w:t>Amended paragraphs are shown with deleted text struck through and new text is underlined. Ellipses (…) are used to help provide the context within which amendments are made and also to indicate text that is not amended.</w:t>
      </w:r>
    </w:p>
    <w:bookmarkEnd w:id="11"/>
    <w:p w:rsidR="00E9244D" w:rsidRPr="008B1406" w:rsidRDefault="008B1406" w:rsidP="008B1406">
      <w:pPr>
        <w:pStyle w:val="IASBSectionTitle1NonInd"/>
        <w:spacing w:before="600"/>
      </w:pPr>
      <w:r>
        <w:t>Amendments to AASB </w:t>
      </w:r>
      <w:r w:rsidR="00E9244D">
        <w:t xml:space="preserve">107 </w:t>
      </w:r>
      <w:r w:rsidR="00E9244D">
        <w:rPr>
          <w:i/>
        </w:rPr>
        <w:t>Statement of Cash Flows</w:t>
      </w:r>
      <w:bookmarkEnd w:id="8"/>
      <w:r>
        <w:rPr>
          <w:i/>
        </w:rPr>
        <w:t xml:space="preserve"> </w:t>
      </w:r>
      <w:r>
        <w:t>(August 2015)</w:t>
      </w:r>
    </w:p>
    <w:tbl>
      <w:tblPr>
        <w:tblW w:w="0" w:type="auto"/>
        <w:tblLayout w:type="fixed"/>
        <w:tblCellMar>
          <w:bottom w:w="85" w:type="dxa"/>
        </w:tblCellMar>
        <w:tblLook w:val="0000" w:firstRow="0" w:lastRow="0" w:firstColumn="0" w:lastColumn="0" w:noHBand="0" w:noVBand="0"/>
        <w:tblCaption w:val="Amendment instructions "/>
      </w:tblPr>
      <w:tblGrid>
        <w:gridCol w:w="9208"/>
      </w:tblGrid>
      <w:tr w:rsidR="00E9244D" w:rsidTr="004F5020">
        <w:trPr>
          <w:cantSplit/>
        </w:trPr>
        <w:tc>
          <w:tcPr>
            <w:tcW w:w="9208" w:type="dxa"/>
            <w:tcBorders>
              <w:top w:val="single" w:sz="4" w:space="0" w:color="auto"/>
              <w:left w:val="single" w:sz="4" w:space="0" w:color="auto"/>
              <w:bottom w:val="single" w:sz="4" w:space="0" w:color="auto"/>
              <w:right w:val="single" w:sz="4" w:space="0" w:color="auto"/>
            </w:tcBorders>
          </w:tcPr>
          <w:p w:rsidR="00E9244D" w:rsidRDefault="00E9244D" w:rsidP="004F5020">
            <w:pPr>
              <w:pStyle w:val="IASBTableArial"/>
            </w:pPr>
            <w:r>
              <w:t xml:space="preserve">Paragraphs 44A–44E and the related heading </w:t>
            </w:r>
            <w:proofErr w:type="gramStart"/>
            <w:r>
              <w:t>is</w:t>
            </w:r>
            <w:proofErr w:type="gramEnd"/>
            <w:r>
              <w:t xml:space="preserve"> added. Paragraph 60 is also added.</w:t>
            </w:r>
          </w:p>
        </w:tc>
      </w:tr>
    </w:tbl>
    <w:p w:rsidR="00E9244D" w:rsidRDefault="00E9244D" w:rsidP="002500C0">
      <w:pPr>
        <w:pStyle w:val="IASBSectionTitle1NonInd"/>
        <w:spacing w:before="240"/>
      </w:pPr>
      <w:bookmarkStart w:id="13" w:name="F46971102"/>
      <w:r>
        <w:t>Changes in liabilities arising from financing activities</w:t>
      </w:r>
      <w:bookmarkEnd w:id="13"/>
    </w:p>
    <w:p w:rsidR="00E9244D" w:rsidRDefault="00E9244D" w:rsidP="00E9244D">
      <w:pPr>
        <w:pStyle w:val="IASBNormalnpara"/>
        <w:rPr>
          <w:b/>
        </w:rPr>
      </w:pPr>
      <w:r>
        <w:rPr>
          <w:b/>
        </w:rPr>
        <w:t>44A</w:t>
      </w:r>
      <w:r>
        <w:rPr>
          <w:b/>
        </w:rPr>
        <w:tab/>
      </w:r>
      <w:bookmarkStart w:id="14" w:name="F46971103"/>
      <w:proofErr w:type="gramStart"/>
      <w:r>
        <w:rPr>
          <w:b/>
        </w:rPr>
        <w:t>An</w:t>
      </w:r>
      <w:proofErr w:type="gramEnd"/>
      <w:r>
        <w:rPr>
          <w:b/>
        </w:rPr>
        <w:t xml:space="preserve"> entity shall provide disclosures that enable users of financial statements to evaluate changes in liabilities arising from financing activities, including both changes arising from cash flows and non-cash changes.</w:t>
      </w:r>
      <w:bookmarkEnd w:id="14"/>
    </w:p>
    <w:p w:rsidR="00E9244D" w:rsidRDefault="00E9244D" w:rsidP="00E9244D">
      <w:pPr>
        <w:pStyle w:val="IASBNormalnpara"/>
      </w:pPr>
      <w:r>
        <w:t>44B</w:t>
      </w:r>
      <w:r>
        <w:tab/>
      </w:r>
      <w:bookmarkStart w:id="15" w:name="F46971104"/>
      <w:proofErr w:type="gramStart"/>
      <w:r>
        <w:t>To</w:t>
      </w:r>
      <w:proofErr w:type="gramEnd"/>
      <w:r>
        <w:t xml:space="preserve"> the extent necessary to satisfy the requirement in paragraph 44A, an entity shall disclose the following changes in liabilities arising from financing activities:</w:t>
      </w:r>
      <w:bookmarkEnd w:id="15"/>
    </w:p>
    <w:p w:rsidR="00E9244D" w:rsidRDefault="00E9244D" w:rsidP="00E9244D">
      <w:pPr>
        <w:pStyle w:val="IASBNormalnparaL1"/>
      </w:pPr>
      <w:r>
        <w:t>(a)</w:t>
      </w:r>
      <w:r>
        <w:tab/>
      </w:r>
      <w:bookmarkStart w:id="16" w:name="F46971107"/>
      <w:proofErr w:type="gramStart"/>
      <w:r>
        <w:t>changes</w:t>
      </w:r>
      <w:proofErr w:type="gramEnd"/>
      <w:r>
        <w:t xml:space="preserve"> from financing cash flows;</w:t>
      </w:r>
      <w:bookmarkEnd w:id="16"/>
    </w:p>
    <w:p w:rsidR="00E9244D" w:rsidRDefault="00E9244D" w:rsidP="00E9244D">
      <w:pPr>
        <w:pStyle w:val="IASBNormalnparaL1"/>
      </w:pPr>
      <w:r>
        <w:t>(b)</w:t>
      </w:r>
      <w:r>
        <w:tab/>
      </w:r>
      <w:bookmarkStart w:id="17" w:name="F46971109"/>
      <w:proofErr w:type="gramStart"/>
      <w:r>
        <w:t>changes</w:t>
      </w:r>
      <w:proofErr w:type="gramEnd"/>
      <w:r>
        <w:t xml:space="preserve"> arising from obtaining or losing control of subsidiaries or other businesses;</w:t>
      </w:r>
      <w:bookmarkEnd w:id="17"/>
    </w:p>
    <w:p w:rsidR="00E9244D" w:rsidRDefault="00E9244D" w:rsidP="00E9244D">
      <w:pPr>
        <w:pStyle w:val="IASBNormalnparaL1"/>
      </w:pPr>
      <w:r>
        <w:t>(c)</w:t>
      </w:r>
      <w:r>
        <w:tab/>
      </w:r>
      <w:bookmarkStart w:id="18" w:name="F46971141"/>
      <w:proofErr w:type="gramStart"/>
      <w:r>
        <w:t>the</w:t>
      </w:r>
      <w:proofErr w:type="gramEnd"/>
      <w:r>
        <w:t xml:space="preserve"> effect of changes in foreign exchange rates;</w:t>
      </w:r>
      <w:bookmarkEnd w:id="18"/>
    </w:p>
    <w:p w:rsidR="00E9244D" w:rsidRDefault="00E9244D" w:rsidP="00E9244D">
      <w:pPr>
        <w:pStyle w:val="IASBNormalnparaL1"/>
      </w:pPr>
      <w:r>
        <w:t>(d)</w:t>
      </w:r>
      <w:r>
        <w:tab/>
      </w:r>
      <w:bookmarkStart w:id="19" w:name="F46971143"/>
      <w:proofErr w:type="gramStart"/>
      <w:r>
        <w:t>changes</w:t>
      </w:r>
      <w:proofErr w:type="gramEnd"/>
      <w:r>
        <w:t xml:space="preserve"> in fair values; and</w:t>
      </w:r>
      <w:bookmarkEnd w:id="19"/>
    </w:p>
    <w:p w:rsidR="00E9244D" w:rsidRDefault="00E9244D" w:rsidP="00E9244D">
      <w:pPr>
        <w:pStyle w:val="IASBNormalnparaL1"/>
      </w:pPr>
      <w:r>
        <w:t>(e)</w:t>
      </w:r>
      <w:r>
        <w:tab/>
      </w:r>
      <w:bookmarkStart w:id="20" w:name="F46971146"/>
      <w:proofErr w:type="gramStart"/>
      <w:r>
        <w:t>other</w:t>
      </w:r>
      <w:proofErr w:type="gramEnd"/>
      <w:r>
        <w:t xml:space="preserve"> changes.</w:t>
      </w:r>
      <w:bookmarkEnd w:id="20"/>
    </w:p>
    <w:p w:rsidR="00E9244D" w:rsidRDefault="00E9244D" w:rsidP="00E9244D">
      <w:pPr>
        <w:pStyle w:val="IASBNormalnpara"/>
      </w:pPr>
      <w:r>
        <w:lastRenderedPageBreak/>
        <w:t>44C</w:t>
      </w:r>
      <w:r>
        <w:tab/>
      </w:r>
      <w:bookmarkStart w:id="21" w:name="F46971147"/>
      <w:r>
        <w:t>Liabilities arising from financing activities are liabilities for which cash flows were, or future cash flows will be, classified in the statement of cash flows as cash flows from financing activities. In addition, the disclosure requirement in paragraph 44A also applies to changes in financial assets (for example, assets that hedge liabilities arising from financing activities) if cash flows from those financial assets were, or future cash flows will be, included in cash flows from financing activities.</w:t>
      </w:r>
      <w:bookmarkEnd w:id="21"/>
    </w:p>
    <w:p w:rsidR="00E9244D" w:rsidRDefault="00E9244D" w:rsidP="00E9244D">
      <w:pPr>
        <w:pStyle w:val="IASBNormalnpara"/>
      </w:pPr>
      <w:r>
        <w:t>44D</w:t>
      </w:r>
      <w:r>
        <w:tab/>
      </w:r>
      <w:bookmarkStart w:id="22" w:name="F46971148"/>
      <w:r>
        <w:t xml:space="preserve">One way to fulfil the disclosure requirement in paragraph 44A is by providing a reconciliation between the opening and closing balances in the statement of financial position for liabilities arising from financing activities, including the changes identified in paragraph 44B. Where an entity discloses such </w:t>
      </w:r>
      <w:proofErr w:type="gramStart"/>
      <w:r>
        <w:t>a reconciliation</w:t>
      </w:r>
      <w:proofErr w:type="gramEnd"/>
      <w:r>
        <w:t>, it shall provide sufficient information to enable users of the financial statements to link items included in the reconciliation to the statement of financial position and the statement of cash flows.</w:t>
      </w:r>
      <w:bookmarkEnd w:id="22"/>
    </w:p>
    <w:p w:rsidR="00E9244D" w:rsidRDefault="00E9244D" w:rsidP="00E9244D">
      <w:pPr>
        <w:pStyle w:val="IASBNormalnpara"/>
      </w:pPr>
      <w:r>
        <w:t>44E</w:t>
      </w:r>
      <w:r>
        <w:tab/>
      </w:r>
      <w:bookmarkStart w:id="23" w:name="F46971149"/>
      <w:proofErr w:type="gramStart"/>
      <w:r>
        <w:t>If</w:t>
      </w:r>
      <w:proofErr w:type="gramEnd"/>
      <w:r>
        <w:t xml:space="preserve"> an entity provides the disclosure required by paragraph 44A in combination with disclosures of changes in other assets and liabilities, it shall disclose the changes in liabilities arising from financing activities separately from changes in those other assets and liabilities.</w:t>
      </w:r>
      <w:bookmarkEnd w:id="23"/>
    </w:p>
    <w:p w:rsidR="00E9244D" w:rsidRDefault="00E9244D" w:rsidP="008B1406">
      <w:pPr>
        <w:pStyle w:val="IASBSectionTitle1NonInd"/>
        <w:spacing w:before="100"/>
      </w:pPr>
      <w:bookmarkStart w:id="24" w:name="F46971151"/>
      <w:r>
        <w:t>Effective date</w:t>
      </w:r>
      <w:bookmarkEnd w:id="24"/>
    </w:p>
    <w:p w:rsidR="00E9244D" w:rsidRDefault="00E9244D" w:rsidP="00E9244D">
      <w:pPr>
        <w:pStyle w:val="IASBNormalnpara"/>
      </w:pPr>
      <w:r>
        <w:tab/>
      </w:r>
      <w:bookmarkStart w:id="25" w:name="F46971152"/>
      <w:r>
        <w:t>...</w:t>
      </w:r>
      <w:r>
        <w:rPr>
          <w:rFonts w:ascii="Cambria Math" w:hAnsi="Cambria Math" w:cs="Cambria Math"/>
        </w:rPr>
        <w:t> </w:t>
      </w:r>
      <w:bookmarkEnd w:id="25"/>
    </w:p>
    <w:p w:rsidR="00783ADB" w:rsidRDefault="00E9244D" w:rsidP="00783ADB">
      <w:pPr>
        <w:pStyle w:val="IASBNormalnpara"/>
      </w:pPr>
      <w:r>
        <w:t>60</w:t>
      </w:r>
      <w:r>
        <w:tab/>
      </w:r>
      <w:bookmarkStart w:id="26" w:name="F46971153"/>
      <w:r w:rsidR="00697F10">
        <w:t>AASB</w:t>
      </w:r>
      <w:r w:rsidR="004076F5">
        <w:t> </w:t>
      </w:r>
      <w:r w:rsidR="006456A9">
        <w:t>2016-</w:t>
      </w:r>
      <w:r w:rsidR="00D47427">
        <w:t>2</w:t>
      </w:r>
      <w:r w:rsidR="00697F10">
        <w:t xml:space="preserve"> </w:t>
      </w:r>
      <w:r w:rsidR="00E83B88">
        <w:rPr>
          <w:i/>
        </w:rPr>
        <w:t xml:space="preserve">Amendments to Australian Accounting Standards – </w:t>
      </w:r>
      <w:r>
        <w:rPr>
          <w:i/>
        </w:rPr>
        <w:t>Disclosure Initiative</w:t>
      </w:r>
      <w:r w:rsidR="00E83B88" w:rsidRPr="00E83B88">
        <w:rPr>
          <w:i/>
        </w:rPr>
        <w:t xml:space="preserve">: </w:t>
      </w:r>
      <w:r w:rsidRPr="00E83B88">
        <w:rPr>
          <w:i/>
        </w:rPr>
        <w:t xml:space="preserve">Amendments to </w:t>
      </w:r>
      <w:r w:rsidR="00E83B88">
        <w:rPr>
          <w:i/>
        </w:rPr>
        <w:t>AASB</w:t>
      </w:r>
      <w:r w:rsidR="008B1406">
        <w:rPr>
          <w:i/>
        </w:rPr>
        <w:t> </w:t>
      </w:r>
      <w:r w:rsidR="00E83B88">
        <w:rPr>
          <w:i/>
        </w:rPr>
        <w:t>10</w:t>
      </w:r>
      <w:r w:rsidRPr="00E83B88">
        <w:rPr>
          <w:i/>
        </w:rPr>
        <w:t>7</w:t>
      </w:r>
      <w:r>
        <w:t xml:space="preserve">, issued in </w:t>
      </w:r>
      <w:r w:rsidR="00D47427">
        <w:t xml:space="preserve">March </w:t>
      </w:r>
      <w:r>
        <w:t>2016, added paragraphs 44A–44E</w:t>
      </w:r>
      <w:r w:rsidR="008B1406">
        <w:t xml:space="preserve">. </w:t>
      </w:r>
      <w:r>
        <w:t>An entity shall apply those amendments for annual periods beginning on or after 1 January 2017. Earlier application is permitted. When the entity first applies those amendments, it is not required to provide comparative information for preceding periods.</w:t>
      </w:r>
      <w:bookmarkStart w:id="27" w:name="F46975229"/>
      <w:bookmarkEnd w:id="26"/>
    </w:p>
    <w:p w:rsidR="001766A6" w:rsidRDefault="001766A6" w:rsidP="00783ADB">
      <w:pPr>
        <w:pStyle w:val="IASBNormalnpara"/>
      </w:pPr>
    </w:p>
    <w:tbl>
      <w:tblPr>
        <w:tblW w:w="0" w:type="auto"/>
        <w:tblLayout w:type="fixed"/>
        <w:tblCellMar>
          <w:bottom w:w="85" w:type="dxa"/>
        </w:tblCellMar>
        <w:tblLook w:val="0000" w:firstRow="0" w:lastRow="0" w:firstColumn="0" w:lastColumn="0" w:noHBand="0" w:noVBand="0"/>
        <w:tblCaption w:val="Amendment instructions "/>
      </w:tblPr>
      <w:tblGrid>
        <w:gridCol w:w="9208"/>
      </w:tblGrid>
      <w:tr w:rsidR="008A7B37" w:rsidTr="004F5020">
        <w:trPr>
          <w:cantSplit/>
        </w:trPr>
        <w:tc>
          <w:tcPr>
            <w:tcW w:w="9208" w:type="dxa"/>
            <w:tcBorders>
              <w:top w:val="single" w:sz="4" w:space="0" w:color="auto"/>
              <w:left w:val="single" w:sz="4" w:space="0" w:color="auto"/>
              <w:bottom w:val="single" w:sz="4" w:space="0" w:color="auto"/>
              <w:right w:val="single" w:sz="4" w:space="0" w:color="auto"/>
            </w:tcBorders>
          </w:tcPr>
          <w:p w:rsidR="008A7B37" w:rsidRDefault="001766A6" w:rsidP="001766A6">
            <w:pPr>
              <w:pStyle w:val="IASBTableArial"/>
            </w:pPr>
            <w:r>
              <w:t>In Appendix A, p</w:t>
            </w:r>
            <w:r w:rsidR="008A7B37">
              <w:t>aragraph AusA1 is amended.</w:t>
            </w:r>
          </w:p>
        </w:tc>
      </w:tr>
    </w:tbl>
    <w:p w:rsidR="008A7B37" w:rsidRPr="001766A6" w:rsidRDefault="00D62A41" w:rsidP="001766A6">
      <w:pPr>
        <w:pStyle w:val="IASBNormalnpara"/>
        <w:spacing w:before="200"/>
        <w:rPr>
          <w:b/>
        </w:rPr>
      </w:pPr>
      <w:r w:rsidRPr="001766A6">
        <w:rPr>
          <w:b/>
        </w:rPr>
        <w:t>AusA1</w:t>
      </w:r>
      <w:r w:rsidRPr="001766A6">
        <w:rPr>
          <w:b/>
        </w:rPr>
        <w:tab/>
      </w:r>
      <w:r w:rsidR="001766A6" w:rsidRPr="001766A6">
        <w:rPr>
          <w:b/>
        </w:rPr>
        <w:t xml:space="preserve">Paragraphs Aus20.2, 40, 41, </w:t>
      </w:r>
      <w:r w:rsidR="001766A6" w:rsidRPr="001766A6">
        <w:rPr>
          <w:b/>
          <w:u w:val="single"/>
        </w:rPr>
        <w:t>44A-44E,</w:t>
      </w:r>
      <w:r w:rsidR="001766A6">
        <w:rPr>
          <w:b/>
        </w:rPr>
        <w:t xml:space="preserve"> </w:t>
      </w:r>
      <w:r w:rsidR="001766A6" w:rsidRPr="001766A6">
        <w:rPr>
          <w:b/>
        </w:rPr>
        <w:t>46, 50(d) and 52 of this Standard do not apply to entities preparing general purpose financial statements under Australian Accounting Standards – Reduced Disclosure Requirements. Entities applying Australian Accounting Standards – Reduced Disclosure Requirements may elect to comply with some or all of these excluded requirements.</w:t>
      </w:r>
    </w:p>
    <w:p w:rsidR="00E9244D" w:rsidRDefault="00E9244D" w:rsidP="00783ADB">
      <w:pPr>
        <w:pStyle w:val="IASBSectionTitle1NonInd"/>
        <w:spacing w:before="600"/>
      </w:pPr>
      <w:r>
        <w:t>Amendments to the Ill</w:t>
      </w:r>
      <w:r w:rsidR="008B1406">
        <w:t>ustrative examples accompanying AASB </w:t>
      </w:r>
      <w:r>
        <w:t xml:space="preserve">107 </w:t>
      </w:r>
      <w:r w:rsidRPr="008B1406">
        <w:rPr>
          <w:i/>
        </w:rPr>
        <w:t>Statement of Cash Flows</w:t>
      </w:r>
      <w:bookmarkEnd w:id="27"/>
    </w:p>
    <w:tbl>
      <w:tblPr>
        <w:tblW w:w="0" w:type="auto"/>
        <w:tblLayout w:type="fixed"/>
        <w:tblCellMar>
          <w:bottom w:w="85" w:type="dxa"/>
        </w:tblCellMar>
        <w:tblLook w:val="0000" w:firstRow="0" w:lastRow="0" w:firstColumn="0" w:lastColumn="0" w:noHBand="0" w:noVBand="0"/>
        <w:tblCaption w:val="Amendment instructions "/>
      </w:tblPr>
      <w:tblGrid>
        <w:gridCol w:w="9208"/>
      </w:tblGrid>
      <w:tr w:rsidR="00E9244D" w:rsidTr="004F5020">
        <w:trPr>
          <w:cantSplit/>
        </w:trPr>
        <w:tc>
          <w:tcPr>
            <w:tcW w:w="9208" w:type="dxa"/>
            <w:tcBorders>
              <w:top w:val="single" w:sz="4" w:space="0" w:color="auto"/>
              <w:left w:val="single" w:sz="4" w:space="0" w:color="auto"/>
              <w:right w:val="single" w:sz="4" w:space="0" w:color="auto"/>
            </w:tcBorders>
            <w:vAlign w:val="bottom"/>
          </w:tcPr>
          <w:p w:rsidR="00E9244D" w:rsidRDefault="00E9244D" w:rsidP="004F5020">
            <w:pPr>
              <w:pStyle w:val="IASBTableArial"/>
            </w:pPr>
            <w:r>
              <w:t>Note E is added to the existing Illustrative Example A.</w:t>
            </w:r>
          </w:p>
        </w:tc>
      </w:tr>
      <w:tr w:rsidR="00E9244D" w:rsidTr="004F5020">
        <w:trPr>
          <w:cantSplit/>
        </w:trPr>
        <w:tc>
          <w:tcPr>
            <w:tcW w:w="9208" w:type="dxa"/>
            <w:tcBorders>
              <w:top w:val="nil"/>
              <w:left w:val="single" w:sz="4" w:space="0" w:color="auto"/>
              <w:bottom w:val="single" w:sz="4" w:space="0" w:color="auto"/>
              <w:right w:val="single" w:sz="4" w:space="0" w:color="auto"/>
            </w:tcBorders>
          </w:tcPr>
          <w:p w:rsidR="00E9244D" w:rsidRDefault="00E9244D" w:rsidP="00E83B88">
            <w:pPr>
              <w:pStyle w:val="IASBTableArial"/>
            </w:pPr>
            <w:r>
              <w:t xml:space="preserve">As explained in paragraph 1 of the illustrative example, the example shows only current period amounts. Corresponding amounts for the preceding period are required to be presented in accordance with </w:t>
            </w:r>
            <w:r w:rsidR="00E83B88">
              <w:t>AASB</w:t>
            </w:r>
            <w:r w:rsidR="004076F5">
              <w:t> </w:t>
            </w:r>
            <w:r w:rsidR="00E83B88">
              <w:t>10</w:t>
            </w:r>
            <w:r>
              <w:t xml:space="preserve">1 </w:t>
            </w:r>
            <w:r>
              <w:rPr>
                <w:i/>
              </w:rPr>
              <w:t>Presentation of Financial Statements</w:t>
            </w:r>
            <w:r>
              <w:t xml:space="preserve">, except when an entity first applies paragraphs 44A–44E of </w:t>
            </w:r>
            <w:r w:rsidR="00E83B88">
              <w:t>AASB</w:t>
            </w:r>
            <w:r w:rsidR="004076F5">
              <w:t> </w:t>
            </w:r>
            <w:r w:rsidR="00E83B88">
              <w:t>10</w:t>
            </w:r>
            <w:r>
              <w:t xml:space="preserve">7 (see paragraph 60 of </w:t>
            </w:r>
            <w:r w:rsidR="00E83B88">
              <w:t>AASB</w:t>
            </w:r>
            <w:r w:rsidR="004076F5">
              <w:t> </w:t>
            </w:r>
            <w:r w:rsidR="00E83B88">
              <w:t>10</w:t>
            </w:r>
            <w:r>
              <w:t>7).</w:t>
            </w:r>
          </w:p>
        </w:tc>
      </w:tr>
    </w:tbl>
    <w:p w:rsidR="00E9244D" w:rsidRDefault="00E9244D" w:rsidP="002500C0">
      <w:pPr>
        <w:pStyle w:val="IASBSectionTitle1NonInd"/>
        <w:pBdr>
          <w:bottom w:val="none" w:sz="0" w:space="0" w:color="auto"/>
        </w:pBdr>
        <w:spacing w:before="240"/>
      </w:pPr>
      <w:bookmarkStart w:id="28" w:name="F46975235"/>
      <w:r>
        <w:t>Notes to the statement of cash flows (direct method and indirect method)</w:t>
      </w:r>
      <w:bookmarkEnd w:id="28"/>
    </w:p>
    <w:p w:rsidR="00E9244D" w:rsidRDefault="00E9244D" w:rsidP="00E9244D">
      <w:pPr>
        <w:pStyle w:val="IASBNormal"/>
      </w:pPr>
      <w:bookmarkStart w:id="29" w:name="F46975236"/>
      <w:r>
        <w:t>...</w:t>
      </w:r>
      <w:r>
        <w:rPr>
          <w:rFonts w:ascii="Cambria Math" w:hAnsi="Cambria Math" w:cs="Cambria Math"/>
        </w:rPr>
        <w:t> </w:t>
      </w:r>
      <w:bookmarkEnd w:id="29"/>
    </w:p>
    <w:p w:rsidR="00E9244D" w:rsidRDefault="00E9244D" w:rsidP="00E9244D">
      <w:pPr>
        <w:pStyle w:val="IASBSectionTitle2NonInd"/>
      </w:pPr>
      <w:bookmarkStart w:id="30" w:name="F46975238"/>
      <w:r>
        <w:t>E. Reconciliation of liabilities arising from financing activities</w:t>
      </w:r>
      <w:bookmarkEnd w:id="30"/>
    </w:p>
    <w:tbl>
      <w:tblPr>
        <w:tblW w:w="0" w:type="auto"/>
        <w:tblLayout w:type="fixed"/>
        <w:tblLook w:val="0000" w:firstRow="0" w:lastRow="0" w:firstColumn="0" w:lastColumn="0" w:noHBand="0" w:noVBand="0"/>
        <w:tblCaption w:val="Illustrative example"/>
      </w:tblPr>
      <w:tblGrid>
        <w:gridCol w:w="2656"/>
        <w:gridCol w:w="1092"/>
        <w:gridCol w:w="273"/>
        <w:gridCol w:w="1092"/>
        <w:gridCol w:w="273"/>
        <w:gridCol w:w="1092"/>
        <w:gridCol w:w="273"/>
        <w:gridCol w:w="1092"/>
        <w:gridCol w:w="273"/>
        <w:gridCol w:w="1092"/>
      </w:tblGrid>
      <w:tr w:rsidR="00E9244D" w:rsidTr="004F5020">
        <w:trPr>
          <w:cantSplit/>
        </w:trPr>
        <w:tc>
          <w:tcPr>
            <w:tcW w:w="2656" w:type="dxa"/>
            <w:vAlign w:val="bottom"/>
          </w:tcPr>
          <w:p w:rsidR="00E9244D" w:rsidRDefault="00E9244D" w:rsidP="004F5020">
            <w:pPr>
              <w:pStyle w:val="IASBTableArial"/>
            </w:pPr>
          </w:p>
        </w:tc>
        <w:tc>
          <w:tcPr>
            <w:tcW w:w="1092" w:type="dxa"/>
            <w:tcBorders>
              <w:left w:val="nil"/>
            </w:tcBorders>
          </w:tcPr>
          <w:p w:rsidR="00E9244D" w:rsidRDefault="00E9244D" w:rsidP="004F5020">
            <w:pPr>
              <w:pStyle w:val="IASBTableArial"/>
              <w:jc w:val="right"/>
            </w:pPr>
            <w:r>
              <w:rPr>
                <w:b/>
                <w:sz w:val="15"/>
              </w:rPr>
              <w:t>20X1</w:t>
            </w:r>
          </w:p>
        </w:tc>
        <w:tc>
          <w:tcPr>
            <w:tcW w:w="273" w:type="dxa"/>
            <w:tcBorders>
              <w:left w:val="nil"/>
            </w:tcBorders>
            <w:vAlign w:val="bottom"/>
          </w:tcPr>
          <w:p w:rsidR="00E9244D" w:rsidRDefault="00E9244D" w:rsidP="004F5020">
            <w:pPr>
              <w:pStyle w:val="IASBTableArial"/>
            </w:pPr>
          </w:p>
        </w:tc>
        <w:tc>
          <w:tcPr>
            <w:tcW w:w="1092" w:type="dxa"/>
            <w:tcBorders>
              <w:left w:val="nil"/>
            </w:tcBorders>
          </w:tcPr>
          <w:p w:rsidR="00E9244D" w:rsidRDefault="00E9244D" w:rsidP="004F5020">
            <w:pPr>
              <w:pStyle w:val="IASBTableArial"/>
              <w:jc w:val="right"/>
            </w:pPr>
            <w:r>
              <w:rPr>
                <w:b/>
                <w:sz w:val="15"/>
              </w:rPr>
              <w:t>Cash flows</w:t>
            </w:r>
          </w:p>
        </w:tc>
        <w:tc>
          <w:tcPr>
            <w:tcW w:w="273" w:type="dxa"/>
            <w:tcBorders>
              <w:left w:val="nil"/>
            </w:tcBorders>
            <w:vAlign w:val="bottom"/>
          </w:tcPr>
          <w:p w:rsidR="00E9244D" w:rsidRDefault="00E9244D" w:rsidP="004F5020">
            <w:pPr>
              <w:pStyle w:val="IASBTableArial"/>
            </w:pPr>
          </w:p>
        </w:tc>
        <w:tc>
          <w:tcPr>
            <w:tcW w:w="2457" w:type="dxa"/>
            <w:gridSpan w:val="3"/>
            <w:tcBorders>
              <w:left w:val="nil"/>
            </w:tcBorders>
          </w:tcPr>
          <w:p w:rsidR="00E9244D" w:rsidRDefault="00E9244D" w:rsidP="004F5020">
            <w:pPr>
              <w:pStyle w:val="IASBTableArial"/>
              <w:jc w:val="center"/>
            </w:pPr>
            <w:r>
              <w:rPr>
                <w:b/>
                <w:sz w:val="15"/>
              </w:rPr>
              <w:t>Non-cash changes</w:t>
            </w:r>
          </w:p>
        </w:tc>
        <w:tc>
          <w:tcPr>
            <w:tcW w:w="273" w:type="dxa"/>
            <w:tcBorders>
              <w:left w:val="nil"/>
            </w:tcBorders>
            <w:vAlign w:val="bottom"/>
          </w:tcPr>
          <w:p w:rsidR="00E9244D" w:rsidRDefault="00E9244D" w:rsidP="004F5020">
            <w:pPr>
              <w:pStyle w:val="IASBTableArial"/>
            </w:pPr>
          </w:p>
        </w:tc>
        <w:tc>
          <w:tcPr>
            <w:tcW w:w="1092" w:type="dxa"/>
            <w:tcBorders>
              <w:left w:val="nil"/>
            </w:tcBorders>
          </w:tcPr>
          <w:p w:rsidR="00E9244D" w:rsidRDefault="00E9244D" w:rsidP="004F5020">
            <w:pPr>
              <w:pStyle w:val="IASBTableArial"/>
              <w:jc w:val="right"/>
            </w:pPr>
            <w:r>
              <w:rPr>
                <w:b/>
                <w:sz w:val="15"/>
              </w:rPr>
              <w:t>20X2</w:t>
            </w:r>
          </w:p>
        </w:tc>
      </w:tr>
      <w:tr w:rsidR="00E9244D" w:rsidTr="004F5020">
        <w:trPr>
          <w:cantSplit/>
        </w:trPr>
        <w:tc>
          <w:tcPr>
            <w:tcW w:w="2656" w:type="dxa"/>
            <w:tcBorders>
              <w:top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r>
              <w:rPr>
                <w:b/>
                <w:sz w:val="15"/>
              </w:rPr>
              <w:t>Acquisition</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r>
              <w:rPr>
                <w:b/>
                <w:sz w:val="15"/>
              </w:rPr>
              <w:t>New leases</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p>
        </w:tc>
      </w:tr>
      <w:tr w:rsidR="00E9244D" w:rsidTr="004F5020">
        <w:trPr>
          <w:cantSplit/>
        </w:trPr>
        <w:tc>
          <w:tcPr>
            <w:tcW w:w="2656" w:type="dxa"/>
            <w:tcBorders>
              <w:top w:val="nil"/>
            </w:tcBorders>
            <w:vAlign w:val="bottom"/>
          </w:tcPr>
          <w:p w:rsidR="00E9244D" w:rsidRDefault="00E9244D" w:rsidP="004F5020">
            <w:pPr>
              <w:pStyle w:val="IASBTableArial"/>
            </w:pPr>
            <w:r>
              <w:rPr>
                <w:sz w:val="15"/>
              </w:rPr>
              <w:t>Long-term borrowings</w:t>
            </w:r>
          </w:p>
        </w:tc>
        <w:tc>
          <w:tcPr>
            <w:tcW w:w="1092" w:type="dxa"/>
            <w:tcBorders>
              <w:top w:val="nil"/>
              <w:left w:val="nil"/>
            </w:tcBorders>
            <w:vAlign w:val="bottom"/>
          </w:tcPr>
          <w:p w:rsidR="00E9244D" w:rsidRDefault="00E9244D" w:rsidP="004F5020">
            <w:pPr>
              <w:pStyle w:val="IASBTableArial"/>
              <w:jc w:val="right"/>
            </w:pPr>
            <w:r>
              <w:rPr>
                <w:sz w:val="15"/>
              </w:rPr>
              <w:t>1,040</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r>
              <w:rPr>
                <w:sz w:val="15"/>
              </w:rPr>
              <w:t>250</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r>
              <w:rPr>
                <w:sz w:val="15"/>
              </w:rPr>
              <w:t>200</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r>
              <w:t>–</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r>
              <w:rPr>
                <w:sz w:val="15"/>
              </w:rPr>
              <w:t>1,490</w:t>
            </w:r>
          </w:p>
        </w:tc>
      </w:tr>
      <w:tr w:rsidR="00E9244D" w:rsidTr="004F5020">
        <w:trPr>
          <w:cantSplit/>
        </w:trPr>
        <w:tc>
          <w:tcPr>
            <w:tcW w:w="2656" w:type="dxa"/>
            <w:tcBorders>
              <w:top w:val="nil"/>
            </w:tcBorders>
            <w:vAlign w:val="bottom"/>
          </w:tcPr>
          <w:p w:rsidR="00E9244D" w:rsidRDefault="00E9244D" w:rsidP="004F5020">
            <w:pPr>
              <w:pStyle w:val="IASBTableArial"/>
            </w:pPr>
            <w:r>
              <w:rPr>
                <w:sz w:val="15"/>
              </w:rPr>
              <w:t>Lease liabilities</w:t>
            </w:r>
          </w:p>
        </w:tc>
        <w:tc>
          <w:tcPr>
            <w:tcW w:w="1092" w:type="dxa"/>
            <w:tcBorders>
              <w:top w:val="nil"/>
              <w:left w:val="nil"/>
              <w:bottom w:val="single" w:sz="4" w:space="0" w:color="auto"/>
            </w:tcBorders>
            <w:vAlign w:val="bottom"/>
          </w:tcPr>
          <w:p w:rsidR="00E9244D" w:rsidRDefault="00E9244D" w:rsidP="004F5020">
            <w:pPr>
              <w:pStyle w:val="IASBTableArial"/>
              <w:jc w:val="right"/>
            </w:pPr>
            <w:r>
              <w:t>–</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bottom w:val="single" w:sz="4" w:space="0" w:color="auto"/>
            </w:tcBorders>
            <w:vAlign w:val="bottom"/>
          </w:tcPr>
          <w:p w:rsidR="00E9244D" w:rsidRDefault="00E9244D" w:rsidP="004F5020">
            <w:pPr>
              <w:pStyle w:val="IASBTableArial"/>
              <w:jc w:val="right"/>
            </w:pPr>
            <w:r>
              <w:rPr>
                <w:sz w:val="15"/>
              </w:rPr>
              <w:t>(90)</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bottom w:val="single" w:sz="4" w:space="0" w:color="auto"/>
            </w:tcBorders>
            <w:vAlign w:val="bottom"/>
          </w:tcPr>
          <w:p w:rsidR="00E9244D" w:rsidRDefault="00E9244D" w:rsidP="004F5020">
            <w:pPr>
              <w:pStyle w:val="IASBTableArial"/>
              <w:jc w:val="right"/>
            </w:pPr>
            <w:r>
              <w:t>–</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bottom w:val="single" w:sz="4" w:space="0" w:color="auto"/>
            </w:tcBorders>
            <w:vAlign w:val="bottom"/>
          </w:tcPr>
          <w:p w:rsidR="00E9244D" w:rsidRDefault="00E9244D" w:rsidP="004F5020">
            <w:pPr>
              <w:pStyle w:val="IASBTableArial"/>
              <w:jc w:val="right"/>
            </w:pPr>
            <w:r>
              <w:rPr>
                <w:sz w:val="15"/>
              </w:rPr>
              <w:t>900</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bottom w:val="single" w:sz="4" w:space="0" w:color="auto"/>
            </w:tcBorders>
            <w:vAlign w:val="bottom"/>
          </w:tcPr>
          <w:p w:rsidR="00E9244D" w:rsidRDefault="00E9244D" w:rsidP="004F5020">
            <w:pPr>
              <w:pStyle w:val="IASBTableArial"/>
              <w:jc w:val="right"/>
            </w:pPr>
            <w:r>
              <w:rPr>
                <w:sz w:val="15"/>
              </w:rPr>
              <w:t>810</w:t>
            </w:r>
          </w:p>
        </w:tc>
      </w:tr>
      <w:tr w:rsidR="00E9244D" w:rsidTr="004F5020">
        <w:trPr>
          <w:cantSplit/>
        </w:trPr>
        <w:tc>
          <w:tcPr>
            <w:tcW w:w="2656" w:type="dxa"/>
            <w:tcBorders>
              <w:top w:val="nil"/>
            </w:tcBorders>
            <w:vAlign w:val="bottom"/>
          </w:tcPr>
          <w:p w:rsidR="00E9244D" w:rsidRDefault="00E9244D" w:rsidP="004F5020">
            <w:pPr>
              <w:pStyle w:val="IASBTableArial"/>
            </w:pPr>
            <w:r>
              <w:rPr>
                <w:sz w:val="15"/>
              </w:rPr>
              <w:t>Long-term debt</w:t>
            </w:r>
          </w:p>
        </w:tc>
        <w:tc>
          <w:tcPr>
            <w:tcW w:w="1092" w:type="dxa"/>
            <w:tcBorders>
              <w:top w:val="nil"/>
              <w:left w:val="nil"/>
              <w:bottom w:val="double" w:sz="4" w:space="0" w:color="auto"/>
            </w:tcBorders>
            <w:vAlign w:val="bottom"/>
          </w:tcPr>
          <w:p w:rsidR="00E9244D" w:rsidRDefault="00E9244D" w:rsidP="004F5020">
            <w:pPr>
              <w:pStyle w:val="IASBTableArial"/>
              <w:jc w:val="right"/>
            </w:pPr>
            <w:r>
              <w:rPr>
                <w:sz w:val="15"/>
              </w:rPr>
              <w:t>1,040</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bottom w:val="double" w:sz="4" w:space="0" w:color="auto"/>
            </w:tcBorders>
            <w:vAlign w:val="bottom"/>
          </w:tcPr>
          <w:p w:rsidR="00E9244D" w:rsidRDefault="00E9244D" w:rsidP="004F5020">
            <w:pPr>
              <w:pStyle w:val="IASBTableArial"/>
              <w:jc w:val="right"/>
            </w:pPr>
            <w:r>
              <w:rPr>
                <w:sz w:val="15"/>
              </w:rPr>
              <w:t>160</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bottom w:val="double" w:sz="4" w:space="0" w:color="auto"/>
            </w:tcBorders>
            <w:vAlign w:val="bottom"/>
          </w:tcPr>
          <w:p w:rsidR="00E9244D" w:rsidRDefault="00E9244D" w:rsidP="004F5020">
            <w:pPr>
              <w:pStyle w:val="IASBTableArial"/>
              <w:jc w:val="right"/>
            </w:pPr>
            <w:r>
              <w:rPr>
                <w:sz w:val="15"/>
              </w:rPr>
              <w:t>200</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bottom w:val="double" w:sz="4" w:space="0" w:color="auto"/>
            </w:tcBorders>
            <w:vAlign w:val="bottom"/>
          </w:tcPr>
          <w:p w:rsidR="00E9244D" w:rsidRDefault="00E9244D" w:rsidP="004F5020">
            <w:pPr>
              <w:pStyle w:val="IASBTableArial"/>
              <w:jc w:val="right"/>
            </w:pPr>
            <w:r>
              <w:rPr>
                <w:sz w:val="15"/>
              </w:rPr>
              <w:t>900</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bottom w:val="double" w:sz="4" w:space="0" w:color="auto"/>
            </w:tcBorders>
            <w:vAlign w:val="bottom"/>
          </w:tcPr>
          <w:p w:rsidR="00E9244D" w:rsidRDefault="00E9244D" w:rsidP="004F5020">
            <w:pPr>
              <w:pStyle w:val="IASBTableArial"/>
              <w:jc w:val="right"/>
            </w:pPr>
            <w:r>
              <w:rPr>
                <w:sz w:val="15"/>
              </w:rPr>
              <w:t>2,300</w:t>
            </w:r>
          </w:p>
        </w:tc>
      </w:tr>
      <w:tr w:rsidR="00E9244D" w:rsidTr="004F5020">
        <w:trPr>
          <w:cantSplit/>
        </w:trPr>
        <w:tc>
          <w:tcPr>
            <w:tcW w:w="2656" w:type="dxa"/>
            <w:tcBorders>
              <w:top w:val="nil"/>
            </w:tcBorders>
            <w:vAlign w:val="bottom"/>
          </w:tcPr>
          <w:p w:rsidR="00E9244D" w:rsidRDefault="00E9244D" w:rsidP="004F5020">
            <w:pPr>
              <w:pStyle w:val="IASBTableArial"/>
            </w:pPr>
            <w:r>
              <w:t xml:space="preserve">  </w:t>
            </w:r>
          </w:p>
        </w:tc>
        <w:tc>
          <w:tcPr>
            <w:tcW w:w="1092" w:type="dxa"/>
            <w:tcBorders>
              <w:top w:val="nil"/>
              <w:left w:val="nil"/>
            </w:tcBorders>
            <w:vAlign w:val="bottom"/>
          </w:tcPr>
          <w:p w:rsidR="00E9244D" w:rsidRDefault="00E9244D" w:rsidP="004F5020">
            <w:pPr>
              <w:pStyle w:val="IASBTableArial"/>
              <w:jc w:val="right"/>
            </w:pPr>
            <w:r>
              <w:t xml:space="preserve">   </w:t>
            </w: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p>
        </w:tc>
        <w:tc>
          <w:tcPr>
            <w:tcW w:w="273" w:type="dxa"/>
            <w:tcBorders>
              <w:top w:val="nil"/>
              <w:left w:val="nil"/>
            </w:tcBorders>
            <w:vAlign w:val="bottom"/>
          </w:tcPr>
          <w:p w:rsidR="00E9244D" w:rsidRDefault="00E9244D" w:rsidP="004F5020">
            <w:pPr>
              <w:pStyle w:val="IASBTableArial"/>
            </w:pPr>
          </w:p>
        </w:tc>
        <w:tc>
          <w:tcPr>
            <w:tcW w:w="1092" w:type="dxa"/>
            <w:tcBorders>
              <w:top w:val="nil"/>
              <w:left w:val="nil"/>
            </w:tcBorders>
            <w:vAlign w:val="bottom"/>
          </w:tcPr>
          <w:p w:rsidR="00E9244D" w:rsidRDefault="00E9244D" w:rsidP="004F5020">
            <w:pPr>
              <w:pStyle w:val="IASBTableArial"/>
              <w:jc w:val="right"/>
            </w:pPr>
          </w:p>
        </w:tc>
      </w:tr>
    </w:tbl>
    <w:p w:rsidR="00E9244D" w:rsidRDefault="00E9244D" w:rsidP="00E9244D">
      <w:pPr>
        <w:pStyle w:val="IASBNormalnpara"/>
      </w:pPr>
    </w:p>
    <w:tbl>
      <w:tblPr>
        <w:tblW w:w="0" w:type="auto"/>
        <w:tblLayout w:type="fixed"/>
        <w:tblCellMar>
          <w:bottom w:w="85" w:type="dxa"/>
        </w:tblCellMar>
        <w:tblLook w:val="0000" w:firstRow="0" w:lastRow="0" w:firstColumn="0" w:lastColumn="0" w:noHBand="0" w:noVBand="0"/>
        <w:tblCaption w:val="Amendment instructions "/>
      </w:tblPr>
      <w:tblGrid>
        <w:gridCol w:w="9208"/>
      </w:tblGrid>
      <w:tr w:rsidR="00E9244D" w:rsidTr="004F5020">
        <w:trPr>
          <w:cantSplit/>
        </w:trPr>
        <w:tc>
          <w:tcPr>
            <w:tcW w:w="9208" w:type="dxa"/>
            <w:tcBorders>
              <w:top w:val="single" w:sz="4" w:space="0" w:color="auto"/>
              <w:left w:val="single" w:sz="4" w:space="0" w:color="auto"/>
              <w:bottom w:val="single" w:sz="4" w:space="0" w:color="auto"/>
              <w:right w:val="single" w:sz="4" w:space="0" w:color="auto"/>
            </w:tcBorders>
          </w:tcPr>
          <w:p w:rsidR="00E9244D" w:rsidRDefault="00E9244D" w:rsidP="002500C0">
            <w:pPr>
              <w:pStyle w:val="IASBTableArial"/>
              <w:keepNext/>
            </w:pPr>
            <w:r>
              <w:lastRenderedPageBreak/>
              <w:t>A new example (Example C) is inserted after the existing Illustrative Examples A and B.</w:t>
            </w:r>
          </w:p>
        </w:tc>
      </w:tr>
    </w:tbl>
    <w:p w:rsidR="00E9244D" w:rsidRDefault="00E9244D" w:rsidP="00E9244D">
      <w:pPr>
        <w:pStyle w:val="IASBSectionTitle2NonInd"/>
      </w:pPr>
      <w:bookmarkStart w:id="31" w:name="F46975253"/>
      <w:r>
        <w:t>C Reconciliation of liabilities arising from financing activities</w:t>
      </w:r>
      <w:bookmarkEnd w:id="31"/>
    </w:p>
    <w:p w:rsidR="00E9244D" w:rsidRDefault="00E9244D" w:rsidP="002500C0">
      <w:pPr>
        <w:pStyle w:val="IASBNormalL1"/>
        <w:keepNext/>
      </w:pPr>
      <w:r>
        <w:t>1</w:t>
      </w:r>
      <w:r>
        <w:tab/>
      </w:r>
      <w:bookmarkStart w:id="32" w:name="F46975259"/>
      <w:r>
        <w:t>This example illustrates one possible way of providing the disclosures required by paragraphs 44A–44E.</w:t>
      </w:r>
      <w:bookmarkEnd w:id="32"/>
    </w:p>
    <w:p w:rsidR="00E9244D" w:rsidRDefault="00E9244D" w:rsidP="002500C0">
      <w:pPr>
        <w:pStyle w:val="IASBNormalL1"/>
        <w:keepNext/>
      </w:pPr>
      <w:r>
        <w:t>2</w:t>
      </w:r>
      <w:r>
        <w:tab/>
      </w:r>
      <w:bookmarkStart w:id="33" w:name="F46975267"/>
      <w:r>
        <w:t xml:space="preserve">The example shows only current period amounts. Corresponding amounts for the preceding period are required to be presented in accordance with </w:t>
      </w:r>
      <w:r w:rsidR="00E83B88">
        <w:t>AASB</w:t>
      </w:r>
      <w:r w:rsidR="004076F5">
        <w:t> </w:t>
      </w:r>
      <w:r w:rsidR="00E83B88">
        <w:t>10</w:t>
      </w:r>
      <w:r>
        <w:t xml:space="preserve">1 </w:t>
      </w:r>
      <w:r>
        <w:rPr>
          <w:i/>
        </w:rPr>
        <w:t>Presentation of Financial Statements</w:t>
      </w:r>
      <w:r>
        <w:t>.</w:t>
      </w:r>
      <w:bookmarkEnd w:id="33"/>
    </w:p>
    <w:p w:rsidR="00E9244D" w:rsidRDefault="00E9244D" w:rsidP="002500C0">
      <w:pPr>
        <w:pStyle w:val="IASBNormalnpara"/>
        <w:keepNext/>
      </w:pPr>
    </w:p>
    <w:tbl>
      <w:tblPr>
        <w:tblW w:w="9308" w:type="dxa"/>
        <w:tblLayout w:type="fixed"/>
        <w:tblLook w:val="0000" w:firstRow="0" w:lastRow="0" w:firstColumn="0" w:lastColumn="0" w:noHBand="0" w:noVBand="0"/>
        <w:tblCaption w:val="Illustrative example"/>
      </w:tblPr>
      <w:tblGrid>
        <w:gridCol w:w="1951"/>
        <w:gridCol w:w="1069"/>
        <w:gridCol w:w="236"/>
        <w:gridCol w:w="967"/>
        <w:gridCol w:w="236"/>
        <w:gridCol w:w="1058"/>
        <w:gridCol w:w="236"/>
        <w:gridCol w:w="1058"/>
        <w:gridCol w:w="236"/>
        <w:gridCol w:w="1058"/>
        <w:gridCol w:w="236"/>
        <w:gridCol w:w="967"/>
      </w:tblGrid>
      <w:tr w:rsidR="00E9244D" w:rsidTr="002500C0">
        <w:trPr>
          <w:cantSplit/>
        </w:trPr>
        <w:tc>
          <w:tcPr>
            <w:tcW w:w="1951" w:type="dxa"/>
            <w:vAlign w:val="bottom"/>
          </w:tcPr>
          <w:p w:rsidR="00E9244D" w:rsidRDefault="00E9244D" w:rsidP="002500C0">
            <w:pPr>
              <w:pStyle w:val="IASBTableArial"/>
              <w:keepNext/>
              <w:keepLines/>
            </w:pPr>
          </w:p>
        </w:tc>
        <w:tc>
          <w:tcPr>
            <w:tcW w:w="1069" w:type="dxa"/>
            <w:tcBorders>
              <w:left w:val="nil"/>
            </w:tcBorders>
          </w:tcPr>
          <w:p w:rsidR="00E9244D" w:rsidRDefault="00E9244D" w:rsidP="002500C0">
            <w:pPr>
              <w:pStyle w:val="IASBTableArial"/>
              <w:keepNext/>
              <w:keepLines/>
              <w:jc w:val="right"/>
            </w:pPr>
            <w:r>
              <w:rPr>
                <w:b/>
                <w:sz w:val="15"/>
              </w:rPr>
              <w:t>20X1</w:t>
            </w:r>
          </w:p>
        </w:tc>
        <w:tc>
          <w:tcPr>
            <w:tcW w:w="236" w:type="dxa"/>
            <w:tcBorders>
              <w:left w:val="nil"/>
            </w:tcBorders>
            <w:vAlign w:val="bottom"/>
          </w:tcPr>
          <w:p w:rsidR="00E9244D" w:rsidRDefault="00E9244D" w:rsidP="002500C0">
            <w:pPr>
              <w:pStyle w:val="IASBTableArial"/>
              <w:keepNext/>
              <w:keepLines/>
            </w:pPr>
          </w:p>
        </w:tc>
        <w:tc>
          <w:tcPr>
            <w:tcW w:w="967" w:type="dxa"/>
            <w:tcBorders>
              <w:left w:val="nil"/>
            </w:tcBorders>
          </w:tcPr>
          <w:p w:rsidR="00E9244D" w:rsidRDefault="00E9244D" w:rsidP="002500C0">
            <w:pPr>
              <w:pStyle w:val="IASBTableArial"/>
              <w:keepNext/>
              <w:keepLines/>
              <w:jc w:val="right"/>
            </w:pPr>
            <w:r>
              <w:rPr>
                <w:b/>
                <w:sz w:val="15"/>
              </w:rPr>
              <w:t>Cash flows</w:t>
            </w:r>
          </w:p>
        </w:tc>
        <w:tc>
          <w:tcPr>
            <w:tcW w:w="236" w:type="dxa"/>
            <w:tcBorders>
              <w:left w:val="nil"/>
            </w:tcBorders>
            <w:vAlign w:val="bottom"/>
          </w:tcPr>
          <w:p w:rsidR="00E9244D" w:rsidRDefault="00E9244D" w:rsidP="002500C0">
            <w:pPr>
              <w:pStyle w:val="IASBTableArial"/>
              <w:keepNext/>
              <w:keepLines/>
            </w:pPr>
          </w:p>
        </w:tc>
        <w:tc>
          <w:tcPr>
            <w:tcW w:w="3646" w:type="dxa"/>
            <w:gridSpan w:val="5"/>
            <w:tcBorders>
              <w:left w:val="nil"/>
              <w:bottom w:val="single" w:sz="4" w:space="0" w:color="auto"/>
            </w:tcBorders>
          </w:tcPr>
          <w:p w:rsidR="00E9244D" w:rsidRDefault="00E9244D" w:rsidP="002500C0">
            <w:pPr>
              <w:pStyle w:val="IASBTableArial"/>
              <w:keepNext/>
              <w:keepLines/>
              <w:jc w:val="center"/>
            </w:pPr>
            <w:r>
              <w:rPr>
                <w:b/>
                <w:sz w:val="15"/>
              </w:rPr>
              <w:t>Non-cash changes</w:t>
            </w:r>
          </w:p>
        </w:tc>
        <w:tc>
          <w:tcPr>
            <w:tcW w:w="236" w:type="dxa"/>
            <w:tcBorders>
              <w:left w:val="nil"/>
            </w:tcBorders>
            <w:vAlign w:val="bottom"/>
          </w:tcPr>
          <w:p w:rsidR="00E9244D" w:rsidRDefault="00E9244D" w:rsidP="002500C0">
            <w:pPr>
              <w:pStyle w:val="IASBTableArial"/>
              <w:keepNext/>
              <w:keepLines/>
            </w:pPr>
          </w:p>
        </w:tc>
        <w:tc>
          <w:tcPr>
            <w:tcW w:w="967" w:type="dxa"/>
            <w:tcBorders>
              <w:left w:val="nil"/>
            </w:tcBorders>
          </w:tcPr>
          <w:p w:rsidR="00E9244D" w:rsidRDefault="00E9244D" w:rsidP="002500C0">
            <w:pPr>
              <w:pStyle w:val="IASBTableArial"/>
              <w:keepNext/>
              <w:keepLines/>
              <w:jc w:val="right"/>
            </w:pPr>
            <w:r>
              <w:rPr>
                <w:b/>
                <w:sz w:val="15"/>
              </w:rPr>
              <w:t>20X2</w:t>
            </w:r>
          </w:p>
        </w:tc>
      </w:tr>
      <w:tr w:rsidR="00E9244D" w:rsidTr="002500C0">
        <w:trPr>
          <w:cantSplit/>
        </w:trPr>
        <w:tc>
          <w:tcPr>
            <w:tcW w:w="1951" w:type="dxa"/>
            <w:tcBorders>
              <w:top w:val="nil"/>
            </w:tcBorders>
            <w:vAlign w:val="bottom"/>
          </w:tcPr>
          <w:p w:rsidR="00E9244D" w:rsidRDefault="00E9244D" w:rsidP="002500C0">
            <w:pPr>
              <w:pStyle w:val="IASBTableArial"/>
              <w:keepNext/>
              <w:keepLines/>
            </w:pPr>
          </w:p>
        </w:tc>
        <w:tc>
          <w:tcPr>
            <w:tcW w:w="1069" w:type="dxa"/>
            <w:tcBorders>
              <w:top w:val="nil"/>
              <w:left w:val="nil"/>
              <w:bottom w:val="single" w:sz="4" w:space="0" w:color="auto"/>
            </w:tcBorders>
            <w:vAlign w:val="bottom"/>
          </w:tcPr>
          <w:p w:rsidR="00E9244D" w:rsidRDefault="00E9244D" w:rsidP="002500C0">
            <w:pPr>
              <w:pStyle w:val="IASBTableArial"/>
              <w:keepNext/>
              <w:keepLines/>
              <w:jc w:val="right"/>
            </w:pPr>
          </w:p>
        </w:tc>
        <w:tc>
          <w:tcPr>
            <w:tcW w:w="236" w:type="dxa"/>
            <w:tcBorders>
              <w:top w:val="nil"/>
              <w:left w:val="nil"/>
              <w:bottom w:val="single" w:sz="4" w:space="0" w:color="auto"/>
            </w:tcBorders>
            <w:vAlign w:val="bottom"/>
          </w:tcPr>
          <w:p w:rsidR="00E9244D" w:rsidRDefault="00E9244D" w:rsidP="002500C0">
            <w:pPr>
              <w:pStyle w:val="IASBTableArial"/>
              <w:keepNext/>
              <w:keepLines/>
            </w:pPr>
          </w:p>
        </w:tc>
        <w:tc>
          <w:tcPr>
            <w:tcW w:w="967" w:type="dxa"/>
            <w:tcBorders>
              <w:top w:val="nil"/>
              <w:left w:val="nil"/>
              <w:bottom w:val="single" w:sz="4" w:space="0" w:color="auto"/>
            </w:tcBorders>
            <w:vAlign w:val="bottom"/>
          </w:tcPr>
          <w:p w:rsidR="00E9244D" w:rsidRDefault="00E9244D" w:rsidP="002500C0">
            <w:pPr>
              <w:pStyle w:val="IASBTableArial"/>
              <w:keepNext/>
              <w:keepLines/>
              <w:jc w:val="right"/>
            </w:pPr>
          </w:p>
        </w:tc>
        <w:tc>
          <w:tcPr>
            <w:tcW w:w="236" w:type="dxa"/>
            <w:tcBorders>
              <w:top w:val="nil"/>
              <w:left w:val="nil"/>
              <w:bottom w:val="single" w:sz="4" w:space="0" w:color="auto"/>
            </w:tcBorders>
            <w:vAlign w:val="bottom"/>
          </w:tcPr>
          <w:p w:rsidR="00E9244D" w:rsidRDefault="00E9244D" w:rsidP="002500C0">
            <w:pPr>
              <w:pStyle w:val="IASBTableArial"/>
              <w:keepNext/>
              <w:keepLines/>
            </w:pPr>
          </w:p>
        </w:tc>
        <w:tc>
          <w:tcPr>
            <w:tcW w:w="1058" w:type="dxa"/>
            <w:tcBorders>
              <w:top w:val="nil"/>
              <w:left w:val="nil"/>
              <w:bottom w:val="single" w:sz="4" w:space="0" w:color="auto"/>
            </w:tcBorders>
          </w:tcPr>
          <w:p w:rsidR="00E9244D" w:rsidRDefault="00E9244D" w:rsidP="002500C0">
            <w:pPr>
              <w:pStyle w:val="IASBTableArial"/>
              <w:keepNext/>
              <w:keepLines/>
              <w:jc w:val="center"/>
            </w:pPr>
            <w:r>
              <w:rPr>
                <w:b/>
                <w:sz w:val="15"/>
              </w:rPr>
              <w:t>Acquisition</w:t>
            </w:r>
          </w:p>
        </w:tc>
        <w:tc>
          <w:tcPr>
            <w:tcW w:w="236" w:type="dxa"/>
            <w:tcBorders>
              <w:top w:val="nil"/>
              <w:left w:val="nil"/>
              <w:bottom w:val="single" w:sz="4" w:space="0" w:color="auto"/>
            </w:tcBorders>
            <w:vAlign w:val="bottom"/>
          </w:tcPr>
          <w:p w:rsidR="00E9244D" w:rsidRDefault="00E9244D" w:rsidP="002500C0">
            <w:pPr>
              <w:pStyle w:val="IASBTableArial"/>
              <w:keepNext/>
              <w:keepLines/>
            </w:pPr>
          </w:p>
        </w:tc>
        <w:tc>
          <w:tcPr>
            <w:tcW w:w="1058" w:type="dxa"/>
            <w:tcBorders>
              <w:top w:val="nil"/>
              <w:left w:val="nil"/>
              <w:bottom w:val="single" w:sz="4" w:space="0" w:color="auto"/>
            </w:tcBorders>
          </w:tcPr>
          <w:p w:rsidR="00E9244D" w:rsidRDefault="00E9244D" w:rsidP="002500C0">
            <w:pPr>
              <w:pStyle w:val="IASBTableArial"/>
              <w:keepNext/>
              <w:keepLines/>
              <w:jc w:val="center"/>
            </w:pPr>
            <w:r>
              <w:rPr>
                <w:b/>
                <w:sz w:val="15"/>
              </w:rPr>
              <w:t>Foreign exchange movement</w:t>
            </w:r>
          </w:p>
        </w:tc>
        <w:tc>
          <w:tcPr>
            <w:tcW w:w="236" w:type="dxa"/>
            <w:tcBorders>
              <w:top w:val="nil"/>
              <w:left w:val="nil"/>
              <w:bottom w:val="single" w:sz="4" w:space="0" w:color="auto"/>
            </w:tcBorders>
            <w:vAlign w:val="bottom"/>
          </w:tcPr>
          <w:p w:rsidR="00E9244D" w:rsidRDefault="00E9244D" w:rsidP="002500C0">
            <w:pPr>
              <w:pStyle w:val="IASBTableArial"/>
              <w:keepNext/>
              <w:keepLines/>
            </w:pPr>
          </w:p>
        </w:tc>
        <w:tc>
          <w:tcPr>
            <w:tcW w:w="1058" w:type="dxa"/>
            <w:tcBorders>
              <w:top w:val="nil"/>
              <w:left w:val="nil"/>
              <w:bottom w:val="single" w:sz="4" w:space="0" w:color="auto"/>
            </w:tcBorders>
          </w:tcPr>
          <w:p w:rsidR="00E9244D" w:rsidRDefault="00E9244D" w:rsidP="002500C0">
            <w:pPr>
              <w:pStyle w:val="IASBTableArial"/>
              <w:keepNext/>
              <w:keepLines/>
              <w:jc w:val="center"/>
            </w:pPr>
            <w:r>
              <w:rPr>
                <w:b/>
                <w:sz w:val="15"/>
              </w:rPr>
              <w:t>Fair value changes</w:t>
            </w:r>
          </w:p>
        </w:tc>
        <w:tc>
          <w:tcPr>
            <w:tcW w:w="236" w:type="dxa"/>
            <w:tcBorders>
              <w:top w:val="nil"/>
              <w:left w:val="nil"/>
              <w:bottom w:val="single" w:sz="4" w:space="0" w:color="auto"/>
            </w:tcBorders>
            <w:vAlign w:val="bottom"/>
          </w:tcPr>
          <w:p w:rsidR="00E9244D" w:rsidRDefault="00E9244D" w:rsidP="002500C0">
            <w:pPr>
              <w:pStyle w:val="IASBTableArial"/>
              <w:keepNext/>
              <w:keepLines/>
            </w:pPr>
          </w:p>
        </w:tc>
        <w:tc>
          <w:tcPr>
            <w:tcW w:w="967" w:type="dxa"/>
            <w:tcBorders>
              <w:top w:val="nil"/>
              <w:left w:val="nil"/>
              <w:bottom w:val="single" w:sz="4" w:space="0" w:color="auto"/>
            </w:tcBorders>
            <w:vAlign w:val="bottom"/>
          </w:tcPr>
          <w:p w:rsidR="00E9244D" w:rsidRDefault="00E9244D" w:rsidP="002500C0">
            <w:pPr>
              <w:pStyle w:val="IASBTableArial"/>
              <w:keepNext/>
              <w:keepLines/>
            </w:pPr>
          </w:p>
        </w:tc>
      </w:tr>
      <w:tr w:rsidR="00E9244D" w:rsidTr="002500C0">
        <w:trPr>
          <w:cantSplit/>
        </w:trPr>
        <w:tc>
          <w:tcPr>
            <w:tcW w:w="1951" w:type="dxa"/>
            <w:tcBorders>
              <w:top w:val="nil"/>
            </w:tcBorders>
            <w:vAlign w:val="bottom"/>
          </w:tcPr>
          <w:p w:rsidR="00E9244D" w:rsidRDefault="00E9244D" w:rsidP="002500C0">
            <w:pPr>
              <w:pStyle w:val="IASBTableArial"/>
              <w:keepLines/>
            </w:pPr>
            <w:r>
              <w:rPr>
                <w:sz w:val="15"/>
              </w:rPr>
              <w:t>Long-term borrowings</w:t>
            </w:r>
          </w:p>
        </w:tc>
        <w:tc>
          <w:tcPr>
            <w:tcW w:w="1069" w:type="dxa"/>
            <w:tcBorders>
              <w:top w:val="nil"/>
              <w:left w:val="nil"/>
            </w:tcBorders>
            <w:vAlign w:val="bottom"/>
          </w:tcPr>
          <w:p w:rsidR="00E9244D" w:rsidRDefault="00E9244D" w:rsidP="002500C0">
            <w:pPr>
              <w:pStyle w:val="IASBTableArial"/>
              <w:keepLines/>
              <w:jc w:val="right"/>
            </w:pPr>
            <w:r>
              <w:rPr>
                <w:sz w:val="15"/>
              </w:rPr>
              <w:t>22,000</w:t>
            </w:r>
          </w:p>
        </w:tc>
        <w:tc>
          <w:tcPr>
            <w:tcW w:w="236" w:type="dxa"/>
            <w:tcBorders>
              <w:top w:val="nil"/>
              <w:left w:val="nil"/>
            </w:tcBorders>
            <w:vAlign w:val="bottom"/>
          </w:tcPr>
          <w:p w:rsidR="00E9244D" w:rsidRDefault="00E9244D" w:rsidP="002500C0">
            <w:pPr>
              <w:pStyle w:val="IASBTableArial"/>
              <w:keepLines/>
            </w:pPr>
          </w:p>
        </w:tc>
        <w:tc>
          <w:tcPr>
            <w:tcW w:w="967" w:type="dxa"/>
            <w:tcBorders>
              <w:top w:val="nil"/>
              <w:left w:val="nil"/>
            </w:tcBorders>
            <w:vAlign w:val="bottom"/>
          </w:tcPr>
          <w:p w:rsidR="00E9244D" w:rsidRDefault="00E9244D" w:rsidP="002500C0">
            <w:pPr>
              <w:pStyle w:val="IASBTableArial"/>
              <w:keepLines/>
              <w:jc w:val="right"/>
            </w:pPr>
            <w:r>
              <w:rPr>
                <w:sz w:val="15"/>
              </w:rPr>
              <w:t>(1,000)</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tcBorders>
            <w:vAlign w:val="bottom"/>
          </w:tcPr>
          <w:p w:rsidR="00E9244D" w:rsidRDefault="00E9244D" w:rsidP="002500C0">
            <w:pPr>
              <w:pStyle w:val="IASBTableArial"/>
              <w:keepLines/>
              <w:jc w:val="right"/>
            </w:pPr>
            <w:r>
              <w:t>–</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tcBorders>
            <w:vAlign w:val="bottom"/>
          </w:tcPr>
          <w:p w:rsidR="00E9244D" w:rsidRDefault="00E9244D" w:rsidP="002500C0">
            <w:pPr>
              <w:pStyle w:val="IASBTableArial"/>
              <w:keepLines/>
              <w:jc w:val="right"/>
            </w:pPr>
            <w:r>
              <w:t>–</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tcBorders>
            <w:vAlign w:val="bottom"/>
          </w:tcPr>
          <w:p w:rsidR="00E9244D" w:rsidRDefault="00E9244D" w:rsidP="002500C0">
            <w:pPr>
              <w:pStyle w:val="IASBTableArial"/>
              <w:keepLines/>
              <w:jc w:val="right"/>
            </w:pPr>
            <w:r>
              <w:t>–</w:t>
            </w:r>
          </w:p>
        </w:tc>
        <w:tc>
          <w:tcPr>
            <w:tcW w:w="236" w:type="dxa"/>
            <w:tcBorders>
              <w:top w:val="nil"/>
              <w:left w:val="nil"/>
            </w:tcBorders>
            <w:vAlign w:val="bottom"/>
          </w:tcPr>
          <w:p w:rsidR="00E9244D" w:rsidRDefault="00E9244D" w:rsidP="002500C0">
            <w:pPr>
              <w:pStyle w:val="IASBTableArial"/>
              <w:keepLines/>
            </w:pPr>
          </w:p>
        </w:tc>
        <w:tc>
          <w:tcPr>
            <w:tcW w:w="967" w:type="dxa"/>
            <w:tcBorders>
              <w:top w:val="nil"/>
              <w:left w:val="nil"/>
            </w:tcBorders>
            <w:vAlign w:val="bottom"/>
          </w:tcPr>
          <w:p w:rsidR="00E9244D" w:rsidRDefault="00E9244D" w:rsidP="002500C0">
            <w:pPr>
              <w:pStyle w:val="IASBTableArial"/>
              <w:keepLines/>
              <w:jc w:val="right"/>
            </w:pPr>
            <w:r>
              <w:rPr>
                <w:sz w:val="15"/>
              </w:rPr>
              <w:t>21,000</w:t>
            </w:r>
          </w:p>
        </w:tc>
      </w:tr>
      <w:tr w:rsidR="00E9244D" w:rsidTr="002500C0">
        <w:trPr>
          <w:cantSplit/>
        </w:trPr>
        <w:tc>
          <w:tcPr>
            <w:tcW w:w="1951" w:type="dxa"/>
            <w:tcBorders>
              <w:top w:val="nil"/>
            </w:tcBorders>
            <w:vAlign w:val="bottom"/>
          </w:tcPr>
          <w:p w:rsidR="00E9244D" w:rsidRDefault="00E9244D" w:rsidP="002500C0">
            <w:pPr>
              <w:pStyle w:val="IASBTableArial"/>
              <w:keepLines/>
            </w:pPr>
            <w:r>
              <w:rPr>
                <w:sz w:val="15"/>
              </w:rPr>
              <w:t>Short-term borrowings</w:t>
            </w:r>
          </w:p>
        </w:tc>
        <w:tc>
          <w:tcPr>
            <w:tcW w:w="1069" w:type="dxa"/>
            <w:tcBorders>
              <w:top w:val="nil"/>
              <w:left w:val="nil"/>
            </w:tcBorders>
            <w:vAlign w:val="bottom"/>
          </w:tcPr>
          <w:p w:rsidR="00E9244D" w:rsidRDefault="00E9244D" w:rsidP="002500C0">
            <w:pPr>
              <w:pStyle w:val="IASBTableArial"/>
              <w:keepLines/>
              <w:jc w:val="right"/>
            </w:pPr>
            <w:r>
              <w:rPr>
                <w:sz w:val="15"/>
              </w:rPr>
              <w:t>10,000</w:t>
            </w:r>
          </w:p>
        </w:tc>
        <w:tc>
          <w:tcPr>
            <w:tcW w:w="236" w:type="dxa"/>
            <w:tcBorders>
              <w:top w:val="nil"/>
              <w:left w:val="nil"/>
            </w:tcBorders>
            <w:vAlign w:val="bottom"/>
          </w:tcPr>
          <w:p w:rsidR="00E9244D" w:rsidRDefault="00E9244D" w:rsidP="002500C0">
            <w:pPr>
              <w:pStyle w:val="IASBTableArial"/>
              <w:keepLines/>
            </w:pPr>
          </w:p>
        </w:tc>
        <w:tc>
          <w:tcPr>
            <w:tcW w:w="967" w:type="dxa"/>
            <w:tcBorders>
              <w:top w:val="nil"/>
              <w:left w:val="nil"/>
            </w:tcBorders>
            <w:vAlign w:val="bottom"/>
          </w:tcPr>
          <w:p w:rsidR="00E9244D" w:rsidRDefault="00E9244D" w:rsidP="002500C0">
            <w:pPr>
              <w:pStyle w:val="IASBTableArial"/>
              <w:keepLines/>
              <w:jc w:val="right"/>
            </w:pPr>
            <w:r>
              <w:rPr>
                <w:sz w:val="15"/>
              </w:rPr>
              <w:t>(500)</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tcBorders>
            <w:vAlign w:val="bottom"/>
          </w:tcPr>
          <w:p w:rsidR="00E9244D" w:rsidRDefault="00E9244D" w:rsidP="002500C0">
            <w:pPr>
              <w:pStyle w:val="IASBTableArial"/>
              <w:keepLines/>
              <w:jc w:val="right"/>
            </w:pPr>
            <w:r>
              <w:t>–</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tcBorders>
            <w:vAlign w:val="bottom"/>
          </w:tcPr>
          <w:p w:rsidR="00E9244D" w:rsidRDefault="00E9244D" w:rsidP="002500C0">
            <w:pPr>
              <w:pStyle w:val="IASBTableArial"/>
              <w:keepLines/>
              <w:jc w:val="right"/>
            </w:pPr>
            <w:r>
              <w:rPr>
                <w:sz w:val="15"/>
              </w:rPr>
              <w:t>200</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tcBorders>
            <w:vAlign w:val="bottom"/>
          </w:tcPr>
          <w:p w:rsidR="00E9244D" w:rsidRDefault="00E9244D" w:rsidP="002500C0">
            <w:pPr>
              <w:pStyle w:val="IASBTableArial"/>
              <w:keepLines/>
              <w:jc w:val="right"/>
            </w:pPr>
            <w:r>
              <w:t>–</w:t>
            </w:r>
          </w:p>
        </w:tc>
        <w:tc>
          <w:tcPr>
            <w:tcW w:w="236" w:type="dxa"/>
            <w:tcBorders>
              <w:top w:val="nil"/>
              <w:left w:val="nil"/>
            </w:tcBorders>
            <w:vAlign w:val="bottom"/>
          </w:tcPr>
          <w:p w:rsidR="00E9244D" w:rsidRDefault="00E9244D" w:rsidP="002500C0">
            <w:pPr>
              <w:pStyle w:val="IASBTableArial"/>
              <w:keepLines/>
            </w:pPr>
          </w:p>
        </w:tc>
        <w:tc>
          <w:tcPr>
            <w:tcW w:w="967" w:type="dxa"/>
            <w:tcBorders>
              <w:top w:val="nil"/>
              <w:left w:val="nil"/>
            </w:tcBorders>
            <w:vAlign w:val="bottom"/>
          </w:tcPr>
          <w:p w:rsidR="00E9244D" w:rsidRDefault="00E9244D" w:rsidP="002500C0">
            <w:pPr>
              <w:pStyle w:val="IASBTableArial"/>
              <w:keepLines/>
              <w:jc w:val="right"/>
            </w:pPr>
            <w:r>
              <w:rPr>
                <w:sz w:val="15"/>
              </w:rPr>
              <w:t>9,700</w:t>
            </w:r>
          </w:p>
        </w:tc>
      </w:tr>
      <w:tr w:rsidR="00E9244D" w:rsidTr="002500C0">
        <w:trPr>
          <w:cantSplit/>
        </w:trPr>
        <w:tc>
          <w:tcPr>
            <w:tcW w:w="1951" w:type="dxa"/>
            <w:tcBorders>
              <w:top w:val="nil"/>
            </w:tcBorders>
            <w:vAlign w:val="bottom"/>
          </w:tcPr>
          <w:p w:rsidR="00E9244D" w:rsidRDefault="00E9244D" w:rsidP="002500C0">
            <w:pPr>
              <w:pStyle w:val="IASBTableArial"/>
              <w:keepLines/>
            </w:pPr>
            <w:r>
              <w:rPr>
                <w:sz w:val="15"/>
              </w:rPr>
              <w:t>Lease liabilities</w:t>
            </w:r>
          </w:p>
        </w:tc>
        <w:tc>
          <w:tcPr>
            <w:tcW w:w="1069" w:type="dxa"/>
            <w:tcBorders>
              <w:top w:val="nil"/>
              <w:left w:val="nil"/>
            </w:tcBorders>
            <w:vAlign w:val="bottom"/>
          </w:tcPr>
          <w:p w:rsidR="00E9244D" w:rsidRDefault="00E9244D" w:rsidP="002500C0">
            <w:pPr>
              <w:pStyle w:val="IASBTableArial"/>
              <w:keepLines/>
              <w:jc w:val="right"/>
            </w:pPr>
            <w:r>
              <w:rPr>
                <w:sz w:val="15"/>
              </w:rPr>
              <w:t>4,000</w:t>
            </w:r>
          </w:p>
        </w:tc>
        <w:tc>
          <w:tcPr>
            <w:tcW w:w="236" w:type="dxa"/>
            <w:tcBorders>
              <w:top w:val="nil"/>
              <w:left w:val="nil"/>
            </w:tcBorders>
            <w:vAlign w:val="bottom"/>
          </w:tcPr>
          <w:p w:rsidR="00E9244D" w:rsidRDefault="00E9244D" w:rsidP="002500C0">
            <w:pPr>
              <w:pStyle w:val="IASBTableArial"/>
              <w:keepLines/>
            </w:pPr>
          </w:p>
        </w:tc>
        <w:tc>
          <w:tcPr>
            <w:tcW w:w="967" w:type="dxa"/>
            <w:tcBorders>
              <w:top w:val="nil"/>
              <w:left w:val="nil"/>
            </w:tcBorders>
            <w:vAlign w:val="bottom"/>
          </w:tcPr>
          <w:p w:rsidR="00E9244D" w:rsidRDefault="00E9244D" w:rsidP="002500C0">
            <w:pPr>
              <w:pStyle w:val="IASBTableArial"/>
              <w:keepLines/>
              <w:jc w:val="right"/>
            </w:pPr>
            <w:r>
              <w:rPr>
                <w:sz w:val="15"/>
              </w:rPr>
              <w:t>(800)</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tcBorders>
            <w:vAlign w:val="bottom"/>
          </w:tcPr>
          <w:p w:rsidR="00E9244D" w:rsidRDefault="00E9244D" w:rsidP="002500C0">
            <w:pPr>
              <w:pStyle w:val="IASBTableArial"/>
              <w:keepLines/>
              <w:jc w:val="right"/>
            </w:pPr>
            <w:r>
              <w:rPr>
                <w:sz w:val="15"/>
              </w:rPr>
              <w:t>300</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tcBorders>
            <w:vAlign w:val="bottom"/>
          </w:tcPr>
          <w:p w:rsidR="00E9244D" w:rsidRDefault="00E9244D" w:rsidP="002500C0">
            <w:pPr>
              <w:pStyle w:val="IASBTableArial"/>
              <w:keepLines/>
              <w:jc w:val="right"/>
            </w:pPr>
            <w:r>
              <w:t>–</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tcBorders>
            <w:vAlign w:val="bottom"/>
          </w:tcPr>
          <w:p w:rsidR="00E9244D" w:rsidRDefault="00E9244D" w:rsidP="002500C0">
            <w:pPr>
              <w:pStyle w:val="IASBTableArial"/>
              <w:keepLines/>
              <w:jc w:val="right"/>
            </w:pPr>
            <w:r>
              <w:t>–</w:t>
            </w:r>
          </w:p>
        </w:tc>
        <w:tc>
          <w:tcPr>
            <w:tcW w:w="236" w:type="dxa"/>
            <w:tcBorders>
              <w:top w:val="nil"/>
              <w:left w:val="nil"/>
            </w:tcBorders>
            <w:vAlign w:val="bottom"/>
          </w:tcPr>
          <w:p w:rsidR="00E9244D" w:rsidRDefault="00E9244D" w:rsidP="002500C0">
            <w:pPr>
              <w:pStyle w:val="IASBTableArial"/>
              <w:keepLines/>
            </w:pPr>
          </w:p>
        </w:tc>
        <w:tc>
          <w:tcPr>
            <w:tcW w:w="967" w:type="dxa"/>
            <w:tcBorders>
              <w:top w:val="nil"/>
              <w:left w:val="nil"/>
            </w:tcBorders>
            <w:vAlign w:val="bottom"/>
          </w:tcPr>
          <w:p w:rsidR="00E9244D" w:rsidRDefault="00E9244D" w:rsidP="002500C0">
            <w:pPr>
              <w:pStyle w:val="IASBTableArial"/>
              <w:keepLines/>
              <w:jc w:val="right"/>
            </w:pPr>
            <w:r>
              <w:rPr>
                <w:sz w:val="15"/>
              </w:rPr>
              <w:t>3,500</w:t>
            </w:r>
          </w:p>
        </w:tc>
      </w:tr>
      <w:tr w:rsidR="00E9244D" w:rsidTr="002500C0">
        <w:trPr>
          <w:cantSplit/>
        </w:trPr>
        <w:tc>
          <w:tcPr>
            <w:tcW w:w="1951" w:type="dxa"/>
            <w:tcBorders>
              <w:top w:val="nil"/>
            </w:tcBorders>
            <w:vAlign w:val="bottom"/>
          </w:tcPr>
          <w:p w:rsidR="00E9244D" w:rsidRDefault="00E9244D" w:rsidP="002500C0">
            <w:pPr>
              <w:pStyle w:val="IASBTableArial"/>
              <w:keepLines/>
            </w:pPr>
            <w:r>
              <w:rPr>
                <w:sz w:val="15"/>
              </w:rPr>
              <w:t>Assets held to hedge long-term borrowings</w:t>
            </w:r>
          </w:p>
        </w:tc>
        <w:tc>
          <w:tcPr>
            <w:tcW w:w="1069" w:type="dxa"/>
            <w:tcBorders>
              <w:top w:val="nil"/>
              <w:left w:val="nil"/>
              <w:bottom w:val="single" w:sz="4" w:space="0" w:color="auto"/>
            </w:tcBorders>
            <w:vAlign w:val="bottom"/>
          </w:tcPr>
          <w:p w:rsidR="00E9244D" w:rsidRDefault="00E9244D" w:rsidP="002500C0">
            <w:pPr>
              <w:pStyle w:val="IASBTableArial"/>
              <w:keepLines/>
              <w:jc w:val="right"/>
            </w:pPr>
            <w:r>
              <w:rPr>
                <w:sz w:val="15"/>
              </w:rPr>
              <w:t>(675)</w:t>
            </w:r>
          </w:p>
        </w:tc>
        <w:tc>
          <w:tcPr>
            <w:tcW w:w="236" w:type="dxa"/>
            <w:tcBorders>
              <w:top w:val="nil"/>
              <w:left w:val="nil"/>
            </w:tcBorders>
            <w:vAlign w:val="bottom"/>
          </w:tcPr>
          <w:p w:rsidR="00E9244D" w:rsidRDefault="00E9244D" w:rsidP="002500C0">
            <w:pPr>
              <w:pStyle w:val="IASBTableArial"/>
              <w:keepLines/>
            </w:pPr>
          </w:p>
        </w:tc>
        <w:tc>
          <w:tcPr>
            <w:tcW w:w="967" w:type="dxa"/>
            <w:tcBorders>
              <w:top w:val="nil"/>
              <w:left w:val="nil"/>
              <w:bottom w:val="single" w:sz="4" w:space="0" w:color="auto"/>
            </w:tcBorders>
            <w:vAlign w:val="bottom"/>
          </w:tcPr>
          <w:p w:rsidR="00E9244D" w:rsidRDefault="00E9244D" w:rsidP="002500C0">
            <w:pPr>
              <w:pStyle w:val="IASBTableArial"/>
              <w:keepLines/>
              <w:jc w:val="right"/>
            </w:pPr>
            <w:r>
              <w:rPr>
                <w:sz w:val="15"/>
              </w:rPr>
              <w:t>150</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bottom w:val="single" w:sz="4" w:space="0" w:color="auto"/>
            </w:tcBorders>
            <w:vAlign w:val="bottom"/>
          </w:tcPr>
          <w:p w:rsidR="00E9244D" w:rsidRDefault="00E9244D" w:rsidP="002500C0">
            <w:pPr>
              <w:pStyle w:val="IASBTableArial"/>
              <w:keepLines/>
              <w:jc w:val="right"/>
            </w:pPr>
            <w:r>
              <w:t>–</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bottom w:val="single" w:sz="4" w:space="0" w:color="auto"/>
            </w:tcBorders>
            <w:vAlign w:val="bottom"/>
          </w:tcPr>
          <w:p w:rsidR="00E9244D" w:rsidRDefault="00E9244D" w:rsidP="002500C0">
            <w:pPr>
              <w:pStyle w:val="IASBTableArial"/>
              <w:keepLines/>
              <w:jc w:val="right"/>
            </w:pPr>
            <w:r>
              <w:t>–</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bottom w:val="single" w:sz="4" w:space="0" w:color="auto"/>
            </w:tcBorders>
            <w:vAlign w:val="bottom"/>
          </w:tcPr>
          <w:p w:rsidR="00E9244D" w:rsidRDefault="00E9244D" w:rsidP="002500C0">
            <w:pPr>
              <w:pStyle w:val="IASBTableArial"/>
              <w:keepLines/>
              <w:jc w:val="right"/>
            </w:pPr>
            <w:r>
              <w:rPr>
                <w:sz w:val="15"/>
              </w:rPr>
              <w:t>(25)</w:t>
            </w:r>
          </w:p>
        </w:tc>
        <w:tc>
          <w:tcPr>
            <w:tcW w:w="236" w:type="dxa"/>
            <w:tcBorders>
              <w:top w:val="nil"/>
              <w:left w:val="nil"/>
            </w:tcBorders>
            <w:vAlign w:val="bottom"/>
          </w:tcPr>
          <w:p w:rsidR="00E9244D" w:rsidRDefault="00E9244D" w:rsidP="002500C0">
            <w:pPr>
              <w:pStyle w:val="IASBTableArial"/>
              <w:keepLines/>
            </w:pPr>
          </w:p>
        </w:tc>
        <w:tc>
          <w:tcPr>
            <w:tcW w:w="967" w:type="dxa"/>
            <w:tcBorders>
              <w:top w:val="nil"/>
              <w:left w:val="nil"/>
              <w:bottom w:val="single" w:sz="4" w:space="0" w:color="auto"/>
            </w:tcBorders>
            <w:vAlign w:val="bottom"/>
          </w:tcPr>
          <w:p w:rsidR="00E9244D" w:rsidRDefault="00E9244D" w:rsidP="002500C0">
            <w:pPr>
              <w:pStyle w:val="IASBTableArial"/>
              <w:keepLines/>
              <w:jc w:val="right"/>
            </w:pPr>
            <w:r>
              <w:rPr>
                <w:sz w:val="15"/>
              </w:rPr>
              <w:t>(550)</w:t>
            </w:r>
          </w:p>
        </w:tc>
      </w:tr>
      <w:tr w:rsidR="00E9244D" w:rsidTr="002500C0">
        <w:trPr>
          <w:cantSplit/>
        </w:trPr>
        <w:tc>
          <w:tcPr>
            <w:tcW w:w="1951" w:type="dxa"/>
            <w:tcBorders>
              <w:top w:val="nil"/>
            </w:tcBorders>
            <w:vAlign w:val="bottom"/>
          </w:tcPr>
          <w:p w:rsidR="00E9244D" w:rsidRDefault="00E9244D" w:rsidP="002500C0">
            <w:pPr>
              <w:pStyle w:val="IASBTableArial"/>
              <w:keepLines/>
            </w:pPr>
            <w:r>
              <w:rPr>
                <w:sz w:val="15"/>
              </w:rPr>
              <w:t>Total liabilities from financing activities</w:t>
            </w:r>
          </w:p>
        </w:tc>
        <w:tc>
          <w:tcPr>
            <w:tcW w:w="1069" w:type="dxa"/>
            <w:tcBorders>
              <w:top w:val="nil"/>
              <w:left w:val="nil"/>
              <w:bottom w:val="double" w:sz="4" w:space="0" w:color="auto"/>
            </w:tcBorders>
            <w:vAlign w:val="bottom"/>
          </w:tcPr>
          <w:p w:rsidR="00E9244D" w:rsidRDefault="00E9244D" w:rsidP="002500C0">
            <w:pPr>
              <w:pStyle w:val="IASBTableArial"/>
              <w:keepLines/>
              <w:jc w:val="right"/>
            </w:pPr>
            <w:r>
              <w:rPr>
                <w:sz w:val="15"/>
              </w:rPr>
              <w:t>35,325</w:t>
            </w:r>
          </w:p>
        </w:tc>
        <w:tc>
          <w:tcPr>
            <w:tcW w:w="236" w:type="dxa"/>
            <w:tcBorders>
              <w:top w:val="nil"/>
              <w:left w:val="nil"/>
            </w:tcBorders>
            <w:vAlign w:val="bottom"/>
          </w:tcPr>
          <w:p w:rsidR="00E9244D" w:rsidRDefault="00E9244D" w:rsidP="002500C0">
            <w:pPr>
              <w:pStyle w:val="IASBTableArial"/>
              <w:keepLines/>
            </w:pPr>
          </w:p>
        </w:tc>
        <w:tc>
          <w:tcPr>
            <w:tcW w:w="967" w:type="dxa"/>
            <w:tcBorders>
              <w:top w:val="nil"/>
              <w:left w:val="nil"/>
              <w:bottom w:val="double" w:sz="4" w:space="0" w:color="auto"/>
            </w:tcBorders>
            <w:vAlign w:val="bottom"/>
          </w:tcPr>
          <w:p w:rsidR="00E9244D" w:rsidRDefault="00E9244D" w:rsidP="002500C0">
            <w:pPr>
              <w:pStyle w:val="IASBTableArial"/>
              <w:keepLines/>
              <w:jc w:val="right"/>
            </w:pPr>
            <w:r>
              <w:rPr>
                <w:sz w:val="15"/>
              </w:rPr>
              <w:t>(2,150)</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bottom w:val="double" w:sz="4" w:space="0" w:color="auto"/>
            </w:tcBorders>
            <w:vAlign w:val="bottom"/>
          </w:tcPr>
          <w:p w:rsidR="00E9244D" w:rsidRDefault="00E9244D" w:rsidP="002500C0">
            <w:pPr>
              <w:pStyle w:val="IASBTableArial"/>
              <w:keepLines/>
              <w:jc w:val="right"/>
            </w:pPr>
            <w:r>
              <w:rPr>
                <w:sz w:val="15"/>
              </w:rPr>
              <w:t>300</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bottom w:val="double" w:sz="4" w:space="0" w:color="auto"/>
            </w:tcBorders>
            <w:vAlign w:val="bottom"/>
          </w:tcPr>
          <w:p w:rsidR="00E9244D" w:rsidRDefault="00E9244D" w:rsidP="002500C0">
            <w:pPr>
              <w:pStyle w:val="IASBTableArial"/>
              <w:keepLines/>
              <w:jc w:val="right"/>
            </w:pPr>
            <w:r>
              <w:rPr>
                <w:sz w:val="15"/>
              </w:rPr>
              <w:t>200</w:t>
            </w:r>
          </w:p>
        </w:tc>
        <w:tc>
          <w:tcPr>
            <w:tcW w:w="236" w:type="dxa"/>
            <w:tcBorders>
              <w:top w:val="nil"/>
              <w:left w:val="nil"/>
            </w:tcBorders>
            <w:vAlign w:val="bottom"/>
          </w:tcPr>
          <w:p w:rsidR="00E9244D" w:rsidRDefault="00E9244D" w:rsidP="002500C0">
            <w:pPr>
              <w:pStyle w:val="IASBTableArial"/>
              <w:keepLines/>
            </w:pPr>
          </w:p>
        </w:tc>
        <w:tc>
          <w:tcPr>
            <w:tcW w:w="1058" w:type="dxa"/>
            <w:tcBorders>
              <w:top w:val="nil"/>
              <w:left w:val="nil"/>
              <w:bottom w:val="double" w:sz="4" w:space="0" w:color="auto"/>
            </w:tcBorders>
            <w:vAlign w:val="bottom"/>
          </w:tcPr>
          <w:p w:rsidR="00E9244D" w:rsidRDefault="00E9244D" w:rsidP="002500C0">
            <w:pPr>
              <w:pStyle w:val="IASBTableArial"/>
              <w:keepLines/>
              <w:jc w:val="right"/>
            </w:pPr>
            <w:r>
              <w:rPr>
                <w:sz w:val="15"/>
              </w:rPr>
              <w:t>(25)</w:t>
            </w:r>
          </w:p>
        </w:tc>
        <w:tc>
          <w:tcPr>
            <w:tcW w:w="236" w:type="dxa"/>
            <w:tcBorders>
              <w:top w:val="nil"/>
              <w:left w:val="nil"/>
            </w:tcBorders>
            <w:vAlign w:val="bottom"/>
          </w:tcPr>
          <w:p w:rsidR="00E9244D" w:rsidRDefault="00E9244D" w:rsidP="002500C0">
            <w:pPr>
              <w:pStyle w:val="IASBTableArial"/>
              <w:keepLines/>
            </w:pPr>
          </w:p>
        </w:tc>
        <w:tc>
          <w:tcPr>
            <w:tcW w:w="967" w:type="dxa"/>
            <w:tcBorders>
              <w:top w:val="nil"/>
              <w:left w:val="nil"/>
              <w:bottom w:val="double" w:sz="4" w:space="0" w:color="auto"/>
            </w:tcBorders>
            <w:vAlign w:val="bottom"/>
          </w:tcPr>
          <w:p w:rsidR="00E9244D" w:rsidRDefault="00E9244D" w:rsidP="002500C0">
            <w:pPr>
              <w:pStyle w:val="IASBTableArial"/>
              <w:keepLines/>
              <w:jc w:val="right"/>
            </w:pPr>
            <w:r>
              <w:rPr>
                <w:sz w:val="15"/>
              </w:rPr>
              <w:t>33,650</w:t>
            </w:r>
          </w:p>
        </w:tc>
      </w:tr>
    </w:tbl>
    <w:p w:rsidR="00E83B88" w:rsidRDefault="002500C0" w:rsidP="00783ADB">
      <w:pPr>
        <w:pStyle w:val="IASBSectionTitle1NonInd"/>
        <w:spacing w:before="600"/>
      </w:pPr>
      <w:r>
        <w:t>Commencement of the l</w:t>
      </w:r>
      <w:r w:rsidR="00E83B88">
        <w:t xml:space="preserve">egislative </w:t>
      </w:r>
      <w:r>
        <w:t>i</w:t>
      </w:r>
      <w:r w:rsidR="00E83B88">
        <w:t>nstrument</w:t>
      </w:r>
    </w:p>
    <w:p w:rsidR="00E9244D" w:rsidRDefault="00E83B88" w:rsidP="00282AEE">
      <w:pPr>
        <w:pStyle w:val="IASBNormal"/>
      </w:pPr>
      <w:r>
        <w:t>For legal purposes, this legislative instrument commences on 31 December</w:t>
      </w:r>
      <w:r w:rsidR="004076F5">
        <w:t xml:space="preserve"> </w:t>
      </w:r>
      <w:r>
        <w:t>2016.</w:t>
      </w:r>
    </w:p>
    <w:sectPr w:rsidR="00E9244D" w:rsidSect="00DB56F2">
      <w:footerReference w:type="default" r:id="rId20"/>
      <w:headerReference w:type="first" r:id="rId21"/>
      <w:footerReference w:type="first" r:id="rId22"/>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020" w:rsidRDefault="004F5020">
      <w:r>
        <w:separator/>
      </w:r>
    </w:p>
  </w:endnote>
  <w:endnote w:type="continuationSeparator" w:id="0">
    <w:p w:rsidR="004F5020" w:rsidRDefault="004F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Blk">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Default="004F50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Default="004F5020">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7D4A2A">
      <w:rPr>
        <w:b/>
      </w:rPr>
      <w:t>AASB</w:t>
    </w:r>
    <w:r w:rsidRPr="00705552">
      <w:rPr>
        <w:b/>
      </w:rPr>
      <w:fldChar w:fldCharType="end"/>
    </w:r>
    <w:r w:rsidRPr="00705552">
      <w:rPr>
        <w:b/>
      </w:rPr>
      <w:t xml:space="preserve"> </w:t>
    </w:r>
    <w:r>
      <w:rPr>
        <w:b/>
      </w:rPr>
      <w:t>2016-</w:t>
    </w:r>
    <w:r w:rsidR="009E332E">
      <w:rPr>
        <w:b/>
      </w:rPr>
      <w:t>2</w:t>
    </w:r>
    <w:r w:rsidRPr="00705552">
      <w:rPr>
        <w:b/>
      </w:rPr>
      <w:fldChar w:fldCharType="begin" w:fldLock="1"/>
    </w:r>
    <w:r w:rsidRPr="00705552">
      <w:rPr>
        <w:b/>
      </w:rPr>
      <w:instrText xml:space="preserve"> REF DocNo \* charformat</w:instrText>
    </w:r>
    <w:r w:rsidRPr="00705552">
      <w:rPr>
        <w:b/>
      </w:rPr>
      <w:fldChar w:fldCharType="end"/>
    </w:r>
    <w:r>
      <w:tab/>
    </w:r>
    <w:r>
      <w:fldChar w:fldCharType="begin"/>
    </w:r>
    <w:r>
      <w:instrText xml:space="preserve"> page </w:instrText>
    </w:r>
    <w:r>
      <w:fldChar w:fldCharType="separate"/>
    </w:r>
    <w:r w:rsidR="0044457D">
      <w:rPr>
        <w:noProof/>
      </w:rPr>
      <w:t>2</w:t>
    </w:r>
    <w:r>
      <w:fldChar w:fldCharType="end"/>
    </w:r>
    <w:r>
      <w:tab/>
    </w:r>
    <w:r w:rsidRPr="00705552">
      <w:rPr>
        <w:b/>
      </w:rPr>
      <w:t>COPYRIGHT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Default="004F502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Pr="00705552" w:rsidRDefault="004F5020" w:rsidP="00FC071C">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7D4A2A">
      <w:rPr>
        <w:b/>
      </w:rPr>
      <w:t>AASB</w:t>
    </w:r>
    <w:r w:rsidRPr="00705552">
      <w:rPr>
        <w:b/>
      </w:rPr>
      <w:fldChar w:fldCharType="end"/>
    </w:r>
    <w:r w:rsidRPr="00705552">
      <w:rPr>
        <w:b/>
      </w:rPr>
      <w:t xml:space="preserve"> </w:t>
    </w:r>
    <w:r>
      <w:rPr>
        <w:b/>
      </w:rPr>
      <w:t>2016-</w:t>
    </w:r>
    <w:r w:rsidR="009E332E">
      <w:rPr>
        <w:b/>
      </w:rPr>
      <w:t>2</w:t>
    </w:r>
    <w:r>
      <w:tab/>
    </w:r>
    <w:r>
      <w:fldChar w:fldCharType="begin"/>
    </w:r>
    <w:r>
      <w:instrText xml:space="preserve"> page </w:instrText>
    </w:r>
    <w:r>
      <w:fldChar w:fldCharType="separate"/>
    </w:r>
    <w:r w:rsidR="0044457D">
      <w:rPr>
        <w:noProof/>
      </w:rPr>
      <w:t>3</w:t>
    </w:r>
    <w:r>
      <w:fldChar w:fldCharType="end"/>
    </w:r>
    <w:r>
      <w:tab/>
    </w:r>
    <w:r>
      <w:rPr>
        <w:b/>
      </w:rPr>
      <w:t>CONTENTS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Pr="00705552" w:rsidRDefault="004F5020" w:rsidP="00FC071C">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7D4A2A">
      <w:rPr>
        <w:b/>
      </w:rPr>
      <w:t>AASB</w:t>
    </w:r>
    <w:r w:rsidRPr="00705552">
      <w:rPr>
        <w:b/>
      </w:rPr>
      <w:fldChar w:fldCharType="end"/>
    </w:r>
    <w:r w:rsidRPr="00705552">
      <w:rPr>
        <w:b/>
      </w:rPr>
      <w:t xml:space="preserve"> </w:t>
    </w:r>
    <w:r>
      <w:rPr>
        <w:b/>
      </w:rPr>
      <w:t>2016-</w:t>
    </w:r>
    <w:r w:rsidR="009E332E">
      <w:rPr>
        <w:b/>
      </w:rPr>
      <w:t>2</w:t>
    </w:r>
    <w:r>
      <w:tab/>
    </w:r>
    <w:r>
      <w:fldChar w:fldCharType="begin"/>
    </w:r>
    <w:r>
      <w:instrText xml:space="preserve"> page </w:instrText>
    </w:r>
    <w:r>
      <w:fldChar w:fldCharType="separate"/>
    </w:r>
    <w:r w:rsidR="0044457D">
      <w:rPr>
        <w:noProof/>
      </w:rPr>
      <w:t>4</w:t>
    </w:r>
    <w:r>
      <w:fldChar w:fldCharType="end"/>
    </w:r>
    <w:r>
      <w:tab/>
    </w:r>
    <w:r>
      <w:rPr>
        <w:b/>
      </w:rPr>
      <w:t>PREFACE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Pr="00336710" w:rsidRDefault="004F5020" w:rsidP="0033671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Pr="00705552" w:rsidRDefault="004F5020" w:rsidP="00FC071C">
    <w:pPr>
      <w:pStyle w:val="Footer"/>
      <w:rPr>
        <w:b/>
      </w:rP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7D4A2A">
      <w:rPr>
        <w:b/>
      </w:rPr>
      <w:t>AASB</w:t>
    </w:r>
    <w:r w:rsidRPr="00705552">
      <w:rPr>
        <w:b/>
      </w:rPr>
      <w:fldChar w:fldCharType="end"/>
    </w:r>
    <w:r w:rsidRPr="00705552">
      <w:rPr>
        <w:b/>
      </w:rPr>
      <w:t xml:space="preserve"> </w:t>
    </w:r>
    <w:r>
      <w:rPr>
        <w:b/>
      </w:rPr>
      <w:t>2016-</w:t>
    </w:r>
    <w:r w:rsidR="00D47427">
      <w:rPr>
        <w:b/>
      </w:rPr>
      <w:t>2</w:t>
    </w:r>
    <w:r>
      <w:tab/>
    </w:r>
    <w:r>
      <w:fldChar w:fldCharType="begin"/>
    </w:r>
    <w:r>
      <w:instrText xml:space="preserve"> page </w:instrText>
    </w:r>
    <w:r>
      <w:fldChar w:fldCharType="separate"/>
    </w:r>
    <w:r w:rsidR="0044457D">
      <w:rPr>
        <w:noProof/>
      </w:rPr>
      <w:t>7</w:t>
    </w:r>
    <w:r>
      <w:fldChar w:fldCharType="end"/>
    </w:r>
    <w:r>
      <w:tab/>
    </w:r>
    <w:r>
      <w:rPr>
        <w:b/>
      </w:rPr>
      <w:t>STANDARD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Pr="00336710" w:rsidRDefault="004F5020" w:rsidP="00336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020" w:rsidRDefault="004F5020">
      <w:r>
        <w:separator/>
      </w:r>
    </w:p>
  </w:footnote>
  <w:footnote w:type="continuationSeparator" w:id="0">
    <w:p w:rsidR="004F5020" w:rsidRDefault="004F5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Default="004F50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Pr="00300F40" w:rsidRDefault="004F5020" w:rsidP="00300F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Default="004F502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Default="004F5020" w:rsidP="00336710">
    <w:pPr>
      <w:pStyle w:val="Header"/>
    </w:pPr>
  </w:p>
  <w:p w:rsidR="004F5020" w:rsidRPr="00173813" w:rsidRDefault="0044457D" w:rsidP="00336710">
    <w:pPr>
      <w:pStyle w:val="Header"/>
      <w:rPr>
        <w:sz w:val="12"/>
      </w:rPr>
    </w:pPr>
    <w:r>
      <w:rPr>
        <w:b/>
        <w:noProof/>
        <w:lang w:val="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8433" type="#_x0000_t172" alt="Draft watermark" style="position:absolute;margin-left:141.75pt;margin-top:226.8pt;width:311.8pt;height:256.8pt;z-index:-251658752;mso-wrap-edited:f;mso-position-horizontal-relative:page;mso-position-vertical-relative:page" fillcolor="silver" stroked="f">
          <v:shadow color="#868686"/>
          <v:textpath style="font-family:&quot;Times New Roman&quot;;v-text-kern:t" trim="t" fitpath="t" string="Draft"/>
          <w10:wrap anchorx="page" anchory="pag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020" w:rsidRPr="00336710" w:rsidRDefault="004F5020" w:rsidP="003367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3680C2"/>
    <w:lvl w:ilvl="0">
      <w:start w:val="1"/>
      <w:numFmt w:val="decimal"/>
      <w:lvlText w:val="%1."/>
      <w:lvlJc w:val="left"/>
      <w:pPr>
        <w:tabs>
          <w:tab w:val="num" w:pos="1492"/>
        </w:tabs>
        <w:ind w:left="1492" w:hanging="360"/>
      </w:pPr>
    </w:lvl>
  </w:abstractNum>
  <w:abstractNum w:abstractNumId="1">
    <w:nsid w:val="FFFFFF7D"/>
    <w:multiLevelType w:val="singleLevel"/>
    <w:tmpl w:val="336C4284"/>
    <w:lvl w:ilvl="0">
      <w:start w:val="1"/>
      <w:numFmt w:val="decimal"/>
      <w:lvlText w:val="%1."/>
      <w:lvlJc w:val="left"/>
      <w:pPr>
        <w:tabs>
          <w:tab w:val="num" w:pos="1209"/>
        </w:tabs>
        <w:ind w:left="1209" w:hanging="360"/>
      </w:pPr>
    </w:lvl>
  </w:abstractNum>
  <w:abstractNum w:abstractNumId="2">
    <w:nsid w:val="FFFFFF7E"/>
    <w:multiLevelType w:val="singleLevel"/>
    <w:tmpl w:val="EF60E502"/>
    <w:lvl w:ilvl="0">
      <w:start w:val="1"/>
      <w:numFmt w:val="decimal"/>
      <w:lvlText w:val="%1."/>
      <w:lvlJc w:val="left"/>
      <w:pPr>
        <w:tabs>
          <w:tab w:val="num" w:pos="926"/>
        </w:tabs>
        <w:ind w:left="926" w:hanging="360"/>
      </w:pPr>
    </w:lvl>
  </w:abstractNum>
  <w:abstractNum w:abstractNumId="3">
    <w:nsid w:val="FFFFFF7F"/>
    <w:multiLevelType w:val="singleLevel"/>
    <w:tmpl w:val="67A0E8C2"/>
    <w:lvl w:ilvl="0">
      <w:start w:val="1"/>
      <w:numFmt w:val="decimal"/>
      <w:lvlText w:val="%1."/>
      <w:lvlJc w:val="left"/>
      <w:pPr>
        <w:tabs>
          <w:tab w:val="num" w:pos="643"/>
        </w:tabs>
        <w:ind w:left="643" w:hanging="360"/>
      </w:pPr>
    </w:lvl>
  </w:abstractNum>
  <w:abstractNum w:abstractNumId="4">
    <w:nsid w:val="FFFFFF80"/>
    <w:multiLevelType w:val="singleLevel"/>
    <w:tmpl w:val="6DA4B7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FAC3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181B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E876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1E2DF4"/>
    <w:lvl w:ilvl="0">
      <w:start w:val="1"/>
      <w:numFmt w:val="decimal"/>
      <w:lvlText w:val="%1."/>
      <w:lvlJc w:val="left"/>
      <w:pPr>
        <w:tabs>
          <w:tab w:val="num" w:pos="360"/>
        </w:tabs>
        <w:ind w:left="360" w:hanging="360"/>
      </w:pPr>
    </w:lvl>
  </w:abstractNum>
  <w:abstractNum w:abstractNumId="9">
    <w:nsid w:val="FFFFFF89"/>
    <w:multiLevelType w:val="singleLevel"/>
    <w:tmpl w:val="130C3524"/>
    <w:lvl w:ilvl="0">
      <w:start w:val="1"/>
      <w:numFmt w:val="bullet"/>
      <w:lvlText w:val=""/>
      <w:lvlJc w:val="left"/>
      <w:pPr>
        <w:tabs>
          <w:tab w:val="num" w:pos="360"/>
        </w:tabs>
        <w:ind w:left="360" w:hanging="360"/>
      </w:pPr>
      <w:rPr>
        <w:rFonts w:ascii="Symbol" w:hAnsi="Symbol" w:hint="default"/>
      </w:rPr>
    </w:lvl>
  </w:abstractNum>
  <w:abstractNum w:abstractNumId="10">
    <w:nsid w:val="61542243"/>
    <w:multiLevelType w:val="multilevel"/>
    <w:tmpl w:val="BDF015A6"/>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1">
    <w:nsid w:val="624F422D"/>
    <w:multiLevelType w:val="hybridMultilevel"/>
    <w:tmpl w:val="6958E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AU" w:vendorID="64" w:dllVersion="131078" w:nlCheck="1" w:checkStyle="1"/>
  <w:activeWritingStyle w:appName="MSWord" w:lang="en-US" w:vendorID="64" w:dllVersion="131078" w:nlCheck="1" w:checkStyle="1"/>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4"/>
    <o:shapelayout v:ext="edit">
      <o:idmap v:ext="edit" data="1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41D"/>
    <w:rsid w:val="000154B5"/>
    <w:rsid w:val="00035309"/>
    <w:rsid w:val="00060059"/>
    <w:rsid w:val="0006647A"/>
    <w:rsid w:val="000B11F0"/>
    <w:rsid w:val="000B4EC8"/>
    <w:rsid w:val="001073E1"/>
    <w:rsid w:val="001274C3"/>
    <w:rsid w:val="00137F8B"/>
    <w:rsid w:val="001459F2"/>
    <w:rsid w:val="00146D9A"/>
    <w:rsid w:val="001766A6"/>
    <w:rsid w:val="001C5F8A"/>
    <w:rsid w:val="001E4A7D"/>
    <w:rsid w:val="001F1828"/>
    <w:rsid w:val="002029B1"/>
    <w:rsid w:val="002271FF"/>
    <w:rsid w:val="00241281"/>
    <w:rsid w:val="002500C0"/>
    <w:rsid w:val="00273CED"/>
    <w:rsid w:val="0027540E"/>
    <w:rsid w:val="00282AEE"/>
    <w:rsid w:val="002E0A4F"/>
    <w:rsid w:val="002F1F61"/>
    <w:rsid w:val="00300F40"/>
    <w:rsid w:val="0030641A"/>
    <w:rsid w:val="0031741C"/>
    <w:rsid w:val="00322A48"/>
    <w:rsid w:val="003319EB"/>
    <w:rsid w:val="00336710"/>
    <w:rsid w:val="00376EA4"/>
    <w:rsid w:val="0039535E"/>
    <w:rsid w:val="003A31FE"/>
    <w:rsid w:val="003D0486"/>
    <w:rsid w:val="003F5C4E"/>
    <w:rsid w:val="003F6D7E"/>
    <w:rsid w:val="00404EB7"/>
    <w:rsid w:val="004076F5"/>
    <w:rsid w:val="0044457D"/>
    <w:rsid w:val="00463929"/>
    <w:rsid w:val="004722D3"/>
    <w:rsid w:val="004727DB"/>
    <w:rsid w:val="00473AA8"/>
    <w:rsid w:val="004A165E"/>
    <w:rsid w:val="004C2479"/>
    <w:rsid w:val="004D70C0"/>
    <w:rsid w:val="004F5020"/>
    <w:rsid w:val="005010BA"/>
    <w:rsid w:val="00515D2D"/>
    <w:rsid w:val="00516088"/>
    <w:rsid w:val="00541686"/>
    <w:rsid w:val="005656B7"/>
    <w:rsid w:val="0057651E"/>
    <w:rsid w:val="00587042"/>
    <w:rsid w:val="005958EA"/>
    <w:rsid w:val="005B2E31"/>
    <w:rsid w:val="005C0FC2"/>
    <w:rsid w:val="005C5042"/>
    <w:rsid w:val="005C79D0"/>
    <w:rsid w:val="005D5D49"/>
    <w:rsid w:val="005E6F52"/>
    <w:rsid w:val="005F33E9"/>
    <w:rsid w:val="005F7281"/>
    <w:rsid w:val="006021DA"/>
    <w:rsid w:val="00640E5A"/>
    <w:rsid w:val="00642799"/>
    <w:rsid w:val="006456A9"/>
    <w:rsid w:val="00662D9A"/>
    <w:rsid w:val="00666D45"/>
    <w:rsid w:val="00670FD2"/>
    <w:rsid w:val="00697F10"/>
    <w:rsid w:val="006A5CB5"/>
    <w:rsid w:val="006A69A0"/>
    <w:rsid w:val="006C4176"/>
    <w:rsid w:val="006D5F34"/>
    <w:rsid w:val="006D6F0E"/>
    <w:rsid w:val="006F69EB"/>
    <w:rsid w:val="00705DF0"/>
    <w:rsid w:val="00736422"/>
    <w:rsid w:val="00755B59"/>
    <w:rsid w:val="00762372"/>
    <w:rsid w:val="00764E9C"/>
    <w:rsid w:val="00776D39"/>
    <w:rsid w:val="00783ADB"/>
    <w:rsid w:val="0079635D"/>
    <w:rsid w:val="007A3D10"/>
    <w:rsid w:val="007D4A2A"/>
    <w:rsid w:val="007E7DF0"/>
    <w:rsid w:val="00862A19"/>
    <w:rsid w:val="008A7B37"/>
    <w:rsid w:val="008B1406"/>
    <w:rsid w:val="008B2360"/>
    <w:rsid w:val="008D34C9"/>
    <w:rsid w:val="008F641D"/>
    <w:rsid w:val="00903A1A"/>
    <w:rsid w:val="00944E9F"/>
    <w:rsid w:val="00952474"/>
    <w:rsid w:val="009630FD"/>
    <w:rsid w:val="009E0791"/>
    <w:rsid w:val="009E332E"/>
    <w:rsid w:val="00A01C7B"/>
    <w:rsid w:val="00A33F12"/>
    <w:rsid w:val="00A52223"/>
    <w:rsid w:val="00A662CD"/>
    <w:rsid w:val="00A839BB"/>
    <w:rsid w:val="00A84C3A"/>
    <w:rsid w:val="00AB0CEB"/>
    <w:rsid w:val="00B12F7F"/>
    <w:rsid w:val="00B150F4"/>
    <w:rsid w:val="00B958B6"/>
    <w:rsid w:val="00BC0C9D"/>
    <w:rsid w:val="00BD79EA"/>
    <w:rsid w:val="00BE5E74"/>
    <w:rsid w:val="00C015F5"/>
    <w:rsid w:val="00C100EE"/>
    <w:rsid w:val="00C3134A"/>
    <w:rsid w:val="00C540E7"/>
    <w:rsid w:val="00CA0586"/>
    <w:rsid w:val="00CF0281"/>
    <w:rsid w:val="00D301D7"/>
    <w:rsid w:val="00D47427"/>
    <w:rsid w:val="00D62A41"/>
    <w:rsid w:val="00D840D0"/>
    <w:rsid w:val="00DB56F2"/>
    <w:rsid w:val="00DC4A63"/>
    <w:rsid w:val="00E27BEF"/>
    <w:rsid w:val="00E473F0"/>
    <w:rsid w:val="00E627C7"/>
    <w:rsid w:val="00E824EA"/>
    <w:rsid w:val="00E83B88"/>
    <w:rsid w:val="00E9244D"/>
    <w:rsid w:val="00EA5F22"/>
    <w:rsid w:val="00EF32CC"/>
    <w:rsid w:val="00F219BA"/>
    <w:rsid w:val="00F3102D"/>
    <w:rsid w:val="00F44E5F"/>
    <w:rsid w:val="00F458A5"/>
    <w:rsid w:val="00F77C71"/>
    <w:rsid w:val="00F849C6"/>
    <w:rsid w:val="00FC071C"/>
    <w:rsid w:val="00FD13BB"/>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EA5F22"/>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952474"/>
    <w:pPr>
      <w:tabs>
        <w:tab w:val="left" w:pos="4253"/>
      </w:tabs>
      <w:spacing w:before="100" w:after="100"/>
      <w:jc w:val="both"/>
    </w:pPr>
    <w:rPr>
      <w:sz w:val="19"/>
      <w:lang w:eastAsia="en-US"/>
    </w:rPr>
  </w:style>
  <w:style w:type="paragraph" w:customStyle="1" w:styleId="IASBNormalnpara">
    <w:name w:val="IASB Normal npara"/>
    <w:basedOn w:val="IASBNormal"/>
    <w:uiPriority w:val="8"/>
    <w:rsid w:val="00952474"/>
    <w:pPr>
      <w:tabs>
        <w:tab w:val="clear" w:pos="4253"/>
      </w:tabs>
      <w:spacing w:after="0"/>
      <w:ind w:left="782" w:hanging="782"/>
    </w:pPr>
  </w:style>
  <w:style w:type="paragraph" w:customStyle="1" w:styleId="IASBSectionTitle1Ind">
    <w:name w:val="IASB Section Title 1 Ind"/>
    <w:basedOn w:val="Normal"/>
    <w:uiPriority w:val="8"/>
    <w:rsid w:val="00952474"/>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952474"/>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952474"/>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952474"/>
    <w:pPr>
      <w:spacing w:before="240"/>
      <w:ind w:left="782"/>
    </w:pPr>
  </w:style>
  <w:style w:type="paragraph" w:customStyle="1" w:styleId="IASBSectionTitle3NonInd">
    <w:name w:val="IASB Section Title 3 NonInd"/>
    <w:basedOn w:val="Normal"/>
    <w:uiPriority w:val="8"/>
    <w:rsid w:val="00952474"/>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952474"/>
    <w:pPr>
      <w:spacing w:before="240"/>
      <w:ind w:left="782"/>
    </w:pPr>
  </w:style>
  <w:style w:type="paragraph" w:customStyle="1" w:styleId="IASBSectionTitle4NonInd">
    <w:name w:val="IASB Section Title 4 NonInd"/>
    <w:basedOn w:val="Normal"/>
    <w:uiPriority w:val="8"/>
    <w:rsid w:val="00952474"/>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952474"/>
    <w:pPr>
      <w:ind w:left="782"/>
    </w:pPr>
  </w:style>
  <w:style w:type="paragraph" w:customStyle="1" w:styleId="IASBSectionTitle5NonInd">
    <w:name w:val="IASB Section Title 5 NonInd"/>
    <w:basedOn w:val="Normal"/>
    <w:uiPriority w:val="8"/>
    <w:rsid w:val="00952474"/>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952474"/>
    <w:pPr>
      <w:ind w:left="782"/>
    </w:pPr>
  </w:style>
  <w:style w:type="paragraph" w:customStyle="1" w:styleId="IASBSectionTitle6NonInd">
    <w:name w:val="IASB Section Title 6 NonInd"/>
    <w:basedOn w:val="IASBSectionTitle5NonInd"/>
    <w:uiPriority w:val="8"/>
    <w:rsid w:val="00952474"/>
    <w:pPr>
      <w:outlineLvl w:val="5"/>
    </w:pPr>
    <w:rPr>
      <w:b w:val="0"/>
      <w:i/>
    </w:rPr>
  </w:style>
  <w:style w:type="paragraph" w:customStyle="1" w:styleId="IASBSectionTitle6Ind">
    <w:name w:val="IASB Section Title 6 Ind"/>
    <w:basedOn w:val="IASBSectionTitle6NonInd"/>
    <w:uiPriority w:val="8"/>
    <w:rsid w:val="00952474"/>
    <w:pPr>
      <w:ind w:left="782"/>
    </w:pPr>
  </w:style>
  <w:style w:type="paragraph" w:customStyle="1" w:styleId="IASBTitle">
    <w:name w:val="IASB Title"/>
    <w:uiPriority w:val="8"/>
    <w:rsid w:val="00952474"/>
    <w:pPr>
      <w:keepNext/>
      <w:keepLines/>
      <w:spacing w:before="300" w:after="400"/>
    </w:pPr>
    <w:rPr>
      <w:rFonts w:cs="Arial"/>
      <w:sz w:val="36"/>
      <w:lang w:eastAsia="en-US"/>
    </w:rPr>
  </w:style>
  <w:style w:type="paragraph" w:customStyle="1" w:styleId="IASBNormalnparaL1">
    <w:name w:val="IASB Normal nparaL1"/>
    <w:basedOn w:val="IASBNormalnpara"/>
    <w:uiPriority w:val="8"/>
    <w:rsid w:val="00952474"/>
    <w:pPr>
      <w:ind w:left="1564"/>
    </w:pPr>
  </w:style>
  <w:style w:type="paragraph" w:customStyle="1" w:styleId="IASBNormalnparaP">
    <w:name w:val="IASB Normal nparaP"/>
    <w:basedOn w:val="IASBNormal"/>
    <w:uiPriority w:val="8"/>
    <w:rsid w:val="00952474"/>
    <w:pPr>
      <w:ind w:left="782"/>
    </w:pPr>
  </w:style>
  <w:style w:type="paragraph" w:customStyle="1" w:styleId="IASBIdentifier">
    <w:name w:val="IASB Identifier"/>
    <w:basedOn w:val="IASBTitle"/>
    <w:uiPriority w:val="8"/>
    <w:rsid w:val="00952474"/>
    <w:pPr>
      <w:spacing w:after="200"/>
    </w:pPr>
    <w:rPr>
      <w:rFonts w:ascii="Arial" w:hAnsi="Arial"/>
      <w:b/>
      <w:sz w:val="23"/>
    </w:rPr>
  </w:style>
  <w:style w:type="paragraph" w:customStyle="1" w:styleId="IASBTOCPrimary">
    <w:name w:val="IASB TOC Primary"/>
    <w:basedOn w:val="Normal"/>
    <w:uiPriority w:val="8"/>
    <w:rsid w:val="00952474"/>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952474"/>
    <w:pPr>
      <w:spacing w:before="30" w:after="30"/>
    </w:pPr>
    <w:rPr>
      <w:rFonts w:ascii="Arial" w:hAnsi="Arial" w:cs="Arial"/>
      <w:i/>
      <w:sz w:val="18"/>
      <w:szCs w:val="20"/>
    </w:rPr>
  </w:style>
  <w:style w:type="paragraph" w:customStyle="1" w:styleId="IASBTOCSecondary">
    <w:name w:val="IASB TOC Secondary"/>
    <w:basedOn w:val="Normal"/>
    <w:uiPriority w:val="8"/>
    <w:rsid w:val="00952474"/>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952474"/>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952474"/>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952474"/>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952474"/>
    <w:rPr>
      <w:i/>
    </w:rPr>
  </w:style>
  <w:style w:type="paragraph" w:customStyle="1" w:styleId="IASBBlockquote">
    <w:name w:val="IASB Blockquote"/>
    <w:basedOn w:val="IASBNormal"/>
    <w:uiPriority w:val="8"/>
    <w:rsid w:val="00952474"/>
    <w:pPr>
      <w:ind w:left="1565"/>
    </w:pPr>
    <w:rPr>
      <w:sz w:val="16"/>
    </w:rPr>
  </w:style>
  <w:style w:type="character" w:customStyle="1" w:styleId="IASBEduinsert">
    <w:name w:val="IASB Edu insert"/>
    <w:uiPriority w:val="8"/>
    <w:qFormat/>
    <w:rsid w:val="00952474"/>
  </w:style>
  <w:style w:type="character" w:styleId="FootnoteReference">
    <w:name w:val="footnote reference"/>
    <w:uiPriority w:val="99"/>
    <w:semiHidden/>
    <w:unhideWhenUsed/>
    <w:rsid w:val="00952474"/>
    <w:rPr>
      <w:vertAlign w:val="superscript"/>
    </w:rPr>
  </w:style>
  <w:style w:type="paragraph" w:styleId="FootnoteText">
    <w:name w:val="footnote text"/>
    <w:basedOn w:val="IASBSectionTitle2Ind"/>
    <w:next w:val="IASBBlockquote"/>
    <w:link w:val="FootnoteTextChar"/>
    <w:semiHidden/>
    <w:rsid w:val="00EA5F22"/>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semiHidden/>
    <w:rsid w:val="00EA5F22"/>
    <w:rPr>
      <w:sz w:val="16"/>
      <w:lang w:eastAsia="en-US"/>
    </w:rPr>
  </w:style>
  <w:style w:type="paragraph" w:customStyle="1" w:styleId="IASBNormalL1">
    <w:name w:val="IASB Normal L1"/>
    <w:basedOn w:val="IASBNormalnpara"/>
    <w:uiPriority w:val="8"/>
    <w:rsid w:val="00952474"/>
  </w:style>
  <w:style w:type="paragraph" w:styleId="Header">
    <w:name w:val="header"/>
    <w:basedOn w:val="Normal"/>
    <w:link w:val="HeaderChar"/>
    <w:uiPriority w:val="99"/>
    <w:rsid w:val="00952474"/>
    <w:pPr>
      <w:tabs>
        <w:tab w:val="center" w:pos="4536"/>
        <w:tab w:val="right" w:pos="9072"/>
      </w:tabs>
    </w:pPr>
    <w:rPr>
      <w:sz w:val="20"/>
    </w:rPr>
  </w:style>
  <w:style w:type="character" w:customStyle="1" w:styleId="HeaderChar">
    <w:name w:val="Header Char"/>
    <w:link w:val="Header"/>
    <w:uiPriority w:val="99"/>
    <w:rsid w:val="00952474"/>
    <w:rPr>
      <w:szCs w:val="24"/>
      <w:lang w:eastAsia="en-US"/>
    </w:rPr>
  </w:style>
  <w:style w:type="paragraph" w:styleId="Footer">
    <w:name w:val="footer"/>
    <w:basedOn w:val="Normal"/>
    <w:link w:val="FooterChar"/>
    <w:uiPriority w:val="99"/>
    <w:rsid w:val="00952474"/>
    <w:pPr>
      <w:tabs>
        <w:tab w:val="center" w:pos="4536"/>
        <w:tab w:val="right" w:pos="9072"/>
      </w:tabs>
    </w:pPr>
  </w:style>
  <w:style w:type="character" w:customStyle="1" w:styleId="FooterChar">
    <w:name w:val="Footer Char"/>
    <w:link w:val="Footer"/>
    <w:uiPriority w:val="99"/>
    <w:rsid w:val="00952474"/>
    <w:rPr>
      <w:sz w:val="19"/>
      <w:szCs w:val="24"/>
      <w:lang w:eastAsia="en-US"/>
    </w:rPr>
  </w:style>
  <w:style w:type="paragraph" w:customStyle="1" w:styleId="IASBRubricL1">
    <w:name w:val="IASB RubricL1"/>
    <w:basedOn w:val="IASBRubric"/>
    <w:uiPriority w:val="8"/>
    <w:rsid w:val="00952474"/>
    <w:pPr>
      <w:ind w:left="782" w:hanging="782"/>
      <w:jc w:val="left"/>
    </w:pPr>
    <w:rPr>
      <w:lang w:eastAsia="en-GB"/>
    </w:rPr>
  </w:style>
  <w:style w:type="paragraph" w:customStyle="1" w:styleId="IASBRubricL2">
    <w:name w:val="IASB RubricL2"/>
    <w:basedOn w:val="IASBRubricL1"/>
    <w:uiPriority w:val="8"/>
    <w:rsid w:val="00952474"/>
    <w:pPr>
      <w:tabs>
        <w:tab w:val="left" w:pos="782"/>
      </w:tabs>
      <w:ind w:left="1565" w:hanging="1565"/>
    </w:pPr>
  </w:style>
  <w:style w:type="paragraph" w:customStyle="1" w:styleId="IASBRubricL3">
    <w:name w:val="IASB RubricL3"/>
    <w:basedOn w:val="IASBRubricL2"/>
    <w:uiPriority w:val="8"/>
    <w:rsid w:val="00952474"/>
    <w:pPr>
      <w:tabs>
        <w:tab w:val="clear" w:pos="782"/>
        <w:tab w:val="left" w:pos="1565"/>
      </w:tabs>
      <w:ind w:left="2347" w:hanging="2347"/>
    </w:pPr>
  </w:style>
  <w:style w:type="paragraph" w:customStyle="1" w:styleId="IASBNormalnparaL2">
    <w:name w:val="IASB Normal nparaL2"/>
    <w:basedOn w:val="IASBNormalnparaL1"/>
    <w:uiPriority w:val="8"/>
    <w:rsid w:val="00952474"/>
    <w:pPr>
      <w:ind w:left="2347"/>
    </w:pPr>
  </w:style>
  <w:style w:type="paragraph" w:customStyle="1" w:styleId="IASBNormalnparaL3">
    <w:name w:val="IASB Normal nparaL3"/>
    <w:basedOn w:val="IASBNormalnparaL2"/>
    <w:uiPriority w:val="8"/>
    <w:rsid w:val="00952474"/>
    <w:pPr>
      <w:ind w:left="3129"/>
    </w:pPr>
  </w:style>
  <w:style w:type="paragraph" w:customStyle="1" w:styleId="IASBNormalnparaL4">
    <w:name w:val="IASB Normal nparaL4"/>
    <w:basedOn w:val="IASBNormalnparaL3"/>
    <w:uiPriority w:val="8"/>
    <w:rsid w:val="00952474"/>
    <w:pPr>
      <w:ind w:left="3912"/>
    </w:pPr>
  </w:style>
  <w:style w:type="paragraph" w:customStyle="1" w:styleId="IASBNormalnparaL5">
    <w:name w:val="IASB Normal nparaL5"/>
    <w:basedOn w:val="IASBNormalnparaL4"/>
    <w:uiPriority w:val="8"/>
    <w:rsid w:val="00952474"/>
    <w:pPr>
      <w:ind w:left="4694"/>
    </w:pPr>
  </w:style>
  <w:style w:type="paragraph" w:customStyle="1" w:styleId="IASBNormalnparaL1P">
    <w:name w:val="IASB Normal nparaL1P"/>
    <w:basedOn w:val="IASBNormalnparaL2"/>
    <w:uiPriority w:val="8"/>
    <w:rsid w:val="00952474"/>
    <w:pPr>
      <w:ind w:left="1565" w:firstLine="0"/>
    </w:pPr>
  </w:style>
  <w:style w:type="paragraph" w:customStyle="1" w:styleId="IASBNormalnparaL2P">
    <w:name w:val="IASB Normal nparaL2P"/>
    <w:basedOn w:val="IASBNormalnparaL1P"/>
    <w:uiPriority w:val="8"/>
    <w:rsid w:val="00952474"/>
    <w:pPr>
      <w:ind w:left="2347"/>
    </w:pPr>
  </w:style>
  <w:style w:type="paragraph" w:customStyle="1" w:styleId="IASBNormalnparaL3P">
    <w:name w:val="IASB Normal nparaL3P"/>
    <w:basedOn w:val="IASBNormalnparaL2P"/>
    <w:uiPriority w:val="8"/>
    <w:rsid w:val="00952474"/>
    <w:pPr>
      <w:ind w:left="3130"/>
    </w:pPr>
  </w:style>
  <w:style w:type="paragraph" w:customStyle="1" w:styleId="IASBNormalnparaL4P">
    <w:name w:val="IASB Normal nparaL4P"/>
    <w:basedOn w:val="IASBNormalnparaL3P"/>
    <w:uiPriority w:val="8"/>
    <w:rsid w:val="00952474"/>
    <w:pPr>
      <w:ind w:left="3912"/>
    </w:pPr>
  </w:style>
  <w:style w:type="paragraph" w:customStyle="1" w:styleId="IASBNormalnparaL5P">
    <w:name w:val="IASB Normal nparaL5P"/>
    <w:basedOn w:val="IASBNormalnparaL4P"/>
    <w:uiPriority w:val="8"/>
    <w:rsid w:val="00952474"/>
    <w:pPr>
      <w:ind w:left="4751"/>
    </w:pPr>
  </w:style>
  <w:style w:type="paragraph" w:customStyle="1" w:styleId="IASBBlockquoteL1">
    <w:name w:val="IASB BlockquoteL1"/>
    <w:basedOn w:val="IASBBlockquote"/>
    <w:uiPriority w:val="8"/>
    <w:rsid w:val="00952474"/>
    <w:pPr>
      <w:ind w:left="2347" w:hanging="782"/>
    </w:pPr>
  </w:style>
  <w:style w:type="paragraph" w:customStyle="1" w:styleId="IASBBlockquoteL2">
    <w:name w:val="IASB BlockquoteL2"/>
    <w:basedOn w:val="IASBBlockquoteL1"/>
    <w:uiPriority w:val="8"/>
    <w:rsid w:val="00952474"/>
    <w:pPr>
      <w:ind w:left="3129"/>
    </w:pPr>
  </w:style>
  <w:style w:type="paragraph" w:customStyle="1" w:styleId="IASBNormalL2">
    <w:name w:val="IASB Normal L2"/>
    <w:basedOn w:val="IASBNormalL1"/>
    <w:uiPriority w:val="8"/>
    <w:rsid w:val="00952474"/>
    <w:pPr>
      <w:ind w:left="1564"/>
    </w:pPr>
  </w:style>
  <w:style w:type="paragraph" w:customStyle="1" w:styleId="IASBTOCQuartery">
    <w:name w:val="IASB TOC Quartery"/>
    <w:basedOn w:val="IASBTOCTertiary"/>
    <w:uiPriority w:val="8"/>
    <w:rsid w:val="00952474"/>
    <w:pPr>
      <w:ind w:left="851"/>
    </w:pPr>
  </w:style>
  <w:style w:type="paragraph" w:customStyle="1" w:styleId="IASBNoteTitle">
    <w:name w:val="IASB Note Title"/>
    <w:basedOn w:val="IASBTOCPrimary"/>
    <w:uiPriority w:val="8"/>
    <w:rsid w:val="00952474"/>
    <w:pPr>
      <w:jc w:val="center"/>
    </w:pPr>
    <w:rPr>
      <w:b w:val="0"/>
      <w:caps w:val="0"/>
      <w:sz w:val="24"/>
    </w:rPr>
  </w:style>
  <w:style w:type="paragraph" w:customStyle="1" w:styleId="IASBNormalL1P">
    <w:name w:val="IASB Normal L1P"/>
    <w:basedOn w:val="IASBNormalL1"/>
    <w:uiPriority w:val="8"/>
    <w:qFormat/>
    <w:rsid w:val="00952474"/>
    <w:pPr>
      <w:ind w:firstLine="0"/>
    </w:pPr>
  </w:style>
  <w:style w:type="paragraph" w:customStyle="1" w:styleId="IASBNormalL2P">
    <w:name w:val="IASB Normal L2P"/>
    <w:basedOn w:val="IASBNormalL1P"/>
    <w:uiPriority w:val="8"/>
    <w:qFormat/>
    <w:rsid w:val="00952474"/>
    <w:pPr>
      <w:ind w:left="1565"/>
    </w:pPr>
  </w:style>
  <w:style w:type="paragraph" w:customStyle="1" w:styleId="IASBNormalnparaC">
    <w:name w:val="IASB Normal nparaC"/>
    <w:basedOn w:val="IASBNormalnpara"/>
    <w:uiPriority w:val="8"/>
    <w:qFormat/>
    <w:rsid w:val="00952474"/>
    <w:pPr>
      <w:spacing w:before="0"/>
    </w:pPr>
  </w:style>
  <w:style w:type="paragraph" w:customStyle="1" w:styleId="IASBEdupara">
    <w:name w:val="IASB Edu para"/>
    <w:basedOn w:val="IASBNormal"/>
    <w:uiPriority w:val="8"/>
    <w:qFormat/>
    <w:rsid w:val="00952474"/>
  </w:style>
  <w:style w:type="paragraph" w:customStyle="1" w:styleId="IASBTableBoldTNR">
    <w:name w:val="IASB Table Bold TNR"/>
    <w:basedOn w:val="Normal"/>
    <w:uiPriority w:val="8"/>
    <w:qFormat/>
    <w:rsid w:val="00952474"/>
    <w:pPr>
      <w:spacing w:before="120"/>
    </w:pPr>
    <w:rPr>
      <w:b/>
      <w:szCs w:val="20"/>
      <w:lang w:eastAsia="en-GB"/>
    </w:rPr>
  </w:style>
  <w:style w:type="paragraph" w:customStyle="1" w:styleId="IASBTableHeaderTNR">
    <w:name w:val="IASB Table Header TNR"/>
    <w:basedOn w:val="Normal"/>
    <w:uiPriority w:val="8"/>
    <w:qFormat/>
    <w:rsid w:val="00952474"/>
    <w:pPr>
      <w:keepNext/>
      <w:spacing w:before="120" w:after="200" w:line="276" w:lineRule="auto"/>
    </w:pPr>
    <w:rPr>
      <w:szCs w:val="20"/>
      <w:lang w:eastAsia="en-GB"/>
    </w:rPr>
  </w:style>
  <w:style w:type="paragraph" w:customStyle="1" w:styleId="IASBTableTNR">
    <w:name w:val="IASB Table TNR"/>
    <w:basedOn w:val="Normal"/>
    <w:uiPriority w:val="8"/>
    <w:qFormat/>
    <w:rsid w:val="00952474"/>
    <w:pPr>
      <w:spacing w:before="120"/>
    </w:pPr>
    <w:rPr>
      <w:szCs w:val="20"/>
      <w:lang w:eastAsia="en-GB"/>
    </w:rPr>
  </w:style>
  <w:style w:type="paragraph" w:customStyle="1" w:styleId="IASBTableArial">
    <w:name w:val="IASB Table Arial"/>
    <w:basedOn w:val="Normal"/>
    <w:uiPriority w:val="8"/>
    <w:rsid w:val="00952474"/>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952474"/>
    <w:rPr>
      <w:b/>
    </w:rPr>
  </w:style>
  <w:style w:type="paragraph" w:customStyle="1" w:styleId="IASBTableHeaderArial">
    <w:name w:val="IASB Table Header Arial"/>
    <w:basedOn w:val="IASBTableArial"/>
    <w:uiPriority w:val="8"/>
    <w:qFormat/>
    <w:rsid w:val="00952474"/>
    <w:pPr>
      <w:keepNext/>
      <w:spacing w:after="200" w:line="276" w:lineRule="auto"/>
    </w:pPr>
  </w:style>
  <w:style w:type="character" w:styleId="EndnoteReference">
    <w:name w:val="endnote reference"/>
    <w:uiPriority w:val="99"/>
    <w:semiHidden/>
    <w:unhideWhenUsed/>
    <w:rsid w:val="00952474"/>
    <w:rPr>
      <w:vertAlign w:val="superscript"/>
    </w:rPr>
  </w:style>
  <w:style w:type="paragraph" w:customStyle="1" w:styleId="ConvSectionTitle">
    <w:name w:val="Conv Section Title"/>
    <w:basedOn w:val="IASBSectionTitle1NonInd"/>
    <w:uiPriority w:val="9"/>
    <w:qFormat/>
    <w:rsid w:val="00952474"/>
    <w:pPr>
      <w:pBdr>
        <w:bottom w:val="none" w:sz="0" w:space="0" w:color="auto"/>
      </w:pBdr>
    </w:pPr>
  </w:style>
  <w:style w:type="paragraph" w:customStyle="1" w:styleId="ConvStandardTitle1">
    <w:name w:val="Conv Standard Title 1"/>
    <w:basedOn w:val="Normal"/>
    <w:next w:val="ConvStandardTitle2"/>
    <w:uiPriority w:val="9"/>
    <w:qFormat/>
    <w:rsid w:val="00952474"/>
    <w:pPr>
      <w:spacing w:before="300"/>
    </w:pPr>
    <w:rPr>
      <w:rFonts w:ascii="Arial" w:hAnsi="Arial"/>
      <w:b/>
      <w:sz w:val="26"/>
    </w:rPr>
  </w:style>
  <w:style w:type="paragraph" w:customStyle="1" w:styleId="ConvStandardTitle2">
    <w:name w:val="Conv Standard Title2"/>
    <w:basedOn w:val="ConvStandardTitle1"/>
    <w:uiPriority w:val="9"/>
    <w:qFormat/>
    <w:rsid w:val="00952474"/>
    <w:pPr>
      <w:spacing w:before="0" w:after="200"/>
    </w:pPr>
    <w:rPr>
      <w:i/>
    </w:rPr>
  </w:style>
  <w:style w:type="paragraph" w:customStyle="1" w:styleId="AASBBase">
    <w:name w:val="AASB Base"/>
    <w:qFormat/>
    <w:rsid w:val="00952474"/>
    <w:pPr>
      <w:jc w:val="both"/>
    </w:pPr>
    <w:rPr>
      <w:sz w:val="19"/>
      <w:lang w:eastAsia="en-US"/>
    </w:rPr>
  </w:style>
  <w:style w:type="paragraph" w:customStyle="1" w:styleId="AASBPara">
    <w:name w:val="AASB Para"/>
    <w:basedOn w:val="AASBBase"/>
    <w:qFormat/>
    <w:rsid w:val="00952474"/>
    <w:pPr>
      <w:spacing w:after="200"/>
    </w:pPr>
  </w:style>
  <w:style w:type="paragraph" w:customStyle="1" w:styleId="AASBStandardCover">
    <w:name w:val="AASB Standard Cover"/>
    <w:semiHidden/>
    <w:qFormat/>
    <w:rsid w:val="00952474"/>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952474"/>
    <w:pPr>
      <w:jc w:val="right"/>
    </w:pPr>
    <w:rPr>
      <w:b w:val="0"/>
      <w:sz w:val="24"/>
    </w:rPr>
  </w:style>
  <w:style w:type="paragraph" w:customStyle="1" w:styleId="AASBStandardNumber">
    <w:name w:val="AASB Standard Number"/>
    <w:basedOn w:val="AASBStandardCover"/>
    <w:semiHidden/>
    <w:qFormat/>
    <w:rsid w:val="00952474"/>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952474"/>
    <w:pPr>
      <w:spacing w:before="800"/>
    </w:pPr>
    <w:rPr>
      <w:b w:val="0"/>
      <w:sz w:val="50"/>
    </w:rPr>
  </w:style>
  <w:style w:type="paragraph" w:customStyle="1" w:styleId="AASBInterpretationCover">
    <w:name w:val="AASB Interpretation Cover"/>
    <w:basedOn w:val="AASBStandardCover"/>
    <w:semiHidden/>
    <w:qFormat/>
    <w:rsid w:val="00952474"/>
    <w:rPr>
      <w:color w:val="41AD49"/>
    </w:rPr>
  </w:style>
  <w:style w:type="paragraph" w:customStyle="1" w:styleId="AASBInterpretationDate">
    <w:name w:val="AASB Interpretation Date"/>
    <w:basedOn w:val="AASBStandardDate"/>
    <w:semiHidden/>
    <w:qFormat/>
    <w:rsid w:val="00952474"/>
    <w:rPr>
      <w:color w:val="41AD49"/>
    </w:rPr>
  </w:style>
  <w:style w:type="paragraph" w:customStyle="1" w:styleId="AASBInterpretationNumber">
    <w:name w:val="AASB Interpretation Number"/>
    <w:basedOn w:val="AASBStandardNumber"/>
    <w:semiHidden/>
    <w:qFormat/>
    <w:rsid w:val="00952474"/>
    <w:rPr>
      <w:color w:val="41AD49"/>
    </w:rPr>
  </w:style>
  <w:style w:type="paragraph" w:customStyle="1" w:styleId="AASBInterpretationTitle">
    <w:name w:val="AASB Interpretation Title"/>
    <w:basedOn w:val="AASBStandardTitle"/>
    <w:semiHidden/>
    <w:qFormat/>
    <w:rsid w:val="00952474"/>
    <w:rPr>
      <w:color w:val="41AD49"/>
    </w:rPr>
  </w:style>
  <w:style w:type="table" w:styleId="TableGrid">
    <w:name w:val="Table Grid"/>
    <w:basedOn w:val="TableNormal"/>
    <w:uiPriority w:val="59"/>
    <w:rsid w:val="00952474"/>
    <w:tblPr>
      <w:tblInd w:w="0" w:type="dxa"/>
      <w:tblCellMar>
        <w:top w:w="0" w:type="dxa"/>
        <w:left w:w="108" w:type="dxa"/>
        <w:bottom w:w="0" w:type="dxa"/>
        <w:right w:w="108" w:type="dxa"/>
      </w:tblCellMar>
    </w:tblPr>
  </w:style>
  <w:style w:type="paragraph" w:customStyle="1" w:styleId="ContentsHeading">
    <w:name w:val="Contents Heading"/>
    <w:basedOn w:val="AASBBase"/>
    <w:next w:val="ContentsLevel1"/>
    <w:qFormat/>
    <w:rsid w:val="00952474"/>
    <w:pPr>
      <w:spacing w:after="60"/>
      <w:jc w:val="right"/>
    </w:pPr>
    <w:rPr>
      <w:i/>
    </w:rPr>
  </w:style>
  <w:style w:type="paragraph" w:customStyle="1" w:styleId="ContentsLevel1">
    <w:name w:val="Contents Level1"/>
    <w:basedOn w:val="AASBBase"/>
    <w:qFormat/>
    <w:rsid w:val="00952474"/>
    <w:pPr>
      <w:tabs>
        <w:tab w:val="right" w:pos="9027"/>
      </w:tabs>
      <w:spacing w:after="60"/>
      <w:ind w:right="1134"/>
    </w:pPr>
    <w:rPr>
      <w:b/>
      <w:caps/>
    </w:rPr>
  </w:style>
  <w:style w:type="paragraph" w:customStyle="1" w:styleId="ContentsLevel2">
    <w:name w:val="Contents Level2"/>
    <w:basedOn w:val="ContentsLevel1"/>
    <w:uiPriority w:val="7"/>
    <w:qFormat/>
    <w:rsid w:val="00952474"/>
    <w:rPr>
      <w:caps w:val="0"/>
    </w:rPr>
  </w:style>
  <w:style w:type="paragraph" w:customStyle="1" w:styleId="ContentsLevel3">
    <w:name w:val="Contents Level3"/>
    <w:basedOn w:val="ContentsLevel2"/>
    <w:uiPriority w:val="7"/>
    <w:qFormat/>
    <w:rsid w:val="00952474"/>
    <w:pPr>
      <w:ind w:left="510"/>
    </w:pPr>
    <w:rPr>
      <w:b w:val="0"/>
    </w:rPr>
  </w:style>
  <w:style w:type="paragraph" w:customStyle="1" w:styleId="ContentsLevel4">
    <w:name w:val="Contents Level4"/>
    <w:basedOn w:val="ContentsLevel3"/>
    <w:uiPriority w:val="7"/>
    <w:qFormat/>
    <w:rsid w:val="00952474"/>
    <w:pPr>
      <w:ind w:left="850"/>
    </w:pPr>
  </w:style>
  <w:style w:type="paragraph" w:styleId="BalloonText">
    <w:name w:val="Balloon Text"/>
    <w:basedOn w:val="Normal"/>
    <w:link w:val="BalloonTextChar"/>
    <w:uiPriority w:val="99"/>
    <w:semiHidden/>
    <w:unhideWhenUsed/>
    <w:rsid w:val="00952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474"/>
    <w:rPr>
      <w:rFonts w:ascii="Segoe UI" w:hAnsi="Segoe UI" w:cs="Segoe UI"/>
      <w:sz w:val="18"/>
      <w:szCs w:val="18"/>
      <w:lang w:eastAsia="en-US"/>
    </w:rPr>
  </w:style>
  <w:style w:type="paragraph" w:customStyle="1" w:styleId="RDRM1">
    <w:name w:val="RDRM1"/>
    <w:basedOn w:val="IASBNormalnpara"/>
    <w:uiPriority w:val="5"/>
    <w:qFormat/>
    <w:rsid w:val="00952474"/>
    <w:pPr>
      <w:shd w:val="pct15" w:color="auto" w:fill="auto"/>
    </w:pPr>
  </w:style>
  <w:style w:type="paragraph" w:customStyle="1" w:styleId="RDRM2">
    <w:name w:val="RDRM2"/>
    <w:basedOn w:val="RDRM1"/>
    <w:uiPriority w:val="5"/>
    <w:qFormat/>
    <w:rsid w:val="00952474"/>
    <w:pPr>
      <w:tabs>
        <w:tab w:val="left" w:pos="782"/>
      </w:tabs>
      <w:ind w:left="1565" w:hanging="1565"/>
    </w:pPr>
  </w:style>
  <w:style w:type="paragraph" w:customStyle="1" w:styleId="RDRM3">
    <w:name w:val="RDRM3"/>
    <w:basedOn w:val="RDRM2"/>
    <w:uiPriority w:val="5"/>
    <w:qFormat/>
    <w:rsid w:val="00952474"/>
    <w:pPr>
      <w:tabs>
        <w:tab w:val="clear" w:pos="782"/>
        <w:tab w:val="left" w:pos="1565"/>
      </w:tabs>
      <w:ind w:left="2347" w:hanging="2347"/>
    </w:pPr>
  </w:style>
  <w:style w:type="paragraph" w:customStyle="1" w:styleId="RDRM4">
    <w:name w:val="RDRM4"/>
    <w:basedOn w:val="RDRM3"/>
    <w:uiPriority w:val="5"/>
    <w:qFormat/>
    <w:rsid w:val="00952474"/>
    <w:pPr>
      <w:tabs>
        <w:tab w:val="clear" w:pos="1565"/>
        <w:tab w:val="left" w:pos="2347"/>
      </w:tabs>
      <w:ind w:left="3130" w:hanging="3130"/>
    </w:pPr>
  </w:style>
  <w:style w:type="paragraph" w:customStyle="1" w:styleId="AusPlain">
    <w:name w:val="Aus Plain"/>
    <w:basedOn w:val="IASBNormalnpara"/>
    <w:uiPriority w:val="1"/>
    <w:qFormat/>
    <w:rsid w:val="00952474"/>
    <w:pPr>
      <w:ind w:left="1565" w:hanging="1565"/>
    </w:pPr>
  </w:style>
  <w:style w:type="paragraph" w:customStyle="1" w:styleId="AusBold">
    <w:name w:val="Aus Bold"/>
    <w:basedOn w:val="AusPlain"/>
    <w:uiPriority w:val="2"/>
    <w:qFormat/>
    <w:rsid w:val="00952474"/>
    <w:rPr>
      <w:b/>
    </w:rPr>
  </w:style>
  <w:style w:type="paragraph" w:customStyle="1" w:styleId="AusPlainRDR">
    <w:name w:val="Aus Plain RDR"/>
    <w:basedOn w:val="AusPlain"/>
    <w:uiPriority w:val="3"/>
    <w:qFormat/>
    <w:rsid w:val="00952474"/>
    <w:pPr>
      <w:shd w:val="pct15" w:color="auto" w:fill="auto"/>
    </w:pPr>
  </w:style>
  <w:style w:type="paragraph" w:customStyle="1" w:styleId="AusBoldRDR">
    <w:name w:val="Aus Bold RDR"/>
    <w:basedOn w:val="AusBold"/>
    <w:uiPriority w:val="4"/>
    <w:qFormat/>
    <w:rsid w:val="00952474"/>
    <w:pPr>
      <w:shd w:val="pct15" w:color="auto" w:fill="auto"/>
    </w:pPr>
  </w:style>
  <w:style w:type="paragraph" w:customStyle="1" w:styleId="RDR11">
    <w:name w:val="RDR11"/>
    <w:basedOn w:val="IASBNormalnparaL1"/>
    <w:uiPriority w:val="6"/>
    <w:qFormat/>
    <w:rsid w:val="00952474"/>
    <w:pPr>
      <w:shd w:val="pct15" w:color="auto" w:fill="auto"/>
    </w:pPr>
  </w:style>
  <w:style w:type="paragraph" w:customStyle="1" w:styleId="RDR12">
    <w:name w:val="RDR12"/>
    <w:basedOn w:val="RDR11"/>
    <w:uiPriority w:val="6"/>
    <w:qFormat/>
    <w:rsid w:val="00952474"/>
    <w:pPr>
      <w:tabs>
        <w:tab w:val="left" w:pos="1565"/>
      </w:tabs>
      <w:ind w:left="2347" w:hanging="1565"/>
    </w:pPr>
  </w:style>
  <w:style w:type="paragraph" w:customStyle="1" w:styleId="RDR13">
    <w:name w:val="RDR13"/>
    <w:basedOn w:val="RDR12"/>
    <w:uiPriority w:val="6"/>
    <w:qFormat/>
    <w:rsid w:val="00952474"/>
    <w:pPr>
      <w:tabs>
        <w:tab w:val="clear" w:pos="1565"/>
        <w:tab w:val="left" w:pos="2347"/>
      </w:tabs>
      <w:ind w:left="3129" w:hanging="2347"/>
    </w:pPr>
  </w:style>
  <w:style w:type="paragraph" w:customStyle="1" w:styleId="RDR21">
    <w:name w:val="RDR21"/>
    <w:basedOn w:val="IASBNormalnparaL2"/>
    <w:uiPriority w:val="6"/>
    <w:qFormat/>
    <w:rsid w:val="00952474"/>
    <w:pPr>
      <w:shd w:val="pct15" w:color="auto" w:fill="auto"/>
    </w:pPr>
  </w:style>
  <w:style w:type="paragraph" w:customStyle="1" w:styleId="RDR22">
    <w:name w:val="RDR22"/>
    <w:basedOn w:val="RDR21"/>
    <w:uiPriority w:val="6"/>
    <w:qFormat/>
    <w:rsid w:val="00952474"/>
    <w:pPr>
      <w:tabs>
        <w:tab w:val="left" w:pos="2347"/>
      </w:tabs>
      <w:ind w:left="3130" w:hanging="1565"/>
    </w:pPr>
  </w:style>
  <w:style w:type="table" w:styleId="TableGrid1">
    <w:name w:val="Table Grid 1"/>
    <w:basedOn w:val="TableNormal"/>
    <w:uiPriority w:val="99"/>
    <w:semiHidden/>
    <w:unhideWhenUsed/>
    <w:rsid w:val="00952474"/>
    <w:tblPr>
      <w:tblInd w:w="0" w:type="dxa"/>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76EA4"/>
    <w:rPr>
      <w:sz w:val="16"/>
      <w:szCs w:val="16"/>
    </w:rPr>
  </w:style>
  <w:style w:type="paragraph" w:styleId="CommentText">
    <w:name w:val="annotation text"/>
    <w:basedOn w:val="Normal"/>
    <w:link w:val="CommentTextChar"/>
    <w:uiPriority w:val="99"/>
    <w:semiHidden/>
    <w:unhideWhenUsed/>
    <w:rsid w:val="00376EA4"/>
    <w:rPr>
      <w:sz w:val="20"/>
      <w:szCs w:val="20"/>
    </w:rPr>
  </w:style>
  <w:style w:type="character" w:customStyle="1" w:styleId="CommentTextChar">
    <w:name w:val="Comment Text Char"/>
    <w:basedOn w:val="DefaultParagraphFont"/>
    <w:link w:val="CommentText"/>
    <w:uiPriority w:val="99"/>
    <w:semiHidden/>
    <w:rsid w:val="00376EA4"/>
    <w:rPr>
      <w:lang w:eastAsia="en-US"/>
    </w:rPr>
  </w:style>
  <w:style w:type="paragraph" w:styleId="CommentSubject">
    <w:name w:val="annotation subject"/>
    <w:basedOn w:val="CommentText"/>
    <w:next w:val="CommentText"/>
    <w:link w:val="CommentSubjectChar"/>
    <w:uiPriority w:val="99"/>
    <w:semiHidden/>
    <w:unhideWhenUsed/>
    <w:rsid w:val="00376EA4"/>
    <w:rPr>
      <w:b/>
      <w:bCs/>
    </w:rPr>
  </w:style>
  <w:style w:type="character" w:customStyle="1" w:styleId="CommentSubjectChar">
    <w:name w:val="Comment Subject Char"/>
    <w:basedOn w:val="CommentTextChar"/>
    <w:link w:val="CommentSubject"/>
    <w:uiPriority w:val="99"/>
    <w:semiHidden/>
    <w:rsid w:val="00376EA4"/>
    <w:rPr>
      <w:b/>
      <w:bCs/>
      <w:lang w:eastAsia="en-US"/>
    </w:rPr>
  </w:style>
  <w:style w:type="paragraph" w:customStyle="1" w:styleId="NumPlain1">
    <w:name w:val="Num Plain1"/>
    <w:basedOn w:val="Normal"/>
    <w:link w:val="NumPlain1Char"/>
    <w:qFormat/>
    <w:rsid w:val="00E83B88"/>
    <w:pPr>
      <w:numPr>
        <w:numId w:val="1"/>
      </w:numPr>
      <w:spacing w:after="200" w:line="200" w:lineRule="exact"/>
    </w:pPr>
    <w:rPr>
      <w:sz w:val="20"/>
      <w:szCs w:val="20"/>
    </w:rPr>
  </w:style>
  <w:style w:type="paragraph" w:customStyle="1" w:styleId="NumPlain2">
    <w:name w:val="Num Plain2"/>
    <w:basedOn w:val="NumPlain1"/>
    <w:rsid w:val="00E83B88"/>
    <w:pPr>
      <w:numPr>
        <w:ilvl w:val="1"/>
      </w:numPr>
    </w:pPr>
  </w:style>
  <w:style w:type="paragraph" w:customStyle="1" w:styleId="NumPlain3">
    <w:name w:val="Num Plain3"/>
    <w:basedOn w:val="NumPlain2"/>
    <w:rsid w:val="00E83B88"/>
    <w:pPr>
      <w:numPr>
        <w:ilvl w:val="2"/>
      </w:numPr>
    </w:pPr>
  </w:style>
  <w:style w:type="paragraph" w:customStyle="1" w:styleId="NumPlain4">
    <w:name w:val="Num Plain4"/>
    <w:basedOn w:val="NumPlain3"/>
    <w:rsid w:val="00E83B88"/>
    <w:pPr>
      <w:numPr>
        <w:ilvl w:val="3"/>
      </w:numPr>
    </w:pPr>
  </w:style>
  <w:style w:type="character" w:customStyle="1" w:styleId="NumPlain1Char">
    <w:name w:val="Num Plain1 Char"/>
    <w:basedOn w:val="DefaultParagraphFont"/>
    <w:link w:val="NumPlain1"/>
    <w:rsid w:val="00E83B88"/>
    <w:rPr>
      <w:lang w:eastAsia="en-US"/>
    </w:rPr>
  </w:style>
  <w:style w:type="paragraph" w:customStyle="1" w:styleId="CoverTitle">
    <w:name w:val="Cover Title"/>
    <w:basedOn w:val="Normal"/>
    <w:rsid w:val="00282AEE"/>
    <w:pPr>
      <w:spacing w:before="800" w:after="500" w:line="500" w:lineRule="exact"/>
    </w:pPr>
    <w:rPr>
      <w:b/>
      <w:sz w:val="50"/>
      <w:szCs w:val="20"/>
    </w:rPr>
  </w:style>
  <w:style w:type="paragraph" w:customStyle="1" w:styleId="CoverStandard">
    <w:name w:val="Cover Standard"/>
    <w:basedOn w:val="Normal"/>
    <w:next w:val="Normal"/>
    <w:rsid w:val="00282AEE"/>
    <w:pPr>
      <w:spacing w:line="280" w:lineRule="exact"/>
    </w:pPr>
    <w:rPr>
      <w:b/>
      <w:sz w:val="28"/>
      <w:szCs w:val="20"/>
    </w:rPr>
  </w:style>
  <w:style w:type="paragraph" w:customStyle="1" w:styleId="CoverNumber">
    <w:name w:val="Cover Number"/>
    <w:basedOn w:val="Normal"/>
    <w:next w:val="Normal"/>
    <w:rsid w:val="00282AEE"/>
    <w:pPr>
      <w:spacing w:line="320" w:lineRule="exact"/>
      <w:jc w:val="right"/>
    </w:pPr>
    <w:rPr>
      <w:b/>
      <w:caps/>
      <w:sz w:val="32"/>
      <w:szCs w:val="20"/>
    </w:rPr>
  </w:style>
  <w:style w:type="paragraph" w:customStyle="1" w:styleId="CoverDate">
    <w:name w:val="Cover Date"/>
    <w:basedOn w:val="Normal"/>
    <w:next w:val="Normal"/>
    <w:rsid w:val="00282AEE"/>
    <w:pPr>
      <w:spacing w:line="240" w:lineRule="exact"/>
      <w:jc w:val="right"/>
    </w:pPr>
    <w:rPr>
      <w:sz w:val="24"/>
      <w:szCs w:val="20"/>
    </w:rPr>
  </w:style>
  <w:style w:type="paragraph" w:styleId="ListParagraph">
    <w:name w:val="List Paragraph"/>
    <w:basedOn w:val="Normal"/>
    <w:uiPriority w:val="34"/>
    <w:qFormat/>
    <w:rsid w:val="00541686"/>
    <w:pPr>
      <w:ind w:left="720"/>
      <w:contextualSpacing/>
    </w:pPr>
  </w:style>
  <w:style w:type="paragraph" w:customStyle="1" w:styleId="NumBold1">
    <w:name w:val="Num Bold1"/>
    <w:basedOn w:val="NumPlain1"/>
    <w:qFormat/>
    <w:rsid w:val="00BE5E74"/>
    <w:rPr>
      <w:b/>
    </w:rPr>
  </w:style>
  <w:style w:type="paragraph" w:customStyle="1" w:styleId="NumBold2">
    <w:name w:val="Num Bold2"/>
    <w:basedOn w:val="NumPlain2"/>
    <w:rsid w:val="00BE5E74"/>
    <w:rPr>
      <w:b/>
    </w:rPr>
  </w:style>
  <w:style w:type="character" w:styleId="Hyperlink">
    <w:name w:val="Hyperlink"/>
    <w:basedOn w:val="DefaultParagraphFont"/>
    <w:uiPriority w:val="99"/>
    <w:unhideWhenUsed/>
    <w:rsid w:val="006456A9"/>
    <w:rPr>
      <w:color w:val="0000FF" w:themeColor="hyperlink"/>
      <w:u w:val="single"/>
    </w:rPr>
  </w:style>
  <w:style w:type="paragraph" w:customStyle="1" w:styleId="Default">
    <w:name w:val="Default"/>
    <w:rsid w:val="008A7B3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unhideWhenUsed="0"/>
    <w:lsdException w:name="footer" w:unhideWhenUsed="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
    <w:qFormat/>
    <w:rsid w:val="00EA5F22"/>
    <w:rPr>
      <w:sz w:val="19"/>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uiPriority w:val="8"/>
    <w:rsid w:val="00952474"/>
    <w:pPr>
      <w:tabs>
        <w:tab w:val="left" w:pos="4253"/>
      </w:tabs>
      <w:spacing w:before="100" w:after="100"/>
      <w:jc w:val="both"/>
    </w:pPr>
    <w:rPr>
      <w:sz w:val="19"/>
      <w:lang w:eastAsia="en-US"/>
    </w:rPr>
  </w:style>
  <w:style w:type="paragraph" w:customStyle="1" w:styleId="IASBNormalnpara">
    <w:name w:val="IASB Normal npara"/>
    <w:basedOn w:val="IASBNormal"/>
    <w:uiPriority w:val="8"/>
    <w:rsid w:val="00952474"/>
    <w:pPr>
      <w:tabs>
        <w:tab w:val="clear" w:pos="4253"/>
      </w:tabs>
      <w:spacing w:after="0"/>
      <w:ind w:left="782" w:hanging="782"/>
    </w:pPr>
  </w:style>
  <w:style w:type="paragraph" w:customStyle="1" w:styleId="IASBSectionTitle1Ind">
    <w:name w:val="IASB Section Title 1 Ind"/>
    <w:basedOn w:val="Normal"/>
    <w:uiPriority w:val="8"/>
    <w:rsid w:val="00952474"/>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uiPriority w:val="8"/>
    <w:rsid w:val="00952474"/>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952474"/>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uiPriority w:val="8"/>
    <w:rsid w:val="00952474"/>
    <w:pPr>
      <w:spacing w:before="240"/>
      <w:ind w:left="782"/>
    </w:pPr>
  </w:style>
  <w:style w:type="paragraph" w:customStyle="1" w:styleId="IASBSectionTitle3NonInd">
    <w:name w:val="IASB Section Title 3 NonInd"/>
    <w:basedOn w:val="Normal"/>
    <w:uiPriority w:val="8"/>
    <w:rsid w:val="00952474"/>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952474"/>
    <w:pPr>
      <w:spacing w:before="240"/>
      <w:ind w:left="782"/>
    </w:pPr>
  </w:style>
  <w:style w:type="paragraph" w:customStyle="1" w:styleId="IASBSectionTitle4NonInd">
    <w:name w:val="IASB Section Title 4 NonInd"/>
    <w:basedOn w:val="Normal"/>
    <w:uiPriority w:val="8"/>
    <w:rsid w:val="00952474"/>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952474"/>
    <w:pPr>
      <w:ind w:left="782"/>
    </w:pPr>
  </w:style>
  <w:style w:type="paragraph" w:customStyle="1" w:styleId="IASBSectionTitle5NonInd">
    <w:name w:val="IASB Section Title 5 NonInd"/>
    <w:basedOn w:val="Normal"/>
    <w:uiPriority w:val="8"/>
    <w:rsid w:val="00952474"/>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952474"/>
    <w:pPr>
      <w:ind w:left="782"/>
    </w:pPr>
  </w:style>
  <w:style w:type="paragraph" w:customStyle="1" w:styleId="IASBSectionTitle6NonInd">
    <w:name w:val="IASB Section Title 6 NonInd"/>
    <w:basedOn w:val="IASBSectionTitle5NonInd"/>
    <w:uiPriority w:val="8"/>
    <w:rsid w:val="00952474"/>
    <w:pPr>
      <w:outlineLvl w:val="5"/>
    </w:pPr>
    <w:rPr>
      <w:b w:val="0"/>
      <w:i/>
    </w:rPr>
  </w:style>
  <w:style w:type="paragraph" w:customStyle="1" w:styleId="IASBSectionTitle6Ind">
    <w:name w:val="IASB Section Title 6 Ind"/>
    <w:basedOn w:val="IASBSectionTitle6NonInd"/>
    <w:uiPriority w:val="8"/>
    <w:rsid w:val="00952474"/>
    <w:pPr>
      <w:ind w:left="782"/>
    </w:pPr>
  </w:style>
  <w:style w:type="paragraph" w:customStyle="1" w:styleId="IASBTitle">
    <w:name w:val="IASB Title"/>
    <w:uiPriority w:val="8"/>
    <w:rsid w:val="00952474"/>
    <w:pPr>
      <w:keepNext/>
      <w:keepLines/>
      <w:spacing w:before="300" w:after="400"/>
    </w:pPr>
    <w:rPr>
      <w:rFonts w:cs="Arial"/>
      <w:sz w:val="36"/>
      <w:lang w:eastAsia="en-US"/>
    </w:rPr>
  </w:style>
  <w:style w:type="paragraph" w:customStyle="1" w:styleId="IASBNormalnparaL1">
    <w:name w:val="IASB Normal nparaL1"/>
    <w:basedOn w:val="IASBNormalnpara"/>
    <w:uiPriority w:val="8"/>
    <w:rsid w:val="00952474"/>
    <w:pPr>
      <w:ind w:left="1564"/>
    </w:pPr>
  </w:style>
  <w:style w:type="paragraph" w:customStyle="1" w:styleId="IASBNormalnparaP">
    <w:name w:val="IASB Normal nparaP"/>
    <w:basedOn w:val="IASBNormal"/>
    <w:uiPriority w:val="8"/>
    <w:rsid w:val="00952474"/>
    <w:pPr>
      <w:ind w:left="782"/>
    </w:pPr>
  </w:style>
  <w:style w:type="paragraph" w:customStyle="1" w:styleId="IASBIdentifier">
    <w:name w:val="IASB Identifier"/>
    <w:basedOn w:val="IASBTitle"/>
    <w:uiPriority w:val="8"/>
    <w:rsid w:val="00952474"/>
    <w:pPr>
      <w:spacing w:after="200"/>
    </w:pPr>
    <w:rPr>
      <w:rFonts w:ascii="Arial" w:hAnsi="Arial"/>
      <w:b/>
      <w:sz w:val="23"/>
    </w:rPr>
  </w:style>
  <w:style w:type="paragraph" w:customStyle="1" w:styleId="IASBTOCPrimary">
    <w:name w:val="IASB TOC Primary"/>
    <w:basedOn w:val="Normal"/>
    <w:uiPriority w:val="8"/>
    <w:rsid w:val="00952474"/>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952474"/>
    <w:pPr>
      <w:spacing w:before="30" w:after="30"/>
    </w:pPr>
    <w:rPr>
      <w:rFonts w:ascii="Arial" w:hAnsi="Arial" w:cs="Arial"/>
      <w:i/>
      <w:sz w:val="18"/>
      <w:szCs w:val="20"/>
    </w:rPr>
  </w:style>
  <w:style w:type="paragraph" w:customStyle="1" w:styleId="IASBTOCSecondary">
    <w:name w:val="IASB TOC Secondary"/>
    <w:basedOn w:val="Normal"/>
    <w:uiPriority w:val="8"/>
    <w:rsid w:val="00952474"/>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952474"/>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952474"/>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952474"/>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952474"/>
    <w:rPr>
      <w:i/>
    </w:rPr>
  </w:style>
  <w:style w:type="paragraph" w:customStyle="1" w:styleId="IASBBlockquote">
    <w:name w:val="IASB Blockquote"/>
    <w:basedOn w:val="IASBNormal"/>
    <w:uiPriority w:val="8"/>
    <w:rsid w:val="00952474"/>
    <w:pPr>
      <w:ind w:left="1565"/>
    </w:pPr>
    <w:rPr>
      <w:sz w:val="16"/>
    </w:rPr>
  </w:style>
  <w:style w:type="character" w:customStyle="1" w:styleId="IASBEduinsert">
    <w:name w:val="IASB Edu insert"/>
    <w:uiPriority w:val="8"/>
    <w:qFormat/>
    <w:rsid w:val="00952474"/>
  </w:style>
  <w:style w:type="character" w:styleId="FootnoteReference">
    <w:name w:val="footnote reference"/>
    <w:uiPriority w:val="99"/>
    <w:semiHidden/>
    <w:unhideWhenUsed/>
    <w:rsid w:val="00952474"/>
    <w:rPr>
      <w:vertAlign w:val="superscript"/>
    </w:rPr>
  </w:style>
  <w:style w:type="paragraph" w:styleId="FootnoteText">
    <w:name w:val="footnote text"/>
    <w:basedOn w:val="IASBSectionTitle2Ind"/>
    <w:next w:val="IASBBlockquote"/>
    <w:link w:val="FootnoteTextChar"/>
    <w:semiHidden/>
    <w:rsid w:val="00EA5F22"/>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99"/>
    <w:semiHidden/>
    <w:rsid w:val="00EA5F22"/>
    <w:rPr>
      <w:sz w:val="16"/>
      <w:lang w:eastAsia="en-US"/>
    </w:rPr>
  </w:style>
  <w:style w:type="paragraph" w:customStyle="1" w:styleId="IASBNormalL1">
    <w:name w:val="IASB Normal L1"/>
    <w:basedOn w:val="IASBNormalnpara"/>
    <w:uiPriority w:val="8"/>
    <w:rsid w:val="00952474"/>
  </w:style>
  <w:style w:type="paragraph" w:styleId="Header">
    <w:name w:val="header"/>
    <w:basedOn w:val="Normal"/>
    <w:link w:val="HeaderChar"/>
    <w:uiPriority w:val="99"/>
    <w:rsid w:val="00952474"/>
    <w:pPr>
      <w:tabs>
        <w:tab w:val="center" w:pos="4536"/>
        <w:tab w:val="right" w:pos="9072"/>
      </w:tabs>
    </w:pPr>
    <w:rPr>
      <w:sz w:val="20"/>
    </w:rPr>
  </w:style>
  <w:style w:type="character" w:customStyle="1" w:styleId="HeaderChar">
    <w:name w:val="Header Char"/>
    <w:link w:val="Header"/>
    <w:uiPriority w:val="99"/>
    <w:rsid w:val="00952474"/>
    <w:rPr>
      <w:szCs w:val="24"/>
      <w:lang w:eastAsia="en-US"/>
    </w:rPr>
  </w:style>
  <w:style w:type="paragraph" w:styleId="Footer">
    <w:name w:val="footer"/>
    <w:basedOn w:val="Normal"/>
    <w:link w:val="FooterChar"/>
    <w:uiPriority w:val="99"/>
    <w:rsid w:val="00952474"/>
    <w:pPr>
      <w:tabs>
        <w:tab w:val="center" w:pos="4536"/>
        <w:tab w:val="right" w:pos="9072"/>
      </w:tabs>
    </w:pPr>
  </w:style>
  <w:style w:type="character" w:customStyle="1" w:styleId="FooterChar">
    <w:name w:val="Footer Char"/>
    <w:link w:val="Footer"/>
    <w:uiPriority w:val="99"/>
    <w:rsid w:val="00952474"/>
    <w:rPr>
      <w:sz w:val="19"/>
      <w:szCs w:val="24"/>
      <w:lang w:eastAsia="en-US"/>
    </w:rPr>
  </w:style>
  <w:style w:type="paragraph" w:customStyle="1" w:styleId="IASBRubricL1">
    <w:name w:val="IASB RubricL1"/>
    <w:basedOn w:val="IASBRubric"/>
    <w:uiPriority w:val="8"/>
    <w:rsid w:val="00952474"/>
    <w:pPr>
      <w:ind w:left="782" w:hanging="782"/>
      <w:jc w:val="left"/>
    </w:pPr>
    <w:rPr>
      <w:lang w:eastAsia="en-GB"/>
    </w:rPr>
  </w:style>
  <w:style w:type="paragraph" w:customStyle="1" w:styleId="IASBRubricL2">
    <w:name w:val="IASB RubricL2"/>
    <w:basedOn w:val="IASBRubricL1"/>
    <w:uiPriority w:val="8"/>
    <w:rsid w:val="00952474"/>
    <w:pPr>
      <w:tabs>
        <w:tab w:val="left" w:pos="782"/>
      </w:tabs>
      <w:ind w:left="1565" w:hanging="1565"/>
    </w:pPr>
  </w:style>
  <w:style w:type="paragraph" w:customStyle="1" w:styleId="IASBRubricL3">
    <w:name w:val="IASB RubricL3"/>
    <w:basedOn w:val="IASBRubricL2"/>
    <w:uiPriority w:val="8"/>
    <w:rsid w:val="00952474"/>
    <w:pPr>
      <w:tabs>
        <w:tab w:val="clear" w:pos="782"/>
        <w:tab w:val="left" w:pos="1565"/>
      </w:tabs>
      <w:ind w:left="2347" w:hanging="2347"/>
    </w:pPr>
  </w:style>
  <w:style w:type="paragraph" w:customStyle="1" w:styleId="IASBNormalnparaL2">
    <w:name w:val="IASB Normal nparaL2"/>
    <w:basedOn w:val="IASBNormalnparaL1"/>
    <w:uiPriority w:val="8"/>
    <w:rsid w:val="00952474"/>
    <w:pPr>
      <w:ind w:left="2347"/>
    </w:pPr>
  </w:style>
  <w:style w:type="paragraph" w:customStyle="1" w:styleId="IASBNormalnparaL3">
    <w:name w:val="IASB Normal nparaL3"/>
    <w:basedOn w:val="IASBNormalnparaL2"/>
    <w:uiPriority w:val="8"/>
    <w:rsid w:val="00952474"/>
    <w:pPr>
      <w:ind w:left="3129"/>
    </w:pPr>
  </w:style>
  <w:style w:type="paragraph" w:customStyle="1" w:styleId="IASBNormalnparaL4">
    <w:name w:val="IASB Normal nparaL4"/>
    <w:basedOn w:val="IASBNormalnparaL3"/>
    <w:uiPriority w:val="8"/>
    <w:rsid w:val="00952474"/>
    <w:pPr>
      <w:ind w:left="3912"/>
    </w:pPr>
  </w:style>
  <w:style w:type="paragraph" w:customStyle="1" w:styleId="IASBNormalnparaL5">
    <w:name w:val="IASB Normal nparaL5"/>
    <w:basedOn w:val="IASBNormalnparaL4"/>
    <w:uiPriority w:val="8"/>
    <w:rsid w:val="00952474"/>
    <w:pPr>
      <w:ind w:left="4694"/>
    </w:pPr>
  </w:style>
  <w:style w:type="paragraph" w:customStyle="1" w:styleId="IASBNormalnparaL1P">
    <w:name w:val="IASB Normal nparaL1P"/>
    <w:basedOn w:val="IASBNormalnparaL2"/>
    <w:uiPriority w:val="8"/>
    <w:rsid w:val="00952474"/>
    <w:pPr>
      <w:ind w:left="1565" w:firstLine="0"/>
    </w:pPr>
  </w:style>
  <w:style w:type="paragraph" w:customStyle="1" w:styleId="IASBNormalnparaL2P">
    <w:name w:val="IASB Normal nparaL2P"/>
    <w:basedOn w:val="IASBNormalnparaL1P"/>
    <w:uiPriority w:val="8"/>
    <w:rsid w:val="00952474"/>
    <w:pPr>
      <w:ind w:left="2347"/>
    </w:pPr>
  </w:style>
  <w:style w:type="paragraph" w:customStyle="1" w:styleId="IASBNormalnparaL3P">
    <w:name w:val="IASB Normal nparaL3P"/>
    <w:basedOn w:val="IASBNormalnparaL2P"/>
    <w:uiPriority w:val="8"/>
    <w:rsid w:val="00952474"/>
    <w:pPr>
      <w:ind w:left="3130"/>
    </w:pPr>
  </w:style>
  <w:style w:type="paragraph" w:customStyle="1" w:styleId="IASBNormalnparaL4P">
    <w:name w:val="IASB Normal nparaL4P"/>
    <w:basedOn w:val="IASBNormalnparaL3P"/>
    <w:uiPriority w:val="8"/>
    <w:rsid w:val="00952474"/>
    <w:pPr>
      <w:ind w:left="3912"/>
    </w:pPr>
  </w:style>
  <w:style w:type="paragraph" w:customStyle="1" w:styleId="IASBNormalnparaL5P">
    <w:name w:val="IASB Normal nparaL5P"/>
    <w:basedOn w:val="IASBNormalnparaL4P"/>
    <w:uiPriority w:val="8"/>
    <w:rsid w:val="00952474"/>
    <w:pPr>
      <w:ind w:left="4751"/>
    </w:pPr>
  </w:style>
  <w:style w:type="paragraph" w:customStyle="1" w:styleId="IASBBlockquoteL1">
    <w:name w:val="IASB BlockquoteL1"/>
    <w:basedOn w:val="IASBBlockquote"/>
    <w:uiPriority w:val="8"/>
    <w:rsid w:val="00952474"/>
    <w:pPr>
      <w:ind w:left="2347" w:hanging="782"/>
    </w:pPr>
  </w:style>
  <w:style w:type="paragraph" w:customStyle="1" w:styleId="IASBBlockquoteL2">
    <w:name w:val="IASB BlockquoteL2"/>
    <w:basedOn w:val="IASBBlockquoteL1"/>
    <w:uiPriority w:val="8"/>
    <w:rsid w:val="00952474"/>
    <w:pPr>
      <w:ind w:left="3129"/>
    </w:pPr>
  </w:style>
  <w:style w:type="paragraph" w:customStyle="1" w:styleId="IASBNormalL2">
    <w:name w:val="IASB Normal L2"/>
    <w:basedOn w:val="IASBNormalL1"/>
    <w:uiPriority w:val="8"/>
    <w:rsid w:val="00952474"/>
    <w:pPr>
      <w:ind w:left="1564"/>
    </w:pPr>
  </w:style>
  <w:style w:type="paragraph" w:customStyle="1" w:styleId="IASBTOCQuartery">
    <w:name w:val="IASB TOC Quartery"/>
    <w:basedOn w:val="IASBTOCTertiary"/>
    <w:uiPriority w:val="8"/>
    <w:rsid w:val="00952474"/>
    <w:pPr>
      <w:ind w:left="851"/>
    </w:pPr>
  </w:style>
  <w:style w:type="paragraph" w:customStyle="1" w:styleId="IASBNoteTitle">
    <w:name w:val="IASB Note Title"/>
    <w:basedOn w:val="IASBTOCPrimary"/>
    <w:uiPriority w:val="8"/>
    <w:rsid w:val="00952474"/>
    <w:pPr>
      <w:jc w:val="center"/>
    </w:pPr>
    <w:rPr>
      <w:b w:val="0"/>
      <w:caps w:val="0"/>
      <w:sz w:val="24"/>
    </w:rPr>
  </w:style>
  <w:style w:type="paragraph" w:customStyle="1" w:styleId="IASBNormalL1P">
    <w:name w:val="IASB Normal L1P"/>
    <w:basedOn w:val="IASBNormalL1"/>
    <w:uiPriority w:val="8"/>
    <w:qFormat/>
    <w:rsid w:val="00952474"/>
    <w:pPr>
      <w:ind w:firstLine="0"/>
    </w:pPr>
  </w:style>
  <w:style w:type="paragraph" w:customStyle="1" w:styleId="IASBNormalL2P">
    <w:name w:val="IASB Normal L2P"/>
    <w:basedOn w:val="IASBNormalL1P"/>
    <w:uiPriority w:val="8"/>
    <w:qFormat/>
    <w:rsid w:val="00952474"/>
    <w:pPr>
      <w:ind w:left="1565"/>
    </w:pPr>
  </w:style>
  <w:style w:type="paragraph" w:customStyle="1" w:styleId="IASBNormalnparaC">
    <w:name w:val="IASB Normal nparaC"/>
    <w:basedOn w:val="IASBNormalnpara"/>
    <w:uiPriority w:val="8"/>
    <w:qFormat/>
    <w:rsid w:val="00952474"/>
    <w:pPr>
      <w:spacing w:before="0"/>
    </w:pPr>
  </w:style>
  <w:style w:type="paragraph" w:customStyle="1" w:styleId="IASBEdupara">
    <w:name w:val="IASB Edu para"/>
    <w:basedOn w:val="IASBNormal"/>
    <w:uiPriority w:val="8"/>
    <w:qFormat/>
    <w:rsid w:val="00952474"/>
  </w:style>
  <w:style w:type="paragraph" w:customStyle="1" w:styleId="IASBTableBoldTNR">
    <w:name w:val="IASB Table Bold TNR"/>
    <w:basedOn w:val="Normal"/>
    <w:uiPriority w:val="8"/>
    <w:qFormat/>
    <w:rsid w:val="00952474"/>
    <w:pPr>
      <w:spacing w:before="120"/>
    </w:pPr>
    <w:rPr>
      <w:b/>
      <w:szCs w:val="20"/>
      <w:lang w:eastAsia="en-GB"/>
    </w:rPr>
  </w:style>
  <w:style w:type="paragraph" w:customStyle="1" w:styleId="IASBTableHeaderTNR">
    <w:name w:val="IASB Table Header TNR"/>
    <w:basedOn w:val="Normal"/>
    <w:uiPriority w:val="8"/>
    <w:qFormat/>
    <w:rsid w:val="00952474"/>
    <w:pPr>
      <w:keepNext/>
      <w:spacing w:before="120" w:after="200" w:line="276" w:lineRule="auto"/>
    </w:pPr>
    <w:rPr>
      <w:szCs w:val="20"/>
      <w:lang w:eastAsia="en-GB"/>
    </w:rPr>
  </w:style>
  <w:style w:type="paragraph" w:customStyle="1" w:styleId="IASBTableTNR">
    <w:name w:val="IASB Table TNR"/>
    <w:basedOn w:val="Normal"/>
    <w:uiPriority w:val="8"/>
    <w:qFormat/>
    <w:rsid w:val="00952474"/>
    <w:pPr>
      <w:spacing w:before="120"/>
    </w:pPr>
    <w:rPr>
      <w:szCs w:val="20"/>
      <w:lang w:eastAsia="en-GB"/>
    </w:rPr>
  </w:style>
  <w:style w:type="paragraph" w:customStyle="1" w:styleId="IASBTableArial">
    <w:name w:val="IASB Table Arial"/>
    <w:basedOn w:val="Normal"/>
    <w:uiPriority w:val="8"/>
    <w:rsid w:val="00952474"/>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952474"/>
    <w:rPr>
      <w:b/>
    </w:rPr>
  </w:style>
  <w:style w:type="paragraph" w:customStyle="1" w:styleId="IASBTableHeaderArial">
    <w:name w:val="IASB Table Header Arial"/>
    <w:basedOn w:val="IASBTableArial"/>
    <w:uiPriority w:val="8"/>
    <w:qFormat/>
    <w:rsid w:val="00952474"/>
    <w:pPr>
      <w:keepNext/>
      <w:spacing w:after="200" w:line="276" w:lineRule="auto"/>
    </w:pPr>
  </w:style>
  <w:style w:type="character" w:styleId="EndnoteReference">
    <w:name w:val="endnote reference"/>
    <w:uiPriority w:val="99"/>
    <w:semiHidden/>
    <w:unhideWhenUsed/>
    <w:rsid w:val="00952474"/>
    <w:rPr>
      <w:vertAlign w:val="superscript"/>
    </w:rPr>
  </w:style>
  <w:style w:type="paragraph" w:customStyle="1" w:styleId="ConvSectionTitle">
    <w:name w:val="Conv Section Title"/>
    <w:basedOn w:val="IASBSectionTitle1NonInd"/>
    <w:uiPriority w:val="9"/>
    <w:qFormat/>
    <w:rsid w:val="00952474"/>
    <w:pPr>
      <w:pBdr>
        <w:bottom w:val="none" w:sz="0" w:space="0" w:color="auto"/>
      </w:pBdr>
    </w:pPr>
  </w:style>
  <w:style w:type="paragraph" w:customStyle="1" w:styleId="ConvStandardTitle1">
    <w:name w:val="Conv Standard Title 1"/>
    <w:basedOn w:val="Normal"/>
    <w:next w:val="ConvStandardTitle2"/>
    <w:uiPriority w:val="9"/>
    <w:qFormat/>
    <w:rsid w:val="00952474"/>
    <w:pPr>
      <w:spacing w:before="300"/>
    </w:pPr>
    <w:rPr>
      <w:rFonts w:ascii="Arial" w:hAnsi="Arial"/>
      <w:b/>
      <w:sz w:val="26"/>
    </w:rPr>
  </w:style>
  <w:style w:type="paragraph" w:customStyle="1" w:styleId="ConvStandardTitle2">
    <w:name w:val="Conv Standard Title2"/>
    <w:basedOn w:val="ConvStandardTitle1"/>
    <w:uiPriority w:val="9"/>
    <w:qFormat/>
    <w:rsid w:val="00952474"/>
    <w:pPr>
      <w:spacing w:before="0" w:after="200"/>
    </w:pPr>
    <w:rPr>
      <w:i/>
    </w:rPr>
  </w:style>
  <w:style w:type="paragraph" w:customStyle="1" w:styleId="AASBBase">
    <w:name w:val="AASB Base"/>
    <w:qFormat/>
    <w:rsid w:val="00952474"/>
    <w:pPr>
      <w:jc w:val="both"/>
    </w:pPr>
    <w:rPr>
      <w:sz w:val="19"/>
      <w:lang w:eastAsia="en-US"/>
    </w:rPr>
  </w:style>
  <w:style w:type="paragraph" w:customStyle="1" w:styleId="AASBPara">
    <w:name w:val="AASB Para"/>
    <w:basedOn w:val="AASBBase"/>
    <w:qFormat/>
    <w:rsid w:val="00952474"/>
    <w:pPr>
      <w:spacing w:after="200"/>
    </w:pPr>
  </w:style>
  <w:style w:type="paragraph" w:customStyle="1" w:styleId="AASBStandardCover">
    <w:name w:val="AASB Standard Cover"/>
    <w:semiHidden/>
    <w:qFormat/>
    <w:rsid w:val="00952474"/>
    <w:rPr>
      <w:rFonts w:ascii="HelveticaNeueLT Std" w:hAnsi="HelveticaNeueLT Std"/>
      <w:b/>
      <w:color w:val="25408F"/>
      <w:sz w:val="28"/>
      <w:szCs w:val="24"/>
      <w:lang w:eastAsia="en-US"/>
    </w:rPr>
  </w:style>
  <w:style w:type="paragraph" w:customStyle="1" w:styleId="AASBStandardDate">
    <w:name w:val="AASB Standard Date"/>
    <w:basedOn w:val="AASBStandardCover"/>
    <w:semiHidden/>
    <w:qFormat/>
    <w:rsid w:val="00952474"/>
    <w:pPr>
      <w:jc w:val="right"/>
    </w:pPr>
    <w:rPr>
      <w:b w:val="0"/>
      <w:sz w:val="24"/>
    </w:rPr>
  </w:style>
  <w:style w:type="paragraph" w:customStyle="1" w:styleId="AASBStandardNumber">
    <w:name w:val="AASB Standard Number"/>
    <w:basedOn w:val="AASBStandardCover"/>
    <w:semiHidden/>
    <w:qFormat/>
    <w:rsid w:val="00952474"/>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952474"/>
    <w:pPr>
      <w:spacing w:before="800"/>
    </w:pPr>
    <w:rPr>
      <w:b w:val="0"/>
      <w:sz w:val="50"/>
    </w:rPr>
  </w:style>
  <w:style w:type="paragraph" w:customStyle="1" w:styleId="AASBInterpretationCover">
    <w:name w:val="AASB Interpretation Cover"/>
    <w:basedOn w:val="AASBStandardCover"/>
    <w:semiHidden/>
    <w:qFormat/>
    <w:rsid w:val="00952474"/>
    <w:rPr>
      <w:color w:val="41AD49"/>
    </w:rPr>
  </w:style>
  <w:style w:type="paragraph" w:customStyle="1" w:styleId="AASBInterpretationDate">
    <w:name w:val="AASB Interpretation Date"/>
    <w:basedOn w:val="AASBStandardDate"/>
    <w:semiHidden/>
    <w:qFormat/>
    <w:rsid w:val="00952474"/>
    <w:rPr>
      <w:color w:val="41AD49"/>
    </w:rPr>
  </w:style>
  <w:style w:type="paragraph" w:customStyle="1" w:styleId="AASBInterpretationNumber">
    <w:name w:val="AASB Interpretation Number"/>
    <w:basedOn w:val="AASBStandardNumber"/>
    <w:semiHidden/>
    <w:qFormat/>
    <w:rsid w:val="00952474"/>
    <w:rPr>
      <w:color w:val="41AD49"/>
    </w:rPr>
  </w:style>
  <w:style w:type="paragraph" w:customStyle="1" w:styleId="AASBInterpretationTitle">
    <w:name w:val="AASB Interpretation Title"/>
    <w:basedOn w:val="AASBStandardTitle"/>
    <w:semiHidden/>
    <w:qFormat/>
    <w:rsid w:val="00952474"/>
    <w:rPr>
      <w:color w:val="41AD49"/>
    </w:rPr>
  </w:style>
  <w:style w:type="table" w:styleId="TableGrid">
    <w:name w:val="Table Grid"/>
    <w:basedOn w:val="TableNormal"/>
    <w:uiPriority w:val="59"/>
    <w:rsid w:val="00952474"/>
    <w:tblPr>
      <w:tblInd w:w="0" w:type="dxa"/>
      <w:tblCellMar>
        <w:top w:w="0" w:type="dxa"/>
        <w:left w:w="108" w:type="dxa"/>
        <w:bottom w:w="0" w:type="dxa"/>
        <w:right w:w="108" w:type="dxa"/>
      </w:tblCellMar>
    </w:tblPr>
  </w:style>
  <w:style w:type="paragraph" w:customStyle="1" w:styleId="ContentsHeading">
    <w:name w:val="Contents Heading"/>
    <w:basedOn w:val="AASBBase"/>
    <w:next w:val="ContentsLevel1"/>
    <w:qFormat/>
    <w:rsid w:val="00952474"/>
    <w:pPr>
      <w:spacing w:after="60"/>
      <w:jc w:val="right"/>
    </w:pPr>
    <w:rPr>
      <w:i/>
    </w:rPr>
  </w:style>
  <w:style w:type="paragraph" w:customStyle="1" w:styleId="ContentsLevel1">
    <w:name w:val="Contents Level1"/>
    <w:basedOn w:val="AASBBase"/>
    <w:qFormat/>
    <w:rsid w:val="00952474"/>
    <w:pPr>
      <w:tabs>
        <w:tab w:val="right" w:pos="9027"/>
      </w:tabs>
      <w:spacing w:after="60"/>
      <w:ind w:right="1134"/>
    </w:pPr>
    <w:rPr>
      <w:b/>
      <w:caps/>
    </w:rPr>
  </w:style>
  <w:style w:type="paragraph" w:customStyle="1" w:styleId="ContentsLevel2">
    <w:name w:val="Contents Level2"/>
    <w:basedOn w:val="ContentsLevel1"/>
    <w:uiPriority w:val="7"/>
    <w:qFormat/>
    <w:rsid w:val="00952474"/>
    <w:rPr>
      <w:caps w:val="0"/>
    </w:rPr>
  </w:style>
  <w:style w:type="paragraph" w:customStyle="1" w:styleId="ContentsLevel3">
    <w:name w:val="Contents Level3"/>
    <w:basedOn w:val="ContentsLevel2"/>
    <w:uiPriority w:val="7"/>
    <w:qFormat/>
    <w:rsid w:val="00952474"/>
    <w:pPr>
      <w:ind w:left="510"/>
    </w:pPr>
    <w:rPr>
      <w:b w:val="0"/>
    </w:rPr>
  </w:style>
  <w:style w:type="paragraph" w:customStyle="1" w:styleId="ContentsLevel4">
    <w:name w:val="Contents Level4"/>
    <w:basedOn w:val="ContentsLevel3"/>
    <w:uiPriority w:val="7"/>
    <w:qFormat/>
    <w:rsid w:val="00952474"/>
    <w:pPr>
      <w:ind w:left="850"/>
    </w:pPr>
  </w:style>
  <w:style w:type="paragraph" w:styleId="BalloonText">
    <w:name w:val="Balloon Text"/>
    <w:basedOn w:val="Normal"/>
    <w:link w:val="BalloonTextChar"/>
    <w:uiPriority w:val="99"/>
    <w:semiHidden/>
    <w:unhideWhenUsed/>
    <w:rsid w:val="00952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474"/>
    <w:rPr>
      <w:rFonts w:ascii="Segoe UI" w:hAnsi="Segoe UI" w:cs="Segoe UI"/>
      <w:sz w:val="18"/>
      <w:szCs w:val="18"/>
      <w:lang w:eastAsia="en-US"/>
    </w:rPr>
  </w:style>
  <w:style w:type="paragraph" w:customStyle="1" w:styleId="RDRM1">
    <w:name w:val="RDRM1"/>
    <w:basedOn w:val="IASBNormalnpara"/>
    <w:uiPriority w:val="5"/>
    <w:qFormat/>
    <w:rsid w:val="00952474"/>
    <w:pPr>
      <w:shd w:val="pct15" w:color="auto" w:fill="auto"/>
    </w:pPr>
  </w:style>
  <w:style w:type="paragraph" w:customStyle="1" w:styleId="RDRM2">
    <w:name w:val="RDRM2"/>
    <w:basedOn w:val="RDRM1"/>
    <w:uiPriority w:val="5"/>
    <w:qFormat/>
    <w:rsid w:val="00952474"/>
    <w:pPr>
      <w:tabs>
        <w:tab w:val="left" w:pos="782"/>
      </w:tabs>
      <w:ind w:left="1565" w:hanging="1565"/>
    </w:pPr>
  </w:style>
  <w:style w:type="paragraph" w:customStyle="1" w:styleId="RDRM3">
    <w:name w:val="RDRM3"/>
    <w:basedOn w:val="RDRM2"/>
    <w:uiPriority w:val="5"/>
    <w:qFormat/>
    <w:rsid w:val="00952474"/>
    <w:pPr>
      <w:tabs>
        <w:tab w:val="clear" w:pos="782"/>
        <w:tab w:val="left" w:pos="1565"/>
      </w:tabs>
      <w:ind w:left="2347" w:hanging="2347"/>
    </w:pPr>
  </w:style>
  <w:style w:type="paragraph" w:customStyle="1" w:styleId="RDRM4">
    <w:name w:val="RDRM4"/>
    <w:basedOn w:val="RDRM3"/>
    <w:uiPriority w:val="5"/>
    <w:qFormat/>
    <w:rsid w:val="00952474"/>
    <w:pPr>
      <w:tabs>
        <w:tab w:val="clear" w:pos="1565"/>
        <w:tab w:val="left" w:pos="2347"/>
      </w:tabs>
      <w:ind w:left="3130" w:hanging="3130"/>
    </w:pPr>
  </w:style>
  <w:style w:type="paragraph" w:customStyle="1" w:styleId="AusPlain">
    <w:name w:val="Aus Plain"/>
    <w:basedOn w:val="IASBNormalnpara"/>
    <w:uiPriority w:val="1"/>
    <w:qFormat/>
    <w:rsid w:val="00952474"/>
    <w:pPr>
      <w:ind w:left="1565" w:hanging="1565"/>
    </w:pPr>
  </w:style>
  <w:style w:type="paragraph" w:customStyle="1" w:styleId="AusBold">
    <w:name w:val="Aus Bold"/>
    <w:basedOn w:val="AusPlain"/>
    <w:uiPriority w:val="2"/>
    <w:qFormat/>
    <w:rsid w:val="00952474"/>
    <w:rPr>
      <w:b/>
    </w:rPr>
  </w:style>
  <w:style w:type="paragraph" w:customStyle="1" w:styleId="AusPlainRDR">
    <w:name w:val="Aus Plain RDR"/>
    <w:basedOn w:val="AusPlain"/>
    <w:uiPriority w:val="3"/>
    <w:qFormat/>
    <w:rsid w:val="00952474"/>
    <w:pPr>
      <w:shd w:val="pct15" w:color="auto" w:fill="auto"/>
    </w:pPr>
  </w:style>
  <w:style w:type="paragraph" w:customStyle="1" w:styleId="AusBoldRDR">
    <w:name w:val="Aus Bold RDR"/>
    <w:basedOn w:val="AusBold"/>
    <w:uiPriority w:val="4"/>
    <w:qFormat/>
    <w:rsid w:val="00952474"/>
    <w:pPr>
      <w:shd w:val="pct15" w:color="auto" w:fill="auto"/>
    </w:pPr>
  </w:style>
  <w:style w:type="paragraph" w:customStyle="1" w:styleId="RDR11">
    <w:name w:val="RDR11"/>
    <w:basedOn w:val="IASBNormalnparaL1"/>
    <w:uiPriority w:val="6"/>
    <w:qFormat/>
    <w:rsid w:val="00952474"/>
    <w:pPr>
      <w:shd w:val="pct15" w:color="auto" w:fill="auto"/>
    </w:pPr>
  </w:style>
  <w:style w:type="paragraph" w:customStyle="1" w:styleId="RDR12">
    <w:name w:val="RDR12"/>
    <w:basedOn w:val="RDR11"/>
    <w:uiPriority w:val="6"/>
    <w:qFormat/>
    <w:rsid w:val="00952474"/>
    <w:pPr>
      <w:tabs>
        <w:tab w:val="left" w:pos="1565"/>
      </w:tabs>
      <w:ind w:left="2347" w:hanging="1565"/>
    </w:pPr>
  </w:style>
  <w:style w:type="paragraph" w:customStyle="1" w:styleId="RDR13">
    <w:name w:val="RDR13"/>
    <w:basedOn w:val="RDR12"/>
    <w:uiPriority w:val="6"/>
    <w:qFormat/>
    <w:rsid w:val="00952474"/>
    <w:pPr>
      <w:tabs>
        <w:tab w:val="clear" w:pos="1565"/>
        <w:tab w:val="left" w:pos="2347"/>
      </w:tabs>
      <w:ind w:left="3129" w:hanging="2347"/>
    </w:pPr>
  </w:style>
  <w:style w:type="paragraph" w:customStyle="1" w:styleId="RDR21">
    <w:name w:val="RDR21"/>
    <w:basedOn w:val="IASBNormalnparaL2"/>
    <w:uiPriority w:val="6"/>
    <w:qFormat/>
    <w:rsid w:val="00952474"/>
    <w:pPr>
      <w:shd w:val="pct15" w:color="auto" w:fill="auto"/>
    </w:pPr>
  </w:style>
  <w:style w:type="paragraph" w:customStyle="1" w:styleId="RDR22">
    <w:name w:val="RDR22"/>
    <w:basedOn w:val="RDR21"/>
    <w:uiPriority w:val="6"/>
    <w:qFormat/>
    <w:rsid w:val="00952474"/>
    <w:pPr>
      <w:tabs>
        <w:tab w:val="left" w:pos="2347"/>
      </w:tabs>
      <w:ind w:left="3130" w:hanging="1565"/>
    </w:pPr>
  </w:style>
  <w:style w:type="table" w:styleId="TableGrid1">
    <w:name w:val="Table Grid 1"/>
    <w:basedOn w:val="TableNormal"/>
    <w:uiPriority w:val="99"/>
    <w:semiHidden/>
    <w:unhideWhenUsed/>
    <w:rsid w:val="00952474"/>
    <w:tblPr>
      <w:tblInd w:w="0" w:type="dxa"/>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76EA4"/>
    <w:rPr>
      <w:sz w:val="16"/>
      <w:szCs w:val="16"/>
    </w:rPr>
  </w:style>
  <w:style w:type="paragraph" w:styleId="CommentText">
    <w:name w:val="annotation text"/>
    <w:basedOn w:val="Normal"/>
    <w:link w:val="CommentTextChar"/>
    <w:uiPriority w:val="99"/>
    <w:semiHidden/>
    <w:unhideWhenUsed/>
    <w:rsid w:val="00376EA4"/>
    <w:rPr>
      <w:sz w:val="20"/>
      <w:szCs w:val="20"/>
    </w:rPr>
  </w:style>
  <w:style w:type="character" w:customStyle="1" w:styleId="CommentTextChar">
    <w:name w:val="Comment Text Char"/>
    <w:basedOn w:val="DefaultParagraphFont"/>
    <w:link w:val="CommentText"/>
    <w:uiPriority w:val="99"/>
    <w:semiHidden/>
    <w:rsid w:val="00376EA4"/>
    <w:rPr>
      <w:lang w:eastAsia="en-US"/>
    </w:rPr>
  </w:style>
  <w:style w:type="paragraph" w:styleId="CommentSubject">
    <w:name w:val="annotation subject"/>
    <w:basedOn w:val="CommentText"/>
    <w:next w:val="CommentText"/>
    <w:link w:val="CommentSubjectChar"/>
    <w:uiPriority w:val="99"/>
    <w:semiHidden/>
    <w:unhideWhenUsed/>
    <w:rsid w:val="00376EA4"/>
    <w:rPr>
      <w:b/>
      <w:bCs/>
    </w:rPr>
  </w:style>
  <w:style w:type="character" w:customStyle="1" w:styleId="CommentSubjectChar">
    <w:name w:val="Comment Subject Char"/>
    <w:basedOn w:val="CommentTextChar"/>
    <w:link w:val="CommentSubject"/>
    <w:uiPriority w:val="99"/>
    <w:semiHidden/>
    <w:rsid w:val="00376EA4"/>
    <w:rPr>
      <w:b/>
      <w:bCs/>
      <w:lang w:eastAsia="en-US"/>
    </w:rPr>
  </w:style>
  <w:style w:type="paragraph" w:customStyle="1" w:styleId="NumPlain1">
    <w:name w:val="Num Plain1"/>
    <w:basedOn w:val="Normal"/>
    <w:link w:val="NumPlain1Char"/>
    <w:qFormat/>
    <w:rsid w:val="00E83B88"/>
    <w:pPr>
      <w:numPr>
        <w:numId w:val="1"/>
      </w:numPr>
      <w:spacing w:after="200" w:line="200" w:lineRule="exact"/>
    </w:pPr>
    <w:rPr>
      <w:sz w:val="20"/>
      <w:szCs w:val="20"/>
    </w:rPr>
  </w:style>
  <w:style w:type="paragraph" w:customStyle="1" w:styleId="NumPlain2">
    <w:name w:val="Num Plain2"/>
    <w:basedOn w:val="NumPlain1"/>
    <w:rsid w:val="00E83B88"/>
    <w:pPr>
      <w:numPr>
        <w:ilvl w:val="1"/>
      </w:numPr>
    </w:pPr>
  </w:style>
  <w:style w:type="paragraph" w:customStyle="1" w:styleId="NumPlain3">
    <w:name w:val="Num Plain3"/>
    <w:basedOn w:val="NumPlain2"/>
    <w:rsid w:val="00E83B88"/>
    <w:pPr>
      <w:numPr>
        <w:ilvl w:val="2"/>
      </w:numPr>
    </w:pPr>
  </w:style>
  <w:style w:type="paragraph" w:customStyle="1" w:styleId="NumPlain4">
    <w:name w:val="Num Plain4"/>
    <w:basedOn w:val="NumPlain3"/>
    <w:rsid w:val="00E83B88"/>
    <w:pPr>
      <w:numPr>
        <w:ilvl w:val="3"/>
      </w:numPr>
    </w:pPr>
  </w:style>
  <w:style w:type="character" w:customStyle="1" w:styleId="NumPlain1Char">
    <w:name w:val="Num Plain1 Char"/>
    <w:basedOn w:val="DefaultParagraphFont"/>
    <w:link w:val="NumPlain1"/>
    <w:rsid w:val="00E83B88"/>
    <w:rPr>
      <w:lang w:eastAsia="en-US"/>
    </w:rPr>
  </w:style>
  <w:style w:type="paragraph" w:customStyle="1" w:styleId="CoverTitle">
    <w:name w:val="Cover Title"/>
    <w:basedOn w:val="Normal"/>
    <w:rsid w:val="00282AEE"/>
    <w:pPr>
      <w:spacing w:before="800" w:after="500" w:line="500" w:lineRule="exact"/>
    </w:pPr>
    <w:rPr>
      <w:b/>
      <w:sz w:val="50"/>
      <w:szCs w:val="20"/>
    </w:rPr>
  </w:style>
  <w:style w:type="paragraph" w:customStyle="1" w:styleId="CoverStandard">
    <w:name w:val="Cover Standard"/>
    <w:basedOn w:val="Normal"/>
    <w:next w:val="Normal"/>
    <w:rsid w:val="00282AEE"/>
    <w:pPr>
      <w:spacing w:line="280" w:lineRule="exact"/>
    </w:pPr>
    <w:rPr>
      <w:b/>
      <w:sz w:val="28"/>
      <w:szCs w:val="20"/>
    </w:rPr>
  </w:style>
  <w:style w:type="paragraph" w:customStyle="1" w:styleId="CoverNumber">
    <w:name w:val="Cover Number"/>
    <w:basedOn w:val="Normal"/>
    <w:next w:val="Normal"/>
    <w:rsid w:val="00282AEE"/>
    <w:pPr>
      <w:spacing w:line="320" w:lineRule="exact"/>
      <w:jc w:val="right"/>
    </w:pPr>
    <w:rPr>
      <w:b/>
      <w:caps/>
      <w:sz w:val="32"/>
      <w:szCs w:val="20"/>
    </w:rPr>
  </w:style>
  <w:style w:type="paragraph" w:customStyle="1" w:styleId="CoverDate">
    <w:name w:val="Cover Date"/>
    <w:basedOn w:val="Normal"/>
    <w:next w:val="Normal"/>
    <w:rsid w:val="00282AEE"/>
    <w:pPr>
      <w:spacing w:line="240" w:lineRule="exact"/>
      <w:jc w:val="right"/>
    </w:pPr>
    <w:rPr>
      <w:sz w:val="24"/>
      <w:szCs w:val="20"/>
    </w:rPr>
  </w:style>
  <w:style w:type="paragraph" w:styleId="ListParagraph">
    <w:name w:val="List Paragraph"/>
    <w:basedOn w:val="Normal"/>
    <w:uiPriority w:val="34"/>
    <w:qFormat/>
    <w:rsid w:val="00541686"/>
    <w:pPr>
      <w:ind w:left="720"/>
      <w:contextualSpacing/>
    </w:pPr>
  </w:style>
  <w:style w:type="paragraph" w:customStyle="1" w:styleId="NumBold1">
    <w:name w:val="Num Bold1"/>
    <w:basedOn w:val="NumPlain1"/>
    <w:qFormat/>
    <w:rsid w:val="00BE5E74"/>
    <w:rPr>
      <w:b/>
    </w:rPr>
  </w:style>
  <w:style w:type="paragraph" w:customStyle="1" w:styleId="NumBold2">
    <w:name w:val="Num Bold2"/>
    <w:basedOn w:val="NumPlain2"/>
    <w:rsid w:val="00BE5E74"/>
    <w:rPr>
      <w:b/>
    </w:rPr>
  </w:style>
  <w:style w:type="character" w:styleId="Hyperlink">
    <w:name w:val="Hyperlink"/>
    <w:basedOn w:val="DefaultParagraphFont"/>
    <w:uiPriority w:val="99"/>
    <w:unhideWhenUsed/>
    <w:rsid w:val="006456A9"/>
    <w:rPr>
      <w:color w:val="0000FF" w:themeColor="hyperlink"/>
      <w:u w:val="single"/>
    </w:rPr>
  </w:style>
  <w:style w:type="paragraph" w:customStyle="1" w:styleId="Default">
    <w:name w:val="Default"/>
    <w:rsid w:val="008A7B3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58456-4289-43CD-9D3B-FF564DB7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1388</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IFRS</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AASB2016-2</dc:title>
  <dc:creator>.</dc:creator>
  <cp:lastModifiedBy>John, Kathleen</cp:lastModifiedBy>
  <cp:revision>5</cp:revision>
  <cp:lastPrinted>2016-03-15T07:22:00Z</cp:lastPrinted>
  <dcterms:created xsi:type="dcterms:W3CDTF">2016-03-16T06:26:00Z</dcterms:created>
  <dcterms:modified xsi:type="dcterms:W3CDTF">2016-03-22T23:31:00Z</dcterms:modified>
</cp:coreProperties>
</file>