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BC3" w:rsidRPr="001B1D7C" w:rsidRDefault="00414BC3" w:rsidP="00A94F2A">
      <w:pPr>
        <w:pStyle w:val="CoverTitle"/>
        <w:spacing w:after="600"/>
        <w:jc w:val="center"/>
      </w:pPr>
      <w:bookmarkStart w:id="0" w:name="_GoBack"/>
      <w:bookmarkEnd w:id="0"/>
      <w:r w:rsidRPr="001B1D7C">
        <w:t>Explanatory Statement</w:t>
      </w:r>
    </w:p>
    <w:p w:rsidR="00414BC3" w:rsidRPr="001B1D7C" w:rsidRDefault="00396BCD" w:rsidP="006B1B4A">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DB52E0" w:rsidRPr="00314DC3">
        <w:rPr>
          <w:sz w:val="36"/>
          <w:szCs w:val="36"/>
        </w:rPr>
        <w:t>6</w:t>
      </w:r>
      <w:r w:rsidR="00C61FC9" w:rsidRPr="00314DC3">
        <w:rPr>
          <w:sz w:val="36"/>
          <w:szCs w:val="36"/>
        </w:rPr>
        <w:t>-</w:t>
      </w:r>
      <w:r w:rsidR="00F038FC">
        <w:rPr>
          <w:sz w:val="36"/>
          <w:szCs w:val="36"/>
        </w:rPr>
        <w:t>2</w:t>
      </w:r>
      <w:r w:rsidR="00347521" w:rsidRPr="00314DC3">
        <w:rPr>
          <w:sz w:val="36"/>
          <w:szCs w:val="36"/>
        </w:rPr>
        <w:br/>
      </w:r>
      <w:r w:rsidR="00C61FC9" w:rsidRPr="00314DC3">
        <w:rPr>
          <w:i/>
          <w:sz w:val="36"/>
          <w:szCs w:val="36"/>
        </w:rPr>
        <w:t xml:space="preserve">Amendments to Australian Accounting Standards </w:t>
      </w:r>
      <w:r w:rsidR="00A94F2A" w:rsidRPr="001B1D7C">
        <w:rPr>
          <w:i/>
          <w:sz w:val="36"/>
          <w:szCs w:val="36"/>
        </w:rPr>
        <w:t xml:space="preserve">– </w:t>
      </w:r>
      <w:r w:rsidR="00DB52E0" w:rsidRPr="001B1D7C">
        <w:rPr>
          <w:i/>
          <w:sz w:val="36"/>
          <w:szCs w:val="36"/>
        </w:rPr>
        <w:t>Disclosure Initiative</w:t>
      </w:r>
      <w:r w:rsidR="00127350">
        <w:rPr>
          <w:i/>
          <w:sz w:val="36"/>
          <w:szCs w:val="36"/>
        </w:rPr>
        <w:t>:</w:t>
      </w:r>
      <w:r w:rsidR="005B25E9">
        <w:rPr>
          <w:i/>
          <w:sz w:val="36"/>
          <w:szCs w:val="36"/>
        </w:rPr>
        <w:t xml:space="preserve"> Amendments to AASB </w:t>
      </w:r>
      <w:r w:rsidR="00DB52E0" w:rsidRPr="001B1D7C">
        <w:rPr>
          <w:i/>
          <w:sz w:val="36"/>
          <w:szCs w:val="36"/>
        </w:rPr>
        <w:t>107</w:t>
      </w:r>
      <w:r w:rsidR="00A94F2A" w:rsidRPr="001B1D7C">
        <w:rPr>
          <w:i/>
          <w:sz w:val="36"/>
          <w:szCs w:val="36"/>
        </w:rPr>
        <w:br/>
      </w:r>
    </w:p>
    <w:p w:rsidR="006776BD" w:rsidRPr="001B1D7C" w:rsidRDefault="006776BD" w:rsidP="006776BD">
      <w:pPr>
        <w:pStyle w:val="CoverSubtitle"/>
        <w:spacing w:after="3120"/>
        <w:rPr>
          <w:sz w:val="32"/>
          <w:szCs w:val="32"/>
        </w:rPr>
      </w:pPr>
    </w:p>
    <w:p w:rsidR="00414BC3" w:rsidRPr="001B1D7C" w:rsidRDefault="00F038FC" w:rsidP="00F62F5C">
      <w:pPr>
        <w:pStyle w:val="CoverDate"/>
        <w:tabs>
          <w:tab w:val="left" w:pos="3794"/>
          <w:tab w:val="left" w:pos="6232"/>
        </w:tabs>
        <w:spacing w:before="840"/>
        <w:rPr>
          <w:b/>
          <w:sz w:val="28"/>
          <w:szCs w:val="28"/>
        </w:rPr>
      </w:pPr>
      <w:r>
        <w:rPr>
          <w:b/>
          <w:sz w:val="28"/>
          <w:szCs w:val="28"/>
        </w:rPr>
        <w:t>March</w:t>
      </w:r>
      <w:r w:rsidRPr="001B1D7C">
        <w:rPr>
          <w:b/>
          <w:sz w:val="28"/>
          <w:szCs w:val="28"/>
        </w:rPr>
        <w:t xml:space="preserve"> </w:t>
      </w:r>
      <w:r w:rsidR="00225101" w:rsidRPr="001B1D7C">
        <w:rPr>
          <w:b/>
          <w:sz w:val="28"/>
          <w:szCs w:val="28"/>
        </w:rPr>
        <w:t>20</w:t>
      </w:r>
      <w:r w:rsidR="00391DC5" w:rsidRPr="001B1D7C">
        <w:rPr>
          <w:b/>
          <w:sz w:val="28"/>
          <w:szCs w:val="28"/>
        </w:rPr>
        <w:t>1</w:t>
      </w:r>
      <w:r w:rsidR="00DB52E0" w:rsidRPr="001B1D7C">
        <w:rPr>
          <w:b/>
          <w:sz w:val="28"/>
          <w:szCs w:val="28"/>
        </w:rPr>
        <w:t>6</w:t>
      </w:r>
    </w:p>
    <w:p w:rsidR="00414BC3" w:rsidRPr="00314DC3" w:rsidRDefault="00B479D7">
      <w:pPr>
        <w:sectPr w:rsidR="00414BC3" w:rsidRPr="00314DC3" w:rsidSect="00B93CE4">
          <w:pgSz w:w="11907" w:h="16840"/>
          <w:pgMar w:top="1134" w:right="1134" w:bottom="1134" w:left="1134" w:header="720" w:footer="720" w:gutter="0"/>
          <w:cols w:space="720"/>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520234381" r:id="rId9"/>
        </w:pict>
      </w:r>
    </w:p>
    <w:p w:rsidR="00414BC3" w:rsidRPr="00314DC3" w:rsidRDefault="00414BC3">
      <w:pPr>
        <w:pStyle w:val="Heading1"/>
      </w:pPr>
      <w:r w:rsidRPr="00314DC3">
        <w:lastRenderedPageBreak/>
        <w:t>EXPLANATORY STATEMENT</w:t>
      </w:r>
    </w:p>
    <w:p w:rsidR="00FD4C0C" w:rsidRPr="001B1D7C" w:rsidRDefault="006B1B4A" w:rsidP="00FD4C0C">
      <w:pPr>
        <w:pStyle w:val="Heading2"/>
      </w:pPr>
      <w:r w:rsidRPr="00314DC3">
        <w:t>Standards Amended by</w:t>
      </w:r>
      <w:r w:rsidR="00FD4C0C" w:rsidRPr="001B1D7C">
        <w:t xml:space="preserve"> AASB</w:t>
      </w:r>
      <w:r w:rsidR="00F913AF">
        <w:t> </w:t>
      </w:r>
      <w:r w:rsidR="00C068D8" w:rsidRPr="001B1D7C">
        <w:t>201</w:t>
      </w:r>
      <w:r w:rsidR="00262EDC" w:rsidRPr="001B1D7C">
        <w:t>6</w:t>
      </w:r>
      <w:r w:rsidR="00C068D8" w:rsidRPr="001B1D7C">
        <w:t>-</w:t>
      </w:r>
      <w:r w:rsidR="00F038FC">
        <w:t>2</w:t>
      </w:r>
    </w:p>
    <w:p w:rsidR="006B1B4A" w:rsidRPr="001B1D7C" w:rsidRDefault="006B1B4A" w:rsidP="00A33757">
      <w:pPr>
        <w:pStyle w:val="NoNumPlain1"/>
      </w:pPr>
      <w:r w:rsidRPr="001B1D7C">
        <w:t>This Standard makes amendments to</w:t>
      </w:r>
      <w:r w:rsidR="00A33757" w:rsidRPr="001B1D7C">
        <w:t xml:space="preserve"> </w:t>
      </w:r>
      <w:r w:rsidRPr="001B1D7C">
        <w:t xml:space="preserve">Accounting Standard </w:t>
      </w:r>
      <w:r w:rsidR="002A0EA5">
        <w:t>AASB </w:t>
      </w:r>
      <w:r w:rsidR="00262EDC" w:rsidRPr="001B1D7C">
        <w:t xml:space="preserve">107 </w:t>
      </w:r>
      <w:r w:rsidR="00262EDC" w:rsidRPr="00127350">
        <w:rPr>
          <w:i/>
        </w:rPr>
        <w:t>Statement of Cash Flows</w:t>
      </w:r>
      <w:r w:rsidR="00262EDC" w:rsidRPr="00314DC3">
        <w:t xml:space="preserve"> (August</w:t>
      </w:r>
      <w:r w:rsidR="00375119">
        <w:t xml:space="preserve"> </w:t>
      </w:r>
      <w:r w:rsidR="00262EDC" w:rsidRPr="00314DC3">
        <w:t>2015). These amendments arise from the issuance of International F</w:t>
      </w:r>
      <w:r w:rsidR="00ED4F33" w:rsidRPr="001B1D7C">
        <w:t xml:space="preserve">inancial Reporting Standard </w:t>
      </w:r>
      <w:r w:rsidR="00ED4F33" w:rsidRPr="001B1D7C">
        <w:rPr>
          <w:i/>
        </w:rPr>
        <w:t>Disclosure Initiative</w:t>
      </w:r>
      <w:r w:rsidR="005B25E9">
        <w:rPr>
          <w:i/>
        </w:rPr>
        <w:t xml:space="preserve"> (</w:t>
      </w:r>
      <w:r w:rsidR="002A0EA5">
        <w:rPr>
          <w:i/>
        </w:rPr>
        <w:t>Amendments to IAS</w:t>
      </w:r>
      <w:r w:rsidR="005B25E9">
        <w:rPr>
          <w:i/>
        </w:rPr>
        <w:t> </w:t>
      </w:r>
      <w:r w:rsidR="00ED4F33" w:rsidRPr="001B1D7C">
        <w:rPr>
          <w:i/>
        </w:rPr>
        <w:t>7</w:t>
      </w:r>
      <w:r w:rsidR="005B25E9">
        <w:rPr>
          <w:i/>
        </w:rPr>
        <w:t>)</w:t>
      </w:r>
      <w:r w:rsidR="00ED4F33" w:rsidRPr="001B1D7C">
        <w:rPr>
          <w:i/>
        </w:rPr>
        <w:t xml:space="preserve"> </w:t>
      </w:r>
      <w:r w:rsidR="00ED4F33" w:rsidRPr="001B1D7C">
        <w:t>by the International Accounting Standards Board (IASB) in January</w:t>
      </w:r>
      <w:r w:rsidR="00375119">
        <w:t xml:space="preserve"> </w:t>
      </w:r>
      <w:r w:rsidR="00ED4F33" w:rsidRPr="001B1D7C">
        <w:t>2016.</w:t>
      </w:r>
    </w:p>
    <w:p w:rsidR="00ED4F33" w:rsidRPr="001B1D7C" w:rsidRDefault="00A94F2A" w:rsidP="00A94F2A">
      <w:pPr>
        <w:pStyle w:val="Heading3"/>
      </w:pPr>
      <w:r w:rsidRPr="001B1D7C">
        <w:t>Power to Make Amendments</w:t>
      </w:r>
      <w:r w:rsidR="007676C0" w:rsidRPr="001B1D7C">
        <w:t xml:space="preserve"> </w:t>
      </w:r>
    </w:p>
    <w:p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rsidR="00FD4C0C" w:rsidRPr="00127350" w:rsidRDefault="00FD4C0C" w:rsidP="00F73663">
      <w:pPr>
        <w:pStyle w:val="Heading2"/>
      </w:pPr>
      <w:r w:rsidRPr="00127350">
        <w:t>Main Features of AASB</w:t>
      </w:r>
      <w:r w:rsidR="00375119">
        <w:t> </w:t>
      </w:r>
      <w:r w:rsidR="00C068D8" w:rsidRPr="00127350">
        <w:t>201</w:t>
      </w:r>
      <w:r w:rsidR="00ED4F33" w:rsidRPr="00127350">
        <w:t>6</w:t>
      </w:r>
      <w:r w:rsidR="00C068D8" w:rsidRPr="00127350">
        <w:t>-</w:t>
      </w:r>
      <w:r w:rsidR="00F038FC">
        <w:t>2</w:t>
      </w:r>
    </w:p>
    <w:p w:rsidR="00ED4F33" w:rsidRPr="001B1D7C" w:rsidRDefault="00ED4F33" w:rsidP="00ED4F33">
      <w:pPr>
        <w:pStyle w:val="Heading3"/>
      </w:pPr>
      <w:r w:rsidRPr="001B1D7C">
        <w:t>Main Requirements</w:t>
      </w:r>
    </w:p>
    <w:p w:rsidR="00ED4F33" w:rsidRDefault="002A0EA5" w:rsidP="00ED4F33">
      <w:pPr>
        <w:pStyle w:val="NoNumPlain1"/>
      </w:pPr>
      <w:r>
        <w:t>This Standard amends AASB </w:t>
      </w:r>
      <w:r w:rsidR="00ED4F33" w:rsidRPr="001B1D7C">
        <w:t>107</w:t>
      </w:r>
      <w:r w:rsidR="001B1D7C" w:rsidRPr="001B1D7C">
        <w:t xml:space="preserve"> </w:t>
      </w:r>
      <w:r w:rsidR="001B1D7C" w:rsidRPr="00127350">
        <w:rPr>
          <w:i/>
        </w:rPr>
        <w:t>Statement of Cash Flows</w:t>
      </w:r>
      <w:r w:rsidR="00ED4F33" w:rsidRPr="00314DC3">
        <w:t xml:space="preserve"> (August</w:t>
      </w:r>
      <w:r w:rsidR="00375119">
        <w:t xml:space="preserve"> </w:t>
      </w:r>
      <w:r w:rsidR="00ED4F33" w:rsidRPr="00314DC3">
        <w:t>201</w:t>
      </w:r>
      <w:r w:rsidR="00ED4F33" w:rsidRPr="001B1D7C">
        <w:t xml:space="preserve">5) to require entities </w:t>
      </w:r>
      <w:r w:rsidR="00325585">
        <w:t xml:space="preserve">preparing financial statements in accordance with Tier 1 </w:t>
      </w:r>
      <w:r w:rsidR="00BD7C61">
        <w:t xml:space="preserve">reporting requirements </w:t>
      </w:r>
      <w:r w:rsidR="00ED4F33" w:rsidRPr="001B1D7C">
        <w:t>to provide disclosures that enable users of financial statements to evaluate changes in liabilities arising from financing activities, including</w:t>
      </w:r>
      <w:r w:rsidR="005B25E9">
        <w:t xml:space="preserve"> both</w:t>
      </w:r>
      <w:r w:rsidR="00ED4F33" w:rsidRPr="001B1D7C">
        <w:t xml:space="preserve"> changes arising from cash flows and non-cash changes.</w:t>
      </w:r>
    </w:p>
    <w:p w:rsidR="00130F7D" w:rsidRPr="00DB2D0C" w:rsidRDefault="00130F7D" w:rsidP="00325585">
      <w:pPr>
        <w:pStyle w:val="NoNumPlain1"/>
      </w:pPr>
      <w:r w:rsidRPr="00DB2D0C">
        <w:t xml:space="preserve">The new disclosure requirements do not apply to entities preparing general purpose financial statements complying with Tier 2 reporting requirements. </w:t>
      </w:r>
    </w:p>
    <w:p w:rsidR="00FD4C0C" w:rsidRPr="001B1D7C" w:rsidRDefault="00FD4C0C" w:rsidP="006B1B4A">
      <w:pPr>
        <w:pStyle w:val="Heading3"/>
      </w:pPr>
      <w:r w:rsidRPr="001B1D7C">
        <w:t>Application Date</w:t>
      </w:r>
    </w:p>
    <w:p w:rsidR="00BE66D4" w:rsidRPr="00127350" w:rsidRDefault="005F1173" w:rsidP="00A92FFA">
      <w:pPr>
        <w:pStyle w:val="NoNumPlain1"/>
      </w:pPr>
      <w:r w:rsidRPr="00127350">
        <w:t>AASB</w:t>
      </w:r>
      <w:r w:rsidR="00F913AF">
        <w:t> </w:t>
      </w:r>
      <w:r w:rsidR="00C068D8" w:rsidRPr="00127350">
        <w:t>201</w:t>
      </w:r>
      <w:r w:rsidR="00ED4F33" w:rsidRPr="00127350">
        <w:t>6</w:t>
      </w:r>
      <w:r w:rsidR="00C068D8" w:rsidRPr="00127350">
        <w:t>-</w:t>
      </w:r>
      <w:r w:rsidR="00F038FC">
        <w:t>2</w:t>
      </w:r>
      <w:r w:rsidR="006D6B35" w:rsidRPr="00127350">
        <w:t xml:space="preserve"> </w:t>
      </w:r>
      <w:r w:rsidR="00A33757" w:rsidRPr="00127350">
        <w:t>is applicable to annual periods beginning on or after 1 January</w:t>
      </w:r>
      <w:r w:rsidR="00375119">
        <w:t xml:space="preserve"> </w:t>
      </w:r>
      <w:r w:rsidR="00A33757" w:rsidRPr="00127350">
        <w:t>201</w:t>
      </w:r>
      <w:r w:rsidR="00ED4F33" w:rsidRPr="00127350">
        <w:t>7</w:t>
      </w:r>
      <w:r w:rsidR="006D6B35" w:rsidRPr="00127350">
        <w:t xml:space="preserve">. </w:t>
      </w:r>
      <w:r w:rsidR="00ED4F33" w:rsidRPr="00127350">
        <w:t>Earlier application is permitted.</w:t>
      </w:r>
    </w:p>
    <w:p w:rsidR="00ED4F33" w:rsidRPr="00127350" w:rsidRDefault="007676C0" w:rsidP="007676C0">
      <w:pPr>
        <w:pStyle w:val="Heading3"/>
      </w:pPr>
      <w:r w:rsidRPr="00127350">
        <w:t>References to Other AASB Standards</w:t>
      </w:r>
    </w:p>
    <w:p w:rsidR="00ED4F33" w:rsidRPr="00127350" w:rsidRDefault="00ED4F33" w:rsidP="00ED4F33">
      <w:pPr>
        <w:pStyle w:val="NoNumPlain1"/>
      </w:pPr>
      <w:r w:rsidRPr="00127350">
        <w:t xml:space="preserve">References in this Standard to the titles of other AASB Standards that are legislative instruments are to be construed as </w:t>
      </w:r>
      <w:r w:rsidRPr="00314DC3">
        <w:t>references to those other Standards as originally made and as amended from time to time and incorporate provisions of those Standards as in force from time to time.</w:t>
      </w:r>
    </w:p>
    <w:p w:rsidR="00EA0A87" w:rsidRPr="00314DC3" w:rsidRDefault="00EA0A87" w:rsidP="00EA0A87">
      <w:pPr>
        <w:pStyle w:val="Heading2"/>
      </w:pPr>
      <w:r w:rsidRPr="00314DC3">
        <w:t>Consultation Prior to Issuing this Standard</w:t>
      </w:r>
    </w:p>
    <w:p w:rsidR="00125962" w:rsidRDefault="00843BF6" w:rsidP="00E2118D">
      <w:pPr>
        <w:pStyle w:val="NoNumPlain1"/>
      </w:pPr>
      <w:r w:rsidRPr="00127350">
        <w:t xml:space="preserve">The AASB </w:t>
      </w:r>
      <w:r w:rsidR="00CD0A54" w:rsidRPr="00127350">
        <w:t>issued Exposure Draft ED</w:t>
      </w:r>
      <w:r w:rsidR="002A0EA5">
        <w:t> </w:t>
      </w:r>
      <w:r w:rsidR="001B1D7C" w:rsidRPr="00127350">
        <w:t xml:space="preserve">258 </w:t>
      </w:r>
      <w:r w:rsidR="001B1D7C" w:rsidRPr="00E2118D">
        <w:rPr>
          <w:i/>
        </w:rPr>
        <w:t>Disclosure Initiative (Proposed amendments to AASB</w:t>
      </w:r>
      <w:r w:rsidR="002A0EA5" w:rsidRPr="00E2118D">
        <w:rPr>
          <w:i/>
        </w:rPr>
        <w:t> </w:t>
      </w:r>
      <w:r w:rsidR="001B1D7C" w:rsidRPr="00E2118D">
        <w:rPr>
          <w:i/>
        </w:rPr>
        <w:t>107)</w:t>
      </w:r>
      <w:r w:rsidR="001B1D7C" w:rsidRPr="00127350">
        <w:t xml:space="preserve"> in </w:t>
      </w:r>
      <w:r w:rsidR="00F913AF">
        <w:t>December</w:t>
      </w:r>
      <w:r w:rsidR="00127350">
        <w:t> </w:t>
      </w:r>
      <w:r w:rsidR="00F913AF">
        <w:t>2014 for comment by 20 </w:t>
      </w:r>
      <w:r w:rsidR="001B1D7C" w:rsidRPr="00127350">
        <w:t xml:space="preserve">March 2015. </w:t>
      </w:r>
      <w:r w:rsidR="00E2118D">
        <w:t xml:space="preserve">ED 258 incorporated IASB Exposure Draft ED/2014/6 </w:t>
      </w:r>
      <w:r w:rsidR="00E2118D">
        <w:rPr>
          <w:i/>
        </w:rPr>
        <w:t>Disclosure Initiative (Proposed amendments to IAS 7)</w:t>
      </w:r>
      <w:r w:rsidR="00125962">
        <w:t>.</w:t>
      </w:r>
      <w:r w:rsidR="00125962">
        <w:rPr>
          <w:i/>
        </w:rPr>
        <w:t xml:space="preserve"> </w:t>
      </w:r>
      <w:r w:rsidR="007B228F">
        <w:t>Eight</w:t>
      </w:r>
      <w:r w:rsidR="001B1D7C" w:rsidRPr="00127350">
        <w:t xml:space="preserve"> submissions were received by the AASB in</w:t>
      </w:r>
      <w:r w:rsidR="00F913AF">
        <w:t xml:space="preserve"> respect of the proposals in ED </w:t>
      </w:r>
      <w:r w:rsidR="001B1D7C" w:rsidRPr="00127350">
        <w:t xml:space="preserve">258. </w:t>
      </w:r>
      <w:r w:rsidR="00125962">
        <w:t xml:space="preserve">In addition, the AASB conducted meetings with several key constituents in respect of the proposals. </w:t>
      </w:r>
      <w:r w:rsidR="007B228F">
        <w:t xml:space="preserve">Constituents were </w:t>
      </w:r>
      <w:r w:rsidR="00127350">
        <w:t xml:space="preserve">generally </w:t>
      </w:r>
      <w:r w:rsidR="007B228F">
        <w:t xml:space="preserve">not supportive </w:t>
      </w:r>
      <w:r w:rsidR="00E2118D">
        <w:t xml:space="preserve">of </w:t>
      </w:r>
      <w:r w:rsidR="007B228F">
        <w:t xml:space="preserve">the proposals </w:t>
      </w:r>
      <w:r w:rsidR="00127350">
        <w:t>for</w:t>
      </w:r>
      <w:r w:rsidR="002A0EA5">
        <w:t xml:space="preserve"> reasons including </w:t>
      </w:r>
      <w:r w:rsidR="00127350">
        <w:t xml:space="preserve">the </w:t>
      </w:r>
      <w:r w:rsidR="002A0EA5">
        <w:t>timing of the project</w:t>
      </w:r>
      <w:r w:rsidR="00E1388A">
        <w:t xml:space="preserve"> and concerns about </w:t>
      </w:r>
      <w:r w:rsidR="00BD2871">
        <w:t>the proposed reconciliation</w:t>
      </w:r>
      <w:r w:rsidR="00BD2871" w:rsidRPr="00BD2871">
        <w:t xml:space="preserve"> </w:t>
      </w:r>
      <w:r w:rsidR="00BD2871">
        <w:t>of certain statement of financial position</w:t>
      </w:r>
      <w:r w:rsidR="00BD2871" w:rsidRPr="00CF1B42">
        <w:t xml:space="preserve"> </w:t>
      </w:r>
      <w:r w:rsidR="00BD2871">
        <w:t>items</w:t>
      </w:r>
      <w:r w:rsidR="007B228F">
        <w:t xml:space="preserve">. </w:t>
      </w:r>
      <w:r w:rsidR="00067953">
        <w:t>T</w:t>
      </w:r>
      <w:r w:rsidR="007B228F">
        <w:t xml:space="preserve">he AASB </w:t>
      </w:r>
      <w:r w:rsidR="00E2118D">
        <w:t xml:space="preserve">considered </w:t>
      </w:r>
      <w:r w:rsidR="00130F7D">
        <w:t xml:space="preserve">the </w:t>
      </w:r>
      <w:r w:rsidR="00E2118D">
        <w:t xml:space="preserve">comments it received in making its submission to the IASB on </w:t>
      </w:r>
      <w:r w:rsidR="00125962">
        <w:t>ED/2014/6</w:t>
      </w:r>
      <w:r w:rsidR="00BD2871">
        <w:t>, and expressed reservations about the proposals</w:t>
      </w:r>
      <w:r w:rsidR="007B228F">
        <w:t>.</w:t>
      </w:r>
      <w:r w:rsidR="006A6C9F">
        <w:t xml:space="preserve"> </w:t>
      </w:r>
    </w:p>
    <w:p w:rsidR="00843BF6" w:rsidRPr="00314DC3" w:rsidRDefault="006A6C9F" w:rsidP="00E2118D">
      <w:pPr>
        <w:pStyle w:val="NoNumPlain1"/>
      </w:pPr>
      <w:r>
        <w:t>The</w:t>
      </w:r>
      <w:r w:rsidR="007B228F">
        <w:t xml:space="preserve"> IASB </w:t>
      </w:r>
      <w:r w:rsidR="00E1388A">
        <w:t xml:space="preserve">made </w:t>
      </w:r>
      <w:r w:rsidR="00125962">
        <w:t xml:space="preserve">several changes to the proposed </w:t>
      </w:r>
      <w:r w:rsidR="00E1388A">
        <w:t xml:space="preserve">amendments </w:t>
      </w:r>
      <w:r>
        <w:t xml:space="preserve">based on </w:t>
      </w:r>
      <w:r w:rsidR="00125962">
        <w:t xml:space="preserve">the </w:t>
      </w:r>
      <w:r>
        <w:t>feedback received</w:t>
      </w:r>
      <w:r w:rsidR="00CF1B42">
        <w:t>.</w:t>
      </w:r>
      <w:r w:rsidR="00130F7D">
        <w:t xml:space="preserve"> The amendments set out a disclosure objective, permitting flexibility in the way that entities can satisfy the requirements. A reconciliation of statement of financial position items may be one way to satisfy the requirements, but is not necessary.</w:t>
      </w:r>
      <w:r w:rsidR="00125962">
        <w:t xml:space="preserve"> </w:t>
      </w:r>
      <w:r w:rsidR="00CF1B42">
        <w:t>The</w:t>
      </w:r>
      <w:r w:rsidR="00125962">
        <w:t xml:space="preserve"> proposed </w:t>
      </w:r>
      <w:r w:rsidR="00CF1B42">
        <w:t xml:space="preserve">extended disclosures about an entity’s liquidity were not </w:t>
      </w:r>
      <w:r w:rsidR="00130F7D">
        <w:t>adopted</w:t>
      </w:r>
      <w:r w:rsidR="00BD2871">
        <w:t>. Having regard to concerns expressed on the ED</w:t>
      </w:r>
      <w:r w:rsidR="007B228F">
        <w:t>, the AASB conducted outreach</w:t>
      </w:r>
      <w:r w:rsidR="00067953">
        <w:t xml:space="preserve"> </w:t>
      </w:r>
      <w:r w:rsidR="00BD2871">
        <w:t xml:space="preserve">with several </w:t>
      </w:r>
      <w:r w:rsidR="004B77A1">
        <w:t xml:space="preserve">key </w:t>
      </w:r>
      <w:r w:rsidR="00BD2871">
        <w:t xml:space="preserve">constituents </w:t>
      </w:r>
      <w:r w:rsidR="00067953">
        <w:t xml:space="preserve">and </w:t>
      </w:r>
      <w:r w:rsidR="00BD2871">
        <w:t>determined that there was</w:t>
      </w:r>
      <w:r w:rsidR="00067953">
        <w:t xml:space="preserve"> </w:t>
      </w:r>
      <w:r>
        <w:t xml:space="preserve">general support </w:t>
      </w:r>
      <w:r w:rsidR="00BD2871">
        <w:t xml:space="preserve">for adopting </w:t>
      </w:r>
      <w:r>
        <w:t xml:space="preserve">the </w:t>
      </w:r>
      <w:r w:rsidR="00BD2871">
        <w:t xml:space="preserve">amended </w:t>
      </w:r>
      <w:r>
        <w:t>proposals</w:t>
      </w:r>
      <w:r w:rsidR="004B77A1">
        <w:t xml:space="preserve"> for entities applying Tier 1 reporting requirements</w:t>
      </w:r>
      <w:r w:rsidR="007B228F">
        <w:t>.</w:t>
      </w:r>
      <w:r w:rsidR="00A60BDB">
        <w:t xml:space="preserve"> </w:t>
      </w:r>
      <w:r w:rsidR="001B1D7C" w:rsidRPr="00127350">
        <w:t>The AASB considered the comments it received in finalising AASB</w:t>
      </w:r>
      <w:r w:rsidR="00F913AF">
        <w:t> </w:t>
      </w:r>
      <w:r w:rsidR="001B1D7C" w:rsidRPr="00127350">
        <w:t>2016-</w:t>
      </w:r>
      <w:r w:rsidR="00F038FC">
        <w:t>2</w:t>
      </w:r>
      <w:r w:rsidR="001B1D7C" w:rsidRPr="00127350">
        <w:t xml:space="preserve">. </w:t>
      </w:r>
    </w:p>
    <w:p w:rsidR="00EA56FD" w:rsidRPr="001B1D7C" w:rsidRDefault="00843BF6" w:rsidP="00EA56FD">
      <w:pPr>
        <w:pStyle w:val="NoNumPlain1"/>
      </w:pPr>
      <w:r w:rsidRPr="00314DC3">
        <w:t>A Regulation Impact Statement</w:t>
      </w:r>
      <w:r w:rsidR="00ED4F33" w:rsidRPr="001B1D7C">
        <w:t xml:space="preserve"> (RIS) has not been prepared in connection with the issue of AASB</w:t>
      </w:r>
      <w:r w:rsidR="00375119">
        <w:t> </w:t>
      </w:r>
      <w:r w:rsidR="00ED4F33" w:rsidRPr="001B1D7C">
        <w:t>2016-</w:t>
      </w:r>
      <w:r w:rsidR="00F038FC">
        <w:t>2</w:t>
      </w:r>
      <w:r w:rsidR="00ED4F33" w:rsidRPr="001B1D7C">
        <w:t xml:space="preserve"> as the amendments made do not have a substantial direct or indirect impact on business or competition.</w:t>
      </w:r>
    </w:p>
    <w:p w:rsidR="00A94F2A" w:rsidRPr="001B1D7C" w:rsidRDefault="00A94F2A">
      <w:pPr>
        <w:spacing w:line="240" w:lineRule="auto"/>
        <w:rPr>
          <w:rFonts w:cs="Arial"/>
          <w:b/>
          <w:iCs/>
          <w:sz w:val="28"/>
          <w:szCs w:val="28"/>
        </w:rPr>
      </w:pPr>
      <w:r w:rsidRPr="001B1D7C">
        <w:br w:type="page"/>
      </w:r>
    </w:p>
    <w:p w:rsidR="00AD44F9" w:rsidRPr="001B1D7C" w:rsidRDefault="00CD0A54" w:rsidP="00F73663">
      <w:pPr>
        <w:pStyle w:val="Heading2"/>
        <w:spacing w:before="720"/>
        <w:jc w:val="center"/>
      </w:pPr>
      <w:r w:rsidRPr="001B1D7C">
        <w:lastRenderedPageBreak/>
        <w:t>Statement of Compatibility with Human Rights</w:t>
      </w:r>
    </w:p>
    <w:p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rsidR="00E770E5" w:rsidRPr="00127350" w:rsidRDefault="00A90A3D" w:rsidP="00A90A3D">
      <w:pPr>
        <w:pStyle w:val="Heading3"/>
        <w:spacing w:after="360"/>
        <w:jc w:val="center"/>
        <w:rPr>
          <w:i/>
        </w:rPr>
      </w:pPr>
      <w:r w:rsidRPr="001B1D7C">
        <w:t>Accounting Standard AASB</w:t>
      </w:r>
      <w:r w:rsidR="00F913AF">
        <w:t> </w:t>
      </w:r>
      <w:r w:rsidRPr="001B1D7C">
        <w:t>201</w:t>
      </w:r>
      <w:r w:rsidR="00ED4F33" w:rsidRPr="001B1D7C">
        <w:t>6</w:t>
      </w:r>
      <w:r w:rsidRPr="001B1D7C">
        <w:t>-</w:t>
      </w:r>
      <w:r w:rsidR="00F038FC">
        <w:t>2</w:t>
      </w:r>
      <w:r w:rsidRPr="001B1D7C">
        <w:br/>
      </w:r>
      <w:r w:rsidRPr="00127350">
        <w:rPr>
          <w:i/>
        </w:rPr>
        <w:t xml:space="preserve">Amendments to Australian Accounting Standards </w:t>
      </w:r>
      <w:r w:rsidR="00B223A3" w:rsidRPr="00127350">
        <w:rPr>
          <w:i/>
        </w:rPr>
        <w:t>–</w:t>
      </w:r>
      <w:r w:rsidRPr="00127350">
        <w:rPr>
          <w:i/>
        </w:rPr>
        <w:br/>
      </w:r>
      <w:r w:rsidR="00ED4F33" w:rsidRPr="00127350">
        <w:rPr>
          <w:i/>
        </w:rPr>
        <w:t>Disclosure Initiative</w:t>
      </w:r>
      <w:r w:rsidR="004B77A1">
        <w:rPr>
          <w:i/>
        </w:rPr>
        <w:t>:</w:t>
      </w:r>
      <w:r w:rsidR="005B25E9">
        <w:rPr>
          <w:i/>
        </w:rPr>
        <w:t xml:space="preserve"> </w:t>
      </w:r>
      <w:r w:rsidR="00ED4F33" w:rsidRPr="00127350">
        <w:rPr>
          <w:i/>
        </w:rPr>
        <w:t>Amendments to AASB</w:t>
      </w:r>
      <w:r w:rsidR="005B25E9">
        <w:rPr>
          <w:i/>
        </w:rPr>
        <w:t> </w:t>
      </w:r>
      <w:r w:rsidR="00ED4F33" w:rsidRPr="00127350">
        <w:rPr>
          <w:i/>
        </w:rPr>
        <w:t>107</w:t>
      </w:r>
    </w:p>
    <w:p w:rsidR="00A90A3D" w:rsidRPr="00314DC3" w:rsidRDefault="00A90A3D" w:rsidP="00A90A3D">
      <w:pPr>
        <w:pStyle w:val="Heading3"/>
      </w:pPr>
      <w:r w:rsidRPr="00314DC3">
        <w:t>Overview of the Accounting Standard</w:t>
      </w:r>
    </w:p>
    <w:p w:rsidR="0052464D" w:rsidRPr="001B1D7C" w:rsidRDefault="0052464D" w:rsidP="0052464D">
      <w:pPr>
        <w:pStyle w:val="NoNumPlain1"/>
      </w:pPr>
      <w:r w:rsidRPr="001B1D7C">
        <w:t>This Standard amends AASB</w:t>
      </w:r>
      <w:r w:rsidR="002A0EA5">
        <w:t> </w:t>
      </w:r>
      <w:r w:rsidRPr="001B1D7C">
        <w:t xml:space="preserve">107 </w:t>
      </w:r>
      <w:r w:rsidRPr="00127350">
        <w:rPr>
          <w:i/>
        </w:rPr>
        <w:t>Statement of Cash Flows</w:t>
      </w:r>
      <w:r w:rsidRPr="00314DC3">
        <w:t xml:space="preserve"> (August</w:t>
      </w:r>
      <w:r w:rsidR="00375119">
        <w:t xml:space="preserve"> </w:t>
      </w:r>
      <w:r w:rsidRPr="001B1D7C">
        <w:t xml:space="preserve">2015) to require entities </w:t>
      </w:r>
      <w:r w:rsidR="00325585">
        <w:t xml:space="preserve">preparing financial statements in accordance with Tier 1 </w:t>
      </w:r>
      <w:r w:rsidR="00BD7C61">
        <w:t xml:space="preserve">reporting requirements </w:t>
      </w:r>
      <w:r w:rsidRPr="001B1D7C">
        <w:t>to provide disclosures that enable users of financial statements to evaluate changes in liabilities arising from financing activities, including</w:t>
      </w:r>
      <w:r w:rsidR="005B25E9">
        <w:t xml:space="preserve"> both</w:t>
      </w:r>
      <w:r w:rsidRPr="001B1D7C">
        <w:t xml:space="preserve"> changes arising from cash flows and non-cash changes.</w:t>
      </w:r>
    </w:p>
    <w:p w:rsidR="00A90A3D" w:rsidRPr="001B1D7C" w:rsidRDefault="00A90A3D" w:rsidP="00A90A3D">
      <w:pPr>
        <w:pStyle w:val="Heading3"/>
      </w:pPr>
      <w:r w:rsidRPr="001B1D7C">
        <w:t>Human Rights Implications</w:t>
      </w:r>
    </w:p>
    <w:p w:rsidR="00A90A3D" w:rsidRPr="001B1D7C" w:rsidRDefault="00F62F5C" w:rsidP="00C068D8">
      <w:pPr>
        <w:pStyle w:val="NoNumPlain1"/>
      </w:pPr>
      <w:r w:rsidRPr="001B1D7C">
        <w:t>This Standard is issued by the AASB in furtherance of the objective of facilitating the Australian economy. It does not diminish or limit any of the applicable human rights or freedoms, and thus does not raise any human rights issues.</w:t>
      </w:r>
    </w:p>
    <w:p w:rsidR="00F62F5C" w:rsidRPr="001B1D7C" w:rsidRDefault="00F62F5C" w:rsidP="00F62F5C">
      <w:pPr>
        <w:pStyle w:val="Heading3"/>
      </w:pPr>
      <w:r w:rsidRPr="001B1D7C">
        <w:t>Conclusion</w:t>
      </w:r>
    </w:p>
    <w:p w:rsidR="00CD0A54" w:rsidRPr="001B1D7C" w:rsidRDefault="00CD0A54" w:rsidP="00C068D8">
      <w:pPr>
        <w:pStyle w:val="NoNumPlain1"/>
      </w:pPr>
      <w:r w:rsidRPr="001B1D7C">
        <w:t>This Standard is compatible with the human rights and freedoms recognised or declared in the international instruments listed in section</w:t>
      </w:r>
      <w:r w:rsidR="002A0EA5">
        <w:t> </w:t>
      </w:r>
      <w:r w:rsidRPr="001B1D7C">
        <w:t xml:space="preserve">3 of the </w:t>
      </w:r>
      <w:r w:rsidRPr="001B1D7C">
        <w:rPr>
          <w:i/>
        </w:rPr>
        <w:t>Human Rights (Parliamentary Scrutiny) Act</w:t>
      </w:r>
      <w:r w:rsidR="002A0EA5">
        <w:rPr>
          <w:i/>
        </w:rPr>
        <w:t> </w:t>
      </w:r>
      <w:r w:rsidRPr="001B1D7C">
        <w:rPr>
          <w:i/>
        </w:rPr>
        <w:t>2011</w:t>
      </w:r>
      <w:r w:rsidRPr="001B1D7C">
        <w:t>.</w:t>
      </w:r>
    </w:p>
    <w:p w:rsidR="00F62F5C" w:rsidRPr="001B1D7C" w:rsidRDefault="00F62F5C" w:rsidP="00C068D8">
      <w:pPr>
        <w:pStyle w:val="NoNumPlain1"/>
      </w:pPr>
    </w:p>
    <w:sectPr w:rsidR="00F62F5C"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B4A" w:rsidRDefault="006B1B4A">
      <w:r>
        <w:separator/>
      </w:r>
    </w:p>
  </w:endnote>
  <w:endnote w:type="continuationSeparator" w:id="0">
    <w:p w:rsidR="006B1B4A" w:rsidRDefault="006B1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52464D">
      <w:rPr>
        <w:b/>
      </w:rPr>
      <w:t>6</w:t>
    </w:r>
    <w:r w:rsidR="00C068D8">
      <w:rPr>
        <w:b/>
      </w:rPr>
      <w:t>-</w:t>
    </w:r>
    <w:r w:rsidR="00F038FC">
      <w:rPr>
        <w:b/>
      </w:rPr>
      <w:t>2</w:t>
    </w:r>
    <w:r>
      <w:rPr>
        <w:b/>
      </w:rPr>
      <w:tab/>
    </w:r>
    <w:r>
      <w:fldChar w:fldCharType="begin"/>
    </w:r>
    <w:r>
      <w:instrText>PAGE</w:instrText>
    </w:r>
    <w:r>
      <w:fldChar w:fldCharType="separate"/>
    </w:r>
    <w:r w:rsidR="00B479D7">
      <w:rPr>
        <w:noProof/>
      </w:rPr>
      <w:t>3</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B4A" w:rsidRDefault="006B1B4A">
      <w:r>
        <w:separator/>
      </w:r>
    </w:p>
  </w:footnote>
  <w:footnote w:type="continuationSeparator" w:id="0">
    <w:p w:rsidR="006B1B4A" w:rsidRDefault="006B1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6"/>
  </w:num>
  <w:num w:numId="4">
    <w:abstractNumId w:val="0"/>
  </w:num>
  <w:num w:numId="5">
    <w:abstractNumId w:val="3"/>
  </w:num>
  <w:num w:numId="6">
    <w:abstractNumId w:val="2"/>
  </w:num>
  <w:num w:numId="7">
    <w:abstractNumId w:val="5"/>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7105" fillcolor="white">
      <v:fill color="white"/>
      <o:colormru v:ext="edit" colors="#ddd,silver,#eaeae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9C8"/>
    <w:rsid w:val="000018C8"/>
    <w:rsid w:val="00005371"/>
    <w:rsid w:val="0001484E"/>
    <w:rsid w:val="00031DBC"/>
    <w:rsid w:val="00041AE0"/>
    <w:rsid w:val="0004439B"/>
    <w:rsid w:val="00055755"/>
    <w:rsid w:val="000623C8"/>
    <w:rsid w:val="00067953"/>
    <w:rsid w:val="00075626"/>
    <w:rsid w:val="00080331"/>
    <w:rsid w:val="0008234F"/>
    <w:rsid w:val="0008242C"/>
    <w:rsid w:val="00085B62"/>
    <w:rsid w:val="00090D77"/>
    <w:rsid w:val="000920D3"/>
    <w:rsid w:val="000936C7"/>
    <w:rsid w:val="000A2A30"/>
    <w:rsid w:val="000D41A4"/>
    <w:rsid w:val="000D428B"/>
    <w:rsid w:val="000E6E09"/>
    <w:rsid w:val="000E7F81"/>
    <w:rsid w:val="000F281A"/>
    <w:rsid w:val="000F2911"/>
    <w:rsid w:val="000F4C2A"/>
    <w:rsid w:val="00111680"/>
    <w:rsid w:val="001218DE"/>
    <w:rsid w:val="00121C54"/>
    <w:rsid w:val="00125962"/>
    <w:rsid w:val="0012730F"/>
    <w:rsid w:val="00127350"/>
    <w:rsid w:val="00130F7D"/>
    <w:rsid w:val="00131465"/>
    <w:rsid w:val="00131C3F"/>
    <w:rsid w:val="00144CC0"/>
    <w:rsid w:val="0015670A"/>
    <w:rsid w:val="001639EB"/>
    <w:rsid w:val="001A3A3D"/>
    <w:rsid w:val="001B1D7C"/>
    <w:rsid w:val="001D1FFA"/>
    <w:rsid w:val="001D7DA0"/>
    <w:rsid w:val="001E0872"/>
    <w:rsid w:val="001E0EA2"/>
    <w:rsid w:val="001E4107"/>
    <w:rsid w:val="001F3ED4"/>
    <w:rsid w:val="00200047"/>
    <w:rsid w:val="0020218F"/>
    <w:rsid w:val="0020261B"/>
    <w:rsid w:val="00206A47"/>
    <w:rsid w:val="00225101"/>
    <w:rsid w:val="00230E6D"/>
    <w:rsid w:val="0023104C"/>
    <w:rsid w:val="00236896"/>
    <w:rsid w:val="00243728"/>
    <w:rsid w:val="00262EDC"/>
    <w:rsid w:val="00267D86"/>
    <w:rsid w:val="00284D8D"/>
    <w:rsid w:val="002A0EA5"/>
    <w:rsid w:val="002B712E"/>
    <w:rsid w:val="002D6D7A"/>
    <w:rsid w:val="002F724F"/>
    <w:rsid w:val="00314DC3"/>
    <w:rsid w:val="0032467B"/>
    <w:rsid w:val="00325585"/>
    <w:rsid w:val="003329B8"/>
    <w:rsid w:val="00347521"/>
    <w:rsid w:val="00352568"/>
    <w:rsid w:val="00375119"/>
    <w:rsid w:val="00384832"/>
    <w:rsid w:val="00385E62"/>
    <w:rsid w:val="0039164A"/>
    <w:rsid w:val="00391DC5"/>
    <w:rsid w:val="00396BCD"/>
    <w:rsid w:val="003A5EC1"/>
    <w:rsid w:val="003A7749"/>
    <w:rsid w:val="0041254C"/>
    <w:rsid w:val="00414BC3"/>
    <w:rsid w:val="00416FE6"/>
    <w:rsid w:val="004179BF"/>
    <w:rsid w:val="004209B2"/>
    <w:rsid w:val="00442527"/>
    <w:rsid w:val="00457DCC"/>
    <w:rsid w:val="00493DD4"/>
    <w:rsid w:val="004B77A1"/>
    <w:rsid w:val="004C1746"/>
    <w:rsid w:val="004C62D2"/>
    <w:rsid w:val="004D2BDB"/>
    <w:rsid w:val="00512F90"/>
    <w:rsid w:val="00520E9E"/>
    <w:rsid w:val="0052464D"/>
    <w:rsid w:val="00526DA0"/>
    <w:rsid w:val="00540E70"/>
    <w:rsid w:val="00565477"/>
    <w:rsid w:val="005B238F"/>
    <w:rsid w:val="005B25E9"/>
    <w:rsid w:val="005B7BB7"/>
    <w:rsid w:val="005E2BBE"/>
    <w:rsid w:val="005F0581"/>
    <w:rsid w:val="005F1173"/>
    <w:rsid w:val="005F3AA4"/>
    <w:rsid w:val="005F4451"/>
    <w:rsid w:val="006104FA"/>
    <w:rsid w:val="00616B47"/>
    <w:rsid w:val="00626AC2"/>
    <w:rsid w:val="00635FA2"/>
    <w:rsid w:val="006628B2"/>
    <w:rsid w:val="00666164"/>
    <w:rsid w:val="0067195B"/>
    <w:rsid w:val="00672100"/>
    <w:rsid w:val="006776BD"/>
    <w:rsid w:val="00684668"/>
    <w:rsid w:val="00686B7C"/>
    <w:rsid w:val="006A01D2"/>
    <w:rsid w:val="006A0C7C"/>
    <w:rsid w:val="006A2A04"/>
    <w:rsid w:val="006A56D8"/>
    <w:rsid w:val="006A6C9F"/>
    <w:rsid w:val="006B1B4A"/>
    <w:rsid w:val="006C34F1"/>
    <w:rsid w:val="006C39D1"/>
    <w:rsid w:val="006C5EB8"/>
    <w:rsid w:val="006D5858"/>
    <w:rsid w:val="006D6B35"/>
    <w:rsid w:val="006F217C"/>
    <w:rsid w:val="006F46DE"/>
    <w:rsid w:val="00711664"/>
    <w:rsid w:val="00717627"/>
    <w:rsid w:val="00720919"/>
    <w:rsid w:val="007231BD"/>
    <w:rsid w:val="007261ED"/>
    <w:rsid w:val="007322D6"/>
    <w:rsid w:val="007328C0"/>
    <w:rsid w:val="00741AD2"/>
    <w:rsid w:val="00755B4C"/>
    <w:rsid w:val="00755D8C"/>
    <w:rsid w:val="007676C0"/>
    <w:rsid w:val="00781C08"/>
    <w:rsid w:val="00783BEC"/>
    <w:rsid w:val="00787825"/>
    <w:rsid w:val="00791279"/>
    <w:rsid w:val="007B02E3"/>
    <w:rsid w:val="007B228F"/>
    <w:rsid w:val="007B3132"/>
    <w:rsid w:val="007B323F"/>
    <w:rsid w:val="007B539D"/>
    <w:rsid w:val="007C13D0"/>
    <w:rsid w:val="007C1E39"/>
    <w:rsid w:val="007C2A76"/>
    <w:rsid w:val="007C2B04"/>
    <w:rsid w:val="007E548A"/>
    <w:rsid w:val="007F4E20"/>
    <w:rsid w:val="00802C2B"/>
    <w:rsid w:val="00822659"/>
    <w:rsid w:val="0082668C"/>
    <w:rsid w:val="00826FE1"/>
    <w:rsid w:val="008377FF"/>
    <w:rsid w:val="00843BF6"/>
    <w:rsid w:val="00854BCD"/>
    <w:rsid w:val="00861618"/>
    <w:rsid w:val="00896AE0"/>
    <w:rsid w:val="008B63BA"/>
    <w:rsid w:val="008B66C2"/>
    <w:rsid w:val="008C5B82"/>
    <w:rsid w:val="008D3E1A"/>
    <w:rsid w:val="008E4294"/>
    <w:rsid w:val="008F344A"/>
    <w:rsid w:val="00916B64"/>
    <w:rsid w:val="00930915"/>
    <w:rsid w:val="00936AD7"/>
    <w:rsid w:val="009839D3"/>
    <w:rsid w:val="009C5C89"/>
    <w:rsid w:val="009D5CEF"/>
    <w:rsid w:val="009D6119"/>
    <w:rsid w:val="00A07B58"/>
    <w:rsid w:val="00A14C37"/>
    <w:rsid w:val="00A33757"/>
    <w:rsid w:val="00A41EF3"/>
    <w:rsid w:val="00A46379"/>
    <w:rsid w:val="00A60BDB"/>
    <w:rsid w:val="00A61CB2"/>
    <w:rsid w:val="00A8344C"/>
    <w:rsid w:val="00A90590"/>
    <w:rsid w:val="00A90A3D"/>
    <w:rsid w:val="00A92FFA"/>
    <w:rsid w:val="00A9484D"/>
    <w:rsid w:val="00A94F2A"/>
    <w:rsid w:val="00A97B77"/>
    <w:rsid w:val="00AB2137"/>
    <w:rsid w:val="00AB61AB"/>
    <w:rsid w:val="00AC2063"/>
    <w:rsid w:val="00AC2CA9"/>
    <w:rsid w:val="00AD44F9"/>
    <w:rsid w:val="00AE1F8A"/>
    <w:rsid w:val="00B00C1B"/>
    <w:rsid w:val="00B10AB1"/>
    <w:rsid w:val="00B127B5"/>
    <w:rsid w:val="00B223A3"/>
    <w:rsid w:val="00B259A2"/>
    <w:rsid w:val="00B44EFA"/>
    <w:rsid w:val="00B479D7"/>
    <w:rsid w:val="00B50A3C"/>
    <w:rsid w:val="00B5196B"/>
    <w:rsid w:val="00B67434"/>
    <w:rsid w:val="00B81972"/>
    <w:rsid w:val="00B85DBC"/>
    <w:rsid w:val="00B93CE4"/>
    <w:rsid w:val="00BB2459"/>
    <w:rsid w:val="00BC78E2"/>
    <w:rsid w:val="00BD0B5B"/>
    <w:rsid w:val="00BD2871"/>
    <w:rsid w:val="00BD7C61"/>
    <w:rsid w:val="00BE66D4"/>
    <w:rsid w:val="00C068D8"/>
    <w:rsid w:val="00C119CC"/>
    <w:rsid w:val="00C14CCB"/>
    <w:rsid w:val="00C21F45"/>
    <w:rsid w:val="00C35A20"/>
    <w:rsid w:val="00C546C0"/>
    <w:rsid w:val="00C61FC9"/>
    <w:rsid w:val="00C634BB"/>
    <w:rsid w:val="00C661A8"/>
    <w:rsid w:val="00C80CE0"/>
    <w:rsid w:val="00C82A8C"/>
    <w:rsid w:val="00C86790"/>
    <w:rsid w:val="00CA20FA"/>
    <w:rsid w:val="00CA518E"/>
    <w:rsid w:val="00CB74B0"/>
    <w:rsid w:val="00CC17E3"/>
    <w:rsid w:val="00CC546B"/>
    <w:rsid w:val="00CD0A54"/>
    <w:rsid w:val="00CD50A4"/>
    <w:rsid w:val="00CF1B42"/>
    <w:rsid w:val="00CF4D2F"/>
    <w:rsid w:val="00CF72F6"/>
    <w:rsid w:val="00D03547"/>
    <w:rsid w:val="00D24634"/>
    <w:rsid w:val="00D27E14"/>
    <w:rsid w:val="00D40502"/>
    <w:rsid w:val="00D429C8"/>
    <w:rsid w:val="00D43163"/>
    <w:rsid w:val="00D5323B"/>
    <w:rsid w:val="00D67C43"/>
    <w:rsid w:val="00D71916"/>
    <w:rsid w:val="00D71B35"/>
    <w:rsid w:val="00D850DE"/>
    <w:rsid w:val="00DA2E07"/>
    <w:rsid w:val="00DB2D0C"/>
    <w:rsid w:val="00DB52E0"/>
    <w:rsid w:val="00DB5798"/>
    <w:rsid w:val="00DD1167"/>
    <w:rsid w:val="00DD3FDF"/>
    <w:rsid w:val="00DE2BF2"/>
    <w:rsid w:val="00E00D64"/>
    <w:rsid w:val="00E079C1"/>
    <w:rsid w:val="00E11F07"/>
    <w:rsid w:val="00E1388A"/>
    <w:rsid w:val="00E1658F"/>
    <w:rsid w:val="00E2118D"/>
    <w:rsid w:val="00E34411"/>
    <w:rsid w:val="00E41E4F"/>
    <w:rsid w:val="00E4487C"/>
    <w:rsid w:val="00E770E5"/>
    <w:rsid w:val="00E7777B"/>
    <w:rsid w:val="00EA0A87"/>
    <w:rsid w:val="00EA56FD"/>
    <w:rsid w:val="00ED4F33"/>
    <w:rsid w:val="00F038FC"/>
    <w:rsid w:val="00F041AA"/>
    <w:rsid w:val="00F04EBC"/>
    <w:rsid w:val="00F12DF8"/>
    <w:rsid w:val="00F23FEF"/>
    <w:rsid w:val="00F62F5C"/>
    <w:rsid w:val="00F63F3B"/>
    <w:rsid w:val="00F71510"/>
    <w:rsid w:val="00F73663"/>
    <w:rsid w:val="00F81F26"/>
    <w:rsid w:val="00F8246A"/>
    <w:rsid w:val="00F913AF"/>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fillcolor="white">
      <v:fill color="white"/>
      <o:colormru v:ext="edit" colors="#ddd,silver,#eaeae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pPr>
      <w:spacing w:after="200"/>
      <w:ind w:left="510" w:hanging="510"/>
    </w:pPr>
  </w:style>
  <w:style w:type="paragraph" w:customStyle="1" w:styleId="NumPlain2">
    <w:name w:val="Num Plain2"/>
    <w:basedOn w:val="NumPlain1"/>
    <w:pPr>
      <w:ind w:left="1020"/>
    </w:pPr>
  </w:style>
  <w:style w:type="paragraph" w:customStyle="1" w:styleId="NumPlain3">
    <w:name w:val="Num Plain3"/>
    <w:basedOn w:val="NumPlain2"/>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746</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5020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John, Kathleen</cp:lastModifiedBy>
  <cp:revision>5</cp:revision>
  <cp:lastPrinted>2016-03-22T23:31:00Z</cp:lastPrinted>
  <dcterms:created xsi:type="dcterms:W3CDTF">2016-03-16T06:26:00Z</dcterms:created>
  <dcterms:modified xsi:type="dcterms:W3CDTF">2016-03-22T23:33:00Z</dcterms:modified>
</cp:coreProperties>
</file>