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91D" w:rsidRPr="009045D7" w:rsidRDefault="00D776AD" w:rsidP="0022573C">
      <w:pPr>
        <w:pStyle w:val="Heading1"/>
        <w:rPr>
          <w:color w:val="000000" w:themeColor="text1"/>
          <w:u w:val="single"/>
        </w:rPr>
      </w:pPr>
      <w:r>
        <w:rPr>
          <w:color w:val="000000" w:themeColor="text1"/>
          <w:u w:val="single"/>
        </w:rPr>
        <w:t xml:space="preserve"> </w:t>
      </w:r>
      <w:r w:rsidR="0019691D" w:rsidRPr="009045D7">
        <w:rPr>
          <w:color w:val="000000" w:themeColor="text1"/>
          <w:u w:val="single"/>
        </w:rPr>
        <w:t>EXPLANATORY STATEMENT</w:t>
      </w:r>
    </w:p>
    <w:p w:rsidR="0019691D" w:rsidRPr="009045D7" w:rsidRDefault="0019691D" w:rsidP="003A075D">
      <w:pPr>
        <w:pStyle w:val="Heading1"/>
        <w:spacing w:before="120" w:after="120" w:line="276" w:lineRule="auto"/>
        <w:rPr>
          <w:b w:val="0"/>
          <w:i/>
          <w:color w:val="000000" w:themeColor="text1"/>
          <w:szCs w:val="24"/>
        </w:rPr>
      </w:pPr>
      <w:r w:rsidRPr="009045D7">
        <w:rPr>
          <w:b w:val="0"/>
          <w:i/>
          <w:color w:val="000000" w:themeColor="text1"/>
          <w:szCs w:val="24"/>
        </w:rPr>
        <w:t>Carbon Credits (Carbon Farming Initiative) Act 2011</w:t>
      </w:r>
    </w:p>
    <w:p w:rsidR="0019691D" w:rsidRPr="009045D7" w:rsidRDefault="00511910" w:rsidP="0022573C">
      <w:pPr>
        <w:jc w:val="center"/>
        <w:rPr>
          <w:color w:val="000000" w:themeColor="text1"/>
        </w:rPr>
      </w:pPr>
      <w:r w:rsidRPr="002646DF">
        <w:rPr>
          <w:i/>
          <w:kern w:val="36"/>
        </w:rPr>
        <w:t xml:space="preserve">Carbon Credits (Carbon Farming Initiative) (Human-Induced Regeneration of a Permanent Even-Aged Native Forest—1.1) Methodology Determination Variation </w:t>
      </w:r>
      <w:r w:rsidR="007A1B8A" w:rsidRPr="002646DF">
        <w:rPr>
          <w:i/>
          <w:kern w:val="36"/>
        </w:rPr>
        <w:t>201</w:t>
      </w:r>
      <w:r w:rsidR="007A1B8A">
        <w:rPr>
          <w:i/>
          <w:kern w:val="36"/>
        </w:rPr>
        <w:t>6</w:t>
      </w:r>
    </w:p>
    <w:p w:rsidR="007B37F2" w:rsidRPr="009045D7" w:rsidRDefault="007B37F2" w:rsidP="0039110B">
      <w:pPr>
        <w:pStyle w:val="Heading3"/>
        <w:rPr>
          <w:color w:val="000000" w:themeColor="text1"/>
        </w:rPr>
      </w:pPr>
      <w:r w:rsidRPr="009045D7">
        <w:rPr>
          <w:color w:val="000000" w:themeColor="text1"/>
        </w:rPr>
        <w:t>Background: Emissions Reduction Fund</w:t>
      </w:r>
    </w:p>
    <w:p w:rsidR="007B37F2" w:rsidRPr="00632A8F" w:rsidRDefault="007B37F2" w:rsidP="006C2180">
      <w:pPr>
        <w:spacing w:before="120" w:after="120"/>
      </w:pPr>
      <w:r w:rsidRPr="00632A8F">
        <w:t xml:space="preserve">The </w:t>
      </w:r>
      <w:r w:rsidRPr="00632A8F">
        <w:rPr>
          <w:i/>
        </w:rPr>
        <w:t>Carbon Credits (Carbon Farming Initiative) Act 2011</w:t>
      </w:r>
      <w:r w:rsidRPr="00632A8F">
        <w:t xml:space="preserve"> (the Act) enables the crediting of greenhouse gas abatement from emissions reduction activities across the economy. Greenhouse gas abatement is achieved either by reducing or avoiding emissions or by removing carbon from the atmosphere and storing it in soil or trees.</w:t>
      </w:r>
    </w:p>
    <w:p w:rsidR="007B37F2" w:rsidRPr="00632A8F" w:rsidRDefault="007B37F2" w:rsidP="006C2180">
      <w:pPr>
        <w:spacing w:before="120" w:after="120"/>
      </w:pPr>
      <w:r w:rsidRPr="00632A8F">
        <w:t xml:space="preserve">In 2014, the </w:t>
      </w:r>
      <w:r w:rsidR="00C01FEC" w:rsidRPr="00632A8F">
        <w:t xml:space="preserve">Act was amended by </w:t>
      </w:r>
      <w:r w:rsidRPr="00632A8F">
        <w:t xml:space="preserve">the </w:t>
      </w:r>
      <w:r w:rsidRPr="00632A8F">
        <w:rPr>
          <w:i/>
        </w:rPr>
        <w:t xml:space="preserve">Carbon Farming Initiative Amendment </w:t>
      </w:r>
      <w:r w:rsidR="00C01FEC" w:rsidRPr="00632A8F">
        <w:rPr>
          <w:i/>
        </w:rPr>
        <w:t xml:space="preserve">Act </w:t>
      </w:r>
      <w:r w:rsidRPr="00632A8F">
        <w:rPr>
          <w:i/>
        </w:rPr>
        <w:t>2014</w:t>
      </w:r>
      <w:r w:rsidRPr="00632A8F">
        <w:t xml:space="preserve"> </w:t>
      </w:r>
      <w:r w:rsidR="00C01FEC" w:rsidRPr="00632A8F">
        <w:t xml:space="preserve">to </w:t>
      </w:r>
      <w:r w:rsidRPr="00632A8F">
        <w:t>establish the Emissions Reduction Fund (ERF). The ERF expands on the Carbon Farming Initiative (CFI) by extending the scope of eligible emissions reduction activities and by streamlining existing processes. The ERF has three elements: crediting emissions reductions, purchasing emissions reductions, and safeguarding emissions reductions.</w:t>
      </w:r>
    </w:p>
    <w:p w:rsidR="007B37F2" w:rsidRPr="00632A8F" w:rsidRDefault="007B37F2" w:rsidP="006C2180">
      <w:pPr>
        <w:spacing w:before="120" w:after="120"/>
      </w:pPr>
      <w:r w:rsidRPr="00632A8F">
        <w:t xml:space="preserve">Emissions reduction activities are undertaken as offsets projects. The process involved in establishing an offsets project is set out in Part 3 of the Act. An offsets project must be covered by, and undertaken in accordance with, a methodology </w:t>
      </w:r>
      <w:r w:rsidR="00C01FEC" w:rsidRPr="00632A8F">
        <w:t>d</w:t>
      </w:r>
      <w:r w:rsidR="00FF7BA2" w:rsidRPr="00632A8F">
        <w:t>etermination</w:t>
      </w:r>
      <w:r w:rsidRPr="00632A8F">
        <w:t>.</w:t>
      </w:r>
    </w:p>
    <w:p w:rsidR="007B37F2" w:rsidRPr="00632A8F" w:rsidRDefault="007B37F2" w:rsidP="006C2180">
      <w:pPr>
        <w:spacing w:before="120" w:after="120"/>
      </w:pPr>
      <w:r w:rsidRPr="00632A8F">
        <w:t xml:space="preserve">Subsection 106(1) of the Act empowers the Minister to make, by legislative instrument, a methodology </w:t>
      </w:r>
      <w:r w:rsidR="00C01FEC" w:rsidRPr="00632A8F">
        <w:t>d</w:t>
      </w:r>
      <w:r w:rsidR="00FF7BA2" w:rsidRPr="00632A8F">
        <w:t>etermination</w:t>
      </w:r>
      <w:r w:rsidRPr="00632A8F">
        <w:t xml:space="preserve">. The purpose of a methodology </w:t>
      </w:r>
      <w:r w:rsidR="00C01FEC" w:rsidRPr="00632A8F">
        <w:t>d</w:t>
      </w:r>
      <w:r w:rsidR="00FF7BA2" w:rsidRPr="00632A8F">
        <w:t>etermination</w:t>
      </w:r>
      <w:r w:rsidRPr="00632A8F">
        <w:t xml:space="preserve"> is to establish procedures for estimating abatement (emissions reductions and sequestration) and rules for </w:t>
      </w:r>
      <w:proofErr w:type="gramStart"/>
      <w:r w:rsidRPr="00632A8F">
        <w:t>monitoring</w:t>
      </w:r>
      <w:proofErr w:type="gramEnd"/>
      <w:r w:rsidRPr="00632A8F">
        <w:t>, record</w:t>
      </w:r>
      <w:r w:rsidR="00B969F7" w:rsidRPr="00632A8F">
        <w:t>-</w:t>
      </w:r>
      <w:r w:rsidRPr="00632A8F">
        <w:t>keeping and reporting</w:t>
      </w:r>
      <w:r w:rsidR="00DC3A6B" w:rsidRPr="00632A8F">
        <w:t xml:space="preserve">. </w:t>
      </w:r>
      <w:r w:rsidRPr="00632A8F">
        <w:t>These methodologies will ensure that emissions reductions are genuine</w:t>
      </w:r>
      <w:r w:rsidR="00B969F7" w:rsidRPr="00632A8F">
        <w:t xml:space="preserve"> – </w:t>
      </w:r>
      <w:r w:rsidRPr="00632A8F">
        <w:t>that they are both real and additional to business as usual.</w:t>
      </w:r>
    </w:p>
    <w:p w:rsidR="007B37F2" w:rsidRPr="00632A8F" w:rsidRDefault="007B37F2" w:rsidP="006C2180">
      <w:pPr>
        <w:spacing w:before="120" w:after="120"/>
      </w:pPr>
      <w:r w:rsidRPr="00632A8F">
        <w:t xml:space="preserve">In deciding to make a methodology </w:t>
      </w:r>
      <w:r w:rsidR="00C01FEC" w:rsidRPr="00632A8F">
        <w:t>d</w:t>
      </w:r>
      <w:r w:rsidR="00FF7BA2" w:rsidRPr="00632A8F">
        <w:t>etermination</w:t>
      </w:r>
      <w:r w:rsidRPr="00632A8F">
        <w:t xml:space="preserve"> the Minister must have regard to the advice of the Emissions Reduction Assurance Committee (ERAC), an independent expert panel established to advise the Minister on proposals for methodology </w:t>
      </w:r>
      <w:r w:rsidR="00C01FEC" w:rsidRPr="00632A8F">
        <w:t>d</w:t>
      </w:r>
      <w:r w:rsidR="00FF7BA2" w:rsidRPr="00632A8F">
        <w:t>etermination</w:t>
      </w:r>
      <w:r w:rsidRPr="00632A8F">
        <w:t xml:space="preserve">s. The Minister will also consider any adverse environmental, economic or social impacts likely to arise as a result of projects to which the </w:t>
      </w:r>
      <w:r w:rsidR="00C01FEC" w:rsidRPr="00632A8F">
        <w:t>d</w:t>
      </w:r>
      <w:r w:rsidR="00FF7BA2" w:rsidRPr="00632A8F">
        <w:t>etermination</w:t>
      </w:r>
      <w:r w:rsidRPr="00632A8F">
        <w:t xml:space="preserve"> applies.</w:t>
      </w:r>
    </w:p>
    <w:p w:rsidR="007B37F2" w:rsidRPr="00632A8F" w:rsidRDefault="007B37F2" w:rsidP="006C2180">
      <w:pPr>
        <w:spacing w:before="120" w:after="120"/>
      </w:pPr>
      <w:r w:rsidRPr="00632A8F">
        <w:t xml:space="preserve">The ERAC must include in its advice to the Minister the Committee’s opinion on whether </w:t>
      </w:r>
      <w:r w:rsidR="00C01FEC" w:rsidRPr="00632A8F">
        <w:t xml:space="preserve">a </w:t>
      </w:r>
      <w:r w:rsidRPr="00632A8F">
        <w:t xml:space="preserve">proposed </w:t>
      </w:r>
      <w:r w:rsidR="00C01FEC" w:rsidRPr="00632A8F">
        <w:t>d</w:t>
      </w:r>
      <w:r w:rsidR="00FF7BA2" w:rsidRPr="00632A8F">
        <w:t>etermination</w:t>
      </w:r>
      <w:r w:rsidRPr="00632A8F">
        <w:t xml:space="preserve"> complies with the offsets integrity standards set out in section 133 of the Act. The offsets integrity standards require that an eligible project should result in carbon abatement that is unlikely to occur in the ordinary course of events and is eligible carbon abatement under the Act. In summary, the offsets integrity standards also include that: </w:t>
      </w:r>
    </w:p>
    <w:p w:rsidR="007B37F2" w:rsidRPr="00632A8F" w:rsidRDefault="007B37F2" w:rsidP="00DF75DB">
      <w:pPr>
        <w:pStyle w:val="ListParagraph"/>
        <w:numPr>
          <w:ilvl w:val="0"/>
          <w:numId w:val="4"/>
        </w:numPr>
        <w:jc w:val="both"/>
      </w:pPr>
      <w:r w:rsidRPr="00632A8F">
        <w:t>amounts are measurable and capable of being verified;</w:t>
      </w:r>
    </w:p>
    <w:p w:rsidR="007B37F2" w:rsidRPr="00632A8F" w:rsidRDefault="007B37F2" w:rsidP="00DF75DB">
      <w:pPr>
        <w:pStyle w:val="ListParagraph"/>
        <w:numPr>
          <w:ilvl w:val="0"/>
          <w:numId w:val="4"/>
        </w:numPr>
      </w:pPr>
      <w:r w:rsidRPr="00632A8F">
        <w:t>the methods used are supported by clear and convincing evidence;</w:t>
      </w:r>
    </w:p>
    <w:p w:rsidR="007B37F2" w:rsidRPr="00632A8F" w:rsidRDefault="007B37F2" w:rsidP="00DF75DB">
      <w:pPr>
        <w:pStyle w:val="ListParagraph"/>
        <w:numPr>
          <w:ilvl w:val="0"/>
          <w:numId w:val="4"/>
        </w:numPr>
      </w:pPr>
      <w:r w:rsidRPr="00632A8F">
        <w:t>material emissions which are a direct consequence of the project are deducted; and</w:t>
      </w:r>
    </w:p>
    <w:p w:rsidR="007B37F2" w:rsidRPr="00632A8F" w:rsidRDefault="007B37F2" w:rsidP="00DF75DB">
      <w:pPr>
        <w:pStyle w:val="ListParagraph"/>
        <w:numPr>
          <w:ilvl w:val="0"/>
          <w:numId w:val="4"/>
        </w:numPr>
      </w:pPr>
      <w:proofErr w:type="gramStart"/>
      <w:r w:rsidRPr="00632A8F">
        <w:t>estimates</w:t>
      </w:r>
      <w:proofErr w:type="gramEnd"/>
      <w:r w:rsidRPr="00632A8F">
        <w:t xml:space="preserve">, assumptions or projections used in the </w:t>
      </w:r>
      <w:r w:rsidR="00C01FEC" w:rsidRPr="00632A8F">
        <w:t>d</w:t>
      </w:r>
      <w:r w:rsidR="00FF7BA2" w:rsidRPr="00632A8F">
        <w:t>etermination</w:t>
      </w:r>
      <w:r w:rsidRPr="00632A8F">
        <w:t xml:space="preserve"> should be conservative</w:t>
      </w:r>
      <w:r w:rsidR="00DC3A6B" w:rsidRPr="00632A8F">
        <w:t xml:space="preserve">. </w:t>
      </w:r>
    </w:p>
    <w:p w:rsidR="007B37F2" w:rsidRPr="00632A8F" w:rsidRDefault="007B37F2" w:rsidP="006C2180">
      <w:pPr>
        <w:spacing w:before="120" w:after="120"/>
      </w:pPr>
      <w:r w:rsidRPr="00632A8F">
        <w:t xml:space="preserve">Offsets projects that are undertaken in accordance with </w:t>
      </w:r>
      <w:r w:rsidR="00C01FEC" w:rsidRPr="00632A8F">
        <w:t xml:space="preserve">a </w:t>
      </w:r>
      <w:r w:rsidRPr="00632A8F">
        <w:t xml:space="preserve">methodology </w:t>
      </w:r>
      <w:r w:rsidR="00C01FEC" w:rsidRPr="00632A8F">
        <w:t>d</w:t>
      </w:r>
      <w:r w:rsidR="00FF7BA2" w:rsidRPr="00632A8F">
        <w:t>etermination</w:t>
      </w:r>
      <w:r w:rsidRPr="00632A8F">
        <w:t xml:space="preserve"> and approved by the Clean Energy Regulator (the Regulator) can generate </w:t>
      </w:r>
      <w:r w:rsidR="00E74807">
        <w:t>Australian carbon credit units</w:t>
      </w:r>
      <w:r w:rsidRPr="00632A8F">
        <w:t xml:space="preserve">, representing </w:t>
      </w:r>
      <w:r w:rsidR="00E74807">
        <w:t>abatement</w:t>
      </w:r>
      <w:r w:rsidRPr="00632A8F">
        <w:t xml:space="preserve"> from the project.</w:t>
      </w:r>
    </w:p>
    <w:p w:rsidR="007B37F2" w:rsidRPr="00632A8F" w:rsidRDefault="007B37F2" w:rsidP="006C2180">
      <w:pPr>
        <w:spacing w:before="120" w:after="120"/>
      </w:pPr>
      <w:r w:rsidRPr="00632A8F">
        <w:lastRenderedPageBreak/>
        <w:t>Project proponents can receive funding from the ERF by submitting their projects into a competitive auction run by the Regulator. The Government will enter into contracts with successful proponents, which will guarantee the price and payment for the future delivery of emissions reductions.</w:t>
      </w:r>
    </w:p>
    <w:p w:rsidR="007B37F2" w:rsidRPr="00632A8F" w:rsidRDefault="00E74807" w:rsidP="006C2180">
      <w:pPr>
        <w:spacing w:before="120" w:after="120"/>
      </w:pPr>
      <w:r>
        <w:t>Further i</w:t>
      </w:r>
      <w:r w:rsidR="007B37F2" w:rsidRPr="00632A8F">
        <w:t>nformation on the Emissions Reduction Fund is available at: www.environment.gov.au/emissions-reduction-fund.</w:t>
      </w:r>
    </w:p>
    <w:p w:rsidR="00230B25" w:rsidRPr="007D124F" w:rsidRDefault="00230B25" w:rsidP="00230B25">
      <w:pPr>
        <w:pStyle w:val="ESHeading"/>
        <w:spacing w:line="276" w:lineRule="auto"/>
      </w:pPr>
      <w:r w:rsidRPr="007D124F">
        <w:t xml:space="preserve">Purpose </w:t>
      </w:r>
    </w:p>
    <w:p w:rsidR="00230B25" w:rsidRPr="007D124F" w:rsidRDefault="00230B25" w:rsidP="006C2180">
      <w:pPr>
        <w:spacing w:before="120" w:after="120"/>
        <w:rPr>
          <w:kern w:val="36"/>
        </w:rPr>
      </w:pPr>
      <w:r w:rsidRPr="007D124F">
        <w:t xml:space="preserve">The </w:t>
      </w:r>
      <w:r w:rsidRPr="002646DF">
        <w:rPr>
          <w:i/>
          <w:kern w:val="36"/>
        </w:rPr>
        <w:t xml:space="preserve">Carbon Credits (Carbon Farming Initiative) (Human-Induced Regeneration of a Permanent Even-Aged Native Forest—1.1) Methodology Determination Variation </w:t>
      </w:r>
      <w:r w:rsidR="007A1B8A" w:rsidRPr="002646DF">
        <w:rPr>
          <w:i/>
          <w:kern w:val="36"/>
        </w:rPr>
        <w:t>201</w:t>
      </w:r>
      <w:r w:rsidR="007A1B8A">
        <w:rPr>
          <w:i/>
          <w:kern w:val="36"/>
        </w:rPr>
        <w:t>6</w:t>
      </w:r>
      <w:r w:rsidR="007A1B8A" w:rsidRPr="002646DF">
        <w:rPr>
          <w:i/>
          <w:kern w:val="36"/>
        </w:rPr>
        <w:t xml:space="preserve"> </w:t>
      </w:r>
      <w:r w:rsidRPr="007D124F">
        <w:rPr>
          <w:kern w:val="36"/>
        </w:rPr>
        <w:t xml:space="preserve">(the </w:t>
      </w:r>
      <w:r w:rsidRPr="007D124F">
        <w:t>Variation) amend</w:t>
      </w:r>
      <w:r>
        <w:t>s</w:t>
      </w:r>
      <w:r w:rsidRPr="007D124F">
        <w:t xml:space="preserve"> </w:t>
      </w:r>
      <w:r w:rsidRPr="002646DF">
        <w:rPr>
          <w:i/>
        </w:rPr>
        <w:t xml:space="preserve">the </w:t>
      </w:r>
      <w:r w:rsidRPr="002646DF">
        <w:rPr>
          <w:i/>
          <w:kern w:val="36"/>
        </w:rPr>
        <w:t>Carbon Credits (Carbon Farming Initiative) (Human-Induced Regeneration of a Permanent Even-Aged Native Forest</w:t>
      </w:r>
      <w:r w:rsidR="007A1B8A">
        <w:rPr>
          <w:i/>
          <w:kern w:val="36"/>
        </w:rPr>
        <w:t>—</w:t>
      </w:r>
      <w:r w:rsidRPr="002646DF">
        <w:rPr>
          <w:i/>
          <w:kern w:val="36"/>
        </w:rPr>
        <w:t>1.1) Methodology Determination 2013</w:t>
      </w:r>
      <w:r w:rsidRPr="007D124F">
        <w:t xml:space="preserve">. </w:t>
      </w:r>
    </w:p>
    <w:p w:rsidR="004B42FF" w:rsidRPr="007D124F" w:rsidRDefault="004B42FF" w:rsidP="006C2180">
      <w:pPr>
        <w:spacing w:before="120" w:after="120"/>
        <w:rPr>
          <w:szCs w:val="24"/>
          <w:lang w:eastAsia="en-AU"/>
        </w:rPr>
      </w:pPr>
      <w:r w:rsidRPr="007D124F">
        <w:rPr>
          <w:szCs w:val="24"/>
          <w:lang w:eastAsia="en-AU"/>
        </w:rPr>
        <w:t>The Determination was made on 17 June 2013 and sets out the rules for implementing and monitoring human-induced forest regeneration projects on eligible land.</w:t>
      </w:r>
      <w:r>
        <w:rPr>
          <w:szCs w:val="24"/>
          <w:lang w:eastAsia="en-AU"/>
        </w:rPr>
        <w:t xml:space="preserve"> </w:t>
      </w:r>
    </w:p>
    <w:p w:rsidR="00AE0D1A" w:rsidRPr="001D32F8" w:rsidRDefault="00230B25" w:rsidP="006C2180">
      <w:pPr>
        <w:spacing w:before="120" w:after="120"/>
        <w:rPr>
          <w:lang w:eastAsia="en-AU"/>
        </w:rPr>
      </w:pPr>
      <w:r>
        <w:rPr>
          <w:lang w:eastAsia="en-AU"/>
        </w:rPr>
        <w:t xml:space="preserve">The </w:t>
      </w:r>
      <w:r w:rsidRPr="007D124F">
        <w:rPr>
          <w:lang w:eastAsia="en-AU"/>
        </w:rPr>
        <w:t xml:space="preserve">Variation </w:t>
      </w:r>
      <w:r w:rsidR="002646DF">
        <w:rPr>
          <w:lang w:eastAsia="en-AU"/>
        </w:rPr>
        <w:t>bring</w:t>
      </w:r>
      <w:r w:rsidR="00164650">
        <w:rPr>
          <w:lang w:eastAsia="en-AU"/>
        </w:rPr>
        <w:t>s</w:t>
      </w:r>
      <w:r w:rsidR="002646DF">
        <w:rPr>
          <w:lang w:eastAsia="en-AU"/>
        </w:rPr>
        <w:t xml:space="preserve"> the </w:t>
      </w:r>
      <w:r w:rsidR="00164650">
        <w:rPr>
          <w:lang w:eastAsia="en-AU"/>
        </w:rPr>
        <w:t>format of the Determination</w:t>
      </w:r>
      <w:r w:rsidR="002646DF">
        <w:rPr>
          <w:lang w:eastAsia="en-AU"/>
        </w:rPr>
        <w:t xml:space="preserve"> in line with more recent Emissions Reduction Fund </w:t>
      </w:r>
      <w:r w:rsidR="00432AD3" w:rsidRPr="001D32F8">
        <w:rPr>
          <w:lang w:eastAsia="en-AU"/>
        </w:rPr>
        <w:t>determinations</w:t>
      </w:r>
      <w:r w:rsidR="00D83FC5" w:rsidRPr="001D32F8">
        <w:rPr>
          <w:lang w:eastAsia="en-AU"/>
        </w:rPr>
        <w:t xml:space="preserve">. </w:t>
      </w:r>
      <w:r w:rsidR="00AE0D1A" w:rsidRPr="001D32F8">
        <w:rPr>
          <w:lang w:eastAsia="en-AU"/>
        </w:rPr>
        <w:t>Bringing the</w:t>
      </w:r>
      <w:r w:rsidR="00D83FC5" w:rsidRPr="001D32F8">
        <w:rPr>
          <w:lang w:eastAsia="en-AU"/>
        </w:rPr>
        <w:t xml:space="preserve"> format </w:t>
      </w:r>
      <w:r w:rsidR="00AE0D1A" w:rsidRPr="001D32F8">
        <w:rPr>
          <w:lang w:eastAsia="en-AU"/>
        </w:rPr>
        <w:t xml:space="preserve">in line with other </w:t>
      </w:r>
      <w:r w:rsidR="001B735E" w:rsidRPr="001D32F8">
        <w:rPr>
          <w:lang w:eastAsia="en-AU"/>
        </w:rPr>
        <w:t>current</w:t>
      </w:r>
      <w:r w:rsidR="00AE0D1A" w:rsidRPr="001D32F8">
        <w:rPr>
          <w:lang w:eastAsia="en-AU"/>
        </w:rPr>
        <w:t xml:space="preserve"> determinations </w:t>
      </w:r>
      <w:r w:rsidR="00D83FC5" w:rsidRPr="001D32F8">
        <w:rPr>
          <w:lang w:eastAsia="en-AU"/>
        </w:rPr>
        <w:t>is intended to make it</w:t>
      </w:r>
      <w:r w:rsidR="00AE0D1A" w:rsidRPr="001D32F8">
        <w:rPr>
          <w:lang w:eastAsia="en-AU"/>
        </w:rPr>
        <w:t xml:space="preserve"> easier for scheme participants to </w:t>
      </w:r>
      <w:r w:rsidR="001B735E" w:rsidRPr="001D32F8">
        <w:rPr>
          <w:lang w:eastAsia="en-AU"/>
        </w:rPr>
        <w:t>understand the structure of the Determination and to locate provisions</w:t>
      </w:r>
      <w:r w:rsidR="002646DF" w:rsidRPr="001D32F8">
        <w:rPr>
          <w:lang w:eastAsia="en-AU"/>
        </w:rPr>
        <w:t xml:space="preserve">. </w:t>
      </w:r>
    </w:p>
    <w:p w:rsidR="00230B25" w:rsidRDefault="00AE0D1A" w:rsidP="006C2180">
      <w:pPr>
        <w:spacing w:before="120" w:after="120"/>
        <w:rPr>
          <w:lang w:eastAsia="en-AU"/>
        </w:rPr>
      </w:pPr>
      <w:r w:rsidRPr="001D32F8">
        <w:rPr>
          <w:lang w:eastAsia="en-AU"/>
        </w:rPr>
        <w:t xml:space="preserve">The Variation </w:t>
      </w:r>
      <w:r w:rsidR="002646DF" w:rsidRPr="001D32F8">
        <w:rPr>
          <w:lang w:eastAsia="en-AU"/>
        </w:rPr>
        <w:t xml:space="preserve">also </w:t>
      </w:r>
      <w:r w:rsidR="00D83FC5" w:rsidRPr="001D32F8">
        <w:rPr>
          <w:lang w:eastAsia="en-AU"/>
        </w:rPr>
        <w:t xml:space="preserve">clarifies and simplifies requirements throughout the Determination, and </w:t>
      </w:r>
      <w:r w:rsidR="002646DF" w:rsidRPr="001D32F8">
        <w:rPr>
          <w:lang w:eastAsia="en-AU"/>
        </w:rPr>
        <w:t>i</w:t>
      </w:r>
      <w:r w:rsidR="00230B25" w:rsidRPr="001D32F8">
        <w:rPr>
          <w:lang w:eastAsia="en-AU"/>
        </w:rPr>
        <w:t xml:space="preserve">mplements </w:t>
      </w:r>
      <w:r w:rsidR="00CF1818" w:rsidRPr="001D32F8">
        <w:rPr>
          <w:lang w:eastAsia="en-AU"/>
        </w:rPr>
        <w:t>several</w:t>
      </w:r>
      <w:r w:rsidR="00230B25" w:rsidRPr="001D32F8">
        <w:rPr>
          <w:lang w:eastAsia="en-AU"/>
        </w:rPr>
        <w:t xml:space="preserve"> </w:t>
      </w:r>
      <w:r w:rsidR="002646DF" w:rsidRPr="001D32F8">
        <w:rPr>
          <w:lang w:eastAsia="en-AU"/>
        </w:rPr>
        <w:t xml:space="preserve">policy </w:t>
      </w:r>
      <w:r w:rsidR="00230B25" w:rsidRPr="001D32F8">
        <w:rPr>
          <w:lang w:eastAsia="en-AU"/>
        </w:rPr>
        <w:t>change</w:t>
      </w:r>
      <w:r w:rsidR="00CF1818" w:rsidRPr="001D32F8">
        <w:rPr>
          <w:lang w:eastAsia="en-AU"/>
        </w:rPr>
        <w:t>s</w:t>
      </w:r>
      <w:r w:rsidR="00230B25" w:rsidRPr="001D32F8">
        <w:rPr>
          <w:lang w:eastAsia="en-AU"/>
        </w:rPr>
        <w:t>. I</w:t>
      </w:r>
      <w:r w:rsidR="00230B25">
        <w:rPr>
          <w:lang w:eastAsia="en-AU"/>
        </w:rPr>
        <w:t>t</w:t>
      </w:r>
      <w:r w:rsidR="00230B25" w:rsidRPr="007D124F">
        <w:rPr>
          <w:lang w:eastAsia="en-AU"/>
        </w:rPr>
        <w:t xml:space="preserve"> require</w:t>
      </w:r>
      <w:r w:rsidR="00230B25">
        <w:rPr>
          <w:lang w:eastAsia="en-AU"/>
        </w:rPr>
        <w:t>s</w:t>
      </w:r>
      <w:r w:rsidR="00230B25" w:rsidRPr="007D124F">
        <w:rPr>
          <w:lang w:eastAsia="en-AU"/>
        </w:rPr>
        <w:t xml:space="preserve"> carbon stocks and fire emissions to be modelled using </w:t>
      </w:r>
      <w:r w:rsidR="00230B25" w:rsidRPr="007D124F">
        <w:t>the Full Carbon Accounting Model (</w:t>
      </w:r>
      <w:proofErr w:type="spellStart"/>
      <w:r w:rsidR="00230B25" w:rsidRPr="007D124F">
        <w:t>FullCAM</w:t>
      </w:r>
      <w:proofErr w:type="spellEnd"/>
      <w:r w:rsidR="00230B25" w:rsidRPr="007D124F">
        <w:t xml:space="preserve">) rather than </w:t>
      </w:r>
      <w:r w:rsidR="00230B25" w:rsidRPr="007D124F">
        <w:rPr>
          <w:lang w:eastAsia="en-AU"/>
        </w:rPr>
        <w:t>the Reforestation Modelling Tool (RMT).</w:t>
      </w:r>
      <w:r w:rsidR="00230B25">
        <w:rPr>
          <w:lang w:eastAsia="en-AU"/>
        </w:rPr>
        <w:t xml:space="preserve"> It removes</w:t>
      </w:r>
      <w:r w:rsidR="00230B25" w:rsidRPr="007D124F">
        <w:rPr>
          <w:lang w:eastAsia="en-AU"/>
        </w:rPr>
        <w:t xml:space="preserve"> the modelling requirements for </w:t>
      </w:r>
      <w:r w:rsidR="004B42FF">
        <w:rPr>
          <w:lang w:eastAsia="en-AU"/>
        </w:rPr>
        <w:t xml:space="preserve">establishing </w:t>
      </w:r>
      <w:r w:rsidR="00230B25" w:rsidRPr="007D124F">
        <w:rPr>
          <w:lang w:eastAsia="en-AU"/>
        </w:rPr>
        <w:t>project eligibility</w:t>
      </w:r>
      <w:r w:rsidR="002646DF">
        <w:rPr>
          <w:lang w:eastAsia="en-AU"/>
        </w:rPr>
        <w:t xml:space="preserve">, </w:t>
      </w:r>
      <w:r w:rsidR="004B42FF">
        <w:rPr>
          <w:lang w:eastAsia="en-AU"/>
        </w:rPr>
        <w:t xml:space="preserve">while still </w:t>
      </w:r>
      <w:r w:rsidR="002646DF">
        <w:rPr>
          <w:lang w:eastAsia="en-AU"/>
        </w:rPr>
        <w:t>requiring that the land for which abatement is being calculated not have had forest cover before it was included in the project</w:t>
      </w:r>
      <w:r w:rsidR="00230B25" w:rsidRPr="007D124F">
        <w:rPr>
          <w:lang w:eastAsia="en-AU"/>
        </w:rPr>
        <w:t>.</w:t>
      </w:r>
      <w:r w:rsidR="002646DF">
        <w:rPr>
          <w:lang w:eastAsia="en-AU"/>
        </w:rPr>
        <w:t xml:space="preserve"> New provisions have been introduced to </w:t>
      </w:r>
      <w:r w:rsidR="007A1B8A">
        <w:rPr>
          <w:lang w:eastAsia="en-AU"/>
        </w:rPr>
        <w:t xml:space="preserve">clarify the treatment </w:t>
      </w:r>
      <w:r w:rsidR="002646DF">
        <w:rPr>
          <w:lang w:eastAsia="en-AU"/>
        </w:rPr>
        <w:t>of negative abatement</w:t>
      </w:r>
      <w:r w:rsidR="00E7360B">
        <w:rPr>
          <w:lang w:eastAsia="en-AU"/>
        </w:rPr>
        <w:t xml:space="preserve">, </w:t>
      </w:r>
      <w:r w:rsidR="002646DF">
        <w:rPr>
          <w:lang w:eastAsia="en-AU"/>
        </w:rPr>
        <w:t xml:space="preserve">to </w:t>
      </w:r>
      <w:r w:rsidR="007A1B8A">
        <w:rPr>
          <w:lang w:eastAsia="en-AU"/>
        </w:rPr>
        <w:t xml:space="preserve">clarify the operation of the Determination when </w:t>
      </w:r>
      <w:r w:rsidR="002646DF">
        <w:rPr>
          <w:lang w:eastAsia="en-AU"/>
        </w:rPr>
        <w:t>new project area</w:t>
      </w:r>
      <w:r w:rsidR="007A1B8A">
        <w:rPr>
          <w:lang w:eastAsia="en-AU"/>
        </w:rPr>
        <w:t>s are added</w:t>
      </w:r>
      <w:r w:rsidR="002646DF">
        <w:rPr>
          <w:lang w:eastAsia="en-AU"/>
        </w:rPr>
        <w:t xml:space="preserve"> during the crediting period</w:t>
      </w:r>
      <w:r w:rsidR="00E7360B">
        <w:rPr>
          <w:lang w:eastAsia="en-AU"/>
        </w:rPr>
        <w:t xml:space="preserve"> and to clarify the treatment of projects and project area transferring from other determinations or versions of the human-induced regeneration Determination</w:t>
      </w:r>
      <w:r w:rsidR="002646DF">
        <w:rPr>
          <w:lang w:eastAsia="en-AU"/>
        </w:rPr>
        <w:t>.</w:t>
      </w:r>
      <w:r w:rsidR="00D538AA">
        <w:rPr>
          <w:lang w:eastAsia="en-AU"/>
        </w:rPr>
        <w:t xml:space="preserve"> New provisions also limit the eligibility of conservation land to some activities.</w:t>
      </w:r>
    </w:p>
    <w:p w:rsidR="00230B25" w:rsidRPr="007D124F" w:rsidRDefault="00230B25" w:rsidP="00230B25">
      <w:pPr>
        <w:pStyle w:val="ESHeading"/>
        <w:spacing w:line="276" w:lineRule="auto"/>
      </w:pPr>
      <w:r w:rsidRPr="009161C9">
        <w:t xml:space="preserve">Legislative provisions </w:t>
      </w:r>
    </w:p>
    <w:p w:rsidR="00567A84" w:rsidRDefault="00230B25" w:rsidP="006C2180">
      <w:pPr>
        <w:spacing w:before="120" w:after="120"/>
      </w:pPr>
      <w:r w:rsidRPr="007D124F">
        <w:rPr>
          <w:lang w:eastAsia="en-AU"/>
        </w:rPr>
        <w:t xml:space="preserve">The Determination was made under subsection 106(1) of </w:t>
      </w:r>
      <w:r w:rsidRPr="007D124F">
        <w:t>the Act.</w:t>
      </w:r>
    </w:p>
    <w:p w:rsidR="00230B25" w:rsidRPr="007D124F" w:rsidRDefault="00230B25" w:rsidP="006C2180">
      <w:pPr>
        <w:spacing w:before="120" w:after="120"/>
      </w:pPr>
      <w:r w:rsidRPr="007D124F">
        <w:t>The V</w:t>
      </w:r>
      <w:r>
        <w:t>ariation</w:t>
      </w:r>
      <w:r w:rsidRPr="007D124F">
        <w:t xml:space="preserve"> amend</w:t>
      </w:r>
      <w:r>
        <w:t>s</w:t>
      </w:r>
      <w:r w:rsidRPr="007D124F">
        <w:t xml:space="preserve"> the </w:t>
      </w:r>
      <w:r w:rsidR="007A1B8A">
        <w:t xml:space="preserve">original </w:t>
      </w:r>
      <w:r w:rsidRPr="007D124F">
        <w:t xml:space="preserve">Determination and </w:t>
      </w:r>
      <w:r>
        <w:t>is</w:t>
      </w:r>
      <w:r w:rsidRPr="007D124F">
        <w:t xml:space="preserve"> made under subsection 114(1) of the Act</w:t>
      </w:r>
      <w:r>
        <w:t>,</w:t>
      </w:r>
      <w:r w:rsidRPr="007D124F">
        <w:t xml:space="preserve"> which empowers the Minister to vary, by legislative instrument, a methodology determination.</w:t>
      </w:r>
    </w:p>
    <w:p w:rsidR="00230B25" w:rsidRPr="007D124F" w:rsidRDefault="00230B25" w:rsidP="00230B25">
      <w:pPr>
        <w:pStyle w:val="ESHeading"/>
        <w:spacing w:line="276" w:lineRule="auto"/>
      </w:pPr>
      <w:r w:rsidRPr="007D124F">
        <w:t>Operation</w:t>
      </w:r>
    </w:p>
    <w:p w:rsidR="00230B25" w:rsidRDefault="00230B25" w:rsidP="006C2180">
      <w:pPr>
        <w:spacing w:before="120" w:after="120"/>
        <w:rPr>
          <w:lang w:eastAsia="en-AU"/>
        </w:rPr>
      </w:pPr>
      <w:r>
        <w:rPr>
          <w:lang w:eastAsia="en-AU"/>
        </w:rPr>
        <w:t>The</w:t>
      </w:r>
      <w:r w:rsidRPr="007D124F">
        <w:rPr>
          <w:lang w:eastAsia="en-AU"/>
        </w:rPr>
        <w:t xml:space="preserve"> Variation primarily</w:t>
      </w:r>
      <w:r>
        <w:rPr>
          <w:lang w:eastAsia="en-AU"/>
        </w:rPr>
        <w:t xml:space="preserve"> amends the Determination to</w:t>
      </w:r>
      <w:r w:rsidRPr="007D124F">
        <w:rPr>
          <w:lang w:eastAsia="en-AU"/>
        </w:rPr>
        <w:t xml:space="preserve"> replace the requirements to model carbon stocks and project emissions using the RMT with requirements to model these using </w:t>
      </w:r>
      <w:proofErr w:type="spellStart"/>
      <w:r w:rsidRPr="007D124F">
        <w:rPr>
          <w:lang w:eastAsia="en-AU"/>
        </w:rPr>
        <w:t>FullCAM</w:t>
      </w:r>
      <w:proofErr w:type="spellEnd"/>
      <w:r w:rsidRPr="007D124F">
        <w:rPr>
          <w:lang w:eastAsia="en-AU"/>
        </w:rPr>
        <w:t xml:space="preserve"> in accordance with the </w:t>
      </w:r>
      <w:r>
        <w:rPr>
          <w:lang w:eastAsia="en-AU"/>
        </w:rPr>
        <w:t xml:space="preserve">relevant </w:t>
      </w:r>
      <w:proofErr w:type="spellStart"/>
      <w:r>
        <w:rPr>
          <w:lang w:eastAsia="en-AU"/>
        </w:rPr>
        <w:t>FullCAM</w:t>
      </w:r>
      <w:proofErr w:type="spellEnd"/>
      <w:r>
        <w:rPr>
          <w:lang w:eastAsia="en-AU"/>
        </w:rPr>
        <w:t xml:space="preserve"> Guidelines</w:t>
      </w:r>
      <w:r w:rsidRPr="007D124F">
        <w:rPr>
          <w:lang w:eastAsia="en-AU"/>
        </w:rPr>
        <w:t xml:space="preserve">. The descriptions of the variables </w:t>
      </w:r>
      <w:r>
        <w:rPr>
          <w:lang w:eastAsia="en-AU"/>
        </w:rPr>
        <w:t>used in the Determination (such as variables representing carbon stock in trees and debris pools) have</w:t>
      </w:r>
      <w:r w:rsidRPr="007D124F">
        <w:rPr>
          <w:lang w:eastAsia="en-AU"/>
        </w:rPr>
        <w:t xml:space="preserve"> been amended for consistency with </w:t>
      </w:r>
      <w:proofErr w:type="spellStart"/>
      <w:r w:rsidRPr="007D124F">
        <w:rPr>
          <w:lang w:eastAsia="en-AU"/>
        </w:rPr>
        <w:t>FullCAM</w:t>
      </w:r>
      <w:proofErr w:type="spellEnd"/>
      <w:r w:rsidRPr="007D124F">
        <w:rPr>
          <w:lang w:eastAsia="en-AU"/>
        </w:rPr>
        <w:t xml:space="preserve"> outputs.</w:t>
      </w:r>
      <w:r w:rsidR="00184E1E">
        <w:rPr>
          <w:lang w:eastAsia="en-AU"/>
        </w:rPr>
        <w:t xml:space="preserve"> </w:t>
      </w:r>
    </w:p>
    <w:p w:rsidR="00942547" w:rsidRPr="001D32F8" w:rsidRDefault="006957A9" w:rsidP="006C2180">
      <w:pPr>
        <w:spacing w:before="120" w:after="120"/>
        <w:rPr>
          <w:lang w:eastAsia="en-AU"/>
        </w:rPr>
      </w:pPr>
      <w:r w:rsidRPr="001D32F8">
        <w:rPr>
          <w:lang w:eastAsia="en-AU"/>
        </w:rPr>
        <w:t>Replacing</w:t>
      </w:r>
      <w:r w:rsidR="00942547" w:rsidRPr="001D32F8">
        <w:rPr>
          <w:lang w:eastAsia="en-AU"/>
        </w:rPr>
        <w:t xml:space="preserve"> RMT </w:t>
      </w:r>
      <w:r w:rsidRPr="001D32F8">
        <w:rPr>
          <w:lang w:eastAsia="en-AU"/>
        </w:rPr>
        <w:t>with</w:t>
      </w:r>
      <w:r w:rsidR="00942547" w:rsidRPr="001D32F8">
        <w:rPr>
          <w:lang w:eastAsia="en-AU"/>
        </w:rPr>
        <w:t xml:space="preserve"> </w:t>
      </w:r>
      <w:proofErr w:type="spellStart"/>
      <w:r w:rsidR="00942547" w:rsidRPr="001D32F8">
        <w:rPr>
          <w:lang w:eastAsia="en-AU"/>
        </w:rPr>
        <w:t>FullCAM</w:t>
      </w:r>
      <w:proofErr w:type="spellEnd"/>
      <w:r w:rsidR="00942547" w:rsidRPr="001D32F8">
        <w:rPr>
          <w:lang w:eastAsia="en-AU"/>
        </w:rPr>
        <w:t xml:space="preserve"> reflects</w:t>
      </w:r>
      <w:r w:rsidRPr="001D32F8">
        <w:rPr>
          <w:lang w:eastAsia="en-AU"/>
        </w:rPr>
        <w:t xml:space="preserve"> a</w:t>
      </w:r>
      <w:r w:rsidR="00942547" w:rsidRPr="001D32F8">
        <w:rPr>
          <w:lang w:eastAsia="en-AU"/>
        </w:rPr>
        <w:t xml:space="preserve"> general policy </w:t>
      </w:r>
      <w:r w:rsidRPr="001D32F8">
        <w:rPr>
          <w:lang w:eastAsia="en-AU"/>
        </w:rPr>
        <w:t xml:space="preserve">on </w:t>
      </w:r>
      <w:r w:rsidR="00942547" w:rsidRPr="001D32F8">
        <w:rPr>
          <w:lang w:eastAsia="en-AU"/>
        </w:rPr>
        <w:t xml:space="preserve">the most appropriate tool for modelling forest sequestration activities under the ERF. </w:t>
      </w:r>
      <w:proofErr w:type="spellStart"/>
      <w:r w:rsidR="00942547" w:rsidRPr="001D32F8">
        <w:rPr>
          <w:lang w:eastAsia="en-AU"/>
        </w:rPr>
        <w:t>FullCAM</w:t>
      </w:r>
      <w:proofErr w:type="spellEnd"/>
      <w:r w:rsidR="00942547" w:rsidRPr="001D32F8">
        <w:rPr>
          <w:lang w:eastAsia="en-AU"/>
        </w:rPr>
        <w:t xml:space="preserve"> provides more flexibility </w:t>
      </w:r>
      <w:r w:rsidR="00942547" w:rsidRPr="001D32F8">
        <w:rPr>
          <w:lang w:eastAsia="en-AU"/>
        </w:rPr>
        <w:lastRenderedPageBreak/>
        <w:t xml:space="preserve">than RMT in modelling events and management activities, and includes calibrations for a broader range of species, so has broader application to the range of forest establishment activities that could be covered under the ERF. </w:t>
      </w:r>
    </w:p>
    <w:p w:rsidR="00230B25" w:rsidRPr="0091381A" w:rsidRDefault="00230B25" w:rsidP="006C2180">
      <w:pPr>
        <w:spacing w:before="120" w:after="120"/>
        <w:rPr>
          <w:lang w:eastAsia="en-AU"/>
        </w:rPr>
      </w:pPr>
      <w:r w:rsidRPr="007D124F">
        <w:rPr>
          <w:lang w:eastAsia="en-AU"/>
        </w:rPr>
        <w:t xml:space="preserve">The Variation </w:t>
      </w:r>
      <w:r>
        <w:rPr>
          <w:lang w:eastAsia="en-AU"/>
        </w:rPr>
        <w:t xml:space="preserve">amends the Determination to </w:t>
      </w:r>
      <w:r w:rsidR="00C24F60">
        <w:rPr>
          <w:lang w:eastAsia="en-AU"/>
        </w:rPr>
        <w:t xml:space="preserve">make explicit the arrangements for </w:t>
      </w:r>
      <w:r>
        <w:rPr>
          <w:lang w:eastAsia="en-AU"/>
        </w:rPr>
        <w:t xml:space="preserve">projects that are already declared as eligible offsets projects </w:t>
      </w:r>
      <w:r w:rsidR="00C24F60">
        <w:rPr>
          <w:lang w:eastAsia="en-AU"/>
        </w:rPr>
        <w:t xml:space="preserve">that </w:t>
      </w:r>
      <w:r>
        <w:rPr>
          <w:lang w:eastAsia="en-AU"/>
        </w:rPr>
        <w:t xml:space="preserve">move to the ‘varied Determination’ – that is, the Determination as varied by the Variation. Proponents of projects that are already declared eligible </w:t>
      </w:r>
      <w:r w:rsidR="00555B6B">
        <w:rPr>
          <w:lang w:eastAsia="en-AU"/>
        </w:rPr>
        <w:t xml:space="preserve">and whose crediting period has already commenced </w:t>
      </w:r>
      <w:r>
        <w:rPr>
          <w:lang w:eastAsia="en-AU"/>
        </w:rPr>
        <w:t xml:space="preserve">would need to apply to the Regulator under </w:t>
      </w:r>
      <w:r w:rsidRPr="007D124F">
        <w:t xml:space="preserve">section 128 of the Act to have the varied </w:t>
      </w:r>
      <w:r>
        <w:t>D</w:t>
      </w:r>
      <w:r w:rsidRPr="007D124F">
        <w:t xml:space="preserve">etermination apply to their project. This is because under section 126 of the Act, a </w:t>
      </w:r>
      <w:r>
        <w:t xml:space="preserve">methodology </w:t>
      </w:r>
      <w:r w:rsidRPr="007D124F">
        <w:t xml:space="preserve">determination continues to apply to projects that are already </w:t>
      </w:r>
      <w:r>
        <w:t xml:space="preserve">declared eligible </w:t>
      </w:r>
      <w:r w:rsidRPr="007D124F">
        <w:t>under it</w:t>
      </w:r>
      <w:r w:rsidR="00555B6B" w:rsidRPr="00555B6B">
        <w:t xml:space="preserve"> </w:t>
      </w:r>
      <w:r w:rsidR="00555B6B">
        <w:t xml:space="preserve">and whose crediting periods </w:t>
      </w:r>
      <w:r w:rsidR="00555B6B" w:rsidRPr="0091381A">
        <w:t>have already commenced</w:t>
      </w:r>
      <w:r w:rsidRPr="0091381A">
        <w:t>, even if the determination is subsequently varied.</w:t>
      </w:r>
    </w:p>
    <w:p w:rsidR="00230B25" w:rsidRPr="0091381A" w:rsidRDefault="00BE2068" w:rsidP="006C2180">
      <w:pPr>
        <w:spacing w:before="120" w:after="120"/>
        <w:rPr>
          <w:lang w:eastAsia="en-AU"/>
        </w:rPr>
      </w:pPr>
      <w:r w:rsidRPr="0091381A">
        <w:rPr>
          <w:lang w:eastAsia="en-AU"/>
        </w:rPr>
        <w:t>It is intended that p</w:t>
      </w:r>
      <w:r w:rsidR="00230B25" w:rsidRPr="0091381A">
        <w:rPr>
          <w:lang w:eastAsia="en-AU"/>
        </w:rPr>
        <w:t xml:space="preserve">rojects that are declared eligible under the original Determination or an </w:t>
      </w:r>
      <w:r w:rsidR="00067260" w:rsidRPr="0091381A">
        <w:rPr>
          <w:lang w:eastAsia="en-AU"/>
        </w:rPr>
        <w:t xml:space="preserve">earlier version of it would </w:t>
      </w:r>
      <w:r w:rsidR="00187F9A" w:rsidRPr="0091381A">
        <w:rPr>
          <w:lang w:eastAsia="en-AU"/>
        </w:rPr>
        <w:t>be able</w:t>
      </w:r>
      <w:r w:rsidR="00230B25" w:rsidRPr="0091381A">
        <w:rPr>
          <w:lang w:eastAsia="en-AU"/>
        </w:rPr>
        <w:t xml:space="preserve"> to transfer across to the varied Determination.</w:t>
      </w:r>
      <w:r w:rsidR="00067260" w:rsidRPr="0091381A">
        <w:rPr>
          <w:lang w:eastAsia="en-AU"/>
        </w:rPr>
        <w:t xml:space="preserve"> Note that for projects which have commenced the crediting period under such a </w:t>
      </w:r>
      <w:r w:rsidR="00187F9A" w:rsidRPr="0091381A">
        <w:rPr>
          <w:lang w:eastAsia="en-AU"/>
        </w:rPr>
        <w:t>previous</w:t>
      </w:r>
      <w:r w:rsidR="00067260" w:rsidRPr="0091381A">
        <w:rPr>
          <w:lang w:eastAsia="en-AU"/>
        </w:rPr>
        <w:t xml:space="preserve"> version of the Determination, a report </w:t>
      </w:r>
      <w:r w:rsidR="00187F9A" w:rsidRPr="0091381A">
        <w:rPr>
          <w:lang w:eastAsia="en-AU"/>
        </w:rPr>
        <w:t>must</w:t>
      </w:r>
      <w:r w:rsidR="00067260" w:rsidRPr="0091381A">
        <w:rPr>
          <w:lang w:eastAsia="en-AU"/>
        </w:rPr>
        <w:t xml:space="preserve"> be submitted under that </w:t>
      </w:r>
      <w:r w:rsidR="00187F9A" w:rsidRPr="0091381A">
        <w:rPr>
          <w:lang w:eastAsia="en-AU"/>
        </w:rPr>
        <w:t>previous</w:t>
      </w:r>
      <w:r w:rsidR="00067260" w:rsidRPr="0091381A">
        <w:rPr>
          <w:lang w:eastAsia="en-AU"/>
        </w:rPr>
        <w:t xml:space="preserve"> version in order to be eligible to transfer.</w:t>
      </w:r>
    </w:p>
    <w:p w:rsidR="00B858C2" w:rsidRPr="007D124F" w:rsidRDefault="00B858C2" w:rsidP="006C2180">
      <w:pPr>
        <w:spacing w:before="120" w:after="120"/>
      </w:pPr>
      <w:r w:rsidRPr="00B858C2">
        <w:t>If a p</w:t>
      </w:r>
      <w:r w:rsidR="00C55EA9">
        <w:t>roject</w:t>
      </w:r>
      <w:r w:rsidRPr="00B858C2">
        <w:t xml:space="preserve"> proponent has applied to the Regulator for declaration of a human-induced rege</w:t>
      </w:r>
      <w:r w:rsidR="00C55EA9">
        <w:t xml:space="preserve">neration project as an eligible </w:t>
      </w:r>
      <w:r w:rsidRPr="00B858C2">
        <w:t>offsets project, but a decision on the application has not been made when the Variation comes into force, the application w</w:t>
      </w:r>
      <w:r w:rsidR="00C55EA9">
        <w:t>ill</w:t>
      </w:r>
      <w:r w:rsidRPr="00B858C2">
        <w:t xml:space="preserve"> be assessed under the varied Determination</w:t>
      </w:r>
      <w:r w:rsidR="00C55EA9">
        <w:t xml:space="preserve">. In this circumstance, </w:t>
      </w:r>
      <w:r w:rsidR="00895FF6">
        <w:t>i</w:t>
      </w:r>
      <w:r w:rsidR="00C55EA9">
        <w:t xml:space="preserve">t would not be considered </w:t>
      </w:r>
      <w:r w:rsidRPr="00B858C2">
        <w:t>under the Determination that was in force when the application was made. Similarly, if a project has been declared eligible, but its crediting period has not commenced by the time the Variation comes into force, the applicable methodology determination for the project will be the Determination as varied by the Variation.</w:t>
      </w:r>
    </w:p>
    <w:p w:rsidR="00230B25" w:rsidRPr="007D124F" w:rsidRDefault="00230B25" w:rsidP="00230B25">
      <w:pPr>
        <w:pStyle w:val="ESHeading"/>
        <w:spacing w:line="276" w:lineRule="auto"/>
      </w:pPr>
      <w:r w:rsidRPr="007D124F">
        <w:t xml:space="preserve">Public consultation </w:t>
      </w:r>
    </w:p>
    <w:p w:rsidR="00230B25" w:rsidRDefault="00230B25" w:rsidP="006C2180">
      <w:pPr>
        <w:spacing w:before="120" w:after="120"/>
        <w:rPr>
          <w:lang w:eastAsia="en-AU"/>
        </w:rPr>
      </w:pPr>
      <w:r>
        <w:rPr>
          <w:lang w:eastAsia="en-AU"/>
        </w:rPr>
        <w:t xml:space="preserve">The </w:t>
      </w:r>
      <w:r w:rsidRPr="007D124F">
        <w:rPr>
          <w:lang w:eastAsia="en-AU"/>
        </w:rPr>
        <w:t xml:space="preserve">Variation has been developed by the Department of the Environment. </w:t>
      </w:r>
      <w:r w:rsidR="00555B6B">
        <w:rPr>
          <w:lang w:eastAsia="en-AU"/>
        </w:rPr>
        <w:t>E</w:t>
      </w:r>
      <w:r w:rsidRPr="007D124F">
        <w:rPr>
          <w:lang w:eastAsia="en-AU"/>
        </w:rPr>
        <w:t>xposure draft</w:t>
      </w:r>
      <w:r w:rsidR="00555B6B">
        <w:rPr>
          <w:lang w:eastAsia="en-AU"/>
        </w:rPr>
        <w:t>s</w:t>
      </w:r>
      <w:r w:rsidRPr="007D124F">
        <w:rPr>
          <w:lang w:eastAsia="en-AU"/>
        </w:rPr>
        <w:t xml:space="preserve"> of the</w:t>
      </w:r>
      <w:r>
        <w:rPr>
          <w:lang w:eastAsia="en-AU"/>
        </w:rPr>
        <w:t xml:space="preserve"> </w:t>
      </w:r>
      <w:r w:rsidRPr="007D124F">
        <w:rPr>
          <w:lang w:eastAsia="en-AU"/>
        </w:rPr>
        <w:t xml:space="preserve">Variation </w:t>
      </w:r>
      <w:r w:rsidR="00555B6B">
        <w:rPr>
          <w:lang w:eastAsia="en-AU"/>
        </w:rPr>
        <w:t xml:space="preserve">were </w:t>
      </w:r>
      <w:r w:rsidRPr="007D124F">
        <w:rPr>
          <w:lang w:eastAsia="en-AU"/>
        </w:rPr>
        <w:t xml:space="preserve">published on the Department’s website for public consultation </w:t>
      </w:r>
      <w:r>
        <w:rPr>
          <w:lang w:eastAsia="en-AU"/>
        </w:rPr>
        <w:t xml:space="preserve">on two occasions: </w:t>
      </w:r>
      <w:r w:rsidRPr="007D124F">
        <w:rPr>
          <w:lang w:eastAsia="en-AU"/>
        </w:rPr>
        <w:t xml:space="preserve">from </w:t>
      </w:r>
      <w:r>
        <w:rPr>
          <w:lang w:eastAsia="en-AU"/>
        </w:rPr>
        <w:t>18 September</w:t>
      </w:r>
      <w:r w:rsidRPr="00DA7F26">
        <w:rPr>
          <w:lang w:eastAsia="en-AU"/>
        </w:rPr>
        <w:t xml:space="preserve"> 2015</w:t>
      </w:r>
      <w:r w:rsidRPr="007D124F">
        <w:rPr>
          <w:lang w:eastAsia="en-AU"/>
        </w:rPr>
        <w:t xml:space="preserve"> to </w:t>
      </w:r>
      <w:r>
        <w:rPr>
          <w:lang w:eastAsia="en-AU"/>
        </w:rPr>
        <w:t>2 October</w:t>
      </w:r>
      <w:r w:rsidRPr="00DA7F26">
        <w:rPr>
          <w:lang w:eastAsia="en-AU"/>
        </w:rPr>
        <w:t xml:space="preserve"> 2015</w:t>
      </w:r>
      <w:r>
        <w:rPr>
          <w:lang w:eastAsia="en-AU"/>
        </w:rPr>
        <w:t xml:space="preserve">; and from </w:t>
      </w:r>
      <w:r w:rsidR="000438C8" w:rsidRPr="000438C8">
        <w:rPr>
          <w:lang w:eastAsia="en-AU"/>
        </w:rPr>
        <w:t>9</w:t>
      </w:r>
      <w:r w:rsidR="003070F0" w:rsidRPr="000438C8">
        <w:rPr>
          <w:lang w:eastAsia="en-AU"/>
        </w:rPr>
        <w:t xml:space="preserve"> to </w:t>
      </w:r>
      <w:r w:rsidR="000438C8" w:rsidRPr="000438C8">
        <w:rPr>
          <w:lang w:eastAsia="en-AU"/>
        </w:rPr>
        <w:t>23</w:t>
      </w:r>
      <w:r w:rsidR="000438C8">
        <w:rPr>
          <w:lang w:eastAsia="en-AU"/>
        </w:rPr>
        <w:t xml:space="preserve"> February 2016</w:t>
      </w:r>
      <w:r w:rsidR="003070F0">
        <w:rPr>
          <w:lang w:eastAsia="en-AU"/>
        </w:rPr>
        <w:t>.</w:t>
      </w:r>
      <w:r w:rsidR="00582DC0">
        <w:rPr>
          <w:lang w:eastAsia="en-AU"/>
        </w:rPr>
        <w:t xml:space="preserve"> The second period of public consultation was undertaken because a number of changes and clarifications </w:t>
      </w:r>
      <w:r w:rsidR="004B42FF">
        <w:rPr>
          <w:lang w:eastAsia="en-AU"/>
        </w:rPr>
        <w:t xml:space="preserve">that went beyond the scope of the first exposure draft </w:t>
      </w:r>
      <w:r w:rsidR="00582DC0">
        <w:rPr>
          <w:lang w:eastAsia="en-AU"/>
        </w:rPr>
        <w:t xml:space="preserve">were made to the draft </w:t>
      </w:r>
      <w:r w:rsidR="00555B6B">
        <w:rPr>
          <w:lang w:eastAsia="en-AU"/>
        </w:rPr>
        <w:t xml:space="preserve">Variation </w:t>
      </w:r>
      <w:r w:rsidR="00582DC0">
        <w:rPr>
          <w:lang w:eastAsia="en-AU"/>
        </w:rPr>
        <w:t>after the first public consultation period.</w:t>
      </w:r>
    </w:p>
    <w:p w:rsidR="00230B25" w:rsidRPr="007D124F" w:rsidRDefault="00230B25" w:rsidP="006C2180">
      <w:pPr>
        <w:spacing w:before="120" w:after="120"/>
        <w:rPr>
          <w:lang w:eastAsia="en-AU"/>
        </w:rPr>
      </w:pPr>
      <w:r>
        <w:rPr>
          <w:lang w:eastAsia="en-AU"/>
        </w:rPr>
        <w:t xml:space="preserve">Two </w:t>
      </w:r>
      <w:r w:rsidR="00A62886">
        <w:rPr>
          <w:lang w:eastAsia="en-AU"/>
        </w:rPr>
        <w:t xml:space="preserve">public </w:t>
      </w:r>
      <w:r>
        <w:rPr>
          <w:lang w:eastAsia="en-AU"/>
        </w:rPr>
        <w:t>submissions were received</w:t>
      </w:r>
      <w:r w:rsidR="003070F0">
        <w:rPr>
          <w:lang w:eastAsia="en-AU"/>
        </w:rPr>
        <w:t xml:space="preserve"> in the first round of public consultation</w:t>
      </w:r>
      <w:r w:rsidRPr="007D124F">
        <w:rPr>
          <w:lang w:eastAsia="en-AU"/>
        </w:rPr>
        <w:t>.</w:t>
      </w:r>
      <w:r w:rsidR="00E16EF2">
        <w:rPr>
          <w:lang w:eastAsia="en-AU"/>
        </w:rPr>
        <w:t xml:space="preserve"> A further two public and </w:t>
      </w:r>
      <w:r w:rsidR="00A62886">
        <w:rPr>
          <w:lang w:eastAsia="en-AU"/>
        </w:rPr>
        <w:t>seven confidential</w:t>
      </w:r>
      <w:r w:rsidR="00E16EF2">
        <w:rPr>
          <w:lang w:eastAsia="en-AU"/>
        </w:rPr>
        <w:t xml:space="preserve"> consultations were received in the second round of public consultation. </w:t>
      </w:r>
      <w:r>
        <w:rPr>
          <w:lang w:eastAsia="en-AU"/>
        </w:rPr>
        <w:t xml:space="preserve"> </w:t>
      </w:r>
      <w:r>
        <w:t>Details of the</w:t>
      </w:r>
      <w:r w:rsidR="00E16EF2">
        <w:t xml:space="preserve"> public</w:t>
      </w:r>
      <w:r>
        <w:t xml:space="preserve"> submissions are provided on the Department’s website</w:t>
      </w:r>
      <w:r w:rsidRPr="00632A8F">
        <w:t xml:space="preserve">: </w:t>
      </w:r>
      <w:hyperlink r:id="rId12" w:history="1">
        <w:r w:rsidR="00E16EF2" w:rsidRPr="008A48B6">
          <w:rPr>
            <w:rStyle w:val="Hyperlink"/>
          </w:rPr>
          <w:t>http://www.environment.gov.au</w:t>
        </w:r>
        <w:r w:rsidR="00E16EF2" w:rsidRPr="008A48B6" w:rsidDel="00E16EF2">
          <w:rPr>
            <w:rStyle w:val="Hyperlink"/>
          </w:rPr>
          <w:t xml:space="preserve"> </w:t>
        </w:r>
      </w:hyperlink>
    </w:p>
    <w:p w:rsidR="00230B25" w:rsidRDefault="00230B25" w:rsidP="006C2180">
      <w:pPr>
        <w:spacing w:before="120" w:after="120"/>
        <w:rPr>
          <w:lang w:eastAsia="en-AU"/>
        </w:rPr>
      </w:pPr>
      <w:r>
        <w:rPr>
          <w:lang w:eastAsia="en-AU"/>
        </w:rPr>
        <w:t>The Department has also consulted closely with the Regulator when developing the Variation.</w:t>
      </w:r>
    </w:p>
    <w:p w:rsidR="00230B25" w:rsidRPr="007D124F" w:rsidRDefault="00230B25" w:rsidP="00230B25">
      <w:pPr>
        <w:pStyle w:val="ESHeading"/>
        <w:spacing w:line="276" w:lineRule="auto"/>
      </w:pPr>
      <w:r w:rsidRPr="007D124F">
        <w:t>Determination details</w:t>
      </w:r>
    </w:p>
    <w:p w:rsidR="00230B25" w:rsidRPr="007D124F" w:rsidRDefault="00230B25" w:rsidP="006C2180">
      <w:pPr>
        <w:spacing w:before="120" w:after="120"/>
        <w:rPr>
          <w:szCs w:val="24"/>
        </w:rPr>
      </w:pPr>
      <w:r w:rsidRPr="007D124F">
        <w:rPr>
          <w:szCs w:val="24"/>
        </w:rPr>
        <w:t xml:space="preserve">Details of the </w:t>
      </w:r>
      <w:r w:rsidRPr="007D124F">
        <w:rPr>
          <w:lang w:eastAsia="en-AU"/>
        </w:rPr>
        <w:t>V</w:t>
      </w:r>
      <w:r w:rsidRPr="007D124F">
        <w:rPr>
          <w:szCs w:val="24"/>
        </w:rPr>
        <w:t xml:space="preserve">ariation are at </w:t>
      </w:r>
      <w:r w:rsidRPr="007D124F">
        <w:rPr>
          <w:szCs w:val="24"/>
          <w:u w:val="single"/>
        </w:rPr>
        <w:t>Attachment A</w:t>
      </w:r>
      <w:r w:rsidRPr="007D124F">
        <w:rPr>
          <w:szCs w:val="24"/>
        </w:rPr>
        <w:t xml:space="preserve">. Numbered sections and items in this explanatory statement align with the relevant sections and items </w:t>
      </w:r>
      <w:r>
        <w:rPr>
          <w:szCs w:val="24"/>
        </w:rPr>
        <w:t xml:space="preserve">of the </w:t>
      </w:r>
      <w:r w:rsidRPr="007D124F">
        <w:rPr>
          <w:szCs w:val="24"/>
        </w:rPr>
        <w:t xml:space="preserve">Variation and the Schedule. The definition of terms highlighted in </w:t>
      </w:r>
      <w:r w:rsidRPr="007D124F">
        <w:rPr>
          <w:b/>
          <w:i/>
          <w:szCs w:val="24"/>
        </w:rPr>
        <w:t>bold italics</w:t>
      </w:r>
      <w:r>
        <w:rPr>
          <w:szCs w:val="24"/>
        </w:rPr>
        <w:t xml:space="preserve"> can be found in the </w:t>
      </w:r>
      <w:r w:rsidRPr="007D124F">
        <w:rPr>
          <w:szCs w:val="24"/>
        </w:rPr>
        <w:t xml:space="preserve">Variation or the </w:t>
      </w:r>
      <w:r>
        <w:rPr>
          <w:szCs w:val="24"/>
        </w:rPr>
        <w:t xml:space="preserve">varied </w:t>
      </w:r>
      <w:r w:rsidRPr="007D124F">
        <w:rPr>
          <w:szCs w:val="24"/>
        </w:rPr>
        <w:t>Determination.</w:t>
      </w:r>
    </w:p>
    <w:p w:rsidR="00230B25" w:rsidRPr="007D124F" w:rsidRDefault="00230B25" w:rsidP="006C2180">
      <w:pPr>
        <w:spacing w:before="120" w:after="120"/>
        <w:rPr>
          <w:szCs w:val="24"/>
        </w:rPr>
      </w:pPr>
      <w:r w:rsidRPr="007D124F">
        <w:rPr>
          <w:szCs w:val="24"/>
        </w:rPr>
        <w:t>For the purpose of subsections 114(2), (2A) and (7B) of the Act, in varying a methodology determination</w:t>
      </w:r>
      <w:r>
        <w:rPr>
          <w:szCs w:val="24"/>
        </w:rPr>
        <w:t>,</w:t>
      </w:r>
      <w:r w:rsidRPr="007D124F">
        <w:rPr>
          <w:szCs w:val="24"/>
        </w:rPr>
        <w:t xml:space="preserve"> the Minister must have regard to the advice of the Emissions Reduction Assurance Committee (ERAC) </w:t>
      </w:r>
      <w:r>
        <w:rPr>
          <w:szCs w:val="24"/>
        </w:rPr>
        <w:t xml:space="preserve">as to whether the Minister should vary the determination, and is not able to make the variation if the ERAC has advised the Minister </w:t>
      </w:r>
      <w:r w:rsidRPr="007D124F">
        <w:rPr>
          <w:szCs w:val="24"/>
        </w:rPr>
        <w:t xml:space="preserve">that the varied methodology determination </w:t>
      </w:r>
      <w:r>
        <w:rPr>
          <w:szCs w:val="24"/>
        </w:rPr>
        <w:t xml:space="preserve">does not comply </w:t>
      </w:r>
      <w:r w:rsidRPr="007D124F">
        <w:rPr>
          <w:szCs w:val="24"/>
        </w:rPr>
        <w:t xml:space="preserve">with </w:t>
      </w:r>
      <w:r>
        <w:rPr>
          <w:szCs w:val="24"/>
        </w:rPr>
        <w:t xml:space="preserve">one or more of </w:t>
      </w:r>
      <w:r w:rsidRPr="007D124F">
        <w:rPr>
          <w:szCs w:val="24"/>
        </w:rPr>
        <w:t>the offsets integrity standards. The Minister must be satisfied that the carbon abatement used in ascertaining the carbon dioxide equivalent net abatement amount for a project is eligible carbon abatement from the project. The Minister also must have regard to whether any adverse environmental, economic or social impacts are likely to arise from the carrying out of the kind of project to which the varied methodology determination applies, and other relevant considerations.</w:t>
      </w:r>
    </w:p>
    <w:p w:rsidR="007B37F2" w:rsidRPr="009045D7" w:rsidRDefault="007B37F2" w:rsidP="00073878">
      <w:pPr>
        <w:pStyle w:val="Heading3"/>
        <w:spacing w:before="240"/>
        <w:rPr>
          <w:color w:val="000000" w:themeColor="text1"/>
        </w:rPr>
      </w:pPr>
      <w:r w:rsidRPr="009045D7">
        <w:rPr>
          <w:color w:val="000000" w:themeColor="text1"/>
        </w:rPr>
        <w:t>Note on this explanatory statement</w:t>
      </w:r>
    </w:p>
    <w:p w:rsidR="007B37F2" w:rsidRDefault="007B37F2" w:rsidP="006C2180">
      <w:pPr>
        <w:spacing w:before="120" w:after="120"/>
        <w:rPr>
          <w:color w:val="000000" w:themeColor="text1"/>
        </w:rPr>
      </w:pPr>
      <w:r w:rsidRPr="009045D7">
        <w:rPr>
          <w:color w:val="000000" w:themeColor="text1"/>
        </w:rPr>
        <w:t xml:space="preserve">Numbered sections in this explanatory statement align with the relevant sections of the </w:t>
      </w:r>
      <w:r w:rsidR="000F264D">
        <w:rPr>
          <w:color w:val="000000" w:themeColor="text1"/>
        </w:rPr>
        <w:t>variation instrument</w:t>
      </w:r>
      <w:r w:rsidRPr="009045D7">
        <w:rPr>
          <w:color w:val="000000" w:themeColor="text1"/>
        </w:rPr>
        <w:t>.</w:t>
      </w:r>
    </w:p>
    <w:p w:rsidR="00555B6B" w:rsidRPr="00555B6B" w:rsidRDefault="00555B6B" w:rsidP="006C2180">
      <w:pPr>
        <w:spacing w:before="120" w:after="120"/>
        <w:rPr>
          <w:color w:val="000000" w:themeColor="text1"/>
        </w:rPr>
      </w:pPr>
      <w:r>
        <w:rPr>
          <w:color w:val="000000" w:themeColor="text1"/>
        </w:rPr>
        <w:t xml:space="preserve">A statement of compatibility with human rights is set out at </w:t>
      </w:r>
      <w:r>
        <w:rPr>
          <w:color w:val="000000" w:themeColor="text1"/>
          <w:u w:val="single"/>
        </w:rPr>
        <w:t>Attachment B</w:t>
      </w:r>
      <w:r>
        <w:rPr>
          <w:color w:val="000000" w:themeColor="text1"/>
        </w:rPr>
        <w:t>.</w:t>
      </w:r>
    </w:p>
    <w:p w:rsidR="0019691D" w:rsidRPr="009045D7" w:rsidRDefault="0019691D" w:rsidP="006E7182">
      <w:pPr>
        <w:rPr>
          <w:color w:val="000000" w:themeColor="text1"/>
        </w:rPr>
      </w:pPr>
    </w:p>
    <w:p w:rsidR="00BB15A2" w:rsidRPr="009045D7" w:rsidRDefault="00BB15A2" w:rsidP="006E7182">
      <w:pPr>
        <w:rPr>
          <w:b/>
          <w:color w:val="000000" w:themeColor="text1"/>
        </w:rPr>
        <w:sectPr w:rsidR="00BB15A2" w:rsidRPr="009045D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18" w:header="709" w:footer="709" w:gutter="0"/>
          <w:cols w:space="708"/>
          <w:docGrid w:linePitch="360"/>
        </w:sectPr>
      </w:pPr>
    </w:p>
    <w:p w:rsidR="0019691D" w:rsidRPr="009045D7" w:rsidRDefault="00CF1818" w:rsidP="001B5684">
      <w:pPr>
        <w:pStyle w:val="Heading4"/>
        <w:rPr>
          <w:color w:val="000000" w:themeColor="text1"/>
        </w:rPr>
      </w:pPr>
      <w:r>
        <w:rPr>
          <w:color w:val="000000" w:themeColor="text1"/>
        </w:rPr>
        <w:t>1.</w:t>
      </w:r>
      <w:r w:rsidR="0019691D" w:rsidRPr="009045D7">
        <w:rPr>
          <w:color w:val="000000" w:themeColor="text1"/>
        </w:rPr>
        <w:tab/>
        <w:t xml:space="preserve">Name </w:t>
      </w:r>
    </w:p>
    <w:p w:rsidR="003070F0" w:rsidRPr="001A38B4" w:rsidRDefault="003070F0" w:rsidP="00B92DA2">
      <w:pPr>
        <w:spacing w:before="120" w:afterLines="120"/>
        <w:rPr>
          <w:bCs/>
          <w:i/>
          <w:iCs/>
          <w:color w:val="000000" w:themeColor="text1"/>
          <w:kern w:val="36"/>
          <w:szCs w:val="24"/>
          <w:lang w:eastAsia="en-AU"/>
        </w:rPr>
      </w:pPr>
      <w:r w:rsidRPr="001A38B4">
        <w:rPr>
          <w:szCs w:val="24"/>
        </w:rPr>
        <w:t xml:space="preserve">Section 1 sets out the full name of the </w:t>
      </w:r>
      <w:r w:rsidRPr="001A38B4">
        <w:rPr>
          <w:lang w:eastAsia="en-AU"/>
        </w:rPr>
        <w:t>Variation</w:t>
      </w:r>
      <w:r w:rsidRPr="001A38B4">
        <w:rPr>
          <w:szCs w:val="24"/>
        </w:rPr>
        <w:t xml:space="preserve">, which is the </w:t>
      </w:r>
      <w:r w:rsidRPr="001A38B4">
        <w:rPr>
          <w:bCs/>
          <w:i/>
          <w:iCs/>
          <w:color w:val="000000" w:themeColor="text1"/>
          <w:kern w:val="36"/>
          <w:szCs w:val="24"/>
          <w:lang w:eastAsia="en-AU"/>
        </w:rPr>
        <w:t>Carbon Credits (Carbon Farming Initiative) (Human-Induced Regeneration of a Permanent Even-Aged Native Forest—1.1) Methodology Determination Variation 201</w:t>
      </w:r>
      <w:r w:rsidR="00D942FD" w:rsidRPr="001A38B4">
        <w:rPr>
          <w:bCs/>
          <w:i/>
          <w:iCs/>
          <w:color w:val="000000" w:themeColor="text1"/>
          <w:kern w:val="36"/>
          <w:szCs w:val="24"/>
          <w:lang w:eastAsia="en-AU"/>
        </w:rPr>
        <w:t>6</w:t>
      </w:r>
      <w:r w:rsidRPr="001A38B4">
        <w:rPr>
          <w:bCs/>
          <w:i/>
          <w:iCs/>
          <w:color w:val="000000" w:themeColor="text1"/>
          <w:kern w:val="36"/>
          <w:szCs w:val="24"/>
          <w:lang w:eastAsia="en-AU"/>
        </w:rPr>
        <w:t>.</w:t>
      </w:r>
    </w:p>
    <w:p w:rsidR="00463354" w:rsidRDefault="003070F0" w:rsidP="00B92DA2">
      <w:pPr>
        <w:spacing w:before="120" w:afterLines="120"/>
        <w:rPr>
          <w:bCs/>
          <w:iCs/>
          <w:color w:val="000000" w:themeColor="text1"/>
          <w:kern w:val="36"/>
          <w:szCs w:val="24"/>
          <w:lang w:eastAsia="en-AU"/>
        </w:rPr>
      </w:pPr>
      <w:r w:rsidRPr="001A38B4">
        <w:rPr>
          <w:szCs w:val="24"/>
        </w:rPr>
        <w:t xml:space="preserve">The Variation (that is, the </w:t>
      </w:r>
      <w:r w:rsidRPr="001A38B4">
        <w:rPr>
          <w:bCs/>
          <w:i/>
          <w:iCs/>
          <w:color w:val="000000" w:themeColor="text1"/>
          <w:kern w:val="36"/>
          <w:szCs w:val="24"/>
          <w:lang w:eastAsia="en-AU"/>
        </w:rPr>
        <w:t>Carbon Credits (Carbon Farming Initiative) (Human-Induced Regeneration of a Permanent Even-Aged Native Forest—1.1) Methodology Determination Variation 201</w:t>
      </w:r>
      <w:r w:rsidR="00D942FD" w:rsidRPr="001A38B4">
        <w:rPr>
          <w:bCs/>
          <w:i/>
          <w:iCs/>
          <w:color w:val="000000" w:themeColor="text1"/>
          <w:kern w:val="36"/>
          <w:szCs w:val="24"/>
          <w:lang w:eastAsia="en-AU"/>
        </w:rPr>
        <w:t>6</w:t>
      </w:r>
      <w:r w:rsidRPr="001A38B4">
        <w:rPr>
          <w:bCs/>
          <w:iCs/>
          <w:color w:val="000000" w:themeColor="text1"/>
          <w:kern w:val="36"/>
          <w:szCs w:val="24"/>
          <w:lang w:eastAsia="en-AU"/>
        </w:rPr>
        <w:t>) varies the Determination (that is, the</w:t>
      </w:r>
      <w:r w:rsidRPr="001A38B4">
        <w:rPr>
          <w:szCs w:val="24"/>
        </w:rPr>
        <w:t xml:space="preserve"> </w:t>
      </w:r>
      <w:r w:rsidRPr="001A38B4">
        <w:rPr>
          <w:bCs/>
          <w:i/>
          <w:iCs/>
          <w:color w:val="000000" w:themeColor="text1"/>
          <w:kern w:val="36"/>
          <w:szCs w:val="24"/>
          <w:lang w:eastAsia="en-AU"/>
        </w:rPr>
        <w:t>Carbon Credits (Carbon Farming Initiative) (Human-Induced Regeneration of a Permanent Even-Aged Native Forest—1.1) Methodology Determination 2013</w:t>
      </w:r>
      <w:r w:rsidRPr="001A38B4">
        <w:rPr>
          <w:bCs/>
          <w:iCs/>
          <w:color w:val="000000" w:themeColor="text1"/>
          <w:kern w:val="36"/>
          <w:szCs w:val="24"/>
          <w:lang w:eastAsia="en-AU"/>
        </w:rPr>
        <w:t>).</w:t>
      </w:r>
    </w:p>
    <w:p w:rsidR="0019691D" w:rsidRPr="009045D7" w:rsidRDefault="00CF1818" w:rsidP="001B5684">
      <w:pPr>
        <w:pStyle w:val="Heading4"/>
        <w:rPr>
          <w:color w:val="000000" w:themeColor="text1"/>
        </w:rPr>
      </w:pPr>
      <w:r>
        <w:rPr>
          <w:color w:val="000000" w:themeColor="text1"/>
        </w:rPr>
        <w:t>2.</w:t>
      </w:r>
      <w:r w:rsidR="0019691D" w:rsidRPr="009045D7">
        <w:rPr>
          <w:color w:val="000000" w:themeColor="text1"/>
        </w:rPr>
        <w:tab/>
        <w:t>Commencement</w:t>
      </w:r>
    </w:p>
    <w:p w:rsidR="003070F0" w:rsidRPr="001A38B4" w:rsidRDefault="003070F0" w:rsidP="00B92DA2">
      <w:pPr>
        <w:spacing w:before="120" w:afterLines="120"/>
        <w:rPr>
          <w:szCs w:val="24"/>
        </w:rPr>
      </w:pPr>
      <w:r w:rsidRPr="001A38B4">
        <w:rPr>
          <w:szCs w:val="24"/>
        </w:rPr>
        <w:t>Section 2 provides that the</w:t>
      </w:r>
      <w:r w:rsidRPr="001A38B4">
        <w:rPr>
          <w:lang w:eastAsia="en-AU"/>
        </w:rPr>
        <w:t xml:space="preserve"> </w:t>
      </w:r>
      <w:r w:rsidRPr="001A38B4">
        <w:rPr>
          <w:szCs w:val="24"/>
        </w:rPr>
        <w:t>Variation commences on the day after it is registered on the Federal Register of Legislati</w:t>
      </w:r>
      <w:r w:rsidR="002F7D8E">
        <w:rPr>
          <w:szCs w:val="24"/>
        </w:rPr>
        <w:t>on</w:t>
      </w:r>
      <w:r w:rsidRPr="001A38B4">
        <w:rPr>
          <w:szCs w:val="24"/>
        </w:rPr>
        <w:t>.</w:t>
      </w:r>
    </w:p>
    <w:p w:rsidR="000233F7" w:rsidRPr="009045D7" w:rsidRDefault="00CF1818" w:rsidP="001B5684">
      <w:pPr>
        <w:pStyle w:val="Heading4"/>
        <w:rPr>
          <w:color w:val="000000" w:themeColor="text1"/>
        </w:rPr>
      </w:pPr>
      <w:r>
        <w:rPr>
          <w:color w:val="000000" w:themeColor="text1"/>
        </w:rPr>
        <w:t>3.</w:t>
      </w:r>
      <w:r w:rsidR="000233F7" w:rsidRPr="009045D7">
        <w:rPr>
          <w:color w:val="000000" w:themeColor="text1"/>
        </w:rPr>
        <w:tab/>
        <w:t>Authority</w:t>
      </w:r>
    </w:p>
    <w:p w:rsidR="003070F0" w:rsidRPr="001A38B4" w:rsidRDefault="003070F0" w:rsidP="00B92DA2">
      <w:pPr>
        <w:spacing w:before="120" w:afterLines="120"/>
        <w:rPr>
          <w:szCs w:val="24"/>
        </w:rPr>
      </w:pPr>
      <w:r w:rsidRPr="001A38B4">
        <w:rPr>
          <w:szCs w:val="24"/>
        </w:rPr>
        <w:t>Section 3 provides that the Variation is made under subsection 114(1) of the Act.</w:t>
      </w:r>
    </w:p>
    <w:p w:rsidR="00463354" w:rsidRDefault="003070F0" w:rsidP="00B92DA2">
      <w:pPr>
        <w:spacing w:before="120" w:afterLines="120"/>
        <w:rPr>
          <w:szCs w:val="24"/>
        </w:rPr>
      </w:pPr>
      <w:r w:rsidRPr="001A38B4">
        <w:rPr>
          <w:color w:val="000000"/>
        </w:rPr>
        <w:t>Subsection 114(1) of the Act provides that the Minister may, by legislative instrument, vary a methodology determination.</w:t>
      </w:r>
    </w:p>
    <w:p w:rsidR="000233F7" w:rsidRPr="009045D7" w:rsidRDefault="00CF1818" w:rsidP="001B5684">
      <w:pPr>
        <w:pStyle w:val="Heading4"/>
        <w:rPr>
          <w:color w:val="000000" w:themeColor="text1"/>
        </w:rPr>
      </w:pPr>
      <w:r>
        <w:rPr>
          <w:color w:val="000000" w:themeColor="text1"/>
        </w:rPr>
        <w:t>4.</w:t>
      </w:r>
      <w:r w:rsidR="000233F7" w:rsidRPr="009045D7">
        <w:rPr>
          <w:color w:val="000000" w:themeColor="text1"/>
        </w:rPr>
        <w:tab/>
      </w:r>
      <w:r w:rsidR="003070F0">
        <w:rPr>
          <w:color w:val="000000" w:themeColor="text1"/>
        </w:rPr>
        <w:t xml:space="preserve">Amendment of methodology </w:t>
      </w:r>
      <w:r w:rsidR="00BA01C6">
        <w:rPr>
          <w:color w:val="000000" w:themeColor="text1"/>
        </w:rPr>
        <w:t>determination</w:t>
      </w:r>
    </w:p>
    <w:p w:rsidR="003070F0" w:rsidRPr="001A38B4" w:rsidRDefault="003070F0" w:rsidP="00B92DA2">
      <w:pPr>
        <w:spacing w:before="120" w:afterLines="120"/>
        <w:rPr>
          <w:color w:val="000000"/>
        </w:rPr>
      </w:pPr>
      <w:r w:rsidRPr="001A38B4">
        <w:rPr>
          <w:color w:val="000000"/>
        </w:rPr>
        <w:t>Section 4 provides that the Determination is amended as set out in Schedule 1 to the Variation.</w:t>
      </w:r>
    </w:p>
    <w:p w:rsidR="003070F0" w:rsidRDefault="003070F0">
      <w:pPr>
        <w:spacing w:before="0" w:after="0"/>
        <w:rPr>
          <w:color w:val="000000"/>
        </w:rPr>
      </w:pPr>
    </w:p>
    <w:p w:rsidR="00202B01" w:rsidRPr="00D33E2F" w:rsidRDefault="00202B01" w:rsidP="00202B01">
      <w:pPr>
        <w:pStyle w:val="h1Chap"/>
      </w:pPr>
      <w:r>
        <w:t>Schedule 1—</w:t>
      </w:r>
      <w:r w:rsidRPr="001A46B4">
        <w:t xml:space="preserve">Amendments of the </w:t>
      </w:r>
      <w:r w:rsidRPr="001A46B4">
        <w:rPr>
          <w:i/>
        </w:rPr>
        <w:t>Carbon Credits (Carbon Farming Initiative) (Human-Induced Regeneration of a Permanent Even-Aged Native Forest—1.1) Methodology Determination 2013</w:t>
      </w:r>
    </w:p>
    <w:p w:rsidR="00BA01C6" w:rsidRPr="00974496" w:rsidRDefault="00CF1818" w:rsidP="00B92DA2">
      <w:pPr>
        <w:spacing w:beforeLines="240" w:after="0" w:line="276" w:lineRule="auto"/>
        <w:rPr>
          <w:b/>
        </w:rPr>
      </w:pPr>
      <w:r w:rsidRPr="00974496">
        <w:rPr>
          <w:b/>
        </w:rPr>
        <w:t xml:space="preserve">[1]  </w:t>
      </w:r>
      <w:r w:rsidR="000A3E3A" w:rsidRPr="00974496">
        <w:rPr>
          <w:b/>
        </w:rPr>
        <w:tab/>
      </w:r>
      <w:r w:rsidR="00BA01C6" w:rsidRPr="00974496">
        <w:rPr>
          <w:b/>
        </w:rPr>
        <w:t>Parts 1 to 5</w:t>
      </w:r>
    </w:p>
    <w:p w:rsidR="00463354" w:rsidRDefault="00CF1818" w:rsidP="00B92DA2">
      <w:pPr>
        <w:spacing w:before="120" w:afterLines="120"/>
        <w:rPr>
          <w:color w:val="000000" w:themeColor="text1"/>
        </w:rPr>
      </w:pPr>
      <w:r w:rsidRPr="001A38B4">
        <w:rPr>
          <w:color w:val="000000" w:themeColor="text1"/>
        </w:rPr>
        <w:t xml:space="preserve">Item 1 </w:t>
      </w:r>
      <w:r w:rsidR="00BA01C6" w:rsidRPr="001A38B4">
        <w:rPr>
          <w:color w:val="000000" w:themeColor="text1"/>
        </w:rPr>
        <w:t xml:space="preserve">of Schedule 1 to the Variation </w:t>
      </w:r>
      <w:r w:rsidRPr="001A38B4">
        <w:rPr>
          <w:color w:val="000000" w:themeColor="text1"/>
        </w:rPr>
        <w:t xml:space="preserve">repeals Parts 1 to 5 of the original Determination, replacing them with </w:t>
      </w:r>
      <w:r w:rsidR="001F5C91" w:rsidRPr="001A38B4">
        <w:rPr>
          <w:color w:val="000000" w:themeColor="text1"/>
        </w:rPr>
        <w:t>the sections described below. The draft Determination has been restructured to match the format of more recent methods made under the ERF.</w:t>
      </w:r>
    </w:p>
    <w:p w:rsidR="00E5137B" w:rsidRDefault="00BA01C6" w:rsidP="00073878">
      <w:pPr>
        <w:pStyle w:val="Heading3"/>
        <w:spacing w:before="240" w:line="276" w:lineRule="auto"/>
      </w:pPr>
      <w:r>
        <w:t>Part 1—Preliminary</w:t>
      </w:r>
    </w:p>
    <w:p w:rsidR="003070F0" w:rsidRDefault="00B0011E" w:rsidP="001B5684">
      <w:pPr>
        <w:pStyle w:val="Heading4"/>
      </w:pPr>
      <w:r>
        <w:t>1.</w:t>
      </w:r>
      <w:r w:rsidR="001F5C91">
        <w:tab/>
        <w:t>Name</w:t>
      </w:r>
    </w:p>
    <w:p w:rsidR="0001068F" w:rsidRPr="009F2427" w:rsidRDefault="0001068F" w:rsidP="00B92DA2">
      <w:pPr>
        <w:spacing w:beforeLines="120" w:afterLines="120"/>
        <w:rPr>
          <w:color w:val="000000" w:themeColor="text1"/>
          <w:szCs w:val="24"/>
        </w:rPr>
      </w:pPr>
      <w:r w:rsidRPr="009F2427">
        <w:rPr>
          <w:szCs w:val="24"/>
        </w:rPr>
        <w:t xml:space="preserve">Section </w:t>
      </w:r>
      <w:r w:rsidR="00BC7740" w:rsidRPr="009F2427">
        <w:rPr>
          <w:szCs w:val="24"/>
        </w:rPr>
        <w:t>1</w:t>
      </w:r>
      <w:r w:rsidRPr="009F2427">
        <w:rPr>
          <w:szCs w:val="24"/>
        </w:rPr>
        <w:t xml:space="preserve"> </w:t>
      </w:r>
      <w:r w:rsidR="00717392" w:rsidRPr="009F2427">
        <w:rPr>
          <w:szCs w:val="24"/>
        </w:rPr>
        <w:t xml:space="preserve">of </w:t>
      </w:r>
      <w:r w:rsidR="00BA01C6" w:rsidRPr="009F2427">
        <w:rPr>
          <w:szCs w:val="24"/>
        </w:rPr>
        <w:t xml:space="preserve">the varied Determination </w:t>
      </w:r>
      <w:r w:rsidRPr="009F2427">
        <w:rPr>
          <w:szCs w:val="24"/>
        </w:rPr>
        <w:t xml:space="preserve">sets out the full name of the varied Determination, which is the </w:t>
      </w:r>
      <w:r w:rsidRPr="009F2427">
        <w:rPr>
          <w:i/>
          <w:color w:val="000000" w:themeColor="text1"/>
          <w:szCs w:val="24"/>
        </w:rPr>
        <w:t>Carbon Credits (Carbon Farming Initiative) (Human-Induced Regeneration of a Permanent Even-Aged Native Forest—1.</w:t>
      </w:r>
      <w:r w:rsidR="00EA6AFD" w:rsidRPr="009F2427">
        <w:rPr>
          <w:i/>
          <w:color w:val="000000" w:themeColor="text1"/>
          <w:szCs w:val="24"/>
        </w:rPr>
        <w:t>1</w:t>
      </w:r>
      <w:r w:rsidRPr="009F2427">
        <w:rPr>
          <w:i/>
          <w:color w:val="000000" w:themeColor="text1"/>
          <w:szCs w:val="24"/>
        </w:rPr>
        <w:t>) Methodology Determination 2013</w:t>
      </w:r>
      <w:r w:rsidRPr="009F2427">
        <w:rPr>
          <w:color w:val="000000" w:themeColor="text1"/>
          <w:szCs w:val="24"/>
        </w:rPr>
        <w:t>.</w:t>
      </w:r>
    </w:p>
    <w:p w:rsidR="00463354" w:rsidRDefault="00C31129" w:rsidP="00B92DA2">
      <w:pPr>
        <w:spacing w:beforeLines="120" w:afterLines="120"/>
        <w:rPr>
          <w:szCs w:val="24"/>
        </w:rPr>
      </w:pPr>
      <w:r w:rsidRPr="009F2427">
        <w:rPr>
          <w:szCs w:val="24"/>
        </w:rPr>
        <w:t xml:space="preserve">Section 126(2) of the Act specifies that the version of a determination as it existed prior to a variation continues to apply to a project even if a variation is made during its crediting period. Proponents of projects registered under an earlier version of a determination may apply to the Regulator to have the varied </w:t>
      </w:r>
      <w:r w:rsidR="00317BC5">
        <w:rPr>
          <w:szCs w:val="24"/>
        </w:rPr>
        <w:t>D</w:t>
      </w:r>
      <w:r w:rsidRPr="009F2427">
        <w:rPr>
          <w:szCs w:val="24"/>
        </w:rPr>
        <w:t>etermination applied to their project</w:t>
      </w:r>
      <w:r w:rsidR="0001068F" w:rsidRPr="009F2427">
        <w:rPr>
          <w:szCs w:val="24"/>
        </w:rPr>
        <w:t>.</w:t>
      </w:r>
      <w:r w:rsidR="006513B1" w:rsidRPr="009F2427">
        <w:rPr>
          <w:szCs w:val="24"/>
        </w:rPr>
        <w:t xml:space="preserve"> Sections 5 and 13 of the </w:t>
      </w:r>
      <w:r w:rsidR="00317BC5">
        <w:rPr>
          <w:szCs w:val="24"/>
        </w:rPr>
        <w:t>D</w:t>
      </w:r>
      <w:r w:rsidR="006513B1" w:rsidRPr="009F2427">
        <w:rPr>
          <w:szCs w:val="24"/>
        </w:rPr>
        <w:t>etermination outline requirements for transferring projects.</w:t>
      </w:r>
    </w:p>
    <w:p w:rsidR="00802C68" w:rsidRDefault="00B0011E" w:rsidP="001B5684">
      <w:pPr>
        <w:pStyle w:val="Heading4"/>
        <w:rPr>
          <w:color w:val="000000" w:themeColor="text1"/>
        </w:rPr>
      </w:pPr>
      <w:r>
        <w:rPr>
          <w:color w:val="000000" w:themeColor="text1"/>
        </w:rPr>
        <w:t>2.</w:t>
      </w:r>
      <w:r w:rsidR="00802C68">
        <w:rPr>
          <w:color w:val="000000" w:themeColor="text1"/>
        </w:rPr>
        <w:tab/>
        <w:t>Duration</w:t>
      </w:r>
    </w:p>
    <w:p w:rsidR="00A3381A" w:rsidRPr="009F2427" w:rsidRDefault="004B7421" w:rsidP="00B92DA2">
      <w:pPr>
        <w:spacing w:beforeLines="120" w:afterLines="120"/>
        <w:rPr>
          <w:szCs w:val="24"/>
        </w:rPr>
      </w:pPr>
      <w:r w:rsidRPr="009F2427">
        <w:rPr>
          <w:szCs w:val="24"/>
        </w:rPr>
        <w:t>Under subparagraph 122(1</w:t>
      </w:r>
      <w:proofErr w:type="gramStart"/>
      <w:r w:rsidRPr="009F2427">
        <w:rPr>
          <w:szCs w:val="24"/>
        </w:rPr>
        <w:t>)(</w:t>
      </w:r>
      <w:proofErr w:type="gramEnd"/>
      <w:r w:rsidRPr="009F2427">
        <w:rPr>
          <w:szCs w:val="24"/>
        </w:rPr>
        <w:t>b)(</w:t>
      </w:r>
      <w:proofErr w:type="spellStart"/>
      <w:r w:rsidRPr="009F2427">
        <w:rPr>
          <w:szCs w:val="24"/>
        </w:rPr>
        <w:t>i</w:t>
      </w:r>
      <w:proofErr w:type="spellEnd"/>
      <w:r w:rsidRPr="009F2427">
        <w:rPr>
          <w:szCs w:val="24"/>
        </w:rPr>
        <w:t xml:space="preserve">) of the Act, a methodology determination remains in force for the period specified in the determination. The Determination will remain in force for the duration set out in this section unless revoked in accordance with section 123 of the Act or section 42 of the </w:t>
      </w:r>
      <w:r w:rsidR="00852E5A" w:rsidRPr="009F2427">
        <w:rPr>
          <w:i/>
          <w:iCs/>
          <w:szCs w:val="24"/>
        </w:rPr>
        <w:t>Legislati</w:t>
      </w:r>
      <w:r w:rsidR="00852E5A">
        <w:rPr>
          <w:i/>
          <w:iCs/>
          <w:szCs w:val="24"/>
        </w:rPr>
        <w:t>on</w:t>
      </w:r>
      <w:r w:rsidR="00852E5A" w:rsidRPr="009F2427">
        <w:rPr>
          <w:i/>
          <w:iCs/>
          <w:szCs w:val="24"/>
        </w:rPr>
        <w:t xml:space="preserve"> Act</w:t>
      </w:r>
      <w:r w:rsidRPr="009F2427">
        <w:rPr>
          <w:i/>
          <w:iCs/>
          <w:szCs w:val="24"/>
        </w:rPr>
        <w:t xml:space="preserve"> 2003</w:t>
      </w:r>
      <w:r w:rsidR="004D66C4" w:rsidRPr="009F2427">
        <w:rPr>
          <w:i/>
          <w:iCs/>
          <w:szCs w:val="24"/>
        </w:rPr>
        <w:t xml:space="preserve"> </w:t>
      </w:r>
      <w:r w:rsidR="004D66C4" w:rsidRPr="009F2427">
        <w:rPr>
          <w:iCs/>
          <w:szCs w:val="24"/>
        </w:rPr>
        <w:t xml:space="preserve">(the </w:t>
      </w:r>
      <w:r w:rsidR="002F7D8E" w:rsidRPr="009F2427">
        <w:rPr>
          <w:iCs/>
          <w:szCs w:val="24"/>
        </w:rPr>
        <w:t>L</w:t>
      </w:r>
      <w:r w:rsidR="002F7D8E">
        <w:rPr>
          <w:iCs/>
          <w:szCs w:val="24"/>
        </w:rPr>
        <w:t>egislation</w:t>
      </w:r>
      <w:r w:rsidR="002F7D8E" w:rsidRPr="009F2427">
        <w:rPr>
          <w:iCs/>
          <w:szCs w:val="24"/>
        </w:rPr>
        <w:t xml:space="preserve"> </w:t>
      </w:r>
      <w:r w:rsidR="004D66C4" w:rsidRPr="009F2427">
        <w:rPr>
          <w:iCs/>
          <w:szCs w:val="24"/>
        </w:rPr>
        <w:t>Act)</w:t>
      </w:r>
      <w:r w:rsidRPr="009F2427">
        <w:rPr>
          <w:szCs w:val="24"/>
        </w:rPr>
        <w:t xml:space="preserve">. </w:t>
      </w:r>
    </w:p>
    <w:p w:rsidR="00463354" w:rsidRDefault="004B7421" w:rsidP="00B92DA2">
      <w:pPr>
        <w:spacing w:beforeLines="120" w:afterLines="120"/>
        <w:rPr>
          <w:szCs w:val="24"/>
        </w:rPr>
      </w:pPr>
      <w:r w:rsidRPr="009F2427">
        <w:rPr>
          <w:szCs w:val="24"/>
        </w:rPr>
        <w:t xml:space="preserve">Section </w:t>
      </w:r>
      <w:r w:rsidR="00BC7740" w:rsidRPr="009F2427">
        <w:rPr>
          <w:szCs w:val="24"/>
        </w:rPr>
        <w:t>2</w:t>
      </w:r>
      <w:r w:rsidR="00A344BA" w:rsidRPr="009F2427">
        <w:rPr>
          <w:szCs w:val="24"/>
        </w:rPr>
        <w:t xml:space="preserve"> </w:t>
      </w:r>
      <w:r w:rsidRPr="009F2427">
        <w:rPr>
          <w:szCs w:val="24"/>
        </w:rPr>
        <w:t>provides that the Determination will be in force from its commencement (w</w:t>
      </w:r>
      <w:r w:rsidR="00A3381A" w:rsidRPr="009F2427">
        <w:rPr>
          <w:szCs w:val="24"/>
        </w:rPr>
        <w:t>hich is taken to have occurred on 1 July 2010</w:t>
      </w:r>
      <w:r w:rsidRPr="009F2427">
        <w:rPr>
          <w:szCs w:val="24"/>
        </w:rPr>
        <w:t xml:space="preserve">) until the day before it would otherwise be repealed under subsection 50(1) of the </w:t>
      </w:r>
      <w:r w:rsidR="002F7D8E" w:rsidRPr="009F2427">
        <w:rPr>
          <w:szCs w:val="24"/>
        </w:rPr>
        <w:t>L</w:t>
      </w:r>
      <w:r w:rsidR="002F7D8E">
        <w:rPr>
          <w:szCs w:val="24"/>
        </w:rPr>
        <w:t>egislation</w:t>
      </w:r>
      <w:r w:rsidR="002F7D8E" w:rsidRPr="009F2427">
        <w:rPr>
          <w:szCs w:val="24"/>
        </w:rPr>
        <w:t xml:space="preserve"> </w:t>
      </w:r>
      <w:r w:rsidR="004D66C4" w:rsidRPr="009F2427">
        <w:rPr>
          <w:szCs w:val="24"/>
        </w:rPr>
        <w:t>Act</w:t>
      </w:r>
      <w:r w:rsidRPr="009F2427">
        <w:rPr>
          <w:szCs w:val="24"/>
        </w:rPr>
        <w:t>.</w:t>
      </w:r>
      <w:r w:rsidR="00A3381A" w:rsidRPr="009F2427">
        <w:rPr>
          <w:szCs w:val="24"/>
        </w:rPr>
        <w:t xml:space="preserve"> </w:t>
      </w:r>
      <w:r w:rsidR="00A3381A" w:rsidRPr="009F2427">
        <w:rPr>
          <w:szCs w:val="24"/>
          <w:lang w:eastAsia="en-AU"/>
        </w:rPr>
        <w:t xml:space="preserve">Instruments are repealed under that provision on the first 1 April or 1 October following the tenth anniversary of registration on the Federal Register of </w:t>
      </w:r>
      <w:r w:rsidR="002F7D8E" w:rsidRPr="009F2427">
        <w:rPr>
          <w:szCs w:val="24"/>
          <w:lang w:eastAsia="en-AU"/>
        </w:rPr>
        <w:t>Legislati</w:t>
      </w:r>
      <w:r w:rsidR="002F7D8E">
        <w:rPr>
          <w:szCs w:val="24"/>
          <w:lang w:eastAsia="en-AU"/>
        </w:rPr>
        <w:t>on</w:t>
      </w:r>
      <w:r w:rsidR="00A3381A" w:rsidRPr="009F2427">
        <w:rPr>
          <w:szCs w:val="24"/>
          <w:lang w:eastAsia="en-AU"/>
        </w:rPr>
        <w:t>. In accordance with subparagraph 122(1</w:t>
      </w:r>
      <w:proofErr w:type="gramStart"/>
      <w:r w:rsidR="00A3381A" w:rsidRPr="009F2427">
        <w:rPr>
          <w:szCs w:val="24"/>
          <w:lang w:eastAsia="en-AU"/>
        </w:rPr>
        <w:t>)(</w:t>
      </w:r>
      <w:proofErr w:type="gramEnd"/>
      <w:r w:rsidR="00A3381A" w:rsidRPr="009F2427">
        <w:rPr>
          <w:szCs w:val="24"/>
          <w:lang w:eastAsia="en-AU"/>
        </w:rPr>
        <w:t>b)(</w:t>
      </w:r>
      <w:proofErr w:type="spellStart"/>
      <w:r w:rsidR="00A3381A" w:rsidRPr="009F2427">
        <w:rPr>
          <w:szCs w:val="24"/>
          <w:lang w:eastAsia="en-AU"/>
        </w:rPr>
        <w:t>i</w:t>
      </w:r>
      <w:proofErr w:type="spellEnd"/>
      <w:r w:rsidR="00A3381A" w:rsidRPr="009F2427">
        <w:rPr>
          <w:szCs w:val="24"/>
          <w:lang w:eastAsia="en-AU"/>
        </w:rPr>
        <w:t xml:space="preserve">) of the Act, section </w:t>
      </w:r>
      <w:r w:rsidR="00BC7740" w:rsidRPr="009F2427">
        <w:rPr>
          <w:szCs w:val="24"/>
          <w:lang w:eastAsia="en-AU"/>
        </w:rPr>
        <w:t>2</w:t>
      </w:r>
      <w:r w:rsidR="00A344BA" w:rsidRPr="009F2427">
        <w:rPr>
          <w:szCs w:val="24"/>
          <w:lang w:eastAsia="en-AU"/>
        </w:rPr>
        <w:t xml:space="preserve"> </w:t>
      </w:r>
      <w:r w:rsidR="00A3381A" w:rsidRPr="009F2427">
        <w:rPr>
          <w:szCs w:val="24"/>
          <w:lang w:eastAsia="en-AU"/>
        </w:rPr>
        <w:t xml:space="preserve">of the </w:t>
      </w:r>
      <w:r w:rsidR="00A344BA" w:rsidRPr="009F2427">
        <w:rPr>
          <w:szCs w:val="24"/>
          <w:lang w:eastAsia="en-AU"/>
        </w:rPr>
        <w:t>varied Determination</w:t>
      </w:r>
      <w:r w:rsidR="00A3381A" w:rsidRPr="009F2427">
        <w:rPr>
          <w:szCs w:val="24"/>
          <w:lang w:eastAsia="en-AU"/>
        </w:rPr>
        <w:t xml:space="preserve"> sets out the time that the Determination would expire.</w:t>
      </w:r>
    </w:p>
    <w:p w:rsidR="00463354" w:rsidRDefault="00A3381A" w:rsidP="00B92DA2">
      <w:pPr>
        <w:spacing w:beforeLines="120" w:afterLines="120"/>
        <w:rPr>
          <w:szCs w:val="24"/>
        </w:rPr>
      </w:pPr>
      <w:r w:rsidRPr="009F2427">
        <w:rPr>
          <w:szCs w:val="24"/>
        </w:rPr>
        <w:t xml:space="preserve">If the Determination expires in accordance with section 122 of the Act or is revoked under section 123 of the Act during a crediting period for a project to which the Determination applies, the Determination will continue to apply to the project during the remainder of the crediting period under sections 125 and 127 of the Act. </w:t>
      </w:r>
    </w:p>
    <w:p w:rsidR="00463354" w:rsidRDefault="00AC1685" w:rsidP="00B92DA2">
      <w:pPr>
        <w:spacing w:beforeLines="120" w:afterLines="120"/>
        <w:rPr>
          <w:szCs w:val="24"/>
        </w:rPr>
      </w:pPr>
      <w:r w:rsidRPr="009F2427">
        <w:rPr>
          <w:szCs w:val="24"/>
        </w:rPr>
        <w:t>Under section 27A of the Act, the Emissions Reduction Assurance Committee may also suspend the processing of applications under a determination if there is reasonable evidence that the methodology determination does not comply with one or more of the offsets integrity standards. This does not affect applications for declaration already received by the Regulator before such a suspension or declared eligible offset projects which apply the determination.</w:t>
      </w:r>
    </w:p>
    <w:p w:rsidR="00432AD3" w:rsidRPr="009045D7" w:rsidRDefault="00B0011E" w:rsidP="001B5684">
      <w:pPr>
        <w:pStyle w:val="Heading4"/>
        <w:rPr>
          <w:color w:val="000000" w:themeColor="text1"/>
        </w:rPr>
      </w:pPr>
      <w:r>
        <w:rPr>
          <w:color w:val="000000" w:themeColor="text1"/>
        </w:rPr>
        <w:t>3.</w:t>
      </w:r>
      <w:r w:rsidR="00EF0E46" w:rsidRPr="009045D7">
        <w:rPr>
          <w:color w:val="000000" w:themeColor="text1"/>
        </w:rPr>
        <w:tab/>
      </w:r>
      <w:r w:rsidR="00432AD3" w:rsidRPr="009045D7">
        <w:rPr>
          <w:color w:val="000000" w:themeColor="text1"/>
        </w:rPr>
        <w:t>Definitions</w:t>
      </w:r>
    </w:p>
    <w:p w:rsidR="00432AD3" w:rsidRPr="009F2427" w:rsidRDefault="00432AD3" w:rsidP="00B92DA2">
      <w:pPr>
        <w:spacing w:beforeLines="120" w:afterLines="120"/>
        <w:rPr>
          <w:color w:val="000000" w:themeColor="text1"/>
          <w:szCs w:val="24"/>
        </w:rPr>
      </w:pPr>
      <w:r w:rsidRPr="009F2427">
        <w:rPr>
          <w:color w:val="000000" w:themeColor="text1"/>
          <w:szCs w:val="24"/>
        </w:rPr>
        <w:t>This section defines a number of terms used in the</w:t>
      </w:r>
      <w:r w:rsidR="00BA01C6" w:rsidRPr="009F2427">
        <w:rPr>
          <w:color w:val="000000" w:themeColor="text1"/>
          <w:szCs w:val="24"/>
        </w:rPr>
        <w:t xml:space="preserve"> varied</w:t>
      </w:r>
      <w:r w:rsidRPr="009F2427">
        <w:rPr>
          <w:color w:val="000000" w:themeColor="text1"/>
          <w:szCs w:val="24"/>
        </w:rPr>
        <w:t xml:space="preserve"> Determination.</w:t>
      </w:r>
    </w:p>
    <w:p w:rsidR="00463354" w:rsidRDefault="002E29CA" w:rsidP="00B92DA2">
      <w:pPr>
        <w:spacing w:beforeLines="120" w:afterLines="120"/>
        <w:rPr>
          <w:color w:val="000000" w:themeColor="text1"/>
          <w:szCs w:val="24"/>
        </w:rPr>
      </w:pPr>
      <w:r w:rsidRPr="009F2427">
        <w:rPr>
          <w:color w:val="000000" w:themeColor="text1"/>
          <w:szCs w:val="24"/>
        </w:rPr>
        <w:t xml:space="preserve">Under section 23 of the </w:t>
      </w:r>
      <w:r w:rsidRPr="009F2427">
        <w:rPr>
          <w:i/>
          <w:color w:val="000000" w:themeColor="text1"/>
          <w:szCs w:val="24"/>
        </w:rPr>
        <w:t>Acts Interpretation Act 1901</w:t>
      </w:r>
      <w:r w:rsidRPr="009F2427">
        <w:rPr>
          <w:color w:val="000000" w:themeColor="text1"/>
          <w:szCs w:val="24"/>
        </w:rPr>
        <w:t xml:space="preserve">, words in the </w:t>
      </w:r>
      <w:r w:rsidR="00BA01C6" w:rsidRPr="009F2427">
        <w:rPr>
          <w:color w:val="000000" w:themeColor="text1"/>
          <w:szCs w:val="24"/>
        </w:rPr>
        <w:t xml:space="preserve">varied </w:t>
      </w:r>
      <w:r w:rsidRPr="009F2427">
        <w:rPr>
          <w:color w:val="000000" w:themeColor="text1"/>
          <w:szCs w:val="24"/>
        </w:rPr>
        <w:t xml:space="preserve">Determination in the singular number </w:t>
      </w:r>
      <w:r w:rsidR="00BA01C6" w:rsidRPr="009F2427">
        <w:rPr>
          <w:color w:val="000000" w:themeColor="text1"/>
          <w:szCs w:val="24"/>
        </w:rPr>
        <w:t xml:space="preserve">will generally </w:t>
      </w:r>
      <w:r w:rsidRPr="009F2427">
        <w:rPr>
          <w:color w:val="000000" w:themeColor="text1"/>
          <w:szCs w:val="24"/>
        </w:rPr>
        <w:t>include the plural and words in the plural number include the singular.</w:t>
      </w:r>
    </w:p>
    <w:p w:rsidR="00463354" w:rsidRDefault="00187F9A" w:rsidP="00B92DA2">
      <w:pPr>
        <w:spacing w:beforeLines="120" w:afterLines="120"/>
        <w:rPr>
          <w:color w:val="000000" w:themeColor="text1"/>
          <w:szCs w:val="24"/>
        </w:rPr>
      </w:pPr>
      <w:r w:rsidRPr="009F2427">
        <w:rPr>
          <w:color w:val="000000" w:themeColor="text1"/>
          <w:szCs w:val="24"/>
        </w:rPr>
        <w:t>Definitions</w:t>
      </w:r>
      <w:r w:rsidR="00157CA2" w:rsidRPr="009F2427">
        <w:rPr>
          <w:color w:val="000000" w:themeColor="text1"/>
          <w:szCs w:val="24"/>
        </w:rPr>
        <w:t xml:space="preserve"> are </w:t>
      </w:r>
      <w:r w:rsidR="00404594" w:rsidRPr="009F2427">
        <w:rPr>
          <w:color w:val="000000" w:themeColor="text1"/>
          <w:szCs w:val="24"/>
        </w:rPr>
        <w:t>provided in</w:t>
      </w:r>
      <w:r w:rsidR="002E29CA" w:rsidRPr="009F2427">
        <w:rPr>
          <w:color w:val="000000" w:themeColor="text1"/>
          <w:szCs w:val="24"/>
        </w:rPr>
        <w:t xml:space="preserve"> section </w:t>
      </w:r>
      <w:r w:rsidR="00BC7740" w:rsidRPr="009F2427">
        <w:rPr>
          <w:color w:val="000000" w:themeColor="text1"/>
          <w:szCs w:val="24"/>
        </w:rPr>
        <w:t>3</w:t>
      </w:r>
      <w:r w:rsidR="002E29CA" w:rsidRPr="009F2427">
        <w:rPr>
          <w:color w:val="000000" w:themeColor="text1"/>
          <w:szCs w:val="24"/>
        </w:rPr>
        <w:t xml:space="preserve"> </w:t>
      </w:r>
      <w:r w:rsidR="00157CA2" w:rsidRPr="009F2427">
        <w:rPr>
          <w:color w:val="000000" w:themeColor="text1"/>
          <w:szCs w:val="24"/>
        </w:rPr>
        <w:t>of the determination.</w:t>
      </w:r>
    </w:p>
    <w:p w:rsidR="00463354" w:rsidRDefault="0005002F" w:rsidP="00B92DA2">
      <w:pPr>
        <w:spacing w:beforeLines="120" w:afterLines="120"/>
        <w:rPr>
          <w:color w:val="000000" w:themeColor="text1"/>
          <w:szCs w:val="24"/>
        </w:rPr>
      </w:pPr>
      <w:r w:rsidRPr="009F2427">
        <w:rPr>
          <w:b/>
          <w:i/>
          <w:color w:val="000000" w:themeColor="text1"/>
          <w:szCs w:val="24"/>
        </w:rPr>
        <w:t xml:space="preserve">CEA </w:t>
      </w:r>
      <w:r w:rsidRPr="009F2427">
        <w:rPr>
          <w:color w:val="000000" w:themeColor="text1"/>
          <w:szCs w:val="24"/>
        </w:rPr>
        <w:t>(short for carbon estimation area)</w:t>
      </w:r>
      <w:r w:rsidR="00E30D1D" w:rsidRPr="009F2427">
        <w:rPr>
          <w:color w:val="000000" w:themeColor="text1"/>
          <w:szCs w:val="24"/>
        </w:rPr>
        <w:t xml:space="preserve"> refers to an area within the project area on which the project mechanism is undertaken </w:t>
      </w:r>
      <w:r w:rsidR="00BA01C6" w:rsidRPr="009F2427">
        <w:rPr>
          <w:color w:val="000000" w:themeColor="text1"/>
          <w:szCs w:val="24"/>
        </w:rPr>
        <w:t xml:space="preserve">and </w:t>
      </w:r>
      <w:r w:rsidR="00E30D1D" w:rsidRPr="009F2427">
        <w:rPr>
          <w:color w:val="000000" w:themeColor="text1"/>
          <w:szCs w:val="24"/>
        </w:rPr>
        <w:t>for which abatement is calculated. CEAs must satisfy a range of requirements</w:t>
      </w:r>
      <w:r w:rsidR="00150166" w:rsidRPr="009F2427">
        <w:rPr>
          <w:color w:val="000000" w:themeColor="text1"/>
          <w:szCs w:val="24"/>
        </w:rPr>
        <w:t xml:space="preserve"> designed</w:t>
      </w:r>
      <w:r w:rsidR="00E30D1D" w:rsidRPr="009F2427">
        <w:rPr>
          <w:color w:val="000000" w:themeColor="text1"/>
          <w:szCs w:val="24"/>
        </w:rPr>
        <w:t xml:space="preserve"> to help ensure that the abatement calculated for a CEA is accurate and has genuinely arisen from the project – see section </w:t>
      </w:r>
      <w:r w:rsidR="00BC7740" w:rsidRPr="009F2427">
        <w:rPr>
          <w:color w:val="000000" w:themeColor="text1"/>
          <w:szCs w:val="24"/>
        </w:rPr>
        <w:t>16</w:t>
      </w:r>
      <w:r w:rsidR="00E30D1D" w:rsidRPr="009F2427">
        <w:rPr>
          <w:color w:val="000000" w:themeColor="text1"/>
          <w:szCs w:val="24"/>
        </w:rPr>
        <w:t xml:space="preserve">.  </w:t>
      </w:r>
      <w:r w:rsidR="00985DD2" w:rsidRPr="009F2427">
        <w:rPr>
          <w:color w:val="000000" w:themeColor="text1"/>
          <w:szCs w:val="24"/>
        </w:rPr>
        <w:t xml:space="preserve">A CEA may consist of multiple </w:t>
      </w:r>
      <w:r w:rsidR="00182BDF" w:rsidRPr="009F2427">
        <w:rPr>
          <w:color w:val="000000" w:themeColor="text1"/>
          <w:szCs w:val="24"/>
        </w:rPr>
        <w:t>CEA</w:t>
      </w:r>
      <w:r w:rsidR="00985DD2" w:rsidRPr="009F2427">
        <w:rPr>
          <w:color w:val="000000" w:themeColor="text1"/>
          <w:szCs w:val="24"/>
        </w:rPr>
        <w:t xml:space="preserve"> parts if the conditions in </w:t>
      </w:r>
      <w:r w:rsidR="00187F9A" w:rsidRPr="009F2427">
        <w:rPr>
          <w:color w:val="000000" w:themeColor="text1"/>
          <w:szCs w:val="24"/>
        </w:rPr>
        <w:t>section</w:t>
      </w:r>
      <w:r w:rsidR="00985DD2" w:rsidRPr="009F2427">
        <w:rPr>
          <w:color w:val="000000" w:themeColor="text1"/>
          <w:szCs w:val="24"/>
        </w:rPr>
        <w:t xml:space="preserve"> 16 (5) are met.</w:t>
      </w:r>
    </w:p>
    <w:p w:rsidR="00463354" w:rsidRDefault="009D345C" w:rsidP="00B92DA2">
      <w:pPr>
        <w:spacing w:beforeLines="120" w:afterLines="120"/>
        <w:rPr>
          <w:szCs w:val="24"/>
        </w:rPr>
      </w:pPr>
      <w:r w:rsidRPr="009F2427">
        <w:rPr>
          <w:color w:val="000000" w:themeColor="text1"/>
          <w:szCs w:val="24"/>
        </w:rPr>
        <w:t>A</w:t>
      </w:r>
      <w:r w:rsidRPr="009F2427">
        <w:rPr>
          <w:b/>
          <w:i/>
          <w:color w:val="000000" w:themeColor="text1"/>
          <w:szCs w:val="24"/>
        </w:rPr>
        <w:t xml:space="preserve"> clearing </w:t>
      </w:r>
      <w:r w:rsidR="00182BDF" w:rsidRPr="009F2427">
        <w:rPr>
          <w:b/>
          <w:i/>
          <w:color w:val="000000" w:themeColor="text1"/>
          <w:szCs w:val="24"/>
        </w:rPr>
        <w:t>right</w:t>
      </w:r>
      <w:r w:rsidR="008A3D51" w:rsidRPr="009F2427">
        <w:rPr>
          <w:b/>
          <w:i/>
          <w:color w:val="000000" w:themeColor="text1"/>
          <w:szCs w:val="24"/>
        </w:rPr>
        <w:t xml:space="preserve"> </w:t>
      </w:r>
      <w:r w:rsidR="008A3D51" w:rsidRPr="009F2427">
        <w:rPr>
          <w:color w:val="000000" w:themeColor="text1"/>
          <w:szCs w:val="24"/>
        </w:rPr>
        <w:t xml:space="preserve">is an approval issued by a government or regulatory authority that permits the clearing of forest that would otherwise be protected. Under the varied Determination, proponents are required to provide to the Regulator copies of clearing </w:t>
      </w:r>
      <w:r w:rsidR="00182BDF" w:rsidRPr="009F2427">
        <w:rPr>
          <w:color w:val="000000" w:themeColor="text1"/>
          <w:szCs w:val="24"/>
        </w:rPr>
        <w:t xml:space="preserve">rights </w:t>
      </w:r>
      <w:r w:rsidR="008A3D51" w:rsidRPr="009F2427">
        <w:rPr>
          <w:color w:val="000000" w:themeColor="text1"/>
          <w:szCs w:val="24"/>
        </w:rPr>
        <w:t xml:space="preserve">relating to the project area in certain circumstances (see sections </w:t>
      </w:r>
      <w:r w:rsidR="00BC7740" w:rsidRPr="009F2427">
        <w:rPr>
          <w:color w:val="000000" w:themeColor="text1"/>
          <w:szCs w:val="24"/>
        </w:rPr>
        <w:t>10</w:t>
      </w:r>
      <w:r w:rsidR="008A3D51" w:rsidRPr="009F2427">
        <w:rPr>
          <w:color w:val="000000" w:themeColor="text1"/>
          <w:szCs w:val="24"/>
        </w:rPr>
        <w:t xml:space="preserve"> and </w:t>
      </w:r>
      <w:r w:rsidR="003025A1" w:rsidRPr="009F2427">
        <w:rPr>
          <w:color w:val="000000" w:themeColor="text1"/>
          <w:szCs w:val="24"/>
        </w:rPr>
        <w:t>38</w:t>
      </w:r>
      <w:r w:rsidR="008A3D51" w:rsidRPr="009F2427">
        <w:rPr>
          <w:color w:val="000000" w:themeColor="text1"/>
          <w:szCs w:val="24"/>
        </w:rPr>
        <w:t>).</w:t>
      </w:r>
    </w:p>
    <w:p w:rsidR="00463354" w:rsidRDefault="00E30D1D" w:rsidP="00B92DA2">
      <w:pPr>
        <w:spacing w:beforeLines="120" w:afterLines="120"/>
        <w:rPr>
          <w:color w:val="000000" w:themeColor="text1"/>
          <w:szCs w:val="24"/>
        </w:rPr>
      </w:pPr>
      <w:r w:rsidRPr="009F2427">
        <w:rPr>
          <w:b/>
          <w:i/>
          <w:color w:val="000000" w:themeColor="text1"/>
          <w:szCs w:val="24"/>
        </w:rPr>
        <w:t>C</w:t>
      </w:r>
      <w:r w:rsidR="005F066E" w:rsidRPr="009F2427">
        <w:rPr>
          <w:b/>
          <w:i/>
          <w:color w:val="000000" w:themeColor="text1"/>
          <w:szCs w:val="24"/>
        </w:rPr>
        <w:t>onservation land</w:t>
      </w:r>
      <w:r w:rsidR="005F066E" w:rsidRPr="009F2427">
        <w:rPr>
          <w:color w:val="000000" w:themeColor="text1"/>
          <w:szCs w:val="24"/>
        </w:rPr>
        <w:t xml:space="preserve"> </w:t>
      </w:r>
      <w:r w:rsidRPr="009F2427">
        <w:rPr>
          <w:color w:val="000000" w:themeColor="text1"/>
          <w:szCs w:val="24"/>
        </w:rPr>
        <w:t xml:space="preserve">refers to land that is an area that is owned and managed by the Commonwealth or a </w:t>
      </w:r>
      <w:r w:rsidR="003249DF" w:rsidRPr="009F2427">
        <w:rPr>
          <w:color w:val="000000" w:themeColor="text1"/>
          <w:szCs w:val="24"/>
        </w:rPr>
        <w:t xml:space="preserve">State </w:t>
      </w:r>
      <w:r w:rsidRPr="009F2427">
        <w:rPr>
          <w:color w:val="000000" w:themeColor="text1"/>
          <w:szCs w:val="24"/>
        </w:rPr>
        <w:t xml:space="preserve">or </w:t>
      </w:r>
      <w:r w:rsidR="003249DF" w:rsidRPr="009F2427">
        <w:rPr>
          <w:color w:val="000000" w:themeColor="text1"/>
          <w:szCs w:val="24"/>
        </w:rPr>
        <w:t>Territory</w:t>
      </w:r>
      <w:r w:rsidRPr="009F2427">
        <w:rPr>
          <w:color w:val="000000" w:themeColor="text1"/>
          <w:szCs w:val="24"/>
        </w:rPr>
        <w:t xml:space="preserve"> government for </w:t>
      </w:r>
      <w:r w:rsidR="00852E5A">
        <w:rPr>
          <w:color w:val="000000" w:themeColor="text1"/>
          <w:szCs w:val="24"/>
        </w:rPr>
        <w:t>biodiversity</w:t>
      </w:r>
      <w:r w:rsidR="00A525F2">
        <w:rPr>
          <w:color w:val="000000" w:themeColor="text1"/>
          <w:szCs w:val="24"/>
        </w:rPr>
        <w:t xml:space="preserve"> </w:t>
      </w:r>
      <w:r w:rsidRPr="009F2427">
        <w:rPr>
          <w:color w:val="000000" w:themeColor="text1"/>
          <w:szCs w:val="24"/>
        </w:rPr>
        <w:t xml:space="preserve">conservation. </w:t>
      </w:r>
      <w:r w:rsidR="003665B8" w:rsidRPr="009F2427">
        <w:rPr>
          <w:color w:val="000000" w:themeColor="text1"/>
          <w:szCs w:val="24"/>
        </w:rPr>
        <w:t>The</w:t>
      </w:r>
      <w:r w:rsidR="009D2D6E" w:rsidRPr="009F2427">
        <w:rPr>
          <w:color w:val="000000" w:themeColor="text1"/>
          <w:szCs w:val="24"/>
        </w:rPr>
        <w:t xml:space="preserve"> varied Determination </w:t>
      </w:r>
      <w:r w:rsidR="001F1D42" w:rsidRPr="009F2427">
        <w:rPr>
          <w:color w:val="000000" w:themeColor="text1"/>
          <w:szCs w:val="24"/>
        </w:rPr>
        <w:t>restricts the eligibility of certain HIR activities to be undertaken on conservation land from forming part of the project mechanism (see section 12). This requirement is included because regeneration of native forest is unlikely to be suppressed on such land in the ordinary course of events, and so any abatement would be likely not to be additional.</w:t>
      </w:r>
    </w:p>
    <w:p w:rsidR="00463354" w:rsidRDefault="001F1D42" w:rsidP="00B92DA2">
      <w:pPr>
        <w:spacing w:beforeLines="120" w:afterLines="120"/>
        <w:rPr>
          <w:b/>
          <w:i/>
          <w:color w:val="000000" w:themeColor="text1"/>
          <w:szCs w:val="24"/>
        </w:rPr>
      </w:pPr>
      <w:r w:rsidRPr="009F2427">
        <w:rPr>
          <w:szCs w:val="24"/>
          <w:lang w:eastAsia="en-AU"/>
        </w:rPr>
        <w:t xml:space="preserve">This definition of ‘conservation land’, and associated limitations, do not extend to an area that is owned and managed privately for biodiversity conservation (referred to here as private conservation land). However, private conservation land, as per any land type, must still meet the </w:t>
      </w:r>
      <w:proofErr w:type="spellStart"/>
      <w:r w:rsidRPr="009F2427">
        <w:rPr>
          <w:szCs w:val="24"/>
          <w:lang w:eastAsia="en-AU"/>
        </w:rPr>
        <w:t>additionality</w:t>
      </w:r>
      <w:proofErr w:type="spellEnd"/>
      <w:r w:rsidRPr="009F2427">
        <w:rPr>
          <w:szCs w:val="24"/>
          <w:lang w:eastAsia="en-AU"/>
        </w:rPr>
        <w:t xml:space="preserve"> requirements of the Act, including the ‘newness requirement’ and the ‘regulatory </w:t>
      </w:r>
      <w:proofErr w:type="spellStart"/>
      <w:r w:rsidRPr="009F2427">
        <w:rPr>
          <w:szCs w:val="24"/>
          <w:lang w:eastAsia="en-AU"/>
        </w:rPr>
        <w:t>additionality</w:t>
      </w:r>
      <w:proofErr w:type="spellEnd"/>
      <w:r w:rsidRPr="009F2427">
        <w:rPr>
          <w:szCs w:val="24"/>
          <w:lang w:eastAsia="en-AU"/>
        </w:rPr>
        <w:t xml:space="preserve"> requirement’ to form CEA</w:t>
      </w:r>
      <w:r w:rsidR="003249DF" w:rsidRPr="009F2427">
        <w:rPr>
          <w:szCs w:val="24"/>
          <w:lang w:eastAsia="en-AU"/>
        </w:rPr>
        <w:t>s</w:t>
      </w:r>
      <w:r w:rsidRPr="009F2427">
        <w:rPr>
          <w:szCs w:val="24"/>
          <w:lang w:eastAsia="en-AU"/>
        </w:rPr>
        <w:t xml:space="preserve"> under a HIR project (see section 27 of the Act).</w:t>
      </w:r>
    </w:p>
    <w:p w:rsidR="00463354" w:rsidRDefault="00892509" w:rsidP="00B92DA2">
      <w:pPr>
        <w:autoSpaceDE w:val="0"/>
        <w:autoSpaceDN w:val="0"/>
        <w:adjustRightInd w:val="0"/>
        <w:spacing w:beforeLines="120" w:afterLines="120"/>
        <w:rPr>
          <w:color w:val="000000" w:themeColor="text1"/>
          <w:szCs w:val="24"/>
        </w:rPr>
      </w:pPr>
      <w:r w:rsidRPr="009F2427">
        <w:rPr>
          <w:color w:val="000000" w:themeColor="text1"/>
          <w:szCs w:val="24"/>
        </w:rPr>
        <w:t xml:space="preserve">An area of land has </w:t>
      </w:r>
      <w:r w:rsidRPr="009F2427">
        <w:rPr>
          <w:b/>
          <w:i/>
          <w:color w:val="000000" w:themeColor="text1"/>
          <w:szCs w:val="24"/>
        </w:rPr>
        <w:t>f</w:t>
      </w:r>
      <w:r w:rsidR="0005002F" w:rsidRPr="009F2427">
        <w:rPr>
          <w:b/>
          <w:i/>
          <w:color w:val="000000" w:themeColor="text1"/>
          <w:szCs w:val="24"/>
        </w:rPr>
        <w:t>orest cover</w:t>
      </w:r>
      <w:r w:rsidRPr="009F2427">
        <w:rPr>
          <w:color w:val="000000" w:themeColor="text1"/>
          <w:szCs w:val="24"/>
        </w:rPr>
        <w:t xml:space="preserve"> if it is at </w:t>
      </w:r>
      <w:r w:rsidRPr="009F2427">
        <w:rPr>
          <w:szCs w:val="24"/>
          <w:lang w:eastAsia="en-AU"/>
        </w:rPr>
        <w:t>least 0.2 of a hectare and its vegetation includes trees that are at least 2 metres in height and provide crown cover of at least 20 per cent of the land area.</w:t>
      </w:r>
      <w:r w:rsidRPr="009F2427">
        <w:rPr>
          <w:color w:val="000000" w:themeColor="text1"/>
          <w:szCs w:val="24"/>
        </w:rPr>
        <w:t xml:space="preserve"> This concept aligns with the </w:t>
      </w:r>
      <w:r w:rsidR="00C621FA" w:rsidRPr="009F2427">
        <w:rPr>
          <w:color w:val="000000" w:themeColor="text1"/>
          <w:szCs w:val="24"/>
        </w:rPr>
        <w:t xml:space="preserve">National Greenhouse Gas Inventory </w:t>
      </w:r>
      <w:r w:rsidRPr="009F2427">
        <w:rPr>
          <w:color w:val="000000" w:themeColor="text1"/>
          <w:szCs w:val="24"/>
        </w:rPr>
        <w:t>treatment of forests</w:t>
      </w:r>
      <w:r w:rsidR="00C621FA" w:rsidRPr="009F2427">
        <w:rPr>
          <w:color w:val="000000" w:themeColor="text1"/>
          <w:szCs w:val="24"/>
        </w:rPr>
        <w:t xml:space="preserve">, under which land enters the forest sequestration accounts when it meets the forest cover definition. </w:t>
      </w:r>
      <w:r w:rsidRPr="009F2427">
        <w:rPr>
          <w:color w:val="000000" w:themeColor="text1"/>
          <w:szCs w:val="24"/>
        </w:rPr>
        <w:t xml:space="preserve"> </w:t>
      </w:r>
    </w:p>
    <w:p w:rsidR="00463354" w:rsidRDefault="00841AC9" w:rsidP="00B92DA2">
      <w:pPr>
        <w:spacing w:beforeLines="120" w:afterLines="120"/>
        <w:rPr>
          <w:color w:val="000000" w:themeColor="text1"/>
          <w:szCs w:val="24"/>
        </w:rPr>
      </w:pPr>
      <w:r w:rsidRPr="009F2427">
        <w:rPr>
          <w:color w:val="000000" w:themeColor="text1"/>
          <w:szCs w:val="24"/>
        </w:rPr>
        <w:t xml:space="preserve">An area of land has </w:t>
      </w:r>
      <w:r w:rsidRPr="009F2427">
        <w:rPr>
          <w:b/>
          <w:i/>
          <w:color w:val="000000" w:themeColor="text1"/>
          <w:szCs w:val="24"/>
        </w:rPr>
        <w:t>f</w:t>
      </w:r>
      <w:r w:rsidR="0005002F" w:rsidRPr="009F2427">
        <w:rPr>
          <w:b/>
          <w:i/>
          <w:color w:val="000000" w:themeColor="text1"/>
          <w:szCs w:val="24"/>
        </w:rPr>
        <w:t>orest potential</w:t>
      </w:r>
      <w:r w:rsidRPr="009F2427">
        <w:rPr>
          <w:color w:val="000000" w:themeColor="text1"/>
          <w:szCs w:val="24"/>
        </w:rPr>
        <w:t xml:space="preserve"> if it is at least 0.2 hectares in area and has trees that</w:t>
      </w:r>
      <w:r w:rsidR="00F76B38" w:rsidRPr="009F2427">
        <w:rPr>
          <w:color w:val="000000" w:themeColor="text1"/>
          <w:szCs w:val="24"/>
        </w:rPr>
        <w:t>, taking in</w:t>
      </w:r>
      <w:r w:rsidR="00CE341B" w:rsidRPr="009F2427">
        <w:rPr>
          <w:color w:val="000000" w:themeColor="text1"/>
          <w:szCs w:val="24"/>
        </w:rPr>
        <w:t>to</w:t>
      </w:r>
      <w:r w:rsidR="00F76B38" w:rsidRPr="009F2427">
        <w:rPr>
          <w:color w:val="000000" w:themeColor="text1"/>
          <w:szCs w:val="24"/>
        </w:rPr>
        <w:t xml:space="preserve"> account the location and characteristics of the land,</w:t>
      </w:r>
      <w:r w:rsidRPr="009F2427">
        <w:rPr>
          <w:color w:val="000000" w:themeColor="text1"/>
          <w:szCs w:val="24"/>
        </w:rPr>
        <w:t xml:space="preserve"> </w:t>
      </w:r>
      <w:r w:rsidR="00F76B38" w:rsidRPr="009F2427">
        <w:rPr>
          <w:color w:val="000000" w:themeColor="text1"/>
          <w:szCs w:val="24"/>
        </w:rPr>
        <w:t>are reasonably likely</w:t>
      </w:r>
      <w:r w:rsidR="00ED120F" w:rsidRPr="009F2427">
        <w:rPr>
          <w:color w:val="000000" w:themeColor="text1"/>
          <w:szCs w:val="24"/>
        </w:rPr>
        <w:t xml:space="preserve"> to reach 2 </w:t>
      </w:r>
      <w:r w:rsidRPr="009F2427">
        <w:rPr>
          <w:color w:val="000000" w:themeColor="text1"/>
          <w:szCs w:val="24"/>
        </w:rPr>
        <w:t xml:space="preserve">metres and 20 per cent crown cover. </w:t>
      </w:r>
    </w:p>
    <w:p w:rsidR="00463354" w:rsidRDefault="00F63F75" w:rsidP="00B92DA2">
      <w:pPr>
        <w:spacing w:beforeLines="120" w:afterLines="120"/>
        <w:rPr>
          <w:b/>
          <w:color w:val="000000" w:themeColor="text1"/>
          <w:szCs w:val="24"/>
        </w:rPr>
      </w:pPr>
      <w:r w:rsidRPr="009F2427">
        <w:rPr>
          <w:color w:val="000000" w:themeColor="text1"/>
          <w:szCs w:val="24"/>
        </w:rPr>
        <w:t>The term</w:t>
      </w:r>
      <w:r w:rsidRPr="009F2427">
        <w:rPr>
          <w:b/>
          <w:color w:val="000000" w:themeColor="text1"/>
          <w:szCs w:val="24"/>
        </w:rPr>
        <w:t xml:space="preserve"> </w:t>
      </w:r>
      <w:r w:rsidR="001900D2" w:rsidRPr="009F2427">
        <w:rPr>
          <w:b/>
          <w:i/>
          <w:color w:val="000000" w:themeColor="text1"/>
          <w:szCs w:val="24"/>
        </w:rPr>
        <w:t>f</w:t>
      </w:r>
      <w:r w:rsidR="00BF0BEC" w:rsidRPr="009F2427">
        <w:rPr>
          <w:b/>
          <w:i/>
          <w:color w:val="000000" w:themeColor="text1"/>
          <w:szCs w:val="24"/>
        </w:rPr>
        <w:t>ormer determination</w:t>
      </w:r>
      <w:r w:rsidRPr="009F2427">
        <w:rPr>
          <w:b/>
          <w:color w:val="000000" w:themeColor="text1"/>
          <w:szCs w:val="24"/>
        </w:rPr>
        <w:t xml:space="preserve"> </w:t>
      </w:r>
      <w:r w:rsidRPr="009F2427">
        <w:rPr>
          <w:color w:val="000000" w:themeColor="text1"/>
          <w:szCs w:val="24"/>
        </w:rPr>
        <w:t xml:space="preserve">is used in cases where a project is transferring from another determination to the varied Determination, or where an area of land is being moved from </w:t>
      </w:r>
      <w:r w:rsidR="009808EB" w:rsidRPr="009F2427">
        <w:rPr>
          <w:color w:val="000000" w:themeColor="text1"/>
          <w:szCs w:val="24"/>
        </w:rPr>
        <w:t>another</w:t>
      </w:r>
      <w:r w:rsidRPr="009F2427">
        <w:rPr>
          <w:color w:val="000000" w:themeColor="text1"/>
          <w:szCs w:val="24"/>
        </w:rPr>
        <w:t xml:space="preserve"> project to </w:t>
      </w:r>
      <w:r w:rsidR="009808EB" w:rsidRPr="009F2427">
        <w:rPr>
          <w:color w:val="000000" w:themeColor="text1"/>
          <w:szCs w:val="24"/>
        </w:rPr>
        <w:t>one registered under the varied Determination</w:t>
      </w:r>
      <w:r w:rsidRPr="009F2427">
        <w:rPr>
          <w:color w:val="000000" w:themeColor="text1"/>
          <w:szCs w:val="24"/>
        </w:rPr>
        <w:t xml:space="preserve">. If the Regulator has approved, under section 130 of the Act, a change of methodology determination for a project, the former determination is the determination that applied before the change. If </w:t>
      </w:r>
      <w:r w:rsidR="00D04F04" w:rsidRPr="009F2427">
        <w:rPr>
          <w:color w:val="000000" w:themeColor="text1"/>
          <w:szCs w:val="24"/>
        </w:rPr>
        <w:t>an area of land is being moved from one project to another under section 27 of the Act, the former determination is the determination that applied to the project from which the land was moved.</w:t>
      </w:r>
    </w:p>
    <w:p w:rsidR="00463354" w:rsidRDefault="0005002F" w:rsidP="00B92DA2">
      <w:pPr>
        <w:spacing w:beforeLines="120" w:afterLines="120"/>
        <w:rPr>
          <w:szCs w:val="24"/>
        </w:rPr>
      </w:pPr>
      <w:proofErr w:type="spellStart"/>
      <w:r w:rsidRPr="009F2427">
        <w:rPr>
          <w:b/>
          <w:i/>
          <w:color w:val="000000" w:themeColor="text1"/>
          <w:szCs w:val="24"/>
        </w:rPr>
        <w:t>FullCAM</w:t>
      </w:r>
      <w:proofErr w:type="spellEnd"/>
      <w:r w:rsidR="00AC04DE" w:rsidRPr="009F2427">
        <w:rPr>
          <w:b/>
          <w:i/>
          <w:color w:val="000000" w:themeColor="text1"/>
          <w:szCs w:val="24"/>
        </w:rPr>
        <w:t xml:space="preserve"> </w:t>
      </w:r>
      <w:r w:rsidR="003665B8" w:rsidRPr="009F2427">
        <w:rPr>
          <w:szCs w:val="24"/>
        </w:rPr>
        <w:t>is an on</w:t>
      </w:r>
      <w:r w:rsidR="005167A0" w:rsidRPr="009F2427">
        <w:rPr>
          <w:szCs w:val="24"/>
        </w:rPr>
        <w:t xml:space="preserve">line tool that is used to model forest carbon stocks associated with land use and management, and is used for Australia’s National Greenhouse Gas Inventory. </w:t>
      </w:r>
      <w:r w:rsidR="00AF12FE" w:rsidRPr="009F2427">
        <w:rPr>
          <w:szCs w:val="24"/>
        </w:rPr>
        <w:t>At the time the Variation was made, t</w:t>
      </w:r>
      <w:r w:rsidR="005167A0" w:rsidRPr="009F2427">
        <w:rPr>
          <w:szCs w:val="24"/>
        </w:rPr>
        <w:t xml:space="preserve">he latest version of </w:t>
      </w:r>
      <w:proofErr w:type="spellStart"/>
      <w:r w:rsidR="005167A0" w:rsidRPr="009F2427">
        <w:rPr>
          <w:szCs w:val="24"/>
        </w:rPr>
        <w:t>FullCAM</w:t>
      </w:r>
      <w:proofErr w:type="spellEnd"/>
      <w:r w:rsidR="005167A0" w:rsidRPr="009F2427">
        <w:rPr>
          <w:szCs w:val="24"/>
        </w:rPr>
        <w:t xml:space="preserve"> could be obtained from the Department’s website, www.environment.gov.au.</w:t>
      </w:r>
      <w:r w:rsidR="003B6671" w:rsidRPr="009F2427">
        <w:rPr>
          <w:szCs w:val="24"/>
        </w:rPr>
        <w:t xml:space="preserve"> </w:t>
      </w:r>
    </w:p>
    <w:p w:rsidR="00463354" w:rsidRDefault="005167A0" w:rsidP="00B92DA2">
      <w:pPr>
        <w:spacing w:beforeLines="120" w:afterLines="120"/>
        <w:rPr>
          <w:szCs w:val="24"/>
        </w:rPr>
      </w:pPr>
      <w:r w:rsidRPr="009F2427">
        <w:rPr>
          <w:szCs w:val="24"/>
        </w:rPr>
        <w:t xml:space="preserve">The definition of </w:t>
      </w:r>
      <w:proofErr w:type="spellStart"/>
      <w:r w:rsidRPr="009F2427">
        <w:rPr>
          <w:szCs w:val="24"/>
        </w:rPr>
        <w:t>FullCAM</w:t>
      </w:r>
      <w:proofErr w:type="spellEnd"/>
      <w:r w:rsidRPr="009F2427">
        <w:rPr>
          <w:szCs w:val="24"/>
        </w:rPr>
        <w:t xml:space="preserve"> refers to a model ‘as </w:t>
      </w:r>
      <w:r w:rsidR="00AF31F2" w:rsidRPr="009F2427">
        <w:rPr>
          <w:szCs w:val="24"/>
        </w:rPr>
        <w:t>in force</w:t>
      </w:r>
      <w:r w:rsidRPr="009F2427">
        <w:rPr>
          <w:szCs w:val="24"/>
        </w:rPr>
        <w:t xml:space="preserve"> from time to time’. </w:t>
      </w:r>
      <w:r w:rsidR="00036263" w:rsidRPr="009F2427">
        <w:rPr>
          <w:szCs w:val="24"/>
        </w:rPr>
        <w:t xml:space="preserve">Section 14 of the </w:t>
      </w:r>
      <w:r w:rsidR="002F7D8E" w:rsidRPr="009F2427">
        <w:rPr>
          <w:szCs w:val="24"/>
        </w:rPr>
        <w:t>L</w:t>
      </w:r>
      <w:r w:rsidR="002F7D8E">
        <w:rPr>
          <w:szCs w:val="24"/>
        </w:rPr>
        <w:t>egislation</w:t>
      </w:r>
      <w:r w:rsidR="002F7D8E" w:rsidRPr="009F2427">
        <w:rPr>
          <w:szCs w:val="24"/>
        </w:rPr>
        <w:t xml:space="preserve"> </w:t>
      </w:r>
      <w:r w:rsidR="00A90AE3" w:rsidRPr="009F2427">
        <w:rPr>
          <w:szCs w:val="24"/>
        </w:rPr>
        <w:t>Act</w:t>
      </w:r>
      <w:r w:rsidR="00036263" w:rsidRPr="009F2427">
        <w:rPr>
          <w:i/>
          <w:szCs w:val="24"/>
        </w:rPr>
        <w:t xml:space="preserve"> </w:t>
      </w:r>
      <w:r w:rsidR="00036263" w:rsidRPr="009F2427">
        <w:rPr>
          <w:szCs w:val="24"/>
        </w:rPr>
        <w:t>provides that a legislative instrument (such as a methodology determination) is able to make provision in relation to a matter by applying, adopting or incorporating, with or without modification, any matter contained in an instrument or writing as in force from time to time, but only if the enabling legislation permits material to be incorporated in this manner.</w:t>
      </w:r>
      <w:r w:rsidR="009D0E7B" w:rsidRPr="009F2427">
        <w:rPr>
          <w:szCs w:val="24"/>
        </w:rPr>
        <w:t xml:space="preserve"> </w:t>
      </w:r>
      <w:r w:rsidRPr="009F2427">
        <w:rPr>
          <w:szCs w:val="24"/>
        </w:rPr>
        <w:t xml:space="preserve">Subsection 106(8) of the Act </w:t>
      </w:r>
      <w:r w:rsidR="00036263" w:rsidRPr="009F2427">
        <w:rPr>
          <w:szCs w:val="24"/>
        </w:rPr>
        <w:t>permits matter</w:t>
      </w:r>
      <w:r w:rsidR="00B75764" w:rsidRPr="009F2427">
        <w:rPr>
          <w:szCs w:val="24"/>
        </w:rPr>
        <w:t>s</w:t>
      </w:r>
      <w:r w:rsidR="00036263" w:rsidRPr="009F2427">
        <w:rPr>
          <w:szCs w:val="24"/>
        </w:rPr>
        <w:t xml:space="preserve"> to be incorporated in this manner, providing</w:t>
      </w:r>
      <w:r w:rsidRPr="009F2427">
        <w:rPr>
          <w:szCs w:val="24"/>
        </w:rPr>
        <w:t xml:space="preserve"> that a methodology determination may make provision in relation to a matter by applying, adopting or incorporating, with or without modification, a matter contained in an instrument or writing as in force or existing from time to time.</w:t>
      </w:r>
      <w:r w:rsidR="00036263" w:rsidRPr="009F2427">
        <w:rPr>
          <w:szCs w:val="24"/>
        </w:rPr>
        <w:t xml:space="preserve"> </w:t>
      </w:r>
    </w:p>
    <w:p w:rsidR="00463354" w:rsidRDefault="005167A0" w:rsidP="00B92DA2">
      <w:pPr>
        <w:spacing w:beforeLines="120" w:afterLines="120"/>
        <w:rPr>
          <w:szCs w:val="24"/>
        </w:rPr>
      </w:pPr>
      <w:r w:rsidRPr="009F2427">
        <w:rPr>
          <w:szCs w:val="24"/>
        </w:rPr>
        <w:t xml:space="preserve">It is necessary to refer to </w:t>
      </w:r>
      <w:proofErr w:type="spellStart"/>
      <w:r w:rsidRPr="009F2427">
        <w:rPr>
          <w:szCs w:val="24"/>
        </w:rPr>
        <w:t>FullCAM</w:t>
      </w:r>
      <w:proofErr w:type="spellEnd"/>
      <w:r w:rsidRPr="009F2427">
        <w:rPr>
          <w:szCs w:val="24"/>
        </w:rPr>
        <w:t xml:space="preserve"> as updated from time to time, to ensure consistency with Australia’s National Greenhouse Gas Inventory. Section </w:t>
      </w:r>
      <w:r w:rsidR="00BC7740" w:rsidRPr="009F2427">
        <w:rPr>
          <w:szCs w:val="24"/>
        </w:rPr>
        <w:t>6</w:t>
      </w:r>
      <w:r w:rsidRPr="009F2427">
        <w:rPr>
          <w:szCs w:val="24"/>
        </w:rPr>
        <w:t xml:space="preserve"> requires proponents to use the version of </w:t>
      </w:r>
      <w:proofErr w:type="spellStart"/>
      <w:r w:rsidRPr="009F2427">
        <w:rPr>
          <w:szCs w:val="24"/>
        </w:rPr>
        <w:t>FullCAM</w:t>
      </w:r>
      <w:proofErr w:type="spellEnd"/>
      <w:r w:rsidRPr="009F2427">
        <w:rPr>
          <w:szCs w:val="24"/>
        </w:rPr>
        <w:t xml:space="preserve"> that was current at the end of the reporting period in calculating the net abatement amount.</w:t>
      </w:r>
    </w:p>
    <w:p w:rsidR="00463354" w:rsidRDefault="0005002F" w:rsidP="00B92DA2">
      <w:pPr>
        <w:spacing w:beforeLines="120" w:afterLines="120"/>
        <w:rPr>
          <w:color w:val="000000" w:themeColor="text1"/>
          <w:szCs w:val="24"/>
        </w:rPr>
      </w:pPr>
      <w:proofErr w:type="spellStart"/>
      <w:proofErr w:type="gramStart"/>
      <w:r w:rsidRPr="009F2427">
        <w:rPr>
          <w:b/>
          <w:i/>
          <w:color w:val="000000" w:themeColor="text1"/>
          <w:szCs w:val="24"/>
        </w:rPr>
        <w:t>FullCAM</w:t>
      </w:r>
      <w:proofErr w:type="spellEnd"/>
      <w:r w:rsidRPr="009F2427">
        <w:rPr>
          <w:b/>
          <w:i/>
          <w:color w:val="000000" w:themeColor="text1"/>
          <w:szCs w:val="24"/>
        </w:rPr>
        <w:t xml:space="preserve"> guidelines</w:t>
      </w:r>
      <w:r w:rsidR="00A55002" w:rsidRPr="009F2427">
        <w:rPr>
          <w:b/>
          <w:i/>
          <w:color w:val="000000" w:themeColor="text1"/>
          <w:szCs w:val="24"/>
        </w:rPr>
        <w:t xml:space="preserve"> </w:t>
      </w:r>
      <w:r w:rsidR="00A55002" w:rsidRPr="009F2427">
        <w:rPr>
          <w:color w:val="000000" w:themeColor="text1"/>
          <w:szCs w:val="24"/>
        </w:rPr>
        <w:t>refers</w:t>
      </w:r>
      <w:proofErr w:type="gramEnd"/>
      <w:r w:rsidR="00A55002" w:rsidRPr="009F2427">
        <w:rPr>
          <w:color w:val="000000" w:themeColor="text1"/>
          <w:szCs w:val="24"/>
        </w:rPr>
        <w:t xml:space="preserve"> to </w:t>
      </w:r>
      <w:r w:rsidR="009E1AA9" w:rsidRPr="009F2427">
        <w:rPr>
          <w:color w:val="000000" w:themeColor="text1"/>
          <w:szCs w:val="24"/>
        </w:rPr>
        <w:t>a</w:t>
      </w:r>
      <w:r w:rsidR="00A55002" w:rsidRPr="009F2427">
        <w:rPr>
          <w:color w:val="000000" w:themeColor="text1"/>
          <w:szCs w:val="24"/>
        </w:rPr>
        <w:t xml:space="preserve"> document on the Department’s website </w:t>
      </w:r>
      <w:r w:rsidR="009E1AA9" w:rsidRPr="009F2427">
        <w:rPr>
          <w:color w:val="000000" w:themeColor="text1"/>
          <w:szCs w:val="24"/>
        </w:rPr>
        <w:t xml:space="preserve">that sets out how to use </w:t>
      </w:r>
      <w:proofErr w:type="spellStart"/>
      <w:r w:rsidR="009E1AA9" w:rsidRPr="009F2427">
        <w:rPr>
          <w:color w:val="000000" w:themeColor="text1"/>
          <w:szCs w:val="24"/>
        </w:rPr>
        <w:t>FullCAM</w:t>
      </w:r>
      <w:proofErr w:type="spellEnd"/>
      <w:r w:rsidR="009E1AA9" w:rsidRPr="009F2427">
        <w:rPr>
          <w:color w:val="000000" w:themeColor="text1"/>
          <w:szCs w:val="24"/>
        </w:rPr>
        <w:t xml:space="preserve"> to model carbon stocks </w:t>
      </w:r>
      <w:r w:rsidR="003249DF" w:rsidRPr="009F2427">
        <w:rPr>
          <w:color w:val="000000" w:themeColor="text1"/>
          <w:szCs w:val="24"/>
        </w:rPr>
        <w:t xml:space="preserve">and emissions </w:t>
      </w:r>
      <w:r w:rsidR="00DF2C40" w:rsidRPr="009F2427">
        <w:rPr>
          <w:color w:val="000000" w:themeColor="text1"/>
          <w:szCs w:val="24"/>
        </w:rPr>
        <w:t xml:space="preserve">in a CEA for an </w:t>
      </w:r>
      <w:r w:rsidR="00DF2C40" w:rsidRPr="009F2427">
        <w:rPr>
          <w:b/>
          <w:i/>
          <w:color w:val="000000" w:themeColor="text1"/>
          <w:szCs w:val="24"/>
        </w:rPr>
        <w:t>HIR project</w:t>
      </w:r>
      <w:r w:rsidR="00DF2C40" w:rsidRPr="009F2427">
        <w:rPr>
          <w:color w:val="000000" w:themeColor="text1"/>
          <w:szCs w:val="24"/>
        </w:rPr>
        <w:t xml:space="preserve">. As with the definition of </w:t>
      </w:r>
      <w:proofErr w:type="spellStart"/>
      <w:r w:rsidR="00DF2C40" w:rsidRPr="009F2427">
        <w:rPr>
          <w:color w:val="000000" w:themeColor="text1"/>
          <w:szCs w:val="24"/>
        </w:rPr>
        <w:t>FullCAM</w:t>
      </w:r>
      <w:proofErr w:type="spellEnd"/>
      <w:r w:rsidR="00DF2C40" w:rsidRPr="009F2427">
        <w:rPr>
          <w:color w:val="000000" w:themeColor="text1"/>
          <w:szCs w:val="24"/>
        </w:rPr>
        <w:t>, the varied Determination refers to the guidelines ‘as in force from time to time’.</w:t>
      </w:r>
    </w:p>
    <w:p w:rsidR="00463354" w:rsidRDefault="00AF31F2" w:rsidP="00B92DA2">
      <w:pPr>
        <w:spacing w:beforeLines="120" w:afterLines="120"/>
        <w:rPr>
          <w:szCs w:val="24"/>
        </w:rPr>
      </w:pPr>
      <w:r w:rsidRPr="009F2427">
        <w:rPr>
          <w:b/>
          <w:i/>
          <w:color w:val="000000" w:themeColor="text1"/>
          <w:szCs w:val="24"/>
        </w:rPr>
        <w:t>HIR project</w:t>
      </w:r>
      <w:r w:rsidRPr="009F2427">
        <w:rPr>
          <w:color w:val="000000" w:themeColor="text1"/>
          <w:szCs w:val="24"/>
        </w:rPr>
        <w:t xml:space="preserve"> </w:t>
      </w:r>
      <w:r w:rsidR="00E614A2" w:rsidRPr="009F2427">
        <w:rPr>
          <w:szCs w:val="24"/>
        </w:rPr>
        <w:t>(short for human induced regeneration project) means an offsets project that involves assisting the regeneration of native forest and the attainment of forest cover by undertaking one or more HIR activities, and can be reasonably expected to result in eligible carbon abatement. See section 7.</w:t>
      </w:r>
    </w:p>
    <w:p w:rsidR="00463354" w:rsidRDefault="003447A5" w:rsidP="00B92DA2">
      <w:pPr>
        <w:pStyle w:val="ListParagraph"/>
        <w:autoSpaceDE w:val="0"/>
        <w:autoSpaceDN w:val="0"/>
        <w:adjustRightInd w:val="0"/>
        <w:spacing w:beforeLines="120" w:afterLines="120"/>
        <w:ind w:left="0"/>
        <w:rPr>
          <w:szCs w:val="24"/>
        </w:rPr>
      </w:pPr>
      <w:r w:rsidRPr="009F2427">
        <w:rPr>
          <w:b/>
          <w:i/>
          <w:color w:val="000000" w:themeColor="text1"/>
          <w:szCs w:val="24"/>
        </w:rPr>
        <w:t>N</w:t>
      </w:r>
      <w:r w:rsidR="0005002F" w:rsidRPr="009F2427">
        <w:rPr>
          <w:b/>
          <w:i/>
          <w:color w:val="000000" w:themeColor="text1"/>
          <w:szCs w:val="24"/>
        </w:rPr>
        <w:t xml:space="preserve">ative </w:t>
      </w:r>
      <w:r w:rsidR="00C31129" w:rsidRPr="009F2427">
        <w:rPr>
          <w:b/>
          <w:i/>
          <w:color w:val="000000" w:themeColor="text1"/>
          <w:szCs w:val="24"/>
        </w:rPr>
        <w:t>forest</w:t>
      </w:r>
      <w:r w:rsidR="00C31129" w:rsidRPr="009F2427">
        <w:rPr>
          <w:b/>
          <w:color w:val="000000" w:themeColor="text1"/>
          <w:szCs w:val="24"/>
        </w:rPr>
        <w:t xml:space="preserve"> </w:t>
      </w:r>
      <w:r w:rsidR="00C31129" w:rsidRPr="009F2427">
        <w:rPr>
          <w:color w:val="000000" w:themeColor="text1"/>
          <w:szCs w:val="24"/>
        </w:rPr>
        <w:t xml:space="preserve">is defined as an area of land </w:t>
      </w:r>
      <w:r w:rsidR="00D33CA0" w:rsidRPr="009F2427">
        <w:rPr>
          <w:color w:val="000000" w:themeColor="text1"/>
          <w:szCs w:val="24"/>
        </w:rPr>
        <w:t>that contains</w:t>
      </w:r>
      <w:r w:rsidR="000F659B" w:rsidRPr="009F2427">
        <w:rPr>
          <w:szCs w:val="24"/>
        </w:rPr>
        <w:t xml:space="preserve"> native vegetation, is not a plantation, and is dominated by trees that are located within their natural range; provide or, having regard to the location and characteristics of the land, are reasonably likely to provide, a crown cover of at least 20% of the area of land; and have reached or, having regard to the location and characteristics of the land, are reasonably likely to reach, a height of at least 2 metres</w:t>
      </w:r>
      <w:r w:rsidR="00DF2C40" w:rsidRPr="009F2427">
        <w:rPr>
          <w:szCs w:val="24"/>
        </w:rPr>
        <w:t>.</w:t>
      </w:r>
    </w:p>
    <w:p w:rsidR="00463354" w:rsidRDefault="00C3068A" w:rsidP="00B92DA2">
      <w:pPr>
        <w:pStyle w:val="tDefn"/>
        <w:spacing w:beforeLines="120" w:afterLines="120" w:line="240" w:lineRule="auto"/>
        <w:ind w:left="0"/>
      </w:pPr>
      <w:r w:rsidRPr="009F2427">
        <w:rPr>
          <w:b/>
          <w:i/>
        </w:rPr>
        <w:t>N</w:t>
      </w:r>
      <w:r w:rsidR="00985DD2" w:rsidRPr="009F2427">
        <w:rPr>
          <w:b/>
          <w:i/>
        </w:rPr>
        <w:t>ative vegetation</w:t>
      </w:r>
      <w:r w:rsidR="00985DD2" w:rsidRPr="009F2427">
        <w:t>, in relation to a particular area,</w:t>
      </w:r>
      <w:r w:rsidR="00985DD2" w:rsidRPr="009F2427">
        <w:rPr>
          <w:b/>
          <w:i/>
        </w:rPr>
        <w:t xml:space="preserve"> </w:t>
      </w:r>
      <w:r w:rsidR="00985DD2" w:rsidRPr="009F2427">
        <w:t>means a mix of trees, shrubs, and understorey species that reflects the structure and composition of the vegetation that, having regard to the location and characteristics of the area, is expected to occur naturally in that area.</w:t>
      </w:r>
      <w:r w:rsidR="00D96FA3" w:rsidRPr="009F2427">
        <w:t xml:space="preserve"> </w:t>
      </w:r>
      <w:r w:rsidR="00D33CA0" w:rsidRPr="009F2427">
        <w:t xml:space="preserve">The mix may or may not include all three structural components (trees, shrubs and understorey species) rather the mix of these should reflect the expected species composition and structure given the location and characteristics of the area (e.g. soil type, topography, land-use history). </w:t>
      </w:r>
      <w:r w:rsidR="00985DD2" w:rsidRPr="009F2427">
        <w:t>The mix may consist of a monoculture where, having regard to the location and characteristics of the area, a monoculture would be expected to occur naturally.</w:t>
      </w:r>
    </w:p>
    <w:p w:rsidR="00463354" w:rsidRDefault="00C31129" w:rsidP="00B92DA2">
      <w:pPr>
        <w:pStyle w:val="tDefn"/>
        <w:shd w:val="clear" w:color="auto" w:fill="FFFFFF" w:themeFill="background1"/>
        <w:spacing w:beforeLines="120" w:afterLines="120" w:line="240" w:lineRule="auto"/>
        <w:ind w:left="0"/>
      </w:pPr>
      <w:r w:rsidRPr="009F2427">
        <w:rPr>
          <w:b/>
          <w:i/>
          <w:color w:val="000000" w:themeColor="text1"/>
        </w:rPr>
        <w:t xml:space="preserve">Regeneration </w:t>
      </w:r>
      <w:r w:rsidRPr="009F2427">
        <w:t xml:space="preserve">means the </w:t>
      </w:r>
      <w:r w:rsidR="00D96FA3" w:rsidRPr="009F2427">
        <w:t xml:space="preserve">means the regrowth of trees from the germination of </w:t>
      </w:r>
      <w:r w:rsidR="00E955A7" w:rsidRPr="009F2427">
        <w:rPr>
          <w:i/>
        </w:rPr>
        <w:t>in situ</w:t>
      </w:r>
      <w:r w:rsidR="00E955A7" w:rsidRPr="009F2427">
        <w:t xml:space="preserve"> seed, or the growth of </w:t>
      </w:r>
      <w:r w:rsidR="00E955A7" w:rsidRPr="009F2427">
        <w:rPr>
          <w:i/>
        </w:rPr>
        <w:t>in situ</w:t>
      </w:r>
      <w:r w:rsidR="00E955A7" w:rsidRPr="009F2427">
        <w:t xml:space="preserve"> seedlings, rootstock or lignotuber.</w:t>
      </w:r>
    </w:p>
    <w:p w:rsidR="00463354" w:rsidRPr="00107972" w:rsidRDefault="00C31129" w:rsidP="00B92DA2">
      <w:pPr>
        <w:pStyle w:val="tDefn"/>
        <w:shd w:val="clear" w:color="auto" w:fill="FFFFFF" w:themeFill="background1"/>
        <w:spacing w:beforeLines="120" w:afterLines="120" w:line="240" w:lineRule="auto"/>
        <w:ind w:left="0"/>
      </w:pPr>
      <w:r w:rsidRPr="009F2427">
        <w:t xml:space="preserve">The varied Determination applies only to projects that establish native forests through regeneration, and does not permit planting of seeds or seedlings. Other determinations are </w:t>
      </w:r>
      <w:r w:rsidRPr="00107972">
        <w:t>available under the ERF for projects that involve planting.</w:t>
      </w:r>
    </w:p>
    <w:p w:rsidR="00463354" w:rsidRPr="00107972" w:rsidRDefault="00463354" w:rsidP="00B92DA2">
      <w:pPr>
        <w:autoSpaceDE w:val="0"/>
        <w:autoSpaceDN w:val="0"/>
        <w:adjustRightInd w:val="0"/>
        <w:spacing w:beforeLines="120" w:afterLines="120"/>
        <w:rPr>
          <w:szCs w:val="24"/>
          <w:lang w:eastAsia="en-AU"/>
        </w:rPr>
      </w:pPr>
      <w:r w:rsidRPr="00107972">
        <w:rPr>
          <w:szCs w:val="24"/>
          <w:lang w:eastAsia="en-AU"/>
        </w:rPr>
        <w:t>Section 3 also defines various other instruments that are incorporated, as in force from time to time, by the varied Determination, these being:</w:t>
      </w:r>
    </w:p>
    <w:p w:rsidR="00463354" w:rsidRPr="00107972" w:rsidRDefault="00463354" w:rsidP="00B92DA2">
      <w:pPr>
        <w:pStyle w:val="ListParagraph"/>
        <w:numPr>
          <w:ilvl w:val="0"/>
          <w:numId w:val="6"/>
        </w:numPr>
        <w:autoSpaceDE w:val="0"/>
        <w:autoSpaceDN w:val="0"/>
        <w:adjustRightInd w:val="0"/>
        <w:spacing w:beforeLines="120" w:afterLines="120"/>
        <w:rPr>
          <w:color w:val="000000" w:themeColor="text1"/>
          <w:szCs w:val="24"/>
        </w:rPr>
      </w:pPr>
      <w:r w:rsidRPr="00107972">
        <w:rPr>
          <w:szCs w:val="24"/>
          <w:lang w:eastAsia="en-AU"/>
        </w:rPr>
        <w:t xml:space="preserve">the </w:t>
      </w:r>
      <w:r w:rsidRPr="00107972">
        <w:rPr>
          <w:i/>
          <w:color w:val="000000" w:themeColor="text1"/>
          <w:szCs w:val="24"/>
        </w:rPr>
        <w:t>National Greenhouse and Energy Reporting Act 2007</w:t>
      </w:r>
    </w:p>
    <w:p w:rsidR="00463354" w:rsidRPr="00107972" w:rsidRDefault="00463354" w:rsidP="00B92DA2">
      <w:pPr>
        <w:pStyle w:val="ListParagraph"/>
        <w:numPr>
          <w:ilvl w:val="0"/>
          <w:numId w:val="6"/>
        </w:numPr>
        <w:autoSpaceDE w:val="0"/>
        <w:autoSpaceDN w:val="0"/>
        <w:adjustRightInd w:val="0"/>
        <w:spacing w:beforeLines="120" w:afterLines="120"/>
        <w:rPr>
          <w:color w:val="000000" w:themeColor="text1"/>
          <w:szCs w:val="24"/>
        </w:rPr>
      </w:pPr>
      <w:r w:rsidRPr="00107972">
        <w:rPr>
          <w:color w:val="000000" w:themeColor="text1"/>
          <w:szCs w:val="24"/>
        </w:rPr>
        <w:t>the</w:t>
      </w:r>
      <w:r w:rsidRPr="00107972">
        <w:rPr>
          <w:i/>
          <w:color w:val="000000" w:themeColor="text1"/>
          <w:szCs w:val="24"/>
        </w:rPr>
        <w:t xml:space="preserve"> National Greenhouse and Energy Reporting Regulations 2008</w:t>
      </w:r>
    </w:p>
    <w:p w:rsidR="00463354" w:rsidRPr="00107972" w:rsidRDefault="00463354" w:rsidP="00B92DA2">
      <w:pPr>
        <w:pStyle w:val="ListParagraph"/>
        <w:numPr>
          <w:ilvl w:val="0"/>
          <w:numId w:val="6"/>
        </w:numPr>
        <w:autoSpaceDE w:val="0"/>
        <w:autoSpaceDN w:val="0"/>
        <w:adjustRightInd w:val="0"/>
        <w:spacing w:beforeLines="120" w:afterLines="120"/>
        <w:rPr>
          <w:szCs w:val="24"/>
          <w:lang w:eastAsia="en-AU"/>
        </w:rPr>
      </w:pPr>
      <w:r w:rsidRPr="00107972">
        <w:rPr>
          <w:szCs w:val="24"/>
          <w:lang w:eastAsia="en-AU"/>
        </w:rPr>
        <w:t>the CFI mapping guidelines</w:t>
      </w:r>
    </w:p>
    <w:p w:rsidR="00463354" w:rsidRPr="00107972" w:rsidRDefault="00463354" w:rsidP="00B92DA2">
      <w:pPr>
        <w:pStyle w:val="ListParagraph"/>
        <w:numPr>
          <w:ilvl w:val="0"/>
          <w:numId w:val="6"/>
        </w:numPr>
        <w:autoSpaceDE w:val="0"/>
        <w:autoSpaceDN w:val="0"/>
        <w:adjustRightInd w:val="0"/>
        <w:spacing w:beforeLines="120" w:afterLines="120"/>
        <w:rPr>
          <w:color w:val="000000" w:themeColor="text1"/>
          <w:szCs w:val="24"/>
        </w:rPr>
      </w:pPr>
      <w:r w:rsidRPr="00107972">
        <w:rPr>
          <w:szCs w:val="24"/>
          <w:lang w:eastAsia="en-AU"/>
        </w:rPr>
        <w:t>the CFI mapping tool</w:t>
      </w:r>
    </w:p>
    <w:p w:rsidR="00463354" w:rsidRDefault="00463354" w:rsidP="00B92DA2">
      <w:pPr>
        <w:autoSpaceDE w:val="0"/>
        <w:autoSpaceDN w:val="0"/>
        <w:adjustRightInd w:val="0"/>
        <w:spacing w:beforeLines="120" w:afterLines="120"/>
        <w:rPr>
          <w:szCs w:val="24"/>
          <w:lang w:eastAsia="en-AU"/>
        </w:rPr>
      </w:pPr>
      <w:r w:rsidRPr="00107972">
        <w:rPr>
          <w:szCs w:val="24"/>
          <w:lang w:eastAsia="en-AU"/>
        </w:rPr>
        <w:t>The former two are an Act of Parliament and a disallowable legislative instrument respectively, and so their incorporation as in force from time to time is authorised by paragraph (a) of subsection 14(1) of the</w:t>
      </w:r>
      <w:r w:rsidR="004D66C4" w:rsidRPr="009F2427">
        <w:rPr>
          <w:szCs w:val="24"/>
          <w:lang w:eastAsia="en-AU"/>
        </w:rPr>
        <w:t xml:space="preserve"> </w:t>
      </w:r>
      <w:r w:rsidR="002F7D8E" w:rsidRPr="009F2427">
        <w:rPr>
          <w:szCs w:val="24"/>
          <w:lang w:eastAsia="en-AU"/>
        </w:rPr>
        <w:t>L</w:t>
      </w:r>
      <w:r w:rsidR="002F7D8E">
        <w:rPr>
          <w:szCs w:val="24"/>
          <w:lang w:eastAsia="en-AU"/>
        </w:rPr>
        <w:t>egislation</w:t>
      </w:r>
      <w:r w:rsidR="002F7D8E" w:rsidRPr="009F2427">
        <w:rPr>
          <w:szCs w:val="24"/>
          <w:lang w:eastAsia="en-AU"/>
        </w:rPr>
        <w:t xml:space="preserve"> </w:t>
      </w:r>
      <w:r w:rsidR="004D66C4" w:rsidRPr="009F2427">
        <w:rPr>
          <w:szCs w:val="24"/>
          <w:lang w:eastAsia="en-AU"/>
        </w:rPr>
        <w:t xml:space="preserve">Act. The appropriate versions of these documents can be obtained from the website </w:t>
      </w:r>
      <w:r w:rsidR="0015695C" w:rsidRPr="009F2427">
        <w:rPr>
          <w:szCs w:val="24"/>
        </w:rPr>
        <w:t>www.comlaw.gov.au</w:t>
      </w:r>
      <w:r w:rsidR="004D66C4" w:rsidRPr="009F2427">
        <w:rPr>
          <w:szCs w:val="24"/>
          <w:lang w:eastAsia="en-AU"/>
        </w:rPr>
        <w:t>. The latter two are neither Acts nor disallowable legislative instruments, and their incorporation as in force from time to time is authorised by paragraph (b) of subsection 14(1) of the L</w:t>
      </w:r>
      <w:r w:rsidR="002F7D8E">
        <w:rPr>
          <w:szCs w:val="24"/>
          <w:lang w:eastAsia="en-AU"/>
        </w:rPr>
        <w:t>egislation</w:t>
      </w:r>
      <w:r w:rsidR="004D66C4" w:rsidRPr="009F2427">
        <w:rPr>
          <w:szCs w:val="24"/>
          <w:lang w:eastAsia="en-AU"/>
        </w:rPr>
        <w:t xml:space="preserve"> Act, subsection 14(2) of the </w:t>
      </w:r>
      <w:r w:rsidR="002F7D8E" w:rsidRPr="009F2427">
        <w:rPr>
          <w:szCs w:val="24"/>
          <w:lang w:eastAsia="en-AU"/>
        </w:rPr>
        <w:t>L</w:t>
      </w:r>
      <w:r w:rsidR="002F7D8E">
        <w:rPr>
          <w:szCs w:val="24"/>
          <w:lang w:eastAsia="en-AU"/>
        </w:rPr>
        <w:t>egislation</w:t>
      </w:r>
      <w:r w:rsidR="002F7D8E" w:rsidRPr="009F2427">
        <w:rPr>
          <w:szCs w:val="24"/>
          <w:lang w:eastAsia="en-AU"/>
        </w:rPr>
        <w:t xml:space="preserve"> </w:t>
      </w:r>
      <w:r w:rsidR="004D66C4" w:rsidRPr="009F2427">
        <w:rPr>
          <w:szCs w:val="24"/>
          <w:lang w:eastAsia="en-AU"/>
        </w:rPr>
        <w:t>Act, and subsection 106(8) of the Act.</w:t>
      </w:r>
      <w:r w:rsidR="00596F25" w:rsidRPr="009F2427">
        <w:rPr>
          <w:szCs w:val="24"/>
          <w:lang w:eastAsia="en-AU"/>
        </w:rPr>
        <w:t xml:space="preserve"> The appropriate versions of these instruments can be obtained from the Department’s website, </w:t>
      </w:r>
      <w:r w:rsidR="0015695C" w:rsidRPr="009F2427">
        <w:rPr>
          <w:szCs w:val="24"/>
        </w:rPr>
        <w:t>www.environment.gov.au</w:t>
      </w:r>
      <w:r w:rsidR="00596F25" w:rsidRPr="009F2427">
        <w:rPr>
          <w:szCs w:val="24"/>
          <w:lang w:eastAsia="en-AU"/>
        </w:rPr>
        <w:t>.</w:t>
      </w:r>
    </w:p>
    <w:p w:rsidR="00463354" w:rsidRDefault="00596F25" w:rsidP="00B92DA2">
      <w:pPr>
        <w:spacing w:beforeLines="120" w:afterLines="120"/>
        <w:rPr>
          <w:szCs w:val="24"/>
          <w:lang w:eastAsia="en-AU"/>
        </w:rPr>
      </w:pPr>
      <w:r w:rsidRPr="009F2427">
        <w:rPr>
          <w:szCs w:val="24"/>
        </w:rPr>
        <w:t xml:space="preserve">It is necessary to refer to these documents as updated from time to time to ensure consistency with Australia’s National Greenhouse Gas Inventory. To provide greater clarity, section </w:t>
      </w:r>
      <w:r w:rsidR="00BC7740" w:rsidRPr="009F2427">
        <w:rPr>
          <w:szCs w:val="24"/>
        </w:rPr>
        <w:t>6</w:t>
      </w:r>
      <w:r w:rsidRPr="009F2427">
        <w:rPr>
          <w:szCs w:val="24"/>
        </w:rPr>
        <w:t xml:space="preserve"> requires proponents to use the versions of these documents that </w:t>
      </w:r>
      <w:r w:rsidR="00CB64D5" w:rsidRPr="009F2427">
        <w:rPr>
          <w:szCs w:val="24"/>
        </w:rPr>
        <w:t>were</w:t>
      </w:r>
      <w:r w:rsidRPr="009F2427">
        <w:rPr>
          <w:szCs w:val="24"/>
        </w:rPr>
        <w:t xml:space="preserve"> current at the end of the reporting period in calculating the net abatement amount.</w:t>
      </w:r>
    </w:p>
    <w:p w:rsidR="0086647B" w:rsidRPr="0086647B" w:rsidRDefault="00B0011E" w:rsidP="001B5684">
      <w:pPr>
        <w:pStyle w:val="Heading4"/>
      </w:pPr>
      <w:r>
        <w:t>4.</w:t>
      </w:r>
      <w:r w:rsidR="0086647B" w:rsidRPr="0086647B">
        <w:tab/>
        <w:t>Meaning of eligible land and baseline period—general rule</w:t>
      </w:r>
    </w:p>
    <w:p w:rsidR="00F75616" w:rsidRPr="009F2427" w:rsidRDefault="005331C6" w:rsidP="00B92DA2">
      <w:pPr>
        <w:autoSpaceDE w:val="0"/>
        <w:autoSpaceDN w:val="0"/>
        <w:adjustRightInd w:val="0"/>
        <w:spacing w:beforeLines="120" w:afterLines="120"/>
        <w:rPr>
          <w:szCs w:val="24"/>
          <w:lang w:eastAsia="en-AU"/>
        </w:rPr>
      </w:pPr>
      <w:r w:rsidRPr="009F2427">
        <w:rPr>
          <w:szCs w:val="24"/>
          <w:lang w:eastAsia="en-AU"/>
        </w:rPr>
        <w:t xml:space="preserve">This section sets out the general rule for determining whether a particular area of land is ‘eligible land’. </w:t>
      </w:r>
      <w:r w:rsidR="0086647B" w:rsidRPr="009F2427">
        <w:rPr>
          <w:szCs w:val="24"/>
          <w:lang w:eastAsia="en-AU"/>
        </w:rPr>
        <w:t>A</w:t>
      </w:r>
      <w:r w:rsidRPr="009F2427">
        <w:rPr>
          <w:szCs w:val="24"/>
          <w:lang w:eastAsia="en-AU"/>
        </w:rPr>
        <w:t xml:space="preserve">n eligibility requirement for an HIR project is </w:t>
      </w:r>
      <w:r w:rsidR="007D39A0" w:rsidRPr="009F2427">
        <w:rPr>
          <w:szCs w:val="24"/>
          <w:lang w:eastAsia="en-AU"/>
        </w:rPr>
        <w:t>for</w:t>
      </w:r>
      <w:r w:rsidRPr="009F2427">
        <w:rPr>
          <w:szCs w:val="24"/>
          <w:lang w:eastAsia="en-AU"/>
        </w:rPr>
        <w:t xml:space="preserve"> its project area </w:t>
      </w:r>
      <w:r w:rsidR="007D39A0" w:rsidRPr="009F2427">
        <w:rPr>
          <w:szCs w:val="24"/>
          <w:lang w:eastAsia="en-AU"/>
        </w:rPr>
        <w:t xml:space="preserve">to </w:t>
      </w:r>
      <w:r w:rsidRPr="009F2427">
        <w:rPr>
          <w:szCs w:val="24"/>
          <w:lang w:eastAsia="en-AU"/>
        </w:rPr>
        <w:t>include at least some eligible land. In addition, if any area of land is added later to the project area, it too must include at least some eligible land</w:t>
      </w:r>
      <w:r w:rsidR="00D77A41" w:rsidRPr="009F2427">
        <w:rPr>
          <w:szCs w:val="24"/>
          <w:lang w:eastAsia="en-AU"/>
        </w:rPr>
        <w:t xml:space="preserve"> (see section </w:t>
      </w:r>
      <w:r w:rsidR="00BC7740" w:rsidRPr="009F2427">
        <w:rPr>
          <w:szCs w:val="24"/>
          <w:lang w:eastAsia="en-AU"/>
        </w:rPr>
        <w:t>11</w:t>
      </w:r>
      <w:r w:rsidR="00D77A41" w:rsidRPr="009F2427">
        <w:rPr>
          <w:szCs w:val="24"/>
          <w:lang w:eastAsia="en-AU"/>
        </w:rPr>
        <w:t>)</w:t>
      </w:r>
      <w:r w:rsidRPr="009F2427">
        <w:rPr>
          <w:szCs w:val="24"/>
          <w:lang w:eastAsia="en-AU"/>
        </w:rPr>
        <w:t>. Further, when defining CEAs in the project area for the purposes of calculating the net abatement amount, only land that is eligible land is able to be stratified as a CEA</w:t>
      </w:r>
      <w:r w:rsidR="00CB64D5" w:rsidRPr="009F2427">
        <w:rPr>
          <w:szCs w:val="24"/>
          <w:lang w:eastAsia="en-AU"/>
        </w:rPr>
        <w:t xml:space="preserve"> (see section 16)</w:t>
      </w:r>
      <w:r w:rsidRPr="009F2427">
        <w:rPr>
          <w:szCs w:val="24"/>
          <w:lang w:eastAsia="en-AU"/>
        </w:rPr>
        <w:t>.</w:t>
      </w:r>
    </w:p>
    <w:p w:rsidR="00463354" w:rsidRDefault="00466801" w:rsidP="00B92DA2">
      <w:pPr>
        <w:spacing w:beforeLines="120" w:afterLines="120"/>
        <w:rPr>
          <w:szCs w:val="24"/>
          <w:lang w:eastAsia="en-AU"/>
        </w:rPr>
      </w:pPr>
      <w:r w:rsidRPr="009F2427">
        <w:rPr>
          <w:szCs w:val="24"/>
          <w:lang w:eastAsia="en-AU"/>
        </w:rPr>
        <w:t>The general rule, set out in section 4, is that an area of land is eligible land if</w:t>
      </w:r>
      <w:r w:rsidR="00B45D37" w:rsidRPr="009F2427">
        <w:rPr>
          <w:szCs w:val="24"/>
          <w:lang w:eastAsia="en-AU"/>
        </w:rPr>
        <w:t xml:space="preserve"> </w:t>
      </w:r>
      <w:r w:rsidRPr="009F2427">
        <w:rPr>
          <w:szCs w:val="24"/>
          <w:lang w:eastAsia="en-AU"/>
        </w:rPr>
        <w:t xml:space="preserve">it did not have forest cover at any time during its 10-year </w:t>
      </w:r>
      <w:r w:rsidRPr="009F2427">
        <w:rPr>
          <w:b/>
          <w:i/>
          <w:szCs w:val="24"/>
          <w:lang w:eastAsia="en-AU"/>
        </w:rPr>
        <w:t>baseline period</w:t>
      </w:r>
      <w:r w:rsidRPr="009F2427">
        <w:rPr>
          <w:szCs w:val="24"/>
          <w:lang w:eastAsia="en-AU"/>
        </w:rPr>
        <w:t>; and it was subjected to particular mechanisms that contributed to the suppression of forest cover, and would be expected to continue to prevent forest cover if they continued</w:t>
      </w:r>
      <w:r w:rsidR="00681288">
        <w:rPr>
          <w:szCs w:val="24"/>
          <w:lang w:eastAsia="en-AU"/>
        </w:rPr>
        <w:t xml:space="preserve"> at the same level</w:t>
      </w:r>
      <w:r w:rsidRPr="009F2427">
        <w:rPr>
          <w:szCs w:val="24"/>
          <w:lang w:eastAsia="en-AU"/>
        </w:rPr>
        <w:t xml:space="preserve">. </w:t>
      </w:r>
    </w:p>
    <w:p w:rsidR="00463354" w:rsidRDefault="00C15408" w:rsidP="00B92DA2">
      <w:pPr>
        <w:spacing w:beforeLines="120" w:afterLines="120"/>
        <w:rPr>
          <w:szCs w:val="24"/>
          <w:lang w:eastAsia="en-AU"/>
        </w:rPr>
      </w:pPr>
      <w:r w:rsidRPr="009F2427">
        <w:rPr>
          <w:szCs w:val="24"/>
          <w:lang w:eastAsia="en-AU"/>
        </w:rPr>
        <w:t xml:space="preserve">Conservation land is only eligible </w:t>
      </w:r>
      <w:r w:rsidR="00C3068A" w:rsidRPr="009F2427">
        <w:rPr>
          <w:szCs w:val="24"/>
          <w:lang w:eastAsia="en-AU"/>
        </w:rPr>
        <w:t xml:space="preserve">under specific conditions and only </w:t>
      </w:r>
      <w:r w:rsidRPr="009F2427">
        <w:rPr>
          <w:szCs w:val="24"/>
          <w:lang w:eastAsia="en-AU"/>
        </w:rPr>
        <w:t xml:space="preserve">for a subset of the </w:t>
      </w:r>
      <w:r w:rsidR="00D33CA0" w:rsidRPr="009F2427">
        <w:rPr>
          <w:szCs w:val="24"/>
          <w:lang w:eastAsia="en-AU"/>
        </w:rPr>
        <w:t>mechanisms</w:t>
      </w:r>
      <w:r w:rsidRPr="009F2427">
        <w:rPr>
          <w:szCs w:val="24"/>
          <w:lang w:eastAsia="en-AU"/>
        </w:rPr>
        <w:t xml:space="preserve"> under which other land is eligible</w:t>
      </w:r>
      <w:r w:rsidR="009A191B" w:rsidRPr="009F2427">
        <w:rPr>
          <w:szCs w:val="24"/>
          <w:lang w:eastAsia="en-AU"/>
        </w:rPr>
        <w:t xml:space="preserve"> (these being </w:t>
      </w:r>
      <w:r w:rsidR="009A191B" w:rsidRPr="009F2427">
        <w:rPr>
          <w:szCs w:val="24"/>
        </w:rPr>
        <w:t>feral animals</w:t>
      </w:r>
      <w:r w:rsidR="000D01A9" w:rsidRPr="009F2427">
        <w:rPr>
          <w:szCs w:val="24"/>
        </w:rPr>
        <w:t xml:space="preserve"> </w:t>
      </w:r>
      <w:r w:rsidR="009A191B" w:rsidRPr="009F2427">
        <w:rPr>
          <w:szCs w:val="24"/>
        </w:rPr>
        <w:t>and plants not native to the area)</w:t>
      </w:r>
      <w:r w:rsidRPr="009F2427">
        <w:rPr>
          <w:szCs w:val="24"/>
          <w:lang w:eastAsia="en-AU"/>
        </w:rPr>
        <w:t xml:space="preserve">. This is </w:t>
      </w:r>
      <w:r w:rsidR="005E3282" w:rsidRPr="009F2427">
        <w:rPr>
          <w:szCs w:val="24"/>
          <w:lang w:eastAsia="en-AU"/>
        </w:rPr>
        <w:t>because it is con</w:t>
      </w:r>
      <w:r w:rsidR="000D01A9" w:rsidRPr="009F2427">
        <w:rPr>
          <w:szCs w:val="24"/>
          <w:lang w:eastAsia="en-AU"/>
        </w:rPr>
        <w:t>sid</w:t>
      </w:r>
      <w:r w:rsidR="005E3282" w:rsidRPr="009F2427">
        <w:rPr>
          <w:szCs w:val="24"/>
          <w:lang w:eastAsia="en-AU"/>
        </w:rPr>
        <w:t>ered standard practice that conservation</w:t>
      </w:r>
      <w:r w:rsidR="000D01A9" w:rsidRPr="009F2427">
        <w:rPr>
          <w:szCs w:val="24"/>
          <w:lang w:eastAsia="en-AU"/>
        </w:rPr>
        <w:t xml:space="preserve"> </w:t>
      </w:r>
      <w:r w:rsidR="005E3282" w:rsidRPr="009F2427">
        <w:rPr>
          <w:szCs w:val="24"/>
          <w:lang w:eastAsia="en-AU"/>
        </w:rPr>
        <w:t xml:space="preserve">land </w:t>
      </w:r>
      <w:r w:rsidR="00863618" w:rsidRPr="009F2427">
        <w:rPr>
          <w:szCs w:val="24"/>
          <w:lang w:eastAsia="en-AU"/>
        </w:rPr>
        <w:t>ma</w:t>
      </w:r>
      <w:r w:rsidR="005E3282" w:rsidRPr="009F2427">
        <w:rPr>
          <w:szCs w:val="24"/>
          <w:lang w:eastAsia="en-AU"/>
        </w:rPr>
        <w:t>n</w:t>
      </w:r>
      <w:r w:rsidR="00863618" w:rsidRPr="009F2427">
        <w:rPr>
          <w:szCs w:val="24"/>
          <w:lang w:eastAsia="en-AU"/>
        </w:rPr>
        <w:t>a</w:t>
      </w:r>
      <w:r w:rsidR="005E3282" w:rsidRPr="009F2427">
        <w:rPr>
          <w:szCs w:val="24"/>
          <w:lang w:eastAsia="en-AU"/>
        </w:rPr>
        <w:t>gers would remove livestock and cease any mechanical or chemical destruction, or suppression of regrowth</w:t>
      </w:r>
      <w:r w:rsidRPr="009F2427">
        <w:rPr>
          <w:szCs w:val="24"/>
          <w:lang w:eastAsia="en-AU"/>
        </w:rPr>
        <w:t xml:space="preserve">. Subsection </w:t>
      </w:r>
      <w:r w:rsidR="00535D29">
        <w:rPr>
          <w:szCs w:val="24"/>
          <w:lang w:eastAsia="en-AU"/>
        </w:rPr>
        <w:t>7 (2</w:t>
      </w:r>
      <w:proofErr w:type="gramStart"/>
      <w:r w:rsidR="00535D29">
        <w:rPr>
          <w:szCs w:val="24"/>
          <w:lang w:eastAsia="en-AU"/>
        </w:rPr>
        <w:t>)(</w:t>
      </w:r>
      <w:proofErr w:type="gramEnd"/>
      <w:r w:rsidR="00535D29">
        <w:rPr>
          <w:szCs w:val="24"/>
          <w:lang w:eastAsia="en-AU"/>
        </w:rPr>
        <w:t xml:space="preserve">b) and </w:t>
      </w:r>
      <w:r w:rsidR="005E1B3B" w:rsidRPr="009F2427">
        <w:rPr>
          <w:szCs w:val="24"/>
          <w:lang w:eastAsia="en-AU"/>
        </w:rPr>
        <w:t xml:space="preserve">10(4) </w:t>
      </w:r>
      <w:r w:rsidR="000F659B" w:rsidRPr="009F2427">
        <w:rPr>
          <w:szCs w:val="24"/>
          <w:lang w:eastAsia="en-AU"/>
        </w:rPr>
        <w:t>provides furthe</w:t>
      </w:r>
      <w:r w:rsidR="005136E2" w:rsidRPr="009F2427">
        <w:rPr>
          <w:szCs w:val="24"/>
          <w:lang w:eastAsia="en-AU"/>
        </w:rPr>
        <w:t>r</w:t>
      </w:r>
      <w:r w:rsidR="000F659B" w:rsidRPr="009F2427">
        <w:rPr>
          <w:szCs w:val="24"/>
          <w:lang w:eastAsia="en-AU"/>
        </w:rPr>
        <w:t xml:space="preserve"> cla</w:t>
      </w:r>
      <w:r w:rsidRPr="009F2427">
        <w:rPr>
          <w:szCs w:val="24"/>
          <w:lang w:eastAsia="en-AU"/>
        </w:rPr>
        <w:t xml:space="preserve">rification regarding </w:t>
      </w:r>
      <w:r w:rsidR="005E1B3B" w:rsidRPr="009F2427">
        <w:rPr>
          <w:szCs w:val="24"/>
          <w:lang w:eastAsia="en-AU"/>
        </w:rPr>
        <w:t xml:space="preserve">specific </w:t>
      </w:r>
      <w:r w:rsidRPr="009F2427">
        <w:rPr>
          <w:szCs w:val="24"/>
          <w:lang w:eastAsia="en-AU"/>
        </w:rPr>
        <w:t xml:space="preserve">requirements for </w:t>
      </w:r>
      <w:r w:rsidR="005E1B3B" w:rsidRPr="009F2427">
        <w:rPr>
          <w:szCs w:val="24"/>
          <w:lang w:eastAsia="en-AU"/>
        </w:rPr>
        <w:t xml:space="preserve">projects on </w:t>
      </w:r>
      <w:r w:rsidRPr="009F2427">
        <w:rPr>
          <w:szCs w:val="24"/>
          <w:lang w:eastAsia="en-AU"/>
        </w:rPr>
        <w:t>conservation land.</w:t>
      </w:r>
    </w:p>
    <w:p w:rsidR="00463354" w:rsidRDefault="00052FF6" w:rsidP="00B92DA2">
      <w:pPr>
        <w:spacing w:beforeLines="120" w:afterLines="120"/>
        <w:rPr>
          <w:szCs w:val="24"/>
          <w:lang w:eastAsia="en-AU"/>
        </w:rPr>
      </w:pPr>
      <w:r>
        <w:rPr>
          <w:szCs w:val="24"/>
          <w:lang w:eastAsia="en-AU"/>
        </w:rPr>
        <w:t xml:space="preserve">Example 1: </w:t>
      </w:r>
      <w:r w:rsidR="009C4D43">
        <w:rPr>
          <w:szCs w:val="24"/>
          <w:lang w:eastAsia="en-AU"/>
        </w:rPr>
        <w:t>A</w:t>
      </w:r>
      <w:r>
        <w:rPr>
          <w:szCs w:val="24"/>
          <w:lang w:eastAsia="en-AU"/>
        </w:rPr>
        <w:t xml:space="preserve">n area of land was privately owned for part of the </w:t>
      </w:r>
      <w:r w:rsidR="00535D29">
        <w:rPr>
          <w:szCs w:val="24"/>
          <w:lang w:eastAsia="en-AU"/>
        </w:rPr>
        <w:t>ten-year</w:t>
      </w:r>
      <w:r>
        <w:rPr>
          <w:szCs w:val="24"/>
          <w:lang w:eastAsia="en-AU"/>
        </w:rPr>
        <w:t xml:space="preserve"> baseline period but subsequently bought by the </w:t>
      </w:r>
      <w:r w:rsidR="009C4D43">
        <w:rPr>
          <w:szCs w:val="24"/>
          <w:lang w:eastAsia="en-AU"/>
        </w:rPr>
        <w:t>S</w:t>
      </w:r>
      <w:r>
        <w:rPr>
          <w:szCs w:val="24"/>
          <w:lang w:eastAsia="en-AU"/>
        </w:rPr>
        <w:t xml:space="preserve">tate as a conservation area. The area did not have forest cover at any point during the ten years. Livestock grazing occurred on the land during its baseline period. In addition, the area was subjected to grazing by feral goats. Mechanical destruction of </w:t>
      </w:r>
      <w:r w:rsidR="00535D29">
        <w:rPr>
          <w:szCs w:val="24"/>
          <w:lang w:eastAsia="en-AU"/>
        </w:rPr>
        <w:t>non-native</w:t>
      </w:r>
      <w:r>
        <w:rPr>
          <w:szCs w:val="24"/>
          <w:lang w:eastAsia="en-AU"/>
        </w:rPr>
        <w:t xml:space="preserve"> species also occurred. The density of goats </w:t>
      </w:r>
      <w:r w:rsidR="00535D29">
        <w:rPr>
          <w:szCs w:val="24"/>
          <w:lang w:eastAsia="en-AU"/>
        </w:rPr>
        <w:t>at the ti</w:t>
      </w:r>
      <w:r>
        <w:rPr>
          <w:szCs w:val="24"/>
          <w:lang w:eastAsia="en-AU"/>
        </w:rPr>
        <w:t>m</w:t>
      </w:r>
      <w:r w:rsidR="00535D29">
        <w:rPr>
          <w:szCs w:val="24"/>
          <w:lang w:eastAsia="en-AU"/>
        </w:rPr>
        <w:t>e</w:t>
      </w:r>
      <w:r>
        <w:rPr>
          <w:szCs w:val="24"/>
          <w:lang w:eastAsia="en-AU"/>
        </w:rPr>
        <w:t xml:space="preserve"> of project application is quite high and if left unmanaged would likely result in continued suppression of forest cover. </w:t>
      </w:r>
      <w:r w:rsidR="00535D29">
        <w:rPr>
          <w:szCs w:val="24"/>
          <w:lang w:eastAsia="en-AU"/>
        </w:rPr>
        <w:t>The area meets the requirements of section 4. In order to be eligible land, the area would also need to meet requirements set out in sections 7 and 10.</w:t>
      </w:r>
    </w:p>
    <w:p w:rsidR="00463354" w:rsidRDefault="00535D29" w:rsidP="00B92DA2">
      <w:pPr>
        <w:spacing w:beforeLines="120" w:afterLines="120"/>
        <w:rPr>
          <w:szCs w:val="24"/>
          <w:lang w:eastAsia="en-AU"/>
        </w:rPr>
      </w:pPr>
      <w:r>
        <w:rPr>
          <w:szCs w:val="24"/>
          <w:lang w:eastAsia="en-AU"/>
        </w:rPr>
        <w:t>Example</w:t>
      </w:r>
      <w:r w:rsidR="00052FF6">
        <w:rPr>
          <w:szCs w:val="24"/>
          <w:lang w:eastAsia="en-AU"/>
        </w:rPr>
        <w:t xml:space="preserve"> 2</w:t>
      </w:r>
      <w:r w:rsidR="009C4D43">
        <w:rPr>
          <w:szCs w:val="24"/>
          <w:lang w:eastAsia="en-AU"/>
        </w:rPr>
        <w:t>:</w:t>
      </w:r>
      <w:r w:rsidR="00052FF6">
        <w:rPr>
          <w:szCs w:val="24"/>
          <w:lang w:eastAsia="en-AU"/>
        </w:rPr>
        <w:t xml:space="preserve"> </w:t>
      </w:r>
      <w:r w:rsidR="009C4D43">
        <w:rPr>
          <w:szCs w:val="24"/>
          <w:lang w:eastAsia="en-AU"/>
        </w:rPr>
        <w:t>A</w:t>
      </w:r>
      <w:r w:rsidR="00052FF6">
        <w:rPr>
          <w:szCs w:val="24"/>
          <w:lang w:eastAsia="en-AU"/>
        </w:rPr>
        <w:t xml:space="preserve"> conservation area was privately </w:t>
      </w:r>
      <w:r>
        <w:rPr>
          <w:szCs w:val="24"/>
          <w:lang w:eastAsia="en-AU"/>
        </w:rPr>
        <w:t>owne</w:t>
      </w:r>
      <w:r w:rsidR="00052FF6">
        <w:rPr>
          <w:szCs w:val="24"/>
          <w:lang w:eastAsia="en-AU"/>
        </w:rPr>
        <w:t>d for the first five years of its baseline period</w:t>
      </w:r>
      <w:r w:rsidR="009C4D43">
        <w:rPr>
          <w:szCs w:val="24"/>
          <w:lang w:eastAsia="en-AU"/>
        </w:rPr>
        <w:t>, and subsequently bought by the State as a conservation area</w:t>
      </w:r>
      <w:r w:rsidR="00052FF6">
        <w:rPr>
          <w:szCs w:val="24"/>
          <w:lang w:eastAsia="en-AU"/>
        </w:rPr>
        <w:t xml:space="preserve">. During year five of the </w:t>
      </w:r>
      <w:r>
        <w:rPr>
          <w:szCs w:val="24"/>
          <w:lang w:eastAsia="en-AU"/>
        </w:rPr>
        <w:t>baseline period t</w:t>
      </w:r>
      <w:r w:rsidR="00052FF6">
        <w:rPr>
          <w:szCs w:val="24"/>
          <w:lang w:eastAsia="en-AU"/>
        </w:rPr>
        <w:t xml:space="preserve">he area was mechanically cleared of all </w:t>
      </w:r>
      <w:r>
        <w:rPr>
          <w:szCs w:val="24"/>
          <w:lang w:eastAsia="en-AU"/>
        </w:rPr>
        <w:t>vegetation,</w:t>
      </w:r>
      <w:r w:rsidR="00052FF6">
        <w:rPr>
          <w:szCs w:val="24"/>
          <w:lang w:eastAsia="en-AU"/>
        </w:rPr>
        <w:t xml:space="preserve"> including native species. The area did not reach </w:t>
      </w:r>
      <w:r>
        <w:rPr>
          <w:szCs w:val="24"/>
          <w:lang w:eastAsia="en-AU"/>
        </w:rPr>
        <w:t>forest</w:t>
      </w:r>
      <w:r w:rsidR="00052FF6">
        <w:rPr>
          <w:szCs w:val="24"/>
          <w:lang w:eastAsia="en-AU"/>
        </w:rPr>
        <w:t xml:space="preserve"> cover at any point during its baseline period. As the area is </w:t>
      </w:r>
      <w:r>
        <w:rPr>
          <w:szCs w:val="24"/>
          <w:lang w:eastAsia="en-AU"/>
        </w:rPr>
        <w:t>conservation</w:t>
      </w:r>
      <w:r w:rsidR="00052FF6">
        <w:rPr>
          <w:szCs w:val="24"/>
          <w:lang w:eastAsia="en-AU"/>
        </w:rPr>
        <w:t xml:space="preserve"> land and </w:t>
      </w:r>
      <w:r>
        <w:rPr>
          <w:szCs w:val="24"/>
          <w:lang w:eastAsia="en-AU"/>
        </w:rPr>
        <w:t>mechanical</w:t>
      </w:r>
      <w:r w:rsidR="00052FF6">
        <w:rPr>
          <w:szCs w:val="24"/>
          <w:lang w:eastAsia="en-AU"/>
        </w:rPr>
        <w:t xml:space="preserve"> clearing </w:t>
      </w:r>
      <w:r>
        <w:rPr>
          <w:szCs w:val="24"/>
          <w:lang w:eastAsia="en-AU"/>
        </w:rPr>
        <w:t>of native</w:t>
      </w:r>
      <w:r w:rsidR="00052FF6">
        <w:rPr>
          <w:szCs w:val="24"/>
          <w:lang w:eastAsia="en-AU"/>
        </w:rPr>
        <w:t xml:space="preserve"> species </w:t>
      </w:r>
      <w:r>
        <w:rPr>
          <w:szCs w:val="24"/>
          <w:lang w:eastAsia="en-AU"/>
        </w:rPr>
        <w:t>contributed</w:t>
      </w:r>
      <w:r w:rsidR="00052FF6">
        <w:rPr>
          <w:szCs w:val="24"/>
          <w:lang w:eastAsia="en-AU"/>
        </w:rPr>
        <w:t xml:space="preserve"> to </w:t>
      </w:r>
      <w:r>
        <w:rPr>
          <w:szCs w:val="24"/>
          <w:lang w:eastAsia="en-AU"/>
        </w:rPr>
        <w:t>suppression</w:t>
      </w:r>
      <w:r w:rsidR="00052FF6">
        <w:rPr>
          <w:szCs w:val="24"/>
          <w:lang w:eastAsia="en-AU"/>
        </w:rPr>
        <w:t xml:space="preserve"> of forest cover during the baseline period, the area is not eligible land. </w:t>
      </w:r>
    </w:p>
    <w:p w:rsidR="00463354" w:rsidRDefault="00ED366C" w:rsidP="00B92DA2">
      <w:pPr>
        <w:autoSpaceDE w:val="0"/>
        <w:autoSpaceDN w:val="0"/>
        <w:adjustRightInd w:val="0"/>
        <w:spacing w:beforeLines="120" w:afterLines="120"/>
        <w:rPr>
          <w:szCs w:val="24"/>
          <w:lang w:eastAsia="en-AU"/>
        </w:rPr>
      </w:pPr>
      <w:r w:rsidRPr="009F2427">
        <w:rPr>
          <w:szCs w:val="24"/>
          <w:lang w:eastAsia="en-AU"/>
        </w:rPr>
        <w:t xml:space="preserve">The definition for ‘conservation land’ under section 3 does not extend to an area that is owned and managed privately for biodiversity conservation (referred to here as private conservation land). </w:t>
      </w:r>
      <w:r w:rsidR="00187F9A" w:rsidRPr="009F2427">
        <w:rPr>
          <w:szCs w:val="24"/>
          <w:lang w:eastAsia="en-AU"/>
        </w:rPr>
        <w:t xml:space="preserve">Private </w:t>
      </w:r>
      <w:r w:rsidR="0040095B" w:rsidRPr="009F2427">
        <w:rPr>
          <w:szCs w:val="24"/>
          <w:lang w:eastAsia="en-AU"/>
        </w:rPr>
        <w:t xml:space="preserve">conservation land </w:t>
      </w:r>
      <w:r w:rsidRPr="009F2427">
        <w:rPr>
          <w:szCs w:val="24"/>
          <w:lang w:eastAsia="en-AU"/>
        </w:rPr>
        <w:t xml:space="preserve">is not subject </w:t>
      </w:r>
      <w:r w:rsidR="00294C37" w:rsidRPr="009F2427">
        <w:rPr>
          <w:szCs w:val="24"/>
          <w:lang w:eastAsia="en-AU"/>
        </w:rPr>
        <w:t xml:space="preserve">to </w:t>
      </w:r>
      <w:r w:rsidR="0096158B" w:rsidRPr="009F2427">
        <w:rPr>
          <w:szCs w:val="24"/>
          <w:lang w:eastAsia="en-AU"/>
        </w:rPr>
        <w:t xml:space="preserve">restrictions on </w:t>
      </w:r>
      <w:r w:rsidR="00404594" w:rsidRPr="009F2427">
        <w:rPr>
          <w:szCs w:val="24"/>
          <w:lang w:eastAsia="en-AU"/>
        </w:rPr>
        <w:t>eligibility by</w:t>
      </w:r>
      <w:r w:rsidRPr="009F2427">
        <w:rPr>
          <w:szCs w:val="24"/>
          <w:lang w:eastAsia="en-AU"/>
        </w:rPr>
        <w:t xml:space="preserve"> section 4(1</w:t>
      </w:r>
      <w:proofErr w:type="gramStart"/>
      <w:r w:rsidRPr="009F2427">
        <w:rPr>
          <w:szCs w:val="24"/>
          <w:lang w:eastAsia="en-AU"/>
        </w:rPr>
        <w:t>)(</w:t>
      </w:r>
      <w:proofErr w:type="gramEnd"/>
      <w:r w:rsidR="0096158B" w:rsidRPr="009F2427">
        <w:rPr>
          <w:szCs w:val="24"/>
          <w:lang w:eastAsia="en-AU"/>
        </w:rPr>
        <w:t>b</w:t>
      </w:r>
      <w:r w:rsidRPr="009F2427">
        <w:rPr>
          <w:szCs w:val="24"/>
          <w:lang w:eastAsia="en-AU"/>
        </w:rPr>
        <w:t>) and s</w:t>
      </w:r>
      <w:r w:rsidR="005136E2" w:rsidRPr="009F2427">
        <w:rPr>
          <w:szCs w:val="24"/>
          <w:lang w:eastAsia="en-AU"/>
        </w:rPr>
        <w:t>ection</w:t>
      </w:r>
      <w:r w:rsidRPr="009F2427">
        <w:rPr>
          <w:szCs w:val="24"/>
          <w:lang w:eastAsia="en-AU"/>
        </w:rPr>
        <w:t xml:space="preserve"> 5(1)(a) of the </w:t>
      </w:r>
      <w:r w:rsidR="00DB735A">
        <w:rPr>
          <w:szCs w:val="24"/>
          <w:lang w:eastAsia="en-AU"/>
        </w:rPr>
        <w:t>varied D</w:t>
      </w:r>
      <w:r w:rsidRPr="009F2427">
        <w:rPr>
          <w:szCs w:val="24"/>
          <w:lang w:eastAsia="en-AU"/>
        </w:rPr>
        <w:t xml:space="preserve">etermination. However, </w:t>
      </w:r>
      <w:r w:rsidR="00CF6997">
        <w:rPr>
          <w:szCs w:val="24"/>
          <w:lang w:eastAsia="en-AU"/>
        </w:rPr>
        <w:t xml:space="preserve">on </w:t>
      </w:r>
      <w:r w:rsidRPr="009F2427">
        <w:rPr>
          <w:szCs w:val="24"/>
          <w:lang w:eastAsia="en-AU"/>
        </w:rPr>
        <w:t xml:space="preserve">private conservation land, as per any land </w:t>
      </w:r>
      <w:r w:rsidR="00D33CA0" w:rsidRPr="009F2427">
        <w:rPr>
          <w:szCs w:val="24"/>
          <w:lang w:eastAsia="en-AU"/>
        </w:rPr>
        <w:t>type, the</w:t>
      </w:r>
      <w:r w:rsidR="0040095B" w:rsidRPr="009F2427">
        <w:rPr>
          <w:szCs w:val="24"/>
          <w:lang w:eastAsia="en-AU"/>
        </w:rPr>
        <w:t xml:space="preserve"> particular mechanisms contributing to suppression of forest cover must </w:t>
      </w:r>
      <w:r w:rsidRPr="009F2427">
        <w:rPr>
          <w:szCs w:val="24"/>
          <w:lang w:eastAsia="en-AU"/>
        </w:rPr>
        <w:t xml:space="preserve">still meet the </w:t>
      </w:r>
      <w:proofErr w:type="spellStart"/>
      <w:r w:rsidRPr="009F2427">
        <w:rPr>
          <w:szCs w:val="24"/>
          <w:lang w:eastAsia="en-AU"/>
        </w:rPr>
        <w:t>additionality</w:t>
      </w:r>
      <w:proofErr w:type="spellEnd"/>
      <w:r w:rsidRPr="009F2427">
        <w:rPr>
          <w:szCs w:val="24"/>
          <w:lang w:eastAsia="en-AU"/>
        </w:rPr>
        <w:t xml:space="preserve"> requirements</w:t>
      </w:r>
      <w:r w:rsidR="00CF6997">
        <w:rPr>
          <w:szCs w:val="24"/>
          <w:lang w:eastAsia="en-AU"/>
        </w:rPr>
        <w:t xml:space="preserve"> </w:t>
      </w:r>
      <w:r w:rsidR="00FD740B">
        <w:rPr>
          <w:szCs w:val="24"/>
          <w:lang w:eastAsia="en-AU"/>
        </w:rPr>
        <w:t>i</w:t>
      </w:r>
      <w:r w:rsidR="00CF6997">
        <w:rPr>
          <w:szCs w:val="24"/>
          <w:lang w:eastAsia="en-AU"/>
        </w:rPr>
        <w:t>n the Act</w:t>
      </w:r>
      <w:r w:rsidRPr="009F2427">
        <w:rPr>
          <w:szCs w:val="24"/>
          <w:lang w:eastAsia="en-AU"/>
        </w:rPr>
        <w:t xml:space="preserve">, including the ‘newness requirement’ and the ‘regulatory </w:t>
      </w:r>
      <w:proofErr w:type="spellStart"/>
      <w:r w:rsidRPr="009F2427">
        <w:rPr>
          <w:szCs w:val="24"/>
          <w:lang w:eastAsia="en-AU"/>
        </w:rPr>
        <w:t>additionality</w:t>
      </w:r>
      <w:proofErr w:type="spellEnd"/>
      <w:r w:rsidRPr="009F2427">
        <w:rPr>
          <w:szCs w:val="24"/>
          <w:lang w:eastAsia="en-AU"/>
        </w:rPr>
        <w:t xml:space="preserve"> requirement’ (s</w:t>
      </w:r>
      <w:r w:rsidR="00F80D97">
        <w:rPr>
          <w:szCs w:val="24"/>
          <w:lang w:eastAsia="en-AU"/>
        </w:rPr>
        <w:t>ection</w:t>
      </w:r>
      <w:r w:rsidRPr="009F2427">
        <w:rPr>
          <w:szCs w:val="24"/>
          <w:lang w:eastAsia="en-AU"/>
        </w:rPr>
        <w:t xml:space="preserve"> 27 (4A))</w:t>
      </w:r>
      <w:r w:rsidR="0040095B" w:rsidRPr="009F2427">
        <w:rPr>
          <w:szCs w:val="24"/>
          <w:lang w:eastAsia="en-AU"/>
        </w:rPr>
        <w:t xml:space="preserve">. </w:t>
      </w:r>
      <w:r w:rsidR="00575D17" w:rsidRPr="009F2427">
        <w:rPr>
          <w:szCs w:val="24"/>
          <w:lang w:eastAsia="en-AU"/>
        </w:rPr>
        <w:t>E</w:t>
      </w:r>
      <w:r w:rsidR="0096158B" w:rsidRPr="009F2427">
        <w:rPr>
          <w:szCs w:val="24"/>
          <w:lang w:eastAsia="en-AU"/>
        </w:rPr>
        <w:t>l</w:t>
      </w:r>
      <w:r w:rsidR="00174989" w:rsidRPr="009F2427">
        <w:rPr>
          <w:szCs w:val="24"/>
          <w:lang w:eastAsia="en-AU"/>
        </w:rPr>
        <w:t>i</w:t>
      </w:r>
      <w:r w:rsidR="0096158B" w:rsidRPr="009F2427">
        <w:rPr>
          <w:szCs w:val="24"/>
          <w:lang w:eastAsia="en-AU"/>
        </w:rPr>
        <w:t xml:space="preserve">gible land must also meet the requirements of section 20A of the </w:t>
      </w:r>
      <w:r w:rsidR="00463354" w:rsidRPr="00463354">
        <w:rPr>
          <w:i/>
          <w:szCs w:val="24"/>
          <w:lang w:eastAsia="en-AU"/>
        </w:rPr>
        <w:t>Carbon Credits (Carbon Farming Initiative) Rule 2015</w:t>
      </w:r>
      <w:r w:rsidR="0096158B" w:rsidRPr="009F2427">
        <w:rPr>
          <w:szCs w:val="24"/>
          <w:lang w:eastAsia="en-AU"/>
        </w:rPr>
        <w:t xml:space="preserve"> (the Rule) that a project area is not used to meet an obligation under a </w:t>
      </w:r>
      <w:r w:rsidR="00BC2966" w:rsidRPr="009F2427">
        <w:rPr>
          <w:szCs w:val="24"/>
          <w:lang w:eastAsia="en-AU"/>
        </w:rPr>
        <w:t xml:space="preserve"> </w:t>
      </w:r>
      <w:r w:rsidR="0096158B" w:rsidRPr="009F2427">
        <w:rPr>
          <w:szCs w:val="24"/>
          <w:lang w:eastAsia="en-AU"/>
        </w:rPr>
        <w:t>Commonwealth, State or Territory law to offset o</w:t>
      </w:r>
      <w:r w:rsidR="00CF6997">
        <w:rPr>
          <w:szCs w:val="24"/>
          <w:lang w:eastAsia="en-AU"/>
        </w:rPr>
        <w:t>r</w:t>
      </w:r>
      <w:r w:rsidR="0096158B" w:rsidRPr="009F2427">
        <w:rPr>
          <w:szCs w:val="24"/>
          <w:lang w:eastAsia="en-AU"/>
        </w:rPr>
        <w:t xml:space="preserve"> compensate for the adverse impact of an action on vegetation.</w:t>
      </w:r>
    </w:p>
    <w:p w:rsidR="00974E3D" w:rsidRDefault="00131FCE">
      <w:pPr>
        <w:pStyle w:val="tPara"/>
        <w:ind w:left="0" w:firstLine="0"/>
        <w:rPr>
          <w:rFonts w:eastAsia="Calibri"/>
        </w:rPr>
      </w:pPr>
      <w:r w:rsidRPr="00131FCE">
        <w:rPr>
          <w:rFonts w:eastAsia="Calibri"/>
        </w:rPr>
        <w:t xml:space="preserve">Land is only eligible where it is reasonable to expect </w:t>
      </w:r>
      <w:r w:rsidR="00852E5A" w:rsidRPr="002735E9">
        <w:rPr>
          <w:rFonts w:eastAsia="Calibri"/>
        </w:rPr>
        <w:t>that it</w:t>
      </w:r>
      <w:r w:rsidRPr="00131FCE">
        <w:rPr>
          <w:rFonts w:eastAsia="Calibri"/>
        </w:rPr>
        <w:t xml:space="preserve"> would be necessary to undertake one or more HIR activities on the land in order for it to attain forest cover.</w:t>
      </w:r>
    </w:p>
    <w:p w:rsidR="00463354" w:rsidRDefault="00F75616" w:rsidP="00B92DA2">
      <w:pPr>
        <w:autoSpaceDE w:val="0"/>
        <w:autoSpaceDN w:val="0"/>
        <w:adjustRightInd w:val="0"/>
        <w:spacing w:beforeLines="120" w:afterLines="120"/>
        <w:rPr>
          <w:szCs w:val="24"/>
          <w:lang w:eastAsia="en-AU"/>
        </w:rPr>
      </w:pPr>
      <w:r w:rsidRPr="009F2427">
        <w:rPr>
          <w:szCs w:val="24"/>
          <w:lang w:eastAsia="en-AU"/>
        </w:rPr>
        <w:t>Eligible land is thus one in which human intervention would be necessary to reduce the suppression mechanisms in order to enable regeneration of native forest such that it meets forest cover</w:t>
      </w:r>
      <w:r w:rsidR="00852E5A" w:rsidRPr="009F2427">
        <w:rPr>
          <w:szCs w:val="24"/>
          <w:lang w:eastAsia="en-AU"/>
        </w:rPr>
        <w:t>.</w:t>
      </w:r>
    </w:p>
    <w:p w:rsidR="00463354" w:rsidRDefault="002A7CD3" w:rsidP="00B92DA2">
      <w:pPr>
        <w:autoSpaceDE w:val="0"/>
        <w:autoSpaceDN w:val="0"/>
        <w:adjustRightInd w:val="0"/>
        <w:spacing w:beforeLines="120" w:afterLines="120"/>
        <w:rPr>
          <w:szCs w:val="24"/>
          <w:lang w:eastAsia="en-AU"/>
        </w:rPr>
      </w:pPr>
      <w:r>
        <w:rPr>
          <w:szCs w:val="24"/>
          <w:lang w:eastAsia="en-AU"/>
        </w:rPr>
        <w:t>E</w:t>
      </w:r>
      <w:r w:rsidRPr="009F2427">
        <w:rPr>
          <w:szCs w:val="24"/>
          <w:lang w:eastAsia="en-AU"/>
        </w:rPr>
        <w:t>xample</w:t>
      </w:r>
      <w:r>
        <w:rPr>
          <w:szCs w:val="24"/>
          <w:lang w:eastAsia="en-AU"/>
        </w:rPr>
        <w:t xml:space="preserve"> 1</w:t>
      </w:r>
      <w:r w:rsidR="00FD740B">
        <w:rPr>
          <w:szCs w:val="24"/>
          <w:lang w:eastAsia="en-AU"/>
        </w:rPr>
        <w:t>: T</w:t>
      </w:r>
      <w:r w:rsidRPr="009F2427">
        <w:rPr>
          <w:szCs w:val="24"/>
          <w:lang w:eastAsia="en-AU"/>
        </w:rPr>
        <w:t xml:space="preserve">he removal of a single goat from an area is an HIR activity; however it is not reasonable to expect that </w:t>
      </w:r>
      <w:r w:rsidR="00535D29">
        <w:rPr>
          <w:szCs w:val="24"/>
          <w:lang w:eastAsia="en-AU"/>
        </w:rPr>
        <w:t xml:space="preserve">the </w:t>
      </w:r>
      <w:r w:rsidRPr="009F2427">
        <w:rPr>
          <w:szCs w:val="24"/>
          <w:lang w:eastAsia="en-AU"/>
        </w:rPr>
        <w:t xml:space="preserve">existence of a single goat would prevent the land from reaching forest cover. </w:t>
      </w:r>
    </w:p>
    <w:p w:rsidR="00463354" w:rsidRDefault="002A7CD3" w:rsidP="00B92DA2">
      <w:pPr>
        <w:autoSpaceDE w:val="0"/>
        <w:autoSpaceDN w:val="0"/>
        <w:adjustRightInd w:val="0"/>
        <w:spacing w:beforeLines="120" w:afterLines="120"/>
        <w:rPr>
          <w:szCs w:val="24"/>
          <w:lang w:eastAsia="en-AU"/>
        </w:rPr>
      </w:pPr>
      <w:r>
        <w:rPr>
          <w:szCs w:val="24"/>
          <w:lang w:eastAsia="en-AU"/>
        </w:rPr>
        <w:t>Example 2</w:t>
      </w:r>
      <w:r w:rsidR="00FD740B">
        <w:rPr>
          <w:szCs w:val="24"/>
          <w:lang w:eastAsia="en-AU"/>
        </w:rPr>
        <w:t>: I</w:t>
      </w:r>
      <w:r>
        <w:rPr>
          <w:szCs w:val="24"/>
          <w:lang w:eastAsia="en-AU"/>
        </w:rPr>
        <w:t xml:space="preserve">f forest cover was suppressed over the last ten years (the baseline period) but this was principally due to drought, and it could be reasonably expected that the drought would break and forest cover would regenerate without human intervention, than the project would not be eligible. </w:t>
      </w:r>
    </w:p>
    <w:p w:rsidR="00463354" w:rsidRDefault="00704B28" w:rsidP="00B92DA2">
      <w:pPr>
        <w:spacing w:beforeLines="120" w:afterLines="120"/>
        <w:rPr>
          <w:szCs w:val="24"/>
        </w:rPr>
      </w:pPr>
      <w:r w:rsidRPr="009F2427">
        <w:rPr>
          <w:szCs w:val="24"/>
          <w:lang w:eastAsia="en-AU"/>
        </w:rPr>
        <w:t>Subsection (</w:t>
      </w:r>
      <w:r w:rsidR="002A7CD3">
        <w:rPr>
          <w:szCs w:val="24"/>
          <w:lang w:eastAsia="en-AU"/>
        </w:rPr>
        <w:t>3</w:t>
      </w:r>
      <w:r w:rsidRPr="009F2427">
        <w:rPr>
          <w:szCs w:val="24"/>
          <w:lang w:eastAsia="en-AU"/>
        </w:rPr>
        <w:t>) defines the ‘</w:t>
      </w:r>
      <w:r w:rsidR="005331C6" w:rsidRPr="009F2427">
        <w:rPr>
          <w:szCs w:val="24"/>
          <w:lang w:eastAsia="en-AU"/>
        </w:rPr>
        <w:t>baseline period’, which is used when assessing whether a particular area of land is or is not ‘eligible land’.</w:t>
      </w:r>
      <w:r w:rsidR="0045329F" w:rsidRPr="009F2427">
        <w:rPr>
          <w:szCs w:val="24"/>
          <w:lang w:eastAsia="en-AU"/>
        </w:rPr>
        <w:t xml:space="preserve"> Baseline period </w:t>
      </w:r>
      <w:r w:rsidR="0045329F" w:rsidRPr="009F2427">
        <w:rPr>
          <w:szCs w:val="24"/>
        </w:rPr>
        <w:t>has a different meaning depending on when and how the land was included in the project area:</w:t>
      </w:r>
    </w:p>
    <w:p w:rsidR="00463354" w:rsidRDefault="0045329F" w:rsidP="00B92DA2">
      <w:pPr>
        <w:pStyle w:val="ListParagraph"/>
        <w:numPr>
          <w:ilvl w:val="0"/>
          <w:numId w:val="4"/>
        </w:numPr>
        <w:spacing w:beforeLines="120" w:afterLines="120"/>
        <w:rPr>
          <w:szCs w:val="24"/>
        </w:rPr>
      </w:pPr>
      <w:r w:rsidRPr="009F2427">
        <w:rPr>
          <w:szCs w:val="24"/>
        </w:rPr>
        <w:t>if the land was identified as part of the project area at the time the project was registered, the baseline period is the 10-</w:t>
      </w:r>
      <w:r w:rsidR="0010154E" w:rsidRPr="009F2427">
        <w:rPr>
          <w:szCs w:val="24"/>
        </w:rPr>
        <w:t xml:space="preserve">year </w:t>
      </w:r>
      <w:r w:rsidRPr="009F2427">
        <w:rPr>
          <w:szCs w:val="24"/>
        </w:rPr>
        <w:t>period ending on the date that the proponent submitted their application for registration to the Regulator; and</w:t>
      </w:r>
    </w:p>
    <w:p w:rsidR="00F71D07" w:rsidRPr="00C03506" w:rsidRDefault="0045329F" w:rsidP="00B92DA2">
      <w:pPr>
        <w:pStyle w:val="ListParagraph"/>
        <w:numPr>
          <w:ilvl w:val="0"/>
          <w:numId w:val="4"/>
        </w:numPr>
        <w:spacing w:beforeLines="120" w:afterLines="120"/>
        <w:rPr>
          <w:szCs w:val="24"/>
        </w:rPr>
      </w:pPr>
      <w:proofErr w:type="gramStart"/>
      <w:r w:rsidRPr="009F2427">
        <w:rPr>
          <w:szCs w:val="24"/>
        </w:rPr>
        <w:t>if</w:t>
      </w:r>
      <w:proofErr w:type="gramEnd"/>
      <w:r w:rsidRPr="009F2427">
        <w:rPr>
          <w:szCs w:val="24"/>
        </w:rPr>
        <w:t xml:space="preserve"> the land was added to the project area later, through a variation in the project area, the baseline period is the 10-year period ending on the date that the proponent submitted the relevant application to vary the project area to the Regulator.</w:t>
      </w:r>
    </w:p>
    <w:p w:rsidR="00E5137B" w:rsidRPr="00A92016" w:rsidRDefault="00B0011E" w:rsidP="001B5684">
      <w:pPr>
        <w:pStyle w:val="Heading4"/>
        <w:rPr>
          <w:color w:val="000000" w:themeColor="text1"/>
        </w:rPr>
      </w:pPr>
      <w:r>
        <w:rPr>
          <w:color w:val="000000" w:themeColor="text1"/>
        </w:rPr>
        <w:t>5.</w:t>
      </w:r>
      <w:r w:rsidR="00704B28" w:rsidRPr="009045D7">
        <w:rPr>
          <w:color w:val="000000" w:themeColor="text1"/>
        </w:rPr>
        <w:tab/>
      </w:r>
      <w:r w:rsidR="00704B28" w:rsidRPr="00704B28">
        <w:rPr>
          <w:color w:val="000000" w:themeColor="text1"/>
        </w:rPr>
        <w:t xml:space="preserve">Meaning of </w:t>
      </w:r>
      <w:r w:rsidR="00704B28" w:rsidRPr="00704B28">
        <w:rPr>
          <w:i/>
          <w:color w:val="000000" w:themeColor="text1"/>
        </w:rPr>
        <w:t xml:space="preserve">eligible land </w:t>
      </w:r>
      <w:r w:rsidR="00704B28" w:rsidRPr="00704B28">
        <w:rPr>
          <w:color w:val="000000" w:themeColor="text1"/>
        </w:rPr>
        <w:t xml:space="preserve">and </w:t>
      </w:r>
      <w:r w:rsidR="00704B28" w:rsidRPr="00704B28">
        <w:rPr>
          <w:i/>
          <w:color w:val="000000" w:themeColor="text1"/>
        </w:rPr>
        <w:t>baseline period</w:t>
      </w:r>
      <w:r w:rsidR="00704B28" w:rsidRPr="00704B28">
        <w:rPr>
          <w:color w:val="000000" w:themeColor="text1"/>
        </w:rPr>
        <w:t>—transferring projects and land</w:t>
      </w:r>
    </w:p>
    <w:p w:rsidR="00381439" w:rsidRPr="009F2427" w:rsidRDefault="005331C6" w:rsidP="00FF1982">
      <w:pPr>
        <w:autoSpaceDE w:val="0"/>
        <w:autoSpaceDN w:val="0"/>
        <w:adjustRightInd w:val="0"/>
        <w:spacing w:before="120" w:after="120"/>
        <w:rPr>
          <w:szCs w:val="24"/>
          <w:lang w:eastAsia="en-AU"/>
        </w:rPr>
      </w:pPr>
      <w:r w:rsidRPr="009F2427">
        <w:rPr>
          <w:szCs w:val="24"/>
          <w:lang w:eastAsia="en-AU"/>
        </w:rPr>
        <w:t xml:space="preserve">This section sets out rules for determining whether a particular area of land is ‘eligible land’ in </w:t>
      </w:r>
      <w:r w:rsidR="00381439" w:rsidRPr="009F2427">
        <w:rPr>
          <w:szCs w:val="24"/>
          <w:lang w:eastAsia="en-AU"/>
        </w:rPr>
        <w:t xml:space="preserve">two </w:t>
      </w:r>
      <w:r w:rsidR="00515F04" w:rsidRPr="009F2427">
        <w:rPr>
          <w:szCs w:val="24"/>
          <w:lang w:eastAsia="en-AU"/>
        </w:rPr>
        <w:t xml:space="preserve">special </w:t>
      </w:r>
      <w:r w:rsidR="00381439" w:rsidRPr="009F2427">
        <w:rPr>
          <w:szCs w:val="24"/>
          <w:lang w:eastAsia="en-AU"/>
        </w:rPr>
        <w:t>cases:</w:t>
      </w:r>
    </w:p>
    <w:p w:rsidR="00515F04" w:rsidRPr="009F2427" w:rsidRDefault="005331C6" w:rsidP="00FF1982">
      <w:pPr>
        <w:pStyle w:val="ListParagraph"/>
        <w:numPr>
          <w:ilvl w:val="0"/>
          <w:numId w:val="4"/>
        </w:numPr>
        <w:autoSpaceDE w:val="0"/>
        <w:autoSpaceDN w:val="0"/>
        <w:adjustRightInd w:val="0"/>
        <w:spacing w:after="120"/>
        <w:rPr>
          <w:szCs w:val="24"/>
          <w:lang w:eastAsia="en-AU"/>
        </w:rPr>
      </w:pPr>
      <w:r w:rsidRPr="009F2427">
        <w:rPr>
          <w:szCs w:val="24"/>
          <w:lang w:eastAsia="en-AU"/>
        </w:rPr>
        <w:t>a project that is transferring onto the varied Determination</w:t>
      </w:r>
      <w:r w:rsidR="00515F04" w:rsidRPr="009F2427">
        <w:rPr>
          <w:szCs w:val="24"/>
          <w:lang w:eastAsia="en-AU"/>
        </w:rPr>
        <w:t xml:space="preserve"> </w:t>
      </w:r>
      <w:r w:rsidR="00325157" w:rsidRPr="009F2427">
        <w:rPr>
          <w:szCs w:val="24"/>
          <w:lang w:eastAsia="en-AU"/>
        </w:rPr>
        <w:t>by means of the process set out in sections 128 to 130 of the Act</w:t>
      </w:r>
      <w:r w:rsidR="00381439" w:rsidRPr="009F2427">
        <w:rPr>
          <w:szCs w:val="24"/>
          <w:lang w:eastAsia="en-AU"/>
        </w:rPr>
        <w:t xml:space="preserve">; </w:t>
      </w:r>
      <w:r w:rsidR="00325157" w:rsidRPr="009F2427">
        <w:rPr>
          <w:szCs w:val="24"/>
          <w:lang w:eastAsia="en-AU"/>
        </w:rPr>
        <w:t xml:space="preserve">and </w:t>
      </w:r>
    </w:p>
    <w:p w:rsidR="00381439" w:rsidRPr="009F2427" w:rsidRDefault="00325157" w:rsidP="00FF1982">
      <w:pPr>
        <w:pStyle w:val="ListParagraph"/>
        <w:numPr>
          <w:ilvl w:val="0"/>
          <w:numId w:val="4"/>
        </w:numPr>
        <w:autoSpaceDE w:val="0"/>
        <w:autoSpaceDN w:val="0"/>
        <w:adjustRightInd w:val="0"/>
        <w:spacing w:after="120"/>
        <w:rPr>
          <w:szCs w:val="24"/>
          <w:lang w:eastAsia="en-AU"/>
        </w:rPr>
      </w:pPr>
      <w:proofErr w:type="gramStart"/>
      <w:r w:rsidRPr="009F2427">
        <w:rPr>
          <w:szCs w:val="24"/>
          <w:lang w:eastAsia="en-AU"/>
        </w:rPr>
        <w:t>land</w:t>
      </w:r>
      <w:proofErr w:type="gramEnd"/>
      <w:r w:rsidRPr="009F2427">
        <w:rPr>
          <w:szCs w:val="24"/>
          <w:lang w:eastAsia="en-AU"/>
        </w:rPr>
        <w:t xml:space="preserve"> that is being moved from a project that is covered by another relevant methodology determination to an HIR project that is covered by the varied Determination. </w:t>
      </w:r>
    </w:p>
    <w:p w:rsidR="00595442" w:rsidRPr="009F2427" w:rsidRDefault="00D15A12" w:rsidP="00FF1982">
      <w:pPr>
        <w:spacing w:before="120" w:after="120"/>
        <w:rPr>
          <w:szCs w:val="24"/>
          <w:lang w:eastAsia="en-AU"/>
        </w:rPr>
      </w:pPr>
      <w:r w:rsidRPr="009F2427">
        <w:rPr>
          <w:szCs w:val="24"/>
          <w:lang w:eastAsia="en-AU"/>
        </w:rPr>
        <w:t xml:space="preserve">The intention of this provision is that, if </w:t>
      </w:r>
      <w:r w:rsidR="009A59BA" w:rsidRPr="009F2427">
        <w:rPr>
          <w:szCs w:val="24"/>
          <w:lang w:eastAsia="en-AU"/>
        </w:rPr>
        <w:t>the</w:t>
      </w:r>
      <w:r w:rsidRPr="009F2427">
        <w:rPr>
          <w:szCs w:val="24"/>
          <w:lang w:eastAsia="en-AU"/>
        </w:rPr>
        <w:t xml:space="preserve"> land </w:t>
      </w:r>
      <w:r w:rsidR="009A59BA" w:rsidRPr="009F2427">
        <w:rPr>
          <w:szCs w:val="24"/>
          <w:lang w:eastAsia="en-AU"/>
        </w:rPr>
        <w:t xml:space="preserve">was stratified </w:t>
      </w:r>
      <w:r w:rsidRPr="009F2427">
        <w:rPr>
          <w:szCs w:val="24"/>
          <w:lang w:eastAsia="en-AU"/>
        </w:rPr>
        <w:t xml:space="preserve">as a CEA under the determination that previously applied to the relevant project, it will be possible to stratify the land as a CEA under the HIR project for which the varied Determination is the applicable methodology determination. </w:t>
      </w:r>
      <w:bookmarkStart w:id="0" w:name="_GoBack"/>
      <w:bookmarkEnd w:id="0"/>
    </w:p>
    <w:p w:rsidR="00595442" w:rsidRPr="009F2427" w:rsidRDefault="00513F7D" w:rsidP="00FF1982">
      <w:pPr>
        <w:autoSpaceDE w:val="0"/>
        <w:autoSpaceDN w:val="0"/>
        <w:adjustRightInd w:val="0"/>
        <w:spacing w:before="120" w:after="120"/>
        <w:rPr>
          <w:szCs w:val="24"/>
          <w:lang w:eastAsia="en-AU"/>
        </w:rPr>
      </w:pPr>
      <w:r w:rsidRPr="009F2427">
        <w:rPr>
          <w:szCs w:val="24"/>
        </w:rPr>
        <w:t>To achieve this, s</w:t>
      </w:r>
      <w:r w:rsidR="00760036" w:rsidRPr="009F2427">
        <w:rPr>
          <w:szCs w:val="24"/>
        </w:rPr>
        <w:t xml:space="preserve">eparate provisions are included for </w:t>
      </w:r>
      <w:r w:rsidR="006F10E6" w:rsidRPr="009F2427">
        <w:rPr>
          <w:szCs w:val="24"/>
        </w:rPr>
        <w:t xml:space="preserve">the </w:t>
      </w:r>
      <w:r w:rsidR="006F10E6" w:rsidRPr="009F2427">
        <w:rPr>
          <w:i/>
          <w:szCs w:val="24"/>
        </w:rPr>
        <w:t>Carbon Credits (Carbon Farming Initiative) (Native Forest from Managed Regrowth) Methodology Determination 2013</w:t>
      </w:r>
      <w:r w:rsidR="006F10E6" w:rsidRPr="009F2427">
        <w:rPr>
          <w:szCs w:val="24"/>
          <w:lang w:eastAsia="en-AU"/>
        </w:rPr>
        <w:t xml:space="preserve"> (</w:t>
      </w:r>
      <w:r w:rsidR="00F97B2D" w:rsidRPr="009F2427">
        <w:rPr>
          <w:b/>
          <w:i/>
          <w:szCs w:val="24"/>
          <w:lang w:eastAsia="en-AU"/>
        </w:rPr>
        <w:t>NF</w:t>
      </w:r>
      <w:r w:rsidR="006F10E6" w:rsidRPr="009F2427">
        <w:rPr>
          <w:b/>
          <w:i/>
          <w:szCs w:val="24"/>
          <w:lang w:eastAsia="en-AU"/>
        </w:rPr>
        <w:t>MR Determination</w:t>
      </w:r>
      <w:r w:rsidR="006F10E6" w:rsidRPr="009F2427">
        <w:rPr>
          <w:i/>
          <w:szCs w:val="24"/>
          <w:lang w:eastAsia="en-AU"/>
        </w:rPr>
        <w:t xml:space="preserve">) </w:t>
      </w:r>
      <w:r w:rsidR="006F10E6" w:rsidRPr="009F2427">
        <w:rPr>
          <w:szCs w:val="24"/>
          <w:lang w:eastAsia="en-AU"/>
        </w:rPr>
        <w:t xml:space="preserve">and </w:t>
      </w:r>
      <w:r w:rsidR="00462E3D" w:rsidRPr="009F2427">
        <w:rPr>
          <w:szCs w:val="24"/>
          <w:lang w:eastAsia="en-AU"/>
        </w:rPr>
        <w:t xml:space="preserve">the </w:t>
      </w:r>
      <w:r w:rsidR="00462E3D" w:rsidRPr="009F2427">
        <w:rPr>
          <w:b/>
          <w:i/>
          <w:szCs w:val="24"/>
          <w:lang w:eastAsia="en-AU"/>
        </w:rPr>
        <w:t>HIR Determination</w:t>
      </w:r>
      <w:r w:rsidR="006F10E6" w:rsidRPr="009F2427">
        <w:rPr>
          <w:szCs w:val="24"/>
          <w:lang w:eastAsia="en-AU"/>
        </w:rPr>
        <w:t xml:space="preserve">. </w:t>
      </w:r>
      <w:r w:rsidR="00E9143D" w:rsidRPr="009F2427">
        <w:rPr>
          <w:szCs w:val="24"/>
          <w:lang w:eastAsia="en-AU"/>
        </w:rPr>
        <w:t>‘</w:t>
      </w:r>
      <w:r w:rsidR="00CD2945" w:rsidRPr="009F2427">
        <w:rPr>
          <w:szCs w:val="24"/>
          <w:lang w:eastAsia="en-AU"/>
        </w:rPr>
        <w:t>HIR Determination</w:t>
      </w:r>
      <w:r w:rsidR="00E9143D" w:rsidRPr="009F2427">
        <w:rPr>
          <w:szCs w:val="24"/>
          <w:lang w:eastAsia="en-AU"/>
        </w:rPr>
        <w:t>’</w:t>
      </w:r>
      <w:r w:rsidR="00084DA7" w:rsidRPr="009F2427">
        <w:rPr>
          <w:szCs w:val="24"/>
          <w:lang w:eastAsia="en-AU"/>
        </w:rPr>
        <w:t xml:space="preserve"> is defined to include all versions of the </w:t>
      </w:r>
      <w:r w:rsidR="00084DA7" w:rsidRPr="009F2427">
        <w:rPr>
          <w:i/>
          <w:szCs w:val="24"/>
        </w:rPr>
        <w:t>Carbon Credits (Carbon Farming Initiative) (Human-Induced Regeneration of a Permanent Even-Aged Native Forest—1.1) Methodology Determination 2013</w:t>
      </w:r>
      <w:r w:rsidR="00084DA7" w:rsidRPr="009F2427">
        <w:rPr>
          <w:szCs w:val="24"/>
        </w:rPr>
        <w:t xml:space="preserve"> as well as an earlier hu</w:t>
      </w:r>
      <w:r w:rsidR="00E9143D" w:rsidRPr="009F2427">
        <w:rPr>
          <w:szCs w:val="24"/>
        </w:rPr>
        <w:t>man-induced regeneration method</w:t>
      </w:r>
      <w:r w:rsidR="00084DA7" w:rsidRPr="009F2427">
        <w:rPr>
          <w:szCs w:val="24"/>
        </w:rPr>
        <w:t xml:space="preserve">, the </w:t>
      </w:r>
      <w:r w:rsidR="00084DA7" w:rsidRPr="009F2427">
        <w:rPr>
          <w:i/>
          <w:szCs w:val="24"/>
        </w:rPr>
        <w:t>Carbon Credits (Carbon Farming Initiative) (Human-Induced Regeneration of a Permanent Even-Aged Native Forest) Methodology Determination 2013</w:t>
      </w:r>
      <w:r w:rsidR="00084DA7" w:rsidRPr="009F2427">
        <w:rPr>
          <w:szCs w:val="24"/>
        </w:rPr>
        <w:t>.</w:t>
      </w:r>
      <w:r w:rsidR="00084DA7" w:rsidRPr="009F2427">
        <w:rPr>
          <w:szCs w:val="24"/>
          <w:lang w:eastAsia="en-AU"/>
        </w:rPr>
        <w:t xml:space="preserve"> </w:t>
      </w:r>
    </w:p>
    <w:p w:rsidR="00595442" w:rsidRPr="009F2427" w:rsidRDefault="009A59BA" w:rsidP="00FF1982">
      <w:pPr>
        <w:autoSpaceDE w:val="0"/>
        <w:autoSpaceDN w:val="0"/>
        <w:adjustRightInd w:val="0"/>
        <w:spacing w:before="120" w:after="120"/>
        <w:rPr>
          <w:szCs w:val="24"/>
          <w:lang w:eastAsia="en-AU"/>
        </w:rPr>
      </w:pPr>
      <w:r w:rsidRPr="009F2427">
        <w:rPr>
          <w:szCs w:val="24"/>
          <w:lang w:eastAsia="en-AU"/>
        </w:rPr>
        <w:t xml:space="preserve">Subsection (1) </w:t>
      </w:r>
      <w:r w:rsidR="00462E3D" w:rsidRPr="009F2427">
        <w:rPr>
          <w:szCs w:val="24"/>
          <w:lang w:eastAsia="en-AU"/>
        </w:rPr>
        <w:t>applies</w:t>
      </w:r>
      <w:r w:rsidRPr="009F2427">
        <w:rPr>
          <w:szCs w:val="24"/>
          <w:lang w:eastAsia="en-AU"/>
        </w:rPr>
        <w:t xml:space="preserve"> </w:t>
      </w:r>
      <w:r w:rsidR="00A211E9" w:rsidRPr="009F2427">
        <w:rPr>
          <w:szCs w:val="24"/>
          <w:lang w:eastAsia="en-AU"/>
        </w:rPr>
        <w:t xml:space="preserve">both </w:t>
      </w:r>
      <w:r w:rsidRPr="009F2427">
        <w:rPr>
          <w:szCs w:val="24"/>
          <w:lang w:eastAsia="en-AU"/>
        </w:rPr>
        <w:t xml:space="preserve">to </w:t>
      </w:r>
      <w:r w:rsidR="00CD2945" w:rsidRPr="009F2427">
        <w:rPr>
          <w:szCs w:val="24"/>
          <w:lang w:eastAsia="en-AU"/>
        </w:rPr>
        <w:t xml:space="preserve">projects transferring from the NFMR Determination and to </w:t>
      </w:r>
      <w:r w:rsidRPr="009F2427">
        <w:rPr>
          <w:szCs w:val="24"/>
          <w:lang w:eastAsia="en-AU"/>
        </w:rPr>
        <w:t>land transferring from a</w:t>
      </w:r>
      <w:r w:rsidR="006F10E6" w:rsidRPr="009F2427">
        <w:rPr>
          <w:szCs w:val="24"/>
          <w:lang w:eastAsia="en-AU"/>
        </w:rPr>
        <w:t xml:space="preserve"> project operating under the NFMR Determination. It provides that land that was stratified as a CEA under an NFMR project</w:t>
      </w:r>
      <w:r w:rsidR="00462E3D" w:rsidRPr="009F2427">
        <w:rPr>
          <w:szCs w:val="24"/>
          <w:lang w:eastAsia="en-AU"/>
        </w:rPr>
        <w:t xml:space="preserve"> is eligible land under the varied Determination, as long as the land is not conservation land and the CEA was reported on when it was covered by </w:t>
      </w:r>
      <w:r w:rsidR="00273BDB" w:rsidRPr="009F2427">
        <w:rPr>
          <w:szCs w:val="24"/>
          <w:lang w:eastAsia="en-AU"/>
        </w:rPr>
        <w:t xml:space="preserve">the </w:t>
      </w:r>
      <w:r w:rsidR="00462E3D" w:rsidRPr="009F2427">
        <w:rPr>
          <w:szCs w:val="24"/>
          <w:lang w:eastAsia="en-AU"/>
        </w:rPr>
        <w:t>NFMR</w:t>
      </w:r>
      <w:r w:rsidR="00273BDB" w:rsidRPr="009F2427">
        <w:rPr>
          <w:szCs w:val="24"/>
          <w:lang w:eastAsia="en-AU"/>
        </w:rPr>
        <w:t xml:space="preserve"> Determination</w:t>
      </w:r>
      <w:r w:rsidR="00462E3D" w:rsidRPr="009F2427">
        <w:rPr>
          <w:szCs w:val="24"/>
          <w:lang w:eastAsia="en-AU"/>
        </w:rPr>
        <w:t>.</w:t>
      </w:r>
      <w:r w:rsidR="00273BDB" w:rsidRPr="009F2427">
        <w:rPr>
          <w:szCs w:val="24"/>
          <w:lang w:eastAsia="en-AU"/>
        </w:rPr>
        <w:t xml:space="preserve"> </w:t>
      </w:r>
    </w:p>
    <w:p w:rsidR="00462E3D" w:rsidRPr="009F2427" w:rsidRDefault="00462E3D" w:rsidP="00FF1982">
      <w:pPr>
        <w:autoSpaceDE w:val="0"/>
        <w:autoSpaceDN w:val="0"/>
        <w:adjustRightInd w:val="0"/>
        <w:spacing w:before="120" w:after="120"/>
        <w:rPr>
          <w:szCs w:val="24"/>
          <w:lang w:eastAsia="en-AU"/>
        </w:rPr>
      </w:pPr>
      <w:r w:rsidRPr="009F2427">
        <w:rPr>
          <w:szCs w:val="24"/>
          <w:lang w:eastAsia="en-AU"/>
        </w:rPr>
        <w:t xml:space="preserve">Subsection (2) applies to projects transferring from earlier versions of the HIR Determination.  It provides that for these projects, the baseline period for an area of land is the baseline period that applied under the former determination. Similarly, subsection (3) provides that the definition of baseline period is the same as applied under the former determination for land transferring from another project covered by </w:t>
      </w:r>
      <w:r w:rsidR="00084DA7" w:rsidRPr="009F2427">
        <w:rPr>
          <w:szCs w:val="24"/>
          <w:lang w:eastAsia="en-AU"/>
        </w:rPr>
        <w:t>an</w:t>
      </w:r>
      <w:r w:rsidRPr="009F2427">
        <w:rPr>
          <w:szCs w:val="24"/>
          <w:lang w:eastAsia="en-AU"/>
        </w:rPr>
        <w:t xml:space="preserve"> HIR Determination.</w:t>
      </w:r>
    </w:p>
    <w:p w:rsidR="007F7F8F" w:rsidRPr="009F2427" w:rsidRDefault="007F7F8F" w:rsidP="00FF1982">
      <w:pPr>
        <w:autoSpaceDE w:val="0"/>
        <w:autoSpaceDN w:val="0"/>
        <w:adjustRightInd w:val="0"/>
        <w:spacing w:before="120" w:after="120"/>
        <w:rPr>
          <w:szCs w:val="24"/>
          <w:lang w:eastAsia="en-AU"/>
        </w:rPr>
      </w:pPr>
      <w:r w:rsidRPr="009F2427">
        <w:rPr>
          <w:szCs w:val="24"/>
          <w:lang w:eastAsia="en-AU"/>
        </w:rPr>
        <w:t>Further requirements for transferring projects are outlined in section 13</w:t>
      </w:r>
      <w:r w:rsidR="00C03506">
        <w:rPr>
          <w:szCs w:val="24"/>
          <w:lang w:eastAsia="en-AU"/>
        </w:rPr>
        <w:t xml:space="preserve"> including the need to have submitted an offsets report for any transferring CEA.</w:t>
      </w:r>
    </w:p>
    <w:p w:rsidR="00766B2A" w:rsidRPr="009F2427" w:rsidRDefault="00B0011E" w:rsidP="001B5684">
      <w:pPr>
        <w:pStyle w:val="Heading4"/>
        <w:rPr>
          <w:rFonts w:cs="Times New Roman"/>
          <w:color w:val="000000" w:themeColor="text1"/>
          <w:szCs w:val="24"/>
        </w:rPr>
      </w:pPr>
      <w:r w:rsidRPr="009F2427">
        <w:rPr>
          <w:rFonts w:cs="Times New Roman"/>
          <w:color w:val="000000" w:themeColor="text1"/>
          <w:szCs w:val="24"/>
        </w:rPr>
        <w:t>6.</w:t>
      </w:r>
      <w:r w:rsidR="00766B2A" w:rsidRPr="009F2427">
        <w:rPr>
          <w:rFonts w:cs="Times New Roman"/>
          <w:color w:val="000000" w:themeColor="text1"/>
          <w:szCs w:val="24"/>
        </w:rPr>
        <w:tab/>
      </w:r>
      <w:r w:rsidR="000D0408" w:rsidRPr="009F2427">
        <w:rPr>
          <w:rFonts w:cs="Times New Roman"/>
          <w:color w:val="000000" w:themeColor="text1"/>
          <w:szCs w:val="24"/>
        </w:rPr>
        <w:t>References to f</w:t>
      </w:r>
      <w:r w:rsidR="00766B2A" w:rsidRPr="009F2427">
        <w:rPr>
          <w:rFonts w:cs="Times New Roman"/>
          <w:color w:val="000000" w:themeColor="text1"/>
          <w:szCs w:val="24"/>
        </w:rPr>
        <w:t>actors and parameters from external sources</w:t>
      </w:r>
    </w:p>
    <w:p w:rsidR="00631F4C" w:rsidRPr="009F2427" w:rsidRDefault="00631F4C" w:rsidP="00FF1982">
      <w:pPr>
        <w:spacing w:before="120" w:after="120"/>
        <w:rPr>
          <w:color w:val="000000" w:themeColor="text1"/>
          <w:szCs w:val="24"/>
        </w:rPr>
      </w:pPr>
      <w:r w:rsidRPr="009F2427">
        <w:rPr>
          <w:color w:val="000000" w:themeColor="text1"/>
          <w:szCs w:val="24"/>
        </w:rPr>
        <w:t xml:space="preserve">This section refers to factors or parameters used in calculations that are derived from external sources. </w:t>
      </w:r>
      <w:r w:rsidR="00762149" w:rsidRPr="009F2427">
        <w:rPr>
          <w:color w:val="000000" w:themeColor="text1"/>
          <w:szCs w:val="24"/>
        </w:rPr>
        <w:t>An e</w:t>
      </w:r>
      <w:r w:rsidR="000D0408" w:rsidRPr="009F2427">
        <w:rPr>
          <w:color w:val="000000" w:themeColor="text1"/>
          <w:szCs w:val="24"/>
        </w:rPr>
        <w:t xml:space="preserve">xample of </w:t>
      </w:r>
      <w:r w:rsidR="00762149" w:rsidRPr="009F2427">
        <w:rPr>
          <w:color w:val="000000" w:themeColor="text1"/>
          <w:szCs w:val="24"/>
        </w:rPr>
        <w:t>factor</w:t>
      </w:r>
      <w:r w:rsidR="00B573B5" w:rsidRPr="009F2427">
        <w:rPr>
          <w:color w:val="000000" w:themeColor="text1"/>
          <w:szCs w:val="24"/>
        </w:rPr>
        <w:t>s</w:t>
      </w:r>
      <w:r w:rsidR="000D0408" w:rsidRPr="009F2427">
        <w:rPr>
          <w:color w:val="000000" w:themeColor="text1"/>
          <w:szCs w:val="24"/>
        </w:rPr>
        <w:t xml:space="preserve"> from an external source used in the varied Determination </w:t>
      </w:r>
      <w:r w:rsidR="00762149" w:rsidRPr="009F2427">
        <w:rPr>
          <w:color w:val="000000" w:themeColor="text1"/>
          <w:szCs w:val="24"/>
        </w:rPr>
        <w:t>is</w:t>
      </w:r>
      <w:r w:rsidR="000D0408" w:rsidRPr="009F2427">
        <w:rPr>
          <w:color w:val="000000" w:themeColor="text1"/>
          <w:szCs w:val="24"/>
        </w:rPr>
        <w:t xml:space="preserve"> the fuel emissions factors taken from </w:t>
      </w:r>
      <w:r w:rsidRPr="009F2427">
        <w:rPr>
          <w:color w:val="000000" w:themeColor="text1"/>
          <w:szCs w:val="24"/>
        </w:rPr>
        <w:t xml:space="preserve">the </w:t>
      </w:r>
      <w:r w:rsidRPr="009F2427">
        <w:rPr>
          <w:i/>
          <w:iCs/>
          <w:color w:val="000000" w:themeColor="text1"/>
          <w:szCs w:val="24"/>
        </w:rPr>
        <w:t>NGER (Measurement) Determination</w:t>
      </w:r>
      <w:r w:rsidRPr="009F2427">
        <w:rPr>
          <w:color w:val="000000" w:themeColor="text1"/>
          <w:szCs w:val="24"/>
        </w:rPr>
        <w:t xml:space="preserve"> made under subsection 10(3) of the </w:t>
      </w:r>
      <w:r w:rsidRPr="009F2427">
        <w:rPr>
          <w:i/>
          <w:iCs/>
          <w:color w:val="000000" w:themeColor="text1"/>
          <w:szCs w:val="24"/>
        </w:rPr>
        <w:t xml:space="preserve">National Greenhouse &amp; Energy Reporting Act 2007 </w:t>
      </w:r>
      <w:r w:rsidRPr="009F2427">
        <w:rPr>
          <w:color w:val="000000" w:themeColor="text1"/>
          <w:szCs w:val="24"/>
        </w:rPr>
        <w:t xml:space="preserve">(NGER Act). </w:t>
      </w:r>
      <w:proofErr w:type="spellStart"/>
      <w:r w:rsidR="00762149" w:rsidRPr="009F2427">
        <w:rPr>
          <w:color w:val="000000" w:themeColor="text1"/>
          <w:szCs w:val="24"/>
        </w:rPr>
        <w:t>FullCAM</w:t>
      </w:r>
      <w:proofErr w:type="spellEnd"/>
      <w:r w:rsidR="00762149" w:rsidRPr="009F2427">
        <w:rPr>
          <w:color w:val="000000" w:themeColor="text1"/>
          <w:szCs w:val="24"/>
        </w:rPr>
        <w:t xml:space="preserve"> </w:t>
      </w:r>
      <w:r w:rsidR="00963C06" w:rsidRPr="009F2427">
        <w:rPr>
          <w:color w:val="000000" w:themeColor="text1"/>
          <w:szCs w:val="24"/>
        </w:rPr>
        <w:t xml:space="preserve">modelling results </w:t>
      </w:r>
      <w:r w:rsidR="00762149" w:rsidRPr="009F2427">
        <w:rPr>
          <w:color w:val="000000" w:themeColor="text1"/>
          <w:szCs w:val="24"/>
        </w:rPr>
        <w:t xml:space="preserve">are also </w:t>
      </w:r>
      <w:r w:rsidR="00963C06" w:rsidRPr="009F2427">
        <w:rPr>
          <w:color w:val="000000" w:themeColor="text1"/>
          <w:szCs w:val="24"/>
        </w:rPr>
        <w:t xml:space="preserve">intended to be </w:t>
      </w:r>
      <w:r w:rsidR="00762149" w:rsidRPr="009F2427">
        <w:rPr>
          <w:color w:val="000000" w:themeColor="text1"/>
          <w:szCs w:val="24"/>
        </w:rPr>
        <w:t>covered by this provision.</w:t>
      </w:r>
    </w:p>
    <w:p w:rsidR="00631F4C" w:rsidRPr="009F2427" w:rsidRDefault="00631F4C" w:rsidP="00FF1982">
      <w:pPr>
        <w:spacing w:before="120" w:after="120"/>
        <w:rPr>
          <w:color w:val="000000" w:themeColor="text1"/>
          <w:szCs w:val="24"/>
        </w:rPr>
      </w:pPr>
      <w:r w:rsidRPr="009F2427">
        <w:rPr>
          <w:color w:val="000000" w:themeColor="text1"/>
          <w:szCs w:val="24"/>
        </w:rPr>
        <w:t xml:space="preserve">The effect of </w:t>
      </w:r>
      <w:r w:rsidR="00762149" w:rsidRPr="009F2427">
        <w:rPr>
          <w:color w:val="000000" w:themeColor="text1"/>
          <w:szCs w:val="24"/>
        </w:rPr>
        <w:t xml:space="preserve">subsection (1) is that if the external sources </w:t>
      </w:r>
      <w:r w:rsidRPr="009F2427">
        <w:rPr>
          <w:color w:val="000000" w:themeColor="text1"/>
          <w:szCs w:val="24"/>
        </w:rPr>
        <w:t xml:space="preserve">are amended during a project’s reporting period, then the project proponent will be required to use the factor or parameter </w:t>
      </w:r>
      <w:r w:rsidR="00BA1EFF" w:rsidRPr="009F2427">
        <w:rPr>
          <w:color w:val="000000" w:themeColor="text1"/>
          <w:szCs w:val="24"/>
        </w:rPr>
        <w:t xml:space="preserve">defined </w:t>
      </w:r>
      <w:r w:rsidR="00196FE4" w:rsidRPr="009F2427">
        <w:rPr>
          <w:color w:val="000000" w:themeColor="text1"/>
          <w:szCs w:val="24"/>
        </w:rPr>
        <w:t xml:space="preserve">in </w:t>
      </w:r>
      <w:r w:rsidR="00BA1EFF" w:rsidRPr="009F2427">
        <w:rPr>
          <w:color w:val="000000" w:themeColor="text1"/>
          <w:szCs w:val="24"/>
        </w:rPr>
        <w:t xml:space="preserve">or calculated by reference to </w:t>
      </w:r>
      <w:r w:rsidRPr="009F2427">
        <w:rPr>
          <w:color w:val="000000" w:themeColor="text1"/>
          <w:szCs w:val="24"/>
        </w:rPr>
        <w:t xml:space="preserve">the </w:t>
      </w:r>
      <w:r w:rsidR="00762149" w:rsidRPr="009F2427">
        <w:rPr>
          <w:color w:val="000000" w:themeColor="text1"/>
          <w:szCs w:val="24"/>
        </w:rPr>
        <w:t>version</w:t>
      </w:r>
      <w:r w:rsidRPr="009F2427">
        <w:rPr>
          <w:color w:val="000000" w:themeColor="text1"/>
          <w:szCs w:val="24"/>
        </w:rPr>
        <w:t xml:space="preserve"> that is in force at the end of the reporting period.</w:t>
      </w:r>
      <w:r w:rsidR="00963C06" w:rsidRPr="009F2427">
        <w:rPr>
          <w:color w:val="000000" w:themeColor="text1"/>
          <w:szCs w:val="24"/>
        </w:rPr>
        <w:t xml:space="preserve"> For example, the version of </w:t>
      </w:r>
      <w:proofErr w:type="spellStart"/>
      <w:r w:rsidR="00963C06" w:rsidRPr="009F2427">
        <w:rPr>
          <w:color w:val="000000" w:themeColor="text1"/>
          <w:szCs w:val="24"/>
        </w:rPr>
        <w:t>FullCAM</w:t>
      </w:r>
      <w:proofErr w:type="spellEnd"/>
      <w:r w:rsidR="00963C06" w:rsidRPr="009F2427">
        <w:rPr>
          <w:color w:val="000000" w:themeColor="text1"/>
          <w:szCs w:val="24"/>
        </w:rPr>
        <w:t xml:space="preserve"> used </w:t>
      </w:r>
      <w:r w:rsidR="00EA274D" w:rsidRPr="009F2427">
        <w:rPr>
          <w:color w:val="000000" w:themeColor="text1"/>
          <w:szCs w:val="24"/>
        </w:rPr>
        <w:t>in calculating the net abatement amount for a reporting period must be the version that was current on the last day of that reporting period.</w:t>
      </w:r>
    </w:p>
    <w:p w:rsidR="00631F4C" w:rsidRPr="009F2427" w:rsidRDefault="00631F4C" w:rsidP="00FF1982">
      <w:pPr>
        <w:spacing w:before="120" w:after="120"/>
        <w:rPr>
          <w:color w:val="000000" w:themeColor="text1"/>
          <w:szCs w:val="24"/>
        </w:rPr>
      </w:pPr>
      <w:r w:rsidRPr="009F2427">
        <w:rPr>
          <w:color w:val="000000" w:themeColor="text1"/>
          <w:szCs w:val="24"/>
        </w:rPr>
        <w:t>Paragraph (2</w:t>
      </w:r>
      <w:proofErr w:type="gramStart"/>
      <w:r w:rsidRPr="009F2427">
        <w:rPr>
          <w:color w:val="000000" w:themeColor="text1"/>
          <w:szCs w:val="24"/>
        </w:rPr>
        <w:t>)(</w:t>
      </w:r>
      <w:proofErr w:type="gramEnd"/>
      <w:r w:rsidRPr="009F2427">
        <w:rPr>
          <w:color w:val="000000" w:themeColor="text1"/>
          <w:szCs w:val="24"/>
        </w:rPr>
        <w:t>a) provides that subsection (1) does not apply if the Determination sets out other requirements.</w:t>
      </w:r>
    </w:p>
    <w:p w:rsidR="00903F8C" w:rsidRPr="009F2427" w:rsidRDefault="00631F4C" w:rsidP="00FF1982">
      <w:pPr>
        <w:spacing w:before="120" w:after="120"/>
        <w:rPr>
          <w:szCs w:val="24"/>
        </w:rPr>
      </w:pPr>
      <w:r w:rsidRPr="009F2427">
        <w:rPr>
          <w:color w:val="000000" w:themeColor="text1"/>
          <w:szCs w:val="24"/>
        </w:rPr>
        <w:t>Paragraph (2</w:t>
      </w:r>
      <w:proofErr w:type="gramStart"/>
      <w:r w:rsidRPr="009F2427">
        <w:rPr>
          <w:color w:val="000000" w:themeColor="text1"/>
          <w:szCs w:val="24"/>
        </w:rPr>
        <w:t>)(</w:t>
      </w:r>
      <w:proofErr w:type="gramEnd"/>
      <w:r w:rsidRPr="009F2427">
        <w:rPr>
          <w:color w:val="000000" w:themeColor="text1"/>
          <w:szCs w:val="24"/>
        </w:rPr>
        <w:t xml:space="preserve">b) provides that subsection (1) does not apply where it is not possible to retrospectively apply a factor or parameter in an instrument that is in force at the end of the reporting period. </w:t>
      </w:r>
    </w:p>
    <w:p w:rsidR="00EC7F60" w:rsidRPr="009045D7" w:rsidRDefault="00EC7F60" w:rsidP="003756B9">
      <w:pPr>
        <w:pStyle w:val="Heading2"/>
        <w:spacing w:line="276" w:lineRule="auto"/>
        <w:rPr>
          <w:color w:val="000000" w:themeColor="text1"/>
        </w:rPr>
      </w:pPr>
      <w:r w:rsidRPr="009045D7">
        <w:rPr>
          <w:color w:val="000000" w:themeColor="text1"/>
        </w:rPr>
        <w:t>Part 2</w:t>
      </w:r>
      <w:r w:rsidR="00955E6E" w:rsidRPr="009045D7">
        <w:rPr>
          <w:color w:val="000000" w:themeColor="text1"/>
        </w:rPr>
        <w:t>—</w:t>
      </w:r>
      <w:r w:rsidR="00AC04DE">
        <w:rPr>
          <w:color w:val="000000" w:themeColor="text1"/>
        </w:rPr>
        <w:t xml:space="preserve">HIR </w:t>
      </w:r>
      <w:r w:rsidR="00BA1EFF">
        <w:rPr>
          <w:color w:val="000000" w:themeColor="text1"/>
        </w:rPr>
        <w:t>projects</w:t>
      </w:r>
    </w:p>
    <w:p w:rsidR="004B7024" w:rsidRPr="009045D7" w:rsidRDefault="00B0011E" w:rsidP="001B5684">
      <w:pPr>
        <w:pStyle w:val="Heading4"/>
        <w:rPr>
          <w:color w:val="000000" w:themeColor="text1"/>
        </w:rPr>
      </w:pPr>
      <w:r>
        <w:rPr>
          <w:color w:val="000000" w:themeColor="text1"/>
        </w:rPr>
        <w:t>7.</w:t>
      </w:r>
      <w:r w:rsidR="004B7024" w:rsidRPr="009045D7">
        <w:rPr>
          <w:color w:val="000000" w:themeColor="text1"/>
        </w:rPr>
        <w:tab/>
      </w:r>
      <w:r w:rsidR="00AC04DE">
        <w:rPr>
          <w:color w:val="000000" w:themeColor="text1"/>
        </w:rPr>
        <w:t>HIR projects</w:t>
      </w:r>
    </w:p>
    <w:p w:rsidR="00896047" w:rsidRDefault="009951A9" w:rsidP="00986E49">
      <w:pPr>
        <w:spacing w:before="120" w:after="120"/>
        <w:rPr>
          <w:rFonts w:eastAsia="Times New Roman"/>
          <w:color w:val="000000" w:themeColor="text1"/>
          <w:szCs w:val="24"/>
          <w:lang w:eastAsia="en-AU"/>
        </w:rPr>
      </w:pPr>
      <w:r w:rsidRPr="009951A9">
        <w:rPr>
          <w:rFonts w:eastAsia="Times New Roman"/>
          <w:color w:val="000000" w:themeColor="text1"/>
          <w:szCs w:val="24"/>
          <w:lang w:eastAsia="en-AU"/>
        </w:rPr>
        <w:t>The effect of paragraphs 27(4</w:t>
      </w:r>
      <w:proofErr w:type="gramStart"/>
      <w:r w:rsidRPr="009951A9">
        <w:rPr>
          <w:rFonts w:eastAsia="Times New Roman"/>
          <w:color w:val="000000" w:themeColor="text1"/>
          <w:szCs w:val="24"/>
          <w:lang w:eastAsia="en-AU"/>
        </w:rPr>
        <w:t>)(</w:t>
      </w:r>
      <w:proofErr w:type="gramEnd"/>
      <w:r w:rsidRPr="009951A9">
        <w:rPr>
          <w:rFonts w:eastAsia="Times New Roman"/>
          <w:color w:val="000000" w:themeColor="text1"/>
          <w:szCs w:val="24"/>
          <w:lang w:eastAsia="en-AU"/>
        </w:rPr>
        <w:t>b) and 106(1)(a) of the Act is that a project must be covered</w:t>
      </w:r>
      <w:r>
        <w:rPr>
          <w:rFonts w:eastAsia="Times New Roman"/>
          <w:color w:val="000000" w:themeColor="text1"/>
          <w:szCs w:val="24"/>
          <w:lang w:eastAsia="en-AU"/>
        </w:rPr>
        <w:t xml:space="preserve"> </w:t>
      </w:r>
      <w:r w:rsidRPr="009951A9">
        <w:rPr>
          <w:rFonts w:eastAsia="Times New Roman"/>
          <w:color w:val="000000" w:themeColor="text1"/>
          <w:szCs w:val="24"/>
          <w:lang w:eastAsia="en-AU"/>
        </w:rPr>
        <w:t>by a methodology determination, and that the methodology determination must specify the</w:t>
      </w:r>
      <w:r>
        <w:rPr>
          <w:rFonts w:eastAsia="Times New Roman"/>
          <w:color w:val="000000" w:themeColor="text1"/>
          <w:szCs w:val="24"/>
          <w:lang w:eastAsia="en-AU"/>
        </w:rPr>
        <w:t xml:space="preserve"> </w:t>
      </w:r>
      <w:r w:rsidRPr="009951A9">
        <w:rPr>
          <w:rFonts w:eastAsia="Times New Roman"/>
          <w:color w:val="000000" w:themeColor="text1"/>
          <w:szCs w:val="24"/>
          <w:lang w:eastAsia="en-AU"/>
        </w:rPr>
        <w:t>kind of offsets project to which it applies.</w:t>
      </w:r>
      <w:r>
        <w:rPr>
          <w:rFonts w:eastAsia="Times New Roman"/>
          <w:color w:val="000000" w:themeColor="text1"/>
          <w:szCs w:val="24"/>
          <w:lang w:eastAsia="en-AU"/>
        </w:rPr>
        <w:t xml:space="preserve"> </w:t>
      </w:r>
      <w:r w:rsidRPr="009951A9">
        <w:rPr>
          <w:rFonts w:eastAsia="Times New Roman"/>
          <w:color w:val="000000" w:themeColor="text1"/>
          <w:szCs w:val="24"/>
          <w:lang w:eastAsia="en-AU"/>
        </w:rPr>
        <w:t xml:space="preserve">Section </w:t>
      </w:r>
      <w:r w:rsidR="00BC7740">
        <w:rPr>
          <w:rFonts w:eastAsia="Times New Roman"/>
          <w:color w:val="000000" w:themeColor="text1"/>
          <w:szCs w:val="24"/>
          <w:lang w:eastAsia="en-AU"/>
        </w:rPr>
        <w:t>7</w:t>
      </w:r>
      <w:r w:rsidRPr="009951A9">
        <w:rPr>
          <w:rFonts w:eastAsia="Times New Roman"/>
          <w:color w:val="000000" w:themeColor="text1"/>
          <w:szCs w:val="24"/>
          <w:lang w:eastAsia="en-AU"/>
        </w:rPr>
        <w:t xml:space="preserve"> provides that the</w:t>
      </w:r>
      <w:r w:rsidR="00BA1EFF">
        <w:rPr>
          <w:rFonts w:eastAsia="Times New Roman"/>
          <w:color w:val="000000" w:themeColor="text1"/>
          <w:szCs w:val="24"/>
          <w:lang w:eastAsia="en-AU"/>
        </w:rPr>
        <w:t xml:space="preserve"> varied</w:t>
      </w:r>
      <w:r w:rsidRPr="009951A9">
        <w:rPr>
          <w:rFonts w:eastAsia="Times New Roman"/>
          <w:color w:val="000000" w:themeColor="text1"/>
          <w:szCs w:val="24"/>
          <w:lang w:eastAsia="en-AU"/>
        </w:rPr>
        <w:t xml:space="preserve"> Determination </w:t>
      </w:r>
      <w:r w:rsidR="00BA1EFF">
        <w:rPr>
          <w:rFonts w:eastAsia="Times New Roman"/>
          <w:color w:val="000000" w:themeColor="text1"/>
          <w:szCs w:val="24"/>
          <w:lang w:eastAsia="en-AU"/>
        </w:rPr>
        <w:t xml:space="preserve">applies </w:t>
      </w:r>
      <w:r w:rsidRPr="009951A9">
        <w:rPr>
          <w:rFonts w:eastAsia="Times New Roman"/>
          <w:color w:val="000000" w:themeColor="text1"/>
          <w:szCs w:val="24"/>
          <w:lang w:eastAsia="en-AU"/>
        </w:rPr>
        <w:t>to a project that satisfies the following</w:t>
      </w:r>
      <w:r>
        <w:rPr>
          <w:rFonts w:eastAsia="Times New Roman"/>
          <w:color w:val="000000" w:themeColor="text1"/>
          <w:szCs w:val="24"/>
          <w:lang w:eastAsia="en-AU"/>
        </w:rPr>
        <w:t xml:space="preserve"> </w:t>
      </w:r>
      <w:r w:rsidRPr="009951A9">
        <w:rPr>
          <w:rFonts w:eastAsia="Times New Roman"/>
          <w:color w:val="000000" w:themeColor="text1"/>
          <w:szCs w:val="24"/>
          <w:lang w:eastAsia="en-AU"/>
        </w:rPr>
        <w:t>conditions:</w:t>
      </w:r>
    </w:p>
    <w:p w:rsidR="009951A9" w:rsidRDefault="009951A9" w:rsidP="00986E49">
      <w:pPr>
        <w:pStyle w:val="ListParagraph"/>
        <w:numPr>
          <w:ilvl w:val="0"/>
          <w:numId w:val="4"/>
        </w:numPr>
        <w:spacing w:after="120"/>
        <w:rPr>
          <w:rFonts w:eastAsia="Times New Roman"/>
          <w:color w:val="000000" w:themeColor="text1"/>
          <w:szCs w:val="24"/>
          <w:lang w:eastAsia="en-AU"/>
        </w:rPr>
      </w:pPr>
      <w:r>
        <w:rPr>
          <w:rFonts w:eastAsia="Times New Roman"/>
          <w:color w:val="000000" w:themeColor="text1"/>
          <w:szCs w:val="24"/>
          <w:lang w:eastAsia="en-AU"/>
        </w:rPr>
        <w:t>the project could reasonably be expected to result in eligible carbon abatement, that is, the removal of greenhouse gases from the atmosphere that can be counted towards Australia’s national targets;</w:t>
      </w:r>
    </w:p>
    <w:p w:rsidR="009951A9" w:rsidRDefault="009951A9" w:rsidP="00986E49">
      <w:pPr>
        <w:pStyle w:val="ListParagraph"/>
        <w:numPr>
          <w:ilvl w:val="0"/>
          <w:numId w:val="4"/>
        </w:numPr>
        <w:spacing w:after="120"/>
        <w:rPr>
          <w:rFonts w:eastAsia="Times New Roman"/>
          <w:color w:val="000000" w:themeColor="text1"/>
          <w:szCs w:val="24"/>
          <w:lang w:eastAsia="en-AU"/>
        </w:rPr>
      </w:pPr>
      <w:r>
        <w:rPr>
          <w:rFonts w:eastAsia="Times New Roman"/>
          <w:color w:val="000000" w:themeColor="text1"/>
          <w:szCs w:val="24"/>
          <w:lang w:eastAsia="en-AU"/>
        </w:rPr>
        <w:t xml:space="preserve">the land on which the project is undertaken does not have forest cover (as defined in section </w:t>
      </w:r>
      <w:r w:rsidR="00BC7740">
        <w:rPr>
          <w:rFonts w:eastAsia="Times New Roman"/>
          <w:color w:val="000000" w:themeColor="text1"/>
          <w:szCs w:val="24"/>
          <w:lang w:eastAsia="en-AU"/>
        </w:rPr>
        <w:t>3</w:t>
      </w:r>
      <w:r>
        <w:rPr>
          <w:rFonts w:eastAsia="Times New Roman"/>
          <w:color w:val="000000" w:themeColor="text1"/>
          <w:szCs w:val="24"/>
          <w:lang w:eastAsia="en-AU"/>
        </w:rPr>
        <w:t xml:space="preserve"> of the varied Determination);</w:t>
      </w:r>
      <w:r w:rsidR="00236777">
        <w:rPr>
          <w:rFonts w:eastAsia="Times New Roman"/>
          <w:color w:val="000000" w:themeColor="text1"/>
          <w:szCs w:val="24"/>
          <w:lang w:eastAsia="en-AU"/>
        </w:rPr>
        <w:t xml:space="preserve"> and</w:t>
      </w:r>
    </w:p>
    <w:p w:rsidR="009951A9" w:rsidRDefault="009951A9" w:rsidP="00986E49">
      <w:pPr>
        <w:pStyle w:val="ListParagraph"/>
        <w:numPr>
          <w:ilvl w:val="0"/>
          <w:numId w:val="4"/>
        </w:numPr>
        <w:spacing w:after="120"/>
        <w:rPr>
          <w:rFonts w:eastAsia="Times New Roman"/>
          <w:color w:val="000000" w:themeColor="text1"/>
          <w:szCs w:val="24"/>
          <w:lang w:eastAsia="en-AU"/>
        </w:rPr>
      </w:pPr>
      <w:r>
        <w:rPr>
          <w:rFonts w:eastAsia="Times New Roman"/>
          <w:color w:val="000000" w:themeColor="text1"/>
          <w:szCs w:val="24"/>
          <w:lang w:eastAsia="en-AU"/>
        </w:rPr>
        <w:t xml:space="preserve">the project involves </w:t>
      </w:r>
      <w:r w:rsidR="009F0479">
        <w:rPr>
          <w:rFonts w:eastAsia="Times New Roman"/>
          <w:color w:val="000000" w:themeColor="text1"/>
          <w:szCs w:val="24"/>
          <w:lang w:eastAsia="en-AU"/>
        </w:rPr>
        <w:t xml:space="preserve">undertaking an </w:t>
      </w:r>
      <w:r w:rsidR="009F0479">
        <w:rPr>
          <w:rFonts w:eastAsia="Times New Roman"/>
          <w:b/>
          <w:i/>
          <w:color w:val="000000" w:themeColor="text1"/>
          <w:szCs w:val="24"/>
          <w:lang w:eastAsia="en-AU"/>
        </w:rPr>
        <w:t xml:space="preserve">HIR activity </w:t>
      </w:r>
      <w:r w:rsidR="009F0479">
        <w:rPr>
          <w:rFonts w:eastAsia="Times New Roman"/>
          <w:color w:val="000000" w:themeColor="text1"/>
          <w:szCs w:val="24"/>
          <w:lang w:eastAsia="en-AU"/>
        </w:rPr>
        <w:t xml:space="preserve">to assist the area of land to become </w:t>
      </w:r>
      <w:r>
        <w:rPr>
          <w:rFonts w:eastAsia="Times New Roman"/>
          <w:color w:val="000000" w:themeColor="text1"/>
          <w:szCs w:val="24"/>
          <w:lang w:eastAsia="en-AU"/>
        </w:rPr>
        <w:t xml:space="preserve">native forest </w:t>
      </w:r>
      <w:r w:rsidR="009F0479">
        <w:rPr>
          <w:rFonts w:eastAsia="Times New Roman"/>
          <w:color w:val="000000" w:themeColor="text1"/>
          <w:szCs w:val="24"/>
          <w:lang w:eastAsia="en-AU"/>
        </w:rPr>
        <w:t xml:space="preserve">and achieve forest cover </w:t>
      </w:r>
      <w:r>
        <w:rPr>
          <w:rFonts w:eastAsia="Times New Roman"/>
          <w:color w:val="000000" w:themeColor="text1"/>
          <w:szCs w:val="24"/>
          <w:lang w:eastAsia="en-AU"/>
        </w:rPr>
        <w:t xml:space="preserve">through regeneration, </w:t>
      </w:r>
      <w:r w:rsidR="005F066E">
        <w:rPr>
          <w:rFonts w:eastAsia="Times New Roman"/>
          <w:color w:val="000000" w:themeColor="text1"/>
          <w:szCs w:val="24"/>
          <w:lang w:eastAsia="en-AU"/>
        </w:rPr>
        <w:t xml:space="preserve">and not, for example, planting; </w:t>
      </w:r>
    </w:p>
    <w:p w:rsidR="009F0479" w:rsidRDefault="009F0479" w:rsidP="00986E49">
      <w:pPr>
        <w:spacing w:before="120" w:after="120"/>
        <w:rPr>
          <w:rFonts w:eastAsia="Times New Roman"/>
          <w:color w:val="000000" w:themeColor="text1"/>
          <w:szCs w:val="24"/>
          <w:lang w:eastAsia="en-AU"/>
        </w:rPr>
      </w:pPr>
      <w:r>
        <w:rPr>
          <w:rFonts w:eastAsia="Times New Roman"/>
          <w:color w:val="000000" w:themeColor="text1"/>
          <w:szCs w:val="24"/>
          <w:lang w:eastAsia="en-AU"/>
        </w:rPr>
        <w:t xml:space="preserve">Section </w:t>
      </w:r>
      <w:r w:rsidR="00BC7740">
        <w:rPr>
          <w:rFonts w:eastAsia="Times New Roman"/>
          <w:color w:val="000000" w:themeColor="text1"/>
          <w:szCs w:val="24"/>
          <w:lang w:eastAsia="en-AU"/>
        </w:rPr>
        <w:t>7</w:t>
      </w:r>
      <w:r w:rsidR="00236777">
        <w:rPr>
          <w:rFonts w:eastAsia="Times New Roman"/>
          <w:color w:val="000000" w:themeColor="text1"/>
          <w:szCs w:val="24"/>
          <w:lang w:eastAsia="en-AU"/>
        </w:rPr>
        <w:t xml:space="preserve">(2) </w:t>
      </w:r>
      <w:r w:rsidR="00F9043A">
        <w:rPr>
          <w:rFonts w:eastAsia="Times New Roman"/>
          <w:color w:val="000000" w:themeColor="text1"/>
          <w:szCs w:val="24"/>
          <w:lang w:eastAsia="en-AU"/>
        </w:rPr>
        <w:t xml:space="preserve">defines </w:t>
      </w:r>
      <w:r w:rsidRPr="00F9043A">
        <w:rPr>
          <w:rFonts w:eastAsia="Times New Roman"/>
          <w:b/>
          <w:i/>
          <w:color w:val="000000" w:themeColor="text1"/>
          <w:szCs w:val="24"/>
          <w:lang w:eastAsia="en-AU"/>
        </w:rPr>
        <w:t>HIR activity</w:t>
      </w:r>
      <w:r>
        <w:rPr>
          <w:rFonts w:eastAsia="Times New Roman"/>
          <w:color w:val="000000" w:themeColor="text1"/>
          <w:szCs w:val="24"/>
          <w:lang w:eastAsia="en-AU"/>
        </w:rPr>
        <w:t xml:space="preserve"> to mean any activity in the following list:</w:t>
      </w:r>
    </w:p>
    <w:p w:rsidR="009A33CA" w:rsidRDefault="009F0479" w:rsidP="00986E49">
      <w:pPr>
        <w:pStyle w:val="ListParagraph"/>
        <w:numPr>
          <w:ilvl w:val="0"/>
          <w:numId w:val="9"/>
        </w:numPr>
        <w:spacing w:after="120"/>
        <w:rPr>
          <w:rFonts w:eastAsia="Times New Roman"/>
          <w:color w:val="000000" w:themeColor="text1"/>
          <w:szCs w:val="24"/>
          <w:lang w:eastAsia="en-AU"/>
        </w:rPr>
      </w:pPr>
      <w:r w:rsidRPr="009F0479">
        <w:rPr>
          <w:rFonts w:eastAsia="Times New Roman"/>
          <w:color w:val="000000" w:themeColor="text1"/>
          <w:szCs w:val="24"/>
          <w:lang w:eastAsia="en-AU"/>
        </w:rPr>
        <w:t>the exclusion of livestock;</w:t>
      </w:r>
    </w:p>
    <w:p w:rsidR="009A33CA" w:rsidRDefault="009F0479" w:rsidP="00986E49">
      <w:pPr>
        <w:pStyle w:val="ListParagraph"/>
        <w:numPr>
          <w:ilvl w:val="0"/>
          <w:numId w:val="9"/>
        </w:numPr>
        <w:spacing w:after="120"/>
        <w:rPr>
          <w:rFonts w:eastAsia="Times New Roman"/>
          <w:color w:val="000000" w:themeColor="text1"/>
          <w:szCs w:val="24"/>
          <w:lang w:eastAsia="en-AU"/>
        </w:rPr>
      </w:pPr>
      <w:r w:rsidRPr="009F0479">
        <w:rPr>
          <w:rFonts w:eastAsia="Times New Roman"/>
          <w:color w:val="000000" w:themeColor="text1"/>
          <w:szCs w:val="24"/>
          <w:lang w:eastAsia="en-AU"/>
        </w:rPr>
        <w:t>the management of the timing, and the extent, of grazing;</w:t>
      </w:r>
    </w:p>
    <w:p w:rsidR="009A33CA" w:rsidRDefault="009F0479" w:rsidP="00986E49">
      <w:pPr>
        <w:pStyle w:val="ListParagraph"/>
        <w:numPr>
          <w:ilvl w:val="0"/>
          <w:numId w:val="9"/>
        </w:numPr>
        <w:spacing w:after="120"/>
        <w:rPr>
          <w:rFonts w:eastAsia="Times New Roman"/>
          <w:color w:val="000000" w:themeColor="text1"/>
          <w:szCs w:val="24"/>
          <w:lang w:eastAsia="en-AU"/>
        </w:rPr>
      </w:pPr>
      <w:r w:rsidRPr="009F0479">
        <w:rPr>
          <w:rFonts w:eastAsia="Times New Roman"/>
          <w:color w:val="000000" w:themeColor="text1"/>
          <w:szCs w:val="24"/>
          <w:lang w:eastAsia="en-AU"/>
        </w:rPr>
        <w:t>the management, in a humane manner, of feral animals;</w:t>
      </w:r>
    </w:p>
    <w:p w:rsidR="009A33CA" w:rsidRDefault="009F0479" w:rsidP="00986E49">
      <w:pPr>
        <w:pStyle w:val="ListParagraph"/>
        <w:numPr>
          <w:ilvl w:val="0"/>
          <w:numId w:val="9"/>
        </w:numPr>
        <w:spacing w:after="120"/>
        <w:rPr>
          <w:rFonts w:eastAsia="Times New Roman"/>
          <w:color w:val="000000" w:themeColor="text1"/>
          <w:szCs w:val="24"/>
          <w:lang w:eastAsia="en-AU"/>
        </w:rPr>
      </w:pPr>
      <w:r w:rsidRPr="009F0479">
        <w:rPr>
          <w:rFonts w:eastAsia="Times New Roman"/>
          <w:color w:val="000000" w:themeColor="text1"/>
          <w:szCs w:val="24"/>
          <w:lang w:eastAsia="en-AU"/>
        </w:rPr>
        <w:t>the management of plants that are not native to the project area;</w:t>
      </w:r>
    </w:p>
    <w:p w:rsidR="009A33CA" w:rsidRDefault="009F0479" w:rsidP="00986E49">
      <w:pPr>
        <w:pStyle w:val="ListParagraph"/>
        <w:numPr>
          <w:ilvl w:val="0"/>
          <w:numId w:val="9"/>
        </w:numPr>
        <w:spacing w:after="120"/>
        <w:rPr>
          <w:rFonts w:eastAsia="Times New Roman"/>
          <w:color w:val="000000" w:themeColor="text1"/>
          <w:szCs w:val="24"/>
          <w:lang w:eastAsia="en-AU"/>
        </w:rPr>
      </w:pPr>
      <w:proofErr w:type="gramStart"/>
      <w:r w:rsidRPr="009F0479">
        <w:rPr>
          <w:rFonts w:eastAsia="Times New Roman"/>
          <w:color w:val="000000" w:themeColor="text1"/>
          <w:szCs w:val="24"/>
          <w:lang w:eastAsia="en-AU"/>
        </w:rPr>
        <w:t>the</w:t>
      </w:r>
      <w:proofErr w:type="gramEnd"/>
      <w:r w:rsidRPr="009F0479">
        <w:rPr>
          <w:rFonts w:eastAsia="Times New Roman"/>
          <w:color w:val="000000" w:themeColor="text1"/>
          <w:szCs w:val="24"/>
          <w:lang w:eastAsia="en-AU"/>
        </w:rPr>
        <w:t xml:space="preserve"> implementation of a decision to permanently cease the mechanical or chemical destruction, or suppression, of regrowth.</w:t>
      </w:r>
    </w:p>
    <w:p w:rsidR="009A33CA" w:rsidRDefault="00404594" w:rsidP="00986E49">
      <w:pPr>
        <w:pStyle w:val="nMain"/>
        <w:spacing w:after="120"/>
        <w:ind w:left="0" w:firstLine="0"/>
        <w:rPr>
          <w:sz w:val="24"/>
        </w:rPr>
      </w:pPr>
      <w:r w:rsidRPr="00445E22">
        <w:rPr>
          <w:color w:val="000000" w:themeColor="text1"/>
          <w:sz w:val="24"/>
          <w:szCs w:val="24"/>
        </w:rPr>
        <w:t>If the</w:t>
      </w:r>
      <w:r w:rsidR="00445E22" w:rsidRPr="00445E22">
        <w:rPr>
          <w:sz w:val="24"/>
        </w:rPr>
        <w:t xml:space="preserve"> project is undertaken on conservation land, the project proponent must undertake either or both: </w:t>
      </w:r>
      <w:r w:rsidR="008F692C" w:rsidRPr="008F692C">
        <w:rPr>
          <w:color w:val="000000" w:themeColor="text1"/>
          <w:sz w:val="24"/>
          <w:szCs w:val="24"/>
        </w:rPr>
        <w:t>t</w:t>
      </w:r>
      <w:r w:rsidR="004F40A5">
        <w:rPr>
          <w:color w:val="000000" w:themeColor="text1"/>
          <w:sz w:val="24"/>
          <w:szCs w:val="24"/>
        </w:rPr>
        <w:t>he</w:t>
      </w:r>
      <w:r w:rsidR="008F692C" w:rsidRPr="008F692C">
        <w:rPr>
          <w:color w:val="000000" w:themeColor="text1"/>
          <w:sz w:val="24"/>
          <w:szCs w:val="24"/>
        </w:rPr>
        <w:t xml:space="preserve"> </w:t>
      </w:r>
      <w:r w:rsidR="00D33CA0" w:rsidRPr="008F692C">
        <w:rPr>
          <w:color w:val="000000" w:themeColor="text1"/>
          <w:sz w:val="24"/>
          <w:szCs w:val="24"/>
        </w:rPr>
        <w:t>man</w:t>
      </w:r>
      <w:r w:rsidR="00D33CA0">
        <w:rPr>
          <w:color w:val="000000" w:themeColor="text1"/>
          <w:sz w:val="24"/>
          <w:szCs w:val="24"/>
        </w:rPr>
        <w:t>ag</w:t>
      </w:r>
      <w:r w:rsidR="00D33CA0" w:rsidRPr="008F692C">
        <w:rPr>
          <w:color w:val="000000" w:themeColor="text1"/>
          <w:sz w:val="24"/>
          <w:szCs w:val="24"/>
        </w:rPr>
        <w:t>ement</w:t>
      </w:r>
      <w:r w:rsidR="00D33CA0" w:rsidRPr="00445E22">
        <w:rPr>
          <w:sz w:val="24"/>
          <w:szCs w:val="24"/>
        </w:rPr>
        <w:t xml:space="preserve"> </w:t>
      </w:r>
      <w:r w:rsidR="00445E22" w:rsidRPr="00445E22">
        <w:rPr>
          <w:sz w:val="24"/>
        </w:rPr>
        <w:t xml:space="preserve">of feral animals and the </w:t>
      </w:r>
      <w:r w:rsidR="00187F9A" w:rsidRPr="008F692C">
        <w:rPr>
          <w:color w:val="000000" w:themeColor="text1"/>
          <w:sz w:val="24"/>
          <w:szCs w:val="24"/>
        </w:rPr>
        <w:t>man</w:t>
      </w:r>
      <w:r w:rsidR="00187F9A">
        <w:rPr>
          <w:color w:val="000000" w:themeColor="text1"/>
          <w:sz w:val="24"/>
          <w:szCs w:val="24"/>
        </w:rPr>
        <w:t>ag</w:t>
      </w:r>
      <w:r w:rsidR="00187F9A" w:rsidRPr="008F692C">
        <w:rPr>
          <w:color w:val="000000" w:themeColor="text1"/>
          <w:sz w:val="24"/>
          <w:szCs w:val="24"/>
        </w:rPr>
        <w:t>ement of</w:t>
      </w:r>
      <w:r w:rsidR="00445E22" w:rsidRPr="00445E22">
        <w:rPr>
          <w:sz w:val="24"/>
        </w:rPr>
        <w:t xml:space="preserve"> plants that are not native to the </w:t>
      </w:r>
      <w:r w:rsidR="004F40A5">
        <w:rPr>
          <w:color w:val="000000" w:themeColor="text1"/>
          <w:sz w:val="24"/>
          <w:szCs w:val="24"/>
        </w:rPr>
        <w:t>project</w:t>
      </w:r>
      <w:r w:rsidR="00445E22" w:rsidRPr="00445E22">
        <w:rPr>
          <w:sz w:val="24"/>
        </w:rPr>
        <w:t xml:space="preserve"> area. </w:t>
      </w:r>
    </w:p>
    <w:p w:rsidR="009A33CA" w:rsidRDefault="00445E22" w:rsidP="00986E49">
      <w:pPr>
        <w:pStyle w:val="nMain"/>
        <w:spacing w:after="120"/>
        <w:ind w:left="0" w:firstLine="0"/>
        <w:rPr>
          <w:sz w:val="24"/>
        </w:rPr>
      </w:pPr>
      <w:r w:rsidRPr="00445E22">
        <w:rPr>
          <w:sz w:val="24"/>
        </w:rPr>
        <w:t>Further, the particular activity that is undertaken must be one that is not standard practice in the relevant jurisdiction for conservation land of that kind. See paragraph 12(2</w:t>
      </w:r>
      <w:proofErr w:type="gramStart"/>
      <w:r w:rsidRPr="00445E22">
        <w:rPr>
          <w:sz w:val="24"/>
        </w:rPr>
        <w:t>)(</w:t>
      </w:r>
      <w:proofErr w:type="gramEnd"/>
      <w:r w:rsidRPr="00445E22">
        <w:rPr>
          <w:sz w:val="24"/>
        </w:rPr>
        <w:t>b).</w:t>
      </w:r>
      <w:r w:rsidR="008E0E78">
        <w:rPr>
          <w:sz w:val="24"/>
        </w:rPr>
        <w:t xml:space="preserve"> </w:t>
      </w:r>
      <w:r w:rsidR="008E0E78" w:rsidRPr="00757E33">
        <w:rPr>
          <w:sz w:val="24"/>
        </w:rPr>
        <w:t>Examples of conservation land types in NSW in 2016 include national parks, nature reserves, state conservation areas, regional parks, and community conservation areas</w:t>
      </w:r>
      <w:r w:rsidR="008E0E78">
        <w:rPr>
          <w:sz w:val="24"/>
        </w:rPr>
        <w:t>.</w:t>
      </w:r>
    </w:p>
    <w:p w:rsidR="009F0479" w:rsidRDefault="000D15AC" w:rsidP="00986E49">
      <w:pPr>
        <w:spacing w:before="120" w:after="120"/>
        <w:rPr>
          <w:rFonts w:eastAsia="Times New Roman"/>
          <w:color w:val="000000" w:themeColor="text1"/>
          <w:szCs w:val="24"/>
          <w:lang w:eastAsia="en-AU"/>
        </w:rPr>
      </w:pPr>
      <w:r>
        <w:rPr>
          <w:rFonts w:eastAsia="Times New Roman"/>
          <w:color w:val="000000" w:themeColor="text1"/>
          <w:szCs w:val="24"/>
          <w:lang w:eastAsia="en-AU"/>
        </w:rPr>
        <w:t>Exclusion of livestock means the exclusion of all livestock, at least until forest cover has been attained, and thereafter, only in accordance with section 21(b).</w:t>
      </w:r>
    </w:p>
    <w:p w:rsidR="000D15AC" w:rsidRPr="009F0479" w:rsidRDefault="000D15AC" w:rsidP="00986E49">
      <w:pPr>
        <w:spacing w:before="120" w:after="120"/>
        <w:rPr>
          <w:rFonts w:eastAsia="Times New Roman"/>
          <w:color w:val="000000" w:themeColor="text1"/>
          <w:szCs w:val="24"/>
          <w:lang w:eastAsia="en-AU"/>
        </w:rPr>
      </w:pPr>
      <w:r>
        <w:rPr>
          <w:rFonts w:eastAsia="Times New Roman"/>
          <w:color w:val="000000" w:themeColor="text1"/>
          <w:szCs w:val="24"/>
          <w:lang w:eastAsia="en-AU"/>
        </w:rPr>
        <w:t>Management of the timing, and extent, of grazing, means limiting grazing by livestock (but not necessarily completely de-stocking), to such a level that assists the area of land to become native forest and achieve forest cover through regeneration.</w:t>
      </w:r>
    </w:p>
    <w:p w:rsidR="0019691D" w:rsidRPr="009045D7" w:rsidRDefault="0019691D" w:rsidP="00FF1982">
      <w:pPr>
        <w:pStyle w:val="Heading2"/>
        <w:spacing w:line="276" w:lineRule="auto"/>
        <w:rPr>
          <w:color w:val="000000" w:themeColor="text1"/>
        </w:rPr>
      </w:pPr>
      <w:r w:rsidRPr="009045D7">
        <w:rPr>
          <w:color w:val="000000" w:themeColor="text1"/>
        </w:rPr>
        <w:t xml:space="preserve">Part </w:t>
      </w:r>
      <w:r w:rsidR="00EC7F60" w:rsidRPr="009045D7">
        <w:rPr>
          <w:color w:val="000000" w:themeColor="text1"/>
        </w:rPr>
        <w:t>3</w:t>
      </w:r>
      <w:r w:rsidR="00955E6E" w:rsidRPr="009045D7">
        <w:rPr>
          <w:color w:val="000000" w:themeColor="text1"/>
        </w:rPr>
        <w:t>—</w:t>
      </w:r>
      <w:r w:rsidR="00214CFA" w:rsidRPr="009045D7">
        <w:rPr>
          <w:color w:val="000000" w:themeColor="text1"/>
        </w:rPr>
        <w:t>Project r</w:t>
      </w:r>
      <w:r w:rsidRPr="009045D7">
        <w:rPr>
          <w:color w:val="000000" w:themeColor="text1"/>
        </w:rPr>
        <w:t>equirements</w:t>
      </w:r>
    </w:p>
    <w:p w:rsidR="00EF0E46" w:rsidRDefault="00EF0E46" w:rsidP="003756B9">
      <w:pPr>
        <w:pStyle w:val="ESHeading"/>
        <w:spacing w:before="240" w:after="0" w:line="276" w:lineRule="auto"/>
      </w:pPr>
      <w:r>
        <w:t>Division 1—</w:t>
      </w:r>
      <w:r w:rsidR="00EB44B6" w:rsidRPr="00EB44B6">
        <w:t>Operation</w:t>
      </w:r>
      <w:r w:rsidR="00EB44B6" w:rsidRPr="00B42C85">
        <w:t xml:space="preserve"> of Part</w:t>
      </w:r>
    </w:p>
    <w:p w:rsidR="0019691D" w:rsidRPr="009045D7" w:rsidRDefault="00B0011E" w:rsidP="001B5684">
      <w:pPr>
        <w:pStyle w:val="Heading4"/>
        <w:rPr>
          <w:color w:val="000000" w:themeColor="text1"/>
        </w:rPr>
      </w:pPr>
      <w:r>
        <w:rPr>
          <w:color w:val="000000" w:themeColor="text1"/>
        </w:rPr>
        <w:t>8.</w:t>
      </w:r>
      <w:r w:rsidR="0019691D" w:rsidRPr="009045D7">
        <w:rPr>
          <w:color w:val="000000" w:themeColor="text1"/>
        </w:rPr>
        <w:t xml:space="preserve"> </w:t>
      </w:r>
      <w:r w:rsidR="0019691D" w:rsidRPr="009045D7">
        <w:rPr>
          <w:color w:val="000000" w:themeColor="text1"/>
        </w:rPr>
        <w:tab/>
      </w:r>
      <w:r w:rsidR="00E6174D" w:rsidRPr="009045D7">
        <w:rPr>
          <w:color w:val="000000" w:themeColor="text1"/>
        </w:rPr>
        <w:t>Operation</w:t>
      </w:r>
      <w:r w:rsidR="00214CFA" w:rsidRPr="009045D7">
        <w:rPr>
          <w:color w:val="000000" w:themeColor="text1"/>
        </w:rPr>
        <w:t xml:space="preserve"> of this Part</w:t>
      </w:r>
    </w:p>
    <w:p w:rsidR="00895630" w:rsidRDefault="006B3EBE" w:rsidP="00986E49">
      <w:pPr>
        <w:pStyle w:val="tMain"/>
        <w:tabs>
          <w:tab w:val="clear" w:pos="794"/>
        </w:tabs>
        <w:spacing w:before="120" w:after="120" w:line="240" w:lineRule="auto"/>
        <w:ind w:left="0" w:firstLine="0"/>
      </w:pPr>
      <w:r>
        <w:t>Consistent with</w:t>
      </w:r>
      <w:r w:rsidRPr="00D72C04">
        <w:t xml:space="preserve"> </w:t>
      </w:r>
      <w:r w:rsidR="00D60EFB" w:rsidRPr="00D72C04">
        <w:t>paragraph 106(1</w:t>
      </w:r>
      <w:proofErr w:type="gramStart"/>
      <w:r w:rsidR="00D60EFB" w:rsidRPr="00D72C04">
        <w:t>)(</w:t>
      </w:r>
      <w:proofErr w:type="gramEnd"/>
      <w:r w:rsidR="00D60EFB" w:rsidRPr="00D72C04">
        <w:t>b) of the Act, this Part sets out requirements that must be met for an HIR project to be an eligible offsets project.</w:t>
      </w:r>
    </w:p>
    <w:p w:rsidR="00EF0E46" w:rsidRPr="00632A8F" w:rsidRDefault="00EF0E46" w:rsidP="003756B9">
      <w:pPr>
        <w:pStyle w:val="ESHeading"/>
        <w:spacing w:before="240" w:after="0" w:line="276" w:lineRule="auto"/>
      </w:pPr>
      <w:r w:rsidRPr="00632A8F">
        <w:t>Division 2—</w:t>
      </w:r>
      <w:r w:rsidR="00EB44B6" w:rsidRPr="00632A8F">
        <w:t>Requirements for declaration as eligible project</w:t>
      </w:r>
    </w:p>
    <w:p w:rsidR="00024AEE" w:rsidRPr="009045D7" w:rsidRDefault="00B0011E" w:rsidP="001B5684">
      <w:pPr>
        <w:pStyle w:val="Heading4"/>
        <w:rPr>
          <w:color w:val="000000" w:themeColor="text1"/>
        </w:rPr>
      </w:pPr>
      <w:r>
        <w:rPr>
          <w:color w:val="000000" w:themeColor="text1"/>
        </w:rPr>
        <w:t>9.</w:t>
      </w:r>
      <w:r w:rsidR="00024AEE" w:rsidRPr="009045D7">
        <w:rPr>
          <w:color w:val="000000" w:themeColor="text1"/>
        </w:rPr>
        <w:tab/>
      </w:r>
      <w:r w:rsidR="0087152A">
        <w:rPr>
          <w:color w:val="000000" w:themeColor="text1"/>
        </w:rPr>
        <w:t>Location</w:t>
      </w:r>
    </w:p>
    <w:p w:rsidR="00805FD6" w:rsidRPr="00DA0099" w:rsidRDefault="00DA0099" w:rsidP="00986E49">
      <w:pPr>
        <w:spacing w:before="120" w:after="120"/>
        <w:rPr>
          <w:szCs w:val="24"/>
          <w:lang w:eastAsia="en-AU"/>
        </w:rPr>
      </w:pPr>
      <w:r w:rsidRPr="00DA0099">
        <w:rPr>
          <w:szCs w:val="24"/>
          <w:lang w:eastAsia="en-AU"/>
        </w:rPr>
        <w:t xml:space="preserve">Section </w:t>
      </w:r>
      <w:r w:rsidR="00BC7740">
        <w:t>9</w:t>
      </w:r>
      <w:r>
        <w:rPr>
          <w:szCs w:val="24"/>
          <w:lang w:eastAsia="en-AU"/>
        </w:rPr>
        <w:t xml:space="preserve"> specifies that the project must be located in an area for which </w:t>
      </w:r>
      <w:proofErr w:type="spellStart"/>
      <w:r>
        <w:rPr>
          <w:szCs w:val="24"/>
          <w:lang w:eastAsia="en-AU"/>
        </w:rPr>
        <w:t>FullCAM</w:t>
      </w:r>
      <w:proofErr w:type="spellEnd"/>
      <w:r>
        <w:rPr>
          <w:szCs w:val="24"/>
          <w:lang w:eastAsia="en-AU"/>
        </w:rPr>
        <w:t xml:space="preserve"> data exists.</w:t>
      </w:r>
    </w:p>
    <w:p w:rsidR="0087152A" w:rsidRPr="009045D7" w:rsidRDefault="00B0011E" w:rsidP="001B5684">
      <w:pPr>
        <w:pStyle w:val="Heading4"/>
        <w:rPr>
          <w:color w:val="000000" w:themeColor="text1"/>
        </w:rPr>
      </w:pPr>
      <w:r>
        <w:rPr>
          <w:color w:val="000000" w:themeColor="text1"/>
        </w:rPr>
        <w:t>10.</w:t>
      </w:r>
      <w:r w:rsidR="0087152A" w:rsidRPr="009045D7">
        <w:rPr>
          <w:color w:val="000000" w:themeColor="text1"/>
        </w:rPr>
        <w:tab/>
      </w:r>
      <w:r w:rsidR="0087152A" w:rsidRPr="0087152A">
        <w:rPr>
          <w:color w:val="000000" w:themeColor="text1"/>
        </w:rPr>
        <w:t>Information to be included in application for declaration</w:t>
      </w:r>
      <w:r w:rsidR="002B6DC4">
        <w:rPr>
          <w:color w:val="000000" w:themeColor="text1"/>
        </w:rPr>
        <w:t xml:space="preserve"> or variation</w:t>
      </w:r>
    </w:p>
    <w:p w:rsidR="003020C1" w:rsidRDefault="0087152A" w:rsidP="00986E49">
      <w:pPr>
        <w:spacing w:before="120" w:after="120"/>
      </w:pPr>
      <w:r w:rsidRPr="0087152A">
        <w:t>Section 22 of the Act provides that a person may apply to the Regulator for a project to be</w:t>
      </w:r>
      <w:r>
        <w:t xml:space="preserve"> </w:t>
      </w:r>
      <w:r w:rsidRPr="0087152A">
        <w:t>declared an eligible offsets project. Declaration as an eligible offsets project is a necessary</w:t>
      </w:r>
      <w:r>
        <w:t xml:space="preserve"> </w:t>
      </w:r>
      <w:r w:rsidRPr="0087152A">
        <w:t>condition for a project to receive credits for abatement under the ERF.</w:t>
      </w:r>
      <w:r>
        <w:t xml:space="preserve"> </w:t>
      </w:r>
    </w:p>
    <w:p w:rsidR="0091639E" w:rsidRDefault="0091639E" w:rsidP="00986E49">
      <w:pPr>
        <w:spacing w:before="120" w:after="120"/>
      </w:pPr>
      <w:r>
        <w:t xml:space="preserve">Section </w:t>
      </w:r>
      <w:r w:rsidR="00E53E18">
        <w:t>29 of the Act provides for varying a project’s declaration in relation to the project area. If the proponent makes an application to the Regulator under section 29 of the Act</w:t>
      </w:r>
      <w:r w:rsidR="00011142">
        <w:t xml:space="preserve"> to add to the project area</w:t>
      </w:r>
      <w:r w:rsidR="00E53E18">
        <w:t xml:space="preserve">, section </w:t>
      </w:r>
      <w:r w:rsidR="00BC7740">
        <w:t>10</w:t>
      </w:r>
      <w:r w:rsidR="00E53E18">
        <w:t xml:space="preserve"> of the varied </w:t>
      </w:r>
      <w:r w:rsidR="00CC443E">
        <w:t>Determination requires particular information to be provided with the application</w:t>
      </w:r>
      <w:r w:rsidR="00011142">
        <w:t>.</w:t>
      </w:r>
    </w:p>
    <w:p w:rsidR="0087152A" w:rsidRDefault="00011142" w:rsidP="00986E49">
      <w:pPr>
        <w:spacing w:before="120" w:after="120"/>
      </w:pPr>
      <w:r>
        <w:t>An</w:t>
      </w:r>
      <w:r w:rsidRPr="0087152A">
        <w:t xml:space="preserve"> </w:t>
      </w:r>
      <w:r w:rsidR="0087152A" w:rsidRPr="0087152A">
        <w:t>application for declaration of an</w:t>
      </w:r>
      <w:r w:rsidR="00DA669D">
        <w:t xml:space="preserve"> HIR project</w:t>
      </w:r>
      <w:r>
        <w:t xml:space="preserve"> or an application to add project area to an HIR project</w:t>
      </w:r>
      <w:r w:rsidR="00DA669D">
        <w:t xml:space="preserve"> must identify at least one area of land on which the project could be undertaken: an area of land </w:t>
      </w:r>
      <w:r w:rsidR="00F02460">
        <w:t>large enough (at least 0.2 hectares) that it is possible for regenerating forest to meet the forest cover definition</w:t>
      </w:r>
      <w:r w:rsidR="001E0A15">
        <w:t xml:space="preserve">, and which satisfies the definition of ‘eligible land’ (see section </w:t>
      </w:r>
      <w:r w:rsidR="00BC7740">
        <w:t>4</w:t>
      </w:r>
      <w:r w:rsidR="001E0A15">
        <w:t>)</w:t>
      </w:r>
      <w:r w:rsidR="00F02460">
        <w:t xml:space="preserve">. </w:t>
      </w:r>
      <w:r>
        <w:t xml:space="preserve">Unless that area of land is eligible because it meets the requirements of subsection </w:t>
      </w:r>
      <w:r w:rsidR="00BC7740">
        <w:t>5</w:t>
      </w:r>
      <w:r>
        <w:t>(1), the application</w:t>
      </w:r>
      <w:r w:rsidR="003020C1">
        <w:t xml:space="preserve"> must also describe the </w:t>
      </w:r>
      <w:r w:rsidR="008E0E78">
        <w:t>mechanisms</w:t>
      </w:r>
      <w:r w:rsidR="003020C1">
        <w:t xml:space="preserve"> that occurred during the baseline period that prevented forest cover from being achieved</w:t>
      </w:r>
      <w:r w:rsidR="007706CF">
        <w:t>,</w:t>
      </w:r>
      <w:r w:rsidR="002D291F">
        <w:t xml:space="preserve"> </w:t>
      </w:r>
      <w:r w:rsidR="003020C1">
        <w:t xml:space="preserve">and the activity that the proponent plans to undertake </w:t>
      </w:r>
      <w:r w:rsidR="003F4128">
        <w:t>that will help</w:t>
      </w:r>
      <w:r w:rsidR="003020C1">
        <w:t xml:space="preserve"> native forest to regenerate.</w:t>
      </w:r>
    </w:p>
    <w:p w:rsidR="008E0E78" w:rsidRDefault="008E0E78" w:rsidP="00986E49">
      <w:pPr>
        <w:spacing w:before="120" w:after="120"/>
      </w:pPr>
      <w:r w:rsidRPr="001C63D4">
        <w:t>Where land is conservation land an application must describe how the specific eligibility requirements for that land type as outlined  in section 4(2) apply</w:t>
      </w:r>
      <w:r>
        <w:t xml:space="preserve"> and ensure that in descri</w:t>
      </w:r>
      <w:r w:rsidRPr="001C63D4">
        <w:t>bing HIR activities only those activities outlined in section 7(2)(b) are</w:t>
      </w:r>
      <w:r w:rsidR="00437410">
        <w:t xml:space="preserve"> included for conservation land</w:t>
      </w:r>
      <w:r w:rsidRPr="001C63D4">
        <w:t xml:space="preserve">. In </w:t>
      </w:r>
      <w:r>
        <w:t>additio</w:t>
      </w:r>
      <w:r w:rsidRPr="001C63D4">
        <w:t xml:space="preserve">n the application must describe the extent to which the management of feral animals </w:t>
      </w:r>
      <w:r w:rsidR="00852E5A" w:rsidRPr="001C63D4">
        <w:t>or the</w:t>
      </w:r>
      <w:r w:rsidRPr="001C63D4">
        <w:t xml:space="preserve"> management of plants that are not native to the area would ordinarily </w:t>
      </w:r>
      <w:r w:rsidR="00681288">
        <w:t xml:space="preserve">be </w:t>
      </w:r>
      <w:r w:rsidRPr="001C63D4">
        <w:t xml:space="preserve">undertaken on conservation land of that type in the relevant jurisdiction. Such a </w:t>
      </w:r>
      <w:r>
        <w:t>d</w:t>
      </w:r>
      <w:r w:rsidRPr="001C63D4">
        <w:t>e</w:t>
      </w:r>
      <w:r>
        <w:t>sc</w:t>
      </w:r>
      <w:r w:rsidRPr="001C63D4">
        <w:t>r</w:t>
      </w:r>
      <w:r>
        <w:t>i</w:t>
      </w:r>
      <w:r w:rsidRPr="001C63D4">
        <w:t>ption must include documentary evidence of those practices</w:t>
      </w:r>
      <w:r w:rsidR="00A525F2">
        <w:t xml:space="preserve"> over the baseline period</w:t>
      </w:r>
      <w:r w:rsidRPr="001C63D4">
        <w:t xml:space="preserve"> or identify any readily </w:t>
      </w:r>
      <w:r w:rsidR="002735E9">
        <w:t>accessible</w:t>
      </w:r>
      <w:r w:rsidR="002735E9" w:rsidRPr="001C63D4">
        <w:t xml:space="preserve"> </w:t>
      </w:r>
      <w:r w:rsidRPr="001C63D4">
        <w:t>public sources where those practices have been documented. Such public source</w:t>
      </w:r>
      <w:r w:rsidR="00437410">
        <w:t>s</w:t>
      </w:r>
      <w:r w:rsidRPr="001C63D4">
        <w:t xml:space="preserve"> could include standard operating procedures</w:t>
      </w:r>
      <w:r>
        <w:t xml:space="preserve"> </w:t>
      </w:r>
      <w:r w:rsidR="00437410">
        <w:t xml:space="preserve">or </w:t>
      </w:r>
      <w:r>
        <w:t xml:space="preserve">park </w:t>
      </w:r>
      <w:r w:rsidRPr="001C63D4">
        <w:t>m</w:t>
      </w:r>
      <w:r>
        <w:t>anagement p</w:t>
      </w:r>
      <w:r w:rsidRPr="001C63D4">
        <w:t>l</w:t>
      </w:r>
      <w:r>
        <w:t>a</w:t>
      </w:r>
      <w:r w:rsidRPr="001C63D4">
        <w:t>ns for parks of a sim</w:t>
      </w:r>
      <w:r>
        <w:t>i</w:t>
      </w:r>
      <w:r w:rsidRPr="001C63D4">
        <w:t>lar conservation land type.  Examples of conservation land types in NSW in 2016 include national parks, nature reserves, state conservation areas, regional parks, and community conservation</w:t>
      </w:r>
      <w:r>
        <w:t>.</w:t>
      </w:r>
    </w:p>
    <w:p w:rsidR="004D6598" w:rsidRDefault="004D6598" w:rsidP="00986E49">
      <w:pPr>
        <w:spacing w:before="120" w:after="120"/>
      </w:pPr>
      <w:r>
        <w:t xml:space="preserve">Section </w:t>
      </w:r>
      <w:r w:rsidR="00BC7740">
        <w:t>10</w:t>
      </w:r>
      <w:r>
        <w:t xml:space="preserve"> also requires proponents to provide a copy of any clearing </w:t>
      </w:r>
      <w:r w:rsidR="005F3267">
        <w:t xml:space="preserve">right </w:t>
      </w:r>
      <w:r>
        <w:t>that covers part of the project area</w:t>
      </w:r>
      <w:r w:rsidR="00011142">
        <w:t xml:space="preserve"> (the original area or the area being added)</w:t>
      </w:r>
      <w:r>
        <w:t xml:space="preserve"> if the </w:t>
      </w:r>
      <w:r w:rsidR="005F3267">
        <w:t>right</w:t>
      </w:r>
      <w:r>
        <w:t xml:space="preserve"> has been exercised</w:t>
      </w:r>
      <w:r w:rsidR="00011142">
        <w:t xml:space="preserve"> – </w:t>
      </w:r>
      <w:r>
        <w:t>that is, if land has been cleared</w:t>
      </w:r>
      <w:r w:rsidR="00011142">
        <w:t xml:space="preserve"> – </w:t>
      </w:r>
      <w:r>
        <w:t xml:space="preserve">and if there are ongoing requirements relating to the management of the cleared area. For example, some clearing consents require the native groundcover established after clearing to be maintained in perpetuity. </w:t>
      </w:r>
      <w:r w:rsidR="008D1D41">
        <w:t>This requirement is included to assist the Regulator in establishing that the proponent has the legal right to promote regeneration of native forest in the project area.</w:t>
      </w:r>
    </w:p>
    <w:p w:rsidR="00874786" w:rsidRDefault="00A427B9" w:rsidP="00986E49">
      <w:pPr>
        <w:spacing w:before="120" w:after="120"/>
        <w:rPr>
          <w:lang w:eastAsia="en-AU"/>
        </w:rPr>
      </w:pPr>
      <w:r>
        <w:t xml:space="preserve">Information from an application will also be used by the Regulator in applying the </w:t>
      </w:r>
      <w:proofErr w:type="spellStart"/>
      <w:r>
        <w:t>additionality</w:t>
      </w:r>
      <w:proofErr w:type="spellEnd"/>
      <w:r>
        <w:t xml:space="preserve"> requirements of section 27 of the Act. </w:t>
      </w:r>
      <w:r w:rsidRPr="0053526A">
        <w:rPr>
          <w:lang w:eastAsia="en-AU"/>
        </w:rPr>
        <w:t>Under s</w:t>
      </w:r>
      <w:r>
        <w:rPr>
          <w:lang w:eastAsia="en-AU"/>
        </w:rPr>
        <w:t>ection</w:t>
      </w:r>
      <w:r w:rsidRPr="0053526A">
        <w:rPr>
          <w:lang w:eastAsia="en-AU"/>
        </w:rPr>
        <w:t xml:space="preserve"> 27 of the Act, the Regulator must not declare an offsets project eligible unless </w:t>
      </w:r>
      <w:proofErr w:type="spellStart"/>
      <w:r w:rsidRPr="0053526A">
        <w:rPr>
          <w:lang w:eastAsia="en-AU"/>
        </w:rPr>
        <w:t>additionality</w:t>
      </w:r>
      <w:proofErr w:type="spellEnd"/>
      <w:r w:rsidRPr="0053526A">
        <w:rPr>
          <w:lang w:eastAsia="en-AU"/>
        </w:rPr>
        <w:t xml:space="preserve"> requirements are satisfied</w:t>
      </w:r>
      <w:r>
        <w:rPr>
          <w:lang w:eastAsia="en-AU"/>
        </w:rPr>
        <w:t xml:space="preserve">, including the ‘newness requirement’ and ‘regulatory </w:t>
      </w:r>
      <w:proofErr w:type="spellStart"/>
      <w:r>
        <w:rPr>
          <w:lang w:eastAsia="en-AU"/>
        </w:rPr>
        <w:t>additionality</w:t>
      </w:r>
      <w:proofErr w:type="spellEnd"/>
      <w:r>
        <w:rPr>
          <w:lang w:eastAsia="en-AU"/>
        </w:rPr>
        <w:t xml:space="preserve"> requirement’</w:t>
      </w:r>
      <w:r w:rsidRPr="0053526A">
        <w:rPr>
          <w:lang w:eastAsia="en-AU"/>
        </w:rPr>
        <w:t>.</w:t>
      </w:r>
      <w:r w:rsidR="00874786">
        <w:rPr>
          <w:lang w:eastAsia="en-AU"/>
        </w:rPr>
        <w:t xml:space="preserve"> The application </w:t>
      </w:r>
      <w:r w:rsidR="00D33CA0">
        <w:rPr>
          <w:lang w:eastAsia="en-AU"/>
        </w:rPr>
        <w:t>must</w:t>
      </w:r>
      <w:r w:rsidR="00874786">
        <w:rPr>
          <w:lang w:eastAsia="en-AU"/>
        </w:rPr>
        <w:t xml:space="preserve"> also meet the </w:t>
      </w:r>
      <w:r w:rsidR="00D33CA0">
        <w:rPr>
          <w:lang w:eastAsia="en-AU"/>
        </w:rPr>
        <w:t>requirements</w:t>
      </w:r>
      <w:r w:rsidR="00874786">
        <w:rPr>
          <w:lang w:eastAsia="en-AU"/>
        </w:rPr>
        <w:t xml:space="preserve"> of section 20A of the </w:t>
      </w:r>
      <w:r w:rsidR="00142016">
        <w:rPr>
          <w:lang w:eastAsia="en-AU"/>
        </w:rPr>
        <w:t>Rule</w:t>
      </w:r>
      <w:r w:rsidR="00874786">
        <w:rPr>
          <w:lang w:eastAsia="en-AU"/>
        </w:rPr>
        <w:t xml:space="preserve"> that a project area is not used to meet an obligation under a </w:t>
      </w:r>
      <w:r w:rsidR="00D33CA0">
        <w:rPr>
          <w:lang w:eastAsia="en-AU"/>
        </w:rPr>
        <w:t>Commonwealth</w:t>
      </w:r>
      <w:r w:rsidR="00874786">
        <w:rPr>
          <w:lang w:eastAsia="en-AU"/>
        </w:rPr>
        <w:t xml:space="preserve">, State or Territory law to offset </w:t>
      </w:r>
      <w:r w:rsidR="005D242A">
        <w:rPr>
          <w:lang w:eastAsia="en-AU"/>
        </w:rPr>
        <w:t xml:space="preserve">or </w:t>
      </w:r>
      <w:r w:rsidR="00874786">
        <w:rPr>
          <w:lang w:eastAsia="en-AU"/>
        </w:rPr>
        <w:t>compensate for the adverse impact of an action on vegetation.</w:t>
      </w:r>
    </w:p>
    <w:p w:rsidR="00A427B9" w:rsidRPr="0053526A" w:rsidRDefault="00A427B9" w:rsidP="00986E49">
      <w:pPr>
        <w:spacing w:before="120" w:after="120"/>
        <w:rPr>
          <w:lang w:eastAsia="en-AU"/>
        </w:rPr>
      </w:pPr>
      <w:r w:rsidRPr="0053526A">
        <w:rPr>
          <w:lang w:eastAsia="en-AU"/>
        </w:rPr>
        <w:t>To satisfy the ‘newness requirement’ under the Act, an activity that will form part of the project mechanism must not have commenced durin</w:t>
      </w:r>
      <w:r>
        <w:rPr>
          <w:lang w:eastAsia="en-AU"/>
        </w:rPr>
        <w:t xml:space="preserve">g the baseline period. Details of how projects meet the newness requirement are required to be included in an application by section 13 of the </w:t>
      </w:r>
      <w:r w:rsidR="00874786">
        <w:rPr>
          <w:lang w:eastAsia="en-AU"/>
        </w:rPr>
        <w:t>Rule</w:t>
      </w:r>
      <w:r>
        <w:rPr>
          <w:lang w:eastAsia="en-AU"/>
        </w:rPr>
        <w:t>.</w:t>
      </w:r>
    </w:p>
    <w:p w:rsidR="00A427B9" w:rsidRDefault="00A427B9" w:rsidP="00986E49">
      <w:pPr>
        <w:spacing w:before="120" w:after="120"/>
        <w:rPr>
          <w:lang w:eastAsia="en-AU"/>
        </w:rPr>
      </w:pPr>
      <w:r w:rsidRPr="0053526A">
        <w:rPr>
          <w:lang w:eastAsia="en-AU"/>
        </w:rPr>
        <w:t xml:space="preserve">To satisfy the ‘regulatory </w:t>
      </w:r>
      <w:proofErr w:type="spellStart"/>
      <w:r w:rsidRPr="0053526A">
        <w:rPr>
          <w:lang w:eastAsia="en-AU"/>
        </w:rPr>
        <w:t>additionality</w:t>
      </w:r>
      <w:proofErr w:type="spellEnd"/>
      <w:r w:rsidRPr="0053526A">
        <w:rPr>
          <w:lang w:eastAsia="en-AU"/>
        </w:rPr>
        <w:t xml:space="preserve"> requirement’ under the Act, an activity forming part of the project mechanism must not have been required to be carried out by or under a law of the Commonwealth, a State or a Territory to an equivalent degree</w:t>
      </w:r>
      <w:r>
        <w:rPr>
          <w:lang w:eastAsia="en-AU"/>
        </w:rPr>
        <w:t xml:space="preserve"> or greater</w:t>
      </w:r>
      <w:r w:rsidRPr="0053526A">
        <w:rPr>
          <w:lang w:eastAsia="en-AU"/>
        </w:rPr>
        <w:t xml:space="preserve">. </w:t>
      </w:r>
      <w:proofErr w:type="gramStart"/>
      <w:r w:rsidRPr="0053526A">
        <w:rPr>
          <w:lang w:eastAsia="en-AU"/>
        </w:rPr>
        <w:t xml:space="preserve">Where an activity is required under law, but to a lesser degree than required as for a HIR project, the regulatory </w:t>
      </w:r>
      <w:proofErr w:type="spellStart"/>
      <w:r w:rsidRPr="0053526A">
        <w:rPr>
          <w:lang w:eastAsia="en-AU"/>
        </w:rPr>
        <w:t>additionality</w:t>
      </w:r>
      <w:proofErr w:type="spellEnd"/>
      <w:r w:rsidRPr="0053526A">
        <w:rPr>
          <w:lang w:eastAsia="en-AU"/>
        </w:rPr>
        <w:t xml:space="preserve"> requirement </w:t>
      </w:r>
      <w:r>
        <w:rPr>
          <w:lang w:eastAsia="en-AU"/>
        </w:rPr>
        <w:t>will be</w:t>
      </w:r>
      <w:r w:rsidRPr="0053526A">
        <w:rPr>
          <w:lang w:eastAsia="en-AU"/>
        </w:rPr>
        <w:t xml:space="preserve"> satisfied.</w:t>
      </w:r>
      <w:proofErr w:type="gramEnd"/>
      <w:r w:rsidR="00570313">
        <w:rPr>
          <w:lang w:eastAsia="en-AU"/>
        </w:rPr>
        <w:t xml:space="preserve"> </w:t>
      </w:r>
    </w:p>
    <w:p w:rsidR="00570313" w:rsidRPr="003020C1" w:rsidRDefault="00570313" w:rsidP="00986E49">
      <w:pPr>
        <w:spacing w:before="120" w:after="120"/>
      </w:pPr>
      <w:r>
        <w:rPr>
          <w:lang w:eastAsia="en-AU"/>
        </w:rPr>
        <w:t xml:space="preserve">For </w:t>
      </w:r>
      <w:r w:rsidR="00D33CA0">
        <w:rPr>
          <w:lang w:eastAsia="en-AU"/>
        </w:rPr>
        <w:t>example</w:t>
      </w:r>
      <w:r>
        <w:rPr>
          <w:lang w:eastAsia="en-AU"/>
        </w:rPr>
        <w:t xml:space="preserve"> a farmer has a nature covenant on his land </w:t>
      </w:r>
      <w:r w:rsidR="00D33CA0">
        <w:rPr>
          <w:lang w:eastAsia="en-AU"/>
        </w:rPr>
        <w:t>registered</w:t>
      </w:r>
      <w:r>
        <w:rPr>
          <w:lang w:eastAsia="en-AU"/>
        </w:rPr>
        <w:t xml:space="preserve"> with the State authority. The covenant requires that livestock be excluded from the area. The area within the </w:t>
      </w:r>
      <w:r w:rsidR="00D33CA0">
        <w:rPr>
          <w:lang w:eastAsia="en-AU"/>
        </w:rPr>
        <w:t>covenant would</w:t>
      </w:r>
      <w:r>
        <w:rPr>
          <w:lang w:eastAsia="en-AU"/>
        </w:rPr>
        <w:t xml:space="preserve"> not meet regulatory </w:t>
      </w:r>
      <w:proofErr w:type="spellStart"/>
      <w:r w:rsidR="00D33CA0">
        <w:rPr>
          <w:lang w:eastAsia="en-AU"/>
        </w:rPr>
        <w:t>additionality</w:t>
      </w:r>
      <w:proofErr w:type="spellEnd"/>
      <w:r>
        <w:rPr>
          <w:lang w:eastAsia="en-AU"/>
        </w:rPr>
        <w:t xml:space="preserve"> for exclusion of livestock</w:t>
      </w:r>
      <w:r w:rsidR="0097671B">
        <w:rPr>
          <w:lang w:eastAsia="en-AU"/>
        </w:rPr>
        <w:t xml:space="preserve"> because the HIR </w:t>
      </w:r>
      <w:r w:rsidR="006513B1">
        <w:rPr>
          <w:lang w:eastAsia="en-AU"/>
        </w:rPr>
        <w:t>activity</w:t>
      </w:r>
      <w:r w:rsidR="0097671B">
        <w:rPr>
          <w:lang w:eastAsia="en-AU"/>
        </w:rPr>
        <w:t xml:space="preserve"> is already required under a legal arrangement.</w:t>
      </w:r>
    </w:p>
    <w:p w:rsidR="003020C1" w:rsidRDefault="00B0011E" w:rsidP="001B5684">
      <w:pPr>
        <w:pStyle w:val="Heading4"/>
        <w:rPr>
          <w:color w:val="000000" w:themeColor="text1"/>
        </w:rPr>
      </w:pPr>
      <w:bookmarkStart w:id="1" w:name="_Ref438043261"/>
      <w:r>
        <w:rPr>
          <w:color w:val="000000" w:themeColor="text1"/>
        </w:rPr>
        <w:t>11.</w:t>
      </w:r>
      <w:r w:rsidR="003020C1" w:rsidRPr="009045D7">
        <w:rPr>
          <w:color w:val="000000" w:themeColor="text1"/>
        </w:rPr>
        <w:tab/>
      </w:r>
      <w:r w:rsidR="00B158F2" w:rsidRPr="00FE167A">
        <w:rPr>
          <w:color w:val="000000" w:themeColor="text1"/>
        </w:rPr>
        <w:t>Land characteristics</w:t>
      </w:r>
      <w:bookmarkEnd w:id="1"/>
    </w:p>
    <w:p w:rsidR="00B158F2" w:rsidRPr="00E21863" w:rsidRDefault="00B158F2" w:rsidP="003756B9">
      <w:pPr>
        <w:spacing w:before="120" w:after="120"/>
      </w:pPr>
      <w:r>
        <w:t xml:space="preserve">Section </w:t>
      </w:r>
      <w:r w:rsidR="00BC7740">
        <w:t>11</w:t>
      </w:r>
      <w:r w:rsidR="00A51F13">
        <w:t xml:space="preserve"> r</w:t>
      </w:r>
      <w:r w:rsidR="00E21863">
        <w:t xml:space="preserve">equires </w:t>
      </w:r>
      <w:r w:rsidR="00AC4F31">
        <w:t>the project area, as nominated at the time of declaration, and any other area of land added to the project area later</w:t>
      </w:r>
      <w:r w:rsidR="00E21863">
        <w:t>, to include eligible land</w:t>
      </w:r>
      <w:r w:rsidR="00AE711E">
        <w:t xml:space="preserve"> (as defined in section</w:t>
      </w:r>
      <w:r w:rsidR="00CB3503">
        <w:t>s</w:t>
      </w:r>
      <w:r w:rsidR="00AE711E">
        <w:t> </w:t>
      </w:r>
      <w:r w:rsidR="00BC7740">
        <w:t>4</w:t>
      </w:r>
      <w:r w:rsidR="00CB3503">
        <w:t xml:space="preserve"> and </w:t>
      </w:r>
      <w:r w:rsidR="00BC7740">
        <w:t>5</w:t>
      </w:r>
      <w:r w:rsidR="00AE711E">
        <w:t>)</w:t>
      </w:r>
      <w:r w:rsidR="00AC4F31">
        <w:t>.</w:t>
      </w:r>
      <w:r w:rsidR="00E21863">
        <w:t xml:space="preserve"> This section does not require the project area to consist entirely of eligible land, just for it to contain some eligible land. Section </w:t>
      </w:r>
      <w:r w:rsidR="00BC7740">
        <w:t>16</w:t>
      </w:r>
      <w:r w:rsidR="00A51F13">
        <w:t xml:space="preserve"> </w:t>
      </w:r>
      <w:r w:rsidR="00E21863">
        <w:t xml:space="preserve">prevents parts of the project area that are not eligible land from being included in a </w:t>
      </w:r>
      <w:r w:rsidR="003652A1" w:rsidRPr="00CB3503">
        <w:t>CEA</w:t>
      </w:r>
      <w:r w:rsidR="00E21863">
        <w:t>.</w:t>
      </w:r>
    </w:p>
    <w:p w:rsidR="00D23A4E" w:rsidRDefault="00B0011E" w:rsidP="001B5684">
      <w:pPr>
        <w:pStyle w:val="Heading4"/>
      </w:pPr>
      <w:r>
        <w:rPr>
          <w:color w:val="000000" w:themeColor="text1"/>
        </w:rPr>
        <w:t>12.</w:t>
      </w:r>
      <w:r w:rsidR="007E2EBC">
        <w:rPr>
          <w:color w:val="000000" w:themeColor="text1"/>
        </w:rPr>
        <w:tab/>
      </w:r>
      <w:r w:rsidR="007E2EBC" w:rsidRPr="00EE46A2">
        <w:t>Project mechanism</w:t>
      </w:r>
    </w:p>
    <w:p w:rsidR="00805FD6" w:rsidRDefault="00805FD6" w:rsidP="003756B9">
      <w:pPr>
        <w:spacing w:before="120" w:after="120"/>
      </w:pPr>
      <w:r>
        <w:t xml:space="preserve">Section </w:t>
      </w:r>
      <w:r w:rsidR="00BC7740">
        <w:t>12</w:t>
      </w:r>
      <w:r>
        <w:t xml:space="preserve"> requires the proponent to undertake one or more </w:t>
      </w:r>
      <w:r w:rsidR="00404269">
        <w:t xml:space="preserve">HIR </w:t>
      </w:r>
      <w:r>
        <w:t xml:space="preserve">activities </w:t>
      </w:r>
      <w:r w:rsidR="00404269">
        <w:t xml:space="preserve">(as defined in section </w:t>
      </w:r>
      <w:r w:rsidR="00BC7740">
        <w:t>7</w:t>
      </w:r>
      <w:r w:rsidR="00404269">
        <w:t xml:space="preserve">) </w:t>
      </w:r>
      <w:r>
        <w:t xml:space="preserve">on at </w:t>
      </w:r>
      <w:r w:rsidR="00795C57">
        <w:t>least one area of eligible land.</w:t>
      </w:r>
    </w:p>
    <w:p w:rsidR="00111231" w:rsidRDefault="00805FD6" w:rsidP="003756B9">
      <w:pPr>
        <w:spacing w:before="120" w:after="120"/>
      </w:pPr>
      <w:r>
        <w:t xml:space="preserve">The activities undertaken must together be reasonably expected to result in the establishment of native forest through </w:t>
      </w:r>
      <w:r w:rsidR="007813A1">
        <w:t>regeneration.</w:t>
      </w:r>
      <w:r w:rsidR="005E29B6">
        <w:t xml:space="preserve"> The proponent may not </w:t>
      </w:r>
      <w:r w:rsidR="006D1773">
        <w:t>plant seeds or seedlings on the area of land on which they are undertaking the project mechanism.</w:t>
      </w:r>
    </w:p>
    <w:p w:rsidR="001E0A15" w:rsidRDefault="001E0A15" w:rsidP="003756B9">
      <w:pPr>
        <w:spacing w:before="120" w:after="120"/>
      </w:pPr>
      <w:r>
        <w:t xml:space="preserve">A note to the section includes two examples of the kinds of HIR activities that proponents could undertake. The first example, fencing to exclude livestock and feral animals, involves the first and third items from the list </w:t>
      </w:r>
      <w:r w:rsidR="0034748A">
        <w:t xml:space="preserve">of HIR activities in section </w:t>
      </w:r>
      <w:r w:rsidR="00BC7740">
        <w:t>7</w:t>
      </w:r>
      <w:r>
        <w:t>.</w:t>
      </w:r>
      <w:r w:rsidR="00663E9F">
        <w:t xml:space="preserve"> The second example, in which </w:t>
      </w:r>
      <w:r w:rsidR="00DF0EAC">
        <w:t xml:space="preserve">the project mechanism </w:t>
      </w:r>
      <w:r w:rsidR="005727CC">
        <w:t xml:space="preserve">involves </w:t>
      </w:r>
      <w:r w:rsidR="00663E9F">
        <w:t xml:space="preserve">implementing the decision no longer to </w:t>
      </w:r>
      <w:r w:rsidR="00404269">
        <w:t xml:space="preserve">mechanically destroy </w:t>
      </w:r>
      <w:r w:rsidR="00D33CA0">
        <w:t>regrowth,</w:t>
      </w:r>
      <w:r w:rsidR="00663E9F">
        <w:t xml:space="preserve"> </w:t>
      </w:r>
      <w:r w:rsidR="005727CC">
        <w:t xml:space="preserve">corresponds to </w:t>
      </w:r>
      <w:r w:rsidR="00663E9F">
        <w:t>the final item in the list.</w:t>
      </w:r>
    </w:p>
    <w:p w:rsidR="006F3625" w:rsidRPr="00A92016" w:rsidRDefault="00DF0EAC" w:rsidP="003756B9">
      <w:pPr>
        <w:spacing w:before="120" w:after="120"/>
      </w:pPr>
      <w:r w:rsidRPr="00A92016">
        <w:t>Under subsection 27(4A) of the Act, eligible offsets projects must not have begun to be implemented at the time of declaration. This means that the proponent must not begin to carry out the project mechanism until</w:t>
      </w:r>
      <w:r w:rsidR="005727CC" w:rsidRPr="00A92016">
        <w:t xml:space="preserve"> the project is registered by the Clean Energy Regulator. Note that in cases where the HIR activity involves implementing </w:t>
      </w:r>
      <w:r w:rsidR="00541EF6" w:rsidRPr="00A92016">
        <w:t>a</w:t>
      </w:r>
      <w:r w:rsidR="005727CC" w:rsidRPr="00A92016">
        <w:t xml:space="preserve"> decision to cease a suppression activity that has previously been undertaken on a cyclic</w:t>
      </w:r>
      <w:r w:rsidR="00541EF6" w:rsidRPr="00A92016">
        <w:t>al</w:t>
      </w:r>
      <w:r w:rsidR="005727CC" w:rsidRPr="00A92016">
        <w:t xml:space="preserve"> basis (e.g. mechanical destruction of regrowth</w:t>
      </w:r>
      <w:r w:rsidR="00541EF6" w:rsidRPr="00A92016">
        <w:t xml:space="preserve"> on a </w:t>
      </w:r>
      <w:r w:rsidR="006F3625">
        <w:t>seven</w:t>
      </w:r>
      <w:r w:rsidR="00541EF6" w:rsidRPr="00A92016">
        <w:t>-year cycle</w:t>
      </w:r>
      <w:r w:rsidR="005727CC" w:rsidRPr="00A92016">
        <w:t xml:space="preserve">), the last suppression event may have occurred before </w:t>
      </w:r>
      <w:r w:rsidR="00541EF6" w:rsidRPr="00A92016">
        <w:t xml:space="preserve">project </w:t>
      </w:r>
      <w:r w:rsidR="005727CC" w:rsidRPr="00A92016">
        <w:t>registration; in such cases, the project mechanism involves the implementation of the decision not to continue this activity</w:t>
      </w:r>
      <w:r w:rsidR="00541EF6" w:rsidRPr="00A92016">
        <w:t>, and it is the implementation of the decision that must be new</w:t>
      </w:r>
      <w:r w:rsidR="00DC329E" w:rsidRPr="00A92016">
        <w:t>.</w:t>
      </w:r>
      <w:r w:rsidR="006F3625">
        <w:t xml:space="preserve"> </w:t>
      </w:r>
    </w:p>
    <w:p w:rsidR="007E2EBC" w:rsidRDefault="00B0011E" w:rsidP="001B5684">
      <w:pPr>
        <w:pStyle w:val="Heading4"/>
      </w:pPr>
      <w:r>
        <w:rPr>
          <w:color w:val="000000" w:themeColor="text1"/>
        </w:rPr>
        <w:t>13.</w:t>
      </w:r>
      <w:r w:rsidR="007E2EBC">
        <w:rPr>
          <w:color w:val="000000" w:themeColor="text1"/>
        </w:rPr>
        <w:tab/>
      </w:r>
      <w:r w:rsidR="007E2EBC" w:rsidRPr="007E2EBC">
        <w:t xml:space="preserve">Eligibility requirements for transferring project </w:t>
      </w:r>
    </w:p>
    <w:p w:rsidR="00175321" w:rsidRPr="00111231" w:rsidRDefault="00111231" w:rsidP="003756B9">
      <w:pPr>
        <w:spacing w:before="120" w:after="120"/>
      </w:pPr>
      <w:r>
        <w:t xml:space="preserve">Section </w:t>
      </w:r>
      <w:r w:rsidR="00BC7740">
        <w:t>13</w:t>
      </w:r>
      <w:r>
        <w:t xml:space="preserve"> sets some restrictions on the eligibility of projects transferring </w:t>
      </w:r>
      <w:r w:rsidR="00AC5C96">
        <w:t xml:space="preserve">onto the varied Determination </w:t>
      </w:r>
      <w:r>
        <w:t>from another determination</w:t>
      </w:r>
      <w:r w:rsidR="009470A3">
        <w:t>, and of land moved from a project covered by another determination</w:t>
      </w:r>
      <w:r>
        <w:t xml:space="preserve">.  </w:t>
      </w:r>
    </w:p>
    <w:p w:rsidR="00AE711E" w:rsidRDefault="00AE711E" w:rsidP="003756B9">
      <w:pPr>
        <w:spacing w:before="120" w:after="120"/>
      </w:pPr>
      <w:r>
        <w:t xml:space="preserve">Projects that are covered by other methodology determinations are able to transfer onto the varied Determination, by making a request in accordance with section 128 of the Act, so long as the Regulator approves the request under section 130 of the Act. The eligibility requirements that are set out in this section ensure that the varied Determination applies properly to </w:t>
      </w:r>
      <w:r w:rsidR="002A78FB">
        <w:t xml:space="preserve">any </w:t>
      </w:r>
      <w:r>
        <w:t>existing projects that transfer to the varied Determination in accordance with this mechanism.</w:t>
      </w:r>
    </w:p>
    <w:p w:rsidR="00AC5C96" w:rsidRDefault="00682EEB" w:rsidP="003756B9">
      <w:pPr>
        <w:spacing w:before="120" w:after="120"/>
      </w:pPr>
      <w:r>
        <w:t xml:space="preserve">First, if a </w:t>
      </w:r>
      <w:r w:rsidR="002C34EE">
        <w:t>det</w:t>
      </w:r>
      <w:r>
        <w:t xml:space="preserve">ermination states that it cannot be a ‘former determination’ for the purposes of the varied </w:t>
      </w:r>
      <w:r w:rsidR="00D33CA0">
        <w:t>Determination;</w:t>
      </w:r>
      <w:r w:rsidR="00970158">
        <w:t xml:space="preserve"> </w:t>
      </w:r>
      <w:r>
        <w:t>projects registered under that determination would not meet the requirements of this section.</w:t>
      </w:r>
      <w:r w:rsidR="00AC5C96">
        <w:t xml:space="preserve"> </w:t>
      </w:r>
      <w:r w:rsidR="00175321">
        <w:t xml:space="preserve">Currently, </w:t>
      </w:r>
      <w:r>
        <w:t xml:space="preserve">no </w:t>
      </w:r>
      <w:r w:rsidR="00175321">
        <w:t>determinations</w:t>
      </w:r>
      <w:r w:rsidR="00970158">
        <w:t xml:space="preserve"> include such a provision</w:t>
      </w:r>
      <w:r w:rsidR="00175321">
        <w:t>, but this could be inc</w:t>
      </w:r>
      <w:r w:rsidR="00AC5C96">
        <w:t xml:space="preserve">luded </w:t>
      </w:r>
      <w:r w:rsidR="00970158">
        <w:t>in</w:t>
      </w:r>
      <w:r w:rsidR="00AC5C96">
        <w:t xml:space="preserve"> a future determination </w:t>
      </w:r>
      <w:r w:rsidR="00970158">
        <w:t xml:space="preserve">if </w:t>
      </w:r>
      <w:r w:rsidR="00AC5C96">
        <w:t xml:space="preserve">any aspect of the project requirements or abatement calculations </w:t>
      </w:r>
      <w:r w:rsidR="00970158">
        <w:t>were not compatible with the provisions for transferring projects in the varied Determination</w:t>
      </w:r>
      <w:r w:rsidR="00175321">
        <w:t xml:space="preserve">. </w:t>
      </w:r>
    </w:p>
    <w:p w:rsidR="00111231" w:rsidRDefault="002C34EE" w:rsidP="003756B9">
      <w:pPr>
        <w:spacing w:before="120" w:after="120"/>
      </w:pPr>
      <w:r w:rsidRPr="00AC5C96">
        <w:t xml:space="preserve">Second, </w:t>
      </w:r>
      <w:r w:rsidR="00AC5C96" w:rsidRPr="00AC5C96">
        <w:t xml:space="preserve">the method requires </w:t>
      </w:r>
      <w:r w:rsidR="002C276F">
        <w:t>a transferring project to have reported under the former determination, and for the most recent report to have covered the whole project.</w:t>
      </w:r>
      <w:r w:rsidR="00AC5C96">
        <w:t xml:space="preserve"> This is </w:t>
      </w:r>
      <w:r w:rsidR="002C276F">
        <w:t>included</w:t>
      </w:r>
      <w:r w:rsidR="00AC5C96">
        <w:t xml:space="preserve"> </w:t>
      </w:r>
      <w:r w:rsidR="002C276F">
        <w:t>so that the</w:t>
      </w:r>
      <w:r w:rsidR="00AC5C96">
        <w:t xml:space="preserve"> provisions </w:t>
      </w:r>
      <w:r w:rsidR="008B0857">
        <w:t xml:space="preserve">in the varied Determination </w:t>
      </w:r>
      <w:r w:rsidR="00AC5C96">
        <w:t>relating to the carryover of negative abatement function as intended.</w:t>
      </w:r>
    </w:p>
    <w:p w:rsidR="009470A3" w:rsidRDefault="00E93994" w:rsidP="003756B9">
      <w:pPr>
        <w:spacing w:before="120" w:after="120"/>
      </w:pPr>
      <w:r>
        <w:t>Section 13 also prevents land being moved from another project to the HIR project area if the method determination that applied to the other project includes a statement that it cannot be a former determination for the purposes of the varied Determination.</w:t>
      </w:r>
    </w:p>
    <w:p w:rsidR="007E2EBC" w:rsidRDefault="007E2EBC" w:rsidP="003756B9">
      <w:pPr>
        <w:pStyle w:val="ESHeading"/>
        <w:spacing w:before="240" w:after="0" w:line="276" w:lineRule="auto"/>
      </w:pPr>
      <w:r>
        <w:t>Division 3—</w:t>
      </w:r>
      <w:r w:rsidRPr="007E2EBC">
        <w:t>Operation of HIR projects</w:t>
      </w:r>
    </w:p>
    <w:p w:rsidR="007E2EBC" w:rsidRPr="00EE46A2" w:rsidRDefault="007E2EBC" w:rsidP="003756B9">
      <w:pPr>
        <w:pStyle w:val="ESHeading"/>
        <w:spacing w:before="240" w:after="0" w:line="276" w:lineRule="auto"/>
      </w:pPr>
      <w:r>
        <w:t>Subdivision 1</w:t>
      </w:r>
      <w:r w:rsidRPr="00EE46A2">
        <w:t>—Operation of Part</w:t>
      </w:r>
    </w:p>
    <w:p w:rsidR="007E2EBC" w:rsidRDefault="00B0011E" w:rsidP="001B5684">
      <w:pPr>
        <w:pStyle w:val="Heading4"/>
        <w:rPr>
          <w:color w:val="000000" w:themeColor="text1"/>
        </w:rPr>
      </w:pPr>
      <w:r>
        <w:rPr>
          <w:color w:val="000000" w:themeColor="text1"/>
        </w:rPr>
        <w:t>14.</w:t>
      </w:r>
      <w:r w:rsidR="007E2EBC">
        <w:rPr>
          <w:color w:val="000000" w:themeColor="text1"/>
        </w:rPr>
        <w:tab/>
      </w:r>
      <w:r w:rsidR="007E2EBC" w:rsidRPr="007E2EBC">
        <w:rPr>
          <w:color w:val="000000" w:themeColor="text1"/>
        </w:rPr>
        <w:t>Operation of eligible projects</w:t>
      </w:r>
    </w:p>
    <w:p w:rsidR="000359ED" w:rsidRPr="000359ED" w:rsidRDefault="000359ED" w:rsidP="003756B9">
      <w:pPr>
        <w:autoSpaceDE w:val="0"/>
        <w:autoSpaceDN w:val="0"/>
        <w:adjustRightInd w:val="0"/>
        <w:spacing w:before="120" w:after="120"/>
      </w:pPr>
      <w:r>
        <w:t xml:space="preserve">Section </w:t>
      </w:r>
      <w:r w:rsidR="00BC7740">
        <w:t>14</w:t>
      </w:r>
      <w:r>
        <w:t xml:space="preserve"> </w:t>
      </w:r>
      <w:r>
        <w:rPr>
          <w:szCs w:val="24"/>
          <w:lang w:eastAsia="en-AU"/>
        </w:rPr>
        <w:t>states that a project under the varied Determination must be operated in accordance with Division 3</w:t>
      </w:r>
      <w:r w:rsidR="002A78FB">
        <w:rPr>
          <w:szCs w:val="24"/>
          <w:lang w:eastAsia="en-AU"/>
        </w:rPr>
        <w:t xml:space="preserve"> of Part 3</w:t>
      </w:r>
      <w:r>
        <w:rPr>
          <w:szCs w:val="24"/>
          <w:lang w:eastAsia="en-AU"/>
        </w:rPr>
        <w:t>.</w:t>
      </w:r>
    </w:p>
    <w:p w:rsidR="007E2EBC" w:rsidRDefault="007E2EBC" w:rsidP="003756B9">
      <w:pPr>
        <w:pStyle w:val="ESHeading"/>
        <w:spacing w:before="240" w:after="0" w:line="276" w:lineRule="auto"/>
      </w:pPr>
      <w:r>
        <w:t>Subdivision 2</w:t>
      </w:r>
      <w:r w:rsidRPr="00EE46A2">
        <w:t>—</w:t>
      </w:r>
      <w:r w:rsidRPr="007E2EBC">
        <w:rPr>
          <w:sz w:val="22"/>
          <w:szCs w:val="20"/>
        </w:rPr>
        <w:t xml:space="preserve"> </w:t>
      </w:r>
      <w:r w:rsidRPr="007E2EBC">
        <w:t>Stratification of the project area</w:t>
      </w:r>
    </w:p>
    <w:p w:rsidR="007E2EBC" w:rsidRDefault="00B0011E" w:rsidP="001B5684">
      <w:pPr>
        <w:pStyle w:val="Heading4"/>
        <w:rPr>
          <w:color w:val="000000" w:themeColor="text1"/>
        </w:rPr>
      </w:pPr>
      <w:r>
        <w:rPr>
          <w:color w:val="000000" w:themeColor="text1"/>
        </w:rPr>
        <w:t>15.</w:t>
      </w:r>
      <w:r w:rsidR="007E2EBC">
        <w:rPr>
          <w:color w:val="000000" w:themeColor="text1"/>
        </w:rPr>
        <w:tab/>
      </w:r>
      <w:r w:rsidR="00B118D5" w:rsidRPr="00DF7F00">
        <w:t>Stratification of project area into CEAs</w:t>
      </w:r>
    </w:p>
    <w:p w:rsidR="00DF0938" w:rsidRDefault="007B5FA7" w:rsidP="003756B9">
      <w:pPr>
        <w:spacing w:before="120" w:after="120"/>
      </w:pPr>
      <w:r>
        <w:t xml:space="preserve">Section </w:t>
      </w:r>
      <w:r w:rsidR="00BC7740">
        <w:t>15</w:t>
      </w:r>
      <w:r>
        <w:t xml:space="preserve"> requires a proponent to define one or more CEAs </w:t>
      </w:r>
      <w:r w:rsidR="007B2DDF">
        <w:t xml:space="preserve">within the project area </w:t>
      </w:r>
      <w:r>
        <w:t xml:space="preserve">before reporting for the first time </w:t>
      </w:r>
      <w:r w:rsidR="007B2DDF">
        <w:t>under the varied Determination. CEAs are the areas in which the project mechanism is undertaken and for which abatement is calculated.</w:t>
      </w:r>
      <w:r w:rsidR="00DF0938">
        <w:t xml:space="preserve"> Section 18 </w:t>
      </w:r>
      <w:r w:rsidR="00424EEF">
        <w:t>outlines</w:t>
      </w:r>
      <w:r w:rsidR="00DF0938">
        <w:t xml:space="preserve"> the requirements for re-</w:t>
      </w:r>
      <w:r w:rsidR="00424EEF">
        <w:t>stratification</w:t>
      </w:r>
      <w:r w:rsidR="00DF0938">
        <w:t xml:space="preserve"> of a CEA and section 19 </w:t>
      </w:r>
      <w:r w:rsidR="00424EEF">
        <w:t>outlines</w:t>
      </w:r>
      <w:r w:rsidR="00DF0938">
        <w:t xml:space="preserve"> the </w:t>
      </w:r>
      <w:r w:rsidR="00424EEF">
        <w:t>requirements</w:t>
      </w:r>
      <w:r w:rsidR="00DF0938">
        <w:t xml:space="preserve"> for </w:t>
      </w:r>
      <w:r w:rsidR="00424EEF">
        <w:t>re-stratification</w:t>
      </w:r>
      <w:r w:rsidR="00DF0938">
        <w:t xml:space="preserve"> of a CEA from a </w:t>
      </w:r>
      <w:r w:rsidR="00424EEF">
        <w:t>transferring</w:t>
      </w:r>
      <w:r w:rsidR="00DF0938">
        <w:t xml:space="preserve"> </w:t>
      </w:r>
      <w:r w:rsidR="00424EEF">
        <w:t>project</w:t>
      </w:r>
      <w:r w:rsidR="00DF0938">
        <w:t>.</w:t>
      </w:r>
    </w:p>
    <w:p w:rsidR="00187F9A" w:rsidRDefault="00B0011E" w:rsidP="001B5684">
      <w:pPr>
        <w:pStyle w:val="Heading4"/>
      </w:pPr>
      <w:r>
        <w:t>16.</w:t>
      </w:r>
      <w:r w:rsidR="007E2EBC">
        <w:tab/>
      </w:r>
      <w:r w:rsidR="007E2EBC" w:rsidRPr="00FE167A">
        <w:t xml:space="preserve">Requirements for </w:t>
      </w:r>
      <w:r w:rsidR="00B118D5">
        <w:t xml:space="preserve">CEAs </w:t>
      </w:r>
      <w:r w:rsidR="00B118D5" w:rsidRPr="00E02454">
        <w:t>and CEA parts</w:t>
      </w:r>
    </w:p>
    <w:p w:rsidR="00FA3355" w:rsidRDefault="00877823" w:rsidP="001B5684">
      <w:pPr>
        <w:spacing w:before="120" w:after="120"/>
      </w:pPr>
      <w:r w:rsidRPr="00187F9A">
        <w:t xml:space="preserve">Section </w:t>
      </w:r>
      <w:r w:rsidR="00BC7740" w:rsidRPr="00187F9A">
        <w:t>16</w:t>
      </w:r>
      <w:r w:rsidRPr="00187F9A">
        <w:t xml:space="preserve"> sets out </w:t>
      </w:r>
      <w:r w:rsidR="001B2A07" w:rsidRPr="00187F9A">
        <w:t xml:space="preserve">requirements that must be satisfied by an area of land if it is to be defined as a CEA. </w:t>
      </w:r>
      <w:r w:rsidR="00FA3355">
        <w:t xml:space="preserve">These include that regeneration must first </w:t>
      </w:r>
      <w:r w:rsidR="00404594">
        <w:t>occur</w:t>
      </w:r>
      <w:r w:rsidR="00FA3355">
        <w:t xml:space="preserve"> at or around the same time. </w:t>
      </w:r>
    </w:p>
    <w:p w:rsidR="00895630" w:rsidRDefault="00FA3355" w:rsidP="001B5684">
      <w:pPr>
        <w:spacing w:before="120" w:after="120"/>
      </w:pPr>
      <w:r>
        <w:t xml:space="preserve">In deciding if regeneration has occurred around the same time consideration should be given to the dominant species of the native vegetation community and their ecological characteristics. For </w:t>
      </w:r>
      <w:r w:rsidR="00404594">
        <w:t>example</w:t>
      </w:r>
      <w:r w:rsidR="005A2FBD">
        <w:t>,</w:t>
      </w:r>
      <w:r>
        <w:t xml:space="preserve"> if a </w:t>
      </w:r>
      <w:r w:rsidR="00404594">
        <w:t>species</w:t>
      </w:r>
      <w:r>
        <w:t xml:space="preserve"> requires very high moisture levels to regenerate than regeneration might be expected to </w:t>
      </w:r>
      <w:r w:rsidR="00404594">
        <w:t>occur</w:t>
      </w:r>
      <w:r>
        <w:t xml:space="preserve"> within a month following a significant rainfall event.</w:t>
      </w:r>
    </w:p>
    <w:p w:rsidR="00B118D5" w:rsidRDefault="001B2A07" w:rsidP="003756B9">
      <w:pPr>
        <w:spacing w:before="120" w:after="120"/>
      </w:pPr>
      <w:r>
        <w:t>A CEA</w:t>
      </w:r>
      <w:r w:rsidR="00187F9A">
        <w:t xml:space="preserve"> </w:t>
      </w:r>
      <w:r w:rsidR="00B118D5">
        <w:t>may be a single polygon, or a set of polygons</w:t>
      </w:r>
      <w:r w:rsidR="00146C10">
        <w:t>. T</w:t>
      </w:r>
      <w:r w:rsidR="00146C10" w:rsidRPr="00E02454">
        <w:t>he whole of the CEA must be contained in a circle with a radius of 1.5 kilometres</w:t>
      </w:r>
      <w:r w:rsidR="00B118D5">
        <w:t>.</w:t>
      </w:r>
      <w:r w:rsidR="00714EEC">
        <w:t xml:space="preserve"> </w:t>
      </w:r>
    </w:p>
    <w:p w:rsidR="00E86551" w:rsidRDefault="001B2A07" w:rsidP="003756B9">
      <w:pPr>
        <w:spacing w:before="120" w:after="120"/>
      </w:pPr>
      <w:r>
        <w:t xml:space="preserve">The </w:t>
      </w:r>
      <w:r w:rsidR="000B5137">
        <w:t xml:space="preserve">entire </w:t>
      </w:r>
      <w:r>
        <w:t xml:space="preserve">area of land that constitutes a CEA </w:t>
      </w:r>
      <w:r w:rsidR="000B5137">
        <w:t>must be eligible land, as defined in section</w:t>
      </w:r>
      <w:r w:rsidR="00E64280">
        <w:t xml:space="preserve">s </w:t>
      </w:r>
      <w:r w:rsidR="00BC7740">
        <w:t>4</w:t>
      </w:r>
      <w:r w:rsidR="00E64280">
        <w:t xml:space="preserve"> and</w:t>
      </w:r>
      <w:r w:rsidR="000B5137">
        <w:t xml:space="preserve"> </w:t>
      </w:r>
      <w:r w:rsidR="00BC7740">
        <w:t>5</w:t>
      </w:r>
      <w:r w:rsidR="000B5137">
        <w:t xml:space="preserve">, and the project mechanism must have been undertaken on </w:t>
      </w:r>
      <w:r w:rsidR="002E7A79">
        <w:t>that</w:t>
      </w:r>
      <w:r w:rsidR="000B5137">
        <w:t xml:space="preserve"> land.</w:t>
      </w:r>
      <w:r w:rsidR="009A0367">
        <w:t xml:space="preserve"> The land must have forest potential</w:t>
      </w:r>
      <w:r w:rsidR="002E7A79">
        <w:t xml:space="preserve">, as defined in section </w:t>
      </w:r>
      <w:r w:rsidR="00BC7740">
        <w:t>3</w:t>
      </w:r>
      <w:r w:rsidR="002E7A79">
        <w:t xml:space="preserve">, before it can be stratified as a CEA. </w:t>
      </w:r>
    </w:p>
    <w:p w:rsidR="009C1E76" w:rsidRDefault="00ED2F45" w:rsidP="003756B9">
      <w:pPr>
        <w:spacing w:before="120" w:after="120"/>
      </w:pPr>
      <w:r>
        <w:t xml:space="preserve">To allow for accurate modelling of carbon stocks in </w:t>
      </w:r>
      <w:proofErr w:type="spellStart"/>
      <w:r>
        <w:t>FullCAM</w:t>
      </w:r>
      <w:proofErr w:type="spellEnd"/>
      <w:r>
        <w:t xml:space="preserve">, the regeneration on the land </w:t>
      </w:r>
      <w:r w:rsidR="00B37EC6">
        <w:t>in a single CEA</w:t>
      </w:r>
      <w:r>
        <w:t xml:space="preserve"> must have commenced at </w:t>
      </w:r>
      <w:r w:rsidR="00BA4E1F">
        <w:t xml:space="preserve">or </w:t>
      </w:r>
      <w:r>
        <w:t xml:space="preserve">around the same time and it must be possible to use the same </w:t>
      </w:r>
      <w:proofErr w:type="spellStart"/>
      <w:r>
        <w:t>FullCAM</w:t>
      </w:r>
      <w:proofErr w:type="spellEnd"/>
      <w:r>
        <w:t xml:space="preserve"> events queue (or </w:t>
      </w:r>
      <w:r w:rsidR="00BA4E1F">
        <w:t xml:space="preserve">the same </w:t>
      </w:r>
      <w:proofErr w:type="spellStart"/>
      <w:r w:rsidR="00BA4E1F">
        <w:t>FullCAM</w:t>
      </w:r>
      <w:proofErr w:type="spellEnd"/>
      <w:r w:rsidR="00BA4E1F">
        <w:t xml:space="preserve"> </w:t>
      </w:r>
      <w:r>
        <w:t>events queues</w:t>
      </w:r>
      <w:r w:rsidR="00BA4E1F">
        <w:t>,</w:t>
      </w:r>
      <w:r>
        <w:t xml:space="preserve"> if </w:t>
      </w:r>
      <w:r w:rsidR="00BA4E1F">
        <w:t xml:space="preserve">this is </w:t>
      </w:r>
      <w:r>
        <w:t xml:space="preserve">provided for in the </w:t>
      </w:r>
      <w:proofErr w:type="spellStart"/>
      <w:r>
        <w:t>FullCAM</w:t>
      </w:r>
      <w:proofErr w:type="spellEnd"/>
      <w:r>
        <w:t xml:space="preserve"> Guidelines) to model the series of disturbance and land management events that occurred on the area of land in accordance with the </w:t>
      </w:r>
      <w:proofErr w:type="spellStart"/>
      <w:r>
        <w:t>FullCAM</w:t>
      </w:r>
      <w:proofErr w:type="spellEnd"/>
      <w:r>
        <w:t xml:space="preserve"> Guidelines. </w:t>
      </w:r>
      <w:r w:rsidR="003C1176">
        <w:t xml:space="preserve">The reference to multiple events queues is to allow </w:t>
      </w:r>
      <w:r w:rsidR="00D83D27">
        <w:t xml:space="preserve">the </w:t>
      </w:r>
      <w:proofErr w:type="spellStart"/>
      <w:r w:rsidR="00D83D27">
        <w:t>FullCAM</w:t>
      </w:r>
      <w:proofErr w:type="spellEnd"/>
      <w:r w:rsidR="00D83D27">
        <w:t xml:space="preserve"> Guidelines to specify hybrid modelling approaches to deal with complex disturbance events</w:t>
      </w:r>
      <w:r w:rsidR="00BA4E1F">
        <w:t xml:space="preserve"> (noting that the </w:t>
      </w:r>
      <w:proofErr w:type="spellStart"/>
      <w:r w:rsidR="00BA4E1F">
        <w:t>FullCAM</w:t>
      </w:r>
      <w:proofErr w:type="spellEnd"/>
      <w:r w:rsidR="00BA4E1F">
        <w:t xml:space="preserve"> Guidelines did not provide for this when the Variation was made)</w:t>
      </w:r>
      <w:r w:rsidR="00D83D27">
        <w:t>.</w:t>
      </w:r>
    </w:p>
    <w:p w:rsidR="002E7A79" w:rsidRDefault="00DC0C99" w:rsidP="003756B9">
      <w:pPr>
        <w:spacing w:before="120" w:after="120"/>
      </w:pPr>
      <w:r>
        <w:t>For example if two areas of land greater than 0.2 hectares each began to regenerate after spring rains following implementation of the project activities but these areas were separated by 0.2 hectares of land that did not regenerate</w:t>
      </w:r>
      <w:r w:rsidR="0091381A">
        <w:t>,</w:t>
      </w:r>
      <w:r>
        <w:t xml:space="preserve"> only the regenerating areas could be stratified as CEA parts of the same CEA. Subsequently if the area that did not previously regenerate began to regenerate two years later</w:t>
      </w:r>
      <w:r w:rsidR="0091381A">
        <w:t>, it</w:t>
      </w:r>
      <w:r>
        <w:t xml:space="preserve"> could then </w:t>
      </w:r>
      <w:r w:rsidR="0091381A">
        <w:t xml:space="preserve">be </w:t>
      </w:r>
      <w:r>
        <w:t>stratified as a CEA but would be stratified as a separate CEA</w:t>
      </w:r>
      <w:r w:rsidR="0091381A">
        <w:t xml:space="preserve"> from </w:t>
      </w:r>
      <w:r w:rsidR="00264CAB">
        <w:t xml:space="preserve">the </w:t>
      </w:r>
      <w:r w:rsidR="0091381A">
        <w:t>other two CEA parts</w:t>
      </w:r>
      <w:r w:rsidR="00927A16">
        <w:t>. This is because</w:t>
      </w:r>
      <w:r w:rsidR="0091381A">
        <w:t xml:space="preserve"> it would not be considered to have commenced regeneration at the same time as those other CEA parts.</w:t>
      </w:r>
    </w:p>
    <w:p w:rsidR="002E7A79" w:rsidRDefault="00E86551" w:rsidP="003756B9">
      <w:pPr>
        <w:spacing w:before="120" w:after="120"/>
      </w:pPr>
      <w:r>
        <w:t xml:space="preserve">Finally, CEAs must not overlap; that is, no area of land can be included in more than one CEA </w:t>
      </w:r>
      <w:r w:rsidR="00FF3B87">
        <w:t>in a reporting period</w:t>
      </w:r>
      <w:r>
        <w:t>.</w:t>
      </w:r>
    </w:p>
    <w:p w:rsidR="00B118D5" w:rsidRDefault="00B118D5" w:rsidP="001B5684">
      <w:pPr>
        <w:pStyle w:val="Heading4"/>
        <w:rPr>
          <w:color w:val="000000" w:themeColor="text1"/>
        </w:rPr>
      </w:pPr>
      <w:r>
        <w:rPr>
          <w:color w:val="000000" w:themeColor="text1"/>
        </w:rPr>
        <w:t>17.</w:t>
      </w:r>
      <w:r>
        <w:rPr>
          <w:color w:val="000000" w:themeColor="text1"/>
        </w:rPr>
        <w:tab/>
      </w:r>
      <w:r w:rsidRPr="009F4247">
        <w:rPr>
          <w:color w:val="000000" w:themeColor="text1"/>
        </w:rPr>
        <w:t>CEA and CEA part boundaries</w:t>
      </w:r>
    </w:p>
    <w:p w:rsidR="00B118D5" w:rsidRDefault="00B118D5" w:rsidP="003756B9">
      <w:pPr>
        <w:spacing w:before="120" w:after="120"/>
      </w:pPr>
      <w:r w:rsidRPr="001B54F4">
        <w:t xml:space="preserve">The boundaries of each </w:t>
      </w:r>
      <w:r>
        <w:t>CEA</w:t>
      </w:r>
      <w:r w:rsidRPr="001B54F4">
        <w:t xml:space="preserve"> must be identified on a geospatial map of the project area, in</w:t>
      </w:r>
      <w:r>
        <w:t xml:space="preserve"> </w:t>
      </w:r>
      <w:r w:rsidRPr="001B54F4">
        <w:t>accordance with the CFI M</w:t>
      </w:r>
      <w:r>
        <w:t xml:space="preserve">apping Guidelines and section 24, which states that the proponent must use the CFI mapping tool or another system that meets the requirements of the CFI mapping guidelines to identify the boundaries of CEAs. </w:t>
      </w:r>
    </w:p>
    <w:p w:rsidR="00B118D5" w:rsidRDefault="00B118D5" w:rsidP="003756B9">
      <w:pPr>
        <w:spacing w:before="120" w:after="120"/>
      </w:pPr>
      <w:r>
        <w:t xml:space="preserve">Subsection (2) states that the boundaries of the CEA must </w:t>
      </w:r>
      <w:r w:rsidR="00404594">
        <w:t>be a polygon whose edge lies no more</w:t>
      </w:r>
      <w:r>
        <w:t xml:space="preserve"> than 2 metres from the stems of the </w:t>
      </w:r>
      <w:r w:rsidR="00404594">
        <w:t xml:space="preserve">outer-most </w:t>
      </w:r>
      <w:r>
        <w:t>regenerating trees. This is intended to ensure that the CEA area, which is used to calculate carbon stocks for the net abatement amount, accurately reflects the regenerating area.</w:t>
      </w:r>
      <w:r w:rsidR="00404594">
        <w:t xml:space="preserve"> The outer-most trees of the regenerating area are the trees at the edge of the area, which meets the requirement of a CEA as set out in section 16. It is probable that there will be trees outside of the polygon depicting the CEA area, but that </w:t>
      </w:r>
      <w:proofErr w:type="gramStart"/>
      <w:r w:rsidR="00404594">
        <w:t>these</w:t>
      </w:r>
      <w:proofErr w:type="gramEnd"/>
      <w:r w:rsidR="00404594">
        <w:t xml:space="preserve"> </w:t>
      </w:r>
      <w:r w:rsidR="004D478E">
        <w:t xml:space="preserve">tress </w:t>
      </w:r>
      <w:r w:rsidR="00404594">
        <w:t>are on land that does not meet the definition of a CEA or has characteristics that require it to be mapped as a separate CEA.</w:t>
      </w:r>
    </w:p>
    <w:p w:rsidR="00B118D5" w:rsidRDefault="00B118D5" w:rsidP="003756B9">
      <w:pPr>
        <w:spacing w:before="120" w:after="120"/>
      </w:pPr>
      <w:r>
        <w:t>If a CEA boundary would fall within another CEA, subsection 1</w:t>
      </w:r>
      <w:r w:rsidR="00404594">
        <w:t>7</w:t>
      </w:r>
      <w:r>
        <w:t>(3) requires those CEAs to be re</w:t>
      </w:r>
      <w:r>
        <w:noBreakHyphen/>
      </w:r>
      <w:proofErr w:type="spellStart"/>
      <w:r>
        <w:t>stratified</w:t>
      </w:r>
      <w:proofErr w:type="spellEnd"/>
      <w:r>
        <w:t>. Subsection 1</w:t>
      </w:r>
      <w:r w:rsidR="00404594">
        <w:t>7</w:t>
      </w:r>
      <w:r>
        <w:t>(3) states that if two CEA boundaries would overlap, the boundaries must be repositioned to run halfway through the area where the overlap would otherwise occur.</w:t>
      </w:r>
    </w:p>
    <w:p w:rsidR="00B118D5" w:rsidRDefault="00B118D5" w:rsidP="003756B9">
      <w:pPr>
        <w:spacing w:before="120" w:after="120"/>
      </w:pPr>
      <w:r>
        <w:t>Subsection 1</w:t>
      </w:r>
      <w:r w:rsidR="00404594">
        <w:t>7</w:t>
      </w:r>
      <w:r>
        <w:t>(4) also states that if a CEA is no longer wholly contained within the project area, for example due to a variation to the project’s declaration under section 27 of the Act, the CEA must be re-stratified. Subsection 1</w:t>
      </w:r>
      <w:r w:rsidR="00404594">
        <w:t>7</w:t>
      </w:r>
      <w:r>
        <w:t xml:space="preserve">(4) provides for any part of a CEA boundary that would be outside the project area to instead follow the project area boundary. </w:t>
      </w:r>
    </w:p>
    <w:p w:rsidR="007E2EBC" w:rsidRDefault="00B0011E" w:rsidP="001B5684">
      <w:pPr>
        <w:pStyle w:val="Heading4"/>
        <w:rPr>
          <w:color w:val="000000" w:themeColor="text1"/>
        </w:rPr>
      </w:pPr>
      <w:r>
        <w:rPr>
          <w:color w:val="000000" w:themeColor="text1"/>
        </w:rPr>
        <w:t>18.</w:t>
      </w:r>
      <w:r w:rsidR="007E2EBC">
        <w:rPr>
          <w:color w:val="000000" w:themeColor="text1"/>
        </w:rPr>
        <w:tab/>
      </w:r>
      <w:r w:rsidR="007E2EBC" w:rsidRPr="007E2EBC">
        <w:rPr>
          <w:color w:val="000000" w:themeColor="text1"/>
        </w:rPr>
        <w:t>Re-stratification of a CEA</w:t>
      </w:r>
    </w:p>
    <w:p w:rsidR="00BF7F7C" w:rsidRDefault="003C1176" w:rsidP="003756B9">
      <w:pPr>
        <w:spacing w:before="120" w:after="120"/>
      </w:pPr>
      <w:r>
        <w:t xml:space="preserve">If </w:t>
      </w:r>
      <w:r w:rsidR="00FF3B87">
        <w:t xml:space="preserve">a </w:t>
      </w:r>
      <w:r w:rsidR="00D83D27">
        <w:t>single</w:t>
      </w:r>
      <w:r>
        <w:t xml:space="preserve"> CEA can no longer be modelled with</w:t>
      </w:r>
      <w:r w:rsidR="009B18F5">
        <w:t xml:space="preserve"> a single </w:t>
      </w:r>
      <w:proofErr w:type="spellStart"/>
      <w:r w:rsidR="009B18F5">
        <w:t>FullCAM</w:t>
      </w:r>
      <w:proofErr w:type="spellEnd"/>
      <w:r w:rsidR="009B18F5">
        <w:t xml:space="preserve"> </w:t>
      </w:r>
      <w:r>
        <w:t>events</w:t>
      </w:r>
      <w:r w:rsidR="00D83D27">
        <w:t xml:space="preserve"> queue </w:t>
      </w:r>
      <w:r w:rsidR="009B18F5">
        <w:t>(</w:t>
      </w:r>
      <w:r w:rsidR="00BA4E1F">
        <w:t xml:space="preserve">or </w:t>
      </w:r>
      <w:r w:rsidR="009B18F5">
        <w:t>more than one events queue</w:t>
      </w:r>
      <w:r>
        <w:t xml:space="preserve"> </w:t>
      </w:r>
      <w:r w:rsidR="009B18F5">
        <w:t xml:space="preserve">if permitted by </w:t>
      </w:r>
      <w:r>
        <w:t xml:space="preserve">the </w:t>
      </w:r>
      <w:proofErr w:type="spellStart"/>
      <w:r>
        <w:t>FullCAM</w:t>
      </w:r>
      <w:proofErr w:type="spellEnd"/>
      <w:r>
        <w:t xml:space="preserve"> Guidelines</w:t>
      </w:r>
      <w:r w:rsidR="009B18F5">
        <w:t>)</w:t>
      </w:r>
      <w:r w:rsidR="00D83D27">
        <w:t xml:space="preserve">, section </w:t>
      </w:r>
      <w:r w:rsidR="00BC7740">
        <w:t>18</w:t>
      </w:r>
      <w:r w:rsidR="00D83D27">
        <w:t xml:space="preserve"> requires that it be re</w:t>
      </w:r>
      <w:r w:rsidR="003B663E">
        <w:t>-</w:t>
      </w:r>
      <w:r w:rsidR="00D83D27">
        <w:t xml:space="preserve">stratified. The proponent may define new CEAs that individually can be modelled in </w:t>
      </w:r>
      <w:proofErr w:type="spellStart"/>
      <w:r w:rsidR="00D83D27">
        <w:t>FullCAM</w:t>
      </w:r>
      <w:proofErr w:type="spellEnd"/>
      <w:r w:rsidR="0008421F">
        <w:t xml:space="preserve"> in accordance with paragraph </w:t>
      </w:r>
      <w:r w:rsidR="00BC7740">
        <w:t>16</w:t>
      </w:r>
      <w:r w:rsidR="0008421F">
        <w:t>(</w:t>
      </w:r>
      <w:r w:rsidR="00681288">
        <w:t>4</w:t>
      </w:r>
      <w:r w:rsidR="0008421F">
        <w:t>)</w:t>
      </w:r>
      <w:r w:rsidR="00D83D27">
        <w:t xml:space="preserve">, may designate the land as not being a CEA, or </w:t>
      </w:r>
      <w:r w:rsidR="0008421F">
        <w:t xml:space="preserve">may do </w:t>
      </w:r>
      <w:r w:rsidR="00D83D27">
        <w:t>a combination of these.</w:t>
      </w:r>
      <w:r w:rsidR="00BA4E1F">
        <w:t xml:space="preserve"> </w:t>
      </w:r>
    </w:p>
    <w:p w:rsidR="00E64280" w:rsidRDefault="00681288" w:rsidP="003756B9">
      <w:pPr>
        <w:spacing w:before="120" w:after="120"/>
      </w:pPr>
      <w:r>
        <w:t>The proponent is required</w:t>
      </w:r>
      <w:r w:rsidR="00323D21">
        <w:t xml:space="preserve"> to re-stratify a CEA if the CEA </w:t>
      </w:r>
      <w:r w:rsidR="00323D21" w:rsidRPr="00CF5E17">
        <w:t xml:space="preserve">can no longer reasonably be expected to </w:t>
      </w:r>
      <w:r w:rsidR="0056458E">
        <w:t>attain</w:t>
      </w:r>
      <w:r w:rsidR="00323D21" w:rsidRPr="00CF5E17">
        <w:t xml:space="preserve"> forest </w:t>
      </w:r>
      <w:r w:rsidR="0056458E">
        <w:t xml:space="preserve">cover </w:t>
      </w:r>
      <w:r w:rsidR="00323D21" w:rsidRPr="00CF5E17">
        <w:t>through regeneration</w:t>
      </w:r>
      <w:r w:rsidR="0056458E">
        <w:t xml:space="preserve"> of native forest</w:t>
      </w:r>
      <w:r w:rsidR="0015082E">
        <w:t xml:space="preserve">. This provision </w:t>
      </w:r>
      <w:r w:rsidR="004610FE">
        <w:t>has been</w:t>
      </w:r>
      <w:r w:rsidR="0015082E">
        <w:t xml:space="preserve"> included so that credits do not continue to be issued on the basis of </w:t>
      </w:r>
      <w:proofErr w:type="spellStart"/>
      <w:r w:rsidR="0015082E">
        <w:t>FullCAM</w:t>
      </w:r>
      <w:proofErr w:type="spellEnd"/>
      <w:r w:rsidR="0015082E">
        <w:t xml:space="preserve"> modelling of a growing forest </w:t>
      </w:r>
      <w:r w:rsidR="004610FE">
        <w:t>if there is no reasonable prospect of forest cover actually being achieved on the land.</w:t>
      </w:r>
    </w:p>
    <w:p w:rsidR="00905F15" w:rsidRDefault="00905F15" w:rsidP="001B5684">
      <w:pPr>
        <w:pStyle w:val="Heading4"/>
        <w:rPr>
          <w:color w:val="000000" w:themeColor="text1"/>
        </w:rPr>
      </w:pPr>
      <w:bookmarkStart w:id="2" w:name="_Toc357702874"/>
      <w:bookmarkStart w:id="3" w:name="_Toc421717615"/>
      <w:bookmarkStart w:id="4" w:name="_Toc421717833"/>
      <w:bookmarkStart w:id="5" w:name="_Toc434924354"/>
      <w:r>
        <w:rPr>
          <w:color w:val="000000" w:themeColor="text1"/>
        </w:rPr>
        <w:t>19.</w:t>
      </w:r>
      <w:r>
        <w:rPr>
          <w:color w:val="000000" w:themeColor="text1"/>
        </w:rPr>
        <w:tab/>
      </w:r>
      <w:r w:rsidRPr="007E2EBC">
        <w:rPr>
          <w:color w:val="000000" w:themeColor="text1"/>
        </w:rPr>
        <w:t>CEA</w:t>
      </w:r>
      <w:r>
        <w:rPr>
          <w:color w:val="000000" w:themeColor="text1"/>
        </w:rPr>
        <w:t xml:space="preserve">s </w:t>
      </w:r>
      <w:r w:rsidR="00852E5A">
        <w:rPr>
          <w:color w:val="000000" w:themeColor="text1"/>
        </w:rPr>
        <w:t>transferring</w:t>
      </w:r>
      <w:r>
        <w:rPr>
          <w:color w:val="000000" w:themeColor="text1"/>
        </w:rPr>
        <w:t xml:space="preserve"> from other project</w:t>
      </w:r>
    </w:p>
    <w:p w:rsidR="00905F15" w:rsidRDefault="00905F15" w:rsidP="003756B9">
      <w:pPr>
        <w:spacing w:before="120" w:after="120"/>
      </w:pPr>
      <w:r>
        <w:t xml:space="preserve">For </w:t>
      </w:r>
      <w:r w:rsidR="000461C1">
        <w:t>transferring</w:t>
      </w:r>
      <w:r>
        <w:t xml:space="preserve"> projects the land is taken to be </w:t>
      </w:r>
      <w:r w:rsidR="000461C1">
        <w:t>stratified as</w:t>
      </w:r>
      <w:r>
        <w:t xml:space="preserve"> a CEA as per the </w:t>
      </w:r>
      <w:r w:rsidR="000461C1">
        <w:t>previous</w:t>
      </w:r>
      <w:r>
        <w:t xml:space="preserve"> </w:t>
      </w:r>
      <w:r w:rsidR="000461C1">
        <w:t xml:space="preserve">offset </w:t>
      </w:r>
      <w:r>
        <w:t xml:space="preserve">report. </w:t>
      </w:r>
      <w:r w:rsidR="00F80D97">
        <w:t>T</w:t>
      </w:r>
      <w:r w:rsidR="000461C1">
        <w:t xml:space="preserve">he CEAs </w:t>
      </w:r>
      <w:r w:rsidR="00F80D97">
        <w:t>must</w:t>
      </w:r>
      <w:r w:rsidR="000461C1">
        <w:t xml:space="preserve"> meet the requirements in </w:t>
      </w:r>
      <w:r w:rsidR="00264CAB">
        <w:t>sub</w:t>
      </w:r>
      <w:r w:rsidR="000461C1">
        <w:t xml:space="preserve">section 16(4) regarding the need for an area to commence regeneration at the same time and for it to be possible to model any events in the CEA in </w:t>
      </w:r>
      <w:proofErr w:type="spellStart"/>
      <w:r w:rsidR="000461C1">
        <w:t>FullCAM</w:t>
      </w:r>
      <w:proofErr w:type="spellEnd"/>
      <w:r w:rsidR="000461C1">
        <w:t xml:space="preserve"> as per the </w:t>
      </w:r>
      <w:proofErr w:type="spellStart"/>
      <w:r w:rsidR="000461C1">
        <w:t>FullCAM</w:t>
      </w:r>
      <w:proofErr w:type="spellEnd"/>
      <w:r w:rsidR="000461C1">
        <w:t xml:space="preserve"> guidelines</w:t>
      </w:r>
      <w:r w:rsidR="00F80D97">
        <w:t>. If the CEAs do not meet these requirements,</w:t>
      </w:r>
      <w:r w:rsidR="000461C1">
        <w:t xml:space="preserve"> </w:t>
      </w:r>
      <w:r w:rsidR="00264CAB">
        <w:t xml:space="preserve">then </w:t>
      </w:r>
      <w:r w:rsidR="000461C1">
        <w:t>the CEAs must be re-stratified such that they meet these requirements.</w:t>
      </w:r>
      <w:r w:rsidR="002B4247">
        <w:t xml:space="preserve"> CEAs transferring from other projects are no</w:t>
      </w:r>
      <w:r w:rsidR="00A949F9">
        <w:t>t</w:t>
      </w:r>
      <w:r w:rsidR="002B4247">
        <w:t xml:space="preserve"> require</w:t>
      </w:r>
      <w:r w:rsidR="00852E5A">
        <w:t>d</w:t>
      </w:r>
      <w:r w:rsidR="002B4247">
        <w:t xml:space="preserve"> to m</w:t>
      </w:r>
      <w:r w:rsidR="00A949F9">
        <w:t>e</w:t>
      </w:r>
      <w:r w:rsidR="002B4247">
        <w:t>et the c</w:t>
      </w:r>
      <w:r w:rsidR="00A949F9">
        <w:t>o</w:t>
      </w:r>
      <w:r w:rsidR="002B4247">
        <w:t>nd</w:t>
      </w:r>
      <w:r w:rsidR="00A949F9">
        <w:t>i</w:t>
      </w:r>
      <w:r w:rsidR="002B4247">
        <w:t>tions</w:t>
      </w:r>
      <w:r w:rsidR="004B2DB0">
        <w:t xml:space="preserve"> in 16(4</w:t>
      </w:r>
      <w:proofErr w:type="gramStart"/>
      <w:r w:rsidR="004B2DB0">
        <w:t>)(</w:t>
      </w:r>
      <w:proofErr w:type="gramEnd"/>
      <w:r w:rsidR="004B2DB0">
        <w:t>c)</w:t>
      </w:r>
      <w:r w:rsidR="00A949F9">
        <w:t xml:space="preserve"> </w:t>
      </w:r>
      <w:r w:rsidR="00852E5A">
        <w:t>regarding</w:t>
      </w:r>
      <w:r w:rsidR="00A949F9">
        <w:t xml:space="preserve"> the need for a CEA to contain a </w:t>
      </w:r>
      <w:r w:rsidR="00A949F9" w:rsidRPr="004809AC">
        <w:t>similar mix of native vegetation</w:t>
      </w:r>
      <w:r w:rsidR="002B4247">
        <w:t>.</w:t>
      </w:r>
    </w:p>
    <w:p w:rsidR="00905F15" w:rsidRDefault="00905F15" w:rsidP="003756B9">
      <w:pPr>
        <w:spacing w:before="120" w:after="120"/>
      </w:pPr>
      <w:r>
        <w:t xml:space="preserve">The </w:t>
      </w:r>
      <w:r w:rsidR="000461C1">
        <w:t>determination</w:t>
      </w:r>
      <w:r>
        <w:t xml:space="preserve"> allows for CEAs that are part of a project that is </w:t>
      </w:r>
      <w:r w:rsidR="000461C1">
        <w:t>transferred</w:t>
      </w:r>
      <w:r>
        <w:t xml:space="preserve"> to the method to be treated as CEA parts of </w:t>
      </w:r>
      <w:r w:rsidR="00CD1AD0">
        <w:t>single</w:t>
      </w:r>
      <w:r>
        <w:t xml:space="preserve"> CEA</w:t>
      </w:r>
      <w:r w:rsidR="000461C1">
        <w:t>,</w:t>
      </w:r>
      <w:r>
        <w:t xml:space="preserve"> provided the CEA meets the conditions set out in section 16.</w:t>
      </w:r>
      <w:r w:rsidR="00F80D97">
        <w:t xml:space="preserve"> </w:t>
      </w:r>
      <w:r w:rsidR="006323A1">
        <w:t>That is if there are multiple CEAs as stratified under a previous determination and collectively these CEAs all meet the requirements set out in section 16 for a single CEA, then they may be re-stratified as parts of a single CEA.</w:t>
      </w:r>
    </w:p>
    <w:p w:rsidR="002B4247" w:rsidRPr="00905F15" w:rsidRDefault="00A949F9" w:rsidP="003756B9">
      <w:pPr>
        <w:spacing w:before="120" w:after="120"/>
      </w:pPr>
      <w:r>
        <w:t xml:space="preserve">This section applies only to CEAs that were previously stratified as part of a project that is transferring. </w:t>
      </w:r>
      <w:r w:rsidR="002B4247">
        <w:t>Any</w:t>
      </w:r>
      <w:r>
        <w:t xml:space="preserve"> new</w:t>
      </w:r>
      <w:r w:rsidR="002B4247">
        <w:t xml:space="preserve"> CEAs areas that are added to a tra</w:t>
      </w:r>
      <w:r>
        <w:t>ns</w:t>
      </w:r>
      <w:r w:rsidR="002B4247">
        <w:t>ferrin</w:t>
      </w:r>
      <w:r>
        <w:t>g</w:t>
      </w:r>
      <w:r w:rsidR="002B4247">
        <w:t xml:space="preserve"> proj</w:t>
      </w:r>
      <w:r>
        <w:t>e</w:t>
      </w:r>
      <w:r w:rsidR="002B4247">
        <w:t>ct mu</w:t>
      </w:r>
      <w:r>
        <w:t>s</w:t>
      </w:r>
      <w:r w:rsidR="002B4247">
        <w:t>t meet all of the conditions set out in section 16.</w:t>
      </w:r>
    </w:p>
    <w:p w:rsidR="007E2EBC" w:rsidRDefault="007E2EBC" w:rsidP="003756B9">
      <w:pPr>
        <w:pStyle w:val="ESHeading"/>
        <w:spacing w:before="240" w:after="0" w:line="276" w:lineRule="auto"/>
      </w:pPr>
      <w:r>
        <w:t>Subdivision 3—</w:t>
      </w:r>
      <w:r w:rsidRPr="00FE167A">
        <w:t>Project operation</w:t>
      </w:r>
      <w:bookmarkEnd w:id="2"/>
      <w:bookmarkEnd w:id="3"/>
      <w:bookmarkEnd w:id="4"/>
      <w:bookmarkEnd w:id="5"/>
    </w:p>
    <w:p w:rsidR="0005276A" w:rsidRDefault="00B0011E" w:rsidP="001B5684">
      <w:pPr>
        <w:pStyle w:val="Heading4"/>
        <w:rPr>
          <w:color w:val="000000" w:themeColor="text1"/>
        </w:rPr>
      </w:pPr>
      <w:r>
        <w:rPr>
          <w:color w:val="000000" w:themeColor="text1"/>
        </w:rPr>
        <w:t>20.</w:t>
      </w:r>
      <w:r w:rsidR="007E2EBC">
        <w:rPr>
          <w:color w:val="000000" w:themeColor="text1"/>
        </w:rPr>
        <w:tab/>
      </w:r>
      <w:r w:rsidR="0005276A" w:rsidRPr="0005276A">
        <w:rPr>
          <w:color w:val="000000" w:themeColor="text1"/>
        </w:rPr>
        <w:t>Removal of biomass from CEAs</w:t>
      </w:r>
    </w:p>
    <w:p w:rsidR="00056963" w:rsidRDefault="003D3083" w:rsidP="00056963">
      <w:pPr>
        <w:spacing w:before="120" w:after="120"/>
      </w:pPr>
      <w:r>
        <w:t xml:space="preserve">Section </w:t>
      </w:r>
      <w:r w:rsidR="00BC7740">
        <w:t>20</w:t>
      </w:r>
      <w:r>
        <w:t xml:space="preserve"> prevents biomass from being removed from </w:t>
      </w:r>
      <w:r w:rsidR="00AA6E3F">
        <w:t xml:space="preserve">a </w:t>
      </w:r>
      <w:r>
        <w:t>CEA</w:t>
      </w:r>
      <w:r w:rsidR="00AA6E3F">
        <w:t xml:space="preserve"> </w:t>
      </w:r>
      <w:r w:rsidR="00AA6E3F" w:rsidRPr="00463354">
        <w:rPr>
          <w:color w:val="000000" w:themeColor="text1"/>
        </w:rPr>
        <w:t xml:space="preserve">required by or under law or permitted by this determination. It states that the destruction of native vegetation is permitted within a CEA if </w:t>
      </w:r>
      <w:r w:rsidR="006B1398">
        <w:t>a</w:t>
      </w:r>
      <w:r w:rsidR="002E0079">
        <w:t xml:space="preserve"> </w:t>
      </w:r>
      <w:r w:rsidR="006D329C">
        <w:t>pl</w:t>
      </w:r>
      <w:r w:rsidR="002E0079">
        <w:t>ant is not native and its removal (rather than killing the plant</w:t>
      </w:r>
      <w:r w:rsidR="00056963">
        <w:t xml:space="preserve"> and leaving the biomass in the CEA</w:t>
      </w:r>
      <w:r w:rsidR="002E0079">
        <w:t xml:space="preserve">) </w:t>
      </w:r>
      <w:r w:rsidR="00E47E41">
        <w:t xml:space="preserve">would </w:t>
      </w:r>
      <w:r w:rsidR="00E47E41" w:rsidRPr="00C71E0C">
        <w:t>improve</w:t>
      </w:r>
      <w:r w:rsidR="002E0079" w:rsidRPr="00C71E0C">
        <w:t xml:space="preserve"> the growth rate or health of the remaining native vegetation</w:t>
      </w:r>
      <w:r w:rsidR="002E0079">
        <w:t xml:space="preserve"> </w:t>
      </w:r>
      <w:r w:rsidR="00AA6E3F">
        <w:t xml:space="preserve">or </w:t>
      </w:r>
      <w:r w:rsidR="006B1398">
        <w:t>it is</w:t>
      </w:r>
      <w:r w:rsidR="002E0079">
        <w:t xml:space="preserve"> for personal firewood use. </w:t>
      </w:r>
    </w:p>
    <w:p w:rsidR="002E0079" w:rsidRPr="00F43C3D" w:rsidRDefault="006B1398" w:rsidP="006B1398">
      <w:pPr>
        <w:spacing w:before="120" w:after="120"/>
        <w:rPr>
          <w:color w:val="FF0000"/>
        </w:rPr>
      </w:pPr>
      <w:r>
        <w:t>W</w:t>
      </w:r>
      <w:r w:rsidR="00056963">
        <w:t>h</w:t>
      </w:r>
      <w:r>
        <w:t>e</w:t>
      </w:r>
      <w:r w:rsidR="00056963">
        <w:t>re firewood</w:t>
      </w:r>
      <w:r>
        <w:t xml:space="preserve"> is removed for personal use </w:t>
      </w:r>
      <w:r w:rsidR="00A62886">
        <w:t>only dead</w:t>
      </w:r>
      <w:r w:rsidR="002E0079">
        <w:t xml:space="preserve"> biomass </w:t>
      </w:r>
      <w:r w:rsidR="00A62886">
        <w:t xml:space="preserve">may be removed. This may only be removed when the dead biomass </w:t>
      </w:r>
      <w:r w:rsidR="002E0079">
        <w:t>was not the result of m</w:t>
      </w:r>
      <w:r w:rsidR="00056963">
        <w:t>e</w:t>
      </w:r>
      <w:r w:rsidR="002E0079">
        <w:t>ch</w:t>
      </w:r>
      <w:r w:rsidR="00056963">
        <w:t>a</w:t>
      </w:r>
      <w:r w:rsidR="002E0079">
        <w:t>ni</w:t>
      </w:r>
      <w:r w:rsidR="00056963">
        <w:t>c</w:t>
      </w:r>
      <w:r w:rsidR="002E0079">
        <w:t>al or chemical destr</w:t>
      </w:r>
      <w:r>
        <w:t>u</w:t>
      </w:r>
      <w:r w:rsidR="002E0079">
        <w:t>c</w:t>
      </w:r>
      <w:r>
        <w:t>t</w:t>
      </w:r>
      <w:r w:rsidR="002E0079">
        <w:t>ion o</w:t>
      </w:r>
      <w:r w:rsidR="00A62886">
        <w:rPr>
          <w:color w:val="000000" w:themeColor="text1"/>
        </w:rPr>
        <w:t xml:space="preserve">f </w:t>
      </w:r>
      <w:r w:rsidR="002E0079" w:rsidRPr="006B1398">
        <w:rPr>
          <w:color w:val="000000" w:themeColor="text1"/>
        </w:rPr>
        <w:t>native vegetation (see subsection </w:t>
      </w:r>
      <w:fldSimple w:instr=" REF _Ref444066606 \n  \* MERGEFORMAT ">
        <w:r w:rsidR="002E0079" w:rsidRPr="006B1398">
          <w:rPr>
            <w:color w:val="000000" w:themeColor="text1"/>
          </w:rPr>
          <w:t>22</w:t>
        </w:r>
      </w:fldSimple>
      <w:r w:rsidR="00A62886">
        <w:rPr>
          <w:color w:val="000000" w:themeColor="text1"/>
        </w:rPr>
        <w:t>(2)</w:t>
      </w:r>
      <w:r w:rsidR="002E0079" w:rsidRPr="006B1398">
        <w:rPr>
          <w:color w:val="000000" w:themeColor="text1"/>
        </w:rPr>
        <w:t>); and</w:t>
      </w:r>
      <w:r w:rsidRPr="006B1398">
        <w:rPr>
          <w:color w:val="000000" w:themeColor="text1"/>
        </w:rPr>
        <w:t xml:space="preserve"> </w:t>
      </w:r>
      <w:r w:rsidR="002E0079" w:rsidRPr="006B1398">
        <w:rPr>
          <w:color w:val="000000" w:themeColor="text1"/>
        </w:rPr>
        <w:t>the carbon stock in the CEA after the removal would not be materially less than it would have been were the biomass not removed.</w:t>
      </w:r>
    </w:p>
    <w:p w:rsidR="00463354" w:rsidRDefault="004D478E" w:rsidP="006B1398">
      <w:pPr>
        <w:spacing w:before="120" w:after="120"/>
        <w:rPr>
          <w:lang w:eastAsia="en-AU"/>
        </w:rPr>
      </w:pPr>
      <w:r>
        <w:t>I</w:t>
      </w:r>
      <w:r w:rsidR="00187F9A">
        <w:rPr>
          <w:lang w:eastAsia="en-AU"/>
        </w:rPr>
        <w:t>n</w:t>
      </w:r>
      <w:r w:rsidR="00B118D5">
        <w:rPr>
          <w:lang w:eastAsia="en-AU"/>
        </w:rPr>
        <w:t xml:space="preserve"> this </w:t>
      </w:r>
      <w:r w:rsidR="00B118D5" w:rsidRPr="0053526A">
        <w:rPr>
          <w:lang w:eastAsia="en-AU"/>
        </w:rPr>
        <w:t xml:space="preserve">section, </w:t>
      </w:r>
      <w:r>
        <w:rPr>
          <w:lang w:eastAsia="en-AU"/>
        </w:rPr>
        <w:t xml:space="preserve">removal of </w:t>
      </w:r>
      <w:r w:rsidR="00B118D5" w:rsidRPr="0053526A">
        <w:rPr>
          <w:lang w:eastAsia="en-AU"/>
        </w:rPr>
        <w:t>biomass refers to plant biomass. The removal of animal biomass, such as dead carcasses, from the CEA is permitted.</w:t>
      </w:r>
    </w:p>
    <w:p w:rsidR="00B118D5" w:rsidRDefault="00B118D5" w:rsidP="006B1398">
      <w:pPr>
        <w:spacing w:after="120"/>
      </w:pPr>
      <w:r>
        <w:rPr>
          <w:lang w:eastAsia="en-AU"/>
        </w:rPr>
        <w:t>W</w:t>
      </w:r>
      <w:r w:rsidRPr="0053526A">
        <w:rPr>
          <w:lang w:eastAsia="en-AU"/>
        </w:rPr>
        <w:t xml:space="preserve">here plant biomass must be removed to </w:t>
      </w:r>
      <w:r w:rsidR="00187F9A">
        <w:t xml:space="preserve">assist or </w:t>
      </w:r>
      <w:r w:rsidR="00187F9A" w:rsidRPr="0053526A">
        <w:rPr>
          <w:lang w:eastAsia="en-AU"/>
        </w:rPr>
        <w:t>comply</w:t>
      </w:r>
      <w:r w:rsidRPr="0053526A">
        <w:rPr>
          <w:lang w:eastAsia="en-AU"/>
        </w:rPr>
        <w:t xml:space="preserve"> with a law of the Commonwealth, a State or Territory, such as creating a firebreak or installing required fencing, this section permits that activity within a CEA. However, regard should be given to the </w:t>
      </w:r>
      <w:r w:rsidR="00BE5F69">
        <w:t xml:space="preserve">growth rate and/or </w:t>
      </w:r>
      <w:r w:rsidR="00187F9A">
        <w:t>health</w:t>
      </w:r>
      <w:r w:rsidR="00187F9A" w:rsidRPr="0053526A">
        <w:rPr>
          <w:lang w:eastAsia="en-AU"/>
        </w:rPr>
        <w:t xml:space="preserve"> effects</w:t>
      </w:r>
      <w:r w:rsidRPr="0053526A">
        <w:rPr>
          <w:lang w:eastAsia="en-AU"/>
        </w:rPr>
        <w:t xml:space="preserve"> of the </w:t>
      </w:r>
      <w:r w:rsidR="00BE5F69">
        <w:t xml:space="preserve">remaining native </w:t>
      </w:r>
      <w:r w:rsidR="00187F9A">
        <w:t>vegetation</w:t>
      </w:r>
      <w:r w:rsidRPr="0053526A">
        <w:rPr>
          <w:lang w:eastAsia="en-AU"/>
        </w:rPr>
        <w:t xml:space="preserve"> on other requirements of the determination including whether the CEA will still have potential to reach forest cover (s</w:t>
      </w:r>
      <w:r>
        <w:rPr>
          <w:lang w:eastAsia="en-AU"/>
        </w:rPr>
        <w:t>ection</w:t>
      </w:r>
      <w:r w:rsidRPr="0053526A">
        <w:rPr>
          <w:lang w:eastAsia="en-AU"/>
        </w:rPr>
        <w:t xml:space="preserve"> </w:t>
      </w:r>
      <w:r w:rsidR="00146C10" w:rsidRPr="0053526A">
        <w:rPr>
          <w:lang w:eastAsia="en-AU"/>
        </w:rPr>
        <w:t>1</w:t>
      </w:r>
      <w:r w:rsidR="00146C10">
        <w:rPr>
          <w:lang w:eastAsia="en-AU"/>
        </w:rPr>
        <w:t>6</w:t>
      </w:r>
      <w:r w:rsidRPr="0053526A">
        <w:rPr>
          <w:lang w:eastAsia="en-AU"/>
        </w:rPr>
        <w:t xml:space="preserve">). The latter may result in the need to </w:t>
      </w:r>
      <w:r w:rsidR="00404594" w:rsidRPr="0053526A">
        <w:rPr>
          <w:lang w:eastAsia="en-AU"/>
        </w:rPr>
        <w:t>re</w:t>
      </w:r>
      <w:r w:rsidR="00404594">
        <w:rPr>
          <w:lang w:eastAsia="en-AU"/>
        </w:rPr>
        <w:t>-</w:t>
      </w:r>
      <w:r w:rsidR="00404594" w:rsidRPr="0053526A">
        <w:rPr>
          <w:lang w:eastAsia="en-AU"/>
        </w:rPr>
        <w:t>stratify</w:t>
      </w:r>
      <w:r w:rsidRPr="0053526A">
        <w:rPr>
          <w:lang w:eastAsia="en-AU"/>
        </w:rPr>
        <w:t xml:space="preserve"> a CEA. Regard should also be given to any requirements </w:t>
      </w:r>
      <w:r>
        <w:rPr>
          <w:lang w:eastAsia="en-AU"/>
        </w:rPr>
        <w:t>in</w:t>
      </w:r>
      <w:r w:rsidRPr="0053526A">
        <w:rPr>
          <w:lang w:eastAsia="en-AU"/>
        </w:rPr>
        <w:t xml:space="preserve"> the </w:t>
      </w:r>
      <w:proofErr w:type="spellStart"/>
      <w:r w:rsidRPr="0053526A">
        <w:rPr>
          <w:lang w:eastAsia="en-AU"/>
        </w:rPr>
        <w:t>FullCAM</w:t>
      </w:r>
      <w:proofErr w:type="spellEnd"/>
      <w:r w:rsidRPr="0053526A">
        <w:rPr>
          <w:lang w:eastAsia="en-AU"/>
        </w:rPr>
        <w:t xml:space="preserve"> guidelines</w:t>
      </w:r>
      <w:r w:rsidR="00364972">
        <w:rPr>
          <w:lang w:eastAsia="en-AU"/>
        </w:rPr>
        <w:t>.</w:t>
      </w:r>
    </w:p>
    <w:p w:rsidR="00F85EB4" w:rsidRDefault="00B0011E" w:rsidP="001B5684">
      <w:pPr>
        <w:pStyle w:val="Heading4"/>
        <w:rPr>
          <w:color w:val="000000" w:themeColor="text1"/>
        </w:rPr>
      </w:pPr>
      <w:r>
        <w:rPr>
          <w:color w:val="000000" w:themeColor="text1"/>
        </w:rPr>
        <w:t>21.</w:t>
      </w:r>
      <w:r w:rsidR="007E2EBC">
        <w:rPr>
          <w:color w:val="000000" w:themeColor="text1"/>
        </w:rPr>
        <w:tab/>
      </w:r>
      <w:r w:rsidR="0005276A" w:rsidRPr="00FE167A">
        <w:rPr>
          <w:color w:val="000000" w:themeColor="text1"/>
        </w:rPr>
        <w:t>Livestock restrictions</w:t>
      </w:r>
      <w:r w:rsidR="00A62886">
        <w:rPr>
          <w:color w:val="000000" w:themeColor="text1"/>
        </w:rPr>
        <w:t xml:space="preserve"> and grazing</w:t>
      </w:r>
    </w:p>
    <w:p w:rsidR="004D478E" w:rsidRPr="002C36AD" w:rsidRDefault="00F85EB4" w:rsidP="003756B9">
      <w:pPr>
        <w:autoSpaceDE w:val="0"/>
        <w:autoSpaceDN w:val="0"/>
        <w:adjustRightInd w:val="0"/>
        <w:spacing w:before="120" w:after="120"/>
        <w:rPr>
          <w:color w:val="000000" w:themeColor="text1"/>
        </w:rPr>
      </w:pPr>
      <w:r>
        <w:rPr>
          <w:szCs w:val="24"/>
          <w:lang w:eastAsia="en-AU"/>
        </w:rPr>
        <w:t xml:space="preserve">Section </w:t>
      </w:r>
      <w:r w:rsidR="00BC7740">
        <w:rPr>
          <w:szCs w:val="24"/>
          <w:lang w:eastAsia="en-AU"/>
        </w:rPr>
        <w:t>21</w:t>
      </w:r>
      <w:r>
        <w:rPr>
          <w:szCs w:val="24"/>
          <w:lang w:eastAsia="en-AU"/>
        </w:rPr>
        <w:t xml:space="preserve"> states that if the HIR activity </w:t>
      </w:r>
      <w:r w:rsidR="00BC6CB5">
        <w:rPr>
          <w:szCs w:val="24"/>
          <w:lang w:eastAsia="en-AU"/>
        </w:rPr>
        <w:t>involves</w:t>
      </w:r>
      <w:r>
        <w:rPr>
          <w:szCs w:val="24"/>
          <w:lang w:eastAsia="en-AU"/>
        </w:rPr>
        <w:t xml:space="preserve"> </w:t>
      </w:r>
      <w:r w:rsidR="00BD5CA9">
        <w:rPr>
          <w:szCs w:val="24"/>
          <w:lang w:eastAsia="en-AU"/>
        </w:rPr>
        <w:t>excluding</w:t>
      </w:r>
      <w:r>
        <w:rPr>
          <w:szCs w:val="24"/>
          <w:lang w:eastAsia="en-AU"/>
        </w:rPr>
        <w:t xml:space="preserve"> livestock</w:t>
      </w:r>
      <w:r w:rsidR="00862008">
        <w:rPr>
          <w:szCs w:val="24"/>
          <w:lang w:eastAsia="en-AU"/>
        </w:rPr>
        <w:t xml:space="preserve"> from a CEA</w:t>
      </w:r>
      <w:r>
        <w:rPr>
          <w:szCs w:val="24"/>
          <w:lang w:eastAsia="en-AU"/>
        </w:rPr>
        <w:t xml:space="preserve">, </w:t>
      </w:r>
      <w:r w:rsidR="00BD5CA9">
        <w:rPr>
          <w:szCs w:val="24"/>
          <w:lang w:eastAsia="en-AU"/>
        </w:rPr>
        <w:t xml:space="preserve">the </w:t>
      </w:r>
      <w:r w:rsidR="00515472">
        <w:rPr>
          <w:szCs w:val="24"/>
          <w:lang w:eastAsia="en-AU"/>
        </w:rPr>
        <w:t xml:space="preserve">project </w:t>
      </w:r>
      <w:r w:rsidR="00463354" w:rsidRPr="00463354">
        <w:rPr>
          <w:color w:val="000000" w:themeColor="text1"/>
          <w:szCs w:val="24"/>
          <w:lang w:eastAsia="en-AU"/>
        </w:rPr>
        <w:t xml:space="preserve">proponent must prevent grazing of all livestock in that CEA until the regenerated vegetation meets the definition of ‘forest cover’. After this time, the activity changes to </w:t>
      </w:r>
      <w:r w:rsidR="00463354" w:rsidRPr="00463354">
        <w:rPr>
          <w:color w:val="000000" w:themeColor="text1"/>
        </w:rPr>
        <w:t xml:space="preserve">management of the timing, and the extent, of grazing. </w:t>
      </w:r>
    </w:p>
    <w:p w:rsidR="004351E6" w:rsidRPr="002C36AD" w:rsidRDefault="00463354" w:rsidP="003756B9">
      <w:pPr>
        <w:autoSpaceDE w:val="0"/>
        <w:autoSpaceDN w:val="0"/>
        <w:adjustRightInd w:val="0"/>
        <w:spacing w:before="120" w:after="120"/>
        <w:rPr>
          <w:color w:val="000000" w:themeColor="text1"/>
        </w:rPr>
      </w:pPr>
      <w:r w:rsidRPr="00463354">
        <w:rPr>
          <w:color w:val="000000" w:themeColor="text1"/>
        </w:rPr>
        <w:t xml:space="preserve">For management of the timing, and the extent, of </w:t>
      </w:r>
      <w:r w:rsidR="00852E5A" w:rsidRPr="00463354">
        <w:rPr>
          <w:color w:val="000000" w:themeColor="text1"/>
        </w:rPr>
        <w:t>grazing,</w:t>
      </w:r>
      <w:r w:rsidRPr="00463354">
        <w:rPr>
          <w:color w:val="000000" w:themeColor="text1"/>
        </w:rPr>
        <w:t xml:space="preserve"> grazing </w:t>
      </w:r>
      <w:r w:rsidRPr="00463354">
        <w:rPr>
          <w:color w:val="000000" w:themeColor="text1"/>
          <w:szCs w:val="24"/>
          <w:lang w:eastAsia="en-AU"/>
        </w:rPr>
        <w:t>is only permitted to the extent that it does not have a material impact on the accumulation of carbon in the forest on the CEA.</w:t>
      </w:r>
      <w:r w:rsidR="0005276A" w:rsidRPr="002C36AD">
        <w:rPr>
          <w:color w:val="000000" w:themeColor="text1"/>
        </w:rPr>
        <w:t xml:space="preserve"> </w:t>
      </w:r>
    </w:p>
    <w:p w:rsidR="004351E6" w:rsidRPr="002C36AD" w:rsidRDefault="005E42B3" w:rsidP="003756B9">
      <w:pPr>
        <w:autoSpaceDE w:val="0"/>
        <w:autoSpaceDN w:val="0"/>
        <w:adjustRightInd w:val="0"/>
        <w:spacing w:before="120" w:after="120"/>
        <w:rPr>
          <w:color w:val="000000" w:themeColor="text1"/>
        </w:rPr>
      </w:pPr>
      <w:r>
        <w:rPr>
          <w:color w:val="000000" w:themeColor="text1"/>
        </w:rPr>
        <w:t xml:space="preserve">Although the determination does not directly place any restrictions on livestock presence within the CEA for HIR projects that do not undertake the </w:t>
      </w:r>
      <w:r w:rsidR="00852E5A">
        <w:rPr>
          <w:color w:val="000000" w:themeColor="text1"/>
        </w:rPr>
        <w:t>activities</w:t>
      </w:r>
      <w:r>
        <w:rPr>
          <w:color w:val="000000" w:themeColor="text1"/>
        </w:rPr>
        <w:t xml:space="preserve"> livestock exclusion or management of the timing, and the extent, of </w:t>
      </w:r>
      <w:r w:rsidR="00852E5A">
        <w:rPr>
          <w:color w:val="000000" w:themeColor="text1"/>
        </w:rPr>
        <w:t>grazing,</w:t>
      </w:r>
      <w:r w:rsidR="00D055E1" w:rsidRPr="002C36AD">
        <w:rPr>
          <w:color w:val="000000" w:themeColor="text1"/>
        </w:rPr>
        <w:t xml:space="preserve"> any grazing</w:t>
      </w:r>
      <w:r w:rsidR="004351E6" w:rsidRPr="002C36AD">
        <w:rPr>
          <w:color w:val="000000" w:themeColor="text1"/>
        </w:rPr>
        <w:t xml:space="preserve"> activity should be undertaken </w:t>
      </w:r>
      <w:r w:rsidR="008D62F2" w:rsidRPr="002C36AD">
        <w:rPr>
          <w:color w:val="000000" w:themeColor="text1"/>
        </w:rPr>
        <w:t xml:space="preserve">such that the CEA </w:t>
      </w:r>
      <w:r w:rsidR="00463354" w:rsidRPr="00463354">
        <w:rPr>
          <w:color w:val="000000" w:themeColor="text1"/>
        </w:rPr>
        <w:t xml:space="preserve">can reasonably be expected to achieve and maintain forest cover, and must be modelled according to any applicable </w:t>
      </w:r>
      <w:proofErr w:type="spellStart"/>
      <w:r w:rsidR="00463354" w:rsidRPr="00463354">
        <w:rPr>
          <w:color w:val="000000" w:themeColor="text1"/>
        </w:rPr>
        <w:t>FullCAM</w:t>
      </w:r>
      <w:proofErr w:type="spellEnd"/>
      <w:r w:rsidR="00463354" w:rsidRPr="00463354">
        <w:rPr>
          <w:color w:val="000000" w:themeColor="text1"/>
        </w:rPr>
        <w:t xml:space="preserve"> Guidelines.</w:t>
      </w:r>
    </w:p>
    <w:p w:rsidR="00B118D5" w:rsidRPr="002C36AD" w:rsidRDefault="00463354" w:rsidP="003756B9">
      <w:pPr>
        <w:spacing w:before="120" w:after="120"/>
        <w:rPr>
          <w:color w:val="000000" w:themeColor="text1"/>
          <w:lang w:eastAsia="en-AU"/>
        </w:rPr>
      </w:pPr>
      <w:r w:rsidRPr="00463354">
        <w:rPr>
          <w:color w:val="000000" w:themeColor="text1"/>
          <w:lang w:eastAsia="en-AU"/>
        </w:rPr>
        <w:t>Livestock takes its ordinary meaning of domesticated animals regarded as a commodity, and as differentiated from feral animals that may be present in a project area, but are not subject to rearing for commercial gain.</w:t>
      </w:r>
    </w:p>
    <w:p w:rsidR="008B2215" w:rsidRPr="002C36AD" w:rsidRDefault="00463354" w:rsidP="003756B9">
      <w:pPr>
        <w:spacing w:before="120" w:after="120"/>
        <w:rPr>
          <w:color w:val="000000" w:themeColor="text1"/>
          <w:lang w:eastAsia="en-AU"/>
        </w:rPr>
      </w:pPr>
      <w:r w:rsidRPr="00463354">
        <w:rPr>
          <w:color w:val="000000" w:themeColor="text1"/>
          <w:lang w:eastAsia="en-AU"/>
        </w:rPr>
        <w:t>In transitioning from the activity livestock exclusion to the activity</w:t>
      </w:r>
      <w:r w:rsidRPr="00463354">
        <w:rPr>
          <w:color w:val="000000" w:themeColor="text1"/>
        </w:rPr>
        <w:t xml:space="preserve"> management of the timing, and the extent, of grazing, r</w:t>
      </w:r>
      <w:r w:rsidRPr="00463354">
        <w:rPr>
          <w:color w:val="000000" w:themeColor="text1"/>
          <w:lang w:eastAsia="en-AU"/>
        </w:rPr>
        <w:t xml:space="preserve">egard should be given to the reporting requirements set out in section 39 and section of the 70(3) of the </w:t>
      </w:r>
      <w:r w:rsidR="00142016">
        <w:rPr>
          <w:color w:val="000000" w:themeColor="text1"/>
          <w:lang w:eastAsia="en-AU"/>
        </w:rPr>
        <w:t>Rule</w:t>
      </w:r>
      <w:r w:rsidRPr="00463354">
        <w:rPr>
          <w:color w:val="000000" w:themeColor="text1"/>
          <w:lang w:eastAsia="en-AU"/>
        </w:rPr>
        <w:t>.</w:t>
      </w:r>
    </w:p>
    <w:p w:rsidR="00904FAB" w:rsidRPr="002C36AD" w:rsidRDefault="00904FAB" w:rsidP="001B5684">
      <w:pPr>
        <w:pStyle w:val="Heading4"/>
        <w:rPr>
          <w:color w:val="000000" w:themeColor="text1"/>
        </w:rPr>
      </w:pPr>
      <w:r w:rsidRPr="002C36AD">
        <w:rPr>
          <w:color w:val="000000" w:themeColor="text1"/>
        </w:rPr>
        <w:t>22.</w:t>
      </w:r>
      <w:r w:rsidRPr="002C36AD">
        <w:rPr>
          <w:color w:val="000000" w:themeColor="text1"/>
        </w:rPr>
        <w:tab/>
      </w:r>
      <w:r w:rsidR="00463354" w:rsidRPr="00463354">
        <w:rPr>
          <w:color w:val="000000" w:themeColor="text1"/>
        </w:rPr>
        <w:t>Restriction on mechanical or chemical destruction of native vegetation</w:t>
      </w:r>
    </w:p>
    <w:p w:rsidR="00904FAB" w:rsidRPr="002C36AD" w:rsidRDefault="00463354" w:rsidP="003756B9">
      <w:pPr>
        <w:autoSpaceDE w:val="0"/>
        <w:autoSpaceDN w:val="0"/>
        <w:adjustRightInd w:val="0"/>
        <w:spacing w:before="120" w:after="120"/>
        <w:rPr>
          <w:color w:val="000000" w:themeColor="text1"/>
        </w:rPr>
      </w:pPr>
      <w:r w:rsidRPr="00463354">
        <w:rPr>
          <w:color w:val="000000" w:themeColor="text1"/>
          <w:szCs w:val="24"/>
          <w:lang w:eastAsia="en-AU"/>
        </w:rPr>
        <w:t xml:space="preserve">This section prevents the </w:t>
      </w:r>
      <w:r w:rsidRPr="00463354">
        <w:rPr>
          <w:color w:val="000000" w:themeColor="text1"/>
        </w:rPr>
        <w:t>mechanical or chemical destruction</w:t>
      </w:r>
      <w:r w:rsidR="006B1398">
        <w:rPr>
          <w:color w:val="000000" w:themeColor="text1"/>
        </w:rPr>
        <w:t xml:space="preserve"> or damage</w:t>
      </w:r>
      <w:r w:rsidRPr="00463354">
        <w:rPr>
          <w:color w:val="000000" w:themeColor="text1"/>
        </w:rPr>
        <w:t xml:space="preserve"> of native vegetation within a CEA unless required by or under law or permitted by this determination. It states that the destruction of native vegetation is permitted within a CEA if it is undertaken primarily to improve the growth rate or health of the remaining native vegetation and if the resulting biomass remains in the CEA.</w:t>
      </w:r>
    </w:p>
    <w:p w:rsidR="0005276A" w:rsidRDefault="00B0011E" w:rsidP="001B5684">
      <w:pPr>
        <w:pStyle w:val="Heading4"/>
      </w:pPr>
      <w:r>
        <w:t>23.</w:t>
      </w:r>
      <w:r w:rsidR="0005276A">
        <w:tab/>
      </w:r>
      <w:r w:rsidR="0005276A" w:rsidRPr="00FE167A">
        <w:t xml:space="preserve">Use of lime or fertiliser </w:t>
      </w:r>
    </w:p>
    <w:p w:rsidR="00AD7219" w:rsidRPr="00AD7219" w:rsidRDefault="00AD7219" w:rsidP="003756B9">
      <w:pPr>
        <w:spacing w:before="120" w:after="120"/>
      </w:pPr>
      <w:r>
        <w:t xml:space="preserve">Section </w:t>
      </w:r>
      <w:r w:rsidR="00BC7740">
        <w:t>23</w:t>
      </w:r>
      <w:r>
        <w:t xml:space="preserve"> prevents the use of lime or fertiliser </w:t>
      </w:r>
      <w:r w:rsidR="00BC6CB5">
        <w:t xml:space="preserve">in </w:t>
      </w:r>
      <w:r>
        <w:t>a CEA.</w:t>
      </w:r>
    </w:p>
    <w:p w:rsidR="003138AC" w:rsidRPr="003138AC" w:rsidRDefault="003138AC" w:rsidP="003756B9">
      <w:pPr>
        <w:pStyle w:val="ESHeading"/>
        <w:spacing w:before="240" w:after="0" w:line="276" w:lineRule="auto"/>
      </w:pPr>
      <w:r w:rsidRPr="003138AC">
        <w:t>Subdivision 4— Mapping requirements</w:t>
      </w:r>
    </w:p>
    <w:p w:rsidR="0005276A" w:rsidRDefault="00B0011E" w:rsidP="001B5684">
      <w:pPr>
        <w:pStyle w:val="Heading4"/>
        <w:rPr>
          <w:color w:val="000000" w:themeColor="text1"/>
        </w:rPr>
      </w:pPr>
      <w:r>
        <w:rPr>
          <w:color w:val="000000" w:themeColor="text1"/>
        </w:rPr>
        <w:t>24.</w:t>
      </w:r>
      <w:r w:rsidR="0005276A">
        <w:rPr>
          <w:color w:val="000000" w:themeColor="text1"/>
        </w:rPr>
        <w:tab/>
      </w:r>
      <w:r w:rsidR="003138AC" w:rsidRPr="003138AC">
        <w:rPr>
          <w:color w:val="000000" w:themeColor="text1"/>
        </w:rPr>
        <w:t>Mapping requirements</w:t>
      </w:r>
    </w:p>
    <w:p w:rsidR="007F2E54" w:rsidRPr="007F2E54" w:rsidRDefault="007F2E54" w:rsidP="003756B9">
      <w:pPr>
        <w:spacing w:before="120" w:after="120"/>
      </w:pPr>
      <w:r>
        <w:t>This section refers to the requirements to map the project area and the CEAs,</w:t>
      </w:r>
      <w:r w:rsidR="0006751C">
        <w:t xml:space="preserve"> which are contained</w:t>
      </w:r>
      <w:r>
        <w:t xml:space="preserve"> in sections </w:t>
      </w:r>
      <w:r w:rsidR="00BC7740">
        <w:t>10</w:t>
      </w:r>
      <w:r>
        <w:t xml:space="preserve"> and </w:t>
      </w:r>
      <w:r w:rsidR="002022C1">
        <w:t xml:space="preserve">17 </w:t>
      </w:r>
      <w:r>
        <w:t xml:space="preserve">respectively. It states that the mapping must be done using the CFI mapping tool, or another </w:t>
      </w:r>
      <w:r w:rsidRPr="007F2E54">
        <w:t>geographic information system</w:t>
      </w:r>
      <w:r>
        <w:t xml:space="preserve"> that meets the relevant requirements in the CFI mapping guidelines.</w:t>
      </w:r>
    </w:p>
    <w:p w:rsidR="00E21863" w:rsidRPr="00B158F2" w:rsidRDefault="00E21863" w:rsidP="00B158F2"/>
    <w:p w:rsidR="00E6174D" w:rsidRPr="009045D7" w:rsidRDefault="00CC1231" w:rsidP="003756B9">
      <w:pPr>
        <w:pStyle w:val="Heading2"/>
        <w:spacing w:line="276" w:lineRule="auto"/>
        <w:rPr>
          <w:color w:val="000000" w:themeColor="text1"/>
        </w:rPr>
      </w:pPr>
      <w:r w:rsidRPr="009045D7">
        <w:rPr>
          <w:color w:val="000000" w:themeColor="text1"/>
        </w:rPr>
        <w:t xml:space="preserve">Part </w:t>
      </w:r>
      <w:r w:rsidR="00E17239" w:rsidRPr="009045D7">
        <w:rPr>
          <w:color w:val="000000" w:themeColor="text1"/>
        </w:rPr>
        <w:t>4</w:t>
      </w:r>
      <w:r w:rsidR="00955E6E" w:rsidRPr="009045D7">
        <w:rPr>
          <w:color w:val="000000" w:themeColor="text1"/>
        </w:rPr>
        <w:t>—</w:t>
      </w:r>
      <w:proofErr w:type="gramStart"/>
      <w:r w:rsidR="003138AC">
        <w:rPr>
          <w:color w:val="000000" w:themeColor="text1"/>
        </w:rPr>
        <w:t>The</w:t>
      </w:r>
      <w:proofErr w:type="gramEnd"/>
      <w:r w:rsidR="003138AC">
        <w:rPr>
          <w:color w:val="000000" w:themeColor="text1"/>
        </w:rPr>
        <w:t xml:space="preserve"> n</w:t>
      </w:r>
      <w:r w:rsidR="00EF0E46">
        <w:rPr>
          <w:color w:val="000000" w:themeColor="text1"/>
        </w:rPr>
        <w:t>et abatement amount</w:t>
      </w:r>
    </w:p>
    <w:p w:rsidR="00CC1231" w:rsidRPr="001E0A15" w:rsidRDefault="00E6174D" w:rsidP="003756B9">
      <w:pPr>
        <w:pStyle w:val="ESHeading"/>
        <w:spacing w:before="240" w:after="0" w:line="276" w:lineRule="auto"/>
      </w:pPr>
      <w:r w:rsidRPr="001E0A15">
        <w:t>Division 1—</w:t>
      </w:r>
      <w:r w:rsidR="003138AC" w:rsidRPr="001E0A15">
        <w:t>Operation of this Part</w:t>
      </w:r>
    </w:p>
    <w:p w:rsidR="00EF0E46" w:rsidRDefault="00B0011E" w:rsidP="001B5684">
      <w:pPr>
        <w:pStyle w:val="Heading4"/>
        <w:rPr>
          <w:color w:val="000000" w:themeColor="text1"/>
        </w:rPr>
      </w:pPr>
      <w:bookmarkStart w:id="6" w:name="Defining_strata"/>
      <w:r>
        <w:rPr>
          <w:color w:val="000000" w:themeColor="text1"/>
        </w:rPr>
        <w:t>25.</w:t>
      </w:r>
      <w:r w:rsidR="00EF0E46">
        <w:rPr>
          <w:color w:val="000000" w:themeColor="text1"/>
        </w:rPr>
        <w:tab/>
        <w:t>Operation of this Part</w:t>
      </w:r>
    </w:p>
    <w:p w:rsidR="00057855" w:rsidRPr="00057855" w:rsidRDefault="00057855" w:rsidP="003756B9">
      <w:pPr>
        <w:spacing w:before="120" w:after="120"/>
      </w:pPr>
      <w:r w:rsidRPr="00057855">
        <w:t>Paragraph 106(1)(c) of the Act provides that a methodology determination must specify how</w:t>
      </w:r>
      <w:r>
        <w:t xml:space="preserve"> </w:t>
      </w:r>
      <w:r w:rsidRPr="00057855">
        <w:t>to calculate the carbon dioxide equivalent net abatement amount for the project in</w:t>
      </w:r>
      <w:r>
        <w:t xml:space="preserve"> </w:t>
      </w:r>
      <w:r w:rsidRPr="00057855">
        <w:t>relation to a reporting period. Part 4 sets out these rules.</w:t>
      </w:r>
    </w:p>
    <w:bookmarkEnd w:id="6"/>
    <w:p w:rsidR="007E2EBC" w:rsidRDefault="00B0011E" w:rsidP="001B5684">
      <w:pPr>
        <w:pStyle w:val="Heading4"/>
        <w:rPr>
          <w:color w:val="000000" w:themeColor="text1"/>
        </w:rPr>
      </w:pPr>
      <w:r>
        <w:rPr>
          <w:color w:val="000000" w:themeColor="text1"/>
        </w:rPr>
        <w:t>26.</w:t>
      </w:r>
      <w:r w:rsidR="003138AC">
        <w:rPr>
          <w:color w:val="000000" w:themeColor="text1"/>
        </w:rPr>
        <w:tab/>
      </w:r>
      <w:r w:rsidR="003138AC" w:rsidRPr="003138AC">
        <w:rPr>
          <w:color w:val="000000" w:themeColor="text1"/>
        </w:rPr>
        <w:t>Overview of gases accounted for in abatement calculations</w:t>
      </w:r>
    </w:p>
    <w:p w:rsidR="00077CEE" w:rsidRDefault="00077CEE" w:rsidP="003756B9">
      <w:pPr>
        <w:autoSpaceDE w:val="0"/>
        <w:autoSpaceDN w:val="0"/>
        <w:adjustRightInd w:val="0"/>
        <w:spacing w:before="120" w:after="120"/>
        <w:rPr>
          <w:szCs w:val="24"/>
          <w:lang w:eastAsia="en-AU"/>
        </w:rPr>
      </w:pPr>
      <w:r>
        <w:rPr>
          <w:szCs w:val="24"/>
          <w:lang w:eastAsia="en-AU"/>
        </w:rPr>
        <w:t xml:space="preserve">Section </w:t>
      </w:r>
      <w:r w:rsidR="00BC7740">
        <w:rPr>
          <w:szCs w:val="24"/>
          <w:lang w:eastAsia="en-AU"/>
        </w:rPr>
        <w:t>26</w:t>
      </w:r>
      <w:r>
        <w:rPr>
          <w:szCs w:val="24"/>
          <w:lang w:eastAsia="en-AU"/>
        </w:rPr>
        <w:t xml:space="preserve"> provides a summary of the greenhouse gas sources that </w:t>
      </w:r>
      <w:r w:rsidR="0077162B">
        <w:rPr>
          <w:szCs w:val="24"/>
          <w:lang w:eastAsia="en-AU"/>
        </w:rPr>
        <w:t xml:space="preserve">are </w:t>
      </w:r>
      <w:r>
        <w:rPr>
          <w:szCs w:val="24"/>
          <w:lang w:eastAsia="en-AU"/>
        </w:rPr>
        <w:t>taken into account in the Part 4 net abatement amount calculations. Greenhouse gases and sources that are within the scope of the net abatement amount calculations are summarised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2268"/>
        <w:gridCol w:w="2977"/>
        <w:gridCol w:w="2552"/>
      </w:tblGrid>
      <w:tr w:rsidR="00077CEE" w:rsidRPr="00822EFF">
        <w:trPr>
          <w:cantSplit/>
          <w:tblHeader/>
        </w:trPr>
        <w:tc>
          <w:tcPr>
            <w:tcW w:w="8472" w:type="dxa"/>
            <w:gridSpan w:val="4"/>
            <w:tcBorders>
              <w:top w:val="single" w:sz="12" w:space="0" w:color="auto"/>
              <w:bottom w:val="single" w:sz="4" w:space="0" w:color="auto"/>
            </w:tcBorders>
          </w:tcPr>
          <w:p w:rsidR="00077CEE" w:rsidRPr="00077CEE" w:rsidRDefault="00077CEE" w:rsidP="00F80493">
            <w:pPr>
              <w:pStyle w:val="TableHeading"/>
              <w:spacing w:after="60"/>
              <w:jc w:val="center"/>
            </w:pPr>
            <w:r w:rsidRPr="00077CEE">
              <w:t>Overview of gases accounted for in abatement calculations</w:t>
            </w:r>
          </w:p>
        </w:tc>
      </w:tr>
      <w:tr w:rsidR="00077CEE" w:rsidRPr="00822EFF">
        <w:trPr>
          <w:cantSplit/>
          <w:tblHeader/>
        </w:trPr>
        <w:tc>
          <w:tcPr>
            <w:tcW w:w="675" w:type="dxa"/>
            <w:tcBorders>
              <w:top w:val="single" w:sz="4" w:space="0" w:color="auto"/>
              <w:bottom w:val="single" w:sz="12" w:space="0" w:color="auto"/>
            </w:tcBorders>
          </w:tcPr>
          <w:p w:rsidR="00077CEE" w:rsidRPr="00077CEE" w:rsidRDefault="00077CEE" w:rsidP="00F80493">
            <w:pPr>
              <w:pStyle w:val="TableHeading"/>
              <w:spacing w:after="60"/>
            </w:pPr>
            <w:r w:rsidRPr="00077CEE">
              <w:t>Item</w:t>
            </w:r>
          </w:p>
        </w:tc>
        <w:tc>
          <w:tcPr>
            <w:tcW w:w="5245" w:type="dxa"/>
            <w:gridSpan w:val="2"/>
            <w:tcBorders>
              <w:top w:val="single" w:sz="4" w:space="0" w:color="auto"/>
              <w:bottom w:val="single" w:sz="12" w:space="0" w:color="auto"/>
            </w:tcBorders>
          </w:tcPr>
          <w:p w:rsidR="00077CEE" w:rsidRPr="00077CEE" w:rsidRDefault="00077CEE" w:rsidP="00F80493">
            <w:pPr>
              <w:pStyle w:val="TableHeading"/>
              <w:spacing w:after="60"/>
            </w:pPr>
            <w:r w:rsidRPr="00077CEE">
              <w:t>Relevant carbon pool or emission source</w:t>
            </w:r>
          </w:p>
        </w:tc>
        <w:tc>
          <w:tcPr>
            <w:tcW w:w="2552" w:type="dxa"/>
            <w:tcBorders>
              <w:top w:val="single" w:sz="4" w:space="0" w:color="auto"/>
              <w:bottom w:val="single" w:sz="12" w:space="0" w:color="auto"/>
            </w:tcBorders>
          </w:tcPr>
          <w:p w:rsidR="00077CEE" w:rsidRPr="00077CEE" w:rsidRDefault="00077CEE" w:rsidP="00F80493">
            <w:pPr>
              <w:pStyle w:val="TableHeading"/>
              <w:spacing w:after="60"/>
            </w:pPr>
            <w:r w:rsidRPr="00077CEE">
              <w:t>Greenhouse gas</w:t>
            </w:r>
          </w:p>
        </w:tc>
      </w:tr>
      <w:tr w:rsidR="00077CEE" w:rsidRPr="00822EFF">
        <w:trPr>
          <w:cantSplit/>
        </w:trPr>
        <w:tc>
          <w:tcPr>
            <w:tcW w:w="675" w:type="dxa"/>
            <w:tcBorders>
              <w:top w:val="single" w:sz="12" w:space="0" w:color="auto"/>
              <w:bottom w:val="single" w:sz="4" w:space="0" w:color="auto"/>
            </w:tcBorders>
          </w:tcPr>
          <w:p w:rsidR="00077CEE" w:rsidRPr="00077CEE" w:rsidRDefault="00077CEE" w:rsidP="00F80493">
            <w:pPr>
              <w:pStyle w:val="Tabletext"/>
            </w:pPr>
            <w:r w:rsidRPr="00077CEE">
              <w:t>1</w:t>
            </w:r>
          </w:p>
        </w:tc>
        <w:tc>
          <w:tcPr>
            <w:tcW w:w="2268" w:type="dxa"/>
            <w:tcBorders>
              <w:top w:val="single" w:sz="12" w:space="0" w:color="auto"/>
              <w:bottom w:val="single" w:sz="4" w:space="0" w:color="auto"/>
            </w:tcBorders>
          </w:tcPr>
          <w:p w:rsidR="00077CEE" w:rsidRPr="00077CEE" w:rsidRDefault="00077CEE" w:rsidP="00F80493">
            <w:pPr>
              <w:pStyle w:val="Tabletext"/>
            </w:pPr>
            <w:r w:rsidRPr="00077CEE">
              <w:t>Carbon pool</w:t>
            </w:r>
          </w:p>
        </w:tc>
        <w:tc>
          <w:tcPr>
            <w:tcW w:w="2977" w:type="dxa"/>
            <w:tcBorders>
              <w:top w:val="single" w:sz="12" w:space="0" w:color="auto"/>
              <w:bottom w:val="single" w:sz="4" w:space="0" w:color="auto"/>
            </w:tcBorders>
          </w:tcPr>
          <w:p w:rsidR="00077CEE" w:rsidRPr="00077CEE" w:rsidRDefault="00077CEE" w:rsidP="00F80493">
            <w:pPr>
              <w:pStyle w:val="Tabletext"/>
            </w:pPr>
            <w:r w:rsidRPr="00077CEE">
              <w:t>Live above</w:t>
            </w:r>
            <w:r w:rsidRPr="00077CEE">
              <w:noBreakHyphen/>
            </w:r>
            <w:proofErr w:type="spellStart"/>
            <w:r w:rsidRPr="00077CEE">
              <w:t>ground</w:t>
            </w:r>
            <w:proofErr w:type="spellEnd"/>
            <w:r w:rsidRPr="00077CEE">
              <w:t xml:space="preserve"> biomass</w:t>
            </w:r>
          </w:p>
        </w:tc>
        <w:tc>
          <w:tcPr>
            <w:tcW w:w="2552" w:type="dxa"/>
            <w:tcBorders>
              <w:top w:val="single" w:sz="12" w:space="0" w:color="auto"/>
              <w:bottom w:val="single" w:sz="4" w:space="0" w:color="auto"/>
            </w:tcBorders>
          </w:tcPr>
          <w:p w:rsidR="00077CEE" w:rsidRPr="00077CEE" w:rsidRDefault="00077CEE" w:rsidP="00F80493">
            <w:pPr>
              <w:pStyle w:val="Tabletext"/>
            </w:pPr>
            <w:r w:rsidRPr="00077CEE">
              <w:t>Carbon dioxide (CO</w:t>
            </w:r>
            <w:r w:rsidRPr="00077CEE">
              <w:rPr>
                <w:vertAlign w:val="subscript"/>
              </w:rPr>
              <w:t>2</w:t>
            </w:r>
            <w:r w:rsidRPr="00077CEE">
              <w:t>)</w:t>
            </w:r>
          </w:p>
        </w:tc>
      </w:tr>
      <w:tr w:rsidR="00077CEE" w:rsidRPr="00822EFF">
        <w:trPr>
          <w:cantSplit/>
        </w:trPr>
        <w:tc>
          <w:tcPr>
            <w:tcW w:w="675" w:type="dxa"/>
            <w:tcBorders>
              <w:top w:val="single" w:sz="4" w:space="0" w:color="auto"/>
              <w:bottom w:val="single" w:sz="4" w:space="0" w:color="auto"/>
            </w:tcBorders>
          </w:tcPr>
          <w:p w:rsidR="00077CEE" w:rsidRPr="00077CEE" w:rsidRDefault="00077CEE" w:rsidP="00F80493">
            <w:pPr>
              <w:pStyle w:val="Tabletext"/>
            </w:pPr>
            <w:r w:rsidRPr="00077CEE">
              <w:t>2</w:t>
            </w:r>
          </w:p>
        </w:tc>
        <w:tc>
          <w:tcPr>
            <w:tcW w:w="2268" w:type="dxa"/>
            <w:tcBorders>
              <w:top w:val="single" w:sz="4" w:space="0" w:color="auto"/>
              <w:bottom w:val="single" w:sz="4" w:space="0" w:color="auto"/>
            </w:tcBorders>
          </w:tcPr>
          <w:p w:rsidR="00077CEE" w:rsidRPr="00077CEE" w:rsidRDefault="00077CEE" w:rsidP="00F80493">
            <w:pPr>
              <w:pStyle w:val="Tabletext"/>
            </w:pPr>
            <w:r w:rsidRPr="00077CEE">
              <w:t>Carbon pool</w:t>
            </w:r>
          </w:p>
        </w:tc>
        <w:tc>
          <w:tcPr>
            <w:tcW w:w="2977" w:type="dxa"/>
            <w:tcBorders>
              <w:top w:val="single" w:sz="4" w:space="0" w:color="auto"/>
              <w:bottom w:val="single" w:sz="4" w:space="0" w:color="auto"/>
            </w:tcBorders>
          </w:tcPr>
          <w:p w:rsidR="00077CEE" w:rsidRPr="00077CEE" w:rsidRDefault="00077CEE" w:rsidP="00F80493">
            <w:pPr>
              <w:pStyle w:val="Tabletext"/>
            </w:pPr>
            <w:r w:rsidRPr="00077CEE">
              <w:t>Live below</w:t>
            </w:r>
            <w:r w:rsidRPr="00077CEE">
              <w:noBreakHyphen/>
            </w:r>
            <w:proofErr w:type="spellStart"/>
            <w:r w:rsidRPr="00077CEE">
              <w:t>ground</w:t>
            </w:r>
            <w:proofErr w:type="spellEnd"/>
            <w:r w:rsidRPr="00077CEE">
              <w:t xml:space="preserve"> biomass</w:t>
            </w:r>
          </w:p>
        </w:tc>
        <w:tc>
          <w:tcPr>
            <w:tcW w:w="2552" w:type="dxa"/>
            <w:tcBorders>
              <w:top w:val="single" w:sz="4" w:space="0" w:color="auto"/>
              <w:bottom w:val="single" w:sz="4" w:space="0" w:color="auto"/>
            </w:tcBorders>
          </w:tcPr>
          <w:p w:rsidR="00077CEE" w:rsidRPr="00077CEE" w:rsidRDefault="00077CEE" w:rsidP="00F80493">
            <w:pPr>
              <w:pStyle w:val="Tabletext"/>
            </w:pPr>
            <w:r w:rsidRPr="00077CEE">
              <w:t>Carbon dioxide (CO</w:t>
            </w:r>
            <w:r w:rsidRPr="00077CEE">
              <w:rPr>
                <w:vertAlign w:val="subscript"/>
              </w:rPr>
              <w:t>2</w:t>
            </w:r>
            <w:r w:rsidRPr="00077CEE">
              <w:t>)</w:t>
            </w:r>
          </w:p>
        </w:tc>
      </w:tr>
      <w:tr w:rsidR="00077CEE" w:rsidRPr="00822EFF">
        <w:trPr>
          <w:cantSplit/>
        </w:trPr>
        <w:tc>
          <w:tcPr>
            <w:tcW w:w="675" w:type="dxa"/>
            <w:tcBorders>
              <w:top w:val="single" w:sz="4" w:space="0" w:color="auto"/>
              <w:bottom w:val="single" w:sz="4" w:space="0" w:color="auto"/>
            </w:tcBorders>
          </w:tcPr>
          <w:p w:rsidR="00077CEE" w:rsidRPr="00077CEE" w:rsidRDefault="00077CEE" w:rsidP="00F80493">
            <w:pPr>
              <w:pStyle w:val="Tabletext"/>
            </w:pPr>
            <w:r w:rsidRPr="00077CEE">
              <w:t>3</w:t>
            </w:r>
          </w:p>
        </w:tc>
        <w:tc>
          <w:tcPr>
            <w:tcW w:w="2268" w:type="dxa"/>
            <w:tcBorders>
              <w:top w:val="single" w:sz="4" w:space="0" w:color="auto"/>
              <w:bottom w:val="single" w:sz="4" w:space="0" w:color="auto"/>
            </w:tcBorders>
          </w:tcPr>
          <w:p w:rsidR="00077CEE" w:rsidRPr="00077CEE" w:rsidRDefault="00077CEE" w:rsidP="00F80493">
            <w:pPr>
              <w:pStyle w:val="Tabletext"/>
            </w:pPr>
            <w:r w:rsidRPr="00077CEE">
              <w:t>Carbon pool</w:t>
            </w:r>
          </w:p>
        </w:tc>
        <w:tc>
          <w:tcPr>
            <w:tcW w:w="2977" w:type="dxa"/>
            <w:tcBorders>
              <w:top w:val="single" w:sz="4" w:space="0" w:color="auto"/>
              <w:bottom w:val="single" w:sz="4" w:space="0" w:color="auto"/>
            </w:tcBorders>
          </w:tcPr>
          <w:p w:rsidR="00077CEE" w:rsidRPr="00077CEE" w:rsidRDefault="00077CEE" w:rsidP="00F80493">
            <w:pPr>
              <w:pStyle w:val="Tabletext"/>
            </w:pPr>
            <w:r w:rsidRPr="00077CEE">
              <w:t>Dead plant material and debris</w:t>
            </w:r>
          </w:p>
        </w:tc>
        <w:tc>
          <w:tcPr>
            <w:tcW w:w="2552" w:type="dxa"/>
            <w:tcBorders>
              <w:top w:val="single" w:sz="4" w:space="0" w:color="auto"/>
              <w:bottom w:val="single" w:sz="4" w:space="0" w:color="auto"/>
            </w:tcBorders>
          </w:tcPr>
          <w:p w:rsidR="00077CEE" w:rsidRPr="00077CEE" w:rsidRDefault="00077CEE" w:rsidP="00F80493">
            <w:pPr>
              <w:pStyle w:val="Tabletext"/>
            </w:pPr>
            <w:r w:rsidRPr="00077CEE">
              <w:t>Carbon dioxide (CO</w:t>
            </w:r>
            <w:r w:rsidRPr="00077CEE">
              <w:rPr>
                <w:vertAlign w:val="subscript"/>
              </w:rPr>
              <w:t>2</w:t>
            </w:r>
            <w:r w:rsidRPr="00077CEE">
              <w:t>)</w:t>
            </w:r>
          </w:p>
        </w:tc>
      </w:tr>
      <w:tr w:rsidR="00077CEE" w:rsidRPr="00822EFF">
        <w:trPr>
          <w:cantSplit/>
        </w:trPr>
        <w:tc>
          <w:tcPr>
            <w:tcW w:w="675" w:type="dxa"/>
            <w:tcBorders>
              <w:top w:val="single" w:sz="4" w:space="0" w:color="auto"/>
              <w:bottom w:val="single" w:sz="4" w:space="0" w:color="auto"/>
            </w:tcBorders>
          </w:tcPr>
          <w:p w:rsidR="00077CEE" w:rsidRPr="00077CEE" w:rsidRDefault="00077CEE" w:rsidP="00F80493">
            <w:pPr>
              <w:pStyle w:val="Tabletext"/>
            </w:pPr>
            <w:r w:rsidRPr="00077CEE">
              <w:t>4</w:t>
            </w:r>
          </w:p>
        </w:tc>
        <w:tc>
          <w:tcPr>
            <w:tcW w:w="2268" w:type="dxa"/>
            <w:tcBorders>
              <w:top w:val="single" w:sz="4" w:space="0" w:color="auto"/>
              <w:bottom w:val="single" w:sz="4" w:space="0" w:color="auto"/>
            </w:tcBorders>
          </w:tcPr>
          <w:p w:rsidR="00077CEE" w:rsidRPr="00077CEE" w:rsidRDefault="00077CEE" w:rsidP="00F80493">
            <w:pPr>
              <w:pStyle w:val="Tabletext"/>
            </w:pPr>
            <w:r w:rsidRPr="00077CEE">
              <w:t>Emission source</w:t>
            </w:r>
          </w:p>
        </w:tc>
        <w:tc>
          <w:tcPr>
            <w:tcW w:w="2977" w:type="dxa"/>
            <w:tcBorders>
              <w:top w:val="single" w:sz="4" w:space="0" w:color="auto"/>
              <w:bottom w:val="single" w:sz="4" w:space="0" w:color="auto"/>
            </w:tcBorders>
          </w:tcPr>
          <w:p w:rsidR="00077CEE" w:rsidRPr="00077CEE" w:rsidRDefault="00077CEE" w:rsidP="00F80493">
            <w:pPr>
              <w:pStyle w:val="Tabletext"/>
            </w:pPr>
            <w:r w:rsidRPr="00077CEE">
              <w:t>Fuel use</w:t>
            </w:r>
          </w:p>
        </w:tc>
        <w:tc>
          <w:tcPr>
            <w:tcW w:w="2552" w:type="dxa"/>
            <w:tcBorders>
              <w:top w:val="single" w:sz="4" w:space="0" w:color="auto"/>
              <w:bottom w:val="single" w:sz="4" w:space="0" w:color="auto"/>
            </w:tcBorders>
          </w:tcPr>
          <w:p w:rsidR="00077CEE" w:rsidRPr="00077CEE" w:rsidRDefault="00077CEE" w:rsidP="00F80493">
            <w:pPr>
              <w:pStyle w:val="Tabletext"/>
            </w:pPr>
            <w:r w:rsidRPr="00077CEE">
              <w:t>Methane (CH</w:t>
            </w:r>
            <w:r w:rsidRPr="00077CEE">
              <w:rPr>
                <w:vertAlign w:val="subscript"/>
              </w:rPr>
              <w:t>4</w:t>
            </w:r>
            <w:r w:rsidRPr="00077CEE">
              <w:t>)</w:t>
            </w:r>
          </w:p>
          <w:p w:rsidR="00077CEE" w:rsidRPr="00077CEE" w:rsidRDefault="00077CEE" w:rsidP="00F80493">
            <w:pPr>
              <w:pStyle w:val="Tabletext"/>
            </w:pPr>
            <w:r w:rsidRPr="00077CEE">
              <w:t>Nitrous oxide (N</w:t>
            </w:r>
            <w:r w:rsidRPr="00077CEE">
              <w:rPr>
                <w:vertAlign w:val="subscript"/>
              </w:rPr>
              <w:t>2</w:t>
            </w:r>
            <w:r w:rsidRPr="00077CEE">
              <w:t>O)</w:t>
            </w:r>
          </w:p>
          <w:p w:rsidR="00077CEE" w:rsidRPr="00077CEE" w:rsidRDefault="00077CEE" w:rsidP="00F80493">
            <w:pPr>
              <w:pStyle w:val="Tabletext"/>
            </w:pPr>
            <w:r w:rsidRPr="00077CEE">
              <w:t>Carbon dioxide (CO</w:t>
            </w:r>
            <w:r w:rsidRPr="00077CEE">
              <w:rPr>
                <w:vertAlign w:val="subscript"/>
              </w:rPr>
              <w:t>2</w:t>
            </w:r>
            <w:r w:rsidRPr="00077CEE">
              <w:t>)</w:t>
            </w:r>
          </w:p>
        </w:tc>
      </w:tr>
      <w:tr w:rsidR="00077CEE" w:rsidRPr="00822EFF">
        <w:trPr>
          <w:cantSplit/>
        </w:trPr>
        <w:tc>
          <w:tcPr>
            <w:tcW w:w="675" w:type="dxa"/>
            <w:tcBorders>
              <w:top w:val="single" w:sz="4" w:space="0" w:color="auto"/>
              <w:bottom w:val="single" w:sz="12" w:space="0" w:color="auto"/>
            </w:tcBorders>
          </w:tcPr>
          <w:p w:rsidR="00077CEE" w:rsidRPr="00077CEE" w:rsidRDefault="00077CEE" w:rsidP="00F80493">
            <w:pPr>
              <w:pStyle w:val="Tabletext"/>
            </w:pPr>
            <w:r w:rsidRPr="00077CEE">
              <w:t>5</w:t>
            </w:r>
          </w:p>
        </w:tc>
        <w:tc>
          <w:tcPr>
            <w:tcW w:w="2268" w:type="dxa"/>
            <w:tcBorders>
              <w:top w:val="single" w:sz="4" w:space="0" w:color="auto"/>
              <w:bottom w:val="single" w:sz="12" w:space="0" w:color="auto"/>
            </w:tcBorders>
          </w:tcPr>
          <w:p w:rsidR="00077CEE" w:rsidRPr="00077CEE" w:rsidRDefault="00077CEE" w:rsidP="00F80493">
            <w:pPr>
              <w:pStyle w:val="Tabletext"/>
            </w:pPr>
            <w:r w:rsidRPr="00077CEE">
              <w:t>Emission source</w:t>
            </w:r>
          </w:p>
        </w:tc>
        <w:tc>
          <w:tcPr>
            <w:tcW w:w="2977" w:type="dxa"/>
            <w:tcBorders>
              <w:top w:val="single" w:sz="4" w:space="0" w:color="auto"/>
              <w:bottom w:val="single" w:sz="12" w:space="0" w:color="auto"/>
            </w:tcBorders>
          </w:tcPr>
          <w:p w:rsidR="00077CEE" w:rsidRPr="00077CEE" w:rsidRDefault="00077CEE" w:rsidP="00F80493">
            <w:pPr>
              <w:pStyle w:val="Tabletext"/>
            </w:pPr>
            <w:r w:rsidRPr="00077CEE">
              <w:t>Fire</w:t>
            </w:r>
          </w:p>
        </w:tc>
        <w:tc>
          <w:tcPr>
            <w:tcW w:w="2552" w:type="dxa"/>
            <w:tcBorders>
              <w:top w:val="single" w:sz="4" w:space="0" w:color="auto"/>
              <w:bottom w:val="single" w:sz="12" w:space="0" w:color="auto"/>
            </w:tcBorders>
          </w:tcPr>
          <w:p w:rsidR="00077CEE" w:rsidRPr="00077CEE" w:rsidRDefault="00077CEE" w:rsidP="00F80493">
            <w:pPr>
              <w:pStyle w:val="Tabletext"/>
            </w:pPr>
            <w:r w:rsidRPr="00077CEE">
              <w:t>Methane (CH</w:t>
            </w:r>
            <w:r w:rsidRPr="00077CEE">
              <w:rPr>
                <w:vertAlign w:val="subscript"/>
              </w:rPr>
              <w:t>4</w:t>
            </w:r>
            <w:r w:rsidRPr="00077CEE">
              <w:t>)</w:t>
            </w:r>
          </w:p>
          <w:p w:rsidR="00077CEE" w:rsidRPr="00077CEE" w:rsidRDefault="00077CEE" w:rsidP="00F80493">
            <w:pPr>
              <w:pStyle w:val="Tabletext"/>
            </w:pPr>
            <w:r w:rsidRPr="00077CEE">
              <w:t>Nitrous oxide (N</w:t>
            </w:r>
            <w:r w:rsidRPr="00077CEE">
              <w:rPr>
                <w:vertAlign w:val="subscript"/>
              </w:rPr>
              <w:t>2</w:t>
            </w:r>
            <w:r w:rsidRPr="00077CEE">
              <w:t>O)</w:t>
            </w:r>
          </w:p>
        </w:tc>
      </w:tr>
    </w:tbl>
    <w:p w:rsidR="00077CEE" w:rsidRDefault="00077CEE" w:rsidP="00077CEE">
      <w:pPr>
        <w:autoSpaceDE w:val="0"/>
        <w:autoSpaceDN w:val="0"/>
        <w:adjustRightInd w:val="0"/>
        <w:spacing w:before="0" w:after="0"/>
        <w:rPr>
          <w:szCs w:val="24"/>
          <w:lang w:eastAsia="en-AU"/>
        </w:rPr>
      </w:pPr>
      <w:r>
        <w:rPr>
          <w:szCs w:val="24"/>
          <w:lang w:eastAsia="en-AU"/>
        </w:rPr>
        <w:t xml:space="preserve">  </w:t>
      </w:r>
    </w:p>
    <w:p w:rsidR="003138AC" w:rsidRPr="009045D7" w:rsidRDefault="003138AC" w:rsidP="003756B9">
      <w:pPr>
        <w:pStyle w:val="ESHeading"/>
        <w:spacing w:before="240" w:after="0" w:line="276" w:lineRule="auto"/>
      </w:pPr>
      <w:r w:rsidRPr="009045D7">
        <w:t>Division </w:t>
      </w:r>
      <w:r>
        <w:t>2</w:t>
      </w:r>
      <w:r w:rsidRPr="009045D7">
        <w:t>—</w:t>
      </w:r>
      <w:r w:rsidRPr="003138AC">
        <w:rPr>
          <w:b w:val="0"/>
          <w:bCs w:val="0"/>
          <w:color w:val="0000FF"/>
          <w:kern w:val="0"/>
          <w:sz w:val="22"/>
          <w:szCs w:val="20"/>
          <w:lang w:eastAsia="en-US"/>
        </w:rPr>
        <w:t xml:space="preserve"> </w:t>
      </w:r>
      <w:r w:rsidR="00BC6CB5">
        <w:t>Overview</w:t>
      </w:r>
      <w:r w:rsidR="00BC6CB5" w:rsidRPr="003138AC">
        <w:t xml:space="preserve"> </w:t>
      </w:r>
      <w:r w:rsidRPr="003138AC">
        <w:t>of method for calculating net abatement amount</w:t>
      </w:r>
    </w:p>
    <w:p w:rsidR="0077162B" w:rsidRPr="0077162B" w:rsidRDefault="0077162B" w:rsidP="003756B9">
      <w:pPr>
        <w:pStyle w:val="ESHeading"/>
        <w:spacing w:before="240" w:after="0" w:line="276" w:lineRule="auto"/>
      </w:pPr>
      <w:r w:rsidRPr="0077162B">
        <w:t>Subdivision 1— Summary of method</w:t>
      </w:r>
    </w:p>
    <w:p w:rsidR="003138AC" w:rsidRDefault="00B0011E" w:rsidP="001B5684">
      <w:pPr>
        <w:pStyle w:val="Heading4"/>
        <w:rPr>
          <w:color w:val="000000" w:themeColor="text1"/>
        </w:rPr>
      </w:pPr>
      <w:r>
        <w:rPr>
          <w:color w:val="000000" w:themeColor="text1"/>
        </w:rPr>
        <w:t>27.</w:t>
      </w:r>
      <w:r w:rsidR="003138AC">
        <w:rPr>
          <w:color w:val="000000" w:themeColor="text1"/>
        </w:rPr>
        <w:tab/>
      </w:r>
      <w:r w:rsidR="003138AC" w:rsidRPr="003138AC">
        <w:rPr>
          <w:color w:val="000000" w:themeColor="text1"/>
        </w:rPr>
        <w:t>Summary</w:t>
      </w:r>
      <w:r w:rsidR="00BC6CB5">
        <w:rPr>
          <w:color w:val="000000" w:themeColor="text1"/>
        </w:rPr>
        <w:t xml:space="preserve"> of method</w:t>
      </w:r>
    </w:p>
    <w:p w:rsidR="00317F3C" w:rsidRPr="001A0B6C" w:rsidRDefault="00317F3C" w:rsidP="003756B9">
      <w:pPr>
        <w:spacing w:before="120" w:after="120"/>
      </w:pPr>
      <w:r>
        <w:t xml:space="preserve">Section </w:t>
      </w:r>
      <w:r w:rsidR="00BC7740">
        <w:t>27</w:t>
      </w:r>
      <w:r>
        <w:t xml:space="preserve"> sets out a summary of the method for calculating the net abatement amount for a reporting period.</w:t>
      </w:r>
    </w:p>
    <w:p w:rsidR="001A0B6C" w:rsidRDefault="001A0B6C" w:rsidP="003756B9">
      <w:pPr>
        <w:spacing w:before="120" w:after="120"/>
      </w:pPr>
      <w:r w:rsidRPr="001A0B6C">
        <w:t>Under the</w:t>
      </w:r>
      <w:r>
        <w:t xml:space="preserve"> varied</w:t>
      </w:r>
      <w:r w:rsidRPr="001A0B6C">
        <w:t xml:space="preserve"> Determination, abatement is calculated as the change in the amount of carbon</w:t>
      </w:r>
      <w:r>
        <w:t xml:space="preserve"> </w:t>
      </w:r>
      <w:r w:rsidRPr="001A0B6C">
        <w:t xml:space="preserve">stored in </w:t>
      </w:r>
      <w:r>
        <w:t>all the CEAs in the project area</w:t>
      </w:r>
      <w:r w:rsidRPr="001A0B6C">
        <w:t xml:space="preserve"> (through the combined effect of tree growth, natural decay and</w:t>
      </w:r>
      <w:r>
        <w:t xml:space="preserve"> </w:t>
      </w:r>
      <w:r w:rsidRPr="001A0B6C">
        <w:t>disturbance events such as fire), minus emissions resulting from fire</w:t>
      </w:r>
      <w:r>
        <w:t xml:space="preserve"> </w:t>
      </w:r>
      <w:r w:rsidRPr="001A0B6C">
        <w:t xml:space="preserve">and from fuel </w:t>
      </w:r>
      <w:r w:rsidR="00317F3C">
        <w:t>combusted in the process of</w:t>
      </w:r>
      <w:r w:rsidRPr="001A0B6C">
        <w:t xml:space="preserve"> establish</w:t>
      </w:r>
      <w:r w:rsidR="00317F3C">
        <w:t>ing</w:t>
      </w:r>
      <w:r w:rsidRPr="001A0B6C">
        <w:t xml:space="preserve"> and maintain</w:t>
      </w:r>
      <w:r w:rsidR="00317F3C">
        <w:t>ing</w:t>
      </w:r>
      <w:r w:rsidRPr="001A0B6C">
        <w:t xml:space="preserve"> the project.</w:t>
      </w:r>
      <w:r>
        <w:t xml:space="preserve"> An adjustment is applied to the net abatement amount in a reporting period to account for negative abatement (if any) in previous reporting periods.</w:t>
      </w:r>
    </w:p>
    <w:p w:rsidR="003138AC" w:rsidRPr="00B05EAD" w:rsidRDefault="003138AC" w:rsidP="003756B9">
      <w:pPr>
        <w:pStyle w:val="ESHeading"/>
        <w:spacing w:before="240" w:after="0" w:line="276" w:lineRule="auto"/>
      </w:pPr>
      <w:r>
        <w:t>Subdivision 2</w:t>
      </w:r>
      <w:r w:rsidRPr="00B05EAD">
        <w:t xml:space="preserve">—Use of </w:t>
      </w:r>
      <w:proofErr w:type="spellStart"/>
      <w:r w:rsidRPr="00B05EAD">
        <w:t>FullCAM</w:t>
      </w:r>
      <w:proofErr w:type="spellEnd"/>
    </w:p>
    <w:p w:rsidR="003138AC" w:rsidRDefault="00B0011E" w:rsidP="001B5684">
      <w:pPr>
        <w:pStyle w:val="Heading4"/>
        <w:rPr>
          <w:color w:val="000000" w:themeColor="text1"/>
        </w:rPr>
      </w:pPr>
      <w:r>
        <w:rPr>
          <w:color w:val="000000" w:themeColor="text1"/>
        </w:rPr>
        <w:t>28.</w:t>
      </w:r>
      <w:r w:rsidR="003138AC">
        <w:rPr>
          <w:color w:val="000000" w:themeColor="text1"/>
        </w:rPr>
        <w:tab/>
      </w:r>
      <w:r w:rsidR="003138AC" w:rsidRPr="003138AC">
        <w:rPr>
          <w:color w:val="000000" w:themeColor="text1"/>
        </w:rPr>
        <w:t>Modelling commencement date</w:t>
      </w:r>
    </w:p>
    <w:p w:rsidR="009A77F8" w:rsidRDefault="009A77F8" w:rsidP="003756B9">
      <w:pPr>
        <w:spacing w:before="120" w:after="120"/>
      </w:pPr>
      <w:r>
        <w:t xml:space="preserve">The modelling commencement date is the date that modelling of carbon stock </w:t>
      </w:r>
      <w:r w:rsidR="00632A8F">
        <w:t xml:space="preserve">on a CEA commences in </w:t>
      </w:r>
      <w:proofErr w:type="spellStart"/>
      <w:r w:rsidR="00632A8F">
        <w:t>FullCAM</w:t>
      </w:r>
      <w:proofErr w:type="spellEnd"/>
      <w:r w:rsidR="00632A8F">
        <w:t>. Un</w:t>
      </w:r>
      <w:r w:rsidRPr="00632A8F">
        <w:t xml:space="preserve">der the </w:t>
      </w:r>
      <w:proofErr w:type="spellStart"/>
      <w:r w:rsidRPr="00632A8F">
        <w:t>FullCAM</w:t>
      </w:r>
      <w:proofErr w:type="spellEnd"/>
      <w:r w:rsidRPr="00632A8F">
        <w:t xml:space="preserve"> Guidelines </w:t>
      </w:r>
      <w:r w:rsidR="008D2FB1">
        <w:t>(</w:t>
      </w:r>
      <w:r w:rsidRPr="00632A8F">
        <w:t xml:space="preserve">as they </w:t>
      </w:r>
      <w:r w:rsidR="00B7514E">
        <w:t xml:space="preserve">stood at the time the </w:t>
      </w:r>
      <w:r w:rsidR="00AF12FE">
        <w:t>V</w:t>
      </w:r>
      <w:r w:rsidR="00B7514E">
        <w:t>ariation was made</w:t>
      </w:r>
      <w:r w:rsidR="008D2FB1">
        <w:t>)</w:t>
      </w:r>
      <w:r w:rsidR="000D63F5" w:rsidRPr="00632A8F">
        <w:t>,</w:t>
      </w:r>
      <w:r w:rsidRPr="00632A8F">
        <w:t xml:space="preserve"> </w:t>
      </w:r>
      <w:r w:rsidR="00632A8F">
        <w:t xml:space="preserve">this </w:t>
      </w:r>
      <w:r w:rsidRPr="00632A8F">
        <w:t xml:space="preserve">will correspond to a regeneration event in the </w:t>
      </w:r>
      <w:proofErr w:type="spellStart"/>
      <w:r w:rsidRPr="00632A8F">
        <w:t>FullCAM</w:t>
      </w:r>
      <w:proofErr w:type="spellEnd"/>
      <w:r w:rsidRPr="00632A8F">
        <w:t xml:space="preserve"> events queue</w:t>
      </w:r>
      <w:r>
        <w:t xml:space="preserve">. </w:t>
      </w:r>
    </w:p>
    <w:p w:rsidR="009A77F8" w:rsidRDefault="009A77F8" w:rsidP="003756B9">
      <w:pPr>
        <w:spacing w:before="120" w:after="120"/>
      </w:pPr>
      <w:r>
        <w:t xml:space="preserve">Section </w:t>
      </w:r>
      <w:r w:rsidR="00BC7740">
        <w:t>28</w:t>
      </w:r>
      <w:r>
        <w:t xml:space="preserve"> requires the proponent to choose a modelling commencement date for each CEA. The date chosen may be different for different C</w:t>
      </w:r>
      <w:r w:rsidR="00A91A97">
        <w:t>EAs</w:t>
      </w:r>
      <w:r w:rsidR="003D31C9">
        <w:t>. It</w:t>
      </w:r>
      <w:r w:rsidR="00A91A97">
        <w:t xml:space="preserve"> must be </w:t>
      </w:r>
      <w:r w:rsidR="00862008">
        <w:t xml:space="preserve">as close as practicable to, but </w:t>
      </w:r>
      <w:r w:rsidR="00A91A97">
        <w:t>after</w:t>
      </w:r>
      <w:r w:rsidR="00862008">
        <w:t>, the time at which</w:t>
      </w:r>
      <w:r w:rsidR="00A91A97">
        <w:t xml:space="preserve"> native forest has started to regenerate on the land and after the land has started to demonstrate forest potential (see definition in section </w:t>
      </w:r>
      <w:r w:rsidR="00BC7740">
        <w:t>3</w:t>
      </w:r>
      <w:r w:rsidR="00A91A97">
        <w:t xml:space="preserve">). </w:t>
      </w:r>
      <w:r w:rsidR="003D31C9">
        <w:t xml:space="preserve">These requirements are intended to ensure that carbon sequestration is not credited before it can be demonstrated that a native forest with the potential to achieve forest cover is regrowing </w:t>
      </w:r>
      <w:r w:rsidR="003B0EAF">
        <w:t xml:space="preserve">in </w:t>
      </w:r>
      <w:r w:rsidR="003D31C9">
        <w:t>the CEA.</w:t>
      </w:r>
    </w:p>
    <w:p w:rsidR="00FE302B" w:rsidRPr="009A77F8" w:rsidRDefault="00FE302B" w:rsidP="003756B9">
      <w:pPr>
        <w:spacing w:before="120" w:after="120"/>
      </w:pPr>
      <w:r>
        <w:t xml:space="preserve">A note to the provision </w:t>
      </w:r>
      <w:r w:rsidR="00F1214E">
        <w:t>observes</w:t>
      </w:r>
      <w:r>
        <w:t xml:space="preserve"> that the modelling commencement date may be before or after the project commences, depending on the type of HIR activity that is undertaken for the project. Where carbon has accumulated in the CEA before the start of </w:t>
      </w:r>
      <w:r w:rsidR="00CD4895">
        <w:t>the</w:t>
      </w:r>
      <w:r>
        <w:t xml:space="preserve"> first reporting period</w:t>
      </w:r>
      <w:r w:rsidR="00CD4895">
        <w:t xml:space="preserve"> for which it is included in the project</w:t>
      </w:r>
      <w:r>
        <w:t xml:space="preserve">, the equations require </w:t>
      </w:r>
      <w:r w:rsidR="00420FA4">
        <w:t>the</w:t>
      </w:r>
      <w:r>
        <w:t xml:space="preserve"> ‘initial carbon’ to be deducted in calculating the net abatement amount.  Note that land which has forest cover at the time the proponent applies to register the project is not eligible</w:t>
      </w:r>
      <w:r w:rsidR="001B7D65">
        <w:t xml:space="preserve"> land and so cannot be included in a CEA.</w:t>
      </w:r>
      <w:r>
        <w:t xml:space="preserve"> </w:t>
      </w:r>
    </w:p>
    <w:p w:rsidR="003138AC" w:rsidRDefault="00B0011E" w:rsidP="001B5684">
      <w:pPr>
        <w:pStyle w:val="Heading4"/>
        <w:rPr>
          <w:color w:val="000000" w:themeColor="text1"/>
        </w:rPr>
      </w:pPr>
      <w:r>
        <w:rPr>
          <w:color w:val="000000" w:themeColor="text1"/>
        </w:rPr>
        <w:t>29.</w:t>
      </w:r>
      <w:r w:rsidR="003138AC">
        <w:rPr>
          <w:color w:val="000000" w:themeColor="text1"/>
        </w:rPr>
        <w:tab/>
      </w:r>
      <w:r w:rsidR="003138AC" w:rsidRPr="003138AC">
        <w:rPr>
          <w:color w:val="000000" w:themeColor="text1"/>
        </w:rPr>
        <w:t>Model point location</w:t>
      </w:r>
    </w:p>
    <w:p w:rsidR="00041F7B" w:rsidRDefault="00F1214E" w:rsidP="003756B9">
      <w:pPr>
        <w:spacing w:before="120" w:after="120"/>
      </w:pPr>
      <w:proofErr w:type="spellStart"/>
      <w:r>
        <w:t>FullCAM</w:t>
      </w:r>
      <w:proofErr w:type="spellEnd"/>
      <w:r>
        <w:t xml:space="preserve"> models carbon stocks in tonnes </w:t>
      </w:r>
      <w:r w:rsidR="00041F7B">
        <w:t>of carbon</w:t>
      </w:r>
      <w:r>
        <w:t xml:space="preserve"> per hectare for a single point; Part 4 of the varied Determination requires these values to be multiplied by the area of the CEA to find carbon stocks for the CEA. </w:t>
      </w:r>
      <w:r w:rsidR="00041F7B">
        <w:t xml:space="preserve">Section </w:t>
      </w:r>
      <w:r w:rsidR="00BC7740">
        <w:t>29</w:t>
      </w:r>
      <w:r w:rsidR="00041F7B">
        <w:t xml:space="preserve"> sets out requirements the selected </w:t>
      </w:r>
      <w:r w:rsidR="00041F7B" w:rsidRPr="00041F7B">
        <w:rPr>
          <w:b/>
          <w:i/>
        </w:rPr>
        <w:t>model point location</w:t>
      </w:r>
      <w:r w:rsidR="00041F7B">
        <w:t xml:space="preserve"> must satisfy, so that the carbon stocks modelled in </w:t>
      </w:r>
      <w:proofErr w:type="spellStart"/>
      <w:r w:rsidR="00041F7B">
        <w:t>FullCAM</w:t>
      </w:r>
      <w:proofErr w:type="spellEnd"/>
      <w:r w:rsidR="00041F7B">
        <w:t xml:space="preserve"> accurately represent the whole CEA.</w:t>
      </w:r>
    </w:p>
    <w:p w:rsidR="00E938A0" w:rsidRDefault="00404594" w:rsidP="003756B9">
      <w:pPr>
        <w:spacing w:before="120" w:after="120"/>
      </w:pPr>
      <w:r>
        <w:t xml:space="preserve">The model point location must be representative of the CEA and as close as practical to the geographic centre of the CEA parts. </w:t>
      </w:r>
      <w:r w:rsidR="006513B1">
        <w:t>The model point location need not lie within the CEA itself</w:t>
      </w:r>
      <w:r w:rsidR="00041F7B">
        <w:t xml:space="preserve">. </w:t>
      </w:r>
    </w:p>
    <w:p w:rsidR="00041F7B" w:rsidRDefault="00E938A0" w:rsidP="003756B9">
      <w:pPr>
        <w:spacing w:before="120" w:after="120"/>
      </w:pPr>
      <w:r>
        <w:t xml:space="preserve">In deciding whether a location is representative of the CEA consideration should be given to the soil type, aspect and slope. </w:t>
      </w:r>
      <w:r w:rsidR="00041F7B">
        <w:t>For example, if a CEA is predominantly dry with limited vegetation, the model point location should not be a fertile river bank. The model point location may only change if the CEA is re</w:t>
      </w:r>
      <w:r w:rsidR="003B663E">
        <w:t>-</w:t>
      </w:r>
      <w:r w:rsidR="00041F7B">
        <w:t xml:space="preserve">stratified; in this case, </w:t>
      </w:r>
      <w:r w:rsidR="00F87849">
        <w:t xml:space="preserve">new model point location(s) for </w:t>
      </w:r>
      <w:r w:rsidR="00041F7B">
        <w:t xml:space="preserve">the </w:t>
      </w:r>
      <w:r w:rsidR="00F87849">
        <w:t xml:space="preserve">new CEA(s) </w:t>
      </w:r>
      <w:r w:rsidR="004273CB">
        <w:t>consistent with the requirements</w:t>
      </w:r>
      <w:r w:rsidR="002C17EC">
        <w:t xml:space="preserve"> in</w:t>
      </w:r>
      <w:r w:rsidR="004273CB">
        <w:t xml:space="preserve"> this section </w:t>
      </w:r>
      <w:r w:rsidR="00F87849">
        <w:t>would need to be chosen.</w:t>
      </w:r>
    </w:p>
    <w:p w:rsidR="003138AC" w:rsidRPr="00E469A3" w:rsidRDefault="00B0011E" w:rsidP="001B5684">
      <w:pPr>
        <w:pStyle w:val="Heading4"/>
        <w:rPr>
          <w:color w:val="000000" w:themeColor="text1"/>
        </w:rPr>
      </w:pPr>
      <w:r>
        <w:rPr>
          <w:color w:val="000000" w:themeColor="text1"/>
        </w:rPr>
        <w:t>30.</w:t>
      </w:r>
      <w:r w:rsidR="003138AC" w:rsidRPr="00E469A3">
        <w:rPr>
          <w:color w:val="000000" w:themeColor="text1"/>
        </w:rPr>
        <w:tab/>
      </w:r>
      <w:proofErr w:type="spellStart"/>
      <w:r w:rsidR="003138AC" w:rsidRPr="00E469A3">
        <w:rPr>
          <w:color w:val="000000" w:themeColor="text1"/>
        </w:rPr>
        <w:t>FullCAM</w:t>
      </w:r>
      <w:proofErr w:type="spellEnd"/>
      <w:r w:rsidR="003138AC" w:rsidRPr="00E469A3">
        <w:rPr>
          <w:color w:val="000000" w:themeColor="text1"/>
        </w:rPr>
        <w:t xml:space="preserve"> events queue</w:t>
      </w:r>
    </w:p>
    <w:p w:rsidR="002B1D95" w:rsidRDefault="002B1D95" w:rsidP="003756B9">
      <w:pPr>
        <w:spacing w:before="120" w:after="120"/>
      </w:pPr>
      <w:r>
        <w:t xml:space="preserve">The </w:t>
      </w:r>
      <w:proofErr w:type="spellStart"/>
      <w:r>
        <w:t>FullCAM</w:t>
      </w:r>
      <w:proofErr w:type="spellEnd"/>
      <w:r>
        <w:t xml:space="preserve"> events queue for a CEA is defined in section </w:t>
      </w:r>
      <w:r w:rsidR="00BC7740">
        <w:t>3</w:t>
      </w:r>
      <w:r>
        <w:t xml:space="preserve"> as the series of management and disturbance events that are modelled in </w:t>
      </w:r>
      <w:proofErr w:type="spellStart"/>
      <w:r>
        <w:t>FullCAM</w:t>
      </w:r>
      <w:proofErr w:type="spellEnd"/>
      <w:r>
        <w:t xml:space="preserve"> for that CEA.</w:t>
      </w:r>
    </w:p>
    <w:p w:rsidR="00FF4143" w:rsidRPr="002B1D95" w:rsidRDefault="00FF4143" w:rsidP="003756B9">
      <w:pPr>
        <w:spacing w:before="120" w:after="120"/>
      </w:pPr>
      <w:r>
        <w:t xml:space="preserve">Section </w:t>
      </w:r>
      <w:r w:rsidR="00BC7740">
        <w:t>30</w:t>
      </w:r>
      <w:r>
        <w:t xml:space="preserve"> requires the proponent to comply with </w:t>
      </w:r>
      <w:r w:rsidR="00222C3F">
        <w:t xml:space="preserve">any relevant instructions in the </w:t>
      </w:r>
      <w:proofErr w:type="spellStart"/>
      <w:r>
        <w:t>FullCAM</w:t>
      </w:r>
      <w:proofErr w:type="spellEnd"/>
      <w:r>
        <w:t xml:space="preserve"> Guidelines </w:t>
      </w:r>
      <w:r w:rsidR="00222C3F">
        <w:t>when</w:t>
      </w:r>
      <w:r>
        <w:t xml:space="preserve"> constructing the </w:t>
      </w:r>
      <w:proofErr w:type="spellStart"/>
      <w:r>
        <w:t>FullCAM</w:t>
      </w:r>
      <w:proofErr w:type="spellEnd"/>
      <w:r>
        <w:t xml:space="preserve"> events queue</w:t>
      </w:r>
      <w:r w:rsidR="00222C3F">
        <w:t xml:space="preserve"> for a CEA</w:t>
      </w:r>
      <w:r>
        <w:t xml:space="preserve">. It also requires the events queue to be representative of the events that occurred on the CEA during period of time covered by the </w:t>
      </w:r>
      <w:proofErr w:type="spellStart"/>
      <w:r w:rsidR="009D7B2C">
        <w:t>FullCAM</w:t>
      </w:r>
      <w:proofErr w:type="spellEnd"/>
      <w:r w:rsidR="009D7B2C">
        <w:t xml:space="preserve"> </w:t>
      </w:r>
      <w:r>
        <w:t xml:space="preserve">modelling. For example, if a fire affects a CEA, the fire should be included in the </w:t>
      </w:r>
      <w:proofErr w:type="spellStart"/>
      <w:r>
        <w:t>FullCAM</w:t>
      </w:r>
      <w:proofErr w:type="spellEnd"/>
      <w:r>
        <w:t xml:space="preserve"> events queue in a way that is consistent with any instructions in the </w:t>
      </w:r>
      <w:proofErr w:type="spellStart"/>
      <w:r>
        <w:t>FullCAM</w:t>
      </w:r>
      <w:proofErr w:type="spellEnd"/>
      <w:r>
        <w:t xml:space="preserve"> Guidelines.</w:t>
      </w:r>
    </w:p>
    <w:p w:rsidR="003138AC" w:rsidRDefault="00B0011E" w:rsidP="001B5684">
      <w:pPr>
        <w:pStyle w:val="Heading4"/>
        <w:rPr>
          <w:color w:val="000000" w:themeColor="text1"/>
        </w:rPr>
      </w:pPr>
      <w:r>
        <w:rPr>
          <w:color w:val="000000" w:themeColor="text1"/>
        </w:rPr>
        <w:t>31.</w:t>
      </w:r>
      <w:r w:rsidR="003138AC">
        <w:rPr>
          <w:color w:val="000000" w:themeColor="text1"/>
        </w:rPr>
        <w:tab/>
      </w:r>
      <w:r w:rsidR="003138AC" w:rsidRPr="003138AC">
        <w:rPr>
          <w:color w:val="000000" w:themeColor="text1"/>
        </w:rPr>
        <w:t xml:space="preserve">Use of </w:t>
      </w:r>
      <w:proofErr w:type="spellStart"/>
      <w:r w:rsidR="003138AC" w:rsidRPr="003138AC">
        <w:rPr>
          <w:color w:val="000000" w:themeColor="text1"/>
        </w:rPr>
        <w:t>FullCAM</w:t>
      </w:r>
      <w:proofErr w:type="spellEnd"/>
      <w:r w:rsidR="003138AC" w:rsidRPr="003138AC">
        <w:rPr>
          <w:color w:val="000000" w:themeColor="text1"/>
        </w:rPr>
        <w:t xml:space="preserve"> to calculate net abatement amount</w:t>
      </w:r>
    </w:p>
    <w:p w:rsidR="00510B53" w:rsidRDefault="00222C3F" w:rsidP="003756B9">
      <w:pPr>
        <w:spacing w:before="120" w:after="120"/>
      </w:pPr>
      <w:r>
        <w:t xml:space="preserve">Section </w:t>
      </w:r>
      <w:r w:rsidR="00BC7740">
        <w:t>31</w:t>
      </w:r>
      <w:r>
        <w:t xml:space="preserve"> </w:t>
      </w:r>
      <w:r w:rsidR="00510B53">
        <w:t xml:space="preserve">sets out a number of components of the net abatement amount calculation that must be modelled in </w:t>
      </w:r>
      <w:proofErr w:type="spellStart"/>
      <w:r w:rsidR="00510B53">
        <w:t>FullCAM</w:t>
      </w:r>
      <w:proofErr w:type="spellEnd"/>
      <w:r w:rsidR="00510B53">
        <w:t xml:space="preserve">, in accordance with the </w:t>
      </w:r>
      <w:proofErr w:type="spellStart"/>
      <w:r w:rsidR="00510B53">
        <w:t>FullCAM</w:t>
      </w:r>
      <w:proofErr w:type="spellEnd"/>
      <w:r w:rsidR="00510B53">
        <w:t xml:space="preserve"> </w:t>
      </w:r>
      <w:r w:rsidR="00C5724D">
        <w:t>Guidelines</w:t>
      </w:r>
      <w:r w:rsidR="00510B53">
        <w:t>. These are carbon stock</w:t>
      </w:r>
      <w:r w:rsidR="008529D1">
        <w:t>s</w:t>
      </w:r>
      <w:r w:rsidR="00510B53">
        <w:t xml:space="preserve"> per hectare for various carbon pools in the CEA, and emissions </w:t>
      </w:r>
      <w:r w:rsidR="00BC49F8">
        <w:t xml:space="preserve">per hectare </w:t>
      </w:r>
      <w:r w:rsidR="00510B53">
        <w:t>from fire in the CEA.</w:t>
      </w:r>
    </w:p>
    <w:p w:rsidR="00115DDE" w:rsidRPr="00115DDE" w:rsidRDefault="00510B53" w:rsidP="003756B9">
      <w:pPr>
        <w:spacing w:before="120" w:after="120"/>
      </w:pPr>
      <w:r>
        <w:t>The section also lists the information that must be used as input</w:t>
      </w:r>
      <w:r w:rsidR="00823AC5">
        <w:t>s</w:t>
      </w:r>
      <w:r>
        <w:t xml:space="preserve"> to </w:t>
      </w:r>
      <w:proofErr w:type="spellStart"/>
      <w:r>
        <w:t>FullCAM</w:t>
      </w:r>
      <w:proofErr w:type="spellEnd"/>
      <w:r>
        <w:t xml:space="preserve"> for the modelling of each CEA: the model point location,</w:t>
      </w:r>
      <w:r w:rsidR="00EA6B64">
        <w:t xml:space="preserve"> the</w:t>
      </w:r>
      <w:r>
        <w:t xml:space="preserve"> modelling commencement date, and the series of management and </w:t>
      </w:r>
      <w:r w:rsidR="00FD797F">
        <w:t>disturbance events occurring on the CEA</w:t>
      </w:r>
      <w:r w:rsidR="00972E9B">
        <w:t xml:space="preserve"> that constitute the </w:t>
      </w:r>
      <w:proofErr w:type="spellStart"/>
      <w:r w:rsidR="00972E9B">
        <w:t>FullCAM</w:t>
      </w:r>
      <w:proofErr w:type="spellEnd"/>
      <w:r w:rsidR="00972E9B">
        <w:t xml:space="preserve"> events queue</w:t>
      </w:r>
      <w:r w:rsidR="00FD797F">
        <w:t>.</w:t>
      </w:r>
    </w:p>
    <w:p w:rsidR="003138AC" w:rsidRPr="00FE167A" w:rsidRDefault="003138AC" w:rsidP="003756B9">
      <w:pPr>
        <w:pStyle w:val="ESHeading"/>
        <w:spacing w:before="240" w:after="0" w:line="276" w:lineRule="auto"/>
      </w:pPr>
      <w:r>
        <w:t>Division 3</w:t>
      </w:r>
      <w:r w:rsidRPr="00FE167A">
        <w:t>—</w:t>
      </w:r>
      <w:proofErr w:type="gramStart"/>
      <w:r>
        <w:t>T</w:t>
      </w:r>
      <w:r w:rsidRPr="00FE167A">
        <w:t>he</w:t>
      </w:r>
      <w:proofErr w:type="gramEnd"/>
      <w:r w:rsidRPr="00FE167A">
        <w:t xml:space="preserve"> net abatement amount</w:t>
      </w:r>
    </w:p>
    <w:p w:rsidR="003138AC" w:rsidRDefault="00B0011E" w:rsidP="001B5684">
      <w:pPr>
        <w:pStyle w:val="Heading4"/>
        <w:rPr>
          <w:color w:val="000000" w:themeColor="text1"/>
        </w:rPr>
      </w:pPr>
      <w:r>
        <w:rPr>
          <w:color w:val="000000" w:themeColor="text1"/>
        </w:rPr>
        <w:t>32.</w:t>
      </w:r>
      <w:r w:rsidR="003138AC">
        <w:rPr>
          <w:color w:val="000000" w:themeColor="text1"/>
        </w:rPr>
        <w:tab/>
      </w:r>
      <w:r w:rsidR="003138AC" w:rsidRPr="003138AC">
        <w:rPr>
          <w:color w:val="000000" w:themeColor="text1"/>
        </w:rPr>
        <w:t>Calculating the net abatement amount</w:t>
      </w:r>
    </w:p>
    <w:p w:rsidR="001A0B6C" w:rsidRDefault="001A0B6C" w:rsidP="003756B9">
      <w:pPr>
        <w:spacing w:before="120" w:after="120"/>
      </w:pPr>
      <w:r>
        <w:t xml:space="preserve">The net abatement amount for a reporting period is calculated </w:t>
      </w:r>
      <w:r w:rsidR="00C5724D">
        <w:t xml:space="preserve">by first determining </w:t>
      </w:r>
      <w:r>
        <w:t>the carbon stock change that has occurred over the reporting period, less emissions from fuel use and fire, adjusted for negative abatement in previous reporting pe</w:t>
      </w:r>
      <w:r w:rsidR="00EF1FC9">
        <w:t xml:space="preserve">riods. </w:t>
      </w:r>
      <w:r w:rsidR="00C5724D">
        <w:t xml:space="preserve">This is calculated using Equation 1. </w:t>
      </w:r>
      <w:r w:rsidR="00EF1FC9">
        <w:t xml:space="preserve">These components of the net abatement amount </w:t>
      </w:r>
      <w:r>
        <w:t xml:space="preserve">equation are described </w:t>
      </w:r>
      <w:r w:rsidR="00EF1FC9">
        <w:t xml:space="preserve">in more detail in </w:t>
      </w:r>
      <w:r w:rsidR="00C5724D">
        <w:t xml:space="preserve">Divisions </w:t>
      </w:r>
      <w:r w:rsidR="00EF1FC9">
        <w:t xml:space="preserve">4 to 6 </w:t>
      </w:r>
      <w:r>
        <w:t>below.</w:t>
      </w:r>
    </w:p>
    <w:p w:rsidR="00C5724D" w:rsidRDefault="00C5724D" w:rsidP="003756B9">
      <w:pPr>
        <w:spacing w:before="120" w:after="120"/>
      </w:pPr>
      <w:r>
        <w:t xml:space="preserve">If </w:t>
      </w:r>
      <w:r w:rsidR="00E56826">
        <w:t xml:space="preserve">the </w:t>
      </w:r>
      <w:r>
        <w:t>amount</w:t>
      </w:r>
      <w:r w:rsidR="00927BDD">
        <w:t xml:space="preserve"> calculated using Equation 1</w:t>
      </w:r>
      <w:r>
        <w:t xml:space="preserve"> is a positive number, or equal to zero, the net abatement amount for the reporting period is equal to that amount. However, if that amount is a negative number, the net abatement amount is equal to zero instead. The negative number is then carried over to the next reporting period, and subtract</w:t>
      </w:r>
      <w:r w:rsidR="000E0360">
        <w:t>ed</w:t>
      </w:r>
      <w:r>
        <w:t xml:space="preserve"> from the net abatement amount then calculated.</w:t>
      </w:r>
    </w:p>
    <w:p w:rsidR="008C1C9D" w:rsidRDefault="0075070D" w:rsidP="003756B9">
      <w:pPr>
        <w:spacing w:before="120" w:after="120"/>
      </w:pPr>
      <w:r>
        <w:t xml:space="preserve">A project could deliver negative abatement in a reporting period if there is a </w:t>
      </w:r>
      <w:r w:rsidR="00EA6B64">
        <w:t>reduction</w:t>
      </w:r>
      <w:r>
        <w:t xml:space="preserve"> in </w:t>
      </w:r>
      <w:r w:rsidR="00EA6B64">
        <w:t xml:space="preserve">sequestered </w:t>
      </w:r>
      <w:r>
        <w:t xml:space="preserve">carbon during the reporting period, or if the increase in sequestered carbon is not sufficient to offset project emissions or a negative </w:t>
      </w:r>
      <w:r w:rsidR="00A06C90">
        <w:t xml:space="preserve">amount carried over from the </w:t>
      </w:r>
      <w:r>
        <w:t>previous reporting period.</w:t>
      </w:r>
    </w:p>
    <w:p w:rsidR="003138AC" w:rsidRDefault="003138AC" w:rsidP="003756B9">
      <w:pPr>
        <w:pStyle w:val="ESHeading"/>
        <w:spacing w:before="240" w:after="0" w:line="276" w:lineRule="auto"/>
      </w:pPr>
      <w:r>
        <w:t>Division 4</w:t>
      </w:r>
      <w:r w:rsidRPr="00FE167A">
        <w:t>—</w:t>
      </w:r>
      <w:bookmarkStart w:id="7" w:name="_Toc426357761"/>
      <w:bookmarkStart w:id="8" w:name="_Toc433280863"/>
      <w:bookmarkStart w:id="9" w:name="_Toc433286379"/>
      <w:bookmarkStart w:id="10" w:name="_Toc434924369"/>
      <w:r w:rsidRPr="00FE167A">
        <w:t>Calculation of carbon stock change</w:t>
      </w:r>
      <w:bookmarkEnd w:id="7"/>
      <w:bookmarkEnd w:id="8"/>
      <w:bookmarkEnd w:id="9"/>
      <w:bookmarkEnd w:id="10"/>
    </w:p>
    <w:p w:rsidR="008C1C9D" w:rsidRDefault="00404594" w:rsidP="003756B9">
      <w:pPr>
        <w:pStyle w:val="h5Section"/>
        <w:spacing w:before="240" w:line="276" w:lineRule="auto"/>
      </w:pPr>
      <w:r>
        <w:t>33</w:t>
      </w:r>
      <w:r w:rsidRPr="00D72C04">
        <w:t xml:space="preserve"> Calculating</w:t>
      </w:r>
      <w:r w:rsidR="008C1C9D" w:rsidRPr="00D72C04">
        <w:t xml:space="preserve"> carbon stock change for reporting period in tonnes</w:t>
      </w:r>
      <w:r w:rsidR="008C1C9D">
        <w:t xml:space="preserve"> </w:t>
      </w:r>
      <w:r w:rsidR="008C1C9D" w:rsidRPr="00D3513B">
        <w:t>CO</w:t>
      </w:r>
      <w:r w:rsidR="008C1C9D" w:rsidRPr="00D3513B">
        <w:rPr>
          <w:vertAlign w:val="subscript"/>
        </w:rPr>
        <w:t>2</w:t>
      </w:r>
      <w:r w:rsidR="008C1C9D" w:rsidRPr="00D3513B">
        <w:noBreakHyphen/>
        <w:t>equivalent (CO</w:t>
      </w:r>
      <w:r w:rsidR="008C1C9D" w:rsidRPr="00D3513B">
        <w:rPr>
          <w:vertAlign w:val="subscript"/>
        </w:rPr>
        <w:t>2</w:t>
      </w:r>
      <w:r w:rsidR="008C1C9D" w:rsidRPr="00D3513B">
        <w:t>-e)</w:t>
      </w:r>
    </w:p>
    <w:p w:rsidR="008C1C9D" w:rsidRDefault="008C1C9D" w:rsidP="003756B9">
      <w:pPr>
        <w:spacing w:before="120" w:after="120"/>
      </w:pPr>
      <w:r>
        <w:t xml:space="preserve">The carbon stock change in reporting period r, </w:t>
      </w:r>
      <w:r>
        <w:sym w:font="Symbol" w:char="F044"/>
      </w:r>
      <w:r>
        <w:t>C</w:t>
      </w:r>
      <w:r>
        <w:rPr>
          <w:vertAlign w:val="subscript"/>
        </w:rPr>
        <w:t>r</w:t>
      </w:r>
      <w:r>
        <w:t xml:space="preserve">, is the total amount of carbon sequestered in the CEAs, less the amount of carbon sequestered in CEAs as they stood at the end of the previous reporting period and less the opening carbon stocks of new CEAs that have not previously been reported on. Carbon stocks are determined for the different carbon pools in individual CEAs using </w:t>
      </w:r>
      <w:proofErr w:type="spellStart"/>
      <w:r>
        <w:t>FullCAM</w:t>
      </w:r>
      <w:proofErr w:type="spellEnd"/>
      <w:r>
        <w:t xml:space="preserve">. </w:t>
      </w:r>
      <w:r w:rsidR="00852E5A">
        <w:t xml:space="preserve">Equation 2 sets out how to calculate the amount </w:t>
      </w:r>
      <w:r w:rsidR="00852E5A">
        <w:sym w:font="Symbol" w:char="F044"/>
      </w:r>
      <w:r w:rsidR="00852E5A">
        <w:t>C</w:t>
      </w:r>
      <w:r w:rsidR="00852E5A">
        <w:rPr>
          <w:vertAlign w:val="subscript"/>
        </w:rPr>
        <w:t>r</w:t>
      </w:r>
      <w:r w:rsidR="00852E5A" w:rsidRPr="008C1C9D">
        <w:t xml:space="preserve"> </w:t>
      </w:r>
      <w:r w:rsidR="00852E5A" w:rsidRPr="008C1C9D">
        <w:rPr>
          <w:vertAlign w:val="subscript"/>
        </w:rPr>
        <w:t>CO2</w:t>
      </w:r>
      <w:r w:rsidR="00852E5A">
        <w:t>.</w:t>
      </w:r>
    </w:p>
    <w:p w:rsidR="008C1C9D" w:rsidRDefault="008C1C9D" w:rsidP="003756B9">
      <w:pPr>
        <w:spacing w:before="120" w:after="120"/>
      </w:pPr>
      <w:r>
        <w:t xml:space="preserve">The three components of the equation for </w:t>
      </w:r>
      <w:r>
        <w:sym w:font="Symbol" w:char="F044"/>
      </w:r>
      <w:r>
        <w:t>C</w:t>
      </w:r>
      <w:r>
        <w:rPr>
          <w:vertAlign w:val="subscript"/>
        </w:rPr>
        <w:t>r</w:t>
      </w:r>
      <w:r w:rsidRPr="008C1C9D">
        <w:rPr>
          <w:vertAlign w:val="subscript"/>
        </w:rPr>
        <w:t xml:space="preserve"> CO2</w:t>
      </w:r>
      <w:r>
        <w:t xml:space="preserve"> are as follows.</w:t>
      </w:r>
    </w:p>
    <w:p w:rsidR="008C1C9D" w:rsidRDefault="008C1C9D" w:rsidP="003756B9">
      <w:pPr>
        <w:pStyle w:val="ListParagraph"/>
        <w:numPr>
          <w:ilvl w:val="0"/>
          <w:numId w:val="5"/>
        </w:numPr>
        <w:spacing w:after="120"/>
      </w:pPr>
      <w:r>
        <w:t xml:space="preserve">Closing carbon stock for the reporting period, </w:t>
      </w:r>
      <w:r w:rsidRPr="000F6771">
        <w:rPr>
          <w:b/>
          <w:i/>
          <w:color w:val="000000" w:themeColor="text1"/>
        </w:rPr>
        <w:t>C</w:t>
      </w:r>
      <w:r w:rsidRPr="000F6771">
        <w:rPr>
          <w:b/>
          <w:i/>
          <w:color w:val="000000" w:themeColor="text1"/>
          <w:vertAlign w:val="subscript"/>
        </w:rPr>
        <w:t>r</w:t>
      </w:r>
      <w:r w:rsidRPr="000F6771">
        <w:rPr>
          <w:color w:val="000000" w:themeColor="text1"/>
        </w:rPr>
        <w:t xml:space="preserve">. </w:t>
      </w:r>
      <w:r>
        <w:rPr>
          <w:color w:val="000000" w:themeColor="text1"/>
        </w:rPr>
        <w:t xml:space="preserve">For each CEA for which abatement is being calculated, </w:t>
      </w:r>
      <w:proofErr w:type="spellStart"/>
      <w:r>
        <w:rPr>
          <w:color w:val="000000" w:themeColor="text1"/>
        </w:rPr>
        <w:t>FullCAM</w:t>
      </w:r>
      <w:proofErr w:type="spellEnd"/>
      <w:r>
        <w:rPr>
          <w:color w:val="000000" w:themeColor="text1"/>
        </w:rPr>
        <w:t xml:space="preserve"> outputs for carbon stocks at the end of the reporting period (in tonnes CO</w:t>
      </w:r>
      <w:r w:rsidRPr="000F6771">
        <w:rPr>
          <w:color w:val="000000" w:themeColor="text1"/>
          <w:vertAlign w:val="subscript"/>
        </w:rPr>
        <w:t>2</w:t>
      </w:r>
      <w:r>
        <w:rPr>
          <w:color w:val="000000" w:themeColor="text1"/>
        </w:rPr>
        <w:t xml:space="preserve">-e per hectare) are added together and multiplied by the area of the CEA. The results for all the CEAs are then added together to find total closing carbon stock for the project in the reporting period. </w:t>
      </w:r>
    </w:p>
    <w:p w:rsidR="008C1C9D" w:rsidRDefault="008C1C9D" w:rsidP="003756B9">
      <w:pPr>
        <w:pStyle w:val="ListParagraph"/>
        <w:numPr>
          <w:ilvl w:val="0"/>
          <w:numId w:val="5"/>
        </w:numPr>
        <w:spacing w:after="120"/>
      </w:pPr>
      <w:r>
        <w:t>Closing carbon stock from previous reporting period</w:t>
      </w:r>
      <w:r w:rsidR="000B4B7C">
        <w:t xml:space="preserve"> </w:t>
      </w:r>
      <w:r w:rsidR="000B4B7C" w:rsidRPr="000F6771">
        <w:rPr>
          <w:b/>
          <w:i/>
          <w:color w:val="000000" w:themeColor="text1"/>
        </w:rPr>
        <w:t>C</w:t>
      </w:r>
      <w:r w:rsidR="000B4B7C" w:rsidRPr="000F6771">
        <w:rPr>
          <w:b/>
          <w:i/>
          <w:color w:val="000000" w:themeColor="text1"/>
          <w:vertAlign w:val="subscript"/>
        </w:rPr>
        <w:t>r</w:t>
      </w:r>
      <w:r w:rsidR="000B4B7C">
        <w:rPr>
          <w:b/>
          <w:i/>
          <w:color w:val="000000" w:themeColor="text1"/>
          <w:vertAlign w:val="subscript"/>
        </w:rPr>
        <w:t>-1</w:t>
      </w:r>
      <w:r w:rsidR="000B4B7C" w:rsidRPr="000F6771">
        <w:rPr>
          <w:color w:val="000000" w:themeColor="text1"/>
        </w:rPr>
        <w:t>.</w:t>
      </w:r>
      <w:r w:rsidRPr="00F234E0">
        <w:rPr>
          <w:i/>
        </w:rPr>
        <w:t xml:space="preserve"> </w:t>
      </w:r>
      <w:r>
        <w:rPr>
          <w:color w:val="000000" w:themeColor="text1"/>
        </w:rPr>
        <w:t xml:space="preserve">This is the value that was calculated for </w:t>
      </w:r>
      <w:r w:rsidRPr="000F6771">
        <w:rPr>
          <w:b/>
          <w:i/>
          <w:color w:val="000000" w:themeColor="text1"/>
        </w:rPr>
        <w:t>C</w:t>
      </w:r>
      <w:r w:rsidRPr="000F6771">
        <w:rPr>
          <w:b/>
          <w:i/>
          <w:color w:val="000000" w:themeColor="text1"/>
          <w:vertAlign w:val="subscript"/>
        </w:rPr>
        <w:t>r</w:t>
      </w:r>
      <w:r w:rsidRPr="00F234E0">
        <w:rPr>
          <w:color w:val="000000" w:themeColor="text1"/>
        </w:rPr>
        <w:t xml:space="preserve"> in </w:t>
      </w:r>
      <w:r>
        <w:rPr>
          <w:color w:val="000000" w:themeColor="text1"/>
        </w:rPr>
        <w:t xml:space="preserve">the previous reporting period. Note that this may not cover the same CEAs as </w:t>
      </w:r>
      <w:r w:rsidRPr="000F6771">
        <w:rPr>
          <w:b/>
          <w:i/>
          <w:color w:val="000000" w:themeColor="text1"/>
        </w:rPr>
        <w:t>C</w:t>
      </w:r>
      <w:r w:rsidRPr="000F6771">
        <w:rPr>
          <w:b/>
          <w:i/>
          <w:color w:val="000000" w:themeColor="text1"/>
          <w:vertAlign w:val="subscript"/>
        </w:rPr>
        <w:t>r</w:t>
      </w:r>
      <w:r>
        <w:rPr>
          <w:color w:val="000000" w:themeColor="text1"/>
        </w:rPr>
        <w:t xml:space="preserve"> for the reporting period, if, for example, the proponent is reporting on parts of the project separately or if there has been re-stratification of CEAs.</w:t>
      </w:r>
    </w:p>
    <w:p w:rsidR="008C1C9D" w:rsidRDefault="00404594" w:rsidP="003756B9">
      <w:pPr>
        <w:pStyle w:val="ListParagraph"/>
        <w:numPr>
          <w:ilvl w:val="0"/>
          <w:numId w:val="5"/>
        </w:numPr>
        <w:spacing w:after="120"/>
      </w:pPr>
      <w:r>
        <w:t>Initial carbon</w:t>
      </w:r>
      <w:r w:rsidRPr="0012274D">
        <w:rPr>
          <w:color w:val="000000" w:themeColor="text1"/>
        </w:rPr>
        <w:t>,</w:t>
      </w:r>
      <w:r w:rsidR="000B4B7C">
        <w:rPr>
          <w:color w:val="000000" w:themeColor="text1"/>
        </w:rPr>
        <w:t xml:space="preserve"> </w:t>
      </w:r>
      <w:proofErr w:type="spellStart"/>
      <w:r w:rsidR="000B4B7C" w:rsidRPr="00D3513B">
        <w:t>IC</w:t>
      </w:r>
      <w:r w:rsidR="000B4B7C" w:rsidRPr="00D3513B">
        <w:rPr>
          <w:vertAlign w:val="subscript"/>
        </w:rPr>
        <w:t>r</w:t>
      </w:r>
      <w:proofErr w:type="spellEnd"/>
      <w:r w:rsidRPr="0012274D">
        <w:rPr>
          <w:i/>
          <w:color w:val="000000" w:themeColor="text1"/>
        </w:rPr>
        <w:t xml:space="preserve"> </w:t>
      </w:r>
      <w:r>
        <w:rPr>
          <w:color w:val="000000" w:themeColor="text1"/>
        </w:rPr>
        <w:t>which is included to adjust for new CEAs with non-zero carbon stocks at the beginning of the reporting period. This</w:t>
      </w:r>
      <w:r w:rsidRPr="004F3974">
        <w:rPr>
          <w:color w:val="000000" w:themeColor="text1"/>
        </w:rPr>
        <w:t xml:space="preserve"> includ</w:t>
      </w:r>
      <w:r>
        <w:rPr>
          <w:color w:val="000000" w:themeColor="text1"/>
        </w:rPr>
        <w:t xml:space="preserve">es CEAs stratified for a project’s first reporting period. </w:t>
      </w:r>
    </w:p>
    <w:p w:rsidR="008C1C9D" w:rsidRPr="008C1C9D" w:rsidRDefault="008C1C9D" w:rsidP="008C1C9D">
      <w:pPr>
        <w:rPr>
          <w:lang w:eastAsia="en-AU"/>
        </w:rPr>
      </w:pPr>
    </w:p>
    <w:p w:rsidR="00CA7FF6" w:rsidRPr="00CA7FF6" w:rsidRDefault="00CA7FF6" w:rsidP="003756B9">
      <w:pPr>
        <w:pStyle w:val="h3Div"/>
        <w:spacing w:line="276" w:lineRule="auto"/>
        <w:rPr>
          <w:rFonts w:eastAsia="Calibri"/>
          <w:bCs/>
          <w:color w:val="000000" w:themeColor="text1"/>
          <w:kern w:val="36"/>
          <w:sz w:val="24"/>
          <w:szCs w:val="24"/>
        </w:rPr>
      </w:pPr>
      <w:r w:rsidRPr="00CA7FF6">
        <w:rPr>
          <w:rFonts w:eastAsia="Calibri"/>
          <w:bCs/>
          <w:color w:val="000000" w:themeColor="text1"/>
          <w:kern w:val="36"/>
          <w:sz w:val="24"/>
          <w:szCs w:val="24"/>
        </w:rPr>
        <w:t>Division 5—</w:t>
      </w:r>
      <w:bookmarkStart w:id="11" w:name="_Toc434924372"/>
      <w:r w:rsidRPr="00CA7FF6">
        <w:rPr>
          <w:rFonts w:eastAsia="Calibri"/>
          <w:bCs/>
          <w:color w:val="000000" w:themeColor="text1"/>
          <w:kern w:val="36"/>
          <w:sz w:val="24"/>
          <w:szCs w:val="24"/>
        </w:rPr>
        <w:t>Calculation of project emissions</w:t>
      </w:r>
      <w:bookmarkEnd w:id="11"/>
    </w:p>
    <w:p w:rsidR="003138AC" w:rsidRDefault="002F11BC" w:rsidP="001B5684">
      <w:pPr>
        <w:pStyle w:val="Heading4"/>
        <w:rPr>
          <w:color w:val="000000" w:themeColor="text1"/>
        </w:rPr>
      </w:pPr>
      <w:r>
        <w:rPr>
          <w:color w:val="000000" w:themeColor="text1"/>
        </w:rPr>
        <w:t>34</w:t>
      </w:r>
      <w:r w:rsidR="00B0011E">
        <w:rPr>
          <w:color w:val="000000" w:themeColor="text1"/>
        </w:rPr>
        <w:t>.</w:t>
      </w:r>
      <w:r w:rsidR="003138AC">
        <w:rPr>
          <w:color w:val="000000" w:themeColor="text1"/>
        </w:rPr>
        <w:tab/>
      </w:r>
      <w:r w:rsidR="00CA7FF6" w:rsidRPr="00CA7FF6">
        <w:rPr>
          <w:color w:val="000000" w:themeColor="text1"/>
        </w:rPr>
        <w:t>Outline of Division</w:t>
      </w:r>
    </w:p>
    <w:p w:rsidR="003D5814" w:rsidRDefault="00535634" w:rsidP="003756B9">
      <w:pPr>
        <w:spacing w:before="120" w:after="120"/>
      </w:pPr>
      <w:r>
        <w:t>‘</w:t>
      </w:r>
      <w:r w:rsidR="0072246C">
        <w:t>Project emissions</w:t>
      </w:r>
      <w:r>
        <w:t>’</w:t>
      </w:r>
      <w:r w:rsidR="0072246C">
        <w:t xml:space="preserve"> refers to emissions that arise as a result of the project. The offsets integrity standards </w:t>
      </w:r>
      <w:r w:rsidR="00B36BF3">
        <w:t>require</w:t>
      </w:r>
      <w:r w:rsidR="0072246C">
        <w:t xml:space="preserve"> any material emissions that arise as a result of carrying out the project </w:t>
      </w:r>
      <w:r w:rsidR="007C3B6D">
        <w:t xml:space="preserve">to be deducted from the net abatement amount </w:t>
      </w:r>
      <w:r w:rsidR="0072246C">
        <w:t xml:space="preserve">(see paragraph </w:t>
      </w:r>
      <w:r w:rsidR="0033712B">
        <w:t>133(1</w:t>
      </w:r>
      <w:proofErr w:type="gramStart"/>
      <w:r w:rsidR="0033712B">
        <w:t>)(</w:t>
      </w:r>
      <w:proofErr w:type="gramEnd"/>
      <w:r w:rsidR="0033712B">
        <w:t>e) of the Act)</w:t>
      </w:r>
      <w:r w:rsidR="0072246C">
        <w:t xml:space="preserve">. </w:t>
      </w:r>
    </w:p>
    <w:p w:rsidR="00EF1FC9" w:rsidRPr="00EF1FC9" w:rsidRDefault="003A14A8" w:rsidP="003756B9">
      <w:pPr>
        <w:spacing w:before="120" w:after="120"/>
      </w:pPr>
      <w:r>
        <w:t>Division 5</w:t>
      </w:r>
      <w:r w:rsidR="0072246C">
        <w:t xml:space="preserve"> </w:t>
      </w:r>
      <w:r w:rsidR="00695077">
        <w:t xml:space="preserve">describes how to derive the second and third terms in </w:t>
      </w:r>
      <w:r w:rsidR="008139A3">
        <w:t xml:space="preserve">Equation 1: </w:t>
      </w:r>
      <w:r w:rsidR="0072246C">
        <w:t xml:space="preserve">emissions from fire </w:t>
      </w:r>
      <w:r w:rsidR="0033712B">
        <w:t>and</w:t>
      </w:r>
      <w:r w:rsidR="0072246C">
        <w:t xml:space="preserve"> emissions from </w:t>
      </w:r>
      <w:r w:rsidR="0033712B">
        <w:t>fuel combustion.</w:t>
      </w:r>
    </w:p>
    <w:p w:rsidR="003138AC" w:rsidRDefault="002F11BC" w:rsidP="001B5684">
      <w:pPr>
        <w:pStyle w:val="Heading4"/>
        <w:rPr>
          <w:color w:val="000000" w:themeColor="text1"/>
        </w:rPr>
      </w:pPr>
      <w:r>
        <w:rPr>
          <w:color w:val="000000" w:themeColor="text1"/>
        </w:rPr>
        <w:t>35</w:t>
      </w:r>
      <w:r w:rsidR="00B0011E">
        <w:rPr>
          <w:color w:val="000000" w:themeColor="text1"/>
        </w:rPr>
        <w:t>.</w:t>
      </w:r>
      <w:r w:rsidR="003138AC">
        <w:rPr>
          <w:color w:val="000000" w:themeColor="text1"/>
        </w:rPr>
        <w:tab/>
      </w:r>
      <w:r w:rsidR="00CA7FF6" w:rsidRPr="00FE167A">
        <w:rPr>
          <w:color w:val="000000" w:themeColor="text1"/>
        </w:rPr>
        <w:t>Calculat</w:t>
      </w:r>
      <w:r w:rsidR="00CA7FF6">
        <w:rPr>
          <w:color w:val="000000" w:themeColor="text1"/>
        </w:rPr>
        <w:t>ion of</w:t>
      </w:r>
      <w:r w:rsidR="00CA7FF6" w:rsidRPr="00FE167A">
        <w:rPr>
          <w:color w:val="000000" w:themeColor="text1"/>
        </w:rPr>
        <w:t xml:space="preserve"> methane and nitrous oxide emissions from fire</w:t>
      </w:r>
    </w:p>
    <w:p w:rsidR="0033712B" w:rsidRPr="0033712B" w:rsidRDefault="007C3B6D" w:rsidP="003756B9">
      <w:pPr>
        <w:spacing w:before="120" w:after="120"/>
      </w:pPr>
      <w:proofErr w:type="spellStart"/>
      <w:r>
        <w:t>FullCAM</w:t>
      </w:r>
      <w:proofErr w:type="spellEnd"/>
      <w:r>
        <w:t xml:space="preserve"> </w:t>
      </w:r>
      <w:r w:rsidR="00910F97">
        <w:t>models</w:t>
      </w:r>
      <w:r w:rsidR="00384E70">
        <w:t xml:space="preserve"> </w:t>
      </w:r>
      <w:r>
        <w:t xml:space="preserve">emissions of methane and nitrous oxide per hectare as a result of fire in the CEA. </w:t>
      </w:r>
      <w:r w:rsidR="00EF651E">
        <w:t>The equations in s</w:t>
      </w:r>
      <w:r>
        <w:t xml:space="preserve">ection </w:t>
      </w:r>
      <w:r w:rsidR="002F11BC">
        <w:t xml:space="preserve">35 </w:t>
      </w:r>
      <w:r w:rsidR="00EF651E">
        <w:t xml:space="preserve">convert the </w:t>
      </w:r>
      <w:proofErr w:type="spellStart"/>
      <w:r w:rsidR="00EF651E">
        <w:t>FullCAM</w:t>
      </w:r>
      <w:proofErr w:type="spellEnd"/>
      <w:r w:rsidR="00EF651E">
        <w:t xml:space="preserve"> output values to tonnes of carbon dioxide equivalent.</w:t>
      </w:r>
    </w:p>
    <w:p w:rsidR="003138AC" w:rsidRDefault="002F11BC" w:rsidP="001B5684">
      <w:pPr>
        <w:pStyle w:val="Heading4"/>
        <w:rPr>
          <w:color w:val="000000" w:themeColor="text1"/>
        </w:rPr>
      </w:pPr>
      <w:r>
        <w:rPr>
          <w:color w:val="000000" w:themeColor="text1"/>
        </w:rPr>
        <w:t>36</w:t>
      </w:r>
      <w:r w:rsidR="00B0011E">
        <w:rPr>
          <w:color w:val="000000" w:themeColor="text1"/>
        </w:rPr>
        <w:t>.</w:t>
      </w:r>
      <w:r w:rsidR="003138AC">
        <w:rPr>
          <w:color w:val="000000" w:themeColor="text1"/>
        </w:rPr>
        <w:tab/>
      </w:r>
      <w:r w:rsidR="00CA7FF6">
        <w:rPr>
          <w:color w:val="000000" w:themeColor="text1"/>
        </w:rPr>
        <w:t>Calculation of</w:t>
      </w:r>
      <w:r w:rsidR="00CA7FF6" w:rsidRPr="00FE167A">
        <w:rPr>
          <w:color w:val="000000" w:themeColor="text1"/>
        </w:rPr>
        <w:t xml:space="preserve"> </w:t>
      </w:r>
      <w:r w:rsidR="00CA7FF6" w:rsidRPr="00FE167A">
        <w:rPr>
          <w:iCs w:val="0"/>
          <w:color w:val="000000" w:themeColor="text1"/>
        </w:rPr>
        <w:t xml:space="preserve">emissions </w:t>
      </w:r>
      <w:r w:rsidR="00CA7FF6" w:rsidRPr="00FE167A">
        <w:rPr>
          <w:color w:val="000000" w:themeColor="text1"/>
        </w:rPr>
        <w:t>from fuel use</w:t>
      </w:r>
    </w:p>
    <w:p w:rsidR="00CB2D6A" w:rsidRDefault="00CB2D6A" w:rsidP="00CB2D6A">
      <w:pPr>
        <w:pStyle w:val="h3Div"/>
        <w:spacing w:before="120" w:after="120"/>
        <w:ind w:left="0" w:firstLine="0"/>
        <w:rPr>
          <w:rFonts w:eastAsia="Calibri"/>
          <w:b w:val="0"/>
          <w:kern w:val="0"/>
          <w:sz w:val="24"/>
          <w:szCs w:val="22"/>
          <w:lang w:eastAsia="en-US"/>
        </w:rPr>
      </w:pPr>
      <w:bookmarkStart w:id="12" w:name="_Toc357702898"/>
      <w:bookmarkStart w:id="13" w:name="_Toc421717639"/>
      <w:bookmarkStart w:id="14" w:name="_Toc421717857"/>
      <w:bookmarkStart w:id="15" w:name="_Toc426357770"/>
      <w:bookmarkStart w:id="16" w:name="_Toc433280874"/>
      <w:bookmarkStart w:id="17" w:name="_Toc433286390"/>
      <w:bookmarkStart w:id="18" w:name="_Toc434924375"/>
      <w:r w:rsidRPr="00CB2D6A">
        <w:rPr>
          <w:rFonts w:eastAsia="Calibri"/>
          <w:b w:val="0"/>
          <w:kern w:val="0"/>
          <w:sz w:val="24"/>
          <w:szCs w:val="22"/>
          <w:lang w:eastAsia="en-US"/>
        </w:rPr>
        <w:t xml:space="preserve">Emissions from fuel use are calculated by multiplying the amount of fuel consumed in implementing the project within CEAs. </w:t>
      </w:r>
      <w:r w:rsidR="00352E49">
        <w:rPr>
          <w:rFonts w:eastAsia="Calibri"/>
          <w:b w:val="0"/>
          <w:kern w:val="0"/>
          <w:sz w:val="24"/>
          <w:szCs w:val="22"/>
          <w:lang w:eastAsia="en-US"/>
        </w:rPr>
        <w:t>Emissions are</w:t>
      </w:r>
      <w:r w:rsidRPr="00CB2D6A">
        <w:rPr>
          <w:rFonts w:eastAsia="Calibri"/>
          <w:b w:val="0"/>
          <w:kern w:val="0"/>
          <w:sz w:val="24"/>
          <w:szCs w:val="22"/>
          <w:lang w:eastAsia="en-US"/>
        </w:rPr>
        <w:t xml:space="preserve"> calculated by default energy content and emissions factors set out in Schedule 1 of the NGER (Measurement) Determination. </w:t>
      </w:r>
    </w:p>
    <w:p w:rsidR="00CA7FF6" w:rsidRPr="00CA7FF6" w:rsidRDefault="00CA7FF6" w:rsidP="003756B9">
      <w:pPr>
        <w:pStyle w:val="h3Div"/>
        <w:spacing w:line="276" w:lineRule="auto"/>
        <w:rPr>
          <w:rFonts w:eastAsia="Calibri"/>
          <w:bCs/>
          <w:color w:val="000000" w:themeColor="text1"/>
          <w:kern w:val="36"/>
          <w:sz w:val="24"/>
          <w:szCs w:val="24"/>
        </w:rPr>
      </w:pPr>
      <w:r w:rsidRPr="00CA7FF6">
        <w:rPr>
          <w:rFonts w:eastAsia="Calibri"/>
          <w:bCs/>
          <w:color w:val="000000" w:themeColor="text1"/>
          <w:kern w:val="36"/>
          <w:sz w:val="24"/>
          <w:szCs w:val="24"/>
        </w:rPr>
        <w:t>Division 6—</w:t>
      </w:r>
      <w:bookmarkEnd w:id="12"/>
      <w:bookmarkEnd w:id="13"/>
      <w:bookmarkEnd w:id="14"/>
      <w:bookmarkEnd w:id="15"/>
      <w:bookmarkEnd w:id="16"/>
      <w:bookmarkEnd w:id="17"/>
      <w:bookmarkEnd w:id="18"/>
      <w:r w:rsidRPr="00CA7FF6">
        <w:rPr>
          <w:rFonts w:eastAsia="Calibri"/>
          <w:bCs/>
          <w:color w:val="000000" w:themeColor="text1"/>
          <w:kern w:val="36"/>
          <w:sz w:val="24"/>
          <w:szCs w:val="24"/>
        </w:rPr>
        <w:t xml:space="preserve">Calculation of carryover </w:t>
      </w:r>
      <w:r w:rsidR="008139A3">
        <w:rPr>
          <w:rFonts w:eastAsia="Calibri"/>
          <w:bCs/>
          <w:color w:val="000000" w:themeColor="text1"/>
          <w:kern w:val="36"/>
          <w:sz w:val="24"/>
          <w:szCs w:val="24"/>
        </w:rPr>
        <w:t xml:space="preserve">net abatement </w:t>
      </w:r>
      <w:r w:rsidRPr="00CA7FF6">
        <w:rPr>
          <w:rFonts w:eastAsia="Calibri"/>
          <w:bCs/>
          <w:color w:val="000000" w:themeColor="text1"/>
          <w:kern w:val="36"/>
          <w:sz w:val="24"/>
          <w:szCs w:val="24"/>
        </w:rPr>
        <w:t>amount, A</w:t>
      </w:r>
      <w:r w:rsidRPr="00CA7FF6">
        <w:rPr>
          <w:rFonts w:eastAsia="Calibri"/>
          <w:bCs/>
          <w:color w:val="000000" w:themeColor="text1"/>
          <w:kern w:val="36"/>
          <w:sz w:val="24"/>
          <w:szCs w:val="24"/>
          <w:vertAlign w:val="subscript"/>
        </w:rPr>
        <w:t>r</w:t>
      </w:r>
      <w:r w:rsidR="00663369">
        <w:rPr>
          <w:rFonts w:eastAsia="Calibri"/>
          <w:bCs/>
          <w:color w:val="000000" w:themeColor="text1"/>
          <w:kern w:val="36"/>
          <w:sz w:val="24"/>
          <w:szCs w:val="24"/>
          <w:vertAlign w:val="subscript"/>
        </w:rPr>
        <w:t>-1</w:t>
      </w:r>
    </w:p>
    <w:p w:rsidR="003138AC" w:rsidRDefault="002F11BC" w:rsidP="001B5684">
      <w:pPr>
        <w:pStyle w:val="Heading4"/>
        <w:rPr>
          <w:color w:val="000000" w:themeColor="text1"/>
        </w:rPr>
      </w:pPr>
      <w:r>
        <w:rPr>
          <w:color w:val="000000" w:themeColor="text1"/>
        </w:rPr>
        <w:t>37</w:t>
      </w:r>
      <w:r w:rsidR="00B0011E">
        <w:rPr>
          <w:color w:val="000000" w:themeColor="text1"/>
        </w:rPr>
        <w:t>.</w:t>
      </w:r>
      <w:r w:rsidR="003138AC">
        <w:rPr>
          <w:color w:val="000000" w:themeColor="text1"/>
        </w:rPr>
        <w:tab/>
      </w:r>
      <w:r w:rsidR="00CA7FF6" w:rsidRPr="00CA7FF6">
        <w:rPr>
          <w:color w:val="000000" w:themeColor="text1"/>
        </w:rPr>
        <w:t>Calculating the carryover amount</w:t>
      </w:r>
    </w:p>
    <w:p w:rsidR="00990B4B" w:rsidRDefault="00DD5FF5" w:rsidP="003756B9">
      <w:pPr>
        <w:spacing w:before="120" w:after="120"/>
      </w:pPr>
      <w:r>
        <w:t xml:space="preserve">There is an adjustment to </w:t>
      </w:r>
      <w:r w:rsidR="00DB483B">
        <w:t>Equation 1</w:t>
      </w:r>
      <w:r>
        <w:t xml:space="preserve"> to account for negative abatement in previous reporting periods, so that proponents are not re-credited for replacing carbon stores that were previously credited and then lost. </w:t>
      </w:r>
      <w:r w:rsidR="00990B4B">
        <w:t>This makes explicit the treatment of negative abatement to improve clarity for scheme participants.</w:t>
      </w:r>
    </w:p>
    <w:p w:rsidR="00DD5FF5" w:rsidRDefault="00DD5FF5" w:rsidP="003756B9">
      <w:pPr>
        <w:spacing w:before="120" w:after="120"/>
      </w:pPr>
      <w:r>
        <w:t>Section</w:t>
      </w:r>
      <w:r w:rsidR="00842875">
        <w:t xml:space="preserve"> </w:t>
      </w:r>
      <w:r w:rsidR="00663369">
        <w:t xml:space="preserve">37 </w:t>
      </w:r>
      <w:r>
        <w:t xml:space="preserve">sets out how to calculate the carryover </w:t>
      </w:r>
      <w:r w:rsidR="008139A3">
        <w:rPr>
          <w:bCs/>
          <w:color w:val="000000" w:themeColor="text1"/>
          <w:kern w:val="36"/>
          <w:szCs w:val="24"/>
        </w:rPr>
        <w:t xml:space="preserve">net abatement </w:t>
      </w:r>
      <w:r w:rsidR="000968AE">
        <w:t xml:space="preserve">amount. In the first reporting period for a project, the carryover amount will be zero. The way </w:t>
      </w:r>
      <w:r w:rsidR="00DB483B">
        <w:t>the carryover amount</w:t>
      </w:r>
      <w:r w:rsidR="000968AE">
        <w:t xml:space="preserve"> is worked out for subsequent reporting periods depends on </w:t>
      </w:r>
      <w:r w:rsidR="00B01D48">
        <w:t>the</w:t>
      </w:r>
      <w:r w:rsidR="000968AE">
        <w:t xml:space="preserve"> </w:t>
      </w:r>
      <w:r w:rsidR="008139A3">
        <w:t xml:space="preserve">methodology determination </w:t>
      </w:r>
      <w:r w:rsidR="00B01D48">
        <w:t>under which the project reported</w:t>
      </w:r>
      <w:r w:rsidR="00DB483B">
        <w:t xml:space="preserve"> in the previous reporting period</w:t>
      </w:r>
      <w:r w:rsidR="00980956">
        <w:t>.</w:t>
      </w:r>
    </w:p>
    <w:p w:rsidR="00980956" w:rsidRDefault="00980956" w:rsidP="003756B9">
      <w:pPr>
        <w:pStyle w:val="ListParagraph"/>
        <w:numPr>
          <w:ilvl w:val="0"/>
          <w:numId w:val="5"/>
        </w:numPr>
        <w:spacing w:after="120"/>
      </w:pPr>
      <w:r>
        <w:t>If the project was reported on under the varied Determination in the previous reporting period and the net abatement amount in that reporting period was negative, the carryover amount is that negative number.</w:t>
      </w:r>
    </w:p>
    <w:p w:rsidR="00980956" w:rsidRDefault="00980956" w:rsidP="003756B9">
      <w:pPr>
        <w:pStyle w:val="ListParagraph"/>
        <w:numPr>
          <w:ilvl w:val="0"/>
          <w:numId w:val="5"/>
        </w:numPr>
        <w:spacing w:after="120"/>
      </w:pPr>
      <w:r>
        <w:t xml:space="preserve">If the project was reported on under </w:t>
      </w:r>
      <w:r w:rsidRPr="00980956">
        <w:rPr>
          <w:color w:val="000000" w:themeColor="text1"/>
        </w:rPr>
        <w:t xml:space="preserve">the </w:t>
      </w:r>
      <w:r w:rsidRPr="00980956">
        <w:rPr>
          <w:i/>
          <w:color w:val="000000" w:themeColor="text1"/>
        </w:rPr>
        <w:t>Carbon Credits (Carbon Farming Initiative) (Native Forest from Managed Regrowth) Methodology Determination 2013</w:t>
      </w:r>
      <w:r w:rsidRPr="00980956">
        <w:rPr>
          <w:color w:val="000000" w:themeColor="text1"/>
        </w:rPr>
        <w:t xml:space="preserve"> in the previous reporting period and the net abatement amount </w:t>
      </w:r>
      <w:r>
        <w:t>in that reporting period was negative, the carryover amount is that negative number.</w:t>
      </w:r>
    </w:p>
    <w:p w:rsidR="00DD5FF5" w:rsidRDefault="00980956" w:rsidP="003756B9">
      <w:pPr>
        <w:pStyle w:val="ListParagraph"/>
        <w:numPr>
          <w:ilvl w:val="0"/>
          <w:numId w:val="5"/>
        </w:numPr>
        <w:spacing w:after="120"/>
      </w:pPr>
      <w:r>
        <w:t xml:space="preserve">If the project was reported on under a previous version of the </w:t>
      </w:r>
      <w:r w:rsidR="005E28DC">
        <w:t xml:space="preserve">varied Determination </w:t>
      </w:r>
      <w:r>
        <w:t>in the previous reporting period and the net abatement amount was negative in any reporting period under a</w:t>
      </w:r>
      <w:r w:rsidR="0010779A">
        <w:t>ny</w:t>
      </w:r>
      <w:r>
        <w:t xml:space="preserve"> previous version of the methodology, the carryover amount is equal</w:t>
      </w:r>
      <w:r w:rsidR="00EF742A">
        <w:t xml:space="preserve"> to the sum of all the negative net abatement amount values.</w:t>
      </w:r>
    </w:p>
    <w:p w:rsidR="00DB483B" w:rsidRDefault="00DB483B" w:rsidP="003756B9">
      <w:pPr>
        <w:spacing w:before="120" w:after="120"/>
      </w:pPr>
      <w:r>
        <w:t>If none of the circumstances listed above hold, the carryover amount is zero.</w:t>
      </w:r>
    </w:p>
    <w:p w:rsidR="00EF742A" w:rsidRDefault="00A2201F" w:rsidP="003756B9">
      <w:pPr>
        <w:spacing w:before="120" w:after="120"/>
      </w:pPr>
      <w:r>
        <w:t>Some examples of how negative abatement might be carried over in an HIR project are below.</w:t>
      </w:r>
    </w:p>
    <w:p w:rsidR="00A2201F" w:rsidRPr="00F51B1C" w:rsidRDefault="00A2201F" w:rsidP="00F51B1C">
      <w:pPr>
        <w:rPr>
          <w:u w:val="single"/>
        </w:rPr>
      </w:pPr>
      <w:r w:rsidRPr="00F51B1C">
        <w:rPr>
          <w:u w:val="single"/>
        </w:rPr>
        <w:t>Example 1</w:t>
      </w:r>
      <w:r w:rsidR="00F14381" w:rsidRPr="00F51B1C">
        <w:rPr>
          <w:u w:val="single"/>
        </w:rPr>
        <w:t xml:space="preserve"> – project previously reported under the varied Determination</w:t>
      </w:r>
    </w:p>
    <w:p w:rsidR="009C4E0A" w:rsidRDefault="00F14381" w:rsidP="003756B9">
      <w:pPr>
        <w:spacing w:before="120" w:after="120"/>
        <w:rPr>
          <w:lang w:eastAsia="en-AU"/>
        </w:rPr>
      </w:pPr>
      <w:r>
        <w:rPr>
          <w:lang w:eastAsia="en-AU"/>
        </w:rPr>
        <w:t xml:space="preserve">A project reported under the varied Determination for the previous reporting period. The output of Equation 1 was </w:t>
      </w:r>
      <m:oMath>
        <m:r>
          <w:rPr>
            <w:rFonts w:ascii="Cambria Math" w:hAnsi="Cambria Math"/>
            <w:lang w:eastAsia="en-AU"/>
          </w:rPr>
          <m:t>-100</m:t>
        </m:r>
      </m:oMath>
      <w:r>
        <w:rPr>
          <w:lang w:eastAsia="en-AU"/>
        </w:rPr>
        <w:t xml:space="preserve"> t CO</w:t>
      </w:r>
      <w:r w:rsidRPr="00356A1A">
        <w:rPr>
          <w:vertAlign w:val="subscript"/>
          <w:lang w:eastAsia="en-AU"/>
        </w:rPr>
        <w:t>2</w:t>
      </w:r>
      <w:r w:rsidR="00292C98">
        <w:rPr>
          <w:lang w:eastAsia="en-AU"/>
        </w:rPr>
        <w:t>-e</w:t>
      </w:r>
      <w:r w:rsidR="008E6C3B">
        <w:rPr>
          <w:lang w:eastAsia="en-AU"/>
        </w:rPr>
        <w:t>. U</w:t>
      </w:r>
      <w:r w:rsidR="00292C98">
        <w:rPr>
          <w:lang w:eastAsia="en-AU"/>
        </w:rPr>
        <w:t xml:space="preserve">nder subsection </w:t>
      </w:r>
      <w:r w:rsidR="00BC7740">
        <w:rPr>
          <w:lang w:eastAsia="en-AU"/>
        </w:rPr>
        <w:t>32</w:t>
      </w:r>
      <w:r w:rsidR="00292C98">
        <w:rPr>
          <w:lang w:eastAsia="en-AU"/>
        </w:rPr>
        <w:t xml:space="preserve">(1) the net abatement amount </w:t>
      </w:r>
      <w:r w:rsidR="009C4E0A">
        <w:rPr>
          <w:lang w:eastAsia="en-AU"/>
        </w:rPr>
        <w:t>for the previous reporting period was</w:t>
      </w:r>
      <w:r w:rsidR="000C45E0">
        <w:rPr>
          <w:lang w:eastAsia="en-AU"/>
        </w:rPr>
        <w:t xml:space="preserve"> thus</w:t>
      </w:r>
      <w:r w:rsidR="00292C98">
        <w:rPr>
          <w:lang w:eastAsia="en-AU"/>
        </w:rPr>
        <w:t xml:space="preserve"> </w:t>
      </w:r>
      <w:r w:rsidR="009C4E0A">
        <w:rPr>
          <w:lang w:eastAsia="en-AU"/>
        </w:rPr>
        <w:t>zero</w:t>
      </w:r>
      <w:r>
        <w:rPr>
          <w:lang w:eastAsia="en-AU"/>
        </w:rPr>
        <w:t xml:space="preserve">. </w:t>
      </w:r>
    </w:p>
    <w:p w:rsidR="001A3C57" w:rsidRPr="001A3C57" w:rsidRDefault="009C4E0A" w:rsidP="003756B9">
      <w:pPr>
        <w:spacing w:before="120" w:after="120"/>
        <w:rPr>
          <w:color w:val="000000" w:themeColor="text1"/>
          <w:lang w:eastAsia="en-AU"/>
        </w:rPr>
      </w:pPr>
      <w:r>
        <w:rPr>
          <w:lang w:eastAsia="en-AU"/>
        </w:rPr>
        <w:t xml:space="preserve">For the current </w:t>
      </w:r>
      <w:r w:rsidRPr="009C4E0A">
        <w:rPr>
          <w:color w:val="000000" w:themeColor="text1"/>
          <w:lang w:eastAsia="en-AU"/>
        </w:rPr>
        <w:t xml:space="preserve">reporting period, </w:t>
      </w:r>
      <w:r w:rsidR="004C54FA">
        <w:rPr>
          <w:color w:val="000000" w:themeColor="text1"/>
          <w:lang w:eastAsia="en-AU"/>
        </w:rPr>
        <w:t>sub</w:t>
      </w:r>
      <w:r w:rsidRPr="009C4E0A">
        <w:rPr>
          <w:color w:val="000000" w:themeColor="text1"/>
          <w:lang w:eastAsia="en-AU"/>
        </w:rPr>
        <w:t xml:space="preserve">section </w:t>
      </w:r>
      <w:r w:rsidR="00835D8D" w:rsidRPr="00BC7740">
        <w:rPr>
          <w:color w:val="000000" w:themeColor="text1"/>
          <w:lang w:eastAsia="en-AU"/>
        </w:rPr>
        <w:t>3</w:t>
      </w:r>
      <w:r w:rsidR="00835D8D">
        <w:rPr>
          <w:color w:val="000000" w:themeColor="text1"/>
          <w:lang w:eastAsia="en-AU"/>
        </w:rPr>
        <w:t>7</w:t>
      </w:r>
      <w:r w:rsidR="004C54FA">
        <w:rPr>
          <w:color w:val="000000" w:themeColor="text1"/>
          <w:lang w:eastAsia="en-AU"/>
        </w:rPr>
        <w:t>(2)</w:t>
      </w:r>
      <w:r w:rsidRPr="009C4E0A">
        <w:rPr>
          <w:color w:val="000000" w:themeColor="text1"/>
          <w:lang w:eastAsia="en-AU"/>
        </w:rPr>
        <w:t xml:space="preserve"> provides that the value of</w:t>
      </w:r>
      <w:r w:rsidR="00F14381" w:rsidRPr="009C4E0A">
        <w:rPr>
          <w:color w:val="000000" w:themeColor="text1"/>
          <w:lang w:eastAsia="en-AU"/>
        </w:rPr>
        <w:t xml:space="preserve"> A</w:t>
      </w:r>
      <w:r w:rsidR="00F14381" w:rsidRPr="009C4E0A">
        <w:rPr>
          <w:color w:val="000000" w:themeColor="text1"/>
          <w:vertAlign w:val="subscript"/>
          <w:lang w:eastAsia="en-AU"/>
        </w:rPr>
        <w:t>r</w:t>
      </w:r>
      <w:r w:rsidR="002F11BC">
        <w:rPr>
          <w:color w:val="000000" w:themeColor="text1"/>
          <w:vertAlign w:val="subscript"/>
          <w:lang w:eastAsia="en-AU"/>
        </w:rPr>
        <w:t>-1</w:t>
      </w:r>
      <w:r w:rsidRPr="009C4E0A">
        <w:rPr>
          <w:color w:val="000000" w:themeColor="text1"/>
          <w:lang w:eastAsia="en-AU"/>
        </w:rPr>
        <w:t xml:space="preserve"> </w:t>
      </w:r>
      <w:proofErr w:type="gramStart"/>
      <w:r w:rsidRPr="009C4E0A">
        <w:rPr>
          <w:color w:val="000000" w:themeColor="text1"/>
          <w:lang w:eastAsia="en-AU"/>
        </w:rPr>
        <w:t xml:space="preserve">is </w:t>
      </w:r>
      <m:oMath>
        <w:proofErr w:type="gramEnd"/>
        <m:r>
          <w:rPr>
            <w:rFonts w:ascii="Cambria Math" w:hAnsi="Cambria Math"/>
            <w:color w:val="000000" w:themeColor="text1"/>
            <w:lang w:eastAsia="en-AU"/>
          </w:rPr>
          <m:t>-100</m:t>
        </m:r>
      </m:oMath>
      <w:r w:rsidRPr="009C4E0A">
        <w:rPr>
          <w:color w:val="000000" w:themeColor="text1"/>
          <w:lang w:eastAsia="en-AU"/>
        </w:rPr>
        <w:t>. Equation 1</w:t>
      </w:r>
      <w:r w:rsidR="00F14381" w:rsidRPr="009C4E0A">
        <w:rPr>
          <w:color w:val="000000" w:themeColor="text1"/>
          <w:lang w:eastAsia="en-AU"/>
        </w:rPr>
        <w:t xml:space="preserve"> </w:t>
      </w:r>
      <w:r w:rsidRPr="009C4E0A">
        <w:rPr>
          <w:color w:val="000000" w:themeColor="text1"/>
          <w:lang w:eastAsia="en-AU"/>
        </w:rPr>
        <w:t>thus becomes:</w:t>
      </w:r>
      <w:r w:rsidR="00F14381" w:rsidRPr="009C4E0A">
        <w:rPr>
          <w:color w:val="000000" w:themeColor="text1"/>
          <w:lang w:eastAsia="en-AU"/>
        </w:rPr>
        <w:t xml:space="preserve">  </w:t>
      </w:r>
    </w:p>
    <w:p w:rsidR="00F14381" w:rsidRPr="002715E9" w:rsidRDefault="008F191E" w:rsidP="00AC5FC2">
      <w:pPr>
        <w:jc w:val="center"/>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A</m:t>
            </m:r>
          </m:e>
          <m:sub>
            <m:r>
              <m:rPr>
                <m:sty m:val="p"/>
              </m:rPr>
              <w:rPr>
                <w:rFonts w:ascii="Cambria Math" w:hAnsi="Cambria Math"/>
                <w:color w:val="000000" w:themeColor="text1"/>
              </w:rPr>
              <m:t>r</m:t>
            </m:r>
          </m:sub>
        </m:sSub>
        <m:r>
          <m:rPr>
            <m:sty m:val="p"/>
          </m:rPr>
          <w:rPr>
            <w:rFonts w:asci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r,</m:t>
            </m:r>
            <m:sSub>
              <m:sSubPr>
                <m:ctrlPr>
                  <w:rPr>
                    <w:rFonts w:ascii="Cambria Math" w:hAnsi="Cambria Math"/>
                    <w:color w:val="000000" w:themeColor="text1"/>
                  </w:rPr>
                </m:ctrlPr>
              </m:sSubPr>
              <m:e>
                <m:r>
                  <m:rPr>
                    <m:sty m:val="p"/>
                  </m:rPr>
                  <w:rPr>
                    <w:rFonts w:ascii="Cambria Math" w:hAnsi="Cambria Math"/>
                    <w:color w:val="000000" w:themeColor="text1"/>
                  </w:rPr>
                  <m:t>CO</m:t>
                </m:r>
              </m:e>
              <m:sub>
                <m:r>
                  <m:rPr>
                    <m:sty m:val="p"/>
                  </m:rPr>
                  <w:rPr>
                    <w:rFonts w:ascii="Cambria Math" w:hAnsi="Cambria Math"/>
                    <w:color w:val="000000" w:themeColor="text1"/>
                  </w:rPr>
                  <m:t>2</m:t>
                </m:r>
              </m:sub>
            </m:sSub>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B</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F</m:t>
            </m:r>
          </m:sub>
        </m:sSub>
        <m:r>
          <m:rPr>
            <m:sty m:val="p"/>
          </m:rPr>
          <w:rPr>
            <w:rFonts w:ascii="Cambria Math" w:hAnsi="Cambria Math"/>
            <w:color w:val="000000" w:themeColor="text1"/>
          </w:rPr>
          <m:t>-100</m:t>
        </m:r>
      </m:oMath>
      <w:r w:rsidR="00AC5FC2">
        <w:rPr>
          <w:color w:val="000000" w:themeColor="text1"/>
        </w:rPr>
        <w:t>.</w:t>
      </w:r>
    </w:p>
    <w:p w:rsidR="004A2C8D" w:rsidRPr="00F51B1C" w:rsidRDefault="004A2C8D" w:rsidP="00F51B1C">
      <w:pPr>
        <w:rPr>
          <w:u w:val="single"/>
        </w:rPr>
      </w:pPr>
      <w:r w:rsidRPr="00F51B1C">
        <w:rPr>
          <w:u w:val="single"/>
        </w:rPr>
        <w:t xml:space="preserve">Example 2 – project previously reported under </w:t>
      </w:r>
      <w:r w:rsidR="00C644E2">
        <w:rPr>
          <w:u w:val="single"/>
        </w:rPr>
        <w:t>NFMR</w:t>
      </w:r>
    </w:p>
    <w:p w:rsidR="004A2C8D" w:rsidRDefault="004A2C8D" w:rsidP="004A2C8D">
      <w:pPr>
        <w:rPr>
          <w:lang w:eastAsia="en-AU"/>
        </w:rPr>
      </w:pPr>
      <w:r>
        <w:t xml:space="preserve">A project reported under the </w:t>
      </w:r>
      <w:r w:rsidRPr="001F4604">
        <w:rPr>
          <w:i/>
          <w:color w:val="000000" w:themeColor="text1"/>
        </w:rPr>
        <w:t>Carbon Credits (Carbon Farming Initiative) (Native Forest from Managed Regrowth) Methodology Determination 2013</w:t>
      </w:r>
      <w:r>
        <w:rPr>
          <w:color w:val="000000" w:themeColor="text1"/>
        </w:rPr>
        <w:t xml:space="preserve"> for the previous reporting</w:t>
      </w:r>
      <w:r w:rsidR="002E0A11">
        <w:rPr>
          <w:color w:val="000000" w:themeColor="text1"/>
        </w:rPr>
        <w:t xml:space="preserve"> period</w:t>
      </w:r>
      <w:r>
        <w:rPr>
          <w:color w:val="000000" w:themeColor="text1"/>
        </w:rPr>
        <w:t>.</w:t>
      </w:r>
      <w:r w:rsidR="001A3C57">
        <w:rPr>
          <w:color w:val="000000" w:themeColor="text1"/>
        </w:rPr>
        <w:t xml:space="preserve"> </w:t>
      </w:r>
      <w:r w:rsidR="008E6C3B">
        <w:rPr>
          <w:color w:val="000000" w:themeColor="text1"/>
        </w:rPr>
        <w:t xml:space="preserve">The net abatement amount calculated in accordance with the </w:t>
      </w:r>
      <w:r w:rsidR="00C644E2">
        <w:rPr>
          <w:color w:val="000000" w:themeColor="text1"/>
        </w:rPr>
        <w:t>NFMR</w:t>
      </w:r>
      <w:r w:rsidR="008E6C3B">
        <w:rPr>
          <w:color w:val="000000" w:themeColor="text1"/>
        </w:rPr>
        <w:t xml:space="preserve"> Determination </w:t>
      </w:r>
      <w:r w:rsidR="00EC43B1">
        <w:rPr>
          <w:color w:val="000000" w:themeColor="text1"/>
        </w:rPr>
        <w:t>was</w:t>
      </w:r>
      <m:oMath>
        <m:r>
          <w:rPr>
            <w:rFonts w:ascii="Cambria Math" w:hAnsi="Cambria Math"/>
            <w:color w:val="000000" w:themeColor="text1"/>
          </w:rPr>
          <m:t xml:space="preserve"> </m:t>
        </m:r>
        <m:r>
          <w:rPr>
            <w:rFonts w:ascii="Cambria Math" w:hAnsi="Cambria Math"/>
            <w:lang w:eastAsia="en-AU"/>
          </w:rPr>
          <m:t>-50</m:t>
        </m:r>
      </m:oMath>
      <w:r w:rsidR="008E6C3B">
        <w:rPr>
          <w:lang w:eastAsia="en-AU"/>
        </w:rPr>
        <w:t>, and the proponent did not receive any credits for the reporting period.</w:t>
      </w:r>
    </w:p>
    <w:p w:rsidR="002E0A11" w:rsidRPr="004C54FA" w:rsidRDefault="002E0A11" w:rsidP="004A2C8D">
      <w:r>
        <w:rPr>
          <w:lang w:eastAsia="en-AU"/>
        </w:rPr>
        <w:t>The project has now transferred to the varied Determination</w:t>
      </w:r>
      <w:r w:rsidR="004C54FA">
        <w:rPr>
          <w:lang w:eastAsia="en-AU"/>
        </w:rPr>
        <w:t xml:space="preserve">. For the current reporting period, subsection </w:t>
      </w:r>
      <w:r w:rsidR="00835D8D" w:rsidRPr="00BC7740">
        <w:rPr>
          <w:color w:val="000000" w:themeColor="text1"/>
          <w:lang w:eastAsia="en-AU"/>
        </w:rPr>
        <w:t>3</w:t>
      </w:r>
      <w:r w:rsidR="00835D8D">
        <w:rPr>
          <w:color w:val="000000" w:themeColor="text1"/>
          <w:lang w:eastAsia="en-AU"/>
        </w:rPr>
        <w:t>7</w:t>
      </w:r>
      <w:r w:rsidR="004C54FA">
        <w:rPr>
          <w:color w:val="000000" w:themeColor="text1"/>
          <w:lang w:eastAsia="en-AU"/>
        </w:rPr>
        <w:t xml:space="preserve">(3) provides that the value of </w:t>
      </w:r>
      <w:r w:rsidR="004C54FA" w:rsidRPr="009C4E0A">
        <w:rPr>
          <w:color w:val="000000" w:themeColor="text1"/>
          <w:lang w:eastAsia="en-AU"/>
        </w:rPr>
        <w:t>A</w:t>
      </w:r>
      <w:r w:rsidR="004C54FA" w:rsidRPr="009C4E0A">
        <w:rPr>
          <w:color w:val="000000" w:themeColor="text1"/>
          <w:vertAlign w:val="subscript"/>
          <w:lang w:eastAsia="en-AU"/>
        </w:rPr>
        <w:t>r</w:t>
      </w:r>
      <w:r w:rsidR="00835D8D">
        <w:rPr>
          <w:color w:val="000000" w:themeColor="text1"/>
          <w:vertAlign w:val="subscript"/>
          <w:lang w:eastAsia="en-AU"/>
        </w:rPr>
        <w:t>-1</w:t>
      </w:r>
      <w:r w:rsidR="004C54FA">
        <w:rPr>
          <w:color w:val="000000" w:themeColor="text1"/>
          <w:lang w:eastAsia="en-AU"/>
        </w:rPr>
        <w:t xml:space="preserve"> </w:t>
      </w:r>
      <w:proofErr w:type="gramStart"/>
      <w:r w:rsidR="004C54FA">
        <w:rPr>
          <w:color w:val="000000" w:themeColor="text1"/>
          <w:lang w:eastAsia="en-AU"/>
        </w:rPr>
        <w:t xml:space="preserve">is </w:t>
      </w:r>
      <m:oMath>
        <w:proofErr w:type="gramEnd"/>
        <m:r>
          <w:rPr>
            <w:rFonts w:ascii="Cambria Math" w:hAnsi="Cambria Math"/>
            <w:lang w:eastAsia="en-AU"/>
          </w:rPr>
          <m:t>-50</m:t>
        </m:r>
      </m:oMath>
      <w:r w:rsidR="004C54FA">
        <w:rPr>
          <w:lang w:eastAsia="en-AU"/>
        </w:rPr>
        <w:t>. Equation 1 thus becomes:</w:t>
      </w:r>
    </w:p>
    <w:p w:rsidR="004A2C8D" w:rsidRPr="002715E9" w:rsidRDefault="008F191E" w:rsidP="001B5684">
      <w:pPr>
        <w:jc w:val="cente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r,</m:t>
            </m:r>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B</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F</m:t>
            </m:r>
          </m:sub>
        </m:sSub>
        <m:r>
          <m:rPr>
            <m:sty m:val="p"/>
          </m:rPr>
          <w:rPr>
            <w:rFonts w:ascii="Cambria Math" w:hAnsi="Cambria Math"/>
          </w:rPr>
          <m:t>-50</m:t>
        </m:r>
      </m:oMath>
      <w:r w:rsidR="00AC5FC2">
        <w:t>.</w:t>
      </w:r>
    </w:p>
    <w:p w:rsidR="009C4E0A" w:rsidRPr="00F51B1C" w:rsidRDefault="009C4E0A" w:rsidP="00F51B1C">
      <w:pPr>
        <w:rPr>
          <w:u w:val="single"/>
        </w:rPr>
      </w:pPr>
      <w:r w:rsidRPr="00F51B1C">
        <w:rPr>
          <w:u w:val="single"/>
        </w:rPr>
        <w:t xml:space="preserve">Example </w:t>
      </w:r>
      <w:r w:rsidR="004A2C8D" w:rsidRPr="00F51B1C">
        <w:rPr>
          <w:u w:val="single"/>
        </w:rPr>
        <w:t>3</w:t>
      </w:r>
      <w:r w:rsidRPr="00F51B1C">
        <w:rPr>
          <w:u w:val="single"/>
        </w:rPr>
        <w:t xml:space="preserve"> – project previously reported under an earlier version of the varied Determination</w:t>
      </w:r>
    </w:p>
    <w:p w:rsidR="009C4E0A" w:rsidRDefault="002715E9" w:rsidP="003756B9">
      <w:pPr>
        <w:spacing w:before="120" w:after="120"/>
        <w:rPr>
          <w:lang w:eastAsia="en-AU"/>
        </w:rPr>
      </w:pPr>
      <w:r>
        <w:rPr>
          <w:lang w:eastAsia="en-AU"/>
        </w:rPr>
        <w:t xml:space="preserve">A project reported under </w:t>
      </w:r>
      <w:r w:rsidR="0009104F">
        <w:rPr>
          <w:lang w:eastAsia="en-AU"/>
        </w:rPr>
        <w:t>an earlier</w:t>
      </w:r>
      <w:r>
        <w:rPr>
          <w:lang w:eastAsia="en-AU"/>
        </w:rPr>
        <w:t xml:space="preserve"> version of the varied Determination</w:t>
      </w:r>
      <w:r w:rsidR="00B0706C">
        <w:rPr>
          <w:lang w:eastAsia="en-AU"/>
        </w:rPr>
        <w:t xml:space="preserve"> for the previous reporting period</w:t>
      </w:r>
      <w:r>
        <w:rPr>
          <w:lang w:eastAsia="en-AU"/>
        </w:rPr>
        <w:t>.</w:t>
      </w:r>
      <w:r w:rsidR="00B0706C">
        <w:rPr>
          <w:lang w:eastAsia="en-AU"/>
        </w:rPr>
        <w:t xml:space="preserve"> The project reported three times in total under that version of the Determination, and has not reported under any other version. The net abatement amounts reported for the three reporting periods were 2000 t CO</w:t>
      </w:r>
      <w:r w:rsidR="00B0706C" w:rsidRPr="00B0706C">
        <w:rPr>
          <w:vertAlign w:val="subscript"/>
          <w:lang w:eastAsia="en-AU"/>
        </w:rPr>
        <w:t>2</w:t>
      </w:r>
      <w:r w:rsidR="00B0706C">
        <w:rPr>
          <w:lang w:eastAsia="en-AU"/>
        </w:rPr>
        <w:t xml:space="preserve">-e, </w:t>
      </w:r>
      <m:oMath>
        <m:r>
          <w:rPr>
            <w:rFonts w:ascii="Cambria Math" w:hAnsi="Cambria Math"/>
            <w:lang w:eastAsia="en-AU"/>
          </w:rPr>
          <m:t>-10</m:t>
        </m:r>
      </m:oMath>
      <w:r w:rsidR="00B0706C">
        <w:rPr>
          <w:lang w:eastAsia="en-AU"/>
        </w:rPr>
        <w:t xml:space="preserve"> t CO</w:t>
      </w:r>
      <w:r w:rsidR="00B0706C" w:rsidRPr="00B0706C">
        <w:rPr>
          <w:vertAlign w:val="subscript"/>
          <w:lang w:eastAsia="en-AU"/>
        </w:rPr>
        <w:t>2</w:t>
      </w:r>
      <w:r w:rsidR="00B0706C">
        <w:rPr>
          <w:lang w:eastAsia="en-AU"/>
        </w:rPr>
        <w:t xml:space="preserve">-e and </w:t>
      </w:r>
      <m:oMath>
        <m:r>
          <w:rPr>
            <w:rFonts w:ascii="Cambria Math" w:hAnsi="Cambria Math"/>
            <w:lang w:eastAsia="en-AU"/>
          </w:rPr>
          <m:t>-50</m:t>
        </m:r>
      </m:oMath>
      <w:r w:rsidR="00B0706C">
        <w:rPr>
          <w:lang w:eastAsia="en-AU"/>
        </w:rPr>
        <w:t xml:space="preserve"> t CO</w:t>
      </w:r>
      <w:r w:rsidR="00B0706C" w:rsidRPr="00B0706C">
        <w:rPr>
          <w:vertAlign w:val="subscript"/>
          <w:lang w:eastAsia="en-AU"/>
        </w:rPr>
        <w:t>2</w:t>
      </w:r>
      <w:r w:rsidR="00B0706C">
        <w:rPr>
          <w:lang w:eastAsia="en-AU"/>
        </w:rPr>
        <w:t xml:space="preserve">-e.  </w:t>
      </w:r>
    </w:p>
    <w:p w:rsidR="002C4AC4" w:rsidRPr="004C54FA" w:rsidRDefault="002C4AC4" w:rsidP="003756B9">
      <w:pPr>
        <w:spacing w:before="120" w:after="120"/>
      </w:pPr>
      <w:r>
        <w:rPr>
          <w:lang w:eastAsia="en-AU"/>
        </w:rPr>
        <w:t xml:space="preserve">The project has now transferred to the varied Determination. For the current reporting period, subsection </w:t>
      </w:r>
      <w:r w:rsidR="00BC7740">
        <w:rPr>
          <w:lang w:eastAsia="en-AU"/>
        </w:rPr>
        <w:t>3</w:t>
      </w:r>
      <w:r w:rsidR="00835D8D">
        <w:rPr>
          <w:lang w:eastAsia="en-AU"/>
        </w:rPr>
        <w:t>7</w:t>
      </w:r>
      <w:r>
        <w:rPr>
          <w:lang w:eastAsia="en-AU"/>
        </w:rPr>
        <w:t xml:space="preserve">(4) provides that the value of </w:t>
      </w:r>
      <w:r w:rsidRPr="009C4E0A">
        <w:rPr>
          <w:color w:val="000000" w:themeColor="text1"/>
          <w:lang w:eastAsia="en-AU"/>
        </w:rPr>
        <w:t>A</w:t>
      </w:r>
      <w:r w:rsidRPr="009C4E0A">
        <w:rPr>
          <w:color w:val="000000" w:themeColor="text1"/>
          <w:vertAlign w:val="subscript"/>
          <w:lang w:eastAsia="en-AU"/>
        </w:rPr>
        <w:t>r</w:t>
      </w:r>
      <w:r w:rsidR="00835D8D">
        <w:rPr>
          <w:color w:val="000000" w:themeColor="text1"/>
          <w:vertAlign w:val="subscript"/>
          <w:lang w:eastAsia="en-AU"/>
        </w:rPr>
        <w:t>-1</w:t>
      </w:r>
      <w:r>
        <w:rPr>
          <w:color w:val="000000" w:themeColor="text1"/>
          <w:lang w:eastAsia="en-AU"/>
        </w:rPr>
        <w:t xml:space="preserve"> is the sum of all the negative net abatement amounts calculated under a previous version of the method. For this project, it is the sum of  </w:t>
      </w:r>
      <m:oMath>
        <m:r>
          <w:rPr>
            <w:rFonts w:ascii="Cambria Math" w:hAnsi="Cambria Math"/>
            <w:lang w:eastAsia="en-AU"/>
          </w:rPr>
          <m:t>-10</m:t>
        </m:r>
      </m:oMath>
      <w:r>
        <w:rPr>
          <w:lang w:eastAsia="en-AU"/>
        </w:rPr>
        <w:t xml:space="preserve"> </w:t>
      </w:r>
      <w:proofErr w:type="gramStart"/>
      <w:r>
        <w:rPr>
          <w:lang w:eastAsia="en-AU"/>
        </w:rPr>
        <w:t xml:space="preserve">and </w:t>
      </w:r>
      <m:oMath>
        <w:proofErr w:type="gramEnd"/>
        <m:r>
          <w:rPr>
            <w:rFonts w:ascii="Cambria Math" w:hAnsi="Cambria Math"/>
            <w:lang w:eastAsia="en-AU"/>
          </w:rPr>
          <m:t>-50</m:t>
        </m:r>
      </m:oMath>
      <w:r>
        <w:rPr>
          <w:lang w:eastAsia="en-AU"/>
        </w:rPr>
        <w:t>. Equation 1 thus becomes:</w:t>
      </w:r>
    </w:p>
    <w:p w:rsidR="002C4AC4" w:rsidRPr="002715E9" w:rsidRDefault="008F191E" w:rsidP="001B5684">
      <w:pPr>
        <w:jc w:val="cente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r,</m:t>
            </m:r>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B</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F</m:t>
            </m:r>
          </m:sub>
        </m:sSub>
        <m:r>
          <m:rPr>
            <m:sty m:val="p"/>
          </m:rPr>
          <w:rPr>
            <w:rFonts w:ascii="Cambria Math" w:hAnsi="Cambria Math"/>
          </w:rPr>
          <m:t>-60</m:t>
        </m:r>
      </m:oMath>
      <w:r w:rsidR="00AC5FC2">
        <w:t>.</w:t>
      </w:r>
    </w:p>
    <w:p w:rsidR="002C4AC4" w:rsidRPr="002C4AC4" w:rsidRDefault="002C4AC4" w:rsidP="00F14381">
      <w:pPr>
        <w:rPr>
          <w:lang w:eastAsia="en-AU"/>
        </w:rPr>
      </w:pPr>
    </w:p>
    <w:p w:rsidR="00F14381" w:rsidRPr="00F14381" w:rsidRDefault="00F14381" w:rsidP="00F14381"/>
    <w:p w:rsidR="00ED46DD" w:rsidRDefault="00ED46DD" w:rsidP="003756B9">
      <w:pPr>
        <w:pStyle w:val="Heading2"/>
        <w:spacing w:line="276" w:lineRule="auto"/>
        <w:rPr>
          <w:color w:val="000000" w:themeColor="text1"/>
        </w:rPr>
      </w:pPr>
      <w:r w:rsidRPr="009045D7">
        <w:rPr>
          <w:color w:val="000000" w:themeColor="text1"/>
        </w:rPr>
        <w:t xml:space="preserve">Part </w:t>
      </w:r>
      <w:r w:rsidR="0063415E" w:rsidRPr="009045D7">
        <w:rPr>
          <w:color w:val="000000" w:themeColor="text1"/>
        </w:rPr>
        <w:t>5</w:t>
      </w:r>
      <w:r w:rsidRPr="009045D7">
        <w:rPr>
          <w:color w:val="000000" w:themeColor="text1"/>
        </w:rPr>
        <w:t>—</w:t>
      </w:r>
      <w:r w:rsidR="00454BB3">
        <w:rPr>
          <w:color w:val="000000" w:themeColor="text1"/>
        </w:rPr>
        <w:t>Reporting, record</w:t>
      </w:r>
      <w:r w:rsidR="00454BB3">
        <w:rPr>
          <w:color w:val="000000" w:themeColor="text1"/>
        </w:rPr>
        <w:noBreakHyphen/>
      </w:r>
      <w:proofErr w:type="spellStart"/>
      <w:r w:rsidR="00454BB3">
        <w:rPr>
          <w:color w:val="000000" w:themeColor="text1"/>
        </w:rPr>
        <w:t>keeping</w:t>
      </w:r>
      <w:proofErr w:type="spellEnd"/>
      <w:r w:rsidR="00454BB3">
        <w:rPr>
          <w:color w:val="000000" w:themeColor="text1"/>
        </w:rPr>
        <w:t xml:space="preserve"> and monitoring requirements</w:t>
      </w:r>
    </w:p>
    <w:p w:rsidR="00702882" w:rsidRPr="00702882" w:rsidRDefault="00702882" w:rsidP="003756B9">
      <w:pPr>
        <w:spacing w:before="120" w:after="120"/>
        <w:rPr>
          <w:rFonts w:eastAsia="Times New Roman"/>
          <w:szCs w:val="24"/>
          <w:lang w:val="en-US" w:eastAsia="en-AU"/>
        </w:rPr>
      </w:pPr>
      <w:r w:rsidRPr="00702882">
        <w:rPr>
          <w:rFonts w:eastAsia="Times New Roman"/>
          <w:color w:val="000000"/>
          <w:szCs w:val="24"/>
          <w:lang w:eastAsia="en-AU"/>
        </w:rPr>
        <w:t>Subsection 106(3) of the Act provides that a methodology determination may subject the project proponent of an eligible offsets project to specified reporting, notification, record</w:t>
      </w:r>
      <w:r w:rsidRPr="00702882">
        <w:rPr>
          <w:rFonts w:eastAsia="Times New Roman"/>
          <w:color w:val="000000"/>
          <w:szCs w:val="24"/>
          <w:lang w:eastAsia="en-AU"/>
        </w:rPr>
        <w:noBreakHyphen/>
      </w:r>
      <w:proofErr w:type="spellStart"/>
      <w:r w:rsidRPr="00702882">
        <w:rPr>
          <w:rFonts w:eastAsia="Times New Roman"/>
          <w:color w:val="000000"/>
          <w:szCs w:val="24"/>
          <w:lang w:eastAsia="en-AU"/>
        </w:rPr>
        <w:t>keeping</w:t>
      </w:r>
      <w:proofErr w:type="spellEnd"/>
      <w:r w:rsidRPr="00702882">
        <w:rPr>
          <w:rFonts w:eastAsia="Times New Roman"/>
          <w:color w:val="000000"/>
          <w:szCs w:val="24"/>
          <w:lang w:eastAsia="en-AU"/>
        </w:rPr>
        <w:t xml:space="preserve"> and monitoring requirements. </w:t>
      </w:r>
      <w:r w:rsidR="00AF647C">
        <w:rPr>
          <w:rFonts w:eastAsia="Times New Roman"/>
          <w:color w:val="000000"/>
          <w:szCs w:val="24"/>
          <w:lang w:eastAsia="en-AU"/>
        </w:rPr>
        <w:t>The varied determination includes reporting, record-keeping and monitoring requirements, but does not specify any notification requirements.</w:t>
      </w:r>
    </w:p>
    <w:p w:rsidR="00702882" w:rsidRPr="00702882" w:rsidRDefault="00702882" w:rsidP="003756B9">
      <w:pPr>
        <w:spacing w:before="120" w:after="120"/>
        <w:rPr>
          <w:rFonts w:eastAsia="Times New Roman"/>
          <w:szCs w:val="24"/>
          <w:lang w:val="en-US" w:eastAsia="en-AU"/>
        </w:rPr>
      </w:pPr>
      <w:r w:rsidRPr="00702882">
        <w:rPr>
          <w:rFonts w:eastAsia="Times New Roman"/>
          <w:color w:val="000000"/>
          <w:szCs w:val="24"/>
          <w:lang w:eastAsia="en-AU"/>
        </w:rPr>
        <w:t>Under Parts 17 and 21 of the Act, a failure to comply with these requirements may constitute a breach of a civil penalty provision, and a financial penalty may be payable.</w:t>
      </w:r>
    </w:p>
    <w:p w:rsidR="00702882" w:rsidRPr="00F51B1C" w:rsidRDefault="00702882" w:rsidP="00F51B1C">
      <w:pPr>
        <w:rPr>
          <w:u w:val="single"/>
          <w:lang w:val="en-US" w:eastAsia="en-AU"/>
        </w:rPr>
      </w:pPr>
      <w:r w:rsidRPr="00F51B1C">
        <w:rPr>
          <w:u w:val="single"/>
          <w:lang w:eastAsia="en-AU"/>
        </w:rPr>
        <w:t>Reporting periods</w:t>
      </w:r>
    </w:p>
    <w:p w:rsidR="00702882" w:rsidRPr="00D125A0" w:rsidRDefault="00702882" w:rsidP="003756B9">
      <w:pPr>
        <w:spacing w:before="120" w:after="120"/>
        <w:rPr>
          <w:rFonts w:eastAsia="Times New Roman"/>
          <w:szCs w:val="24"/>
          <w:lang w:eastAsia="en-AU"/>
        </w:rPr>
      </w:pPr>
      <w:r w:rsidRPr="00702882">
        <w:rPr>
          <w:rFonts w:eastAsia="Times New Roman"/>
          <w:szCs w:val="24"/>
          <w:lang w:eastAsia="en-AU"/>
        </w:rPr>
        <w:t>T</w:t>
      </w:r>
      <w:bookmarkStart w:id="19" w:name="OLE_LINK2"/>
      <w:bookmarkStart w:id="20" w:name="OLE_LINK1"/>
      <w:bookmarkEnd w:id="19"/>
      <w:r w:rsidRPr="00D125A0">
        <w:rPr>
          <w:rFonts w:eastAsia="Times New Roman"/>
          <w:szCs w:val="24"/>
          <w:lang w:eastAsia="en-AU"/>
        </w:rPr>
        <w:t xml:space="preserve">he Act and subordinate legislation provide for flexible reporting periods generally between six months and </w:t>
      </w:r>
      <w:r w:rsidR="005E28DC" w:rsidRPr="00D125A0">
        <w:rPr>
          <w:rFonts w:eastAsia="Times New Roman"/>
          <w:szCs w:val="24"/>
          <w:lang w:eastAsia="en-AU"/>
        </w:rPr>
        <w:t xml:space="preserve">five </w:t>
      </w:r>
      <w:r w:rsidRPr="00D125A0">
        <w:rPr>
          <w:rFonts w:eastAsia="Times New Roman"/>
          <w:szCs w:val="24"/>
          <w:lang w:eastAsia="en-AU"/>
        </w:rPr>
        <w:t>years in duration (with monthly reporting available if abatement in a reporting period meets or exceeds 2000 tonnes of carbon dioxide equivalent).</w:t>
      </w:r>
      <w:bookmarkEnd w:id="20"/>
    </w:p>
    <w:p w:rsidR="00702882" w:rsidRPr="00F51B1C" w:rsidRDefault="00702882" w:rsidP="00F51B1C">
      <w:pPr>
        <w:rPr>
          <w:u w:val="single"/>
          <w:lang w:val="en-US" w:eastAsia="en-AU"/>
        </w:rPr>
      </w:pPr>
      <w:r w:rsidRPr="00F51B1C">
        <w:rPr>
          <w:u w:val="single"/>
          <w:lang w:eastAsia="en-AU"/>
        </w:rPr>
        <w:t>Audit requirements</w:t>
      </w:r>
    </w:p>
    <w:p w:rsidR="00702882" w:rsidRPr="00702882" w:rsidRDefault="00702882" w:rsidP="003756B9">
      <w:pPr>
        <w:spacing w:before="120" w:after="120"/>
        <w:rPr>
          <w:rFonts w:eastAsia="Times New Roman"/>
          <w:szCs w:val="24"/>
          <w:lang w:val="en-US" w:eastAsia="en-AU"/>
        </w:rPr>
      </w:pPr>
      <w:r w:rsidRPr="00702882">
        <w:rPr>
          <w:rFonts w:eastAsia="Times New Roman"/>
          <w:szCs w:val="24"/>
          <w:lang w:eastAsia="en-AU"/>
        </w:rPr>
        <w:t xml:space="preserve">The Act provides for a risk-based approach to auditing emissions reductions. Subsections 13(1) and 76(4) of the Act provide for legislative rules to be made by the Minister, specifying the level of assurance, and the frequency and scope of the audit report that must be provided with project reports for different types of projects. These can be found in the </w:t>
      </w:r>
      <w:r w:rsidR="00463354" w:rsidRPr="00463354">
        <w:rPr>
          <w:rFonts w:eastAsia="Times New Roman"/>
          <w:iCs/>
          <w:szCs w:val="24"/>
          <w:lang w:eastAsia="en-AU"/>
        </w:rPr>
        <w:t>Rule.</w:t>
      </w:r>
    </w:p>
    <w:p w:rsidR="00702882" w:rsidRPr="00F51B1C" w:rsidRDefault="00702882" w:rsidP="00F51B1C">
      <w:pPr>
        <w:rPr>
          <w:u w:val="single"/>
          <w:lang w:val="en-US" w:eastAsia="en-AU"/>
        </w:rPr>
      </w:pPr>
      <w:r w:rsidRPr="00F51B1C">
        <w:rPr>
          <w:u w:val="single"/>
          <w:lang w:eastAsia="en-AU"/>
        </w:rPr>
        <w:t>Reporting, notification and record-keeping requirements</w:t>
      </w:r>
    </w:p>
    <w:p w:rsidR="00702882" w:rsidRPr="00702882" w:rsidRDefault="00702882" w:rsidP="003756B9">
      <w:pPr>
        <w:spacing w:before="120" w:after="120"/>
        <w:rPr>
          <w:rFonts w:eastAsia="Times New Roman"/>
          <w:szCs w:val="24"/>
          <w:lang w:val="en-US" w:eastAsia="en-AU"/>
        </w:rPr>
      </w:pPr>
      <w:r w:rsidRPr="00702882">
        <w:rPr>
          <w:rFonts w:eastAsia="Times New Roman"/>
          <w:szCs w:val="24"/>
          <w:lang w:eastAsia="en-AU"/>
        </w:rPr>
        <w:t>In addition to the requirements in the</w:t>
      </w:r>
      <w:r w:rsidR="005E28DC">
        <w:rPr>
          <w:rFonts w:eastAsia="Times New Roman"/>
          <w:szCs w:val="24"/>
          <w:lang w:eastAsia="en-AU"/>
        </w:rPr>
        <w:t xml:space="preserve"> varied</w:t>
      </w:r>
      <w:r w:rsidRPr="00702882">
        <w:rPr>
          <w:rFonts w:eastAsia="Times New Roman"/>
          <w:szCs w:val="24"/>
          <w:lang w:eastAsia="en-AU"/>
        </w:rPr>
        <w:t xml:space="preserve"> Determination, the Act and the </w:t>
      </w:r>
      <w:r w:rsidR="00463354" w:rsidRPr="00463354">
        <w:rPr>
          <w:rFonts w:eastAsia="Times New Roman"/>
          <w:iCs/>
          <w:szCs w:val="24"/>
          <w:lang w:eastAsia="en-AU"/>
        </w:rPr>
        <w:t xml:space="preserve">Rule </w:t>
      </w:r>
      <w:r w:rsidRPr="00702882">
        <w:rPr>
          <w:rFonts w:eastAsia="Times New Roman"/>
          <w:szCs w:val="24"/>
          <w:lang w:eastAsia="en-AU"/>
        </w:rPr>
        <w:t xml:space="preserve">specify other reporting, notification, record-keeping, and monitoring requirements that apply to all ERF projects. </w:t>
      </w:r>
    </w:p>
    <w:p w:rsidR="0019691D" w:rsidRPr="009045D7" w:rsidRDefault="0019691D" w:rsidP="003756B9">
      <w:pPr>
        <w:pStyle w:val="Heading3"/>
        <w:spacing w:before="240" w:line="276" w:lineRule="auto"/>
        <w:rPr>
          <w:color w:val="000000" w:themeColor="text1"/>
        </w:rPr>
      </w:pPr>
      <w:r w:rsidRPr="009045D7">
        <w:rPr>
          <w:color w:val="000000" w:themeColor="text1"/>
        </w:rPr>
        <w:t xml:space="preserve">Division </w:t>
      </w:r>
      <w:r w:rsidR="005C7E50" w:rsidRPr="009045D7">
        <w:rPr>
          <w:color w:val="000000" w:themeColor="text1"/>
        </w:rPr>
        <w:t>1</w:t>
      </w:r>
      <w:r w:rsidR="005C7E50" w:rsidRPr="009045D7">
        <w:rPr>
          <w:rFonts w:cs="Times New Roman"/>
          <w:color w:val="000000" w:themeColor="text1"/>
        </w:rPr>
        <w:t>—</w:t>
      </w:r>
      <w:r w:rsidR="00454BB3">
        <w:rPr>
          <w:color w:val="000000" w:themeColor="text1"/>
        </w:rPr>
        <w:t>Offsets report requirements</w:t>
      </w:r>
    </w:p>
    <w:p w:rsidR="0019691D" w:rsidRDefault="00835D8D" w:rsidP="001B5684">
      <w:pPr>
        <w:pStyle w:val="Heading4"/>
        <w:rPr>
          <w:color w:val="000000" w:themeColor="text1"/>
          <w:szCs w:val="24"/>
        </w:rPr>
      </w:pPr>
      <w:r>
        <w:rPr>
          <w:color w:val="000000" w:themeColor="text1"/>
        </w:rPr>
        <w:t>38</w:t>
      </w:r>
      <w:r w:rsidR="00B0011E">
        <w:rPr>
          <w:color w:val="000000" w:themeColor="text1"/>
        </w:rPr>
        <w:t>.</w:t>
      </w:r>
      <w:r w:rsidR="0019691D" w:rsidRPr="009045D7">
        <w:rPr>
          <w:color w:val="000000" w:themeColor="text1"/>
          <w:szCs w:val="24"/>
        </w:rPr>
        <w:tab/>
      </w:r>
      <w:r w:rsidR="00454BB3">
        <w:rPr>
          <w:color w:val="000000" w:themeColor="text1"/>
          <w:szCs w:val="24"/>
        </w:rPr>
        <w:t>Operation of this Division</w:t>
      </w:r>
    </w:p>
    <w:p w:rsidR="00702882" w:rsidRPr="00702882" w:rsidRDefault="00702882" w:rsidP="003756B9">
      <w:pPr>
        <w:spacing w:before="120" w:after="120"/>
      </w:pPr>
      <w:r>
        <w:t>Under paragraph 106(3</w:t>
      </w:r>
      <w:proofErr w:type="gramStart"/>
      <w:r>
        <w:t>)(</w:t>
      </w:r>
      <w:proofErr w:type="gramEnd"/>
      <w:r>
        <w:t>a) of the Act, a methodology determination may set out requirements to include specified information in each offsets report. Division 1 sets out information that must be included in an offsets report about an HIR project.</w:t>
      </w:r>
    </w:p>
    <w:p w:rsidR="00CA7FF6" w:rsidRDefault="00835D8D" w:rsidP="001B5684">
      <w:pPr>
        <w:pStyle w:val="Heading4"/>
        <w:rPr>
          <w:color w:val="000000" w:themeColor="text1"/>
          <w:szCs w:val="24"/>
        </w:rPr>
      </w:pPr>
      <w:r>
        <w:rPr>
          <w:color w:val="000000" w:themeColor="text1"/>
        </w:rPr>
        <w:t>39</w:t>
      </w:r>
      <w:r w:rsidR="00B0011E">
        <w:rPr>
          <w:color w:val="000000" w:themeColor="text1"/>
        </w:rPr>
        <w:t>.</w:t>
      </w:r>
      <w:r w:rsidR="0019691D" w:rsidRPr="009045D7">
        <w:rPr>
          <w:color w:val="000000" w:themeColor="text1"/>
          <w:szCs w:val="24"/>
        </w:rPr>
        <w:tab/>
      </w:r>
      <w:r w:rsidR="00CA7FF6" w:rsidRPr="00CA7FF6">
        <w:rPr>
          <w:color w:val="000000" w:themeColor="text1"/>
          <w:szCs w:val="24"/>
        </w:rPr>
        <w:t>Information that must be included in offsets reports</w:t>
      </w:r>
    </w:p>
    <w:p w:rsidR="00533497" w:rsidRDefault="00533497" w:rsidP="003756B9">
      <w:pPr>
        <w:spacing w:before="120" w:after="120"/>
        <w:rPr>
          <w:color w:val="000000"/>
        </w:rPr>
      </w:pPr>
      <w:r>
        <w:rPr>
          <w:color w:val="000000"/>
        </w:rPr>
        <w:t xml:space="preserve">Further to requirements under the Act and subordinate legislation, section </w:t>
      </w:r>
      <w:r w:rsidR="00E9495C">
        <w:rPr>
          <w:color w:val="000000"/>
        </w:rPr>
        <w:t>39</w:t>
      </w:r>
      <w:r w:rsidR="005E28DC">
        <w:rPr>
          <w:color w:val="000000"/>
        </w:rPr>
        <w:t xml:space="preserve"> </w:t>
      </w:r>
      <w:r>
        <w:rPr>
          <w:color w:val="000000"/>
        </w:rPr>
        <w:t>sets out specific additional information that must be included in each of</w:t>
      </w:r>
      <w:r w:rsidR="00C631BF">
        <w:rPr>
          <w:color w:val="000000"/>
        </w:rPr>
        <w:t>fsets report for an HIR project.</w:t>
      </w:r>
    </w:p>
    <w:p w:rsidR="00CF4D37" w:rsidRDefault="004455D4" w:rsidP="003756B9">
      <w:pPr>
        <w:spacing w:before="120" w:after="120"/>
        <w:rPr>
          <w:color w:val="000000"/>
        </w:rPr>
      </w:pPr>
      <w:r>
        <w:rPr>
          <w:color w:val="000000"/>
        </w:rPr>
        <w:t xml:space="preserve">Proponents must provide </w:t>
      </w:r>
      <w:r w:rsidR="00C631BF">
        <w:rPr>
          <w:color w:val="000000"/>
        </w:rPr>
        <w:t xml:space="preserve">geospatial </w:t>
      </w:r>
      <w:r>
        <w:rPr>
          <w:color w:val="000000"/>
        </w:rPr>
        <w:t xml:space="preserve">information about CEA boundaries, in accordance with </w:t>
      </w:r>
      <w:r w:rsidR="00A161F0">
        <w:rPr>
          <w:color w:val="000000"/>
        </w:rPr>
        <w:t xml:space="preserve">the </w:t>
      </w:r>
      <w:r>
        <w:rPr>
          <w:color w:val="000000"/>
        </w:rPr>
        <w:t xml:space="preserve">mapping requirements set out in section </w:t>
      </w:r>
      <w:r w:rsidR="00BC7740">
        <w:rPr>
          <w:color w:val="000000"/>
        </w:rPr>
        <w:t>24</w:t>
      </w:r>
      <w:r w:rsidR="005E28DC">
        <w:rPr>
          <w:color w:val="000000"/>
        </w:rPr>
        <w:t xml:space="preserve"> </w:t>
      </w:r>
      <w:r>
        <w:rPr>
          <w:color w:val="000000"/>
        </w:rPr>
        <w:t>and the CFI mapping gu</w:t>
      </w:r>
      <w:r w:rsidR="00C631BF">
        <w:rPr>
          <w:color w:val="000000"/>
        </w:rPr>
        <w:t xml:space="preserve">idelines, the names or labels used to identify CEAs, and a description of the HIR activity that was undertaken in </w:t>
      </w:r>
      <w:r w:rsidR="00A161F0">
        <w:rPr>
          <w:color w:val="000000"/>
        </w:rPr>
        <w:t>each</w:t>
      </w:r>
      <w:r w:rsidR="00C631BF">
        <w:rPr>
          <w:color w:val="000000"/>
        </w:rPr>
        <w:t xml:space="preserve"> CEA.</w:t>
      </w:r>
      <w:r w:rsidR="00C631BF" w:rsidRPr="00C631BF">
        <w:rPr>
          <w:color w:val="000000"/>
        </w:rPr>
        <w:t xml:space="preserve"> </w:t>
      </w:r>
      <w:r w:rsidR="00C631BF">
        <w:rPr>
          <w:color w:val="000000"/>
        </w:rPr>
        <w:t xml:space="preserve">They must also provide information relating to the </w:t>
      </w:r>
      <w:proofErr w:type="spellStart"/>
      <w:r w:rsidR="00C631BF">
        <w:rPr>
          <w:color w:val="000000"/>
        </w:rPr>
        <w:t>FullCAM</w:t>
      </w:r>
      <w:proofErr w:type="spellEnd"/>
      <w:r w:rsidR="00C631BF">
        <w:rPr>
          <w:color w:val="000000"/>
        </w:rPr>
        <w:t xml:space="preserve"> modelling for each CEA: the model point location, </w:t>
      </w:r>
      <w:r w:rsidR="00315468">
        <w:rPr>
          <w:color w:val="000000"/>
        </w:rPr>
        <w:t xml:space="preserve">modelling commencement date, and </w:t>
      </w:r>
      <w:proofErr w:type="spellStart"/>
      <w:r w:rsidR="00315468">
        <w:rPr>
          <w:color w:val="000000"/>
        </w:rPr>
        <w:t>FullCAM</w:t>
      </w:r>
      <w:proofErr w:type="spellEnd"/>
      <w:r w:rsidR="00315468">
        <w:rPr>
          <w:color w:val="000000"/>
        </w:rPr>
        <w:t xml:space="preserve"> modelling output files.</w:t>
      </w:r>
    </w:p>
    <w:p w:rsidR="001663FE" w:rsidRDefault="00673ED1" w:rsidP="003756B9">
      <w:pPr>
        <w:spacing w:before="120" w:after="120"/>
        <w:rPr>
          <w:color w:val="000000"/>
        </w:rPr>
      </w:pPr>
      <w:r>
        <w:t xml:space="preserve">If applicable, and required in accordance with the </w:t>
      </w:r>
      <w:proofErr w:type="spellStart"/>
      <w:r>
        <w:t>FullCAM</w:t>
      </w:r>
      <w:proofErr w:type="spellEnd"/>
      <w:r>
        <w:t xml:space="preserve"> guidelines, </w:t>
      </w:r>
      <w:r>
        <w:rPr>
          <w:color w:val="000000"/>
        </w:rPr>
        <w:t>p</w:t>
      </w:r>
      <w:r w:rsidR="001663FE">
        <w:rPr>
          <w:color w:val="000000"/>
        </w:rPr>
        <w:t xml:space="preserve">roponents must also provide a description of the </w:t>
      </w:r>
      <w:r w:rsidR="001663FE" w:rsidRPr="00D3513B">
        <w:t>process</w:t>
      </w:r>
      <w:r w:rsidR="001663FE">
        <w:t xml:space="preserve"> used to </w:t>
      </w:r>
      <w:r>
        <w:t>assess the proportion of trees killed following a fire or other disturbance event.</w:t>
      </w:r>
      <w:r w:rsidR="0041116C">
        <w:t xml:space="preserve"> Example processes include, but are not limited to, aerial photographs, ground transects, or sight estimates supported with photographs.</w:t>
      </w:r>
    </w:p>
    <w:p w:rsidR="00C7682A" w:rsidRPr="003020C1" w:rsidRDefault="00C7682A" w:rsidP="003756B9">
      <w:pPr>
        <w:spacing w:before="120" w:after="120"/>
      </w:pPr>
      <w:r>
        <w:rPr>
          <w:color w:val="000000"/>
        </w:rPr>
        <w:t xml:space="preserve">If the project is a transferring project, the proponent must provide a copy of any clearing </w:t>
      </w:r>
      <w:r w:rsidR="00835D8D">
        <w:rPr>
          <w:color w:val="000000"/>
        </w:rPr>
        <w:t xml:space="preserve">right </w:t>
      </w:r>
      <w:r>
        <w:rPr>
          <w:color w:val="000000"/>
        </w:rPr>
        <w:t xml:space="preserve">that was exercised in the project area before the project commenced, and that </w:t>
      </w:r>
      <w:r w:rsidRPr="00357938">
        <w:t>imposes ongoing requirements relating to the management of the cleared land</w:t>
      </w:r>
      <w:r>
        <w:t>. This requirement is included to assist the Regulator in establishing that the proponent has the legal right to promote regeneration of native forest in the project area.</w:t>
      </w:r>
    </w:p>
    <w:p w:rsidR="00CF4D37" w:rsidRDefault="00CF4D37" w:rsidP="003756B9">
      <w:pPr>
        <w:spacing w:before="120" w:after="120"/>
        <w:rPr>
          <w:color w:val="000000"/>
        </w:rPr>
      </w:pPr>
      <w:r>
        <w:rPr>
          <w:color w:val="000000"/>
        </w:rPr>
        <w:t>This section allows proponents to refer to information previously submitted in an offsets report rather than resubmitting the same information</w:t>
      </w:r>
      <w:r w:rsidR="005E28DC">
        <w:rPr>
          <w:color w:val="000000"/>
        </w:rPr>
        <w:t xml:space="preserve"> (for example, CEAs that have been previously identified in offsets reports)</w:t>
      </w:r>
      <w:r>
        <w:rPr>
          <w:color w:val="000000"/>
        </w:rPr>
        <w:t>.</w:t>
      </w:r>
    </w:p>
    <w:p w:rsidR="00CF4D37" w:rsidRPr="00533497" w:rsidRDefault="00CF4D37" w:rsidP="003756B9">
      <w:pPr>
        <w:spacing w:before="120" w:after="120"/>
        <w:rPr>
          <w:color w:val="000000"/>
        </w:rPr>
      </w:pPr>
      <w:r>
        <w:rPr>
          <w:color w:val="000000"/>
        </w:rPr>
        <w:t>The section also refers to the provisions relating to factors and parameters from external sources (section 6), requiring proponents</w:t>
      </w:r>
      <w:r w:rsidR="00A62CB4">
        <w:rPr>
          <w:color w:val="000000"/>
        </w:rPr>
        <w:t xml:space="preserve"> to </w:t>
      </w:r>
      <w:r w:rsidR="009E76CD">
        <w:rPr>
          <w:color w:val="000000"/>
        </w:rPr>
        <w:t>provide information</w:t>
      </w:r>
      <w:r w:rsidR="00A62CB4">
        <w:rPr>
          <w:color w:val="000000"/>
        </w:rPr>
        <w:t xml:space="preserve"> if it has not been possible to use the version of the external source in force at the end of the reporting period.</w:t>
      </w:r>
    </w:p>
    <w:p w:rsidR="00CA7FF6" w:rsidRPr="00FE167A" w:rsidRDefault="00CA7FF6" w:rsidP="003756B9">
      <w:pPr>
        <w:pStyle w:val="Heading3"/>
        <w:spacing w:before="240" w:line="276" w:lineRule="auto"/>
        <w:rPr>
          <w:color w:val="000000" w:themeColor="text1"/>
        </w:rPr>
      </w:pPr>
      <w:bookmarkStart w:id="21" w:name="_Toc357702906"/>
      <w:bookmarkStart w:id="22" w:name="_Toc421717647"/>
      <w:bookmarkStart w:id="23" w:name="_Toc421717865"/>
      <w:bookmarkStart w:id="24" w:name="_Toc434924383"/>
      <w:r>
        <w:rPr>
          <w:color w:val="000000" w:themeColor="text1"/>
        </w:rPr>
        <w:t>Division 2</w:t>
      </w:r>
      <w:r w:rsidRPr="00FE167A">
        <w:rPr>
          <w:color w:val="000000" w:themeColor="text1"/>
        </w:rPr>
        <w:t>—Record-keeping requirements</w:t>
      </w:r>
      <w:bookmarkEnd w:id="21"/>
      <w:bookmarkEnd w:id="22"/>
      <w:bookmarkEnd w:id="23"/>
      <w:bookmarkEnd w:id="24"/>
    </w:p>
    <w:p w:rsidR="00CA7FF6" w:rsidRDefault="00835D8D" w:rsidP="001B5684">
      <w:pPr>
        <w:pStyle w:val="Heading4"/>
        <w:rPr>
          <w:color w:val="000000" w:themeColor="text1"/>
        </w:rPr>
      </w:pPr>
      <w:r>
        <w:rPr>
          <w:color w:val="000000" w:themeColor="text1"/>
        </w:rPr>
        <w:t>40</w:t>
      </w:r>
      <w:r w:rsidR="00B0011E">
        <w:rPr>
          <w:color w:val="000000" w:themeColor="text1"/>
        </w:rPr>
        <w:t>.</w:t>
      </w:r>
      <w:r w:rsidR="00CA7FF6" w:rsidRPr="009045D7">
        <w:rPr>
          <w:color w:val="000000" w:themeColor="text1"/>
          <w:szCs w:val="24"/>
        </w:rPr>
        <w:tab/>
      </w:r>
      <w:r w:rsidR="00CA7FF6" w:rsidRPr="00FE167A">
        <w:rPr>
          <w:color w:val="000000" w:themeColor="text1"/>
        </w:rPr>
        <w:t>Operation of this Division</w:t>
      </w:r>
      <w:r w:rsidR="00CA7FF6" w:rsidRPr="009045D7">
        <w:rPr>
          <w:color w:val="000000" w:themeColor="text1"/>
        </w:rPr>
        <w:t xml:space="preserve"> </w:t>
      </w:r>
    </w:p>
    <w:p w:rsidR="00533497" w:rsidRPr="00533497" w:rsidRDefault="00533497" w:rsidP="003756B9">
      <w:pPr>
        <w:spacing w:before="120" w:after="120"/>
      </w:pPr>
      <w:r>
        <w:t>Under paragraph 106(3</w:t>
      </w:r>
      <w:proofErr w:type="gramStart"/>
      <w:r>
        <w:t>)(</w:t>
      </w:r>
      <w:proofErr w:type="gramEnd"/>
      <w:r>
        <w:t>c) of the Act, a methodology determination may set out r</w:t>
      </w:r>
      <w:r w:rsidR="00EE4BA9">
        <w:t>ecord</w:t>
      </w:r>
      <w:r w:rsidR="00EE4BA9">
        <w:noBreakHyphen/>
      </w:r>
      <w:proofErr w:type="spellStart"/>
      <w:r>
        <w:t>keeping</w:t>
      </w:r>
      <w:proofErr w:type="spellEnd"/>
      <w:r>
        <w:t xml:space="preserve"> requirements for an eligible offsets project. This section provides that Division 3 sets out record-keeping requirements for an HIR project. As noted above, these are in addition to requirements set out in the Act and subordinate legislation.</w:t>
      </w:r>
    </w:p>
    <w:p w:rsidR="00CA7FF6" w:rsidRDefault="00835D8D" w:rsidP="001B5684">
      <w:pPr>
        <w:pStyle w:val="Heading4"/>
        <w:rPr>
          <w:color w:val="000000" w:themeColor="text1"/>
        </w:rPr>
      </w:pPr>
      <w:r>
        <w:rPr>
          <w:color w:val="000000" w:themeColor="text1"/>
        </w:rPr>
        <w:t>41</w:t>
      </w:r>
      <w:r w:rsidR="00B0011E">
        <w:rPr>
          <w:color w:val="000000" w:themeColor="text1"/>
        </w:rPr>
        <w:t>.</w:t>
      </w:r>
      <w:r w:rsidR="00CA7FF6" w:rsidRPr="009045D7">
        <w:rPr>
          <w:color w:val="000000" w:themeColor="text1"/>
          <w:szCs w:val="24"/>
        </w:rPr>
        <w:tab/>
      </w:r>
      <w:r w:rsidR="00CA7FF6" w:rsidRPr="00FE167A">
        <w:rPr>
          <w:color w:val="000000" w:themeColor="text1"/>
        </w:rPr>
        <w:t>Records that must be kept</w:t>
      </w:r>
      <w:r w:rsidR="00CA7FF6" w:rsidRPr="009045D7">
        <w:rPr>
          <w:color w:val="000000" w:themeColor="text1"/>
        </w:rPr>
        <w:t xml:space="preserve"> </w:t>
      </w:r>
    </w:p>
    <w:p w:rsidR="00A4119F" w:rsidRDefault="0064620F" w:rsidP="003756B9">
      <w:pPr>
        <w:spacing w:before="120" w:after="120"/>
      </w:pPr>
      <w:r>
        <w:t xml:space="preserve">Section </w:t>
      </w:r>
      <w:r w:rsidR="00BC7740">
        <w:t>4</w:t>
      </w:r>
      <w:r w:rsidR="00F91531">
        <w:t>1</w:t>
      </w:r>
      <w:r w:rsidR="001C2369">
        <w:t xml:space="preserve"> </w:t>
      </w:r>
      <w:r>
        <w:t>requires proponents to keep record</w:t>
      </w:r>
      <w:r w:rsidR="003B663E">
        <w:t>s</w:t>
      </w:r>
      <w:r>
        <w:t xml:space="preserve"> of the following:</w:t>
      </w:r>
    </w:p>
    <w:p w:rsidR="0064620F" w:rsidRDefault="0064620F" w:rsidP="003756B9">
      <w:pPr>
        <w:pStyle w:val="ListParagraph"/>
        <w:numPr>
          <w:ilvl w:val="0"/>
          <w:numId w:val="5"/>
        </w:numPr>
        <w:spacing w:after="120"/>
      </w:pPr>
      <w:r>
        <w:t xml:space="preserve">the species that are regenerating in CEAs, to demonstrate compliance with the definition of ‘native forest’ given in section </w:t>
      </w:r>
      <w:r w:rsidR="00BC7740">
        <w:t>3</w:t>
      </w:r>
      <w:r>
        <w:t>;</w:t>
      </w:r>
    </w:p>
    <w:p w:rsidR="0064620F" w:rsidRDefault="005E28DC" w:rsidP="003756B9">
      <w:pPr>
        <w:pStyle w:val="ListParagraph"/>
        <w:numPr>
          <w:ilvl w:val="0"/>
          <w:numId w:val="5"/>
        </w:numPr>
        <w:spacing w:after="120"/>
      </w:pPr>
      <w:r>
        <w:t xml:space="preserve">where relevant, </w:t>
      </w:r>
      <w:r w:rsidR="003B663E">
        <w:t>the activities that prevented CEAs from achieving forest cover in the baseline period;</w:t>
      </w:r>
    </w:p>
    <w:p w:rsidR="003B663E" w:rsidRDefault="003B663E" w:rsidP="003756B9">
      <w:pPr>
        <w:pStyle w:val="ListParagraph"/>
        <w:numPr>
          <w:ilvl w:val="0"/>
          <w:numId w:val="5"/>
        </w:numPr>
        <w:spacing w:after="120"/>
      </w:pPr>
      <w:r>
        <w:t>the process</w:t>
      </w:r>
      <w:r w:rsidR="00A92567">
        <w:t xml:space="preserve"> that was followed</w:t>
      </w:r>
      <w:r>
        <w:t xml:space="preserve"> for identifying, stratifying and re-stratifying CEAs;</w:t>
      </w:r>
    </w:p>
    <w:p w:rsidR="00C6215B" w:rsidRDefault="00C6215B" w:rsidP="003756B9">
      <w:pPr>
        <w:pStyle w:val="ListParagraph"/>
        <w:numPr>
          <w:ilvl w:val="0"/>
          <w:numId w:val="5"/>
        </w:numPr>
        <w:spacing w:after="120"/>
      </w:pPr>
      <w:r>
        <w:t xml:space="preserve">evidence that the modelling commencement date chosen for each CEA satisfies the requirements of subsection 28(2), namely that sufficient regeneration has occurred to demonstrate that the </w:t>
      </w:r>
      <w:r w:rsidR="001B517C">
        <w:t>CEA</w:t>
      </w:r>
      <w:r>
        <w:t xml:space="preserve"> has forest potential and has started to become nat</w:t>
      </w:r>
      <w:r w:rsidR="007856FC">
        <w:t>ive forest through regeneration;</w:t>
      </w:r>
    </w:p>
    <w:p w:rsidR="003B663E" w:rsidRDefault="00A63A4B" w:rsidP="003756B9">
      <w:pPr>
        <w:pStyle w:val="ListParagraph"/>
        <w:numPr>
          <w:ilvl w:val="0"/>
          <w:numId w:val="5"/>
        </w:numPr>
        <w:spacing w:after="120"/>
      </w:pPr>
      <w:r>
        <w:t>evidence that CEAs did not achieve forest cover in the baseline period</w:t>
      </w:r>
      <w:r w:rsidR="00DA7C04">
        <w:t xml:space="preserve"> and that the CEA</w:t>
      </w:r>
      <w:r w:rsidR="00A92567">
        <w:t>s have</w:t>
      </w:r>
      <w:r w:rsidR="00DA7C04">
        <w:t xml:space="preserve"> forest potential;</w:t>
      </w:r>
    </w:p>
    <w:p w:rsidR="00DA7C04" w:rsidRDefault="00DA7C04" w:rsidP="003756B9">
      <w:pPr>
        <w:pStyle w:val="ListParagraph"/>
        <w:numPr>
          <w:ilvl w:val="0"/>
          <w:numId w:val="5"/>
        </w:numPr>
        <w:spacing w:after="120"/>
      </w:pPr>
      <w:r>
        <w:t xml:space="preserve">evidence that one </w:t>
      </w:r>
      <w:r w:rsidR="005E28DC">
        <w:t xml:space="preserve">or </w:t>
      </w:r>
      <w:r>
        <w:t xml:space="preserve">more HIR activities commenced in </w:t>
      </w:r>
      <w:r w:rsidR="00A92567">
        <w:t>each</w:t>
      </w:r>
      <w:r>
        <w:t xml:space="preserve"> CEA;</w:t>
      </w:r>
    </w:p>
    <w:p w:rsidR="00DA7C04" w:rsidRDefault="00D435F9" w:rsidP="003756B9">
      <w:pPr>
        <w:pStyle w:val="ListParagraph"/>
        <w:numPr>
          <w:ilvl w:val="0"/>
          <w:numId w:val="5"/>
        </w:numPr>
        <w:spacing w:after="120"/>
      </w:pPr>
      <w:r>
        <w:t xml:space="preserve">a description of, and evidence of, management and disturbance events in </w:t>
      </w:r>
      <w:r w:rsidR="00A92567">
        <w:t>each</w:t>
      </w:r>
      <w:r>
        <w:t xml:space="preserve"> CEA;</w:t>
      </w:r>
    </w:p>
    <w:p w:rsidR="00D435F9" w:rsidRDefault="00D435F9" w:rsidP="003756B9">
      <w:pPr>
        <w:pStyle w:val="ListParagraph"/>
        <w:numPr>
          <w:ilvl w:val="0"/>
          <w:numId w:val="5"/>
        </w:numPr>
        <w:spacing w:after="120"/>
      </w:pPr>
      <w:r>
        <w:t xml:space="preserve">evidence that </w:t>
      </w:r>
      <w:r w:rsidR="00A92567">
        <w:t>each</w:t>
      </w:r>
      <w:r>
        <w:t xml:space="preserve"> </w:t>
      </w:r>
      <w:proofErr w:type="spellStart"/>
      <w:r>
        <w:t>FullCAM</w:t>
      </w:r>
      <w:proofErr w:type="spellEnd"/>
      <w:r>
        <w:t xml:space="preserve"> events queue used to model the CEA</w:t>
      </w:r>
      <w:r w:rsidR="00A92567">
        <w:t>s</w:t>
      </w:r>
      <w:r>
        <w:t xml:space="preserve"> </w:t>
      </w:r>
      <w:r w:rsidR="005E28DC">
        <w:t xml:space="preserve">accurately represents </w:t>
      </w:r>
      <w:r>
        <w:t>the management and disturbance events that occurred;</w:t>
      </w:r>
    </w:p>
    <w:p w:rsidR="00D435F9" w:rsidRDefault="00D435F9" w:rsidP="003756B9">
      <w:pPr>
        <w:pStyle w:val="ListParagraph"/>
        <w:numPr>
          <w:ilvl w:val="0"/>
          <w:numId w:val="5"/>
        </w:numPr>
        <w:spacing w:after="120"/>
      </w:pPr>
      <w:r>
        <w:t xml:space="preserve">evidence that </w:t>
      </w:r>
      <w:r w:rsidR="00C46EAD">
        <w:t xml:space="preserve">any </w:t>
      </w:r>
      <w:r w:rsidR="00ED120F">
        <w:t>livestock</w:t>
      </w:r>
      <w:r w:rsidR="00C46EAD">
        <w:t xml:space="preserve"> </w:t>
      </w:r>
      <w:r>
        <w:t xml:space="preserve">grazing </w:t>
      </w:r>
      <w:r w:rsidR="00C46EAD">
        <w:t xml:space="preserve">in a </w:t>
      </w:r>
      <w:r>
        <w:t>CEA</w:t>
      </w:r>
      <w:r w:rsidR="00C46EAD">
        <w:t xml:space="preserve"> meets the requirements of section 21(b)</w:t>
      </w:r>
      <w:r>
        <w:t>; and</w:t>
      </w:r>
    </w:p>
    <w:p w:rsidR="00EE4BA9" w:rsidRDefault="00D435F9" w:rsidP="003756B9">
      <w:pPr>
        <w:pStyle w:val="ListParagraph"/>
        <w:numPr>
          <w:ilvl w:val="0"/>
          <w:numId w:val="5"/>
        </w:numPr>
        <w:spacing w:after="120"/>
      </w:pPr>
      <w:proofErr w:type="gramStart"/>
      <w:r>
        <w:t>records</w:t>
      </w:r>
      <w:proofErr w:type="gramEnd"/>
      <w:r>
        <w:t xml:space="preserve"> supporting the amount of fuel use </w:t>
      </w:r>
      <w:r w:rsidR="002B455D">
        <w:t>assumed</w:t>
      </w:r>
      <w:r>
        <w:t xml:space="preserve"> in the calculation of project emissions.</w:t>
      </w:r>
    </w:p>
    <w:p w:rsidR="00C43EFD" w:rsidRPr="00EE4BA9" w:rsidRDefault="00C43EFD" w:rsidP="003756B9">
      <w:pPr>
        <w:spacing w:before="120" w:after="120"/>
        <w:ind w:left="360"/>
      </w:pPr>
      <w:r>
        <w:t xml:space="preserve">Some examples to illustrate what could constitute a </w:t>
      </w:r>
      <w:proofErr w:type="gramStart"/>
      <w:r>
        <w:t>record,</w:t>
      </w:r>
      <w:proofErr w:type="gramEnd"/>
      <w:r>
        <w:t xml:space="preserve"> have been included within the determination.</w:t>
      </w:r>
    </w:p>
    <w:p w:rsidR="00CA7FF6" w:rsidRPr="00FE167A" w:rsidRDefault="00CA7FF6" w:rsidP="003756B9">
      <w:pPr>
        <w:pStyle w:val="ESHeading"/>
        <w:spacing w:before="240" w:after="0" w:line="276" w:lineRule="auto"/>
      </w:pPr>
      <w:r>
        <w:t>Division 3</w:t>
      </w:r>
      <w:r w:rsidRPr="00FE167A">
        <w:t>—Monitoring requirements</w:t>
      </w:r>
    </w:p>
    <w:p w:rsidR="00CA7FF6" w:rsidRDefault="00835D8D" w:rsidP="001B5684">
      <w:pPr>
        <w:pStyle w:val="Heading4"/>
        <w:rPr>
          <w:color w:val="000000" w:themeColor="text1"/>
        </w:rPr>
      </w:pPr>
      <w:r>
        <w:rPr>
          <w:color w:val="000000" w:themeColor="text1"/>
        </w:rPr>
        <w:t>42</w:t>
      </w:r>
      <w:r w:rsidR="00B0011E">
        <w:rPr>
          <w:color w:val="000000" w:themeColor="text1"/>
        </w:rPr>
        <w:t>.</w:t>
      </w:r>
      <w:r w:rsidR="00CA7FF6">
        <w:rPr>
          <w:color w:val="000000" w:themeColor="text1"/>
        </w:rPr>
        <w:tab/>
      </w:r>
      <w:r w:rsidR="00CA7FF6" w:rsidRPr="00CA7FF6">
        <w:rPr>
          <w:color w:val="000000" w:themeColor="text1"/>
        </w:rPr>
        <w:t>Operation of this Division</w:t>
      </w:r>
    </w:p>
    <w:p w:rsidR="0064620F" w:rsidRPr="0064620F" w:rsidRDefault="0064620F" w:rsidP="003756B9">
      <w:pPr>
        <w:spacing w:before="120" w:after="120"/>
      </w:pPr>
      <w:r>
        <w:t>Division 3 describes the monitoring requirements applying to projects under the varied Determination.</w:t>
      </w:r>
    </w:p>
    <w:p w:rsidR="00CA7FF6" w:rsidRDefault="00835D8D" w:rsidP="001B5684">
      <w:pPr>
        <w:pStyle w:val="Heading4"/>
        <w:rPr>
          <w:color w:val="000000" w:themeColor="text1"/>
          <w:szCs w:val="24"/>
        </w:rPr>
      </w:pPr>
      <w:r>
        <w:rPr>
          <w:color w:val="000000" w:themeColor="text1"/>
        </w:rPr>
        <w:t>43</w:t>
      </w:r>
      <w:r w:rsidR="00B0011E">
        <w:rPr>
          <w:color w:val="000000" w:themeColor="text1"/>
        </w:rPr>
        <w:t>.</w:t>
      </w:r>
      <w:r w:rsidR="00CA7FF6" w:rsidRPr="009045D7">
        <w:rPr>
          <w:color w:val="000000" w:themeColor="text1"/>
          <w:szCs w:val="24"/>
        </w:rPr>
        <w:tab/>
      </w:r>
      <w:r w:rsidR="00CA7FF6" w:rsidRPr="00CA7FF6">
        <w:rPr>
          <w:color w:val="000000" w:themeColor="text1"/>
          <w:szCs w:val="24"/>
        </w:rPr>
        <w:t>Project monitoring</w:t>
      </w:r>
    </w:p>
    <w:p w:rsidR="00737E23" w:rsidRDefault="00BD337B" w:rsidP="003756B9">
      <w:pPr>
        <w:spacing w:before="120" w:after="120"/>
      </w:pPr>
      <w:r>
        <w:t xml:space="preserve">Section </w:t>
      </w:r>
      <w:r w:rsidR="00BC7740">
        <w:t>4</w:t>
      </w:r>
      <w:r w:rsidR="002141BB">
        <w:t>3</w:t>
      </w:r>
      <w:r w:rsidR="002D73AC">
        <w:t xml:space="preserve"> </w:t>
      </w:r>
      <w:r w:rsidR="00E02310">
        <w:t>requires</w:t>
      </w:r>
      <w:r w:rsidR="00D1689E">
        <w:t xml:space="preserve"> the pro</w:t>
      </w:r>
      <w:r w:rsidR="00353F5C">
        <w:t xml:space="preserve">ponent to monitor the CEAs for compliance with the requirements relating to project operation in Part 3, such as the restrictions on the removal of biomass. </w:t>
      </w:r>
    </w:p>
    <w:p w:rsidR="00951B42" w:rsidRDefault="00353F5C" w:rsidP="003756B9">
      <w:pPr>
        <w:spacing w:before="120" w:after="120"/>
        <w:rPr>
          <w:color w:val="000000" w:themeColor="text1"/>
        </w:rPr>
      </w:pPr>
      <w:r>
        <w:t xml:space="preserve">The proponent is also required to monitor the CEAs for management </w:t>
      </w:r>
      <w:r w:rsidR="00AA3EEB">
        <w:t>and disturbance events</w:t>
      </w:r>
      <w:r w:rsidR="00737E23">
        <w:t xml:space="preserve">. </w:t>
      </w:r>
      <w:r w:rsidR="008F097F">
        <w:t>For example, if</w:t>
      </w:r>
      <w:r w:rsidR="00737E23">
        <w:t xml:space="preserve"> there is a fire, the proponent must undertake sufficient modelling to be able to ascertain the area affected by fire. These requirements</w:t>
      </w:r>
      <w:r w:rsidR="00B13037">
        <w:t xml:space="preserve"> support</w:t>
      </w:r>
      <w:r w:rsidR="00737E23">
        <w:t xml:space="preserve"> the accuracy of the </w:t>
      </w:r>
      <w:proofErr w:type="spellStart"/>
      <w:r w:rsidR="00737E23">
        <w:t>FullCAM</w:t>
      </w:r>
      <w:proofErr w:type="spellEnd"/>
      <w:r w:rsidR="00737E23">
        <w:t xml:space="preserve"> events queue.</w:t>
      </w:r>
    </w:p>
    <w:p w:rsidR="00951B42" w:rsidRPr="00FE167A" w:rsidRDefault="00951B42" w:rsidP="003756B9">
      <w:pPr>
        <w:pStyle w:val="ESHeading"/>
        <w:spacing w:before="240" w:after="0" w:line="276" w:lineRule="auto"/>
      </w:pPr>
      <w:r>
        <w:t>Division 4</w:t>
      </w:r>
      <w:r w:rsidRPr="00FE167A">
        <w:t>—Reporting under section 77A of the Act</w:t>
      </w:r>
    </w:p>
    <w:p w:rsidR="00CA7FF6" w:rsidRDefault="00835D8D" w:rsidP="001B5684">
      <w:pPr>
        <w:pStyle w:val="Heading4"/>
      </w:pPr>
      <w:r>
        <w:rPr>
          <w:color w:val="000000" w:themeColor="text1"/>
        </w:rPr>
        <w:t>44</w:t>
      </w:r>
      <w:r w:rsidR="00B0011E">
        <w:rPr>
          <w:color w:val="000000" w:themeColor="text1"/>
        </w:rPr>
        <w:t>.</w:t>
      </w:r>
      <w:r w:rsidR="00CA7FF6" w:rsidRPr="009045D7">
        <w:rPr>
          <w:szCs w:val="24"/>
        </w:rPr>
        <w:tab/>
      </w:r>
      <w:r w:rsidR="00951B42" w:rsidRPr="00FE167A">
        <w:t xml:space="preserve">No division of </w:t>
      </w:r>
      <w:r w:rsidR="00951B42" w:rsidRPr="00951B42">
        <w:t>CEA</w:t>
      </w:r>
    </w:p>
    <w:p w:rsidR="00E9732B" w:rsidRPr="00E9732B" w:rsidRDefault="00E9732B" w:rsidP="003756B9">
      <w:pPr>
        <w:spacing w:before="120" w:after="120"/>
      </w:pPr>
      <w:r>
        <w:t xml:space="preserve">Section 77A of the Act provides for proponents to divide a project into parts and report on the parts separately. If proponents choose </w:t>
      </w:r>
      <w:r w:rsidR="00A92567">
        <w:t xml:space="preserve">to undertake </w:t>
      </w:r>
      <w:r>
        <w:t xml:space="preserve">partial reporting, section </w:t>
      </w:r>
      <w:r w:rsidR="00BC7740">
        <w:t>4</w:t>
      </w:r>
      <w:r w:rsidR="00E9495C">
        <w:t>4</w:t>
      </w:r>
      <w:r w:rsidR="002D73AC">
        <w:t xml:space="preserve"> </w:t>
      </w:r>
      <w:r>
        <w:t>requires that the parts of the project comprise whole CEAs only.</w:t>
      </w:r>
    </w:p>
    <w:p w:rsidR="0019691D" w:rsidRPr="009045D7" w:rsidRDefault="0019691D" w:rsidP="006E7182">
      <w:pPr>
        <w:rPr>
          <w:b/>
          <w:color w:val="000000" w:themeColor="text1"/>
        </w:rPr>
      </w:pPr>
    </w:p>
    <w:p w:rsidR="00050F52" w:rsidRPr="009045D7" w:rsidRDefault="00050F52" w:rsidP="006E7182">
      <w:pPr>
        <w:rPr>
          <w:color w:val="000000" w:themeColor="text1"/>
        </w:rPr>
        <w:sectPr w:rsidR="00050F52" w:rsidRPr="009045D7">
          <w:headerReference w:type="first" r:id="rId19"/>
          <w:pgSz w:w="11906" w:h="16838" w:code="9"/>
          <w:pgMar w:top="1440" w:right="1440" w:bottom="1440" w:left="1418" w:header="709" w:footer="709" w:gutter="0"/>
          <w:cols w:space="708"/>
          <w:titlePg/>
          <w:docGrid w:linePitch="360"/>
        </w:sectPr>
      </w:pPr>
    </w:p>
    <w:p w:rsidR="00BB15A2" w:rsidRPr="009045D7" w:rsidRDefault="00BB15A2">
      <w:pPr>
        <w:spacing w:before="0" w:after="0"/>
        <w:rPr>
          <w:color w:val="000000" w:themeColor="text1"/>
        </w:rPr>
      </w:pPr>
    </w:p>
    <w:p w:rsidR="0016687A" w:rsidRPr="0016687A" w:rsidRDefault="0016687A" w:rsidP="0016687A">
      <w:pPr>
        <w:spacing w:before="360" w:after="120"/>
        <w:jc w:val="center"/>
        <w:rPr>
          <w:b/>
          <w:bCs/>
          <w:szCs w:val="24"/>
        </w:rPr>
      </w:pPr>
      <w:r w:rsidRPr="0016687A">
        <w:rPr>
          <w:b/>
          <w:bCs/>
          <w:szCs w:val="24"/>
        </w:rPr>
        <w:t>Statement of Compatibility with Human Rights</w:t>
      </w:r>
    </w:p>
    <w:p w:rsidR="002A1E4C" w:rsidRDefault="0016687A" w:rsidP="003756B9">
      <w:pPr>
        <w:spacing w:before="120" w:after="120"/>
        <w:jc w:val="center"/>
        <w:rPr>
          <w:szCs w:val="24"/>
        </w:rPr>
      </w:pPr>
      <w:r w:rsidRPr="0016687A">
        <w:rPr>
          <w:i/>
          <w:iCs/>
          <w:szCs w:val="24"/>
        </w:rPr>
        <w:t>Prepared in accordance with Part 3 of the Human Rights (Parliamentary Scrutiny) Act 2011</w:t>
      </w:r>
    </w:p>
    <w:p w:rsidR="00511910" w:rsidRPr="002A1E4C" w:rsidRDefault="00511910" w:rsidP="003756B9">
      <w:pPr>
        <w:spacing w:before="120" w:after="120"/>
        <w:rPr>
          <w:szCs w:val="24"/>
        </w:rPr>
      </w:pPr>
      <w:r w:rsidRPr="007D124F">
        <w:t xml:space="preserve">The </w:t>
      </w:r>
      <w:r w:rsidRPr="002646DF">
        <w:rPr>
          <w:i/>
          <w:kern w:val="36"/>
        </w:rPr>
        <w:t xml:space="preserve">Carbon Credits (Carbon Farming Initiative) (Human-Induced Regeneration of a Permanent Even-Aged Native Forest—1.1) Methodology Determination Variation </w:t>
      </w:r>
      <w:r w:rsidR="00091817" w:rsidRPr="002646DF">
        <w:rPr>
          <w:i/>
          <w:kern w:val="36"/>
        </w:rPr>
        <w:t>201</w:t>
      </w:r>
      <w:r w:rsidR="00091817">
        <w:rPr>
          <w:i/>
          <w:kern w:val="36"/>
        </w:rPr>
        <w:t>6</w:t>
      </w:r>
      <w:r w:rsidR="00091817" w:rsidRPr="002646DF">
        <w:rPr>
          <w:i/>
          <w:kern w:val="36"/>
        </w:rPr>
        <w:t xml:space="preserve"> </w:t>
      </w:r>
    </w:p>
    <w:p w:rsidR="0016687A" w:rsidRPr="0016687A" w:rsidRDefault="0016687A" w:rsidP="003756B9">
      <w:pPr>
        <w:spacing w:before="120" w:after="120"/>
        <w:rPr>
          <w:szCs w:val="24"/>
        </w:rPr>
      </w:pPr>
      <w:r w:rsidRPr="0016687A">
        <w:rPr>
          <w:szCs w:val="24"/>
        </w:rPr>
        <w:t xml:space="preserve">This Legislative Instrument is compatible with the human rights and freedoms recognised or declared in the international instruments listed in section 3 of the </w:t>
      </w:r>
      <w:r w:rsidRPr="0016687A">
        <w:rPr>
          <w:i/>
          <w:iCs/>
          <w:szCs w:val="24"/>
        </w:rPr>
        <w:t>Human Rights (Parliamentary Scrutiny) Act 2011</w:t>
      </w:r>
      <w:r w:rsidRPr="0016687A">
        <w:rPr>
          <w:szCs w:val="24"/>
        </w:rPr>
        <w:t>.</w:t>
      </w:r>
    </w:p>
    <w:p w:rsidR="0016687A" w:rsidRPr="0016687A" w:rsidRDefault="0016687A" w:rsidP="003756B9">
      <w:pPr>
        <w:spacing w:after="0" w:line="276" w:lineRule="auto"/>
        <w:rPr>
          <w:b/>
          <w:bCs/>
          <w:szCs w:val="24"/>
        </w:rPr>
      </w:pPr>
      <w:r w:rsidRPr="0016687A">
        <w:rPr>
          <w:b/>
          <w:bCs/>
          <w:szCs w:val="24"/>
        </w:rPr>
        <w:t>Overview of the Legislative Instrument</w:t>
      </w:r>
    </w:p>
    <w:p w:rsidR="008C3CDA" w:rsidRDefault="008C3CDA" w:rsidP="003756B9">
      <w:pPr>
        <w:keepNext/>
        <w:keepLines/>
        <w:spacing w:before="120" w:after="120"/>
        <w:rPr>
          <w:szCs w:val="24"/>
        </w:rPr>
      </w:pPr>
      <w:r w:rsidRPr="007D124F">
        <w:rPr>
          <w:bCs/>
          <w:i/>
          <w:iCs/>
          <w:color w:val="000000" w:themeColor="text1"/>
          <w:kern w:val="36"/>
          <w:szCs w:val="24"/>
        </w:rPr>
        <w:t>Carbon Credits (Carbon Farming Initiative</w:t>
      </w:r>
      <w:r>
        <w:rPr>
          <w:bCs/>
          <w:i/>
          <w:iCs/>
          <w:color w:val="000000" w:themeColor="text1"/>
          <w:kern w:val="36"/>
          <w:szCs w:val="24"/>
        </w:rPr>
        <w:t>) (</w:t>
      </w:r>
      <w:r w:rsidRPr="007D124F">
        <w:rPr>
          <w:bCs/>
          <w:i/>
          <w:iCs/>
          <w:color w:val="000000" w:themeColor="text1"/>
          <w:kern w:val="36"/>
          <w:szCs w:val="24"/>
        </w:rPr>
        <w:t>Human-Induced Regeneration of a Permanent Even-Aged Native Forest—1.1) Methodology</w:t>
      </w:r>
      <w:r>
        <w:rPr>
          <w:bCs/>
          <w:i/>
          <w:iCs/>
          <w:color w:val="000000" w:themeColor="text1"/>
          <w:kern w:val="36"/>
          <w:szCs w:val="24"/>
        </w:rPr>
        <w:t xml:space="preserve"> Determination</w:t>
      </w:r>
      <w:r w:rsidRPr="007D124F">
        <w:rPr>
          <w:bCs/>
          <w:i/>
          <w:iCs/>
          <w:color w:val="000000" w:themeColor="text1"/>
          <w:kern w:val="36"/>
          <w:szCs w:val="24"/>
        </w:rPr>
        <w:t xml:space="preserve"> Variation </w:t>
      </w:r>
      <w:r w:rsidR="00091817" w:rsidRPr="007D124F">
        <w:rPr>
          <w:bCs/>
          <w:i/>
          <w:iCs/>
          <w:color w:val="000000" w:themeColor="text1"/>
          <w:kern w:val="36"/>
          <w:szCs w:val="24"/>
        </w:rPr>
        <w:t>201</w:t>
      </w:r>
      <w:r w:rsidR="00091817">
        <w:rPr>
          <w:bCs/>
          <w:i/>
          <w:iCs/>
          <w:color w:val="000000" w:themeColor="text1"/>
          <w:kern w:val="36"/>
          <w:szCs w:val="24"/>
        </w:rPr>
        <w:t>6</w:t>
      </w:r>
      <w:r w:rsidR="00091817" w:rsidRPr="007D124F">
        <w:rPr>
          <w:bCs/>
          <w:i/>
          <w:iCs/>
          <w:color w:val="000000" w:themeColor="text1"/>
          <w:kern w:val="36"/>
          <w:szCs w:val="24"/>
        </w:rPr>
        <w:t xml:space="preserve"> </w:t>
      </w:r>
      <w:r w:rsidRPr="007D124F">
        <w:rPr>
          <w:bCs/>
          <w:iCs/>
          <w:color w:val="000000" w:themeColor="text1"/>
          <w:kern w:val="36"/>
          <w:szCs w:val="24"/>
        </w:rPr>
        <w:t>(the</w:t>
      </w:r>
      <w:r>
        <w:rPr>
          <w:bCs/>
          <w:iCs/>
          <w:color w:val="000000" w:themeColor="text1"/>
          <w:kern w:val="36"/>
          <w:szCs w:val="24"/>
        </w:rPr>
        <w:t xml:space="preserve"> </w:t>
      </w:r>
      <w:r w:rsidRPr="007D124F">
        <w:t>Variation) amend</w:t>
      </w:r>
      <w:r>
        <w:t>s</w:t>
      </w:r>
      <w:r w:rsidRPr="007D124F">
        <w:t xml:space="preserve"> the </w:t>
      </w:r>
      <w:r w:rsidRPr="007D124F">
        <w:rPr>
          <w:bCs/>
          <w:i/>
          <w:iCs/>
          <w:color w:val="000000" w:themeColor="text1"/>
          <w:kern w:val="36"/>
          <w:szCs w:val="24"/>
        </w:rPr>
        <w:t>Carbon Cre</w:t>
      </w:r>
      <w:r>
        <w:rPr>
          <w:bCs/>
          <w:i/>
          <w:iCs/>
          <w:color w:val="000000" w:themeColor="text1"/>
          <w:kern w:val="36"/>
          <w:szCs w:val="24"/>
        </w:rPr>
        <w:t>dits (Carbon Farming Initiative) (</w:t>
      </w:r>
      <w:r w:rsidRPr="007D124F">
        <w:rPr>
          <w:bCs/>
          <w:i/>
          <w:iCs/>
          <w:color w:val="000000" w:themeColor="text1"/>
          <w:kern w:val="36"/>
          <w:szCs w:val="24"/>
        </w:rPr>
        <w:t>Human-Induced Regeneration of a Permanent Even-Aged Native Forest 1.1) Methodology Determination 2013</w:t>
      </w:r>
      <w:r>
        <w:rPr>
          <w:szCs w:val="24"/>
        </w:rPr>
        <w:t xml:space="preserve">. The Variation </w:t>
      </w:r>
      <w:r w:rsidRPr="00CC36A5">
        <w:rPr>
          <w:szCs w:val="24"/>
        </w:rPr>
        <w:t>require</w:t>
      </w:r>
      <w:r>
        <w:rPr>
          <w:szCs w:val="24"/>
        </w:rPr>
        <w:t>s</w:t>
      </w:r>
      <w:r w:rsidRPr="00CC36A5">
        <w:rPr>
          <w:szCs w:val="24"/>
        </w:rPr>
        <w:t xml:space="preserve"> carbon stocks and fire emissions to be modelled using the Full Carbon Accounting Model (</w:t>
      </w:r>
      <w:proofErr w:type="spellStart"/>
      <w:r w:rsidRPr="00CC36A5">
        <w:rPr>
          <w:szCs w:val="24"/>
        </w:rPr>
        <w:t>FullCAM</w:t>
      </w:r>
      <w:proofErr w:type="spellEnd"/>
      <w:r w:rsidRPr="00CC36A5">
        <w:rPr>
          <w:szCs w:val="24"/>
        </w:rPr>
        <w:t>) rather than the Reforestation Modelling Tool (RMT)</w:t>
      </w:r>
      <w:r>
        <w:rPr>
          <w:szCs w:val="24"/>
        </w:rPr>
        <w:t xml:space="preserve">. It </w:t>
      </w:r>
      <w:r w:rsidR="00434849">
        <w:rPr>
          <w:szCs w:val="24"/>
        </w:rPr>
        <w:t>clarifies arrangements for projects transferring from other determinations, negative abatement and adding project area after the commencement of the project. It also clarifies a number of definitions and project requirements</w:t>
      </w:r>
      <w:r w:rsidR="00091817">
        <w:rPr>
          <w:szCs w:val="24"/>
        </w:rPr>
        <w:t xml:space="preserve">, </w:t>
      </w:r>
      <w:r w:rsidR="008B2215">
        <w:rPr>
          <w:szCs w:val="24"/>
        </w:rPr>
        <w:t xml:space="preserve">makes provision for the inclusion of conservation land </w:t>
      </w:r>
      <w:r w:rsidR="00091817">
        <w:rPr>
          <w:szCs w:val="24"/>
        </w:rPr>
        <w:t>and makes a number of minor consequential changes</w:t>
      </w:r>
      <w:r w:rsidR="00434849">
        <w:rPr>
          <w:szCs w:val="24"/>
        </w:rPr>
        <w:t>.</w:t>
      </w:r>
    </w:p>
    <w:p w:rsidR="008A1F0D" w:rsidRPr="0085073C" w:rsidRDefault="008A1F0D" w:rsidP="003756B9">
      <w:pPr>
        <w:keepNext/>
        <w:keepLines/>
        <w:spacing w:before="120" w:after="120"/>
        <w:rPr>
          <w:szCs w:val="24"/>
        </w:rPr>
      </w:pPr>
      <w:r w:rsidRPr="0085073C">
        <w:rPr>
          <w:szCs w:val="24"/>
        </w:rPr>
        <w:t xml:space="preserve">Project proponents wishing to implement the Determination must make an application to the Clean Energy Regulator (the Regulator) and meet the eligibility requirements set out under the </w:t>
      </w:r>
      <w:r w:rsidRPr="0085073C">
        <w:rPr>
          <w:i/>
          <w:szCs w:val="24"/>
        </w:rPr>
        <w:t>Carbon Credits (Carbon Farming Initiative) Act 2011</w:t>
      </w:r>
      <w:r w:rsidRPr="0085073C">
        <w:rPr>
          <w:szCs w:val="24"/>
        </w:rPr>
        <w:t>. Offsets projects that are approved by the Regulator can generate Australian carbon credit units.</w:t>
      </w:r>
    </w:p>
    <w:p w:rsidR="0016687A" w:rsidRPr="0016687A" w:rsidRDefault="0016687A" w:rsidP="003756B9">
      <w:pPr>
        <w:spacing w:after="0" w:line="276" w:lineRule="auto"/>
        <w:rPr>
          <w:b/>
          <w:bCs/>
          <w:szCs w:val="24"/>
        </w:rPr>
      </w:pPr>
      <w:r w:rsidRPr="0016687A">
        <w:rPr>
          <w:b/>
          <w:bCs/>
          <w:szCs w:val="24"/>
        </w:rPr>
        <w:t>Human rights implications</w:t>
      </w:r>
    </w:p>
    <w:p w:rsidR="0016687A" w:rsidRPr="0016687A" w:rsidRDefault="0016687A" w:rsidP="003756B9">
      <w:pPr>
        <w:spacing w:before="120" w:after="120"/>
        <w:rPr>
          <w:szCs w:val="24"/>
        </w:rPr>
      </w:pPr>
      <w:r w:rsidRPr="0016687A">
        <w:rPr>
          <w:szCs w:val="24"/>
        </w:rPr>
        <w:t>This Legislative Instrument does not engage any of the applicable rights or freedoms.</w:t>
      </w:r>
    </w:p>
    <w:p w:rsidR="0016687A" w:rsidRPr="0016687A" w:rsidRDefault="0016687A" w:rsidP="003756B9">
      <w:pPr>
        <w:spacing w:after="0" w:line="276" w:lineRule="auto"/>
        <w:rPr>
          <w:b/>
          <w:bCs/>
          <w:szCs w:val="24"/>
        </w:rPr>
      </w:pPr>
      <w:r w:rsidRPr="0016687A">
        <w:rPr>
          <w:b/>
          <w:bCs/>
          <w:szCs w:val="24"/>
        </w:rPr>
        <w:t>Conclusion</w:t>
      </w:r>
    </w:p>
    <w:p w:rsidR="0016687A" w:rsidRPr="0016687A" w:rsidRDefault="0016687A" w:rsidP="003756B9">
      <w:pPr>
        <w:spacing w:before="120" w:after="120"/>
        <w:rPr>
          <w:szCs w:val="24"/>
        </w:rPr>
      </w:pPr>
      <w:r w:rsidRPr="0016687A">
        <w:rPr>
          <w:szCs w:val="24"/>
        </w:rPr>
        <w:t>This Legislative Instrument is compatible with human rights as it does not raise any human rights issues.</w:t>
      </w:r>
    </w:p>
    <w:p w:rsidR="0016687A" w:rsidRPr="0016687A" w:rsidRDefault="0016687A" w:rsidP="0016687A">
      <w:pPr>
        <w:spacing w:before="120" w:after="120"/>
        <w:jc w:val="center"/>
        <w:rPr>
          <w:szCs w:val="24"/>
        </w:rPr>
      </w:pPr>
    </w:p>
    <w:p w:rsidR="0016687A" w:rsidRPr="0016687A" w:rsidRDefault="0016687A" w:rsidP="0016687A">
      <w:pPr>
        <w:spacing w:before="120" w:after="120"/>
        <w:jc w:val="center"/>
        <w:rPr>
          <w:szCs w:val="24"/>
        </w:rPr>
      </w:pPr>
      <w:r w:rsidRPr="0016687A">
        <w:rPr>
          <w:b/>
          <w:bCs/>
          <w:szCs w:val="24"/>
        </w:rPr>
        <w:t>Greg Hunt, Minister for the Environment</w:t>
      </w:r>
    </w:p>
    <w:p w:rsidR="00781466" w:rsidRPr="009045D7" w:rsidRDefault="00781466" w:rsidP="00D46AA7">
      <w:pPr>
        <w:spacing w:before="0" w:after="0"/>
        <w:rPr>
          <w:color w:val="000000" w:themeColor="text1"/>
        </w:rPr>
      </w:pPr>
    </w:p>
    <w:sectPr w:rsidR="00781466" w:rsidRPr="009045D7" w:rsidSect="007607F2">
      <w:headerReference w:type="first" r:id="rId20"/>
      <w:pgSz w:w="11906" w:h="16838" w:code="9"/>
      <w:pgMar w:top="1440" w:right="1440" w:bottom="144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144" w:rsidRDefault="00F62144" w:rsidP="00621DDE">
      <w:pPr>
        <w:spacing w:after="0"/>
      </w:pPr>
      <w:r>
        <w:separator/>
      </w:r>
    </w:p>
  </w:endnote>
  <w:endnote w:type="continuationSeparator" w:id="0">
    <w:p w:rsidR="00F62144" w:rsidRDefault="00F62144" w:rsidP="00621D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80000067"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44" w:rsidRDefault="00F62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44" w:rsidRPr="004003F9" w:rsidRDefault="008F191E">
    <w:pPr>
      <w:pStyle w:val="Footer"/>
      <w:jc w:val="center"/>
    </w:pPr>
    <w:fldSimple w:instr=" PAGE   \* MERGEFORMAT ">
      <w:r w:rsidR="00B92DA2" w:rsidRPr="00B92DA2">
        <w:rPr>
          <w:noProof/>
          <w:sz w:val="20"/>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44" w:rsidRDefault="00F62144">
    <w:pPr>
      <w:pStyle w:val="Footer"/>
      <w:jc w:val="center"/>
    </w:pPr>
  </w:p>
  <w:p w:rsidR="00F62144" w:rsidRDefault="00F62144">
    <w:pPr>
      <w:pStyle w:val="Footer"/>
    </w:pPr>
  </w:p>
  <w:p w:rsidR="00F62144" w:rsidRDefault="00F62144">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144" w:rsidRDefault="00F62144" w:rsidP="00621DDE">
      <w:pPr>
        <w:spacing w:after="0"/>
      </w:pPr>
      <w:r>
        <w:separator/>
      </w:r>
    </w:p>
  </w:footnote>
  <w:footnote w:type="continuationSeparator" w:id="0">
    <w:p w:rsidR="00F62144" w:rsidRDefault="00F62144" w:rsidP="00621DD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44" w:rsidRDefault="00F621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44" w:rsidRPr="00BB15A2" w:rsidRDefault="00F62144" w:rsidP="00DF5400">
    <w:pPr>
      <w:pStyle w:val="Header"/>
      <w:jc w:val="right"/>
      <w:rPr>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44" w:rsidRDefault="00F6214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44" w:rsidRDefault="00E12D35" w:rsidP="00E12D35">
    <w:pPr>
      <w:pStyle w:val="Header"/>
      <w:rPr>
        <w:u w:val="single"/>
      </w:rPr>
    </w:pPr>
    <w:r w:rsidRPr="000D3B88">
      <w:rPr>
        <w:u w:val="single"/>
      </w:rPr>
      <w:t xml:space="preserve">Details of the </w:t>
    </w:r>
    <w:r>
      <w:rPr>
        <w:u w:val="single"/>
      </w:rPr>
      <w:t>Variation</w:t>
    </w:r>
    <w:r w:rsidRPr="000D3B88">
      <w:tab/>
    </w:r>
    <w:r w:rsidRPr="000D3B88">
      <w:rPr>
        <w:u w:val="single"/>
      </w:rPr>
      <w:t>Attachment A</w:t>
    </w:r>
  </w:p>
  <w:p w:rsidR="00E12D35" w:rsidRPr="00E12D35" w:rsidRDefault="00E12D35" w:rsidP="00E12D3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44" w:rsidRPr="00BB15A2" w:rsidRDefault="00F62144" w:rsidP="00966342">
    <w:pPr>
      <w:pStyle w:val="Header"/>
      <w:jc w:val="right"/>
      <w:rPr>
        <w:u w:val="single"/>
      </w:rPr>
    </w:pPr>
    <w:r w:rsidRPr="000D3B88">
      <w:rPr>
        <w:u w:val="single"/>
      </w:rPr>
      <w:t>Statement of Compatibility with Human Rights</w:t>
    </w:r>
    <w:r w:rsidRPr="000D3B88">
      <w:tab/>
    </w:r>
    <w:r w:rsidRPr="000D3B88">
      <w:rPr>
        <w:u w:val="single"/>
      </w:rPr>
      <w:t>Attachment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98E95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2A34473"/>
    <w:multiLevelType w:val="hybridMultilevel"/>
    <w:tmpl w:val="70A6F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B763C8"/>
    <w:multiLevelType w:val="hybridMultilevel"/>
    <w:tmpl w:val="8F7C0F5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27E4864"/>
    <w:multiLevelType w:val="hybridMultilevel"/>
    <w:tmpl w:val="22FEE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9537A2"/>
    <w:multiLevelType w:val="hybridMultilevel"/>
    <w:tmpl w:val="13C49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7">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8">
    <w:nsid w:val="796569C8"/>
    <w:multiLevelType w:val="hybridMultilevel"/>
    <w:tmpl w:val="2A5C5F0A"/>
    <w:lvl w:ilvl="0" w:tplc="6E24E5A6">
      <w:numFmt w:val="bullet"/>
      <w:pStyle w:val="Mormal"/>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C7F6E14"/>
    <w:multiLevelType w:val="hybridMultilevel"/>
    <w:tmpl w:val="7F2078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5"/>
  </w:num>
  <w:num w:numId="6">
    <w:abstractNumId w:val="2"/>
  </w:num>
  <w:num w:numId="7">
    <w:abstractNumId w:val="9"/>
  </w:num>
  <w:num w:numId="8">
    <w:abstractNumId w:val="0"/>
  </w:num>
  <w:num w:numId="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oNotTrackMove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A57799"/>
    <w:rsid w:val="000007D3"/>
    <w:rsid w:val="0000125A"/>
    <w:rsid w:val="00001B59"/>
    <w:rsid w:val="0000239D"/>
    <w:rsid w:val="00002A80"/>
    <w:rsid w:val="000037F1"/>
    <w:rsid w:val="000042DF"/>
    <w:rsid w:val="00005399"/>
    <w:rsid w:val="00005701"/>
    <w:rsid w:val="00005A41"/>
    <w:rsid w:val="00005C19"/>
    <w:rsid w:val="00007A4F"/>
    <w:rsid w:val="00010406"/>
    <w:rsid w:val="0001045B"/>
    <w:rsid w:val="00010495"/>
    <w:rsid w:val="0001068F"/>
    <w:rsid w:val="0001095D"/>
    <w:rsid w:val="00010A20"/>
    <w:rsid w:val="00011142"/>
    <w:rsid w:val="00011B30"/>
    <w:rsid w:val="0001249F"/>
    <w:rsid w:val="00012752"/>
    <w:rsid w:val="00012E9A"/>
    <w:rsid w:val="00013340"/>
    <w:rsid w:val="0001372A"/>
    <w:rsid w:val="00013757"/>
    <w:rsid w:val="0001412C"/>
    <w:rsid w:val="00014145"/>
    <w:rsid w:val="00014ED2"/>
    <w:rsid w:val="000157B4"/>
    <w:rsid w:val="00016729"/>
    <w:rsid w:val="0001687B"/>
    <w:rsid w:val="00016D5B"/>
    <w:rsid w:val="000177D3"/>
    <w:rsid w:val="000179AD"/>
    <w:rsid w:val="00020055"/>
    <w:rsid w:val="000207D8"/>
    <w:rsid w:val="000214F0"/>
    <w:rsid w:val="00021E9F"/>
    <w:rsid w:val="0002257B"/>
    <w:rsid w:val="000227D5"/>
    <w:rsid w:val="000233F7"/>
    <w:rsid w:val="00023BDD"/>
    <w:rsid w:val="00023F52"/>
    <w:rsid w:val="000244DB"/>
    <w:rsid w:val="00024609"/>
    <w:rsid w:val="00024AEE"/>
    <w:rsid w:val="00024BAB"/>
    <w:rsid w:val="00025181"/>
    <w:rsid w:val="00025508"/>
    <w:rsid w:val="00025877"/>
    <w:rsid w:val="0002619A"/>
    <w:rsid w:val="00026AA6"/>
    <w:rsid w:val="00026E04"/>
    <w:rsid w:val="0002744B"/>
    <w:rsid w:val="00030173"/>
    <w:rsid w:val="0003027F"/>
    <w:rsid w:val="0003119D"/>
    <w:rsid w:val="000317A5"/>
    <w:rsid w:val="000326C3"/>
    <w:rsid w:val="00032C01"/>
    <w:rsid w:val="0003333F"/>
    <w:rsid w:val="000333B1"/>
    <w:rsid w:val="00034279"/>
    <w:rsid w:val="00034AE2"/>
    <w:rsid w:val="0003516A"/>
    <w:rsid w:val="000359ED"/>
    <w:rsid w:val="00035A0B"/>
    <w:rsid w:val="00035DA0"/>
    <w:rsid w:val="00036128"/>
    <w:rsid w:val="00036263"/>
    <w:rsid w:val="00036A01"/>
    <w:rsid w:val="00036E5E"/>
    <w:rsid w:val="00036F20"/>
    <w:rsid w:val="00037348"/>
    <w:rsid w:val="000374A0"/>
    <w:rsid w:val="00037CE7"/>
    <w:rsid w:val="00041018"/>
    <w:rsid w:val="00041504"/>
    <w:rsid w:val="00041F7B"/>
    <w:rsid w:val="00042435"/>
    <w:rsid w:val="0004268A"/>
    <w:rsid w:val="00042C4B"/>
    <w:rsid w:val="000435CA"/>
    <w:rsid w:val="000438C8"/>
    <w:rsid w:val="000438E8"/>
    <w:rsid w:val="000441B9"/>
    <w:rsid w:val="00044385"/>
    <w:rsid w:val="000443E5"/>
    <w:rsid w:val="0004449D"/>
    <w:rsid w:val="0004490C"/>
    <w:rsid w:val="00044AF5"/>
    <w:rsid w:val="000457DE"/>
    <w:rsid w:val="000461C1"/>
    <w:rsid w:val="00047BA9"/>
    <w:rsid w:val="0005002F"/>
    <w:rsid w:val="00050753"/>
    <w:rsid w:val="00050F52"/>
    <w:rsid w:val="00051D53"/>
    <w:rsid w:val="00051D6C"/>
    <w:rsid w:val="00051ED0"/>
    <w:rsid w:val="00051F44"/>
    <w:rsid w:val="00051FE6"/>
    <w:rsid w:val="0005208F"/>
    <w:rsid w:val="0005212E"/>
    <w:rsid w:val="0005276A"/>
    <w:rsid w:val="00052FF6"/>
    <w:rsid w:val="00053937"/>
    <w:rsid w:val="00054167"/>
    <w:rsid w:val="000542CE"/>
    <w:rsid w:val="000543B5"/>
    <w:rsid w:val="00054CD9"/>
    <w:rsid w:val="00055037"/>
    <w:rsid w:val="0005585F"/>
    <w:rsid w:val="00056963"/>
    <w:rsid w:val="00057551"/>
    <w:rsid w:val="00057855"/>
    <w:rsid w:val="000612E4"/>
    <w:rsid w:val="000615B1"/>
    <w:rsid w:val="00061E90"/>
    <w:rsid w:val="00063614"/>
    <w:rsid w:val="00064080"/>
    <w:rsid w:val="00064E18"/>
    <w:rsid w:val="00065A89"/>
    <w:rsid w:val="000663FE"/>
    <w:rsid w:val="000667DB"/>
    <w:rsid w:val="00066A70"/>
    <w:rsid w:val="00066BFC"/>
    <w:rsid w:val="00066D3B"/>
    <w:rsid w:val="00067260"/>
    <w:rsid w:val="00067334"/>
    <w:rsid w:val="0006751C"/>
    <w:rsid w:val="00067AB3"/>
    <w:rsid w:val="00067D97"/>
    <w:rsid w:val="000700F2"/>
    <w:rsid w:val="000707C1"/>
    <w:rsid w:val="00072AC6"/>
    <w:rsid w:val="00072CB4"/>
    <w:rsid w:val="00072FD5"/>
    <w:rsid w:val="000734AB"/>
    <w:rsid w:val="00073878"/>
    <w:rsid w:val="0007461F"/>
    <w:rsid w:val="00075234"/>
    <w:rsid w:val="000756E4"/>
    <w:rsid w:val="0007669C"/>
    <w:rsid w:val="00076E8D"/>
    <w:rsid w:val="00077022"/>
    <w:rsid w:val="00077095"/>
    <w:rsid w:val="00077CEE"/>
    <w:rsid w:val="0008048E"/>
    <w:rsid w:val="00080D0D"/>
    <w:rsid w:val="00080FE9"/>
    <w:rsid w:val="0008102D"/>
    <w:rsid w:val="000812D2"/>
    <w:rsid w:val="00081434"/>
    <w:rsid w:val="00081531"/>
    <w:rsid w:val="000822E2"/>
    <w:rsid w:val="000829B4"/>
    <w:rsid w:val="00082BC3"/>
    <w:rsid w:val="000831AB"/>
    <w:rsid w:val="000836B6"/>
    <w:rsid w:val="00083D4E"/>
    <w:rsid w:val="00083FBF"/>
    <w:rsid w:val="0008421F"/>
    <w:rsid w:val="00084ACC"/>
    <w:rsid w:val="00084DA7"/>
    <w:rsid w:val="00084DEB"/>
    <w:rsid w:val="000855F0"/>
    <w:rsid w:val="00085ED5"/>
    <w:rsid w:val="000871D6"/>
    <w:rsid w:val="000875D5"/>
    <w:rsid w:val="00087BD5"/>
    <w:rsid w:val="0009062C"/>
    <w:rsid w:val="00090940"/>
    <w:rsid w:val="00090C1E"/>
    <w:rsid w:val="0009104F"/>
    <w:rsid w:val="00091117"/>
    <w:rsid w:val="00091817"/>
    <w:rsid w:val="00091B14"/>
    <w:rsid w:val="00091EE4"/>
    <w:rsid w:val="00093293"/>
    <w:rsid w:val="00094C2F"/>
    <w:rsid w:val="00094F12"/>
    <w:rsid w:val="0009612C"/>
    <w:rsid w:val="000968AE"/>
    <w:rsid w:val="00096C07"/>
    <w:rsid w:val="00096FF0"/>
    <w:rsid w:val="00097070"/>
    <w:rsid w:val="000A08E1"/>
    <w:rsid w:val="000A1464"/>
    <w:rsid w:val="000A1E31"/>
    <w:rsid w:val="000A1EF6"/>
    <w:rsid w:val="000A3E3A"/>
    <w:rsid w:val="000A44D8"/>
    <w:rsid w:val="000A4748"/>
    <w:rsid w:val="000A47CD"/>
    <w:rsid w:val="000A47FF"/>
    <w:rsid w:val="000A538B"/>
    <w:rsid w:val="000A596E"/>
    <w:rsid w:val="000A6D4D"/>
    <w:rsid w:val="000A7A4A"/>
    <w:rsid w:val="000A7B9D"/>
    <w:rsid w:val="000B1089"/>
    <w:rsid w:val="000B1AA2"/>
    <w:rsid w:val="000B3469"/>
    <w:rsid w:val="000B37F2"/>
    <w:rsid w:val="000B44B5"/>
    <w:rsid w:val="000B4B7C"/>
    <w:rsid w:val="000B5137"/>
    <w:rsid w:val="000B5356"/>
    <w:rsid w:val="000B553C"/>
    <w:rsid w:val="000B6330"/>
    <w:rsid w:val="000B66D0"/>
    <w:rsid w:val="000B72FB"/>
    <w:rsid w:val="000B7C94"/>
    <w:rsid w:val="000C03DB"/>
    <w:rsid w:val="000C17E9"/>
    <w:rsid w:val="000C258F"/>
    <w:rsid w:val="000C2A65"/>
    <w:rsid w:val="000C2EF6"/>
    <w:rsid w:val="000C332B"/>
    <w:rsid w:val="000C352D"/>
    <w:rsid w:val="000C38F6"/>
    <w:rsid w:val="000C3D7A"/>
    <w:rsid w:val="000C403B"/>
    <w:rsid w:val="000C44D8"/>
    <w:rsid w:val="000C45E0"/>
    <w:rsid w:val="000C4D15"/>
    <w:rsid w:val="000C4E25"/>
    <w:rsid w:val="000C5376"/>
    <w:rsid w:val="000D01A9"/>
    <w:rsid w:val="000D0408"/>
    <w:rsid w:val="000D0A80"/>
    <w:rsid w:val="000D15AC"/>
    <w:rsid w:val="000D1A62"/>
    <w:rsid w:val="000D1F3E"/>
    <w:rsid w:val="000D2088"/>
    <w:rsid w:val="000D344E"/>
    <w:rsid w:val="000D3B88"/>
    <w:rsid w:val="000D428A"/>
    <w:rsid w:val="000D4514"/>
    <w:rsid w:val="000D4FB1"/>
    <w:rsid w:val="000D5647"/>
    <w:rsid w:val="000D5B81"/>
    <w:rsid w:val="000D632D"/>
    <w:rsid w:val="000D63F5"/>
    <w:rsid w:val="000D7078"/>
    <w:rsid w:val="000E0360"/>
    <w:rsid w:val="000E0B2B"/>
    <w:rsid w:val="000E21B1"/>
    <w:rsid w:val="000E47CC"/>
    <w:rsid w:val="000E492A"/>
    <w:rsid w:val="000E4C9E"/>
    <w:rsid w:val="000E51D4"/>
    <w:rsid w:val="000E619C"/>
    <w:rsid w:val="000E647C"/>
    <w:rsid w:val="000E68D7"/>
    <w:rsid w:val="000E6F68"/>
    <w:rsid w:val="000E7F10"/>
    <w:rsid w:val="000E7FCD"/>
    <w:rsid w:val="000F02E5"/>
    <w:rsid w:val="000F0469"/>
    <w:rsid w:val="000F052F"/>
    <w:rsid w:val="000F0DBA"/>
    <w:rsid w:val="000F0F7A"/>
    <w:rsid w:val="000F215D"/>
    <w:rsid w:val="000F264D"/>
    <w:rsid w:val="000F2709"/>
    <w:rsid w:val="000F28F8"/>
    <w:rsid w:val="000F2F4A"/>
    <w:rsid w:val="000F340F"/>
    <w:rsid w:val="000F4AA2"/>
    <w:rsid w:val="000F5C9D"/>
    <w:rsid w:val="000F5FD7"/>
    <w:rsid w:val="000F659B"/>
    <w:rsid w:val="000F6771"/>
    <w:rsid w:val="000F70B5"/>
    <w:rsid w:val="000F77FE"/>
    <w:rsid w:val="00100734"/>
    <w:rsid w:val="0010154E"/>
    <w:rsid w:val="001019EF"/>
    <w:rsid w:val="00102579"/>
    <w:rsid w:val="00103C61"/>
    <w:rsid w:val="00104741"/>
    <w:rsid w:val="001057B5"/>
    <w:rsid w:val="00105827"/>
    <w:rsid w:val="00106067"/>
    <w:rsid w:val="001070DF"/>
    <w:rsid w:val="001072FA"/>
    <w:rsid w:val="0010779A"/>
    <w:rsid w:val="00107972"/>
    <w:rsid w:val="00107C60"/>
    <w:rsid w:val="001101DA"/>
    <w:rsid w:val="00110361"/>
    <w:rsid w:val="00110A8E"/>
    <w:rsid w:val="00111231"/>
    <w:rsid w:val="00111685"/>
    <w:rsid w:val="00111E99"/>
    <w:rsid w:val="00112339"/>
    <w:rsid w:val="00112AD1"/>
    <w:rsid w:val="00112AD9"/>
    <w:rsid w:val="00113A00"/>
    <w:rsid w:val="00114228"/>
    <w:rsid w:val="001142B7"/>
    <w:rsid w:val="001149B3"/>
    <w:rsid w:val="00115DAC"/>
    <w:rsid w:val="00115DDE"/>
    <w:rsid w:val="00116643"/>
    <w:rsid w:val="00116876"/>
    <w:rsid w:val="00116933"/>
    <w:rsid w:val="00117363"/>
    <w:rsid w:val="00117D39"/>
    <w:rsid w:val="0012081F"/>
    <w:rsid w:val="00121240"/>
    <w:rsid w:val="00121726"/>
    <w:rsid w:val="0012174D"/>
    <w:rsid w:val="00121D29"/>
    <w:rsid w:val="0012274D"/>
    <w:rsid w:val="00122EE3"/>
    <w:rsid w:val="0012354B"/>
    <w:rsid w:val="001237AA"/>
    <w:rsid w:val="00123907"/>
    <w:rsid w:val="0012429A"/>
    <w:rsid w:val="0012449F"/>
    <w:rsid w:val="00124C47"/>
    <w:rsid w:val="001250A6"/>
    <w:rsid w:val="0012552D"/>
    <w:rsid w:val="0012655F"/>
    <w:rsid w:val="001279C8"/>
    <w:rsid w:val="00130448"/>
    <w:rsid w:val="001308FB"/>
    <w:rsid w:val="0013107F"/>
    <w:rsid w:val="001313F0"/>
    <w:rsid w:val="00131FCE"/>
    <w:rsid w:val="00132367"/>
    <w:rsid w:val="00132BC5"/>
    <w:rsid w:val="00133478"/>
    <w:rsid w:val="0013458C"/>
    <w:rsid w:val="00135304"/>
    <w:rsid w:val="00135884"/>
    <w:rsid w:val="00135B44"/>
    <w:rsid w:val="001362DF"/>
    <w:rsid w:val="00136B46"/>
    <w:rsid w:val="0013718A"/>
    <w:rsid w:val="00137328"/>
    <w:rsid w:val="001375DF"/>
    <w:rsid w:val="0013798A"/>
    <w:rsid w:val="00137AE4"/>
    <w:rsid w:val="00137B26"/>
    <w:rsid w:val="0014075D"/>
    <w:rsid w:val="00140F6E"/>
    <w:rsid w:val="001414C8"/>
    <w:rsid w:val="001415B0"/>
    <w:rsid w:val="0014167D"/>
    <w:rsid w:val="00141745"/>
    <w:rsid w:val="00141773"/>
    <w:rsid w:val="00141D20"/>
    <w:rsid w:val="00141D2F"/>
    <w:rsid w:val="00142016"/>
    <w:rsid w:val="001422C9"/>
    <w:rsid w:val="001427D5"/>
    <w:rsid w:val="001429CA"/>
    <w:rsid w:val="00142E75"/>
    <w:rsid w:val="001434A3"/>
    <w:rsid w:val="00143A67"/>
    <w:rsid w:val="00143CF0"/>
    <w:rsid w:val="001446CE"/>
    <w:rsid w:val="00144D4E"/>
    <w:rsid w:val="001450E9"/>
    <w:rsid w:val="0014543F"/>
    <w:rsid w:val="001457CB"/>
    <w:rsid w:val="00146C10"/>
    <w:rsid w:val="00147495"/>
    <w:rsid w:val="00147690"/>
    <w:rsid w:val="00150166"/>
    <w:rsid w:val="0015035F"/>
    <w:rsid w:val="001503E0"/>
    <w:rsid w:val="00150655"/>
    <w:rsid w:val="001507DD"/>
    <w:rsid w:val="0015082E"/>
    <w:rsid w:val="00150963"/>
    <w:rsid w:val="001512A7"/>
    <w:rsid w:val="0015481A"/>
    <w:rsid w:val="00154BDF"/>
    <w:rsid w:val="001552BF"/>
    <w:rsid w:val="00156605"/>
    <w:rsid w:val="0015695C"/>
    <w:rsid w:val="001570F0"/>
    <w:rsid w:val="0015797C"/>
    <w:rsid w:val="00157CA2"/>
    <w:rsid w:val="00157E2C"/>
    <w:rsid w:val="00160060"/>
    <w:rsid w:val="00160264"/>
    <w:rsid w:val="00161472"/>
    <w:rsid w:val="00161E72"/>
    <w:rsid w:val="001628ED"/>
    <w:rsid w:val="0016295D"/>
    <w:rsid w:val="00162BFF"/>
    <w:rsid w:val="0016339A"/>
    <w:rsid w:val="00163594"/>
    <w:rsid w:val="00163D76"/>
    <w:rsid w:val="00163D7F"/>
    <w:rsid w:val="001642E7"/>
    <w:rsid w:val="001645EF"/>
    <w:rsid w:val="00164650"/>
    <w:rsid w:val="00164A10"/>
    <w:rsid w:val="00165D91"/>
    <w:rsid w:val="00165F55"/>
    <w:rsid w:val="001663FE"/>
    <w:rsid w:val="00166591"/>
    <w:rsid w:val="0016687A"/>
    <w:rsid w:val="00166FEE"/>
    <w:rsid w:val="0016703E"/>
    <w:rsid w:val="0016792D"/>
    <w:rsid w:val="00167998"/>
    <w:rsid w:val="00167D4D"/>
    <w:rsid w:val="001707AE"/>
    <w:rsid w:val="00171649"/>
    <w:rsid w:val="0017174C"/>
    <w:rsid w:val="001719BD"/>
    <w:rsid w:val="00171BDB"/>
    <w:rsid w:val="001724C6"/>
    <w:rsid w:val="001733E8"/>
    <w:rsid w:val="0017346B"/>
    <w:rsid w:val="00173511"/>
    <w:rsid w:val="001735EC"/>
    <w:rsid w:val="00173B0A"/>
    <w:rsid w:val="00174200"/>
    <w:rsid w:val="001747AB"/>
    <w:rsid w:val="00174989"/>
    <w:rsid w:val="001752E7"/>
    <w:rsid w:val="00175321"/>
    <w:rsid w:val="00175A80"/>
    <w:rsid w:val="00175D12"/>
    <w:rsid w:val="0017609E"/>
    <w:rsid w:val="001775B7"/>
    <w:rsid w:val="001777A8"/>
    <w:rsid w:val="00177DFA"/>
    <w:rsid w:val="0018002E"/>
    <w:rsid w:val="001807B0"/>
    <w:rsid w:val="001810B6"/>
    <w:rsid w:val="00181B12"/>
    <w:rsid w:val="00182273"/>
    <w:rsid w:val="00182BA6"/>
    <w:rsid w:val="00182BDF"/>
    <w:rsid w:val="00182C2A"/>
    <w:rsid w:val="00183A0A"/>
    <w:rsid w:val="00183E93"/>
    <w:rsid w:val="00184623"/>
    <w:rsid w:val="0018481F"/>
    <w:rsid w:val="001849F1"/>
    <w:rsid w:val="00184A83"/>
    <w:rsid w:val="00184E1E"/>
    <w:rsid w:val="0018599C"/>
    <w:rsid w:val="001859E9"/>
    <w:rsid w:val="00185CAF"/>
    <w:rsid w:val="001874B9"/>
    <w:rsid w:val="001877CF"/>
    <w:rsid w:val="00187F9A"/>
    <w:rsid w:val="001900D2"/>
    <w:rsid w:val="00191E83"/>
    <w:rsid w:val="00191FCA"/>
    <w:rsid w:val="0019289C"/>
    <w:rsid w:val="00194CF4"/>
    <w:rsid w:val="001955B5"/>
    <w:rsid w:val="001961B4"/>
    <w:rsid w:val="001966E7"/>
    <w:rsid w:val="0019691D"/>
    <w:rsid w:val="00196D35"/>
    <w:rsid w:val="00196E4E"/>
    <w:rsid w:val="00196FE4"/>
    <w:rsid w:val="0019770A"/>
    <w:rsid w:val="00197B37"/>
    <w:rsid w:val="00197FE1"/>
    <w:rsid w:val="001A0B36"/>
    <w:rsid w:val="001A0B6C"/>
    <w:rsid w:val="001A14EF"/>
    <w:rsid w:val="001A1952"/>
    <w:rsid w:val="001A1A9A"/>
    <w:rsid w:val="001A21EA"/>
    <w:rsid w:val="001A3294"/>
    <w:rsid w:val="001A38B4"/>
    <w:rsid w:val="001A3A49"/>
    <w:rsid w:val="001A3B3E"/>
    <w:rsid w:val="001A3C57"/>
    <w:rsid w:val="001A4543"/>
    <w:rsid w:val="001A4661"/>
    <w:rsid w:val="001A46B4"/>
    <w:rsid w:val="001A49CF"/>
    <w:rsid w:val="001A4A64"/>
    <w:rsid w:val="001A5DD9"/>
    <w:rsid w:val="001A63A5"/>
    <w:rsid w:val="001A654B"/>
    <w:rsid w:val="001A7491"/>
    <w:rsid w:val="001A7E2C"/>
    <w:rsid w:val="001B0BE6"/>
    <w:rsid w:val="001B1008"/>
    <w:rsid w:val="001B11DB"/>
    <w:rsid w:val="001B1428"/>
    <w:rsid w:val="001B1D62"/>
    <w:rsid w:val="001B2A07"/>
    <w:rsid w:val="001B2CE1"/>
    <w:rsid w:val="001B2FBE"/>
    <w:rsid w:val="001B32A4"/>
    <w:rsid w:val="001B34BB"/>
    <w:rsid w:val="001B3CDC"/>
    <w:rsid w:val="001B4033"/>
    <w:rsid w:val="001B457F"/>
    <w:rsid w:val="001B4896"/>
    <w:rsid w:val="001B517C"/>
    <w:rsid w:val="001B54F4"/>
    <w:rsid w:val="001B5684"/>
    <w:rsid w:val="001B6911"/>
    <w:rsid w:val="001B6EF4"/>
    <w:rsid w:val="001B70EB"/>
    <w:rsid w:val="001B735E"/>
    <w:rsid w:val="001B73D9"/>
    <w:rsid w:val="001B7C4D"/>
    <w:rsid w:val="001B7D65"/>
    <w:rsid w:val="001C1E04"/>
    <w:rsid w:val="001C2369"/>
    <w:rsid w:val="001C298B"/>
    <w:rsid w:val="001C3260"/>
    <w:rsid w:val="001C3857"/>
    <w:rsid w:val="001C401C"/>
    <w:rsid w:val="001C426A"/>
    <w:rsid w:val="001C5AB5"/>
    <w:rsid w:val="001C695E"/>
    <w:rsid w:val="001C79AB"/>
    <w:rsid w:val="001D1969"/>
    <w:rsid w:val="001D1D96"/>
    <w:rsid w:val="001D32F8"/>
    <w:rsid w:val="001D3C0D"/>
    <w:rsid w:val="001D3E6E"/>
    <w:rsid w:val="001D4292"/>
    <w:rsid w:val="001D4F87"/>
    <w:rsid w:val="001D56C1"/>
    <w:rsid w:val="001D5AB8"/>
    <w:rsid w:val="001D5BA8"/>
    <w:rsid w:val="001D5F82"/>
    <w:rsid w:val="001D65D9"/>
    <w:rsid w:val="001D6EDB"/>
    <w:rsid w:val="001D7000"/>
    <w:rsid w:val="001D72AE"/>
    <w:rsid w:val="001D74E1"/>
    <w:rsid w:val="001D77AA"/>
    <w:rsid w:val="001D78D0"/>
    <w:rsid w:val="001D7DC3"/>
    <w:rsid w:val="001E0A15"/>
    <w:rsid w:val="001E1858"/>
    <w:rsid w:val="001E195D"/>
    <w:rsid w:val="001E1C11"/>
    <w:rsid w:val="001E231B"/>
    <w:rsid w:val="001E2B1E"/>
    <w:rsid w:val="001E2E61"/>
    <w:rsid w:val="001E2EEE"/>
    <w:rsid w:val="001E3E2A"/>
    <w:rsid w:val="001E436C"/>
    <w:rsid w:val="001E5E80"/>
    <w:rsid w:val="001E629C"/>
    <w:rsid w:val="001E63E5"/>
    <w:rsid w:val="001E6A5D"/>
    <w:rsid w:val="001E6B22"/>
    <w:rsid w:val="001E6ED4"/>
    <w:rsid w:val="001E77A3"/>
    <w:rsid w:val="001E7987"/>
    <w:rsid w:val="001F0312"/>
    <w:rsid w:val="001F0FDE"/>
    <w:rsid w:val="001F11FA"/>
    <w:rsid w:val="001F1939"/>
    <w:rsid w:val="001F1C04"/>
    <w:rsid w:val="001F1D42"/>
    <w:rsid w:val="001F41FC"/>
    <w:rsid w:val="001F5C91"/>
    <w:rsid w:val="001F632C"/>
    <w:rsid w:val="001F64C7"/>
    <w:rsid w:val="001F6683"/>
    <w:rsid w:val="001F74E2"/>
    <w:rsid w:val="001F7A34"/>
    <w:rsid w:val="00200120"/>
    <w:rsid w:val="00200F3F"/>
    <w:rsid w:val="0020112E"/>
    <w:rsid w:val="00201501"/>
    <w:rsid w:val="00201581"/>
    <w:rsid w:val="00202031"/>
    <w:rsid w:val="002022C1"/>
    <w:rsid w:val="00202557"/>
    <w:rsid w:val="00202B01"/>
    <w:rsid w:val="002035A7"/>
    <w:rsid w:val="00203E0E"/>
    <w:rsid w:val="002045EC"/>
    <w:rsid w:val="00204817"/>
    <w:rsid w:val="002053CF"/>
    <w:rsid w:val="00205BAF"/>
    <w:rsid w:val="002061BE"/>
    <w:rsid w:val="00206876"/>
    <w:rsid w:val="00206F61"/>
    <w:rsid w:val="00207251"/>
    <w:rsid w:val="00207785"/>
    <w:rsid w:val="00207E53"/>
    <w:rsid w:val="002106F5"/>
    <w:rsid w:val="00210758"/>
    <w:rsid w:val="00210A0C"/>
    <w:rsid w:val="00211AA5"/>
    <w:rsid w:val="00211DBB"/>
    <w:rsid w:val="0021236F"/>
    <w:rsid w:val="00212982"/>
    <w:rsid w:val="00212D1B"/>
    <w:rsid w:val="00213C2B"/>
    <w:rsid w:val="002141BB"/>
    <w:rsid w:val="00214CFA"/>
    <w:rsid w:val="00215720"/>
    <w:rsid w:val="0021589F"/>
    <w:rsid w:val="002158E6"/>
    <w:rsid w:val="002174E5"/>
    <w:rsid w:val="002175C6"/>
    <w:rsid w:val="00217611"/>
    <w:rsid w:val="002177E0"/>
    <w:rsid w:val="002206D9"/>
    <w:rsid w:val="00220746"/>
    <w:rsid w:val="00221059"/>
    <w:rsid w:val="00221995"/>
    <w:rsid w:val="00221A1D"/>
    <w:rsid w:val="00221DE6"/>
    <w:rsid w:val="002229C0"/>
    <w:rsid w:val="00222C3F"/>
    <w:rsid w:val="002233AC"/>
    <w:rsid w:val="00223F72"/>
    <w:rsid w:val="0022462B"/>
    <w:rsid w:val="00224C78"/>
    <w:rsid w:val="00224DA4"/>
    <w:rsid w:val="00224DE9"/>
    <w:rsid w:val="002250C9"/>
    <w:rsid w:val="00225195"/>
    <w:rsid w:val="0022573C"/>
    <w:rsid w:val="00225906"/>
    <w:rsid w:val="002259CB"/>
    <w:rsid w:val="002260B2"/>
    <w:rsid w:val="002262B8"/>
    <w:rsid w:val="002267CA"/>
    <w:rsid w:val="00226D20"/>
    <w:rsid w:val="00227545"/>
    <w:rsid w:val="00230331"/>
    <w:rsid w:val="00230B25"/>
    <w:rsid w:val="0023262E"/>
    <w:rsid w:val="0023402E"/>
    <w:rsid w:val="002344B5"/>
    <w:rsid w:val="00234ADE"/>
    <w:rsid w:val="00235293"/>
    <w:rsid w:val="00235545"/>
    <w:rsid w:val="0023589B"/>
    <w:rsid w:val="002361E5"/>
    <w:rsid w:val="00236777"/>
    <w:rsid w:val="002368AB"/>
    <w:rsid w:val="00236C1D"/>
    <w:rsid w:val="00237140"/>
    <w:rsid w:val="00237392"/>
    <w:rsid w:val="00237E35"/>
    <w:rsid w:val="00240104"/>
    <w:rsid w:val="002406B7"/>
    <w:rsid w:val="0024096C"/>
    <w:rsid w:val="002418AF"/>
    <w:rsid w:val="00241904"/>
    <w:rsid w:val="00241AFD"/>
    <w:rsid w:val="00241F92"/>
    <w:rsid w:val="002425A7"/>
    <w:rsid w:val="002437C1"/>
    <w:rsid w:val="00243DEB"/>
    <w:rsid w:val="00244F2A"/>
    <w:rsid w:val="0024500C"/>
    <w:rsid w:val="00245B75"/>
    <w:rsid w:val="00245C29"/>
    <w:rsid w:val="0024627C"/>
    <w:rsid w:val="00246574"/>
    <w:rsid w:val="00246B75"/>
    <w:rsid w:val="00246B92"/>
    <w:rsid w:val="00246F90"/>
    <w:rsid w:val="0024705B"/>
    <w:rsid w:val="00247076"/>
    <w:rsid w:val="0024760B"/>
    <w:rsid w:val="00247789"/>
    <w:rsid w:val="0025005E"/>
    <w:rsid w:val="00250BEA"/>
    <w:rsid w:val="0025122D"/>
    <w:rsid w:val="00252D81"/>
    <w:rsid w:val="002530A7"/>
    <w:rsid w:val="0025318B"/>
    <w:rsid w:val="00253A41"/>
    <w:rsid w:val="00253B66"/>
    <w:rsid w:val="002542F4"/>
    <w:rsid w:val="00254CD8"/>
    <w:rsid w:val="00255321"/>
    <w:rsid w:val="00255617"/>
    <w:rsid w:val="0025575C"/>
    <w:rsid w:val="00255D5D"/>
    <w:rsid w:val="00255E92"/>
    <w:rsid w:val="00255FF5"/>
    <w:rsid w:val="0025688A"/>
    <w:rsid w:val="0025689B"/>
    <w:rsid w:val="00256B1F"/>
    <w:rsid w:val="00261676"/>
    <w:rsid w:val="00261D2F"/>
    <w:rsid w:val="0026240F"/>
    <w:rsid w:val="0026394B"/>
    <w:rsid w:val="002646DF"/>
    <w:rsid w:val="00264957"/>
    <w:rsid w:val="00264CAB"/>
    <w:rsid w:val="0026619D"/>
    <w:rsid w:val="0026731C"/>
    <w:rsid w:val="002676E0"/>
    <w:rsid w:val="00270506"/>
    <w:rsid w:val="002709DF"/>
    <w:rsid w:val="00270B51"/>
    <w:rsid w:val="00270B63"/>
    <w:rsid w:val="00270DD3"/>
    <w:rsid w:val="00271545"/>
    <w:rsid w:val="002715E9"/>
    <w:rsid w:val="002717CB"/>
    <w:rsid w:val="002718EA"/>
    <w:rsid w:val="00271B4F"/>
    <w:rsid w:val="002729E4"/>
    <w:rsid w:val="00272A37"/>
    <w:rsid w:val="0027301A"/>
    <w:rsid w:val="002735E9"/>
    <w:rsid w:val="002736F9"/>
    <w:rsid w:val="00273BDB"/>
    <w:rsid w:val="0027431D"/>
    <w:rsid w:val="00274F3E"/>
    <w:rsid w:val="00275B50"/>
    <w:rsid w:val="002765AB"/>
    <w:rsid w:val="00276F6F"/>
    <w:rsid w:val="002774E1"/>
    <w:rsid w:val="0027796E"/>
    <w:rsid w:val="00277C91"/>
    <w:rsid w:val="00277F32"/>
    <w:rsid w:val="00280669"/>
    <w:rsid w:val="0028077E"/>
    <w:rsid w:val="002808EF"/>
    <w:rsid w:val="0028144E"/>
    <w:rsid w:val="002815B3"/>
    <w:rsid w:val="00281737"/>
    <w:rsid w:val="002818ED"/>
    <w:rsid w:val="00281E82"/>
    <w:rsid w:val="00281FB5"/>
    <w:rsid w:val="00282D3B"/>
    <w:rsid w:val="00282F51"/>
    <w:rsid w:val="0028385C"/>
    <w:rsid w:val="00283CE4"/>
    <w:rsid w:val="00283F4F"/>
    <w:rsid w:val="00284366"/>
    <w:rsid w:val="002846CA"/>
    <w:rsid w:val="00285F4D"/>
    <w:rsid w:val="00285FFF"/>
    <w:rsid w:val="00286AE4"/>
    <w:rsid w:val="0028705A"/>
    <w:rsid w:val="00287722"/>
    <w:rsid w:val="00287CA3"/>
    <w:rsid w:val="0029009A"/>
    <w:rsid w:val="00290266"/>
    <w:rsid w:val="00290FA8"/>
    <w:rsid w:val="002914DB"/>
    <w:rsid w:val="002917BD"/>
    <w:rsid w:val="0029273F"/>
    <w:rsid w:val="00292B86"/>
    <w:rsid w:val="00292C98"/>
    <w:rsid w:val="00292DC3"/>
    <w:rsid w:val="00292DFC"/>
    <w:rsid w:val="002936E1"/>
    <w:rsid w:val="00293CA4"/>
    <w:rsid w:val="00294494"/>
    <w:rsid w:val="00294C37"/>
    <w:rsid w:val="0029550F"/>
    <w:rsid w:val="00296563"/>
    <w:rsid w:val="00296731"/>
    <w:rsid w:val="00296B4F"/>
    <w:rsid w:val="00297698"/>
    <w:rsid w:val="002A0918"/>
    <w:rsid w:val="002A1044"/>
    <w:rsid w:val="002A16CF"/>
    <w:rsid w:val="002A1E4C"/>
    <w:rsid w:val="002A2303"/>
    <w:rsid w:val="002A28AD"/>
    <w:rsid w:val="002A2C2F"/>
    <w:rsid w:val="002A3461"/>
    <w:rsid w:val="002A3521"/>
    <w:rsid w:val="002A39BF"/>
    <w:rsid w:val="002A3B81"/>
    <w:rsid w:val="002A4283"/>
    <w:rsid w:val="002A4B21"/>
    <w:rsid w:val="002A4BBF"/>
    <w:rsid w:val="002A4BC2"/>
    <w:rsid w:val="002A5664"/>
    <w:rsid w:val="002A5778"/>
    <w:rsid w:val="002A587F"/>
    <w:rsid w:val="002A602B"/>
    <w:rsid w:val="002A73A3"/>
    <w:rsid w:val="002A788F"/>
    <w:rsid w:val="002A78FB"/>
    <w:rsid w:val="002A7B9C"/>
    <w:rsid w:val="002A7CD3"/>
    <w:rsid w:val="002B028B"/>
    <w:rsid w:val="002B17EF"/>
    <w:rsid w:val="002B18E3"/>
    <w:rsid w:val="002B19B3"/>
    <w:rsid w:val="002B1D95"/>
    <w:rsid w:val="002B1F4E"/>
    <w:rsid w:val="002B36D3"/>
    <w:rsid w:val="002B3BB0"/>
    <w:rsid w:val="002B4247"/>
    <w:rsid w:val="002B455D"/>
    <w:rsid w:val="002B483D"/>
    <w:rsid w:val="002B4D31"/>
    <w:rsid w:val="002B4FD5"/>
    <w:rsid w:val="002B520C"/>
    <w:rsid w:val="002B5329"/>
    <w:rsid w:val="002B5CCC"/>
    <w:rsid w:val="002B60FD"/>
    <w:rsid w:val="002B63B1"/>
    <w:rsid w:val="002B6600"/>
    <w:rsid w:val="002B6DC4"/>
    <w:rsid w:val="002B6FAF"/>
    <w:rsid w:val="002C0288"/>
    <w:rsid w:val="002C0F7E"/>
    <w:rsid w:val="002C17EC"/>
    <w:rsid w:val="002C181D"/>
    <w:rsid w:val="002C1A0B"/>
    <w:rsid w:val="002C239E"/>
    <w:rsid w:val="002C23A9"/>
    <w:rsid w:val="002C276F"/>
    <w:rsid w:val="002C34EE"/>
    <w:rsid w:val="002C36AD"/>
    <w:rsid w:val="002C38DD"/>
    <w:rsid w:val="002C4006"/>
    <w:rsid w:val="002C42C0"/>
    <w:rsid w:val="002C44BA"/>
    <w:rsid w:val="002C456A"/>
    <w:rsid w:val="002C4972"/>
    <w:rsid w:val="002C4A9C"/>
    <w:rsid w:val="002C4AC4"/>
    <w:rsid w:val="002C4EA6"/>
    <w:rsid w:val="002C4EFB"/>
    <w:rsid w:val="002C516D"/>
    <w:rsid w:val="002C51D9"/>
    <w:rsid w:val="002C5278"/>
    <w:rsid w:val="002C54D9"/>
    <w:rsid w:val="002C69F3"/>
    <w:rsid w:val="002D066B"/>
    <w:rsid w:val="002D06D5"/>
    <w:rsid w:val="002D0812"/>
    <w:rsid w:val="002D0C1F"/>
    <w:rsid w:val="002D0D9D"/>
    <w:rsid w:val="002D19BE"/>
    <w:rsid w:val="002D1B42"/>
    <w:rsid w:val="002D1E93"/>
    <w:rsid w:val="002D291F"/>
    <w:rsid w:val="002D3845"/>
    <w:rsid w:val="002D389C"/>
    <w:rsid w:val="002D3F63"/>
    <w:rsid w:val="002D46A5"/>
    <w:rsid w:val="002D4706"/>
    <w:rsid w:val="002D4752"/>
    <w:rsid w:val="002D5334"/>
    <w:rsid w:val="002D6088"/>
    <w:rsid w:val="002D71C3"/>
    <w:rsid w:val="002D7347"/>
    <w:rsid w:val="002D73AC"/>
    <w:rsid w:val="002D796C"/>
    <w:rsid w:val="002E0079"/>
    <w:rsid w:val="002E0A11"/>
    <w:rsid w:val="002E149E"/>
    <w:rsid w:val="002E14E8"/>
    <w:rsid w:val="002E1587"/>
    <w:rsid w:val="002E24F3"/>
    <w:rsid w:val="002E29CA"/>
    <w:rsid w:val="002E2E0C"/>
    <w:rsid w:val="002E47EE"/>
    <w:rsid w:val="002E513A"/>
    <w:rsid w:val="002E57B7"/>
    <w:rsid w:val="002E58C7"/>
    <w:rsid w:val="002E5A29"/>
    <w:rsid w:val="002E73A0"/>
    <w:rsid w:val="002E7705"/>
    <w:rsid w:val="002E7A79"/>
    <w:rsid w:val="002E7CDC"/>
    <w:rsid w:val="002E7D66"/>
    <w:rsid w:val="002F0B7E"/>
    <w:rsid w:val="002F1170"/>
    <w:rsid w:val="002F117B"/>
    <w:rsid w:val="002F11BC"/>
    <w:rsid w:val="002F12D4"/>
    <w:rsid w:val="002F1D1F"/>
    <w:rsid w:val="002F22E5"/>
    <w:rsid w:val="002F2A33"/>
    <w:rsid w:val="002F35F2"/>
    <w:rsid w:val="002F36CE"/>
    <w:rsid w:val="002F3936"/>
    <w:rsid w:val="002F56A9"/>
    <w:rsid w:val="002F56F6"/>
    <w:rsid w:val="002F56FE"/>
    <w:rsid w:val="002F5A3A"/>
    <w:rsid w:val="002F6250"/>
    <w:rsid w:val="002F6E33"/>
    <w:rsid w:val="002F7019"/>
    <w:rsid w:val="002F7165"/>
    <w:rsid w:val="002F71A7"/>
    <w:rsid w:val="002F79CC"/>
    <w:rsid w:val="002F7A31"/>
    <w:rsid w:val="002F7D8E"/>
    <w:rsid w:val="003006F6"/>
    <w:rsid w:val="003020C1"/>
    <w:rsid w:val="003022E6"/>
    <w:rsid w:val="003025A1"/>
    <w:rsid w:val="003027CC"/>
    <w:rsid w:val="003028C4"/>
    <w:rsid w:val="00302B3C"/>
    <w:rsid w:val="00303120"/>
    <w:rsid w:val="0030316B"/>
    <w:rsid w:val="00303A1E"/>
    <w:rsid w:val="003042BB"/>
    <w:rsid w:val="003043A7"/>
    <w:rsid w:val="003044FD"/>
    <w:rsid w:val="00304552"/>
    <w:rsid w:val="00304C24"/>
    <w:rsid w:val="00305142"/>
    <w:rsid w:val="00305B10"/>
    <w:rsid w:val="00306833"/>
    <w:rsid w:val="00306A78"/>
    <w:rsid w:val="003070F0"/>
    <w:rsid w:val="003073EC"/>
    <w:rsid w:val="00310C1D"/>
    <w:rsid w:val="003116BD"/>
    <w:rsid w:val="00311805"/>
    <w:rsid w:val="00312B8D"/>
    <w:rsid w:val="0031368F"/>
    <w:rsid w:val="0031377D"/>
    <w:rsid w:val="003138AC"/>
    <w:rsid w:val="003143F6"/>
    <w:rsid w:val="003146C5"/>
    <w:rsid w:val="00314847"/>
    <w:rsid w:val="0031494B"/>
    <w:rsid w:val="00315468"/>
    <w:rsid w:val="00316700"/>
    <w:rsid w:val="003168CE"/>
    <w:rsid w:val="003171BD"/>
    <w:rsid w:val="0031724D"/>
    <w:rsid w:val="0031755C"/>
    <w:rsid w:val="00317A57"/>
    <w:rsid w:val="00317BC5"/>
    <w:rsid w:val="00317F3C"/>
    <w:rsid w:val="00322748"/>
    <w:rsid w:val="00322955"/>
    <w:rsid w:val="00323D21"/>
    <w:rsid w:val="00323E01"/>
    <w:rsid w:val="003249DF"/>
    <w:rsid w:val="00324B45"/>
    <w:rsid w:val="00325157"/>
    <w:rsid w:val="00325634"/>
    <w:rsid w:val="00326592"/>
    <w:rsid w:val="0032787F"/>
    <w:rsid w:val="003278B5"/>
    <w:rsid w:val="003305EA"/>
    <w:rsid w:val="003307DB"/>
    <w:rsid w:val="00330D8F"/>
    <w:rsid w:val="00331A87"/>
    <w:rsid w:val="00331DFF"/>
    <w:rsid w:val="00331FC1"/>
    <w:rsid w:val="00333396"/>
    <w:rsid w:val="0033394A"/>
    <w:rsid w:val="00333ADA"/>
    <w:rsid w:val="00334761"/>
    <w:rsid w:val="00336432"/>
    <w:rsid w:val="003364EE"/>
    <w:rsid w:val="003368C5"/>
    <w:rsid w:val="0033712B"/>
    <w:rsid w:val="003377C5"/>
    <w:rsid w:val="00340456"/>
    <w:rsid w:val="00340DBF"/>
    <w:rsid w:val="003412B6"/>
    <w:rsid w:val="003413D6"/>
    <w:rsid w:val="00341EF8"/>
    <w:rsid w:val="003421FB"/>
    <w:rsid w:val="0034244A"/>
    <w:rsid w:val="00343661"/>
    <w:rsid w:val="00344627"/>
    <w:rsid w:val="003447A5"/>
    <w:rsid w:val="00344CD4"/>
    <w:rsid w:val="00344E94"/>
    <w:rsid w:val="00344EAD"/>
    <w:rsid w:val="0034508B"/>
    <w:rsid w:val="00345946"/>
    <w:rsid w:val="00346282"/>
    <w:rsid w:val="0034638E"/>
    <w:rsid w:val="003464F2"/>
    <w:rsid w:val="0034682D"/>
    <w:rsid w:val="0034695C"/>
    <w:rsid w:val="0034748A"/>
    <w:rsid w:val="0034752A"/>
    <w:rsid w:val="0034773B"/>
    <w:rsid w:val="0035007E"/>
    <w:rsid w:val="00350455"/>
    <w:rsid w:val="0035074E"/>
    <w:rsid w:val="003511C2"/>
    <w:rsid w:val="00352030"/>
    <w:rsid w:val="00352E49"/>
    <w:rsid w:val="003535EA"/>
    <w:rsid w:val="00353F5C"/>
    <w:rsid w:val="003542B6"/>
    <w:rsid w:val="00355107"/>
    <w:rsid w:val="0035624B"/>
    <w:rsid w:val="00356B39"/>
    <w:rsid w:val="00356D40"/>
    <w:rsid w:val="00356F66"/>
    <w:rsid w:val="00357123"/>
    <w:rsid w:val="00357669"/>
    <w:rsid w:val="00357A04"/>
    <w:rsid w:val="00357EDC"/>
    <w:rsid w:val="003603DB"/>
    <w:rsid w:val="003609E9"/>
    <w:rsid w:val="00360ADA"/>
    <w:rsid w:val="00360D68"/>
    <w:rsid w:val="00361159"/>
    <w:rsid w:val="00361ADA"/>
    <w:rsid w:val="00362154"/>
    <w:rsid w:val="00362E78"/>
    <w:rsid w:val="003638D4"/>
    <w:rsid w:val="003639CB"/>
    <w:rsid w:val="003643A1"/>
    <w:rsid w:val="00364972"/>
    <w:rsid w:val="003652A1"/>
    <w:rsid w:val="003655ED"/>
    <w:rsid w:val="003660F1"/>
    <w:rsid w:val="003665B8"/>
    <w:rsid w:val="003672E9"/>
    <w:rsid w:val="003676B9"/>
    <w:rsid w:val="0036793D"/>
    <w:rsid w:val="003708E8"/>
    <w:rsid w:val="0037167F"/>
    <w:rsid w:val="0037195F"/>
    <w:rsid w:val="00371CF7"/>
    <w:rsid w:val="00372A01"/>
    <w:rsid w:val="00372DD2"/>
    <w:rsid w:val="00373B5D"/>
    <w:rsid w:val="00374466"/>
    <w:rsid w:val="003756B9"/>
    <w:rsid w:val="00375812"/>
    <w:rsid w:val="0037644A"/>
    <w:rsid w:val="00376640"/>
    <w:rsid w:val="00377190"/>
    <w:rsid w:val="00377653"/>
    <w:rsid w:val="00380098"/>
    <w:rsid w:val="003803CF"/>
    <w:rsid w:val="00380CC9"/>
    <w:rsid w:val="00381439"/>
    <w:rsid w:val="003820F5"/>
    <w:rsid w:val="00382FE1"/>
    <w:rsid w:val="0038356C"/>
    <w:rsid w:val="00383AB9"/>
    <w:rsid w:val="00383B8A"/>
    <w:rsid w:val="00384E70"/>
    <w:rsid w:val="003854E0"/>
    <w:rsid w:val="00385A04"/>
    <w:rsid w:val="00390B02"/>
    <w:rsid w:val="0039110B"/>
    <w:rsid w:val="00391553"/>
    <w:rsid w:val="003916DA"/>
    <w:rsid w:val="00392972"/>
    <w:rsid w:val="00392B22"/>
    <w:rsid w:val="0039301C"/>
    <w:rsid w:val="003934E6"/>
    <w:rsid w:val="00393BDA"/>
    <w:rsid w:val="00393F1E"/>
    <w:rsid w:val="00394DD3"/>
    <w:rsid w:val="0039566F"/>
    <w:rsid w:val="003959A3"/>
    <w:rsid w:val="003960D9"/>
    <w:rsid w:val="00396927"/>
    <w:rsid w:val="00396DFE"/>
    <w:rsid w:val="0039703A"/>
    <w:rsid w:val="003A01E6"/>
    <w:rsid w:val="003A075D"/>
    <w:rsid w:val="003A14A8"/>
    <w:rsid w:val="003A1A5B"/>
    <w:rsid w:val="003A1EF1"/>
    <w:rsid w:val="003A2A40"/>
    <w:rsid w:val="003A2EA4"/>
    <w:rsid w:val="003A31D5"/>
    <w:rsid w:val="003A3A79"/>
    <w:rsid w:val="003A41EC"/>
    <w:rsid w:val="003A44CF"/>
    <w:rsid w:val="003A46EF"/>
    <w:rsid w:val="003A5730"/>
    <w:rsid w:val="003A6213"/>
    <w:rsid w:val="003A6346"/>
    <w:rsid w:val="003A671A"/>
    <w:rsid w:val="003A68CD"/>
    <w:rsid w:val="003A7269"/>
    <w:rsid w:val="003B0EAF"/>
    <w:rsid w:val="003B0FE4"/>
    <w:rsid w:val="003B224C"/>
    <w:rsid w:val="003B267B"/>
    <w:rsid w:val="003B2C27"/>
    <w:rsid w:val="003B3281"/>
    <w:rsid w:val="003B3801"/>
    <w:rsid w:val="003B3B35"/>
    <w:rsid w:val="003B3D41"/>
    <w:rsid w:val="003B49EF"/>
    <w:rsid w:val="003B5202"/>
    <w:rsid w:val="003B5BFC"/>
    <w:rsid w:val="003B5C4E"/>
    <w:rsid w:val="003B6072"/>
    <w:rsid w:val="003B60AA"/>
    <w:rsid w:val="003B6368"/>
    <w:rsid w:val="003B663E"/>
    <w:rsid w:val="003B6671"/>
    <w:rsid w:val="003B66A8"/>
    <w:rsid w:val="003B7202"/>
    <w:rsid w:val="003B7321"/>
    <w:rsid w:val="003B759B"/>
    <w:rsid w:val="003B7DA6"/>
    <w:rsid w:val="003C0531"/>
    <w:rsid w:val="003C093E"/>
    <w:rsid w:val="003C1062"/>
    <w:rsid w:val="003C1176"/>
    <w:rsid w:val="003C18CC"/>
    <w:rsid w:val="003C1F23"/>
    <w:rsid w:val="003C2154"/>
    <w:rsid w:val="003C3A8B"/>
    <w:rsid w:val="003C46D1"/>
    <w:rsid w:val="003C48D7"/>
    <w:rsid w:val="003C4F6F"/>
    <w:rsid w:val="003C52D6"/>
    <w:rsid w:val="003C567C"/>
    <w:rsid w:val="003C5F80"/>
    <w:rsid w:val="003C632F"/>
    <w:rsid w:val="003C6CA0"/>
    <w:rsid w:val="003C7127"/>
    <w:rsid w:val="003C77A7"/>
    <w:rsid w:val="003C77DD"/>
    <w:rsid w:val="003C7C67"/>
    <w:rsid w:val="003D0559"/>
    <w:rsid w:val="003D08A2"/>
    <w:rsid w:val="003D1031"/>
    <w:rsid w:val="003D150C"/>
    <w:rsid w:val="003D16A5"/>
    <w:rsid w:val="003D20DF"/>
    <w:rsid w:val="003D2D14"/>
    <w:rsid w:val="003D3083"/>
    <w:rsid w:val="003D31C9"/>
    <w:rsid w:val="003D4583"/>
    <w:rsid w:val="003D46FA"/>
    <w:rsid w:val="003D4983"/>
    <w:rsid w:val="003D553E"/>
    <w:rsid w:val="003D5814"/>
    <w:rsid w:val="003D6045"/>
    <w:rsid w:val="003D61A8"/>
    <w:rsid w:val="003D61DB"/>
    <w:rsid w:val="003D70EF"/>
    <w:rsid w:val="003E0E1D"/>
    <w:rsid w:val="003E0E63"/>
    <w:rsid w:val="003E1742"/>
    <w:rsid w:val="003E1C2C"/>
    <w:rsid w:val="003E1CB5"/>
    <w:rsid w:val="003E1F52"/>
    <w:rsid w:val="003E234E"/>
    <w:rsid w:val="003E2421"/>
    <w:rsid w:val="003E3C92"/>
    <w:rsid w:val="003E5209"/>
    <w:rsid w:val="003E527F"/>
    <w:rsid w:val="003E5352"/>
    <w:rsid w:val="003E5683"/>
    <w:rsid w:val="003E5949"/>
    <w:rsid w:val="003E6323"/>
    <w:rsid w:val="003E690D"/>
    <w:rsid w:val="003E6C2F"/>
    <w:rsid w:val="003E6D04"/>
    <w:rsid w:val="003E6D3F"/>
    <w:rsid w:val="003E774C"/>
    <w:rsid w:val="003F086C"/>
    <w:rsid w:val="003F11E6"/>
    <w:rsid w:val="003F206F"/>
    <w:rsid w:val="003F28D5"/>
    <w:rsid w:val="003F2CCB"/>
    <w:rsid w:val="003F31E7"/>
    <w:rsid w:val="003F38F4"/>
    <w:rsid w:val="003F408E"/>
    <w:rsid w:val="003F4128"/>
    <w:rsid w:val="003F4EBE"/>
    <w:rsid w:val="003F583C"/>
    <w:rsid w:val="003F589E"/>
    <w:rsid w:val="003F5BF1"/>
    <w:rsid w:val="003F5D4A"/>
    <w:rsid w:val="003F5E91"/>
    <w:rsid w:val="003F6864"/>
    <w:rsid w:val="003F68B0"/>
    <w:rsid w:val="003F6ABD"/>
    <w:rsid w:val="003F786A"/>
    <w:rsid w:val="003F7AA6"/>
    <w:rsid w:val="00400243"/>
    <w:rsid w:val="004003F9"/>
    <w:rsid w:val="004006AF"/>
    <w:rsid w:val="0040083F"/>
    <w:rsid w:val="0040095B"/>
    <w:rsid w:val="00402435"/>
    <w:rsid w:val="00402787"/>
    <w:rsid w:val="004030D6"/>
    <w:rsid w:val="004034BE"/>
    <w:rsid w:val="00403629"/>
    <w:rsid w:val="0040385E"/>
    <w:rsid w:val="00404269"/>
    <w:rsid w:val="00404594"/>
    <w:rsid w:val="0040465F"/>
    <w:rsid w:val="00404838"/>
    <w:rsid w:val="00404DAF"/>
    <w:rsid w:val="0040520B"/>
    <w:rsid w:val="0040537D"/>
    <w:rsid w:val="00405400"/>
    <w:rsid w:val="00405795"/>
    <w:rsid w:val="00405992"/>
    <w:rsid w:val="0040605E"/>
    <w:rsid w:val="004063B1"/>
    <w:rsid w:val="00407AAD"/>
    <w:rsid w:val="004100F3"/>
    <w:rsid w:val="0041116C"/>
    <w:rsid w:val="00411711"/>
    <w:rsid w:val="00411B10"/>
    <w:rsid w:val="00411F8A"/>
    <w:rsid w:val="00412376"/>
    <w:rsid w:val="004131A2"/>
    <w:rsid w:val="00413870"/>
    <w:rsid w:val="00414B6F"/>
    <w:rsid w:val="00414CB2"/>
    <w:rsid w:val="004156B4"/>
    <w:rsid w:val="00416AAB"/>
    <w:rsid w:val="004178E1"/>
    <w:rsid w:val="0041791A"/>
    <w:rsid w:val="00417AA8"/>
    <w:rsid w:val="00417FCB"/>
    <w:rsid w:val="00420FA4"/>
    <w:rsid w:val="004215F6"/>
    <w:rsid w:val="00421DD1"/>
    <w:rsid w:val="00421E06"/>
    <w:rsid w:val="00421FB6"/>
    <w:rsid w:val="004229F0"/>
    <w:rsid w:val="0042336D"/>
    <w:rsid w:val="00423993"/>
    <w:rsid w:val="0042404F"/>
    <w:rsid w:val="00424A33"/>
    <w:rsid w:val="00424EEF"/>
    <w:rsid w:val="0042563A"/>
    <w:rsid w:val="004259B8"/>
    <w:rsid w:val="0042634C"/>
    <w:rsid w:val="00426782"/>
    <w:rsid w:val="004272DF"/>
    <w:rsid w:val="004273B8"/>
    <w:rsid w:val="004273CB"/>
    <w:rsid w:val="00427A7F"/>
    <w:rsid w:val="00427CBE"/>
    <w:rsid w:val="00427FC8"/>
    <w:rsid w:val="004301C4"/>
    <w:rsid w:val="004304A9"/>
    <w:rsid w:val="00430756"/>
    <w:rsid w:val="004307E0"/>
    <w:rsid w:val="00431103"/>
    <w:rsid w:val="00431532"/>
    <w:rsid w:val="0043299F"/>
    <w:rsid w:val="00432AD3"/>
    <w:rsid w:val="00432ED4"/>
    <w:rsid w:val="0043368B"/>
    <w:rsid w:val="00433CA2"/>
    <w:rsid w:val="0043431A"/>
    <w:rsid w:val="00434633"/>
    <w:rsid w:val="00434841"/>
    <w:rsid w:val="00434849"/>
    <w:rsid w:val="00434D25"/>
    <w:rsid w:val="004351E6"/>
    <w:rsid w:val="004360B1"/>
    <w:rsid w:val="00436283"/>
    <w:rsid w:val="0043684D"/>
    <w:rsid w:val="0043692E"/>
    <w:rsid w:val="00437410"/>
    <w:rsid w:val="004374CB"/>
    <w:rsid w:val="0043788E"/>
    <w:rsid w:val="00437DBF"/>
    <w:rsid w:val="004413AA"/>
    <w:rsid w:val="00441418"/>
    <w:rsid w:val="004428CA"/>
    <w:rsid w:val="00442B8E"/>
    <w:rsid w:val="00442C1F"/>
    <w:rsid w:val="004433DF"/>
    <w:rsid w:val="00444033"/>
    <w:rsid w:val="004455D4"/>
    <w:rsid w:val="00445A24"/>
    <w:rsid w:val="00445E22"/>
    <w:rsid w:val="004461E5"/>
    <w:rsid w:val="00446D17"/>
    <w:rsid w:val="00446FAE"/>
    <w:rsid w:val="00447C06"/>
    <w:rsid w:val="00450334"/>
    <w:rsid w:val="0045053F"/>
    <w:rsid w:val="004506D9"/>
    <w:rsid w:val="004513C5"/>
    <w:rsid w:val="00452459"/>
    <w:rsid w:val="00452DDF"/>
    <w:rsid w:val="0045329F"/>
    <w:rsid w:val="0045425B"/>
    <w:rsid w:val="00454BB3"/>
    <w:rsid w:val="00454E83"/>
    <w:rsid w:val="0045519D"/>
    <w:rsid w:val="004560BB"/>
    <w:rsid w:val="00457D36"/>
    <w:rsid w:val="00457E44"/>
    <w:rsid w:val="004600B0"/>
    <w:rsid w:val="004610FE"/>
    <w:rsid w:val="00461100"/>
    <w:rsid w:val="004613AB"/>
    <w:rsid w:val="004616FA"/>
    <w:rsid w:val="00461AA0"/>
    <w:rsid w:val="00461C14"/>
    <w:rsid w:val="00461F75"/>
    <w:rsid w:val="00462BAA"/>
    <w:rsid w:val="00462E09"/>
    <w:rsid w:val="00462E3D"/>
    <w:rsid w:val="00462FF6"/>
    <w:rsid w:val="00463354"/>
    <w:rsid w:val="00463BC2"/>
    <w:rsid w:val="00463C19"/>
    <w:rsid w:val="00465854"/>
    <w:rsid w:val="004666D3"/>
    <w:rsid w:val="00466801"/>
    <w:rsid w:val="00466DDF"/>
    <w:rsid w:val="0046711C"/>
    <w:rsid w:val="0046730B"/>
    <w:rsid w:val="004714A5"/>
    <w:rsid w:val="0047188A"/>
    <w:rsid w:val="00471FFC"/>
    <w:rsid w:val="004723F3"/>
    <w:rsid w:val="00473716"/>
    <w:rsid w:val="004737AC"/>
    <w:rsid w:val="004743E5"/>
    <w:rsid w:val="00474526"/>
    <w:rsid w:val="00474569"/>
    <w:rsid w:val="00474DE1"/>
    <w:rsid w:val="004751AD"/>
    <w:rsid w:val="0047576B"/>
    <w:rsid w:val="00476945"/>
    <w:rsid w:val="00476AC6"/>
    <w:rsid w:val="00481258"/>
    <w:rsid w:val="00481652"/>
    <w:rsid w:val="00481ADB"/>
    <w:rsid w:val="00482247"/>
    <w:rsid w:val="0048262D"/>
    <w:rsid w:val="0048295B"/>
    <w:rsid w:val="00482A15"/>
    <w:rsid w:val="00483595"/>
    <w:rsid w:val="00483631"/>
    <w:rsid w:val="0048375B"/>
    <w:rsid w:val="00483FB9"/>
    <w:rsid w:val="004849CD"/>
    <w:rsid w:val="00485598"/>
    <w:rsid w:val="00485813"/>
    <w:rsid w:val="00486478"/>
    <w:rsid w:val="00486F1F"/>
    <w:rsid w:val="00487273"/>
    <w:rsid w:val="00487B2C"/>
    <w:rsid w:val="00487B54"/>
    <w:rsid w:val="00487EAF"/>
    <w:rsid w:val="004904E0"/>
    <w:rsid w:val="00490754"/>
    <w:rsid w:val="00490B84"/>
    <w:rsid w:val="00492019"/>
    <w:rsid w:val="00493697"/>
    <w:rsid w:val="004936BA"/>
    <w:rsid w:val="00493C89"/>
    <w:rsid w:val="0049486B"/>
    <w:rsid w:val="00494EE8"/>
    <w:rsid w:val="004950D9"/>
    <w:rsid w:val="004958CE"/>
    <w:rsid w:val="004959BB"/>
    <w:rsid w:val="00495B0C"/>
    <w:rsid w:val="00495EDC"/>
    <w:rsid w:val="00496210"/>
    <w:rsid w:val="00496707"/>
    <w:rsid w:val="00496868"/>
    <w:rsid w:val="00496F1C"/>
    <w:rsid w:val="00497A4D"/>
    <w:rsid w:val="004A00B6"/>
    <w:rsid w:val="004A0317"/>
    <w:rsid w:val="004A09BD"/>
    <w:rsid w:val="004A0D87"/>
    <w:rsid w:val="004A1340"/>
    <w:rsid w:val="004A2BF1"/>
    <w:rsid w:val="004A2C8D"/>
    <w:rsid w:val="004A2CB0"/>
    <w:rsid w:val="004A2E8B"/>
    <w:rsid w:val="004A314E"/>
    <w:rsid w:val="004A42E8"/>
    <w:rsid w:val="004A556F"/>
    <w:rsid w:val="004A5CC0"/>
    <w:rsid w:val="004A610B"/>
    <w:rsid w:val="004A615F"/>
    <w:rsid w:val="004A7C67"/>
    <w:rsid w:val="004B0E35"/>
    <w:rsid w:val="004B1043"/>
    <w:rsid w:val="004B246B"/>
    <w:rsid w:val="004B2C98"/>
    <w:rsid w:val="004B2DB0"/>
    <w:rsid w:val="004B3AF1"/>
    <w:rsid w:val="004B42FF"/>
    <w:rsid w:val="004B4396"/>
    <w:rsid w:val="004B47E0"/>
    <w:rsid w:val="004B4844"/>
    <w:rsid w:val="004B5284"/>
    <w:rsid w:val="004B562C"/>
    <w:rsid w:val="004B5748"/>
    <w:rsid w:val="004B67B4"/>
    <w:rsid w:val="004B696E"/>
    <w:rsid w:val="004B7024"/>
    <w:rsid w:val="004B7421"/>
    <w:rsid w:val="004B7835"/>
    <w:rsid w:val="004B78E7"/>
    <w:rsid w:val="004B7FEC"/>
    <w:rsid w:val="004C044D"/>
    <w:rsid w:val="004C07B0"/>
    <w:rsid w:val="004C0AF3"/>
    <w:rsid w:val="004C0BB4"/>
    <w:rsid w:val="004C0BE8"/>
    <w:rsid w:val="004C0E30"/>
    <w:rsid w:val="004C20D8"/>
    <w:rsid w:val="004C2532"/>
    <w:rsid w:val="004C2CF1"/>
    <w:rsid w:val="004C3286"/>
    <w:rsid w:val="004C348B"/>
    <w:rsid w:val="004C3A56"/>
    <w:rsid w:val="004C3A69"/>
    <w:rsid w:val="004C47B4"/>
    <w:rsid w:val="004C4971"/>
    <w:rsid w:val="004C4EE8"/>
    <w:rsid w:val="004C5397"/>
    <w:rsid w:val="004C54FA"/>
    <w:rsid w:val="004C641C"/>
    <w:rsid w:val="004C6A0A"/>
    <w:rsid w:val="004C6AAC"/>
    <w:rsid w:val="004C6F96"/>
    <w:rsid w:val="004C716A"/>
    <w:rsid w:val="004C77C6"/>
    <w:rsid w:val="004C7998"/>
    <w:rsid w:val="004C7AA9"/>
    <w:rsid w:val="004D0639"/>
    <w:rsid w:val="004D141F"/>
    <w:rsid w:val="004D29E5"/>
    <w:rsid w:val="004D2DAE"/>
    <w:rsid w:val="004D3239"/>
    <w:rsid w:val="004D3275"/>
    <w:rsid w:val="004D32D3"/>
    <w:rsid w:val="004D4254"/>
    <w:rsid w:val="004D478E"/>
    <w:rsid w:val="004D5244"/>
    <w:rsid w:val="004D5C1D"/>
    <w:rsid w:val="004D5C87"/>
    <w:rsid w:val="004D6598"/>
    <w:rsid w:val="004D66C4"/>
    <w:rsid w:val="004D6DF4"/>
    <w:rsid w:val="004D7782"/>
    <w:rsid w:val="004E0287"/>
    <w:rsid w:val="004E044B"/>
    <w:rsid w:val="004E05FE"/>
    <w:rsid w:val="004E0B6F"/>
    <w:rsid w:val="004E0DFE"/>
    <w:rsid w:val="004E19B5"/>
    <w:rsid w:val="004E27F2"/>
    <w:rsid w:val="004E2E77"/>
    <w:rsid w:val="004E2FE2"/>
    <w:rsid w:val="004E3657"/>
    <w:rsid w:val="004E3738"/>
    <w:rsid w:val="004E3971"/>
    <w:rsid w:val="004E5CAF"/>
    <w:rsid w:val="004E6566"/>
    <w:rsid w:val="004E658D"/>
    <w:rsid w:val="004E70F7"/>
    <w:rsid w:val="004E717D"/>
    <w:rsid w:val="004E7C78"/>
    <w:rsid w:val="004F07C6"/>
    <w:rsid w:val="004F0C24"/>
    <w:rsid w:val="004F11F4"/>
    <w:rsid w:val="004F21F4"/>
    <w:rsid w:val="004F2B3D"/>
    <w:rsid w:val="004F2DC0"/>
    <w:rsid w:val="004F3489"/>
    <w:rsid w:val="004F3974"/>
    <w:rsid w:val="004F3A63"/>
    <w:rsid w:val="004F40A5"/>
    <w:rsid w:val="004F4AEE"/>
    <w:rsid w:val="004F4C41"/>
    <w:rsid w:val="004F4DC2"/>
    <w:rsid w:val="004F52ED"/>
    <w:rsid w:val="004F5D36"/>
    <w:rsid w:val="004F624E"/>
    <w:rsid w:val="004F6EA0"/>
    <w:rsid w:val="004F6EF7"/>
    <w:rsid w:val="004F72E7"/>
    <w:rsid w:val="00500446"/>
    <w:rsid w:val="005007D0"/>
    <w:rsid w:val="00501F95"/>
    <w:rsid w:val="005034ED"/>
    <w:rsid w:val="005036EF"/>
    <w:rsid w:val="00505449"/>
    <w:rsid w:val="0050567F"/>
    <w:rsid w:val="005072F3"/>
    <w:rsid w:val="00507BF2"/>
    <w:rsid w:val="005109CE"/>
    <w:rsid w:val="00510ABF"/>
    <w:rsid w:val="00510B53"/>
    <w:rsid w:val="0051168D"/>
    <w:rsid w:val="00511910"/>
    <w:rsid w:val="00511B7E"/>
    <w:rsid w:val="00512481"/>
    <w:rsid w:val="00512CB4"/>
    <w:rsid w:val="005136E2"/>
    <w:rsid w:val="00513F7D"/>
    <w:rsid w:val="005148CF"/>
    <w:rsid w:val="00514E86"/>
    <w:rsid w:val="00514FE7"/>
    <w:rsid w:val="00515354"/>
    <w:rsid w:val="00515472"/>
    <w:rsid w:val="005158BF"/>
    <w:rsid w:val="005159C7"/>
    <w:rsid w:val="00515EF8"/>
    <w:rsid w:val="00515F04"/>
    <w:rsid w:val="005163EE"/>
    <w:rsid w:val="005167A0"/>
    <w:rsid w:val="00516D89"/>
    <w:rsid w:val="0051745F"/>
    <w:rsid w:val="005175DF"/>
    <w:rsid w:val="00517F92"/>
    <w:rsid w:val="005204F8"/>
    <w:rsid w:val="005206B3"/>
    <w:rsid w:val="00521114"/>
    <w:rsid w:val="00521384"/>
    <w:rsid w:val="005222C7"/>
    <w:rsid w:val="00522CE9"/>
    <w:rsid w:val="00522DA1"/>
    <w:rsid w:val="00523C7C"/>
    <w:rsid w:val="00524168"/>
    <w:rsid w:val="00524182"/>
    <w:rsid w:val="0052453C"/>
    <w:rsid w:val="00524A92"/>
    <w:rsid w:val="00525C87"/>
    <w:rsid w:val="0052635F"/>
    <w:rsid w:val="00526ED2"/>
    <w:rsid w:val="0052749F"/>
    <w:rsid w:val="00527648"/>
    <w:rsid w:val="00527FFA"/>
    <w:rsid w:val="0053007E"/>
    <w:rsid w:val="00530A3F"/>
    <w:rsid w:val="00531A6A"/>
    <w:rsid w:val="005325AD"/>
    <w:rsid w:val="00532B38"/>
    <w:rsid w:val="00532D84"/>
    <w:rsid w:val="00532E46"/>
    <w:rsid w:val="005331C6"/>
    <w:rsid w:val="00533497"/>
    <w:rsid w:val="005336D5"/>
    <w:rsid w:val="00533A61"/>
    <w:rsid w:val="00533FE1"/>
    <w:rsid w:val="005341D9"/>
    <w:rsid w:val="00535634"/>
    <w:rsid w:val="00535CC5"/>
    <w:rsid w:val="00535D29"/>
    <w:rsid w:val="0053611F"/>
    <w:rsid w:val="0053719D"/>
    <w:rsid w:val="00537259"/>
    <w:rsid w:val="00537FC8"/>
    <w:rsid w:val="005400A4"/>
    <w:rsid w:val="00540187"/>
    <w:rsid w:val="005401D5"/>
    <w:rsid w:val="0054050D"/>
    <w:rsid w:val="00540574"/>
    <w:rsid w:val="005406EE"/>
    <w:rsid w:val="00540E1B"/>
    <w:rsid w:val="00541063"/>
    <w:rsid w:val="00541472"/>
    <w:rsid w:val="00541532"/>
    <w:rsid w:val="005419C8"/>
    <w:rsid w:val="00541C83"/>
    <w:rsid w:val="00541EF6"/>
    <w:rsid w:val="00542AC7"/>
    <w:rsid w:val="00543889"/>
    <w:rsid w:val="005446AF"/>
    <w:rsid w:val="00544D65"/>
    <w:rsid w:val="00545656"/>
    <w:rsid w:val="00545FB9"/>
    <w:rsid w:val="00546F92"/>
    <w:rsid w:val="005474E2"/>
    <w:rsid w:val="00547CC0"/>
    <w:rsid w:val="00547D21"/>
    <w:rsid w:val="00547EB5"/>
    <w:rsid w:val="0055029F"/>
    <w:rsid w:val="0055051C"/>
    <w:rsid w:val="00550D67"/>
    <w:rsid w:val="00551022"/>
    <w:rsid w:val="00551192"/>
    <w:rsid w:val="005522CC"/>
    <w:rsid w:val="0055232D"/>
    <w:rsid w:val="0055277E"/>
    <w:rsid w:val="005531E6"/>
    <w:rsid w:val="0055369A"/>
    <w:rsid w:val="005539BD"/>
    <w:rsid w:val="00553F8B"/>
    <w:rsid w:val="00554627"/>
    <w:rsid w:val="005547E5"/>
    <w:rsid w:val="005549D6"/>
    <w:rsid w:val="00554C27"/>
    <w:rsid w:val="00554DE7"/>
    <w:rsid w:val="0055591D"/>
    <w:rsid w:val="00555B6B"/>
    <w:rsid w:val="00555BA1"/>
    <w:rsid w:val="00556281"/>
    <w:rsid w:val="00556CA7"/>
    <w:rsid w:val="00557818"/>
    <w:rsid w:val="0055788E"/>
    <w:rsid w:val="00557AD7"/>
    <w:rsid w:val="00560A5B"/>
    <w:rsid w:val="00560B3E"/>
    <w:rsid w:val="00560B6F"/>
    <w:rsid w:val="0056118C"/>
    <w:rsid w:val="005615DC"/>
    <w:rsid w:val="005618B8"/>
    <w:rsid w:val="00562158"/>
    <w:rsid w:val="00562C81"/>
    <w:rsid w:val="00562DC6"/>
    <w:rsid w:val="00563A2F"/>
    <w:rsid w:val="005641D8"/>
    <w:rsid w:val="005643A6"/>
    <w:rsid w:val="0056458E"/>
    <w:rsid w:val="005645DC"/>
    <w:rsid w:val="00564DC7"/>
    <w:rsid w:val="00565BBF"/>
    <w:rsid w:val="00566AF8"/>
    <w:rsid w:val="00566C77"/>
    <w:rsid w:val="00567A3F"/>
    <w:rsid w:val="00567A84"/>
    <w:rsid w:val="00570214"/>
    <w:rsid w:val="00570253"/>
    <w:rsid w:val="00570313"/>
    <w:rsid w:val="005720B8"/>
    <w:rsid w:val="005724E2"/>
    <w:rsid w:val="005727CC"/>
    <w:rsid w:val="00572AF1"/>
    <w:rsid w:val="0057304F"/>
    <w:rsid w:val="005735A8"/>
    <w:rsid w:val="00573C2B"/>
    <w:rsid w:val="00573FCC"/>
    <w:rsid w:val="005741B4"/>
    <w:rsid w:val="00574271"/>
    <w:rsid w:val="00574FAB"/>
    <w:rsid w:val="0057588D"/>
    <w:rsid w:val="00575D17"/>
    <w:rsid w:val="00577025"/>
    <w:rsid w:val="005770D0"/>
    <w:rsid w:val="00577863"/>
    <w:rsid w:val="00580BFA"/>
    <w:rsid w:val="005815A3"/>
    <w:rsid w:val="00581697"/>
    <w:rsid w:val="00581EF5"/>
    <w:rsid w:val="00582DC0"/>
    <w:rsid w:val="00582F80"/>
    <w:rsid w:val="00583DDA"/>
    <w:rsid w:val="00583EAD"/>
    <w:rsid w:val="00584242"/>
    <w:rsid w:val="0058532E"/>
    <w:rsid w:val="0058553B"/>
    <w:rsid w:val="0058573E"/>
    <w:rsid w:val="00585D19"/>
    <w:rsid w:val="00585DEF"/>
    <w:rsid w:val="00586F6D"/>
    <w:rsid w:val="005877C3"/>
    <w:rsid w:val="00587813"/>
    <w:rsid w:val="00587AE7"/>
    <w:rsid w:val="00590023"/>
    <w:rsid w:val="0059156C"/>
    <w:rsid w:val="00591BFE"/>
    <w:rsid w:val="005927CF"/>
    <w:rsid w:val="0059289B"/>
    <w:rsid w:val="00592BF9"/>
    <w:rsid w:val="00592FBB"/>
    <w:rsid w:val="00593F8E"/>
    <w:rsid w:val="00594182"/>
    <w:rsid w:val="00595442"/>
    <w:rsid w:val="00595ED6"/>
    <w:rsid w:val="00595F0E"/>
    <w:rsid w:val="00595FA3"/>
    <w:rsid w:val="00596F25"/>
    <w:rsid w:val="005973FC"/>
    <w:rsid w:val="00597708"/>
    <w:rsid w:val="00597738"/>
    <w:rsid w:val="005979D4"/>
    <w:rsid w:val="00597F30"/>
    <w:rsid w:val="005A0E8F"/>
    <w:rsid w:val="005A0FA8"/>
    <w:rsid w:val="005A11E2"/>
    <w:rsid w:val="005A173A"/>
    <w:rsid w:val="005A2249"/>
    <w:rsid w:val="005A22C5"/>
    <w:rsid w:val="005A29A3"/>
    <w:rsid w:val="005A2FBD"/>
    <w:rsid w:val="005A30A9"/>
    <w:rsid w:val="005A36F8"/>
    <w:rsid w:val="005A3A87"/>
    <w:rsid w:val="005A3C1A"/>
    <w:rsid w:val="005A4F72"/>
    <w:rsid w:val="005A5AEB"/>
    <w:rsid w:val="005A6172"/>
    <w:rsid w:val="005A63C8"/>
    <w:rsid w:val="005A6621"/>
    <w:rsid w:val="005A7165"/>
    <w:rsid w:val="005A7BFE"/>
    <w:rsid w:val="005A7D03"/>
    <w:rsid w:val="005B033D"/>
    <w:rsid w:val="005B0400"/>
    <w:rsid w:val="005B0D04"/>
    <w:rsid w:val="005B0F2B"/>
    <w:rsid w:val="005B1716"/>
    <w:rsid w:val="005B1EC3"/>
    <w:rsid w:val="005B2737"/>
    <w:rsid w:val="005B432B"/>
    <w:rsid w:val="005B4588"/>
    <w:rsid w:val="005B4D4F"/>
    <w:rsid w:val="005B5650"/>
    <w:rsid w:val="005B56FC"/>
    <w:rsid w:val="005B710D"/>
    <w:rsid w:val="005B77D0"/>
    <w:rsid w:val="005B780B"/>
    <w:rsid w:val="005B7928"/>
    <w:rsid w:val="005B7B0D"/>
    <w:rsid w:val="005B7B59"/>
    <w:rsid w:val="005C0082"/>
    <w:rsid w:val="005C047E"/>
    <w:rsid w:val="005C24C0"/>
    <w:rsid w:val="005C275B"/>
    <w:rsid w:val="005C3A5E"/>
    <w:rsid w:val="005C431D"/>
    <w:rsid w:val="005C4EAF"/>
    <w:rsid w:val="005C51ED"/>
    <w:rsid w:val="005C55F4"/>
    <w:rsid w:val="005C562F"/>
    <w:rsid w:val="005C5B5A"/>
    <w:rsid w:val="005C61A1"/>
    <w:rsid w:val="005C731F"/>
    <w:rsid w:val="005C7E1C"/>
    <w:rsid w:val="005C7E50"/>
    <w:rsid w:val="005D1C11"/>
    <w:rsid w:val="005D1CC0"/>
    <w:rsid w:val="005D1D67"/>
    <w:rsid w:val="005D242A"/>
    <w:rsid w:val="005D2A56"/>
    <w:rsid w:val="005D39DB"/>
    <w:rsid w:val="005D4863"/>
    <w:rsid w:val="005D5188"/>
    <w:rsid w:val="005D5F11"/>
    <w:rsid w:val="005D699E"/>
    <w:rsid w:val="005D6B88"/>
    <w:rsid w:val="005D73D6"/>
    <w:rsid w:val="005E002B"/>
    <w:rsid w:val="005E01D0"/>
    <w:rsid w:val="005E1929"/>
    <w:rsid w:val="005E1B3B"/>
    <w:rsid w:val="005E2222"/>
    <w:rsid w:val="005E28DC"/>
    <w:rsid w:val="005E29B6"/>
    <w:rsid w:val="005E2BE5"/>
    <w:rsid w:val="005E2F08"/>
    <w:rsid w:val="005E3282"/>
    <w:rsid w:val="005E34F3"/>
    <w:rsid w:val="005E40BB"/>
    <w:rsid w:val="005E42B3"/>
    <w:rsid w:val="005E4CF2"/>
    <w:rsid w:val="005E4D3A"/>
    <w:rsid w:val="005E5ABE"/>
    <w:rsid w:val="005E672E"/>
    <w:rsid w:val="005F066E"/>
    <w:rsid w:val="005F1145"/>
    <w:rsid w:val="005F17AC"/>
    <w:rsid w:val="005F18E6"/>
    <w:rsid w:val="005F2078"/>
    <w:rsid w:val="005F2FEB"/>
    <w:rsid w:val="005F3267"/>
    <w:rsid w:val="005F3798"/>
    <w:rsid w:val="005F3865"/>
    <w:rsid w:val="005F38CA"/>
    <w:rsid w:val="005F4018"/>
    <w:rsid w:val="005F5575"/>
    <w:rsid w:val="005F5A66"/>
    <w:rsid w:val="005F5C5E"/>
    <w:rsid w:val="005F621C"/>
    <w:rsid w:val="005F7F05"/>
    <w:rsid w:val="006000C0"/>
    <w:rsid w:val="006005B0"/>
    <w:rsid w:val="00600650"/>
    <w:rsid w:val="0060074B"/>
    <w:rsid w:val="00600773"/>
    <w:rsid w:val="006007F6"/>
    <w:rsid w:val="006009F5"/>
    <w:rsid w:val="0060202F"/>
    <w:rsid w:val="00602FF8"/>
    <w:rsid w:val="00603455"/>
    <w:rsid w:val="00603EA4"/>
    <w:rsid w:val="00604167"/>
    <w:rsid w:val="006056AF"/>
    <w:rsid w:val="00605BF2"/>
    <w:rsid w:val="00606002"/>
    <w:rsid w:val="00606044"/>
    <w:rsid w:val="00606FF1"/>
    <w:rsid w:val="006079B1"/>
    <w:rsid w:val="00607F91"/>
    <w:rsid w:val="00610B1E"/>
    <w:rsid w:val="0061177F"/>
    <w:rsid w:val="0061179A"/>
    <w:rsid w:val="0061218C"/>
    <w:rsid w:val="00612226"/>
    <w:rsid w:val="0061240F"/>
    <w:rsid w:val="00612512"/>
    <w:rsid w:val="00613991"/>
    <w:rsid w:val="0061497F"/>
    <w:rsid w:val="00614BCF"/>
    <w:rsid w:val="00615BAA"/>
    <w:rsid w:val="00615EAF"/>
    <w:rsid w:val="00616076"/>
    <w:rsid w:val="006161D9"/>
    <w:rsid w:val="0061672F"/>
    <w:rsid w:val="00616FD1"/>
    <w:rsid w:val="006172F5"/>
    <w:rsid w:val="00617DBB"/>
    <w:rsid w:val="00617F84"/>
    <w:rsid w:val="00620B6C"/>
    <w:rsid w:val="006213FF"/>
    <w:rsid w:val="00621CDA"/>
    <w:rsid w:val="00621DDE"/>
    <w:rsid w:val="00622C2D"/>
    <w:rsid w:val="00622E81"/>
    <w:rsid w:val="00622FC7"/>
    <w:rsid w:val="006235F7"/>
    <w:rsid w:val="006236B3"/>
    <w:rsid w:val="00624C86"/>
    <w:rsid w:val="0062508C"/>
    <w:rsid w:val="006252B6"/>
    <w:rsid w:val="006253F9"/>
    <w:rsid w:val="00625782"/>
    <w:rsid w:val="00625B75"/>
    <w:rsid w:val="006269F8"/>
    <w:rsid w:val="00630597"/>
    <w:rsid w:val="006307A6"/>
    <w:rsid w:val="00631475"/>
    <w:rsid w:val="0063194D"/>
    <w:rsid w:val="00631C4E"/>
    <w:rsid w:val="00631F4C"/>
    <w:rsid w:val="00632044"/>
    <w:rsid w:val="006320D3"/>
    <w:rsid w:val="0063236F"/>
    <w:rsid w:val="006323A1"/>
    <w:rsid w:val="006323B2"/>
    <w:rsid w:val="00632A8F"/>
    <w:rsid w:val="00633130"/>
    <w:rsid w:val="006337DD"/>
    <w:rsid w:val="0063415E"/>
    <w:rsid w:val="00634699"/>
    <w:rsid w:val="0063588D"/>
    <w:rsid w:val="00635C42"/>
    <w:rsid w:val="00635FD5"/>
    <w:rsid w:val="00636B76"/>
    <w:rsid w:val="00637157"/>
    <w:rsid w:val="00640372"/>
    <w:rsid w:val="00640C9B"/>
    <w:rsid w:val="006411F0"/>
    <w:rsid w:val="0064150F"/>
    <w:rsid w:val="00641CE0"/>
    <w:rsid w:val="00642340"/>
    <w:rsid w:val="006427C6"/>
    <w:rsid w:val="00642B27"/>
    <w:rsid w:val="00642B37"/>
    <w:rsid w:val="00642DAD"/>
    <w:rsid w:val="00642FA3"/>
    <w:rsid w:val="00643D52"/>
    <w:rsid w:val="00643FB5"/>
    <w:rsid w:val="006442D7"/>
    <w:rsid w:val="00644DC0"/>
    <w:rsid w:val="00644DCA"/>
    <w:rsid w:val="00645065"/>
    <w:rsid w:val="0064620F"/>
    <w:rsid w:val="00646CFD"/>
    <w:rsid w:val="00647191"/>
    <w:rsid w:val="00647245"/>
    <w:rsid w:val="006475FE"/>
    <w:rsid w:val="006503F2"/>
    <w:rsid w:val="00650DA0"/>
    <w:rsid w:val="0065113B"/>
    <w:rsid w:val="006512F4"/>
    <w:rsid w:val="006513B1"/>
    <w:rsid w:val="006516FC"/>
    <w:rsid w:val="006522E9"/>
    <w:rsid w:val="00652AC0"/>
    <w:rsid w:val="00652CC1"/>
    <w:rsid w:val="0065340B"/>
    <w:rsid w:val="00653649"/>
    <w:rsid w:val="006546B5"/>
    <w:rsid w:val="00655474"/>
    <w:rsid w:val="00655DFF"/>
    <w:rsid w:val="00656306"/>
    <w:rsid w:val="006567D6"/>
    <w:rsid w:val="00657CF9"/>
    <w:rsid w:val="00660F94"/>
    <w:rsid w:val="00661953"/>
    <w:rsid w:val="00661D5E"/>
    <w:rsid w:val="00661EB1"/>
    <w:rsid w:val="00662D72"/>
    <w:rsid w:val="00663213"/>
    <w:rsid w:val="00663369"/>
    <w:rsid w:val="00663E9F"/>
    <w:rsid w:val="006648B8"/>
    <w:rsid w:val="00665629"/>
    <w:rsid w:val="00665B7F"/>
    <w:rsid w:val="00665CF6"/>
    <w:rsid w:val="00665F5C"/>
    <w:rsid w:val="00666393"/>
    <w:rsid w:val="00666822"/>
    <w:rsid w:val="00667775"/>
    <w:rsid w:val="00667B8E"/>
    <w:rsid w:val="006703E3"/>
    <w:rsid w:val="00671AB3"/>
    <w:rsid w:val="00671D01"/>
    <w:rsid w:val="00671FE8"/>
    <w:rsid w:val="00672387"/>
    <w:rsid w:val="00672580"/>
    <w:rsid w:val="00672F0D"/>
    <w:rsid w:val="0067310A"/>
    <w:rsid w:val="00673172"/>
    <w:rsid w:val="006732EF"/>
    <w:rsid w:val="0067353B"/>
    <w:rsid w:val="00673ED1"/>
    <w:rsid w:val="00673F3B"/>
    <w:rsid w:val="00675018"/>
    <w:rsid w:val="00675255"/>
    <w:rsid w:val="00675498"/>
    <w:rsid w:val="0067615A"/>
    <w:rsid w:val="00676680"/>
    <w:rsid w:val="006771CD"/>
    <w:rsid w:val="00677CB6"/>
    <w:rsid w:val="00680433"/>
    <w:rsid w:val="00680661"/>
    <w:rsid w:val="0068096C"/>
    <w:rsid w:val="00680C13"/>
    <w:rsid w:val="00681288"/>
    <w:rsid w:val="00681448"/>
    <w:rsid w:val="00681A0F"/>
    <w:rsid w:val="00681A28"/>
    <w:rsid w:val="00681E1F"/>
    <w:rsid w:val="0068233A"/>
    <w:rsid w:val="00682430"/>
    <w:rsid w:val="00682EEB"/>
    <w:rsid w:val="00682F9E"/>
    <w:rsid w:val="0068417D"/>
    <w:rsid w:val="00685473"/>
    <w:rsid w:val="00686842"/>
    <w:rsid w:val="00686AAB"/>
    <w:rsid w:val="00686AD7"/>
    <w:rsid w:val="00686CB4"/>
    <w:rsid w:val="00686FFF"/>
    <w:rsid w:val="006911F1"/>
    <w:rsid w:val="0069134D"/>
    <w:rsid w:val="00691648"/>
    <w:rsid w:val="006916C5"/>
    <w:rsid w:val="00692D14"/>
    <w:rsid w:val="006933DE"/>
    <w:rsid w:val="0069399D"/>
    <w:rsid w:val="00693F5A"/>
    <w:rsid w:val="00693FB3"/>
    <w:rsid w:val="00693FDE"/>
    <w:rsid w:val="006943A7"/>
    <w:rsid w:val="00694CE2"/>
    <w:rsid w:val="00695077"/>
    <w:rsid w:val="006957A9"/>
    <w:rsid w:val="006957B3"/>
    <w:rsid w:val="0069656B"/>
    <w:rsid w:val="00696B12"/>
    <w:rsid w:val="00696E42"/>
    <w:rsid w:val="00696FC9"/>
    <w:rsid w:val="006973AE"/>
    <w:rsid w:val="006975D4"/>
    <w:rsid w:val="00697EE5"/>
    <w:rsid w:val="006A01C7"/>
    <w:rsid w:val="006A026D"/>
    <w:rsid w:val="006A06D6"/>
    <w:rsid w:val="006A08CB"/>
    <w:rsid w:val="006A0D12"/>
    <w:rsid w:val="006A2BE9"/>
    <w:rsid w:val="006A2FC9"/>
    <w:rsid w:val="006A30BF"/>
    <w:rsid w:val="006A318F"/>
    <w:rsid w:val="006A382B"/>
    <w:rsid w:val="006A39D2"/>
    <w:rsid w:val="006A3DD6"/>
    <w:rsid w:val="006A6042"/>
    <w:rsid w:val="006A6058"/>
    <w:rsid w:val="006A6E96"/>
    <w:rsid w:val="006A726A"/>
    <w:rsid w:val="006A7AE8"/>
    <w:rsid w:val="006B0288"/>
    <w:rsid w:val="006B0850"/>
    <w:rsid w:val="006B121C"/>
    <w:rsid w:val="006B1398"/>
    <w:rsid w:val="006B191D"/>
    <w:rsid w:val="006B21ED"/>
    <w:rsid w:val="006B3EBE"/>
    <w:rsid w:val="006B44F9"/>
    <w:rsid w:val="006B463E"/>
    <w:rsid w:val="006B4C13"/>
    <w:rsid w:val="006B50A3"/>
    <w:rsid w:val="006B50DA"/>
    <w:rsid w:val="006B66B2"/>
    <w:rsid w:val="006B675C"/>
    <w:rsid w:val="006B6959"/>
    <w:rsid w:val="006B7B14"/>
    <w:rsid w:val="006B7B9F"/>
    <w:rsid w:val="006C0585"/>
    <w:rsid w:val="006C06BA"/>
    <w:rsid w:val="006C0CA8"/>
    <w:rsid w:val="006C1099"/>
    <w:rsid w:val="006C134D"/>
    <w:rsid w:val="006C17E9"/>
    <w:rsid w:val="006C1892"/>
    <w:rsid w:val="006C2180"/>
    <w:rsid w:val="006C2C19"/>
    <w:rsid w:val="006C2CF1"/>
    <w:rsid w:val="006C31B5"/>
    <w:rsid w:val="006C350E"/>
    <w:rsid w:val="006C3558"/>
    <w:rsid w:val="006C35CC"/>
    <w:rsid w:val="006C6155"/>
    <w:rsid w:val="006C620D"/>
    <w:rsid w:val="006C632F"/>
    <w:rsid w:val="006C63BC"/>
    <w:rsid w:val="006C6D8F"/>
    <w:rsid w:val="006C7957"/>
    <w:rsid w:val="006D064A"/>
    <w:rsid w:val="006D1773"/>
    <w:rsid w:val="006D1F6A"/>
    <w:rsid w:val="006D20F9"/>
    <w:rsid w:val="006D2384"/>
    <w:rsid w:val="006D238B"/>
    <w:rsid w:val="006D25B4"/>
    <w:rsid w:val="006D2E19"/>
    <w:rsid w:val="006D329C"/>
    <w:rsid w:val="006D330D"/>
    <w:rsid w:val="006D4876"/>
    <w:rsid w:val="006D547D"/>
    <w:rsid w:val="006D58D2"/>
    <w:rsid w:val="006D5DA1"/>
    <w:rsid w:val="006D5EF7"/>
    <w:rsid w:val="006D64FB"/>
    <w:rsid w:val="006E0EE4"/>
    <w:rsid w:val="006E13F2"/>
    <w:rsid w:val="006E1425"/>
    <w:rsid w:val="006E1469"/>
    <w:rsid w:val="006E1699"/>
    <w:rsid w:val="006E17B9"/>
    <w:rsid w:val="006E17F7"/>
    <w:rsid w:val="006E1A29"/>
    <w:rsid w:val="006E1C9A"/>
    <w:rsid w:val="006E2D59"/>
    <w:rsid w:val="006E2F23"/>
    <w:rsid w:val="006E4D2A"/>
    <w:rsid w:val="006E4D7D"/>
    <w:rsid w:val="006E585B"/>
    <w:rsid w:val="006E59E9"/>
    <w:rsid w:val="006E5E41"/>
    <w:rsid w:val="006E7182"/>
    <w:rsid w:val="006F07D3"/>
    <w:rsid w:val="006F10E6"/>
    <w:rsid w:val="006F1B16"/>
    <w:rsid w:val="006F1D22"/>
    <w:rsid w:val="006F1FC6"/>
    <w:rsid w:val="006F254B"/>
    <w:rsid w:val="006F2A0A"/>
    <w:rsid w:val="006F2D0E"/>
    <w:rsid w:val="006F32A6"/>
    <w:rsid w:val="006F34A3"/>
    <w:rsid w:val="006F3625"/>
    <w:rsid w:val="006F46B0"/>
    <w:rsid w:val="006F4C2F"/>
    <w:rsid w:val="006F6454"/>
    <w:rsid w:val="006F64F4"/>
    <w:rsid w:val="006F66E0"/>
    <w:rsid w:val="006F6AE0"/>
    <w:rsid w:val="006F6EEA"/>
    <w:rsid w:val="007007A9"/>
    <w:rsid w:val="00700B17"/>
    <w:rsid w:val="00700E8D"/>
    <w:rsid w:val="007012FA"/>
    <w:rsid w:val="007017BC"/>
    <w:rsid w:val="007019D4"/>
    <w:rsid w:val="00701CF3"/>
    <w:rsid w:val="00702290"/>
    <w:rsid w:val="007024C3"/>
    <w:rsid w:val="00702882"/>
    <w:rsid w:val="00703160"/>
    <w:rsid w:val="00703863"/>
    <w:rsid w:val="007039BD"/>
    <w:rsid w:val="00703D76"/>
    <w:rsid w:val="00704345"/>
    <w:rsid w:val="0070483C"/>
    <w:rsid w:val="00704B28"/>
    <w:rsid w:val="00705784"/>
    <w:rsid w:val="00705C5E"/>
    <w:rsid w:val="00705D5A"/>
    <w:rsid w:val="00705FA7"/>
    <w:rsid w:val="007067DE"/>
    <w:rsid w:val="00707205"/>
    <w:rsid w:val="00707270"/>
    <w:rsid w:val="0070743D"/>
    <w:rsid w:val="00707776"/>
    <w:rsid w:val="00707D88"/>
    <w:rsid w:val="007101A8"/>
    <w:rsid w:val="00710DC4"/>
    <w:rsid w:val="0071142E"/>
    <w:rsid w:val="00712762"/>
    <w:rsid w:val="0071378D"/>
    <w:rsid w:val="007137DF"/>
    <w:rsid w:val="00713E38"/>
    <w:rsid w:val="00714EEC"/>
    <w:rsid w:val="00714F58"/>
    <w:rsid w:val="00715F66"/>
    <w:rsid w:val="00716477"/>
    <w:rsid w:val="00716D3A"/>
    <w:rsid w:val="00717230"/>
    <w:rsid w:val="00717392"/>
    <w:rsid w:val="00717FC5"/>
    <w:rsid w:val="007205D9"/>
    <w:rsid w:val="00720B50"/>
    <w:rsid w:val="00720D63"/>
    <w:rsid w:val="00720D70"/>
    <w:rsid w:val="007213D8"/>
    <w:rsid w:val="007214D9"/>
    <w:rsid w:val="0072164A"/>
    <w:rsid w:val="007221CD"/>
    <w:rsid w:val="00722363"/>
    <w:rsid w:val="0072246C"/>
    <w:rsid w:val="00723C91"/>
    <w:rsid w:val="007245AE"/>
    <w:rsid w:val="00724BBD"/>
    <w:rsid w:val="00724E59"/>
    <w:rsid w:val="00725755"/>
    <w:rsid w:val="00725D7A"/>
    <w:rsid w:val="00726EA2"/>
    <w:rsid w:val="007273B1"/>
    <w:rsid w:val="007306B6"/>
    <w:rsid w:val="00730B1E"/>
    <w:rsid w:val="00730FDB"/>
    <w:rsid w:val="00731CFB"/>
    <w:rsid w:val="00731E63"/>
    <w:rsid w:val="00732277"/>
    <w:rsid w:val="00732658"/>
    <w:rsid w:val="0073310D"/>
    <w:rsid w:val="00733C55"/>
    <w:rsid w:val="00733EC6"/>
    <w:rsid w:val="007340C9"/>
    <w:rsid w:val="00734ACE"/>
    <w:rsid w:val="00734F87"/>
    <w:rsid w:val="00736C1E"/>
    <w:rsid w:val="00736DF1"/>
    <w:rsid w:val="007370E5"/>
    <w:rsid w:val="007376DF"/>
    <w:rsid w:val="0073780B"/>
    <w:rsid w:val="00737E23"/>
    <w:rsid w:val="00737E86"/>
    <w:rsid w:val="00737E8D"/>
    <w:rsid w:val="00740DF4"/>
    <w:rsid w:val="0074185B"/>
    <w:rsid w:val="00741F6B"/>
    <w:rsid w:val="007429FB"/>
    <w:rsid w:val="00742B63"/>
    <w:rsid w:val="00742BA5"/>
    <w:rsid w:val="00742F69"/>
    <w:rsid w:val="007430DA"/>
    <w:rsid w:val="007433F6"/>
    <w:rsid w:val="00745012"/>
    <w:rsid w:val="00745FA9"/>
    <w:rsid w:val="007463FB"/>
    <w:rsid w:val="00746D84"/>
    <w:rsid w:val="00746FD4"/>
    <w:rsid w:val="00746FFE"/>
    <w:rsid w:val="00747779"/>
    <w:rsid w:val="007502FC"/>
    <w:rsid w:val="0075070D"/>
    <w:rsid w:val="0075172B"/>
    <w:rsid w:val="0075288E"/>
    <w:rsid w:val="00753348"/>
    <w:rsid w:val="00753E1D"/>
    <w:rsid w:val="007551F6"/>
    <w:rsid w:val="007559F4"/>
    <w:rsid w:val="00755D84"/>
    <w:rsid w:val="0075632E"/>
    <w:rsid w:val="0075644D"/>
    <w:rsid w:val="00760036"/>
    <w:rsid w:val="007607F2"/>
    <w:rsid w:val="0076101F"/>
    <w:rsid w:val="00761094"/>
    <w:rsid w:val="007614DA"/>
    <w:rsid w:val="00761DCC"/>
    <w:rsid w:val="00762149"/>
    <w:rsid w:val="0076233C"/>
    <w:rsid w:val="007630AE"/>
    <w:rsid w:val="00765AAE"/>
    <w:rsid w:val="00766144"/>
    <w:rsid w:val="00766B2A"/>
    <w:rsid w:val="00766C73"/>
    <w:rsid w:val="00767558"/>
    <w:rsid w:val="0077051D"/>
    <w:rsid w:val="007706CF"/>
    <w:rsid w:val="00770FE8"/>
    <w:rsid w:val="0077162B"/>
    <w:rsid w:val="0077204E"/>
    <w:rsid w:val="007736A1"/>
    <w:rsid w:val="007736E6"/>
    <w:rsid w:val="007739A7"/>
    <w:rsid w:val="00774004"/>
    <w:rsid w:val="00775306"/>
    <w:rsid w:val="007756BC"/>
    <w:rsid w:val="007760F2"/>
    <w:rsid w:val="007769F7"/>
    <w:rsid w:val="00777788"/>
    <w:rsid w:val="007778F0"/>
    <w:rsid w:val="00780EEE"/>
    <w:rsid w:val="007813A1"/>
    <w:rsid w:val="00781466"/>
    <w:rsid w:val="00781968"/>
    <w:rsid w:val="00781DD0"/>
    <w:rsid w:val="00782353"/>
    <w:rsid w:val="0078291A"/>
    <w:rsid w:val="00782977"/>
    <w:rsid w:val="00783491"/>
    <w:rsid w:val="00783B4A"/>
    <w:rsid w:val="00783C5B"/>
    <w:rsid w:val="00784854"/>
    <w:rsid w:val="007848EC"/>
    <w:rsid w:val="00784A58"/>
    <w:rsid w:val="00785124"/>
    <w:rsid w:val="007856FC"/>
    <w:rsid w:val="00786956"/>
    <w:rsid w:val="00786A57"/>
    <w:rsid w:val="00787094"/>
    <w:rsid w:val="00790A53"/>
    <w:rsid w:val="00790CBB"/>
    <w:rsid w:val="00791957"/>
    <w:rsid w:val="00792C0B"/>
    <w:rsid w:val="00792E5C"/>
    <w:rsid w:val="00793E9A"/>
    <w:rsid w:val="0079540E"/>
    <w:rsid w:val="00795C57"/>
    <w:rsid w:val="00796707"/>
    <w:rsid w:val="0079692E"/>
    <w:rsid w:val="007970DD"/>
    <w:rsid w:val="007973FA"/>
    <w:rsid w:val="00797A3C"/>
    <w:rsid w:val="00797D90"/>
    <w:rsid w:val="007A006B"/>
    <w:rsid w:val="007A0280"/>
    <w:rsid w:val="007A1B8A"/>
    <w:rsid w:val="007A1D25"/>
    <w:rsid w:val="007A1E91"/>
    <w:rsid w:val="007A2154"/>
    <w:rsid w:val="007A2156"/>
    <w:rsid w:val="007A2323"/>
    <w:rsid w:val="007A24D6"/>
    <w:rsid w:val="007A25EE"/>
    <w:rsid w:val="007A2EE4"/>
    <w:rsid w:val="007A3242"/>
    <w:rsid w:val="007A3D88"/>
    <w:rsid w:val="007A49B9"/>
    <w:rsid w:val="007A4F0E"/>
    <w:rsid w:val="007A4F12"/>
    <w:rsid w:val="007A60BC"/>
    <w:rsid w:val="007A62AA"/>
    <w:rsid w:val="007A6779"/>
    <w:rsid w:val="007A785E"/>
    <w:rsid w:val="007A7D35"/>
    <w:rsid w:val="007A7E50"/>
    <w:rsid w:val="007B05FE"/>
    <w:rsid w:val="007B0770"/>
    <w:rsid w:val="007B0A46"/>
    <w:rsid w:val="007B0F5F"/>
    <w:rsid w:val="007B1C76"/>
    <w:rsid w:val="007B1CF1"/>
    <w:rsid w:val="007B265A"/>
    <w:rsid w:val="007B266B"/>
    <w:rsid w:val="007B2D03"/>
    <w:rsid w:val="007B2DDF"/>
    <w:rsid w:val="007B316B"/>
    <w:rsid w:val="007B37F2"/>
    <w:rsid w:val="007B3934"/>
    <w:rsid w:val="007B39FF"/>
    <w:rsid w:val="007B3EA2"/>
    <w:rsid w:val="007B477F"/>
    <w:rsid w:val="007B4852"/>
    <w:rsid w:val="007B4F90"/>
    <w:rsid w:val="007B558F"/>
    <w:rsid w:val="007B5FA7"/>
    <w:rsid w:val="007B72B9"/>
    <w:rsid w:val="007B77D0"/>
    <w:rsid w:val="007B7972"/>
    <w:rsid w:val="007B7AB9"/>
    <w:rsid w:val="007B7CBC"/>
    <w:rsid w:val="007C1075"/>
    <w:rsid w:val="007C16FD"/>
    <w:rsid w:val="007C171E"/>
    <w:rsid w:val="007C1742"/>
    <w:rsid w:val="007C1AC8"/>
    <w:rsid w:val="007C2736"/>
    <w:rsid w:val="007C2844"/>
    <w:rsid w:val="007C2E03"/>
    <w:rsid w:val="007C2ED3"/>
    <w:rsid w:val="007C397B"/>
    <w:rsid w:val="007C3AD5"/>
    <w:rsid w:val="007C3AF6"/>
    <w:rsid w:val="007C3B6D"/>
    <w:rsid w:val="007C4203"/>
    <w:rsid w:val="007C538E"/>
    <w:rsid w:val="007C5A78"/>
    <w:rsid w:val="007C67E3"/>
    <w:rsid w:val="007C7D2B"/>
    <w:rsid w:val="007C7FAD"/>
    <w:rsid w:val="007D0088"/>
    <w:rsid w:val="007D13A5"/>
    <w:rsid w:val="007D1450"/>
    <w:rsid w:val="007D1560"/>
    <w:rsid w:val="007D190A"/>
    <w:rsid w:val="007D1A01"/>
    <w:rsid w:val="007D2369"/>
    <w:rsid w:val="007D2701"/>
    <w:rsid w:val="007D33C4"/>
    <w:rsid w:val="007D39A0"/>
    <w:rsid w:val="007D40AE"/>
    <w:rsid w:val="007D4960"/>
    <w:rsid w:val="007D4B60"/>
    <w:rsid w:val="007D4C16"/>
    <w:rsid w:val="007D4C30"/>
    <w:rsid w:val="007D55C9"/>
    <w:rsid w:val="007D5722"/>
    <w:rsid w:val="007D623B"/>
    <w:rsid w:val="007D62FF"/>
    <w:rsid w:val="007D6916"/>
    <w:rsid w:val="007D6A79"/>
    <w:rsid w:val="007D6D8C"/>
    <w:rsid w:val="007D725F"/>
    <w:rsid w:val="007D789B"/>
    <w:rsid w:val="007D7DEA"/>
    <w:rsid w:val="007E0248"/>
    <w:rsid w:val="007E0631"/>
    <w:rsid w:val="007E086C"/>
    <w:rsid w:val="007E0A24"/>
    <w:rsid w:val="007E1B8E"/>
    <w:rsid w:val="007E293D"/>
    <w:rsid w:val="007E2B47"/>
    <w:rsid w:val="007E2EBC"/>
    <w:rsid w:val="007E31CA"/>
    <w:rsid w:val="007E3D27"/>
    <w:rsid w:val="007E45CF"/>
    <w:rsid w:val="007E5059"/>
    <w:rsid w:val="007E5FE8"/>
    <w:rsid w:val="007E61BD"/>
    <w:rsid w:val="007E63BC"/>
    <w:rsid w:val="007F0260"/>
    <w:rsid w:val="007F0592"/>
    <w:rsid w:val="007F05EA"/>
    <w:rsid w:val="007F0626"/>
    <w:rsid w:val="007F0C64"/>
    <w:rsid w:val="007F15DC"/>
    <w:rsid w:val="007F1ADA"/>
    <w:rsid w:val="007F1CDF"/>
    <w:rsid w:val="007F27D0"/>
    <w:rsid w:val="007F2E54"/>
    <w:rsid w:val="007F2EDD"/>
    <w:rsid w:val="007F3413"/>
    <w:rsid w:val="007F42C6"/>
    <w:rsid w:val="007F4721"/>
    <w:rsid w:val="007F4A83"/>
    <w:rsid w:val="007F67E0"/>
    <w:rsid w:val="007F6950"/>
    <w:rsid w:val="007F77D8"/>
    <w:rsid w:val="007F7D6C"/>
    <w:rsid w:val="007F7F8F"/>
    <w:rsid w:val="00800320"/>
    <w:rsid w:val="00801904"/>
    <w:rsid w:val="00802C68"/>
    <w:rsid w:val="00805DD1"/>
    <w:rsid w:val="00805FD6"/>
    <w:rsid w:val="008061BD"/>
    <w:rsid w:val="008068A1"/>
    <w:rsid w:val="00806BC2"/>
    <w:rsid w:val="008070EE"/>
    <w:rsid w:val="00807287"/>
    <w:rsid w:val="008107C8"/>
    <w:rsid w:val="008109E4"/>
    <w:rsid w:val="00810EAC"/>
    <w:rsid w:val="00812339"/>
    <w:rsid w:val="0081283C"/>
    <w:rsid w:val="00812E00"/>
    <w:rsid w:val="008139A3"/>
    <w:rsid w:val="00814598"/>
    <w:rsid w:val="0081472B"/>
    <w:rsid w:val="00814D46"/>
    <w:rsid w:val="00815E72"/>
    <w:rsid w:val="00815FF7"/>
    <w:rsid w:val="008207C4"/>
    <w:rsid w:val="00820DA8"/>
    <w:rsid w:val="00821218"/>
    <w:rsid w:val="00821FCA"/>
    <w:rsid w:val="00822BAB"/>
    <w:rsid w:val="00822CB9"/>
    <w:rsid w:val="00823AC5"/>
    <w:rsid w:val="00823BAC"/>
    <w:rsid w:val="0082474B"/>
    <w:rsid w:val="008253C6"/>
    <w:rsid w:val="00825C46"/>
    <w:rsid w:val="008267A0"/>
    <w:rsid w:val="0082709D"/>
    <w:rsid w:val="00827510"/>
    <w:rsid w:val="00827B56"/>
    <w:rsid w:val="00827BD2"/>
    <w:rsid w:val="0083106C"/>
    <w:rsid w:val="008310A3"/>
    <w:rsid w:val="0083208B"/>
    <w:rsid w:val="008339DC"/>
    <w:rsid w:val="00833C85"/>
    <w:rsid w:val="00834850"/>
    <w:rsid w:val="00834A59"/>
    <w:rsid w:val="0083513E"/>
    <w:rsid w:val="008351BB"/>
    <w:rsid w:val="008352AD"/>
    <w:rsid w:val="008358D9"/>
    <w:rsid w:val="00835D3E"/>
    <w:rsid w:val="00835D71"/>
    <w:rsid w:val="00835D8D"/>
    <w:rsid w:val="00836A16"/>
    <w:rsid w:val="00836FED"/>
    <w:rsid w:val="008378A7"/>
    <w:rsid w:val="00840A5D"/>
    <w:rsid w:val="00840E6A"/>
    <w:rsid w:val="00840FA8"/>
    <w:rsid w:val="008411A5"/>
    <w:rsid w:val="00841AC9"/>
    <w:rsid w:val="00842095"/>
    <w:rsid w:val="00842875"/>
    <w:rsid w:val="00842BF7"/>
    <w:rsid w:val="0084308E"/>
    <w:rsid w:val="00843206"/>
    <w:rsid w:val="00843A61"/>
    <w:rsid w:val="00843BF7"/>
    <w:rsid w:val="00844459"/>
    <w:rsid w:val="00844762"/>
    <w:rsid w:val="00844B61"/>
    <w:rsid w:val="00844F86"/>
    <w:rsid w:val="008453B9"/>
    <w:rsid w:val="00845F6B"/>
    <w:rsid w:val="00846563"/>
    <w:rsid w:val="008470D8"/>
    <w:rsid w:val="00852144"/>
    <w:rsid w:val="0085288F"/>
    <w:rsid w:val="008529D1"/>
    <w:rsid w:val="00852E5A"/>
    <w:rsid w:val="00853FE8"/>
    <w:rsid w:val="0085435B"/>
    <w:rsid w:val="00854405"/>
    <w:rsid w:val="00854DF6"/>
    <w:rsid w:val="008553CC"/>
    <w:rsid w:val="00855A9B"/>
    <w:rsid w:val="00855DF0"/>
    <w:rsid w:val="008565DC"/>
    <w:rsid w:val="00856678"/>
    <w:rsid w:val="00856E14"/>
    <w:rsid w:val="008570A9"/>
    <w:rsid w:val="00857BDA"/>
    <w:rsid w:val="00857DB6"/>
    <w:rsid w:val="008602A7"/>
    <w:rsid w:val="00860374"/>
    <w:rsid w:val="00860759"/>
    <w:rsid w:val="0086076D"/>
    <w:rsid w:val="00861990"/>
    <w:rsid w:val="00861F91"/>
    <w:rsid w:val="00862008"/>
    <w:rsid w:val="008635FC"/>
    <w:rsid w:val="00863618"/>
    <w:rsid w:val="00864124"/>
    <w:rsid w:val="008644EA"/>
    <w:rsid w:val="0086647B"/>
    <w:rsid w:val="00866C40"/>
    <w:rsid w:val="008673D1"/>
    <w:rsid w:val="00867AA1"/>
    <w:rsid w:val="00867C35"/>
    <w:rsid w:val="00867EB6"/>
    <w:rsid w:val="0087009B"/>
    <w:rsid w:val="00870AB9"/>
    <w:rsid w:val="0087152A"/>
    <w:rsid w:val="00872144"/>
    <w:rsid w:val="00872A6D"/>
    <w:rsid w:val="00873452"/>
    <w:rsid w:val="00873EB4"/>
    <w:rsid w:val="00874260"/>
    <w:rsid w:val="00874786"/>
    <w:rsid w:val="008748F1"/>
    <w:rsid w:val="00874AF5"/>
    <w:rsid w:val="00874C1C"/>
    <w:rsid w:val="008752DB"/>
    <w:rsid w:val="008756DC"/>
    <w:rsid w:val="008768CC"/>
    <w:rsid w:val="0087753F"/>
    <w:rsid w:val="00877823"/>
    <w:rsid w:val="00877D8B"/>
    <w:rsid w:val="00877E3D"/>
    <w:rsid w:val="00880239"/>
    <w:rsid w:val="00881023"/>
    <w:rsid w:val="0088171C"/>
    <w:rsid w:val="0088198A"/>
    <w:rsid w:val="00881B9F"/>
    <w:rsid w:val="00882147"/>
    <w:rsid w:val="0088225F"/>
    <w:rsid w:val="008825E2"/>
    <w:rsid w:val="00882C62"/>
    <w:rsid w:val="00882ED8"/>
    <w:rsid w:val="008835E2"/>
    <w:rsid w:val="00883645"/>
    <w:rsid w:val="00884107"/>
    <w:rsid w:val="0088608D"/>
    <w:rsid w:val="00886922"/>
    <w:rsid w:val="0088707C"/>
    <w:rsid w:val="00887486"/>
    <w:rsid w:val="00887698"/>
    <w:rsid w:val="008879AC"/>
    <w:rsid w:val="00887F01"/>
    <w:rsid w:val="0089031B"/>
    <w:rsid w:val="008905CA"/>
    <w:rsid w:val="00890C41"/>
    <w:rsid w:val="008912DE"/>
    <w:rsid w:val="008915C8"/>
    <w:rsid w:val="008920E5"/>
    <w:rsid w:val="00892509"/>
    <w:rsid w:val="00892FEB"/>
    <w:rsid w:val="008937AB"/>
    <w:rsid w:val="008939C7"/>
    <w:rsid w:val="00894183"/>
    <w:rsid w:val="00894525"/>
    <w:rsid w:val="008947DC"/>
    <w:rsid w:val="008949D4"/>
    <w:rsid w:val="00894D81"/>
    <w:rsid w:val="00895276"/>
    <w:rsid w:val="00895387"/>
    <w:rsid w:val="00895630"/>
    <w:rsid w:val="00895722"/>
    <w:rsid w:val="00895FF6"/>
    <w:rsid w:val="00896047"/>
    <w:rsid w:val="00896DE3"/>
    <w:rsid w:val="00897071"/>
    <w:rsid w:val="0089738D"/>
    <w:rsid w:val="00897774"/>
    <w:rsid w:val="00897F4E"/>
    <w:rsid w:val="008A0526"/>
    <w:rsid w:val="008A09E4"/>
    <w:rsid w:val="008A1F0D"/>
    <w:rsid w:val="008A227D"/>
    <w:rsid w:val="008A23BA"/>
    <w:rsid w:val="008A26E9"/>
    <w:rsid w:val="008A2767"/>
    <w:rsid w:val="008A2A72"/>
    <w:rsid w:val="008A2CA8"/>
    <w:rsid w:val="008A3C85"/>
    <w:rsid w:val="008A3D51"/>
    <w:rsid w:val="008A4381"/>
    <w:rsid w:val="008A5224"/>
    <w:rsid w:val="008A5AE0"/>
    <w:rsid w:val="008A5B09"/>
    <w:rsid w:val="008A6177"/>
    <w:rsid w:val="008A6A7E"/>
    <w:rsid w:val="008A7812"/>
    <w:rsid w:val="008B00B1"/>
    <w:rsid w:val="008B0857"/>
    <w:rsid w:val="008B0B75"/>
    <w:rsid w:val="008B1E92"/>
    <w:rsid w:val="008B2215"/>
    <w:rsid w:val="008B28EC"/>
    <w:rsid w:val="008B2AF7"/>
    <w:rsid w:val="008B2E8D"/>
    <w:rsid w:val="008B3136"/>
    <w:rsid w:val="008B32EA"/>
    <w:rsid w:val="008B3535"/>
    <w:rsid w:val="008B4DA0"/>
    <w:rsid w:val="008B61D5"/>
    <w:rsid w:val="008B6241"/>
    <w:rsid w:val="008B724B"/>
    <w:rsid w:val="008B7446"/>
    <w:rsid w:val="008B76CF"/>
    <w:rsid w:val="008C045C"/>
    <w:rsid w:val="008C07F6"/>
    <w:rsid w:val="008C0FA6"/>
    <w:rsid w:val="008C116B"/>
    <w:rsid w:val="008C1C9D"/>
    <w:rsid w:val="008C2049"/>
    <w:rsid w:val="008C2C70"/>
    <w:rsid w:val="008C2D51"/>
    <w:rsid w:val="008C3078"/>
    <w:rsid w:val="008C3418"/>
    <w:rsid w:val="008C35F9"/>
    <w:rsid w:val="008C3CDA"/>
    <w:rsid w:val="008C465A"/>
    <w:rsid w:val="008C48B2"/>
    <w:rsid w:val="008C49D4"/>
    <w:rsid w:val="008C5EC1"/>
    <w:rsid w:val="008C6557"/>
    <w:rsid w:val="008C7009"/>
    <w:rsid w:val="008C7AC1"/>
    <w:rsid w:val="008C7B79"/>
    <w:rsid w:val="008C7DF7"/>
    <w:rsid w:val="008D00B7"/>
    <w:rsid w:val="008D1D41"/>
    <w:rsid w:val="008D2B01"/>
    <w:rsid w:val="008D2B26"/>
    <w:rsid w:val="008D2FB1"/>
    <w:rsid w:val="008D373A"/>
    <w:rsid w:val="008D3770"/>
    <w:rsid w:val="008D475D"/>
    <w:rsid w:val="008D4813"/>
    <w:rsid w:val="008D4AAF"/>
    <w:rsid w:val="008D57FB"/>
    <w:rsid w:val="008D62B8"/>
    <w:rsid w:val="008D62F2"/>
    <w:rsid w:val="008D7442"/>
    <w:rsid w:val="008E0155"/>
    <w:rsid w:val="008E088F"/>
    <w:rsid w:val="008E0E78"/>
    <w:rsid w:val="008E18F4"/>
    <w:rsid w:val="008E19E2"/>
    <w:rsid w:val="008E1A13"/>
    <w:rsid w:val="008E1A4F"/>
    <w:rsid w:val="008E1EC1"/>
    <w:rsid w:val="008E27B9"/>
    <w:rsid w:val="008E2B0C"/>
    <w:rsid w:val="008E3B83"/>
    <w:rsid w:val="008E4A9B"/>
    <w:rsid w:val="008E52CB"/>
    <w:rsid w:val="008E634D"/>
    <w:rsid w:val="008E680A"/>
    <w:rsid w:val="008E6C3B"/>
    <w:rsid w:val="008E77D3"/>
    <w:rsid w:val="008E79FE"/>
    <w:rsid w:val="008E7A72"/>
    <w:rsid w:val="008F087D"/>
    <w:rsid w:val="008F097F"/>
    <w:rsid w:val="008F0C52"/>
    <w:rsid w:val="008F15E6"/>
    <w:rsid w:val="008F191E"/>
    <w:rsid w:val="008F2521"/>
    <w:rsid w:val="008F289E"/>
    <w:rsid w:val="008F2D1A"/>
    <w:rsid w:val="008F305C"/>
    <w:rsid w:val="008F3172"/>
    <w:rsid w:val="008F3295"/>
    <w:rsid w:val="008F3C32"/>
    <w:rsid w:val="008F4905"/>
    <w:rsid w:val="008F4DAA"/>
    <w:rsid w:val="008F5827"/>
    <w:rsid w:val="008F58A9"/>
    <w:rsid w:val="008F6183"/>
    <w:rsid w:val="008F692C"/>
    <w:rsid w:val="008F6B4B"/>
    <w:rsid w:val="008F7A7E"/>
    <w:rsid w:val="009004E7"/>
    <w:rsid w:val="009012EE"/>
    <w:rsid w:val="009016AD"/>
    <w:rsid w:val="00903176"/>
    <w:rsid w:val="0090369B"/>
    <w:rsid w:val="00903AAB"/>
    <w:rsid w:val="00903F8C"/>
    <w:rsid w:val="009045B7"/>
    <w:rsid w:val="009045D7"/>
    <w:rsid w:val="0090498F"/>
    <w:rsid w:val="00904A58"/>
    <w:rsid w:val="00904C13"/>
    <w:rsid w:val="00904FAB"/>
    <w:rsid w:val="00905200"/>
    <w:rsid w:val="0090566B"/>
    <w:rsid w:val="00905F15"/>
    <w:rsid w:val="00905F9F"/>
    <w:rsid w:val="0090629B"/>
    <w:rsid w:val="00906775"/>
    <w:rsid w:val="009069CA"/>
    <w:rsid w:val="00906DF6"/>
    <w:rsid w:val="00906F6C"/>
    <w:rsid w:val="009101A1"/>
    <w:rsid w:val="00910F97"/>
    <w:rsid w:val="0091192C"/>
    <w:rsid w:val="00911FE3"/>
    <w:rsid w:val="009128CB"/>
    <w:rsid w:val="00912965"/>
    <w:rsid w:val="0091381A"/>
    <w:rsid w:val="009150AF"/>
    <w:rsid w:val="00915310"/>
    <w:rsid w:val="00916006"/>
    <w:rsid w:val="0091639E"/>
    <w:rsid w:val="009171A9"/>
    <w:rsid w:val="00917364"/>
    <w:rsid w:val="0092137A"/>
    <w:rsid w:val="0092279A"/>
    <w:rsid w:val="0092342A"/>
    <w:rsid w:val="009234B4"/>
    <w:rsid w:val="00923822"/>
    <w:rsid w:val="00924E08"/>
    <w:rsid w:val="0092528A"/>
    <w:rsid w:val="00925FFB"/>
    <w:rsid w:val="0092625B"/>
    <w:rsid w:val="00926907"/>
    <w:rsid w:val="00926B85"/>
    <w:rsid w:val="00926F25"/>
    <w:rsid w:val="00927A16"/>
    <w:rsid w:val="00927B5A"/>
    <w:rsid w:val="00927BDD"/>
    <w:rsid w:val="00927DC6"/>
    <w:rsid w:val="0093007D"/>
    <w:rsid w:val="0093119D"/>
    <w:rsid w:val="00931351"/>
    <w:rsid w:val="009315D1"/>
    <w:rsid w:val="00931923"/>
    <w:rsid w:val="00931DF7"/>
    <w:rsid w:val="009322A7"/>
    <w:rsid w:val="0093254D"/>
    <w:rsid w:val="00932592"/>
    <w:rsid w:val="00933708"/>
    <w:rsid w:val="0093410C"/>
    <w:rsid w:val="0093568F"/>
    <w:rsid w:val="009358EB"/>
    <w:rsid w:val="00935A6C"/>
    <w:rsid w:val="0093698A"/>
    <w:rsid w:val="00937939"/>
    <w:rsid w:val="009379E4"/>
    <w:rsid w:val="00937C16"/>
    <w:rsid w:val="00940763"/>
    <w:rsid w:val="00940D80"/>
    <w:rsid w:val="009410F0"/>
    <w:rsid w:val="009414B4"/>
    <w:rsid w:val="00941674"/>
    <w:rsid w:val="00941D7A"/>
    <w:rsid w:val="00942547"/>
    <w:rsid w:val="00942DB5"/>
    <w:rsid w:val="00943F7E"/>
    <w:rsid w:val="009440BA"/>
    <w:rsid w:val="009448E8"/>
    <w:rsid w:val="00944B81"/>
    <w:rsid w:val="00945A98"/>
    <w:rsid w:val="00946BE7"/>
    <w:rsid w:val="00946C4F"/>
    <w:rsid w:val="009470A3"/>
    <w:rsid w:val="009471F5"/>
    <w:rsid w:val="009500D0"/>
    <w:rsid w:val="00950C43"/>
    <w:rsid w:val="009516C0"/>
    <w:rsid w:val="00951B42"/>
    <w:rsid w:val="009525D0"/>
    <w:rsid w:val="00952B14"/>
    <w:rsid w:val="00952B1C"/>
    <w:rsid w:val="009539B5"/>
    <w:rsid w:val="00953AD3"/>
    <w:rsid w:val="00953B8D"/>
    <w:rsid w:val="00953BA8"/>
    <w:rsid w:val="00954010"/>
    <w:rsid w:val="009549BD"/>
    <w:rsid w:val="00954B5C"/>
    <w:rsid w:val="00954DE2"/>
    <w:rsid w:val="009551D9"/>
    <w:rsid w:val="00955A43"/>
    <w:rsid w:val="00955BFA"/>
    <w:rsid w:val="00955E6E"/>
    <w:rsid w:val="0095613C"/>
    <w:rsid w:val="009562F2"/>
    <w:rsid w:val="00957332"/>
    <w:rsid w:val="009604DE"/>
    <w:rsid w:val="009606DE"/>
    <w:rsid w:val="00960BBF"/>
    <w:rsid w:val="00960E5B"/>
    <w:rsid w:val="00960FD0"/>
    <w:rsid w:val="00961026"/>
    <w:rsid w:val="009611BF"/>
    <w:rsid w:val="0096158B"/>
    <w:rsid w:val="00961EB6"/>
    <w:rsid w:val="00962807"/>
    <w:rsid w:val="0096288E"/>
    <w:rsid w:val="00962EB1"/>
    <w:rsid w:val="009635F4"/>
    <w:rsid w:val="00963870"/>
    <w:rsid w:val="00963C06"/>
    <w:rsid w:val="009648BF"/>
    <w:rsid w:val="00964E15"/>
    <w:rsid w:val="00964E77"/>
    <w:rsid w:val="00966342"/>
    <w:rsid w:val="009666EE"/>
    <w:rsid w:val="00966770"/>
    <w:rsid w:val="0096723B"/>
    <w:rsid w:val="00967940"/>
    <w:rsid w:val="00967EBA"/>
    <w:rsid w:val="00970158"/>
    <w:rsid w:val="00970EE0"/>
    <w:rsid w:val="00971663"/>
    <w:rsid w:val="009721DF"/>
    <w:rsid w:val="00972E9B"/>
    <w:rsid w:val="00973935"/>
    <w:rsid w:val="00973A69"/>
    <w:rsid w:val="009741D8"/>
    <w:rsid w:val="0097430A"/>
    <w:rsid w:val="009743C6"/>
    <w:rsid w:val="00974496"/>
    <w:rsid w:val="00974E3D"/>
    <w:rsid w:val="0097671B"/>
    <w:rsid w:val="0097715B"/>
    <w:rsid w:val="00977186"/>
    <w:rsid w:val="009771E1"/>
    <w:rsid w:val="009808EB"/>
    <w:rsid w:val="00980956"/>
    <w:rsid w:val="00980A11"/>
    <w:rsid w:val="00980EA9"/>
    <w:rsid w:val="0098153E"/>
    <w:rsid w:val="00982780"/>
    <w:rsid w:val="00983105"/>
    <w:rsid w:val="00984273"/>
    <w:rsid w:val="0098485A"/>
    <w:rsid w:val="00984DC7"/>
    <w:rsid w:val="00985317"/>
    <w:rsid w:val="00985400"/>
    <w:rsid w:val="00985489"/>
    <w:rsid w:val="00985949"/>
    <w:rsid w:val="00985B29"/>
    <w:rsid w:val="00985DD2"/>
    <w:rsid w:val="009862C7"/>
    <w:rsid w:val="00986460"/>
    <w:rsid w:val="00986E49"/>
    <w:rsid w:val="0098712F"/>
    <w:rsid w:val="00987CD1"/>
    <w:rsid w:val="00987E1D"/>
    <w:rsid w:val="00990409"/>
    <w:rsid w:val="00990B06"/>
    <w:rsid w:val="00990B4B"/>
    <w:rsid w:val="009911CE"/>
    <w:rsid w:val="00991491"/>
    <w:rsid w:val="009928EA"/>
    <w:rsid w:val="00992EAE"/>
    <w:rsid w:val="00994A11"/>
    <w:rsid w:val="00994F48"/>
    <w:rsid w:val="009951A9"/>
    <w:rsid w:val="00995305"/>
    <w:rsid w:val="009958B4"/>
    <w:rsid w:val="00996CFB"/>
    <w:rsid w:val="00996DD3"/>
    <w:rsid w:val="00997336"/>
    <w:rsid w:val="009976B9"/>
    <w:rsid w:val="00997742"/>
    <w:rsid w:val="009A0367"/>
    <w:rsid w:val="009A1221"/>
    <w:rsid w:val="009A1284"/>
    <w:rsid w:val="009A183F"/>
    <w:rsid w:val="009A191B"/>
    <w:rsid w:val="009A33CA"/>
    <w:rsid w:val="009A4494"/>
    <w:rsid w:val="009A450B"/>
    <w:rsid w:val="009A48D0"/>
    <w:rsid w:val="009A4C3F"/>
    <w:rsid w:val="009A5244"/>
    <w:rsid w:val="009A59BA"/>
    <w:rsid w:val="009A5C23"/>
    <w:rsid w:val="009A679D"/>
    <w:rsid w:val="009A6F03"/>
    <w:rsid w:val="009A77F8"/>
    <w:rsid w:val="009B0366"/>
    <w:rsid w:val="009B052A"/>
    <w:rsid w:val="009B0B38"/>
    <w:rsid w:val="009B18F5"/>
    <w:rsid w:val="009B2089"/>
    <w:rsid w:val="009B2571"/>
    <w:rsid w:val="009B2E24"/>
    <w:rsid w:val="009B3552"/>
    <w:rsid w:val="009B424A"/>
    <w:rsid w:val="009B48CE"/>
    <w:rsid w:val="009B5033"/>
    <w:rsid w:val="009B520E"/>
    <w:rsid w:val="009B5D23"/>
    <w:rsid w:val="009B5E08"/>
    <w:rsid w:val="009B6302"/>
    <w:rsid w:val="009C081C"/>
    <w:rsid w:val="009C0FC7"/>
    <w:rsid w:val="009C1362"/>
    <w:rsid w:val="009C1E76"/>
    <w:rsid w:val="009C22AB"/>
    <w:rsid w:val="009C2624"/>
    <w:rsid w:val="009C3951"/>
    <w:rsid w:val="009C3F2A"/>
    <w:rsid w:val="009C400C"/>
    <w:rsid w:val="009C4650"/>
    <w:rsid w:val="009C4D43"/>
    <w:rsid w:val="009C4E0A"/>
    <w:rsid w:val="009C51CA"/>
    <w:rsid w:val="009C54AF"/>
    <w:rsid w:val="009C55A7"/>
    <w:rsid w:val="009C5D84"/>
    <w:rsid w:val="009C64CC"/>
    <w:rsid w:val="009C6674"/>
    <w:rsid w:val="009C6FED"/>
    <w:rsid w:val="009C71D9"/>
    <w:rsid w:val="009C7341"/>
    <w:rsid w:val="009C73C0"/>
    <w:rsid w:val="009C78D3"/>
    <w:rsid w:val="009D0007"/>
    <w:rsid w:val="009D04A9"/>
    <w:rsid w:val="009D05D4"/>
    <w:rsid w:val="009D0E7B"/>
    <w:rsid w:val="009D10EC"/>
    <w:rsid w:val="009D1312"/>
    <w:rsid w:val="009D1A5C"/>
    <w:rsid w:val="009D2522"/>
    <w:rsid w:val="009D26F5"/>
    <w:rsid w:val="009D2D6E"/>
    <w:rsid w:val="009D345C"/>
    <w:rsid w:val="009D45CE"/>
    <w:rsid w:val="009D48FD"/>
    <w:rsid w:val="009D49B1"/>
    <w:rsid w:val="009D5077"/>
    <w:rsid w:val="009D51E4"/>
    <w:rsid w:val="009D5743"/>
    <w:rsid w:val="009D5E10"/>
    <w:rsid w:val="009D6CD6"/>
    <w:rsid w:val="009D7B2C"/>
    <w:rsid w:val="009E0658"/>
    <w:rsid w:val="009E07A2"/>
    <w:rsid w:val="009E1897"/>
    <w:rsid w:val="009E1AA9"/>
    <w:rsid w:val="009E2075"/>
    <w:rsid w:val="009E219A"/>
    <w:rsid w:val="009E278B"/>
    <w:rsid w:val="009E2D08"/>
    <w:rsid w:val="009E425D"/>
    <w:rsid w:val="009E4400"/>
    <w:rsid w:val="009E4870"/>
    <w:rsid w:val="009E4D52"/>
    <w:rsid w:val="009E52A3"/>
    <w:rsid w:val="009E5747"/>
    <w:rsid w:val="009E5BDE"/>
    <w:rsid w:val="009E688D"/>
    <w:rsid w:val="009E69A9"/>
    <w:rsid w:val="009E6B43"/>
    <w:rsid w:val="009E70E5"/>
    <w:rsid w:val="009E72BB"/>
    <w:rsid w:val="009E76CD"/>
    <w:rsid w:val="009F03D7"/>
    <w:rsid w:val="009F0479"/>
    <w:rsid w:val="009F0E5A"/>
    <w:rsid w:val="009F1177"/>
    <w:rsid w:val="009F11FA"/>
    <w:rsid w:val="009F17B6"/>
    <w:rsid w:val="009F2427"/>
    <w:rsid w:val="009F2EE9"/>
    <w:rsid w:val="009F39CB"/>
    <w:rsid w:val="009F39F4"/>
    <w:rsid w:val="009F401E"/>
    <w:rsid w:val="009F4047"/>
    <w:rsid w:val="009F4EDE"/>
    <w:rsid w:val="009F5870"/>
    <w:rsid w:val="009F59E6"/>
    <w:rsid w:val="009F5D24"/>
    <w:rsid w:val="009F6049"/>
    <w:rsid w:val="009F63BD"/>
    <w:rsid w:val="009F6CDD"/>
    <w:rsid w:val="009F6FE9"/>
    <w:rsid w:val="009F718A"/>
    <w:rsid w:val="009F7B56"/>
    <w:rsid w:val="00A0035A"/>
    <w:rsid w:val="00A0060F"/>
    <w:rsid w:val="00A00688"/>
    <w:rsid w:val="00A007CC"/>
    <w:rsid w:val="00A02099"/>
    <w:rsid w:val="00A027CB"/>
    <w:rsid w:val="00A03713"/>
    <w:rsid w:val="00A05151"/>
    <w:rsid w:val="00A06319"/>
    <w:rsid w:val="00A064D9"/>
    <w:rsid w:val="00A068FF"/>
    <w:rsid w:val="00A06C90"/>
    <w:rsid w:val="00A06D5C"/>
    <w:rsid w:val="00A07861"/>
    <w:rsid w:val="00A07AD6"/>
    <w:rsid w:val="00A11A54"/>
    <w:rsid w:val="00A12629"/>
    <w:rsid w:val="00A1279C"/>
    <w:rsid w:val="00A1414C"/>
    <w:rsid w:val="00A14948"/>
    <w:rsid w:val="00A161F0"/>
    <w:rsid w:val="00A1645D"/>
    <w:rsid w:val="00A16689"/>
    <w:rsid w:val="00A172EA"/>
    <w:rsid w:val="00A174C5"/>
    <w:rsid w:val="00A17DC4"/>
    <w:rsid w:val="00A211E9"/>
    <w:rsid w:val="00A2201F"/>
    <w:rsid w:val="00A222F4"/>
    <w:rsid w:val="00A22580"/>
    <w:rsid w:val="00A22AC0"/>
    <w:rsid w:val="00A23842"/>
    <w:rsid w:val="00A23C66"/>
    <w:rsid w:val="00A24229"/>
    <w:rsid w:val="00A244B9"/>
    <w:rsid w:val="00A24E13"/>
    <w:rsid w:val="00A263CF"/>
    <w:rsid w:val="00A26BFD"/>
    <w:rsid w:val="00A307CB"/>
    <w:rsid w:val="00A307ED"/>
    <w:rsid w:val="00A30DF0"/>
    <w:rsid w:val="00A3179E"/>
    <w:rsid w:val="00A31939"/>
    <w:rsid w:val="00A320AF"/>
    <w:rsid w:val="00A3381A"/>
    <w:rsid w:val="00A340D9"/>
    <w:rsid w:val="00A344BA"/>
    <w:rsid w:val="00A34A90"/>
    <w:rsid w:val="00A35EAF"/>
    <w:rsid w:val="00A360A4"/>
    <w:rsid w:val="00A3648F"/>
    <w:rsid w:val="00A3651E"/>
    <w:rsid w:val="00A3684E"/>
    <w:rsid w:val="00A369C8"/>
    <w:rsid w:val="00A36EC9"/>
    <w:rsid w:val="00A40292"/>
    <w:rsid w:val="00A40612"/>
    <w:rsid w:val="00A4119F"/>
    <w:rsid w:val="00A41D82"/>
    <w:rsid w:val="00A41F09"/>
    <w:rsid w:val="00A4221B"/>
    <w:rsid w:val="00A427B9"/>
    <w:rsid w:val="00A42C57"/>
    <w:rsid w:val="00A436C2"/>
    <w:rsid w:val="00A43AF1"/>
    <w:rsid w:val="00A44335"/>
    <w:rsid w:val="00A45468"/>
    <w:rsid w:val="00A460A1"/>
    <w:rsid w:val="00A46E06"/>
    <w:rsid w:val="00A4786D"/>
    <w:rsid w:val="00A47D85"/>
    <w:rsid w:val="00A50EA8"/>
    <w:rsid w:val="00A50FF8"/>
    <w:rsid w:val="00A51408"/>
    <w:rsid w:val="00A51476"/>
    <w:rsid w:val="00A5181C"/>
    <w:rsid w:val="00A51D30"/>
    <w:rsid w:val="00A51F13"/>
    <w:rsid w:val="00A5206C"/>
    <w:rsid w:val="00A525F2"/>
    <w:rsid w:val="00A52914"/>
    <w:rsid w:val="00A52A2D"/>
    <w:rsid w:val="00A52D48"/>
    <w:rsid w:val="00A530D8"/>
    <w:rsid w:val="00A533AE"/>
    <w:rsid w:val="00A53437"/>
    <w:rsid w:val="00A53488"/>
    <w:rsid w:val="00A53EDB"/>
    <w:rsid w:val="00A542E5"/>
    <w:rsid w:val="00A54C8C"/>
    <w:rsid w:val="00A54C94"/>
    <w:rsid w:val="00A55002"/>
    <w:rsid w:val="00A57009"/>
    <w:rsid w:val="00A57799"/>
    <w:rsid w:val="00A6080D"/>
    <w:rsid w:val="00A608B1"/>
    <w:rsid w:val="00A60C28"/>
    <w:rsid w:val="00A61F3D"/>
    <w:rsid w:val="00A6267F"/>
    <w:rsid w:val="00A62728"/>
    <w:rsid w:val="00A62886"/>
    <w:rsid w:val="00A62890"/>
    <w:rsid w:val="00A62CB4"/>
    <w:rsid w:val="00A62D11"/>
    <w:rsid w:val="00A6318D"/>
    <w:rsid w:val="00A63A3C"/>
    <w:rsid w:val="00A63A4B"/>
    <w:rsid w:val="00A63ABE"/>
    <w:rsid w:val="00A64812"/>
    <w:rsid w:val="00A65769"/>
    <w:rsid w:val="00A65835"/>
    <w:rsid w:val="00A66F07"/>
    <w:rsid w:val="00A66F73"/>
    <w:rsid w:val="00A67414"/>
    <w:rsid w:val="00A70346"/>
    <w:rsid w:val="00A70482"/>
    <w:rsid w:val="00A7063B"/>
    <w:rsid w:val="00A707C4"/>
    <w:rsid w:val="00A71E39"/>
    <w:rsid w:val="00A72449"/>
    <w:rsid w:val="00A737CD"/>
    <w:rsid w:val="00A73986"/>
    <w:rsid w:val="00A73AEB"/>
    <w:rsid w:val="00A73BB9"/>
    <w:rsid w:val="00A73F71"/>
    <w:rsid w:val="00A74E62"/>
    <w:rsid w:val="00A74FEA"/>
    <w:rsid w:val="00A75557"/>
    <w:rsid w:val="00A76B02"/>
    <w:rsid w:val="00A76D87"/>
    <w:rsid w:val="00A77371"/>
    <w:rsid w:val="00A77859"/>
    <w:rsid w:val="00A802E8"/>
    <w:rsid w:val="00A8033A"/>
    <w:rsid w:val="00A804DF"/>
    <w:rsid w:val="00A81476"/>
    <w:rsid w:val="00A81F68"/>
    <w:rsid w:val="00A82A4C"/>
    <w:rsid w:val="00A83924"/>
    <w:rsid w:val="00A83E98"/>
    <w:rsid w:val="00A841DF"/>
    <w:rsid w:val="00A84B24"/>
    <w:rsid w:val="00A84C06"/>
    <w:rsid w:val="00A8554C"/>
    <w:rsid w:val="00A8668B"/>
    <w:rsid w:val="00A86A7C"/>
    <w:rsid w:val="00A87962"/>
    <w:rsid w:val="00A87FDC"/>
    <w:rsid w:val="00A90249"/>
    <w:rsid w:val="00A9033E"/>
    <w:rsid w:val="00A90AE3"/>
    <w:rsid w:val="00A913EC"/>
    <w:rsid w:val="00A91710"/>
    <w:rsid w:val="00A91765"/>
    <w:rsid w:val="00A91A97"/>
    <w:rsid w:val="00A92016"/>
    <w:rsid w:val="00A92567"/>
    <w:rsid w:val="00A92BD9"/>
    <w:rsid w:val="00A939FD"/>
    <w:rsid w:val="00A93CF9"/>
    <w:rsid w:val="00A942D1"/>
    <w:rsid w:val="00A942E1"/>
    <w:rsid w:val="00A949F9"/>
    <w:rsid w:val="00A9501F"/>
    <w:rsid w:val="00A95BE0"/>
    <w:rsid w:val="00A95C27"/>
    <w:rsid w:val="00A95EE2"/>
    <w:rsid w:val="00A96890"/>
    <w:rsid w:val="00A96B53"/>
    <w:rsid w:val="00A96E0F"/>
    <w:rsid w:val="00A96E4F"/>
    <w:rsid w:val="00A97ADE"/>
    <w:rsid w:val="00AA0A42"/>
    <w:rsid w:val="00AA0C42"/>
    <w:rsid w:val="00AA0CEC"/>
    <w:rsid w:val="00AA0FF9"/>
    <w:rsid w:val="00AA125C"/>
    <w:rsid w:val="00AA13B8"/>
    <w:rsid w:val="00AA205B"/>
    <w:rsid w:val="00AA268D"/>
    <w:rsid w:val="00AA2F9C"/>
    <w:rsid w:val="00AA3A8D"/>
    <w:rsid w:val="00AA3EEB"/>
    <w:rsid w:val="00AA4E60"/>
    <w:rsid w:val="00AA5131"/>
    <w:rsid w:val="00AA58B9"/>
    <w:rsid w:val="00AA6C74"/>
    <w:rsid w:val="00AA6E3F"/>
    <w:rsid w:val="00AA71CD"/>
    <w:rsid w:val="00AA7388"/>
    <w:rsid w:val="00AA7922"/>
    <w:rsid w:val="00AA79D4"/>
    <w:rsid w:val="00AA7DA6"/>
    <w:rsid w:val="00AB01A9"/>
    <w:rsid w:val="00AB037E"/>
    <w:rsid w:val="00AB0618"/>
    <w:rsid w:val="00AB0DF9"/>
    <w:rsid w:val="00AB0E83"/>
    <w:rsid w:val="00AB1185"/>
    <w:rsid w:val="00AB1CE0"/>
    <w:rsid w:val="00AB1F50"/>
    <w:rsid w:val="00AB1FF1"/>
    <w:rsid w:val="00AB2201"/>
    <w:rsid w:val="00AB2A46"/>
    <w:rsid w:val="00AB2BFB"/>
    <w:rsid w:val="00AB391F"/>
    <w:rsid w:val="00AB433D"/>
    <w:rsid w:val="00AB4730"/>
    <w:rsid w:val="00AB529C"/>
    <w:rsid w:val="00AB53A7"/>
    <w:rsid w:val="00AB54FC"/>
    <w:rsid w:val="00AB5F46"/>
    <w:rsid w:val="00AB61F6"/>
    <w:rsid w:val="00AB6293"/>
    <w:rsid w:val="00AB6362"/>
    <w:rsid w:val="00AB6E9C"/>
    <w:rsid w:val="00AB73A4"/>
    <w:rsid w:val="00AB7A1D"/>
    <w:rsid w:val="00AC02CD"/>
    <w:rsid w:val="00AC04DE"/>
    <w:rsid w:val="00AC0C60"/>
    <w:rsid w:val="00AC0F17"/>
    <w:rsid w:val="00AC1685"/>
    <w:rsid w:val="00AC1866"/>
    <w:rsid w:val="00AC1FE9"/>
    <w:rsid w:val="00AC236D"/>
    <w:rsid w:val="00AC2EEF"/>
    <w:rsid w:val="00AC3163"/>
    <w:rsid w:val="00AC3DC2"/>
    <w:rsid w:val="00AC441B"/>
    <w:rsid w:val="00AC4565"/>
    <w:rsid w:val="00AC498B"/>
    <w:rsid w:val="00AC4F31"/>
    <w:rsid w:val="00AC5320"/>
    <w:rsid w:val="00AC558D"/>
    <w:rsid w:val="00AC565D"/>
    <w:rsid w:val="00AC5684"/>
    <w:rsid w:val="00AC5795"/>
    <w:rsid w:val="00AC5B01"/>
    <w:rsid w:val="00AC5C96"/>
    <w:rsid w:val="00AC5F79"/>
    <w:rsid w:val="00AC5FC2"/>
    <w:rsid w:val="00AD0BD8"/>
    <w:rsid w:val="00AD11C6"/>
    <w:rsid w:val="00AD22C2"/>
    <w:rsid w:val="00AD36D7"/>
    <w:rsid w:val="00AD3800"/>
    <w:rsid w:val="00AD3981"/>
    <w:rsid w:val="00AD5741"/>
    <w:rsid w:val="00AD5A93"/>
    <w:rsid w:val="00AD5D7D"/>
    <w:rsid w:val="00AD6385"/>
    <w:rsid w:val="00AD688C"/>
    <w:rsid w:val="00AD690B"/>
    <w:rsid w:val="00AD6C02"/>
    <w:rsid w:val="00AD7219"/>
    <w:rsid w:val="00AE011F"/>
    <w:rsid w:val="00AE055C"/>
    <w:rsid w:val="00AE0BE8"/>
    <w:rsid w:val="00AE0D1A"/>
    <w:rsid w:val="00AE193E"/>
    <w:rsid w:val="00AE1960"/>
    <w:rsid w:val="00AE1F97"/>
    <w:rsid w:val="00AE3315"/>
    <w:rsid w:val="00AE3426"/>
    <w:rsid w:val="00AE3B8B"/>
    <w:rsid w:val="00AE41C8"/>
    <w:rsid w:val="00AE5A7C"/>
    <w:rsid w:val="00AE5DED"/>
    <w:rsid w:val="00AE5FB5"/>
    <w:rsid w:val="00AE6294"/>
    <w:rsid w:val="00AE6554"/>
    <w:rsid w:val="00AE66F6"/>
    <w:rsid w:val="00AE6FF8"/>
    <w:rsid w:val="00AE711E"/>
    <w:rsid w:val="00AE7521"/>
    <w:rsid w:val="00AF0AD9"/>
    <w:rsid w:val="00AF0B2D"/>
    <w:rsid w:val="00AF1180"/>
    <w:rsid w:val="00AF12FE"/>
    <w:rsid w:val="00AF263F"/>
    <w:rsid w:val="00AF26F2"/>
    <w:rsid w:val="00AF2917"/>
    <w:rsid w:val="00AF315A"/>
    <w:rsid w:val="00AF31F2"/>
    <w:rsid w:val="00AF4A42"/>
    <w:rsid w:val="00AF4BC1"/>
    <w:rsid w:val="00AF56C1"/>
    <w:rsid w:val="00AF5A3F"/>
    <w:rsid w:val="00AF647C"/>
    <w:rsid w:val="00AF6A55"/>
    <w:rsid w:val="00AF7A8D"/>
    <w:rsid w:val="00AF7ACB"/>
    <w:rsid w:val="00AF7F92"/>
    <w:rsid w:val="00B0011E"/>
    <w:rsid w:val="00B00B7F"/>
    <w:rsid w:val="00B00EF2"/>
    <w:rsid w:val="00B01D48"/>
    <w:rsid w:val="00B03F7C"/>
    <w:rsid w:val="00B04B32"/>
    <w:rsid w:val="00B05714"/>
    <w:rsid w:val="00B05B0E"/>
    <w:rsid w:val="00B0706C"/>
    <w:rsid w:val="00B0730E"/>
    <w:rsid w:val="00B074A8"/>
    <w:rsid w:val="00B07699"/>
    <w:rsid w:val="00B10844"/>
    <w:rsid w:val="00B110E3"/>
    <w:rsid w:val="00B11197"/>
    <w:rsid w:val="00B11258"/>
    <w:rsid w:val="00B118D5"/>
    <w:rsid w:val="00B11FB5"/>
    <w:rsid w:val="00B124D6"/>
    <w:rsid w:val="00B12ACF"/>
    <w:rsid w:val="00B12D12"/>
    <w:rsid w:val="00B12D4D"/>
    <w:rsid w:val="00B13037"/>
    <w:rsid w:val="00B13D2B"/>
    <w:rsid w:val="00B14FE6"/>
    <w:rsid w:val="00B1503A"/>
    <w:rsid w:val="00B158F2"/>
    <w:rsid w:val="00B16BBC"/>
    <w:rsid w:val="00B16E2E"/>
    <w:rsid w:val="00B17FFD"/>
    <w:rsid w:val="00B20488"/>
    <w:rsid w:val="00B20875"/>
    <w:rsid w:val="00B21BFC"/>
    <w:rsid w:val="00B21EA4"/>
    <w:rsid w:val="00B22022"/>
    <w:rsid w:val="00B22064"/>
    <w:rsid w:val="00B22970"/>
    <w:rsid w:val="00B22CA5"/>
    <w:rsid w:val="00B23982"/>
    <w:rsid w:val="00B23D47"/>
    <w:rsid w:val="00B23F8D"/>
    <w:rsid w:val="00B24297"/>
    <w:rsid w:val="00B24377"/>
    <w:rsid w:val="00B2500E"/>
    <w:rsid w:val="00B25B87"/>
    <w:rsid w:val="00B273C2"/>
    <w:rsid w:val="00B2754E"/>
    <w:rsid w:val="00B27DC5"/>
    <w:rsid w:val="00B30113"/>
    <w:rsid w:val="00B3184D"/>
    <w:rsid w:val="00B32569"/>
    <w:rsid w:val="00B33C39"/>
    <w:rsid w:val="00B33E59"/>
    <w:rsid w:val="00B350B8"/>
    <w:rsid w:val="00B3523C"/>
    <w:rsid w:val="00B358F8"/>
    <w:rsid w:val="00B3605D"/>
    <w:rsid w:val="00B36BF3"/>
    <w:rsid w:val="00B371AB"/>
    <w:rsid w:val="00B37EC6"/>
    <w:rsid w:val="00B400E9"/>
    <w:rsid w:val="00B41371"/>
    <w:rsid w:val="00B41590"/>
    <w:rsid w:val="00B42CFA"/>
    <w:rsid w:val="00B4364B"/>
    <w:rsid w:val="00B4397B"/>
    <w:rsid w:val="00B43AE0"/>
    <w:rsid w:val="00B43C60"/>
    <w:rsid w:val="00B43CBC"/>
    <w:rsid w:val="00B44566"/>
    <w:rsid w:val="00B44623"/>
    <w:rsid w:val="00B44CE2"/>
    <w:rsid w:val="00B44CF1"/>
    <w:rsid w:val="00B453F9"/>
    <w:rsid w:val="00B45755"/>
    <w:rsid w:val="00B45D37"/>
    <w:rsid w:val="00B45F26"/>
    <w:rsid w:val="00B45FDD"/>
    <w:rsid w:val="00B46021"/>
    <w:rsid w:val="00B474E5"/>
    <w:rsid w:val="00B47F1E"/>
    <w:rsid w:val="00B50B33"/>
    <w:rsid w:val="00B5111B"/>
    <w:rsid w:val="00B511EC"/>
    <w:rsid w:val="00B512F8"/>
    <w:rsid w:val="00B52F43"/>
    <w:rsid w:val="00B53719"/>
    <w:rsid w:val="00B53A71"/>
    <w:rsid w:val="00B53B35"/>
    <w:rsid w:val="00B53EAB"/>
    <w:rsid w:val="00B54322"/>
    <w:rsid w:val="00B54969"/>
    <w:rsid w:val="00B558E7"/>
    <w:rsid w:val="00B55E68"/>
    <w:rsid w:val="00B5659A"/>
    <w:rsid w:val="00B566EC"/>
    <w:rsid w:val="00B573B5"/>
    <w:rsid w:val="00B574A9"/>
    <w:rsid w:val="00B575EC"/>
    <w:rsid w:val="00B57E3D"/>
    <w:rsid w:val="00B60C0B"/>
    <w:rsid w:val="00B615A2"/>
    <w:rsid w:val="00B61DDD"/>
    <w:rsid w:val="00B62A61"/>
    <w:rsid w:val="00B62B72"/>
    <w:rsid w:val="00B63467"/>
    <w:rsid w:val="00B634F5"/>
    <w:rsid w:val="00B6363B"/>
    <w:rsid w:val="00B63F9C"/>
    <w:rsid w:val="00B64689"/>
    <w:rsid w:val="00B64BC4"/>
    <w:rsid w:val="00B64F55"/>
    <w:rsid w:val="00B65ED9"/>
    <w:rsid w:val="00B66084"/>
    <w:rsid w:val="00B66F75"/>
    <w:rsid w:val="00B67D73"/>
    <w:rsid w:val="00B71607"/>
    <w:rsid w:val="00B71640"/>
    <w:rsid w:val="00B71D71"/>
    <w:rsid w:val="00B72081"/>
    <w:rsid w:val="00B7237B"/>
    <w:rsid w:val="00B74B20"/>
    <w:rsid w:val="00B7514E"/>
    <w:rsid w:val="00B75764"/>
    <w:rsid w:val="00B7583A"/>
    <w:rsid w:val="00B76508"/>
    <w:rsid w:val="00B76697"/>
    <w:rsid w:val="00B76D85"/>
    <w:rsid w:val="00B7723D"/>
    <w:rsid w:val="00B7762F"/>
    <w:rsid w:val="00B77B74"/>
    <w:rsid w:val="00B80510"/>
    <w:rsid w:val="00B80589"/>
    <w:rsid w:val="00B809BB"/>
    <w:rsid w:val="00B80C1D"/>
    <w:rsid w:val="00B81157"/>
    <w:rsid w:val="00B82662"/>
    <w:rsid w:val="00B828C3"/>
    <w:rsid w:val="00B82A07"/>
    <w:rsid w:val="00B833AA"/>
    <w:rsid w:val="00B847C1"/>
    <w:rsid w:val="00B8483B"/>
    <w:rsid w:val="00B848FA"/>
    <w:rsid w:val="00B85007"/>
    <w:rsid w:val="00B850F8"/>
    <w:rsid w:val="00B8570A"/>
    <w:rsid w:val="00B858C2"/>
    <w:rsid w:val="00B858C9"/>
    <w:rsid w:val="00B86923"/>
    <w:rsid w:val="00B869D7"/>
    <w:rsid w:val="00B86A5E"/>
    <w:rsid w:val="00B86EF8"/>
    <w:rsid w:val="00B87CDB"/>
    <w:rsid w:val="00B90A8A"/>
    <w:rsid w:val="00B90AB4"/>
    <w:rsid w:val="00B90BB1"/>
    <w:rsid w:val="00B90C21"/>
    <w:rsid w:val="00B911DB"/>
    <w:rsid w:val="00B9127E"/>
    <w:rsid w:val="00B91816"/>
    <w:rsid w:val="00B91D25"/>
    <w:rsid w:val="00B92DA2"/>
    <w:rsid w:val="00B92F9A"/>
    <w:rsid w:val="00B94220"/>
    <w:rsid w:val="00B95420"/>
    <w:rsid w:val="00B956FB"/>
    <w:rsid w:val="00B95720"/>
    <w:rsid w:val="00B95871"/>
    <w:rsid w:val="00B960D4"/>
    <w:rsid w:val="00B961C6"/>
    <w:rsid w:val="00B964BB"/>
    <w:rsid w:val="00B967E7"/>
    <w:rsid w:val="00B969F7"/>
    <w:rsid w:val="00B97201"/>
    <w:rsid w:val="00B97391"/>
    <w:rsid w:val="00B9763D"/>
    <w:rsid w:val="00B97713"/>
    <w:rsid w:val="00BA01C6"/>
    <w:rsid w:val="00BA1EFF"/>
    <w:rsid w:val="00BA22CD"/>
    <w:rsid w:val="00BA4E1F"/>
    <w:rsid w:val="00BA4F47"/>
    <w:rsid w:val="00BA5006"/>
    <w:rsid w:val="00BA521C"/>
    <w:rsid w:val="00BA54CE"/>
    <w:rsid w:val="00BA56D5"/>
    <w:rsid w:val="00BA5DD2"/>
    <w:rsid w:val="00BA6C59"/>
    <w:rsid w:val="00BA7449"/>
    <w:rsid w:val="00BA789A"/>
    <w:rsid w:val="00BB11DD"/>
    <w:rsid w:val="00BB12E2"/>
    <w:rsid w:val="00BB141C"/>
    <w:rsid w:val="00BB144B"/>
    <w:rsid w:val="00BB15A2"/>
    <w:rsid w:val="00BB183A"/>
    <w:rsid w:val="00BB19D2"/>
    <w:rsid w:val="00BB271E"/>
    <w:rsid w:val="00BB2998"/>
    <w:rsid w:val="00BB2C25"/>
    <w:rsid w:val="00BB318B"/>
    <w:rsid w:val="00BB37DF"/>
    <w:rsid w:val="00BB39EC"/>
    <w:rsid w:val="00BB49D7"/>
    <w:rsid w:val="00BB4A36"/>
    <w:rsid w:val="00BB4BC0"/>
    <w:rsid w:val="00BB5F9B"/>
    <w:rsid w:val="00BB60A4"/>
    <w:rsid w:val="00BB6595"/>
    <w:rsid w:val="00BB6A6D"/>
    <w:rsid w:val="00BB6AFC"/>
    <w:rsid w:val="00BB7979"/>
    <w:rsid w:val="00BC073B"/>
    <w:rsid w:val="00BC0DB5"/>
    <w:rsid w:val="00BC2966"/>
    <w:rsid w:val="00BC33AF"/>
    <w:rsid w:val="00BC3894"/>
    <w:rsid w:val="00BC3DAF"/>
    <w:rsid w:val="00BC49F8"/>
    <w:rsid w:val="00BC4AE6"/>
    <w:rsid w:val="00BC5539"/>
    <w:rsid w:val="00BC5676"/>
    <w:rsid w:val="00BC5FC4"/>
    <w:rsid w:val="00BC6527"/>
    <w:rsid w:val="00BC6CB5"/>
    <w:rsid w:val="00BC71EE"/>
    <w:rsid w:val="00BC7740"/>
    <w:rsid w:val="00BC789F"/>
    <w:rsid w:val="00BC7DD7"/>
    <w:rsid w:val="00BD048B"/>
    <w:rsid w:val="00BD0663"/>
    <w:rsid w:val="00BD0EAC"/>
    <w:rsid w:val="00BD1347"/>
    <w:rsid w:val="00BD13BB"/>
    <w:rsid w:val="00BD1783"/>
    <w:rsid w:val="00BD1A4F"/>
    <w:rsid w:val="00BD1EA2"/>
    <w:rsid w:val="00BD2214"/>
    <w:rsid w:val="00BD28B4"/>
    <w:rsid w:val="00BD2CF4"/>
    <w:rsid w:val="00BD337B"/>
    <w:rsid w:val="00BD3945"/>
    <w:rsid w:val="00BD4A8A"/>
    <w:rsid w:val="00BD4D05"/>
    <w:rsid w:val="00BD5CA9"/>
    <w:rsid w:val="00BD6383"/>
    <w:rsid w:val="00BD6A7A"/>
    <w:rsid w:val="00BD7040"/>
    <w:rsid w:val="00BE0B37"/>
    <w:rsid w:val="00BE0B80"/>
    <w:rsid w:val="00BE0BF5"/>
    <w:rsid w:val="00BE0D2F"/>
    <w:rsid w:val="00BE1659"/>
    <w:rsid w:val="00BE1770"/>
    <w:rsid w:val="00BE1F54"/>
    <w:rsid w:val="00BE1FFB"/>
    <w:rsid w:val="00BE2068"/>
    <w:rsid w:val="00BE2F78"/>
    <w:rsid w:val="00BE32DC"/>
    <w:rsid w:val="00BE436F"/>
    <w:rsid w:val="00BE4541"/>
    <w:rsid w:val="00BE4A8D"/>
    <w:rsid w:val="00BE4DC7"/>
    <w:rsid w:val="00BE5F69"/>
    <w:rsid w:val="00BE630A"/>
    <w:rsid w:val="00BE6C25"/>
    <w:rsid w:val="00BE75AD"/>
    <w:rsid w:val="00BE7A75"/>
    <w:rsid w:val="00BF0BEC"/>
    <w:rsid w:val="00BF1292"/>
    <w:rsid w:val="00BF1D45"/>
    <w:rsid w:val="00BF2068"/>
    <w:rsid w:val="00BF2A91"/>
    <w:rsid w:val="00BF2AB3"/>
    <w:rsid w:val="00BF4933"/>
    <w:rsid w:val="00BF4AC8"/>
    <w:rsid w:val="00BF4E7D"/>
    <w:rsid w:val="00BF6FC7"/>
    <w:rsid w:val="00BF7F7C"/>
    <w:rsid w:val="00C003A1"/>
    <w:rsid w:val="00C004C0"/>
    <w:rsid w:val="00C00D8B"/>
    <w:rsid w:val="00C00DD3"/>
    <w:rsid w:val="00C00E18"/>
    <w:rsid w:val="00C012A0"/>
    <w:rsid w:val="00C01A7E"/>
    <w:rsid w:val="00C01FEC"/>
    <w:rsid w:val="00C0231C"/>
    <w:rsid w:val="00C0319C"/>
    <w:rsid w:val="00C03506"/>
    <w:rsid w:val="00C04425"/>
    <w:rsid w:val="00C04645"/>
    <w:rsid w:val="00C066AB"/>
    <w:rsid w:val="00C071AC"/>
    <w:rsid w:val="00C07818"/>
    <w:rsid w:val="00C10071"/>
    <w:rsid w:val="00C102AE"/>
    <w:rsid w:val="00C10668"/>
    <w:rsid w:val="00C111BA"/>
    <w:rsid w:val="00C11589"/>
    <w:rsid w:val="00C119F1"/>
    <w:rsid w:val="00C12FF0"/>
    <w:rsid w:val="00C13432"/>
    <w:rsid w:val="00C143BB"/>
    <w:rsid w:val="00C14B43"/>
    <w:rsid w:val="00C14CD1"/>
    <w:rsid w:val="00C15251"/>
    <w:rsid w:val="00C153E6"/>
    <w:rsid w:val="00C15408"/>
    <w:rsid w:val="00C156C4"/>
    <w:rsid w:val="00C15F40"/>
    <w:rsid w:val="00C174EB"/>
    <w:rsid w:val="00C20A70"/>
    <w:rsid w:val="00C215F6"/>
    <w:rsid w:val="00C21DE6"/>
    <w:rsid w:val="00C223CC"/>
    <w:rsid w:val="00C22AEF"/>
    <w:rsid w:val="00C23209"/>
    <w:rsid w:val="00C23518"/>
    <w:rsid w:val="00C24F60"/>
    <w:rsid w:val="00C24F69"/>
    <w:rsid w:val="00C25438"/>
    <w:rsid w:val="00C25A01"/>
    <w:rsid w:val="00C25AC0"/>
    <w:rsid w:val="00C25D8D"/>
    <w:rsid w:val="00C26A51"/>
    <w:rsid w:val="00C27AE3"/>
    <w:rsid w:val="00C27B00"/>
    <w:rsid w:val="00C3016C"/>
    <w:rsid w:val="00C3024C"/>
    <w:rsid w:val="00C3068A"/>
    <w:rsid w:val="00C30A94"/>
    <w:rsid w:val="00C30A9D"/>
    <w:rsid w:val="00C30D56"/>
    <w:rsid w:val="00C31129"/>
    <w:rsid w:val="00C31D0F"/>
    <w:rsid w:val="00C3233D"/>
    <w:rsid w:val="00C326D7"/>
    <w:rsid w:val="00C32CDC"/>
    <w:rsid w:val="00C32CE1"/>
    <w:rsid w:val="00C34E48"/>
    <w:rsid w:val="00C3540D"/>
    <w:rsid w:val="00C35FA4"/>
    <w:rsid w:val="00C36700"/>
    <w:rsid w:val="00C36F10"/>
    <w:rsid w:val="00C40640"/>
    <w:rsid w:val="00C408C1"/>
    <w:rsid w:val="00C40F07"/>
    <w:rsid w:val="00C40F35"/>
    <w:rsid w:val="00C4241B"/>
    <w:rsid w:val="00C42A34"/>
    <w:rsid w:val="00C43189"/>
    <w:rsid w:val="00C43B23"/>
    <w:rsid w:val="00C43EFD"/>
    <w:rsid w:val="00C447BA"/>
    <w:rsid w:val="00C450CB"/>
    <w:rsid w:val="00C455AD"/>
    <w:rsid w:val="00C455DC"/>
    <w:rsid w:val="00C465D6"/>
    <w:rsid w:val="00C46672"/>
    <w:rsid w:val="00C46EAD"/>
    <w:rsid w:val="00C46EF3"/>
    <w:rsid w:val="00C47A8E"/>
    <w:rsid w:val="00C512D6"/>
    <w:rsid w:val="00C5215E"/>
    <w:rsid w:val="00C52370"/>
    <w:rsid w:val="00C53223"/>
    <w:rsid w:val="00C53643"/>
    <w:rsid w:val="00C53818"/>
    <w:rsid w:val="00C53946"/>
    <w:rsid w:val="00C53D15"/>
    <w:rsid w:val="00C54093"/>
    <w:rsid w:val="00C54236"/>
    <w:rsid w:val="00C5445D"/>
    <w:rsid w:val="00C548D5"/>
    <w:rsid w:val="00C54AE9"/>
    <w:rsid w:val="00C5562C"/>
    <w:rsid w:val="00C55EA9"/>
    <w:rsid w:val="00C5655E"/>
    <w:rsid w:val="00C56C47"/>
    <w:rsid w:val="00C5724D"/>
    <w:rsid w:val="00C57D91"/>
    <w:rsid w:val="00C609DA"/>
    <w:rsid w:val="00C62083"/>
    <w:rsid w:val="00C6215B"/>
    <w:rsid w:val="00C621FA"/>
    <w:rsid w:val="00C6283F"/>
    <w:rsid w:val="00C62D08"/>
    <w:rsid w:val="00C631BF"/>
    <w:rsid w:val="00C6344D"/>
    <w:rsid w:val="00C634B1"/>
    <w:rsid w:val="00C644E2"/>
    <w:rsid w:val="00C65E54"/>
    <w:rsid w:val="00C66008"/>
    <w:rsid w:val="00C66575"/>
    <w:rsid w:val="00C66586"/>
    <w:rsid w:val="00C66F4D"/>
    <w:rsid w:val="00C671EE"/>
    <w:rsid w:val="00C6789F"/>
    <w:rsid w:val="00C7068B"/>
    <w:rsid w:val="00C70828"/>
    <w:rsid w:val="00C71001"/>
    <w:rsid w:val="00C71F33"/>
    <w:rsid w:val="00C72100"/>
    <w:rsid w:val="00C734DA"/>
    <w:rsid w:val="00C73697"/>
    <w:rsid w:val="00C737B8"/>
    <w:rsid w:val="00C737D6"/>
    <w:rsid w:val="00C73A94"/>
    <w:rsid w:val="00C74481"/>
    <w:rsid w:val="00C74FB2"/>
    <w:rsid w:val="00C75383"/>
    <w:rsid w:val="00C7572D"/>
    <w:rsid w:val="00C75CCF"/>
    <w:rsid w:val="00C75EA3"/>
    <w:rsid w:val="00C76247"/>
    <w:rsid w:val="00C76565"/>
    <w:rsid w:val="00C7669A"/>
    <w:rsid w:val="00C7682A"/>
    <w:rsid w:val="00C76C7E"/>
    <w:rsid w:val="00C76F0D"/>
    <w:rsid w:val="00C77474"/>
    <w:rsid w:val="00C801DD"/>
    <w:rsid w:val="00C804F0"/>
    <w:rsid w:val="00C80E00"/>
    <w:rsid w:val="00C81484"/>
    <w:rsid w:val="00C814A4"/>
    <w:rsid w:val="00C81A04"/>
    <w:rsid w:val="00C8206C"/>
    <w:rsid w:val="00C829A5"/>
    <w:rsid w:val="00C82A3B"/>
    <w:rsid w:val="00C82B0F"/>
    <w:rsid w:val="00C8325E"/>
    <w:rsid w:val="00C8328C"/>
    <w:rsid w:val="00C83451"/>
    <w:rsid w:val="00C83B89"/>
    <w:rsid w:val="00C84243"/>
    <w:rsid w:val="00C8441D"/>
    <w:rsid w:val="00C84572"/>
    <w:rsid w:val="00C84C21"/>
    <w:rsid w:val="00C85537"/>
    <w:rsid w:val="00C857CD"/>
    <w:rsid w:val="00C86777"/>
    <w:rsid w:val="00C8678A"/>
    <w:rsid w:val="00C87011"/>
    <w:rsid w:val="00C87180"/>
    <w:rsid w:val="00C87511"/>
    <w:rsid w:val="00C8756F"/>
    <w:rsid w:val="00C875C0"/>
    <w:rsid w:val="00C87900"/>
    <w:rsid w:val="00C9023D"/>
    <w:rsid w:val="00C902E6"/>
    <w:rsid w:val="00C908D8"/>
    <w:rsid w:val="00C90B6B"/>
    <w:rsid w:val="00C9152A"/>
    <w:rsid w:val="00C92541"/>
    <w:rsid w:val="00C926A3"/>
    <w:rsid w:val="00C92E43"/>
    <w:rsid w:val="00C92F72"/>
    <w:rsid w:val="00C93A9A"/>
    <w:rsid w:val="00C944C2"/>
    <w:rsid w:val="00C9473F"/>
    <w:rsid w:val="00C94C99"/>
    <w:rsid w:val="00C95854"/>
    <w:rsid w:val="00C95FC1"/>
    <w:rsid w:val="00C96465"/>
    <w:rsid w:val="00C970C0"/>
    <w:rsid w:val="00C979AC"/>
    <w:rsid w:val="00C97D33"/>
    <w:rsid w:val="00CA106B"/>
    <w:rsid w:val="00CA1287"/>
    <w:rsid w:val="00CA17B2"/>
    <w:rsid w:val="00CA1864"/>
    <w:rsid w:val="00CA1A34"/>
    <w:rsid w:val="00CA1AB2"/>
    <w:rsid w:val="00CA3263"/>
    <w:rsid w:val="00CA3DF1"/>
    <w:rsid w:val="00CA4EE5"/>
    <w:rsid w:val="00CA5445"/>
    <w:rsid w:val="00CA573A"/>
    <w:rsid w:val="00CA58B7"/>
    <w:rsid w:val="00CA5FEA"/>
    <w:rsid w:val="00CA6864"/>
    <w:rsid w:val="00CA69D1"/>
    <w:rsid w:val="00CA7FF6"/>
    <w:rsid w:val="00CB0A6A"/>
    <w:rsid w:val="00CB1776"/>
    <w:rsid w:val="00CB19D9"/>
    <w:rsid w:val="00CB21B6"/>
    <w:rsid w:val="00CB2D6A"/>
    <w:rsid w:val="00CB34A1"/>
    <w:rsid w:val="00CB3503"/>
    <w:rsid w:val="00CB4178"/>
    <w:rsid w:val="00CB4204"/>
    <w:rsid w:val="00CB4266"/>
    <w:rsid w:val="00CB42D0"/>
    <w:rsid w:val="00CB4EAC"/>
    <w:rsid w:val="00CB5C9F"/>
    <w:rsid w:val="00CB63D7"/>
    <w:rsid w:val="00CB64D5"/>
    <w:rsid w:val="00CB6C7C"/>
    <w:rsid w:val="00CB6C83"/>
    <w:rsid w:val="00CB6C9E"/>
    <w:rsid w:val="00CB6F6D"/>
    <w:rsid w:val="00CB7451"/>
    <w:rsid w:val="00CB779E"/>
    <w:rsid w:val="00CB7C52"/>
    <w:rsid w:val="00CB7C7B"/>
    <w:rsid w:val="00CC0CEC"/>
    <w:rsid w:val="00CC0D41"/>
    <w:rsid w:val="00CC1231"/>
    <w:rsid w:val="00CC1A85"/>
    <w:rsid w:val="00CC2C3A"/>
    <w:rsid w:val="00CC32DD"/>
    <w:rsid w:val="00CC3456"/>
    <w:rsid w:val="00CC42B4"/>
    <w:rsid w:val="00CC443E"/>
    <w:rsid w:val="00CC47B2"/>
    <w:rsid w:val="00CC4998"/>
    <w:rsid w:val="00CC4A80"/>
    <w:rsid w:val="00CC4E2C"/>
    <w:rsid w:val="00CC5922"/>
    <w:rsid w:val="00CC5EFD"/>
    <w:rsid w:val="00CC6430"/>
    <w:rsid w:val="00CC770F"/>
    <w:rsid w:val="00CC7FAB"/>
    <w:rsid w:val="00CD1AD0"/>
    <w:rsid w:val="00CD2029"/>
    <w:rsid w:val="00CD25B1"/>
    <w:rsid w:val="00CD2945"/>
    <w:rsid w:val="00CD39F1"/>
    <w:rsid w:val="00CD4895"/>
    <w:rsid w:val="00CD534E"/>
    <w:rsid w:val="00CD590C"/>
    <w:rsid w:val="00CD5AD6"/>
    <w:rsid w:val="00CD6223"/>
    <w:rsid w:val="00CD67A2"/>
    <w:rsid w:val="00CD6B3C"/>
    <w:rsid w:val="00CD6BE3"/>
    <w:rsid w:val="00CD6D3F"/>
    <w:rsid w:val="00CD7F1E"/>
    <w:rsid w:val="00CE218D"/>
    <w:rsid w:val="00CE25FD"/>
    <w:rsid w:val="00CE275A"/>
    <w:rsid w:val="00CE341B"/>
    <w:rsid w:val="00CE3EFF"/>
    <w:rsid w:val="00CE4046"/>
    <w:rsid w:val="00CE697C"/>
    <w:rsid w:val="00CF0A07"/>
    <w:rsid w:val="00CF0EC1"/>
    <w:rsid w:val="00CF13D6"/>
    <w:rsid w:val="00CF180B"/>
    <w:rsid w:val="00CF1818"/>
    <w:rsid w:val="00CF3547"/>
    <w:rsid w:val="00CF35EA"/>
    <w:rsid w:val="00CF4D37"/>
    <w:rsid w:val="00CF6379"/>
    <w:rsid w:val="00CF6997"/>
    <w:rsid w:val="00CF6CDD"/>
    <w:rsid w:val="00CF6E94"/>
    <w:rsid w:val="00CF79CF"/>
    <w:rsid w:val="00CF7CF7"/>
    <w:rsid w:val="00D00129"/>
    <w:rsid w:val="00D004C7"/>
    <w:rsid w:val="00D009ED"/>
    <w:rsid w:val="00D00A51"/>
    <w:rsid w:val="00D00FA5"/>
    <w:rsid w:val="00D01A65"/>
    <w:rsid w:val="00D01FEF"/>
    <w:rsid w:val="00D02C6A"/>
    <w:rsid w:val="00D035BB"/>
    <w:rsid w:val="00D043C7"/>
    <w:rsid w:val="00D04EDC"/>
    <w:rsid w:val="00D04F04"/>
    <w:rsid w:val="00D05457"/>
    <w:rsid w:val="00D055E1"/>
    <w:rsid w:val="00D0585D"/>
    <w:rsid w:val="00D05E87"/>
    <w:rsid w:val="00D06229"/>
    <w:rsid w:val="00D10BB8"/>
    <w:rsid w:val="00D10D70"/>
    <w:rsid w:val="00D11EBC"/>
    <w:rsid w:val="00D12128"/>
    <w:rsid w:val="00D12482"/>
    <w:rsid w:val="00D125A0"/>
    <w:rsid w:val="00D12623"/>
    <w:rsid w:val="00D12908"/>
    <w:rsid w:val="00D1334B"/>
    <w:rsid w:val="00D1431F"/>
    <w:rsid w:val="00D1531B"/>
    <w:rsid w:val="00D1571C"/>
    <w:rsid w:val="00D15A12"/>
    <w:rsid w:val="00D15E83"/>
    <w:rsid w:val="00D16367"/>
    <w:rsid w:val="00D166AC"/>
    <w:rsid w:val="00D1689E"/>
    <w:rsid w:val="00D17189"/>
    <w:rsid w:val="00D17DE7"/>
    <w:rsid w:val="00D2153D"/>
    <w:rsid w:val="00D2164C"/>
    <w:rsid w:val="00D21A65"/>
    <w:rsid w:val="00D2207F"/>
    <w:rsid w:val="00D224C4"/>
    <w:rsid w:val="00D227DB"/>
    <w:rsid w:val="00D229BE"/>
    <w:rsid w:val="00D22DC5"/>
    <w:rsid w:val="00D22E1D"/>
    <w:rsid w:val="00D23115"/>
    <w:rsid w:val="00D23897"/>
    <w:rsid w:val="00D23A4E"/>
    <w:rsid w:val="00D243C5"/>
    <w:rsid w:val="00D24AC2"/>
    <w:rsid w:val="00D24D03"/>
    <w:rsid w:val="00D25A02"/>
    <w:rsid w:val="00D26367"/>
    <w:rsid w:val="00D263C1"/>
    <w:rsid w:val="00D26677"/>
    <w:rsid w:val="00D2667E"/>
    <w:rsid w:val="00D26EE7"/>
    <w:rsid w:val="00D27DE2"/>
    <w:rsid w:val="00D30425"/>
    <w:rsid w:val="00D304DF"/>
    <w:rsid w:val="00D30B44"/>
    <w:rsid w:val="00D31724"/>
    <w:rsid w:val="00D31DC2"/>
    <w:rsid w:val="00D31FEF"/>
    <w:rsid w:val="00D3224C"/>
    <w:rsid w:val="00D337FC"/>
    <w:rsid w:val="00D339AF"/>
    <w:rsid w:val="00D33CA0"/>
    <w:rsid w:val="00D34823"/>
    <w:rsid w:val="00D34ECE"/>
    <w:rsid w:val="00D35CA5"/>
    <w:rsid w:val="00D37063"/>
    <w:rsid w:val="00D4039C"/>
    <w:rsid w:val="00D40957"/>
    <w:rsid w:val="00D40C37"/>
    <w:rsid w:val="00D414F6"/>
    <w:rsid w:val="00D43024"/>
    <w:rsid w:val="00D430BE"/>
    <w:rsid w:val="00D435F9"/>
    <w:rsid w:val="00D43789"/>
    <w:rsid w:val="00D44ECE"/>
    <w:rsid w:val="00D452CE"/>
    <w:rsid w:val="00D45CC8"/>
    <w:rsid w:val="00D4658D"/>
    <w:rsid w:val="00D46AA7"/>
    <w:rsid w:val="00D46C01"/>
    <w:rsid w:val="00D47481"/>
    <w:rsid w:val="00D47B7F"/>
    <w:rsid w:val="00D47BA2"/>
    <w:rsid w:val="00D50F0A"/>
    <w:rsid w:val="00D51526"/>
    <w:rsid w:val="00D51602"/>
    <w:rsid w:val="00D531BC"/>
    <w:rsid w:val="00D538AA"/>
    <w:rsid w:val="00D54238"/>
    <w:rsid w:val="00D54A70"/>
    <w:rsid w:val="00D54F64"/>
    <w:rsid w:val="00D55284"/>
    <w:rsid w:val="00D55938"/>
    <w:rsid w:val="00D559F3"/>
    <w:rsid w:val="00D5612F"/>
    <w:rsid w:val="00D56676"/>
    <w:rsid w:val="00D57526"/>
    <w:rsid w:val="00D575AF"/>
    <w:rsid w:val="00D577D5"/>
    <w:rsid w:val="00D6008B"/>
    <w:rsid w:val="00D606B6"/>
    <w:rsid w:val="00D60A06"/>
    <w:rsid w:val="00D60AA2"/>
    <w:rsid w:val="00D60EFB"/>
    <w:rsid w:val="00D622F0"/>
    <w:rsid w:val="00D625E8"/>
    <w:rsid w:val="00D628B7"/>
    <w:rsid w:val="00D62ABA"/>
    <w:rsid w:val="00D635E6"/>
    <w:rsid w:val="00D63959"/>
    <w:rsid w:val="00D63CAE"/>
    <w:rsid w:val="00D64247"/>
    <w:rsid w:val="00D6616E"/>
    <w:rsid w:val="00D66937"/>
    <w:rsid w:val="00D67002"/>
    <w:rsid w:val="00D67D6C"/>
    <w:rsid w:val="00D67F85"/>
    <w:rsid w:val="00D70531"/>
    <w:rsid w:val="00D70940"/>
    <w:rsid w:val="00D712BB"/>
    <w:rsid w:val="00D71524"/>
    <w:rsid w:val="00D72008"/>
    <w:rsid w:val="00D738A8"/>
    <w:rsid w:val="00D73FF7"/>
    <w:rsid w:val="00D745FC"/>
    <w:rsid w:val="00D74815"/>
    <w:rsid w:val="00D7547B"/>
    <w:rsid w:val="00D75496"/>
    <w:rsid w:val="00D75D21"/>
    <w:rsid w:val="00D760CA"/>
    <w:rsid w:val="00D76546"/>
    <w:rsid w:val="00D76B11"/>
    <w:rsid w:val="00D77236"/>
    <w:rsid w:val="00D776AD"/>
    <w:rsid w:val="00D7793B"/>
    <w:rsid w:val="00D77A41"/>
    <w:rsid w:val="00D801F6"/>
    <w:rsid w:val="00D81B18"/>
    <w:rsid w:val="00D82352"/>
    <w:rsid w:val="00D825FF"/>
    <w:rsid w:val="00D82891"/>
    <w:rsid w:val="00D83994"/>
    <w:rsid w:val="00D839C1"/>
    <w:rsid w:val="00D83D27"/>
    <w:rsid w:val="00D83FC5"/>
    <w:rsid w:val="00D83FF1"/>
    <w:rsid w:val="00D84800"/>
    <w:rsid w:val="00D85216"/>
    <w:rsid w:val="00D858AF"/>
    <w:rsid w:val="00D85C22"/>
    <w:rsid w:val="00D865C1"/>
    <w:rsid w:val="00D86705"/>
    <w:rsid w:val="00D90927"/>
    <w:rsid w:val="00D919A9"/>
    <w:rsid w:val="00D92161"/>
    <w:rsid w:val="00D9284C"/>
    <w:rsid w:val="00D93535"/>
    <w:rsid w:val="00D942FD"/>
    <w:rsid w:val="00D94475"/>
    <w:rsid w:val="00D94B34"/>
    <w:rsid w:val="00D95A00"/>
    <w:rsid w:val="00D96249"/>
    <w:rsid w:val="00D964F2"/>
    <w:rsid w:val="00D9652C"/>
    <w:rsid w:val="00D9697F"/>
    <w:rsid w:val="00D96FA3"/>
    <w:rsid w:val="00D971C3"/>
    <w:rsid w:val="00DA0099"/>
    <w:rsid w:val="00DA0561"/>
    <w:rsid w:val="00DA0A3B"/>
    <w:rsid w:val="00DA1BA9"/>
    <w:rsid w:val="00DA2986"/>
    <w:rsid w:val="00DA3966"/>
    <w:rsid w:val="00DA3A76"/>
    <w:rsid w:val="00DA65DF"/>
    <w:rsid w:val="00DA669D"/>
    <w:rsid w:val="00DA672C"/>
    <w:rsid w:val="00DA7404"/>
    <w:rsid w:val="00DA7A80"/>
    <w:rsid w:val="00DA7C04"/>
    <w:rsid w:val="00DB1EAE"/>
    <w:rsid w:val="00DB2AE8"/>
    <w:rsid w:val="00DB38F8"/>
    <w:rsid w:val="00DB3A62"/>
    <w:rsid w:val="00DB3EF0"/>
    <w:rsid w:val="00DB483B"/>
    <w:rsid w:val="00DB492E"/>
    <w:rsid w:val="00DB4EAD"/>
    <w:rsid w:val="00DB4FC7"/>
    <w:rsid w:val="00DB5407"/>
    <w:rsid w:val="00DB5499"/>
    <w:rsid w:val="00DB57EB"/>
    <w:rsid w:val="00DB6141"/>
    <w:rsid w:val="00DB6860"/>
    <w:rsid w:val="00DB6AA5"/>
    <w:rsid w:val="00DB6D63"/>
    <w:rsid w:val="00DB6F20"/>
    <w:rsid w:val="00DB71DC"/>
    <w:rsid w:val="00DB735A"/>
    <w:rsid w:val="00DC0851"/>
    <w:rsid w:val="00DC0C99"/>
    <w:rsid w:val="00DC179D"/>
    <w:rsid w:val="00DC1810"/>
    <w:rsid w:val="00DC185F"/>
    <w:rsid w:val="00DC329E"/>
    <w:rsid w:val="00DC3A6B"/>
    <w:rsid w:val="00DC3F25"/>
    <w:rsid w:val="00DC46B5"/>
    <w:rsid w:val="00DC49FB"/>
    <w:rsid w:val="00DC4D4E"/>
    <w:rsid w:val="00DC5025"/>
    <w:rsid w:val="00DC5046"/>
    <w:rsid w:val="00DC518B"/>
    <w:rsid w:val="00DC5307"/>
    <w:rsid w:val="00DC5CAF"/>
    <w:rsid w:val="00DC6AA0"/>
    <w:rsid w:val="00DC7E11"/>
    <w:rsid w:val="00DD18A0"/>
    <w:rsid w:val="00DD1CCD"/>
    <w:rsid w:val="00DD200E"/>
    <w:rsid w:val="00DD2243"/>
    <w:rsid w:val="00DD2BB4"/>
    <w:rsid w:val="00DD31A1"/>
    <w:rsid w:val="00DD3235"/>
    <w:rsid w:val="00DD380C"/>
    <w:rsid w:val="00DD3CB8"/>
    <w:rsid w:val="00DD3FE8"/>
    <w:rsid w:val="00DD4337"/>
    <w:rsid w:val="00DD47E9"/>
    <w:rsid w:val="00DD486C"/>
    <w:rsid w:val="00DD505F"/>
    <w:rsid w:val="00DD59F7"/>
    <w:rsid w:val="00DD5E96"/>
    <w:rsid w:val="00DD5FF5"/>
    <w:rsid w:val="00DD628F"/>
    <w:rsid w:val="00DD6A9D"/>
    <w:rsid w:val="00DD713B"/>
    <w:rsid w:val="00DD77B8"/>
    <w:rsid w:val="00DE04A2"/>
    <w:rsid w:val="00DE051A"/>
    <w:rsid w:val="00DE0A70"/>
    <w:rsid w:val="00DE0B2F"/>
    <w:rsid w:val="00DE0C22"/>
    <w:rsid w:val="00DE10B3"/>
    <w:rsid w:val="00DE18C2"/>
    <w:rsid w:val="00DE2112"/>
    <w:rsid w:val="00DE225E"/>
    <w:rsid w:val="00DE246C"/>
    <w:rsid w:val="00DE30B2"/>
    <w:rsid w:val="00DE3B11"/>
    <w:rsid w:val="00DE3E60"/>
    <w:rsid w:val="00DE441F"/>
    <w:rsid w:val="00DE444A"/>
    <w:rsid w:val="00DE535E"/>
    <w:rsid w:val="00DE5758"/>
    <w:rsid w:val="00DE5807"/>
    <w:rsid w:val="00DE715F"/>
    <w:rsid w:val="00DE7A48"/>
    <w:rsid w:val="00DF0378"/>
    <w:rsid w:val="00DF0938"/>
    <w:rsid w:val="00DF0943"/>
    <w:rsid w:val="00DF0EAC"/>
    <w:rsid w:val="00DF0FD1"/>
    <w:rsid w:val="00DF1188"/>
    <w:rsid w:val="00DF14D0"/>
    <w:rsid w:val="00DF1B11"/>
    <w:rsid w:val="00DF2C40"/>
    <w:rsid w:val="00DF37CA"/>
    <w:rsid w:val="00DF4245"/>
    <w:rsid w:val="00DF4507"/>
    <w:rsid w:val="00DF4648"/>
    <w:rsid w:val="00DF4E5E"/>
    <w:rsid w:val="00DF5400"/>
    <w:rsid w:val="00DF58D9"/>
    <w:rsid w:val="00DF6205"/>
    <w:rsid w:val="00DF75DB"/>
    <w:rsid w:val="00DF79C1"/>
    <w:rsid w:val="00DF7E41"/>
    <w:rsid w:val="00E00063"/>
    <w:rsid w:val="00E00525"/>
    <w:rsid w:val="00E00D5E"/>
    <w:rsid w:val="00E00E0E"/>
    <w:rsid w:val="00E01913"/>
    <w:rsid w:val="00E02310"/>
    <w:rsid w:val="00E02F1E"/>
    <w:rsid w:val="00E030E0"/>
    <w:rsid w:val="00E03578"/>
    <w:rsid w:val="00E03978"/>
    <w:rsid w:val="00E03A0F"/>
    <w:rsid w:val="00E04186"/>
    <w:rsid w:val="00E05BB7"/>
    <w:rsid w:val="00E05D76"/>
    <w:rsid w:val="00E05F57"/>
    <w:rsid w:val="00E05F8C"/>
    <w:rsid w:val="00E0622C"/>
    <w:rsid w:val="00E06F58"/>
    <w:rsid w:val="00E07806"/>
    <w:rsid w:val="00E07974"/>
    <w:rsid w:val="00E07EF1"/>
    <w:rsid w:val="00E10082"/>
    <w:rsid w:val="00E10578"/>
    <w:rsid w:val="00E10799"/>
    <w:rsid w:val="00E10AE9"/>
    <w:rsid w:val="00E11025"/>
    <w:rsid w:val="00E12D35"/>
    <w:rsid w:val="00E13619"/>
    <w:rsid w:val="00E13A3D"/>
    <w:rsid w:val="00E13D6B"/>
    <w:rsid w:val="00E14351"/>
    <w:rsid w:val="00E1438F"/>
    <w:rsid w:val="00E14411"/>
    <w:rsid w:val="00E146A2"/>
    <w:rsid w:val="00E146F6"/>
    <w:rsid w:val="00E15ACF"/>
    <w:rsid w:val="00E16385"/>
    <w:rsid w:val="00E16654"/>
    <w:rsid w:val="00E16B78"/>
    <w:rsid w:val="00E16EF2"/>
    <w:rsid w:val="00E17239"/>
    <w:rsid w:val="00E17425"/>
    <w:rsid w:val="00E17907"/>
    <w:rsid w:val="00E17940"/>
    <w:rsid w:val="00E17A4A"/>
    <w:rsid w:val="00E205C3"/>
    <w:rsid w:val="00E208DE"/>
    <w:rsid w:val="00E213F0"/>
    <w:rsid w:val="00E214F8"/>
    <w:rsid w:val="00E2155F"/>
    <w:rsid w:val="00E21863"/>
    <w:rsid w:val="00E21E06"/>
    <w:rsid w:val="00E237E9"/>
    <w:rsid w:val="00E23FE1"/>
    <w:rsid w:val="00E24280"/>
    <w:rsid w:val="00E24459"/>
    <w:rsid w:val="00E244CB"/>
    <w:rsid w:val="00E24917"/>
    <w:rsid w:val="00E25383"/>
    <w:rsid w:val="00E26A27"/>
    <w:rsid w:val="00E26D1F"/>
    <w:rsid w:val="00E275D9"/>
    <w:rsid w:val="00E2785A"/>
    <w:rsid w:val="00E27E6B"/>
    <w:rsid w:val="00E30010"/>
    <w:rsid w:val="00E3075A"/>
    <w:rsid w:val="00E308CC"/>
    <w:rsid w:val="00E30D1D"/>
    <w:rsid w:val="00E31517"/>
    <w:rsid w:val="00E32034"/>
    <w:rsid w:val="00E3219E"/>
    <w:rsid w:val="00E349D6"/>
    <w:rsid w:val="00E34A70"/>
    <w:rsid w:val="00E34C13"/>
    <w:rsid w:val="00E34C72"/>
    <w:rsid w:val="00E35CAF"/>
    <w:rsid w:val="00E36390"/>
    <w:rsid w:val="00E3680D"/>
    <w:rsid w:val="00E37829"/>
    <w:rsid w:val="00E37B8F"/>
    <w:rsid w:val="00E37C53"/>
    <w:rsid w:val="00E406D7"/>
    <w:rsid w:val="00E40C33"/>
    <w:rsid w:val="00E41472"/>
    <w:rsid w:val="00E41635"/>
    <w:rsid w:val="00E42546"/>
    <w:rsid w:val="00E4328F"/>
    <w:rsid w:val="00E4504A"/>
    <w:rsid w:val="00E453FA"/>
    <w:rsid w:val="00E454A7"/>
    <w:rsid w:val="00E457B3"/>
    <w:rsid w:val="00E45934"/>
    <w:rsid w:val="00E4608F"/>
    <w:rsid w:val="00E46146"/>
    <w:rsid w:val="00E46484"/>
    <w:rsid w:val="00E469A3"/>
    <w:rsid w:val="00E47A14"/>
    <w:rsid w:val="00E47E41"/>
    <w:rsid w:val="00E50D7C"/>
    <w:rsid w:val="00E51281"/>
    <w:rsid w:val="00E5137B"/>
    <w:rsid w:val="00E52286"/>
    <w:rsid w:val="00E5320C"/>
    <w:rsid w:val="00E532FE"/>
    <w:rsid w:val="00E53E18"/>
    <w:rsid w:val="00E554D3"/>
    <w:rsid w:val="00E5561F"/>
    <w:rsid w:val="00E556FE"/>
    <w:rsid w:val="00E55B18"/>
    <w:rsid w:val="00E562CF"/>
    <w:rsid w:val="00E56826"/>
    <w:rsid w:val="00E57257"/>
    <w:rsid w:val="00E57817"/>
    <w:rsid w:val="00E57A62"/>
    <w:rsid w:val="00E6032C"/>
    <w:rsid w:val="00E61102"/>
    <w:rsid w:val="00E61173"/>
    <w:rsid w:val="00E613F4"/>
    <w:rsid w:val="00E614A2"/>
    <w:rsid w:val="00E6174D"/>
    <w:rsid w:val="00E61FF4"/>
    <w:rsid w:val="00E6297E"/>
    <w:rsid w:val="00E6382D"/>
    <w:rsid w:val="00E63B18"/>
    <w:rsid w:val="00E64131"/>
    <w:rsid w:val="00E641B7"/>
    <w:rsid w:val="00E64280"/>
    <w:rsid w:val="00E64434"/>
    <w:rsid w:val="00E6543A"/>
    <w:rsid w:val="00E65524"/>
    <w:rsid w:val="00E655B0"/>
    <w:rsid w:val="00E65A6D"/>
    <w:rsid w:val="00E65FA4"/>
    <w:rsid w:val="00E66103"/>
    <w:rsid w:val="00E66150"/>
    <w:rsid w:val="00E67DA2"/>
    <w:rsid w:val="00E67ECF"/>
    <w:rsid w:val="00E70875"/>
    <w:rsid w:val="00E70E0F"/>
    <w:rsid w:val="00E70FCD"/>
    <w:rsid w:val="00E713D7"/>
    <w:rsid w:val="00E7150B"/>
    <w:rsid w:val="00E71589"/>
    <w:rsid w:val="00E71D04"/>
    <w:rsid w:val="00E71DCE"/>
    <w:rsid w:val="00E7238E"/>
    <w:rsid w:val="00E72F46"/>
    <w:rsid w:val="00E731D7"/>
    <w:rsid w:val="00E7360B"/>
    <w:rsid w:val="00E737B9"/>
    <w:rsid w:val="00E73E23"/>
    <w:rsid w:val="00E74645"/>
    <w:rsid w:val="00E746EB"/>
    <w:rsid w:val="00E74807"/>
    <w:rsid w:val="00E74D76"/>
    <w:rsid w:val="00E75AE3"/>
    <w:rsid w:val="00E75C87"/>
    <w:rsid w:val="00E7679F"/>
    <w:rsid w:val="00E76C9F"/>
    <w:rsid w:val="00E76EDD"/>
    <w:rsid w:val="00E774F1"/>
    <w:rsid w:val="00E77521"/>
    <w:rsid w:val="00E8024B"/>
    <w:rsid w:val="00E8117D"/>
    <w:rsid w:val="00E81236"/>
    <w:rsid w:val="00E8134A"/>
    <w:rsid w:val="00E81832"/>
    <w:rsid w:val="00E81CAA"/>
    <w:rsid w:val="00E82401"/>
    <w:rsid w:val="00E829C8"/>
    <w:rsid w:val="00E85403"/>
    <w:rsid w:val="00E8618B"/>
    <w:rsid w:val="00E86551"/>
    <w:rsid w:val="00E86F7D"/>
    <w:rsid w:val="00E8717A"/>
    <w:rsid w:val="00E87B74"/>
    <w:rsid w:val="00E90A09"/>
    <w:rsid w:val="00E90B8D"/>
    <w:rsid w:val="00E90FDD"/>
    <w:rsid w:val="00E91103"/>
    <w:rsid w:val="00E9143D"/>
    <w:rsid w:val="00E9278B"/>
    <w:rsid w:val="00E938A0"/>
    <w:rsid w:val="00E93994"/>
    <w:rsid w:val="00E93E61"/>
    <w:rsid w:val="00E93FAE"/>
    <w:rsid w:val="00E9495C"/>
    <w:rsid w:val="00E94F13"/>
    <w:rsid w:val="00E955A7"/>
    <w:rsid w:val="00E95AE9"/>
    <w:rsid w:val="00E96D42"/>
    <w:rsid w:val="00E9732B"/>
    <w:rsid w:val="00E976DB"/>
    <w:rsid w:val="00EA0A90"/>
    <w:rsid w:val="00EA2674"/>
    <w:rsid w:val="00EA274D"/>
    <w:rsid w:val="00EA2C0C"/>
    <w:rsid w:val="00EA39C8"/>
    <w:rsid w:val="00EA4785"/>
    <w:rsid w:val="00EA5115"/>
    <w:rsid w:val="00EA5256"/>
    <w:rsid w:val="00EA5359"/>
    <w:rsid w:val="00EA69E0"/>
    <w:rsid w:val="00EA6AFD"/>
    <w:rsid w:val="00EA6B64"/>
    <w:rsid w:val="00EA6F13"/>
    <w:rsid w:val="00EA7753"/>
    <w:rsid w:val="00EB0469"/>
    <w:rsid w:val="00EB0F68"/>
    <w:rsid w:val="00EB15B0"/>
    <w:rsid w:val="00EB179D"/>
    <w:rsid w:val="00EB1CF1"/>
    <w:rsid w:val="00EB211A"/>
    <w:rsid w:val="00EB21A3"/>
    <w:rsid w:val="00EB2798"/>
    <w:rsid w:val="00EB2F22"/>
    <w:rsid w:val="00EB44B6"/>
    <w:rsid w:val="00EB45C2"/>
    <w:rsid w:val="00EB4767"/>
    <w:rsid w:val="00EB4DB9"/>
    <w:rsid w:val="00EB551B"/>
    <w:rsid w:val="00EB5A77"/>
    <w:rsid w:val="00EB6124"/>
    <w:rsid w:val="00EB640C"/>
    <w:rsid w:val="00EB67B9"/>
    <w:rsid w:val="00EB69B5"/>
    <w:rsid w:val="00EB7ACF"/>
    <w:rsid w:val="00EB7B1A"/>
    <w:rsid w:val="00EC052D"/>
    <w:rsid w:val="00EC07A7"/>
    <w:rsid w:val="00EC0A89"/>
    <w:rsid w:val="00EC10BB"/>
    <w:rsid w:val="00EC14E1"/>
    <w:rsid w:val="00EC3467"/>
    <w:rsid w:val="00EC35AD"/>
    <w:rsid w:val="00EC3ABE"/>
    <w:rsid w:val="00EC43B1"/>
    <w:rsid w:val="00EC44ED"/>
    <w:rsid w:val="00EC4E90"/>
    <w:rsid w:val="00EC534E"/>
    <w:rsid w:val="00EC5974"/>
    <w:rsid w:val="00EC636F"/>
    <w:rsid w:val="00EC6986"/>
    <w:rsid w:val="00EC6EA6"/>
    <w:rsid w:val="00EC7264"/>
    <w:rsid w:val="00EC77E2"/>
    <w:rsid w:val="00EC7975"/>
    <w:rsid w:val="00EC7C76"/>
    <w:rsid w:val="00EC7F60"/>
    <w:rsid w:val="00ED0964"/>
    <w:rsid w:val="00ED0A8E"/>
    <w:rsid w:val="00ED120F"/>
    <w:rsid w:val="00ED1D90"/>
    <w:rsid w:val="00ED1ECE"/>
    <w:rsid w:val="00ED2A40"/>
    <w:rsid w:val="00ED2F45"/>
    <w:rsid w:val="00ED366C"/>
    <w:rsid w:val="00ED46DD"/>
    <w:rsid w:val="00ED4800"/>
    <w:rsid w:val="00ED553A"/>
    <w:rsid w:val="00ED5728"/>
    <w:rsid w:val="00ED5824"/>
    <w:rsid w:val="00ED5A0F"/>
    <w:rsid w:val="00ED6732"/>
    <w:rsid w:val="00ED6E5A"/>
    <w:rsid w:val="00ED78CF"/>
    <w:rsid w:val="00ED7E53"/>
    <w:rsid w:val="00ED7FA8"/>
    <w:rsid w:val="00EE0156"/>
    <w:rsid w:val="00EE0CB3"/>
    <w:rsid w:val="00EE0D2C"/>
    <w:rsid w:val="00EE0E13"/>
    <w:rsid w:val="00EE1168"/>
    <w:rsid w:val="00EE1F69"/>
    <w:rsid w:val="00EE296B"/>
    <w:rsid w:val="00EE2A79"/>
    <w:rsid w:val="00EE2AEB"/>
    <w:rsid w:val="00EE2DA1"/>
    <w:rsid w:val="00EE3155"/>
    <w:rsid w:val="00EE3CC5"/>
    <w:rsid w:val="00EE4B4B"/>
    <w:rsid w:val="00EE4BA9"/>
    <w:rsid w:val="00EE672A"/>
    <w:rsid w:val="00EE6932"/>
    <w:rsid w:val="00EE7AD2"/>
    <w:rsid w:val="00EE7E89"/>
    <w:rsid w:val="00EF0791"/>
    <w:rsid w:val="00EF0794"/>
    <w:rsid w:val="00EF0E46"/>
    <w:rsid w:val="00EF1013"/>
    <w:rsid w:val="00EF1B2C"/>
    <w:rsid w:val="00EF1FC9"/>
    <w:rsid w:val="00EF212A"/>
    <w:rsid w:val="00EF27C6"/>
    <w:rsid w:val="00EF37D0"/>
    <w:rsid w:val="00EF3FF3"/>
    <w:rsid w:val="00EF40DA"/>
    <w:rsid w:val="00EF4E7B"/>
    <w:rsid w:val="00EF55AE"/>
    <w:rsid w:val="00EF597F"/>
    <w:rsid w:val="00EF59C5"/>
    <w:rsid w:val="00EF5ABD"/>
    <w:rsid w:val="00EF651E"/>
    <w:rsid w:val="00EF659B"/>
    <w:rsid w:val="00EF66D6"/>
    <w:rsid w:val="00EF742A"/>
    <w:rsid w:val="00EF7628"/>
    <w:rsid w:val="00EF7C63"/>
    <w:rsid w:val="00EF7F9A"/>
    <w:rsid w:val="00F012DB"/>
    <w:rsid w:val="00F02460"/>
    <w:rsid w:val="00F02E9B"/>
    <w:rsid w:val="00F0370A"/>
    <w:rsid w:val="00F0498C"/>
    <w:rsid w:val="00F04B35"/>
    <w:rsid w:val="00F04EA2"/>
    <w:rsid w:val="00F04ED1"/>
    <w:rsid w:val="00F05CD7"/>
    <w:rsid w:val="00F0759E"/>
    <w:rsid w:val="00F076AB"/>
    <w:rsid w:val="00F11560"/>
    <w:rsid w:val="00F117AC"/>
    <w:rsid w:val="00F117EA"/>
    <w:rsid w:val="00F11E4B"/>
    <w:rsid w:val="00F1214E"/>
    <w:rsid w:val="00F12201"/>
    <w:rsid w:val="00F128E4"/>
    <w:rsid w:val="00F12B92"/>
    <w:rsid w:val="00F13339"/>
    <w:rsid w:val="00F13346"/>
    <w:rsid w:val="00F135AD"/>
    <w:rsid w:val="00F1375D"/>
    <w:rsid w:val="00F14381"/>
    <w:rsid w:val="00F14C5B"/>
    <w:rsid w:val="00F1546B"/>
    <w:rsid w:val="00F15ADF"/>
    <w:rsid w:val="00F15B2B"/>
    <w:rsid w:val="00F15CA6"/>
    <w:rsid w:val="00F17FBB"/>
    <w:rsid w:val="00F201A7"/>
    <w:rsid w:val="00F20232"/>
    <w:rsid w:val="00F21410"/>
    <w:rsid w:val="00F21860"/>
    <w:rsid w:val="00F21993"/>
    <w:rsid w:val="00F21E21"/>
    <w:rsid w:val="00F22611"/>
    <w:rsid w:val="00F22BF1"/>
    <w:rsid w:val="00F22D55"/>
    <w:rsid w:val="00F234E0"/>
    <w:rsid w:val="00F2421C"/>
    <w:rsid w:val="00F244B8"/>
    <w:rsid w:val="00F249D2"/>
    <w:rsid w:val="00F249FA"/>
    <w:rsid w:val="00F25086"/>
    <w:rsid w:val="00F257BD"/>
    <w:rsid w:val="00F25839"/>
    <w:rsid w:val="00F25B57"/>
    <w:rsid w:val="00F26030"/>
    <w:rsid w:val="00F26332"/>
    <w:rsid w:val="00F263EF"/>
    <w:rsid w:val="00F2739A"/>
    <w:rsid w:val="00F273C7"/>
    <w:rsid w:val="00F27755"/>
    <w:rsid w:val="00F3194F"/>
    <w:rsid w:val="00F31A4F"/>
    <w:rsid w:val="00F31B89"/>
    <w:rsid w:val="00F32C15"/>
    <w:rsid w:val="00F330C7"/>
    <w:rsid w:val="00F341E6"/>
    <w:rsid w:val="00F344A2"/>
    <w:rsid w:val="00F35C37"/>
    <w:rsid w:val="00F36DDF"/>
    <w:rsid w:val="00F36FBA"/>
    <w:rsid w:val="00F3742A"/>
    <w:rsid w:val="00F4159C"/>
    <w:rsid w:val="00F41704"/>
    <w:rsid w:val="00F41915"/>
    <w:rsid w:val="00F41A8D"/>
    <w:rsid w:val="00F44A38"/>
    <w:rsid w:val="00F44D75"/>
    <w:rsid w:val="00F44EE6"/>
    <w:rsid w:val="00F45C98"/>
    <w:rsid w:val="00F45D1D"/>
    <w:rsid w:val="00F461CE"/>
    <w:rsid w:val="00F471EA"/>
    <w:rsid w:val="00F47C15"/>
    <w:rsid w:val="00F51B1C"/>
    <w:rsid w:val="00F51C1B"/>
    <w:rsid w:val="00F5219B"/>
    <w:rsid w:val="00F5261A"/>
    <w:rsid w:val="00F5317F"/>
    <w:rsid w:val="00F54176"/>
    <w:rsid w:val="00F547EF"/>
    <w:rsid w:val="00F54C02"/>
    <w:rsid w:val="00F551A8"/>
    <w:rsid w:val="00F55627"/>
    <w:rsid w:val="00F55ECB"/>
    <w:rsid w:val="00F560C8"/>
    <w:rsid w:val="00F573AC"/>
    <w:rsid w:val="00F57A0A"/>
    <w:rsid w:val="00F60101"/>
    <w:rsid w:val="00F606DE"/>
    <w:rsid w:val="00F60D06"/>
    <w:rsid w:val="00F6132F"/>
    <w:rsid w:val="00F6173D"/>
    <w:rsid w:val="00F61812"/>
    <w:rsid w:val="00F61AA6"/>
    <w:rsid w:val="00F61B7C"/>
    <w:rsid w:val="00F61E7F"/>
    <w:rsid w:val="00F62144"/>
    <w:rsid w:val="00F62A68"/>
    <w:rsid w:val="00F62AC7"/>
    <w:rsid w:val="00F631A1"/>
    <w:rsid w:val="00F6367B"/>
    <w:rsid w:val="00F63830"/>
    <w:rsid w:val="00F63F75"/>
    <w:rsid w:val="00F64C87"/>
    <w:rsid w:val="00F64E46"/>
    <w:rsid w:val="00F64FE1"/>
    <w:rsid w:val="00F666B9"/>
    <w:rsid w:val="00F6713D"/>
    <w:rsid w:val="00F67406"/>
    <w:rsid w:val="00F7177A"/>
    <w:rsid w:val="00F71B06"/>
    <w:rsid w:val="00F71D07"/>
    <w:rsid w:val="00F731F1"/>
    <w:rsid w:val="00F754AA"/>
    <w:rsid w:val="00F75616"/>
    <w:rsid w:val="00F75C2B"/>
    <w:rsid w:val="00F75EC9"/>
    <w:rsid w:val="00F76B38"/>
    <w:rsid w:val="00F77680"/>
    <w:rsid w:val="00F80493"/>
    <w:rsid w:val="00F804AB"/>
    <w:rsid w:val="00F8052D"/>
    <w:rsid w:val="00F80D97"/>
    <w:rsid w:val="00F82195"/>
    <w:rsid w:val="00F824D8"/>
    <w:rsid w:val="00F84F31"/>
    <w:rsid w:val="00F85712"/>
    <w:rsid w:val="00F85EB4"/>
    <w:rsid w:val="00F85F21"/>
    <w:rsid w:val="00F862D5"/>
    <w:rsid w:val="00F8754B"/>
    <w:rsid w:val="00F87849"/>
    <w:rsid w:val="00F9043A"/>
    <w:rsid w:val="00F91531"/>
    <w:rsid w:val="00F92C44"/>
    <w:rsid w:val="00F946E4"/>
    <w:rsid w:val="00F95BE6"/>
    <w:rsid w:val="00F96C2C"/>
    <w:rsid w:val="00F97500"/>
    <w:rsid w:val="00F97B05"/>
    <w:rsid w:val="00F97B2D"/>
    <w:rsid w:val="00F97E81"/>
    <w:rsid w:val="00FA006E"/>
    <w:rsid w:val="00FA0975"/>
    <w:rsid w:val="00FA0F30"/>
    <w:rsid w:val="00FA1386"/>
    <w:rsid w:val="00FA1F75"/>
    <w:rsid w:val="00FA2343"/>
    <w:rsid w:val="00FA3355"/>
    <w:rsid w:val="00FA4B99"/>
    <w:rsid w:val="00FA4F9B"/>
    <w:rsid w:val="00FA54DA"/>
    <w:rsid w:val="00FA562A"/>
    <w:rsid w:val="00FA59E8"/>
    <w:rsid w:val="00FA6713"/>
    <w:rsid w:val="00FA6D3A"/>
    <w:rsid w:val="00FA7DF8"/>
    <w:rsid w:val="00FB12F6"/>
    <w:rsid w:val="00FB1ED6"/>
    <w:rsid w:val="00FB2792"/>
    <w:rsid w:val="00FB28F0"/>
    <w:rsid w:val="00FB475E"/>
    <w:rsid w:val="00FB512D"/>
    <w:rsid w:val="00FB5208"/>
    <w:rsid w:val="00FB5308"/>
    <w:rsid w:val="00FB561E"/>
    <w:rsid w:val="00FB58CB"/>
    <w:rsid w:val="00FB65C8"/>
    <w:rsid w:val="00FB7030"/>
    <w:rsid w:val="00FC02FB"/>
    <w:rsid w:val="00FC0853"/>
    <w:rsid w:val="00FC085A"/>
    <w:rsid w:val="00FC0937"/>
    <w:rsid w:val="00FC0A85"/>
    <w:rsid w:val="00FC1E68"/>
    <w:rsid w:val="00FC1FA2"/>
    <w:rsid w:val="00FC22ED"/>
    <w:rsid w:val="00FC248B"/>
    <w:rsid w:val="00FC2DE7"/>
    <w:rsid w:val="00FC3227"/>
    <w:rsid w:val="00FC36EB"/>
    <w:rsid w:val="00FC4575"/>
    <w:rsid w:val="00FC4618"/>
    <w:rsid w:val="00FC480C"/>
    <w:rsid w:val="00FC5321"/>
    <w:rsid w:val="00FC5461"/>
    <w:rsid w:val="00FC6AA4"/>
    <w:rsid w:val="00FC7020"/>
    <w:rsid w:val="00FC7A4D"/>
    <w:rsid w:val="00FC7D9F"/>
    <w:rsid w:val="00FD164F"/>
    <w:rsid w:val="00FD1BFB"/>
    <w:rsid w:val="00FD2E1F"/>
    <w:rsid w:val="00FD31B3"/>
    <w:rsid w:val="00FD3901"/>
    <w:rsid w:val="00FD3B58"/>
    <w:rsid w:val="00FD3EC0"/>
    <w:rsid w:val="00FD4081"/>
    <w:rsid w:val="00FD4462"/>
    <w:rsid w:val="00FD4F79"/>
    <w:rsid w:val="00FD58D9"/>
    <w:rsid w:val="00FD740B"/>
    <w:rsid w:val="00FD7827"/>
    <w:rsid w:val="00FD78C8"/>
    <w:rsid w:val="00FD797F"/>
    <w:rsid w:val="00FE2776"/>
    <w:rsid w:val="00FE29B9"/>
    <w:rsid w:val="00FE302B"/>
    <w:rsid w:val="00FE3403"/>
    <w:rsid w:val="00FE3679"/>
    <w:rsid w:val="00FE3CAB"/>
    <w:rsid w:val="00FE3EC0"/>
    <w:rsid w:val="00FE3FBD"/>
    <w:rsid w:val="00FE4581"/>
    <w:rsid w:val="00FE4C3C"/>
    <w:rsid w:val="00FE6578"/>
    <w:rsid w:val="00FE68BE"/>
    <w:rsid w:val="00FE730A"/>
    <w:rsid w:val="00FE74EA"/>
    <w:rsid w:val="00FE79ED"/>
    <w:rsid w:val="00FF0DD1"/>
    <w:rsid w:val="00FF10B9"/>
    <w:rsid w:val="00FF1358"/>
    <w:rsid w:val="00FF1982"/>
    <w:rsid w:val="00FF3AC3"/>
    <w:rsid w:val="00FF3B87"/>
    <w:rsid w:val="00FF4143"/>
    <w:rsid w:val="00FF4954"/>
    <w:rsid w:val="00FF54C6"/>
    <w:rsid w:val="00FF56F4"/>
    <w:rsid w:val="00FF5EE3"/>
    <w:rsid w:val="00FF6E8A"/>
    <w:rsid w:val="00FF70C8"/>
    <w:rsid w:val="00FF7BA2"/>
    <w:rsid w:val="00FF7F6E"/>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HTML Acronym"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B88"/>
    <w:pPr>
      <w:spacing w:before="240" w:after="40"/>
    </w:pPr>
    <w:rPr>
      <w:rFonts w:ascii="Times New Roman" w:hAnsi="Times New Roman"/>
      <w:sz w:val="24"/>
      <w:lang w:eastAsia="en-US"/>
    </w:rPr>
  </w:style>
  <w:style w:type="paragraph" w:styleId="Heading1">
    <w:name w:val="heading 1"/>
    <w:basedOn w:val="Normal"/>
    <w:link w:val="Heading1Char"/>
    <w:uiPriority w:val="99"/>
    <w:qFormat/>
    <w:rsid w:val="0022573C"/>
    <w:pPr>
      <w:spacing w:before="319" w:after="79"/>
      <w:jc w:val="center"/>
      <w:outlineLvl w:val="0"/>
    </w:pPr>
    <w:rPr>
      <w:rFonts w:eastAsia="Times New Roman"/>
      <w:b/>
      <w:bCs/>
      <w:kern w:val="36"/>
      <w:szCs w:val="23"/>
      <w:lang w:eastAsia="en-AU"/>
    </w:rPr>
  </w:style>
  <w:style w:type="paragraph" w:styleId="Heading2">
    <w:name w:val="heading 2"/>
    <w:basedOn w:val="Normal"/>
    <w:next w:val="Normal"/>
    <w:link w:val="Heading2Char"/>
    <w:uiPriority w:val="99"/>
    <w:qFormat/>
    <w:rsid w:val="00454BB3"/>
    <w:pPr>
      <w:keepNext/>
      <w:keepLines/>
      <w:pageBreakBefore/>
      <w:spacing w:after="0"/>
      <w:ind w:left="720" w:hanging="720"/>
      <w:outlineLvl w:val="1"/>
    </w:pPr>
    <w:rPr>
      <w:rFonts w:eastAsia="Times New Roman"/>
      <w:b/>
      <w:bCs/>
      <w:sz w:val="28"/>
      <w:szCs w:val="26"/>
    </w:rPr>
  </w:style>
  <w:style w:type="paragraph" w:styleId="Heading3">
    <w:name w:val="heading 3"/>
    <w:basedOn w:val="Normal"/>
    <w:next w:val="Normal"/>
    <w:link w:val="Heading3Char"/>
    <w:unhideWhenUsed/>
    <w:qFormat/>
    <w:locked/>
    <w:rsid w:val="003676B9"/>
    <w:pPr>
      <w:keepNext/>
      <w:keepLines/>
      <w:spacing w:before="480" w:after="0"/>
      <w:outlineLvl w:val="2"/>
    </w:pPr>
    <w:rPr>
      <w:rFonts w:eastAsiaTheme="majorEastAsia" w:cstheme="majorBidi"/>
      <w:b/>
      <w:bCs/>
    </w:rPr>
  </w:style>
  <w:style w:type="paragraph" w:styleId="Heading4">
    <w:name w:val="heading 4"/>
    <w:basedOn w:val="Normal"/>
    <w:next w:val="Normal"/>
    <w:link w:val="Heading4Char"/>
    <w:unhideWhenUsed/>
    <w:qFormat/>
    <w:locked/>
    <w:rsid w:val="009E219A"/>
    <w:pPr>
      <w:keepNext/>
      <w:keepLines/>
      <w:spacing w:after="120"/>
      <w:ind w:left="720" w:hanging="720"/>
      <w:outlineLvl w:val="3"/>
    </w:pPr>
    <w:rPr>
      <w:rFonts w:eastAsiaTheme="majorEastAsia" w:cstheme="majorBidi"/>
      <w:bCs/>
      <w:iCs/>
      <w:u w:val="single"/>
    </w:rPr>
  </w:style>
  <w:style w:type="paragraph" w:styleId="Heading5">
    <w:name w:val="heading 5"/>
    <w:basedOn w:val="Normal"/>
    <w:next w:val="Normal"/>
    <w:link w:val="Heading5Char"/>
    <w:unhideWhenUsed/>
    <w:qFormat/>
    <w:locked/>
    <w:rsid w:val="001E6B22"/>
    <w:pPr>
      <w:keepNext/>
      <w:keepLines/>
      <w:spacing w:before="360"/>
      <w:outlineLvl w:val="4"/>
    </w:pPr>
    <w:rPr>
      <w:rFonts w:eastAsiaTheme="majorEastAsia" w:cstheme="majorBidi"/>
      <w:i/>
    </w:rPr>
  </w:style>
  <w:style w:type="paragraph" w:styleId="Heading6">
    <w:name w:val="heading 6"/>
    <w:basedOn w:val="Normal"/>
    <w:next w:val="Normal"/>
    <w:link w:val="Heading6Char"/>
    <w:uiPriority w:val="99"/>
    <w:qFormat/>
    <w:rsid w:val="0061177F"/>
    <w:pPr>
      <w:keepNext/>
      <w:keepLines/>
      <w:spacing w:after="0"/>
      <w:outlineLvl w:val="5"/>
    </w:pPr>
    <w:rPr>
      <w:rFonts w:ascii="Cambria" w:eastAsia="Times New Roman" w:hAnsi="Cambria"/>
      <w:i/>
      <w:iCs/>
      <w:color w:val="243F60"/>
    </w:rPr>
  </w:style>
  <w:style w:type="paragraph" w:styleId="Heading7">
    <w:name w:val="heading 7"/>
    <w:basedOn w:val="Normal"/>
    <w:next w:val="Normal"/>
    <w:link w:val="Heading7Char"/>
    <w:uiPriority w:val="99"/>
    <w:semiHidden/>
    <w:unhideWhenUsed/>
    <w:qFormat/>
    <w:locked/>
    <w:rsid w:val="005E4D3A"/>
    <w:pPr>
      <w:tabs>
        <w:tab w:val="num" w:pos="5040"/>
      </w:tabs>
      <w:spacing w:after="60"/>
      <w:ind w:left="1296" w:hanging="288"/>
      <w:outlineLvl w:val="6"/>
    </w:pPr>
    <w:rPr>
      <w:rFonts w:eastAsia="Times New Roman"/>
      <w:szCs w:val="24"/>
      <w:lang w:eastAsia="en-AU"/>
    </w:rPr>
  </w:style>
  <w:style w:type="paragraph" w:styleId="Heading8">
    <w:name w:val="heading 8"/>
    <w:basedOn w:val="Normal"/>
    <w:next w:val="Normal"/>
    <w:link w:val="Heading8Char"/>
    <w:uiPriority w:val="99"/>
    <w:semiHidden/>
    <w:unhideWhenUsed/>
    <w:qFormat/>
    <w:locked/>
    <w:rsid w:val="005E4D3A"/>
    <w:pPr>
      <w:tabs>
        <w:tab w:val="num" w:pos="5760"/>
      </w:tabs>
      <w:spacing w:after="60"/>
      <w:ind w:left="1440" w:hanging="432"/>
      <w:outlineLvl w:val="7"/>
    </w:pPr>
    <w:rPr>
      <w:rFonts w:eastAsia="Times New Roman"/>
      <w:i/>
      <w:iCs/>
      <w:szCs w:val="24"/>
      <w:lang w:eastAsia="en-AU"/>
    </w:rPr>
  </w:style>
  <w:style w:type="paragraph" w:styleId="Heading9">
    <w:name w:val="heading 9"/>
    <w:basedOn w:val="Normal"/>
    <w:next w:val="Normal"/>
    <w:link w:val="Heading9Char"/>
    <w:uiPriority w:val="99"/>
    <w:semiHidden/>
    <w:unhideWhenUsed/>
    <w:qFormat/>
    <w:locked/>
    <w:rsid w:val="005E4D3A"/>
    <w:pPr>
      <w:tabs>
        <w:tab w:val="num" w:pos="6480"/>
      </w:tabs>
      <w:spacing w:after="60"/>
      <w:ind w:left="1584" w:hanging="144"/>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573C"/>
    <w:rPr>
      <w:rFonts w:ascii="Times New Roman" w:eastAsia="Times New Roman" w:hAnsi="Times New Roman"/>
      <w:b/>
      <w:bCs/>
      <w:kern w:val="36"/>
      <w:sz w:val="24"/>
      <w:szCs w:val="23"/>
    </w:rPr>
  </w:style>
  <w:style w:type="character" w:customStyle="1" w:styleId="Heading2Char">
    <w:name w:val="Heading 2 Char"/>
    <w:basedOn w:val="DefaultParagraphFont"/>
    <w:link w:val="Heading2"/>
    <w:uiPriority w:val="99"/>
    <w:locked/>
    <w:rsid w:val="00454BB3"/>
    <w:rPr>
      <w:rFonts w:ascii="Times New Roman" w:eastAsia="Times New Roman" w:hAnsi="Times New Roman"/>
      <w:b/>
      <w:bCs/>
      <w:sz w:val="28"/>
      <w:szCs w:val="26"/>
      <w:lang w:eastAsia="en-US"/>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ascii="Times New Roman" w:eastAsia="Times New Roman" w:hAnsi="Times New Roman"/>
      <w:sz w:val="24"/>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142E75"/>
    <w:pPr>
      <w:spacing w:before="120" w:after="0"/>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pPr>
    <w:rPr>
      <w:rFonts w:eastAsia="Times New Roman"/>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0D3B88"/>
    <w:pPr>
      <w:tabs>
        <w:tab w:val="right" w:pos="9072"/>
      </w:tabs>
      <w:spacing w:after="0"/>
    </w:pPr>
  </w:style>
  <w:style w:type="character" w:customStyle="1" w:styleId="HeaderChar">
    <w:name w:val="Header Char"/>
    <w:basedOn w:val="DefaultParagraphFont"/>
    <w:link w:val="Header"/>
    <w:uiPriority w:val="99"/>
    <w:locked/>
    <w:rsid w:val="000D3B88"/>
    <w:rPr>
      <w:rFonts w:ascii="Times New Roman" w:hAnsi="Times New Roman"/>
      <w:sz w:val="24"/>
      <w:lang w:eastAsia="en-US"/>
    </w:rPr>
  </w:style>
  <w:style w:type="paragraph" w:styleId="Footer">
    <w:name w:val="footer"/>
    <w:basedOn w:val="Normal"/>
    <w:link w:val="FooterChar"/>
    <w:uiPriority w:val="99"/>
    <w:rsid w:val="00B74B20"/>
    <w:pPr>
      <w:tabs>
        <w:tab w:val="center" w:pos="4513"/>
        <w:tab w:val="right" w:pos="9026"/>
      </w:tabs>
      <w:spacing w:after="0"/>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eastAsia="Times New Roman"/>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eastAsia="Times New Roman"/>
      <w:szCs w:val="24"/>
      <w:lang w:eastAsia="en-AU"/>
    </w:rPr>
  </w:style>
  <w:style w:type="paragraph" w:styleId="FootnoteText">
    <w:name w:val="footnote text"/>
    <w:basedOn w:val="Normal"/>
    <w:link w:val="FootnoteTextChar"/>
    <w:uiPriority w:val="99"/>
    <w:rsid w:val="005B4D4F"/>
    <w:pPr>
      <w:spacing w:after="0"/>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pPr>
    <w:rPr>
      <w:rFonts w:eastAsia="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ind w:left="964"/>
    </w:pPr>
    <w:rPr>
      <w:rFonts w:ascii="Arial" w:eastAsia="Times New Roman" w:hAnsi="Arial"/>
      <w:i/>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rsid w:val="00AB0E83"/>
    <w:rPr>
      <w:rFonts w:cs="Times New Roman"/>
    </w:rPr>
  </w:style>
  <w:style w:type="table" w:customStyle="1" w:styleId="TableGrid2">
    <w:name w:val="Table Grid2"/>
    <w:uiPriority w:val="99"/>
    <w:rsid w:val="00AB0E8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uiPriority w:val="99"/>
    <w:rsid w:val="008825E2"/>
    <w:pPr>
      <w:keepLines/>
      <w:tabs>
        <w:tab w:val="right" w:pos="1191"/>
      </w:tabs>
      <w:spacing w:before="60" w:after="0" w:line="260" w:lineRule="exact"/>
      <w:ind w:left="1418" w:hanging="1418"/>
      <w:jc w:val="both"/>
    </w:pPr>
    <w:rPr>
      <w:rFonts w:eastAsia="Times New Roman"/>
      <w:szCs w:val="24"/>
      <w:lang w:eastAsia="en-AU"/>
    </w:rPr>
  </w:style>
  <w:style w:type="paragraph" w:customStyle="1" w:styleId="HR">
    <w:name w:val="HR"/>
    <w:aliases w:val="Regulation Heading"/>
    <w:basedOn w:val="Normal"/>
    <w:next w:val="R1"/>
    <w:uiPriority w:val="99"/>
    <w:rsid w:val="00377653"/>
    <w:pPr>
      <w:keepNext/>
      <w:keepLines/>
      <w:spacing w:before="360" w:after="0"/>
      <w:ind w:left="964" w:hanging="964"/>
    </w:pPr>
    <w:rPr>
      <w:rFonts w:ascii="Arial" w:eastAsia="Times New Roman" w:hAnsi="Arial"/>
      <w:b/>
      <w:szCs w:val="24"/>
      <w:lang w:eastAsia="en-AU"/>
    </w:rPr>
  </w:style>
  <w:style w:type="paragraph" w:styleId="Revision">
    <w:name w:val="Revision"/>
    <w:hidden/>
    <w:uiPriority w:val="99"/>
    <w:semiHidden/>
    <w:rsid w:val="00661953"/>
    <w:rPr>
      <w:lang w:eastAsia="en-US"/>
    </w:rPr>
  </w:style>
  <w:style w:type="table" w:customStyle="1" w:styleId="LightGrid-Accent11">
    <w:name w:val="Light Grid - Accent 11"/>
    <w:uiPriority w:val="99"/>
    <w:rsid w:val="00D11EB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ascii="Times New Roman" w:eastAsia="Times New Roman" w:hAnsi="Times New Roman"/>
      <w:sz w:val="24"/>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eastAsia="Times New Roman"/>
      <w:szCs w:val="24"/>
      <w:lang w:eastAsia="en-AU"/>
    </w:rPr>
  </w:style>
  <w:style w:type="paragraph" w:customStyle="1" w:styleId="note">
    <w:name w:val="note"/>
    <w:basedOn w:val="Normal"/>
    <w:rsid w:val="0040605E"/>
    <w:pPr>
      <w:spacing w:before="100" w:beforeAutospacing="1" w:after="100" w:afterAutospacing="1"/>
    </w:pPr>
    <w:rPr>
      <w:rFonts w:eastAsia="Times New Roman"/>
      <w:szCs w:val="24"/>
      <w:lang w:eastAsia="en-AU"/>
    </w:rPr>
  </w:style>
  <w:style w:type="paragraph" w:styleId="BodyText">
    <w:name w:val="Body Text"/>
    <w:basedOn w:val="Normal"/>
    <w:link w:val="BodyTextChar"/>
    <w:uiPriority w:val="99"/>
    <w:rsid w:val="00507BF2"/>
    <w:pPr>
      <w:spacing w:after="120"/>
    </w:pPr>
    <w:rPr>
      <w:rFonts w:eastAsia="Times New Roman"/>
      <w:szCs w:val="24"/>
      <w:lang w:eastAsia="en-AU"/>
    </w:rPr>
  </w:style>
  <w:style w:type="character" w:customStyle="1" w:styleId="BodyTextChar">
    <w:name w:val="Body Text Char"/>
    <w:basedOn w:val="DefaultParagraphFont"/>
    <w:link w:val="BodyText"/>
    <w:uiPriority w:val="99"/>
    <w:rsid w:val="00507BF2"/>
    <w:rPr>
      <w:rFonts w:ascii="Times New Roman" w:eastAsia="Times New Roman" w:hAnsi="Times New Roman"/>
      <w:sz w:val="24"/>
      <w:szCs w:val="24"/>
    </w:rPr>
  </w:style>
  <w:style w:type="paragraph" w:customStyle="1" w:styleId="authors">
    <w:name w:val="authors"/>
    <w:basedOn w:val="Normal"/>
    <w:rsid w:val="00EF212A"/>
    <w:pPr>
      <w:spacing w:before="100" w:beforeAutospacing="1" w:after="100" w:afterAutospacing="1"/>
    </w:pPr>
    <w:rPr>
      <w:rFonts w:eastAsia="Times New Roman"/>
      <w:szCs w:val="24"/>
      <w:lang w:val="en-US"/>
    </w:rPr>
  </w:style>
  <w:style w:type="paragraph" w:customStyle="1" w:styleId="tDefn">
    <w:name w:val="t_Defn"/>
    <w:aliases w:val="Definition,dd"/>
    <w:basedOn w:val="Normal"/>
    <w:uiPriority w:val="99"/>
    <w:rsid w:val="000F052F"/>
    <w:pPr>
      <w:spacing w:before="80" w:after="100" w:line="260" w:lineRule="exact"/>
      <w:ind w:left="964"/>
      <w:jc w:val="both"/>
    </w:pPr>
    <w:rPr>
      <w:rFonts w:eastAsia="Times New Roman"/>
      <w:szCs w:val="24"/>
      <w:lang w:eastAsia="en-AU"/>
    </w:rPr>
  </w:style>
  <w:style w:type="paragraph" w:customStyle="1" w:styleId="tPara">
    <w:name w:val="t_Para"/>
    <w:basedOn w:val="Normal"/>
    <w:qFormat/>
    <w:rsid w:val="001A1A9A"/>
    <w:pPr>
      <w:keepLines/>
      <w:tabs>
        <w:tab w:val="right" w:pos="1531"/>
      </w:tabs>
      <w:spacing w:before="40" w:after="100" w:line="260" w:lineRule="exact"/>
      <w:ind w:left="1701" w:hanging="1701"/>
      <w:jc w:val="both"/>
    </w:pPr>
    <w:rPr>
      <w:rFonts w:eastAsia="Times New Roman"/>
      <w:szCs w:val="24"/>
      <w:lang w:eastAsia="en-AU"/>
    </w:rPr>
  </w:style>
  <w:style w:type="character" w:customStyle="1" w:styleId="Heading7Char">
    <w:name w:val="Heading 7 Char"/>
    <w:basedOn w:val="DefaultParagraphFont"/>
    <w:link w:val="Heading7"/>
    <w:uiPriority w:val="99"/>
    <w:semiHidden/>
    <w:rsid w:val="005E4D3A"/>
    <w:rPr>
      <w:rFonts w:ascii="Times New Roman" w:eastAsia="Times New Roman" w:hAnsi="Times New Roman"/>
      <w:sz w:val="24"/>
      <w:szCs w:val="24"/>
    </w:rPr>
  </w:style>
  <w:style w:type="character" w:customStyle="1" w:styleId="Heading8Char">
    <w:name w:val="Heading 8 Char"/>
    <w:basedOn w:val="DefaultParagraphFont"/>
    <w:link w:val="Heading8"/>
    <w:uiPriority w:val="99"/>
    <w:semiHidden/>
    <w:rsid w:val="005E4D3A"/>
    <w:rPr>
      <w:rFonts w:ascii="Times New Roman" w:eastAsia="Times New Roman" w:hAnsi="Times New Roman"/>
      <w:i/>
      <w:iCs/>
      <w:sz w:val="24"/>
      <w:szCs w:val="24"/>
    </w:rPr>
  </w:style>
  <w:style w:type="character" w:customStyle="1" w:styleId="Heading9Char">
    <w:name w:val="Heading 9 Char"/>
    <w:basedOn w:val="DefaultParagraphFont"/>
    <w:link w:val="Heading9"/>
    <w:uiPriority w:val="99"/>
    <w:semiHidden/>
    <w:rsid w:val="005E4D3A"/>
    <w:rPr>
      <w:rFonts w:ascii="Arial" w:eastAsia="Times New Roman" w:hAnsi="Arial" w:cs="Arial"/>
    </w:rPr>
  </w:style>
  <w:style w:type="paragraph" w:customStyle="1" w:styleId="noteDrafter">
    <w:name w:val="note_Drafter"/>
    <w:basedOn w:val="Normal"/>
    <w:qFormat/>
    <w:rsid w:val="005E4D3A"/>
    <w:pPr>
      <w:spacing w:before="80" w:after="80"/>
    </w:pPr>
    <w:rPr>
      <w:rFonts w:eastAsia="Times New Roman"/>
      <w:color w:val="0070C0"/>
      <w:szCs w:val="24"/>
      <w:lang w:eastAsia="en-AU"/>
    </w:rPr>
  </w:style>
  <w:style w:type="paragraph" w:customStyle="1" w:styleId="noteMain">
    <w:name w:val="note_Main"/>
    <w:basedOn w:val="Normal"/>
    <w:qFormat/>
    <w:rsid w:val="005E4D3A"/>
    <w:pPr>
      <w:keepLines/>
      <w:tabs>
        <w:tab w:val="right" w:pos="794"/>
      </w:tabs>
      <w:spacing w:before="80" w:after="100" w:line="220" w:lineRule="exact"/>
      <w:ind w:left="964" w:hanging="964"/>
      <w:jc w:val="both"/>
    </w:pPr>
    <w:rPr>
      <w:rFonts w:eastAsia="Times New Roman"/>
      <w:sz w:val="20"/>
      <w:szCs w:val="24"/>
      <w:lang w:eastAsia="en-AU"/>
    </w:rPr>
  </w:style>
  <w:style w:type="character" w:customStyle="1" w:styleId="charsectno0">
    <w:name w:val="charsectno"/>
    <w:basedOn w:val="DefaultParagraphFont"/>
    <w:rsid w:val="005E4D3A"/>
  </w:style>
  <w:style w:type="paragraph" w:customStyle="1" w:styleId="subsectionhead">
    <w:name w:val="subsectionhead"/>
    <w:basedOn w:val="Normal"/>
    <w:rsid w:val="00746D84"/>
    <w:pPr>
      <w:spacing w:before="100" w:beforeAutospacing="1" w:after="100" w:afterAutospacing="1"/>
    </w:pPr>
    <w:rPr>
      <w:rFonts w:eastAsia="Times New Roman"/>
      <w:szCs w:val="24"/>
      <w:lang w:eastAsia="en-AU"/>
    </w:rPr>
  </w:style>
  <w:style w:type="paragraph" w:customStyle="1" w:styleId="subsection">
    <w:name w:val="subsection"/>
    <w:aliases w:val="ss"/>
    <w:basedOn w:val="Normal"/>
    <w:qFormat/>
    <w:rsid w:val="00746D84"/>
    <w:pPr>
      <w:spacing w:before="100" w:beforeAutospacing="1" w:after="100" w:afterAutospacing="1"/>
    </w:pPr>
    <w:rPr>
      <w:rFonts w:eastAsia="Times New Roman"/>
      <w:szCs w:val="24"/>
      <w:lang w:eastAsia="en-AU"/>
    </w:rPr>
  </w:style>
  <w:style w:type="paragraph" w:customStyle="1" w:styleId="acthead5">
    <w:name w:val="acthead5"/>
    <w:basedOn w:val="Normal"/>
    <w:rsid w:val="00746D84"/>
    <w:pPr>
      <w:spacing w:before="100" w:beforeAutospacing="1" w:after="100" w:afterAutospacing="1"/>
    </w:pPr>
    <w:rPr>
      <w:rFonts w:eastAsia="Times New Roman"/>
      <w:szCs w:val="24"/>
      <w:lang w:eastAsia="en-AU"/>
    </w:rPr>
  </w:style>
  <w:style w:type="paragraph" w:customStyle="1" w:styleId="paragraph">
    <w:name w:val="paragraph"/>
    <w:aliases w:val="a"/>
    <w:basedOn w:val="Normal"/>
    <w:qFormat/>
    <w:rsid w:val="00746D84"/>
    <w:pPr>
      <w:spacing w:before="100" w:beforeAutospacing="1" w:after="100" w:afterAutospacing="1"/>
    </w:pPr>
    <w:rPr>
      <w:rFonts w:eastAsia="Times New Roman"/>
      <w:szCs w:val="24"/>
      <w:lang w:eastAsia="en-AU"/>
    </w:rPr>
  </w:style>
  <w:style w:type="paragraph" w:customStyle="1" w:styleId="hr0">
    <w:name w:val="hr"/>
    <w:basedOn w:val="Normal"/>
    <w:rsid w:val="00746D84"/>
    <w:pPr>
      <w:spacing w:before="100" w:beforeAutospacing="1" w:after="100" w:afterAutospacing="1"/>
    </w:pPr>
    <w:rPr>
      <w:rFonts w:eastAsia="Times New Roman"/>
      <w:szCs w:val="24"/>
      <w:lang w:eastAsia="en-AU"/>
    </w:rPr>
  </w:style>
  <w:style w:type="paragraph" w:customStyle="1" w:styleId="zr1">
    <w:name w:val="zr1"/>
    <w:basedOn w:val="Normal"/>
    <w:rsid w:val="00746D84"/>
    <w:pPr>
      <w:spacing w:before="100" w:beforeAutospacing="1" w:after="100" w:afterAutospacing="1"/>
    </w:pPr>
    <w:rPr>
      <w:rFonts w:eastAsia="Times New Roman"/>
      <w:szCs w:val="24"/>
      <w:lang w:eastAsia="en-AU"/>
    </w:rPr>
  </w:style>
  <w:style w:type="paragraph" w:customStyle="1" w:styleId="zp1">
    <w:name w:val="zp1"/>
    <w:basedOn w:val="Normal"/>
    <w:rsid w:val="00746D84"/>
    <w:pPr>
      <w:spacing w:before="100" w:beforeAutospacing="1" w:after="100" w:afterAutospacing="1"/>
    </w:pPr>
    <w:rPr>
      <w:rFonts w:eastAsia="Times New Roman"/>
      <w:szCs w:val="24"/>
      <w:lang w:eastAsia="en-AU"/>
    </w:rPr>
  </w:style>
  <w:style w:type="paragraph" w:customStyle="1" w:styleId="p2">
    <w:name w:val="p2"/>
    <w:basedOn w:val="Normal"/>
    <w:rsid w:val="00746D84"/>
    <w:pPr>
      <w:spacing w:before="100" w:beforeAutospacing="1" w:after="100" w:afterAutospacing="1"/>
    </w:pPr>
    <w:rPr>
      <w:rFonts w:eastAsia="Times New Roman"/>
      <w:szCs w:val="24"/>
      <w:lang w:eastAsia="en-AU"/>
    </w:rPr>
  </w:style>
  <w:style w:type="paragraph" w:customStyle="1" w:styleId="p10">
    <w:name w:val="p1"/>
    <w:basedOn w:val="Normal"/>
    <w:rsid w:val="00746D84"/>
    <w:pPr>
      <w:spacing w:before="100" w:beforeAutospacing="1" w:after="100" w:afterAutospacing="1"/>
    </w:pPr>
    <w:rPr>
      <w:rFonts w:eastAsia="Times New Roman"/>
      <w:szCs w:val="24"/>
      <w:lang w:eastAsia="en-AU"/>
    </w:rPr>
  </w:style>
  <w:style w:type="paragraph" w:customStyle="1" w:styleId="zr2">
    <w:name w:val="zr2"/>
    <w:basedOn w:val="Normal"/>
    <w:rsid w:val="00746D84"/>
    <w:pPr>
      <w:spacing w:before="100" w:beforeAutospacing="1" w:after="100" w:afterAutospacing="1"/>
    </w:pPr>
    <w:rPr>
      <w:rFonts w:eastAsia="Times New Roman"/>
      <w:szCs w:val="24"/>
      <w:lang w:eastAsia="en-AU"/>
    </w:rPr>
  </w:style>
  <w:style w:type="paragraph" w:customStyle="1" w:styleId="r10">
    <w:name w:val="r1"/>
    <w:basedOn w:val="Normal"/>
    <w:rsid w:val="003C77A7"/>
    <w:pPr>
      <w:spacing w:before="100" w:beforeAutospacing="1" w:after="100" w:afterAutospacing="1"/>
    </w:pPr>
    <w:rPr>
      <w:rFonts w:eastAsia="Times New Roman"/>
      <w:szCs w:val="24"/>
      <w:lang w:eastAsia="en-AU"/>
    </w:rPr>
  </w:style>
  <w:style w:type="paragraph" w:customStyle="1" w:styleId="tMain">
    <w:name w:val="t_Main"/>
    <w:basedOn w:val="Normal"/>
    <w:qFormat/>
    <w:rsid w:val="00F6132F"/>
    <w:pPr>
      <w:keepLines/>
      <w:tabs>
        <w:tab w:val="right" w:pos="794"/>
      </w:tabs>
      <w:spacing w:before="80" w:after="100" w:line="260" w:lineRule="exact"/>
      <w:ind w:left="964" w:hanging="964"/>
      <w:jc w:val="both"/>
    </w:pPr>
    <w:rPr>
      <w:rFonts w:eastAsia="Times New Roman"/>
      <w:szCs w:val="24"/>
      <w:lang w:eastAsia="en-AU"/>
    </w:rPr>
  </w:style>
  <w:style w:type="paragraph" w:customStyle="1" w:styleId="notePara">
    <w:name w:val="note_Para"/>
    <w:basedOn w:val="tPara"/>
    <w:qFormat/>
    <w:rsid w:val="00F6132F"/>
    <w:pPr>
      <w:spacing w:line="220" w:lineRule="exact"/>
    </w:pPr>
    <w:rPr>
      <w:sz w:val="20"/>
    </w:rPr>
  </w:style>
  <w:style w:type="paragraph" w:customStyle="1" w:styleId="p100">
    <w:name w:val="p10"/>
    <w:basedOn w:val="Normal"/>
    <w:rsid w:val="00EC534E"/>
    <w:pPr>
      <w:spacing w:before="100" w:beforeAutospacing="1" w:after="100" w:afterAutospacing="1"/>
    </w:pPr>
    <w:rPr>
      <w:rFonts w:eastAsia="Times New Roman"/>
      <w:szCs w:val="24"/>
      <w:lang w:eastAsia="en-AU"/>
    </w:rPr>
  </w:style>
  <w:style w:type="paragraph" w:customStyle="1" w:styleId="tSubpara">
    <w:name w:val="t_Subpara"/>
    <w:aliases w:val="paragraph(sub),aa"/>
    <w:basedOn w:val="Normal"/>
    <w:qFormat/>
    <w:rsid w:val="001A1A9A"/>
    <w:pPr>
      <w:keepLines/>
      <w:tabs>
        <w:tab w:val="right" w:pos="2211"/>
      </w:tabs>
      <w:spacing w:before="40" w:after="100" w:line="260" w:lineRule="exact"/>
      <w:ind w:left="2410" w:hanging="2410"/>
      <w:jc w:val="both"/>
    </w:pPr>
    <w:rPr>
      <w:rFonts w:eastAsia="Times New Roman"/>
      <w:szCs w:val="24"/>
      <w:lang w:eastAsia="en-AU"/>
    </w:rPr>
  </w:style>
  <w:style w:type="paragraph" w:customStyle="1" w:styleId="subsection2">
    <w:name w:val="subsection2"/>
    <w:aliases w:val="ss2"/>
    <w:basedOn w:val="Normal"/>
    <w:next w:val="subsection"/>
    <w:rsid w:val="003535EA"/>
    <w:pPr>
      <w:spacing w:after="0"/>
      <w:ind w:left="1134"/>
    </w:pPr>
    <w:rPr>
      <w:rFonts w:eastAsia="Times New Roman"/>
      <w:szCs w:val="20"/>
      <w:lang w:eastAsia="en-AU"/>
    </w:rPr>
  </w:style>
  <w:style w:type="character" w:customStyle="1" w:styleId="ListParagraphChar">
    <w:name w:val="List Paragraph Char"/>
    <w:basedOn w:val="DefaultParagraphFont"/>
    <w:link w:val="ListParagraph"/>
    <w:uiPriority w:val="34"/>
    <w:locked/>
    <w:rsid w:val="00142E75"/>
    <w:rPr>
      <w:rFonts w:ascii="Times New Roman" w:hAnsi="Times New Roman"/>
      <w:sz w:val="24"/>
      <w:lang w:eastAsia="en-US"/>
    </w:rPr>
  </w:style>
  <w:style w:type="character" w:styleId="PlaceholderText">
    <w:name w:val="Placeholder Text"/>
    <w:basedOn w:val="DefaultParagraphFont"/>
    <w:uiPriority w:val="99"/>
    <w:semiHidden/>
    <w:rsid w:val="006C2C19"/>
    <w:rPr>
      <w:color w:val="808080"/>
    </w:rPr>
  </w:style>
  <w:style w:type="character" w:customStyle="1" w:styleId="Heading4Char">
    <w:name w:val="Heading 4 Char"/>
    <w:basedOn w:val="DefaultParagraphFont"/>
    <w:link w:val="Heading4"/>
    <w:rsid w:val="009E219A"/>
    <w:rPr>
      <w:rFonts w:ascii="Times New Roman" w:eastAsiaTheme="majorEastAsia" w:hAnsi="Times New Roman" w:cstheme="majorBidi"/>
      <w:bCs/>
      <w:iCs/>
      <w:sz w:val="24"/>
      <w:u w:val="single"/>
      <w:lang w:eastAsia="en-US"/>
    </w:rPr>
  </w:style>
  <w:style w:type="character" w:customStyle="1" w:styleId="Heading3Char">
    <w:name w:val="Heading 3 Char"/>
    <w:basedOn w:val="DefaultParagraphFont"/>
    <w:link w:val="Heading3"/>
    <w:rsid w:val="003676B9"/>
    <w:rPr>
      <w:rFonts w:ascii="Times New Roman" w:eastAsiaTheme="majorEastAsia" w:hAnsi="Times New Roman" w:cstheme="majorBidi"/>
      <w:b/>
      <w:bCs/>
      <w:sz w:val="24"/>
      <w:lang w:eastAsia="en-US"/>
    </w:rPr>
  </w:style>
  <w:style w:type="paragraph" w:customStyle="1" w:styleId="paragraphsub">
    <w:name w:val="paragraphsub"/>
    <w:basedOn w:val="Normal"/>
    <w:rsid w:val="00D74815"/>
    <w:pPr>
      <w:spacing w:before="100" w:beforeAutospacing="1" w:after="100" w:afterAutospacing="1"/>
    </w:pPr>
    <w:rPr>
      <w:rFonts w:eastAsia="Times New Roman"/>
      <w:szCs w:val="24"/>
      <w:lang w:eastAsia="en-AU"/>
    </w:rPr>
  </w:style>
  <w:style w:type="character" w:customStyle="1" w:styleId="subsectionChar">
    <w:name w:val="subsection Char"/>
    <w:aliases w:val="ss Char"/>
    <w:locked/>
    <w:rsid w:val="0000125A"/>
    <w:rPr>
      <w:sz w:val="22"/>
    </w:rPr>
  </w:style>
  <w:style w:type="character" w:customStyle="1" w:styleId="Heading5Char">
    <w:name w:val="Heading 5 Char"/>
    <w:basedOn w:val="DefaultParagraphFont"/>
    <w:link w:val="Heading5"/>
    <w:rsid w:val="001E6B22"/>
    <w:rPr>
      <w:rFonts w:ascii="Times New Roman" w:eastAsiaTheme="majorEastAsia" w:hAnsi="Times New Roman" w:cstheme="majorBidi"/>
      <w:i/>
      <w:sz w:val="24"/>
      <w:lang w:eastAsia="en-US"/>
    </w:rPr>
  </w:style>
  <w:style w:type="character" w:customStyle="1" w:styleId="paragraphChar">
    <w:name w:val="paragraph Char"/>
    <w:aliases w:val="a Char"/>
    <w:basedOn w:val="DefaultParagraphFont"/>
    <w:locked/>
    <w:rsid w:val="00CC5922"/>
    <w:rPr>
      <w:sz w:val="22"/>
    </w:rPr>
  </w:style>
  <w:style w:type="paragraph" w:customStyle="1" w:styleId="h5Section">
    <w:name w:val="h5_Section"/>
    <w:aliases w:val="ActHead 5,s"/>
    <w:basedOn w:val="Normal"/>
    <w:next w:val="Normal"/>
    <w:qFormat/>
    <w:rsid w:val="00E61173"/>
    <w:pPr>
      <w:keepNext/>
      <w:keepLines/>
      <w:spacing w:before="280" w:after="0"/>
      <w:ind w:left="1134" w:hanging="1134"/>
      <w:outlineLvl w:val="4"/>
    </w:pPr>
    <w:rPr>
      <w:rFonts w:eastAsia="Times New Roman"/>
      <w:b/>
      <w:kern w:val="28"/>
      <w:szCs w:val="20"/>
      <w:lang w:eastAsia="en-AU"/>
    </w:rPr>
  </w:style>
  <w:style w:type="paragraph" w:customStyle="1" w:styleId="notetext">
    <w:name w:val="notetext"/>
    <w:basedOn w:val="Normal"/>
    <w:rsid w:val="007F0C64"/>
    <w:pPr>
      <w:spacing w:before="100" w:beforeAutospacing="1" w:after="100" w:afterAutospacing="1"/>
    </w:pPr>
    <w:rPr>
      <w:rFonts w:eastAsia="Times New Roman"/>
      <w:szCs w:val="24"/>
      <w:lang w:eastAsia="en-AU"/>
    </w:rPr>
  </w:style>
  <w:style w:type="character" w:customStyle="1" w:styleId="legtitle1">
    <w:name w:val="legtitle1"/>
    <w:basedOn w:val="DefaultParagraphFont"/>
    <w:rsid w:val="004E044B"/>
    <w:rPr>
      <w:rFonts w:ascii="Helvetica Neue" w:hAnsi="Helvetica Neue" w:hint="default"/>
      <w:b/>
      <w:bCs/>
      <w:color w:val="10418E"/>
      <w:sz w:val="40"/>
      <w:szCs w:val="40"/>
    </w:rPr>
  </w:style>
  <w:style w:type="paragraph" w:customStyle="1" w:styleId="Mormal">
    <w:name w:val="Mormal"/>
    <w:basedOn w:val="ListParagraph"/>
    <w:rsid w:val="008107C8"/>
    <w:pPr>
      <w:numPr>
        <w:numId w:val="3"/>
      </w:numPr>
      <w:spacing w:after="120"/>
    </w:pPr>
    <w:rPr>
      <w:szCs w:val="24"/>
    </w:rPr>
  </w:style>
  <w:style w:type="paragraph" w:customStyle="1" w:styleId="h4Subdiv">
    <w:name w:val="h4_Subdiv"/>
    <w:aliases w:val="ActHead 4,sd"/>
    <w:basedOn w:val="Normal"/>
    <w:next w:val="Normal"/>
    <w:qFormat/>
    <w:rsid w:val="003A46EF"/>
    <w:pPr>
      <w:keepNext/>
      <w:keepLines/>
      <w:spacing w:before="220" w:after="0"/>
      <w:ind w:left="1134" w:hanging="1134"/>
      <w:outlineLvl w:val="3"/>
    </w:pPr>
    <w:rPr>
      <w:rFonts w:eastAsia="Times New Roman"/>
      <w:b/>
      <w:kern w:val="28"/>
      <w:sz w:val="26"/>
      <w:szCs w:val="20"/>
      <w:lang w:eastAsia="en-AU"/>
    </w:rPr>
  </w:style>
  <w:style w:type="paragraph" w:customStyle="1" w:styleId="estext">
    <w:name w:val="estext"/>
    <w:basedOn w:val="Normal"/>
    <w:rsid w:val="00333ADA"/>
    <w:pPr>
      <w:spacing w:before="100" w:beforeAutospacing="1" w:after="100" w:afterAutospacing="1"/>
    </w:pPr>
    <w:rPr>
      <w:rFonts w:eastAsiaTheme="minorHAnsi"/>
      <w:szCs w:val="24"/>
      <w:lang w:eastAsia="en-AU"/>
    </w:rPr>
  </w:style>
  <w:style w:type="paragraph" w:customStyle="1" w:styleId="bullet1">
    <w:name w:val="bullet1"/>
    <w:basedOn w:val="Normal"/>
    <w:rsid w:val="00333ADA"/>
    <w:pPr>
      <w:spacing w:before="100" w:beforeAutospacing="1" w:after="100" w:afterAutospacing="1"/>
    </w:pPr>
    <w:rPr>
      <w:rFonts w:eastAsiaTheme="minorHAnsi"/>
      <w:szCs w:val="24"/>
      <w:lang w:eastAsia="en-AU"/>
    </w:rPr>
  </w:style>
  <w:style w:type="paragraph" w:customStyle="1" w:styleId="ESHeading">
    <w:name w:val="ES Heading"/>
    <w:basedOn w:val="Heading1"/>
    <w:next w:val="Normal"/>
    <w:link w:val="ESHeadingChar"/>
    <w:qFormat/>
    <w:rsid w:val="00230B25"/>
    <w:pPr>
      <w:keepNext/>
      <w:spacing w:before="360" w:after="120"/>
      <w:jc w:val="left"/>
    </w:pPr>
    <w:rPr>
      <w:rFonts w:eastAsia="Calibri"/>
      <w:color w:val="000000" w:themeColor="text1"/>
      <w:szCs w:val="24"/>
    </w:rPr>
  </w:style>
  <w:style w:type="character" w:customStyle="1" w:styleId="ESHeadingChar">
    <w:name w:val="ES Heading Char"/>
    <w:basedOn w:val="DefaultParagraphFont"/>
    <w:link w:val="ESHeading"/>
    <w:rsid w:val="00230B25"/>
    <w:rPr>
      <w:rFonts w:ascii="Times New Roman" w:hAnsi="Times New Roman"/>
      <w:b/>
      <w:bCs/>
      <w:color w:val="000000" w:themeColor="text1"/>
      <w:kern w:val="36"/>
      <w:sz w:val="24"/>
      <w:szCs w:val="24"/>
    </w:rPr>
  </w:style>
  <w:style w:type="paragraph" w:customStyle="1" w:styleId="ShortT">
    <w:name w:val="ShortT"/>
    <w:basedOn w:val="Normal"/>
    <w:next w:val="Normal"/>
    <w:qFormat/>
    <w:rsid w:val="00230B25"/>
    <w:pPr>
      <w:spacing w:before="0" w:after="0"/>
    </w:pPr>
    <w:rPr>
      <w:rFonts w:eastAsia="Times New Roman"/>
      <w:b/>
      <w:sz w:val="40"/>
      <w:szCs w:val="20"/>
      <w:lang w:eastAsia="en-AU"/>
    </w:rPr>
  </w:style>
  <w:style w:type="paragraph" w:customStyle="1" w:styleId="h1Chap">
    <w:name w:val="h1_Chap"/>
    <w:aliases w:val="ActHead 1"/>
    <w:basedOn w:val="Normal"/>
    <w:next w:val="Normal"/>
    <w:qFormat/>
    <w:rsid w:val="00202B01"/>
    <w:pPr>
      <w:keepNext/>
      <w:keepLines/>
      <w:pageBreakBefore/>
      <w:spacing w:before="0" w:after="0"/>
      <w:ind w:left="1134" w:hanging="1134"/>
      <w:outlineLvl w:val="0"/>
    </w:pPr>
    <w:rPr>
      <w:rFonts w:eastAsia="Times New Roman"/>
      <w:b/>
      <w:kern w:val="28"/>
      <w:sz w:val="36"/>
      <w:szCs w:val="20"/>
      <w:lang w:eastAsia="en-AU"/>
    </w:rPr>
  </w:style>
  <w:style w:type="paragraph" w:customStyle="1" w:styleId="h3Div">
    <w:name w:val="h3_Div"/>
    <w:aliases w:val="ActHead 3,d"/>
    <w:basedOn w:val="Normal"/>
    <w:next w:val="Normal"/>
    <w:qFormat/>
    <w:rsid w:val="003138AC"/>
    <w:pPr>
      <w:keepNext/>
      <w:keepLines/>
      <w:spacing w:after="0"/>
      <w:ind w:left="1134" w:hanging="1134"/>
      <w:outlineLvl w:val="2"/>
    </w:pPr>
    <w:rPr>
      <w:rFonts w:eastAsia="Times New Roman"/>
      <w:b/>
      <w:kern w:val="28"/>
      <w:sz w:val="28"/>
      <w:szCs w:val="20"/>
      <w:lang w:eastAsia="en-AU"/>
    </w:rPr>
  </w:style>
  <w:style w:type="paragraph" w:customStyle="1" w:styleId="Tabletext">
    <w:name w:val="Tabletext"/>
    <w:aliases w:val="tt"/>
    <w:basedOn w:val="Normal"/>
    <w:rsid w:val="00077CEE"/>
    <w:pPr>
      <w:spacing w:before="60" w:after="0" w:line="240" w:lineRule="atLeast"/>
    </w:pPr>
    <w:rPr>
      <w:rFonts w:eastAsia="Times New Roman"/>
      <w:sz w:val="20"/>
      <w:szCs w:val="20"/>
      <w:lang w:eastAsia="en-AU"/>
    </w:rPr>
  </w:style>
  <w:style w:type="paragraph" w:customStyle="1" w:styleId="TableHeading">
    <w:name w:val="TableHeading"/>
    <w:aliases w:val="th"/>
    <w:basedOn w:val="Normal"/>
    <w:next w:val="Tabletext"/>
    <w:rsid w:val="00077CEE"/>
    <w:pPr>
      <w:keepNext/>
      <w:spacing w:before="60" w:after="0" w:line="240" w:lineRule="atLeast"/>
    </w:pPr>
    <w:rPr>
      <w:rFonts w:eastAsia="Times New Roman"/>
      <w:b/>
      <w:sz w:val="20"/>
      <w:szCs w:val="20"/>
      <w:lang w:eastAsia="en-AU"/>
    </w:rPr>
  </w:style>
  <w:style w:type="paragraph" w:customStyle="1" w:styleId="nMain">
    <w:name w:val="n_Main"/>
    <w:aliases w:val="n,note(text)"/>
    <w:basedOn w:val="Normal"/>
    <w:qFormat/>
    <w:rsid w:val="00985DD2"/>
    <w:pPr>
      <w:spacing w:before="120" w:after="0"/>
      <w:ind w:left="1985" w:hanging="851"/>
    </w:pPr>
    <w:rPr>
      <w:rFonts w:eastAsia="Times New Roman"/>
      <w:sz w:val="18"/>
      <w:szCs w:val="20"/>
      <w:lang w:eastAsia="en-AU"/>
    </w:rPr>
  </w:style>
  <w:style w:type="paragraph" w:customStyle="1" w:styleId="tSubsub">
    <w:name w:val="t_Subsub"/>
    <w:aliases w:val="paragraph(sub-sub),aaa"/>
    <w:basedOn w:val="Normal"/>
    <w:qFormat/>
    <w:rsid w:val="00C15408"/>
    <w:pPr>
      <w:tabs>
        <w:tab w:val="right" w:pos="2722"/>
      </w:tabs>
      <w:spacing w:before="40" w:after="0"/>
      <w:ind w:left="2835" w:hanging="2835"/>
    </w:pPr>
    <w:rPr>
      <w:rFonts w:eastAsia="Times New Roman"/>
      <w:sz w:val="22"/>
      <w:szCs w:val="20"/>
      <w:lang w:eastAsia="en-AU"/>
    </w:rPr>
  </w:style>
  <w:style w:type="paragraph" w:styleId="ListBullet">
    <w:name w:val="List Bullet"/>
    <w:basedOn w:val="Normal"/>
    <w:uiPriority w:val="99"/>
    <w:unhideWhenUsed/>
    <w:rsid w:val="00C15408"/>
    <w:pPr>
      <w:numPr>
        <w:numId w:val="8"/>
      </w:numPr>
      <w:contextualSpacing/>
    </w:pPr>
  </w:style>
</w:styles>
</file>

<file path=word/webSettings.xml><?xml version="1.0" encoding="utf-8"?>
<w:webSettings xmlns:r="http://schemas.openxmlformats.org/officeDocument/2006/relationships" xmlns:w="http://schemas.openxmlformats.org/wordprocessingml/2006/main">
  <w:divs>
    <w:div w:id="135998315">
      <w:bodyDiv w:val="1"/>
      <w:marLeft w:val="0"/>
      <w:marRight w:val="0"/>
      <w:marTop w:val="0"/>
      <w:marBottom w:val="0"/>
      <w:divBdr>
        <w:top w:val="none" w:sz="0" w:space="0" w:color="auto"/>
        <w:left w:val="none" w:sz="0" w:space="0" w:color="auto"/>
        <w:bottom w:val="none" w:sz="0" w:space="0" w:color="auto"/>
        <w:right w:val="none" w:sz="0" w:space="0" w:color="auto"/>
      </w:divBdr>
      <w:divsChild>
        <w:div w:id="2029940090">
          <w:marLeft w:val="0"/>
          <w:marRight w:val="0"/>
          <w:marTop w:val="0"/>
          <w:marBottom w:val="0"/>
          <w:divBdr>
            <w:top w:val="none" w:sz="0" w:space="0" w:color="auto"/>
            <w:left w:val="none" w:sz="0" w:space="0" w:color="auto"/>
            <w:bottom w:val="none" w:sz="0" w:space="0" w:color="auto"/>
            <w:right w:val="none" w:sz="0" w:space="0" w:color="auto"/>
          </w:divBdr>
          <w:divsChild>
            <w:div w:id="376121677">
              <w:marLeft w:val="0"/>
              <w:marRight w:val="0"/>
              <w:marTop w:val="0"/>
              <w:marBottom w:val="0"/>
              <w:divBdr>
                <w:top w:val="none" w:sz="0" w:space="0" w:color="auto"/>
                <w:left w:val="none" w:sz="0" w:space="0" w:color="auto"/>
                <w:bottom w:val="none" w:sz="0" w:space="0" w:color="auto"/>
                <w:right w:val="none" w:sz="0" w:space="0" w:color="auto"/>
              </w:divBdr>
              <w:divsChild>
                <w:div w:id="22559395">
                  <w:marLeft w:val="0"/>
                  <w:marRight w:val="0"/>
                  <w:marTop w:val="0"/>
                  <w:marBottom w:val="0"/>
                  <w:divBdr>
                    <w:top w:val="none" w:sz="0" w:space="0" w:color="auto"/>
                    <w:left w:val="none" w:sz="0" w:space="0" w:color="auto"/>
                    <w:bottom w:val="none" w:sz="0" w:space="0" w:color="auto"/>
                    <w:right w:val="none" w:sz="0" w:space="0" w:color="auto"/>
                  </w:divBdr>
                  <w:divsChild>
                    <w:div w:id="2081780464">
                      <w:marLeft w:val="0"/>
                      <w:marRight w:val="0"/>
                      <w:marTop w:val="0"/>
                      <w:marBottom w:val="0"/>
                      <w:divBdr>
                        <w:top w:val="none" w:sz="0" w:space="0" w:color="auto"/>
                        <w:left w:val="none" w:sz="0" w:space="0" w:color="auto"/>
                        <w:bottom w:val="none" w:sz="0" w:space="0" w:color="auto"/>
                        <w:right w:val="none" w:sz="0" w:space="0" w:color="auto"/>
                      </w:divBdr>
                      <w:divsChild>
                        <w:div w:id="911239756">
                          <w:marLeft w:val="0"/>
                          <w:marRight w:val="0"/>
                          <w:marTop w:val="0"/>
                          <w:marBottom w:val="0"/>
                          <w:divBdr>
                            <w:top w:val="single" w:sz="6" w:space="0" w:color="828282"/>
                            <w:left w:val="single" w:sz="6" w:space="0" w:color="828282"/>
                            <w:bottom w:val="single" w:sz="6" w:space="0" w:color="828282"/>
                            <w:right w:val="single" w:sz="6" w:space="0" w:color="828282"/>
                          </w:divBdr>
                          <w:divsChild>
                            <w:div w:id="2026470393">
                              <w:marLeft w:val="0"/>
                              <w:marRight w:val="0"/>
                              <w:marTop w:val="0"/>
                              <w:marBottom w:val="0"/>
                              <w:divBdr>
                                <w:top w:val="none" w:sz="0" w:space="0" w:color="auto"/>
                                <w:left w:val="none" w:sz="0" w:space="0" w:color="auto"/>
                                <w:bottom w:val="none" w:sz="0" w:space="0" w:color="auto"/>
                                <w:right w:val="none" w:sz="0" w:space="0" w:color="auto"/>
                              </w:divBdr>
                              <w:divsChild>
                                <w:div w:id="616988644">
                                  <w:marLeft w:val="0"/>
                                  <w:marRight w:val="0"/>
                                  <w:marTop w:val="0"/>
                                  <w:marBottom w:val="0"/>
                                  <w:divBdr>
                                    <w:top w:val="none" w:sz="0" w:space="0" w:color="auto"/>
                                    <w:left w:val="none" w:sz="0" w:space="0" w:color="auto"/>
                                    <w:bottom w:val="none" w:sz="0" w:space="0" w:color="auto"/>
                                    <w:right w:val="none" w:sz="0" w:space="0" w:color="auto"/>
                                  </w:divBdr>
                                  <w:divsChild>
                                    <w:div w:id="1824546146">
                                      <w:marLeft w:val="0"/>
                                      <w:marRight w:val="0"/>
                                      <w:marTop w:val="0"/>
                                      <w:marBottom w:val="0"/>
                                      <w:divBdr>
                                        <w:top w:val="none" w:sz="0" w:space="0" w:color="auto"/>
                                        <w:left w:val="none" w:sz="0" w:space="0" w:color="auto"/>
                                        <w:bottom w:val="none" w:sz="0" w:space="0" w:color="auto"/>
                                        <w:right w:val="none" w:sz="0" w:space="0" w:color="auto"/>
                                      </w:divBdr>
                                      <w:divsChild>
                                        <w:div w:id="1615164403">
                                          <w:marLeft w:val="0"/>
                                          <w:marRight w:val="0"/>
                                          <w:marTop w:val="0"/>
                                          <w:marBottom w:val="0"/>
                                          <w:divBdr>
                                            <w:top w:val="none" w:sz="0" w:space="0" w:color="auto"/>
                                            <w:left w:val="none" w:sz="0" w:space="0" w:color="auto"/>
                                            <w:bottom w:val="none" w:sz="0" w:space="0" w:color="auto"/>
                                            <w:right w:val="none" w:sz="0" w:space="0" w:color="auto"/>
                                          </w:divBdr>
                                          <w:divsChild>
                                            <w:div w:id="1477261445">
                                              <w:marLeft w:val="0"/>
                                              <w:marRight w:val="0"/>
                                              <w:marTop w:val="0"/>
                                              <w:marBottom w:val="0"/>
                                              <w:divBdr>
                                                <w:top w:val="none" w:sz="0" w:space="0" w:color="auto"/>
                                                <w:left w:val="none" w:sz="0" w:space="0" w:color="auto"/>
                                                <w:bottom w:val="none" w:sz="0" w:space="0" w:color="auto"/>
                                                <w:right w:val="none" w:sz="0" w:space="0" w:color="auto"/>
                                              </w:divBdr>
                                              <w:divsChild>
                                                <w:div w:id="12131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09494">
      <w:bodyDiv w:val="1"/>
      <w:marLeft w:val="0"/>
      <w:marRight w:val="0"/>
      <w:marTop w:val="0"/>
      <w:marBottom w:val="0"/>
      <w:divBdr>
        <w:top w:val="none" w:sz="0" w:space="0" w:color="auto"/>
        <w:left w:val="none" w:sz="0" w:space="0" w:color="auto"/>
        <w:bottom w:val="none" w:sz="0" w:space="0" w:color="auto"/>
        <w:right w:val="none" w:sz="0" w:space="0" w:color="auto"/>
      </w:divBdr>
      <w:divsChild>
        <w:div w:id="51387934">
          <w:marLeft w:val="0"/>
          <w:marRight w:val="0"/>
          <w:marTop w:val="0"/>
          <w:marBottom w:val="0"/>
          <w:divBdr>
            <w:top w:val="none" w:sz="0" w:space="0" w:color="auto"/>
            <w:left w:val="none" w:sz="0" w:space="0" w:color="auto"/>
            <w:bottom w:val="none" w:sz="0" w:space="0" w:color="auto"/>
            <w:right w:val="none" w:sz="0" w:space="0" w:color="auto"/>
          </w:divBdr>
          <w:divsChild>
            <w:div w:id="957182560">
              <w:marLeft w:val="0"/>
              <w:marRight w:val="0"/>
              <w:marTop w:val="0"/>
              <w:marBottom w:val="0"/>
              <w:divBdr>
                <w:top w:val="none" w:sz="0" w:space="0" w:color="auto"/>
                <w:left w:val="none" w:sz="0" w:space="0" w:color="auto"/>
                <w:bottom w:val="none" w:sz="0" w:space="0" w:color="auto"/>
                <w:right w:val="none" w:sz="0" w:space="0" w:color="auto"/>
              </w:divBdr>
              <w:divsChild>
                <w:div w:id="1840346926">
                  <w:marLeft w:val="0"/>
                  <w:marRight w:val="0"/>
                  <w:marTop w:val="0"/>
                  <w:marBottom w:val="0"/>
                  <w:divBdr>
                    <w:top w:val="none" w:sz="0" w:space="0" w:color="auto"/>
                    <w:left w:val="none" w:sz="0" w:space="0" w:color="auto"/>
                    <w:bottom w:val="none" w:sz="0" w:space="0" w:color="auto"/>
                    <w:right w:val="none" w:sz="0" w:space="0" w:color="auto"/>
                  </w:divBdr>
                  <w:divsChild>
                    <w:div w:id="1694762431">
                      <w:marLeft w:val="0"/>
                      <w:marRight w:val="0"/>
                      <w:marTop w:val="0"/>
                      <w:marBottom w:val="0"/>
                      <w:divBdr>
                        <w:top w:val="none" w:sz="0" w:space="0" w:color="auto"/>
                        <w:left w:val="none" w:sz="0" w:space="0" w:color="auto"/>
                        <w:bottom w:val="none" w:sz="0" w:space="0" w:color="auto"/>
                        <w:right w:val="none" w:sz="0" w:space="0" w:color="auto"/>
                      </w:divBdr>
                      <w:divsChild>
                        <w:div w:id="897128899">
                          <w:marLeft w:val="0"/>
                          <w:marRight w:val="0"/>
                          <w:marTop w:val="0"/>
                          <w:marBottom w:val="0"/>
                          <w:divBdr>
                            <w:top w:val="single" w:sz="6" w:space="0" w:color="828282"/>
                            <w:left w:val="single" w:sz="6" w:space="0" w:color="828282"/>
                            <w:bottom w:val="single" w:sz="6" w:space="0" w:color="828282"/>
                            <w:right w:val="single" w:sz="6" w:space="0" w:color="828282"/>
                          </w:divBdr>
                          <w:divsChild>
                            <w:div w:id="1531643088">
                              <w:marLeft w:val="0"/>
                              <w:marRight w:val="0"/>
                              <w:marTop w:val="0"/>
                              <w:marBottom w:val="0"/>
                              <w:divBdr>
                                <w:top w:val="none" w:sz="0" w:space="0" w:color="auto"/>
                                <w:left w:val="none" w:sz="0" w:space="0" w:color="auto"/>
                                <w:bottom w:val="none" w:sz="0" w:space="0" w:color="auto"/>
                                <w:right w:val="none" w:sz="0" w:space="0" w:color="auto"/>
                              </w:divBdr>
                              <w:divsChild>
                                <w:div w:id="1737506766">
                                  <w:marLeft w:val="0"/>
                                  <w:marRight w:val="0"/>
                                  <w:marTop w:val="0"/>
                                  <w:marBottom w:val="0"/>
                                  <w:divBdr>
                                    <w:top w:val="none" w:sz="0" w:space="0" w:color="auto"/>
                                    <w:left w:val="none" w:sz="0" w:space="0" w:color="auto"/>
                                    <w:bottom w:val="none" w:sz="0" w:space="0" w:color="auto"/>
                                    <w:right w:val="none" w:sz="0" w:space="0" w:color="auto"/>
                                  </w:divBdr>
                                  <w:divsChild>
                                    <w:div w:id="8148483">
                                      <w:marLeft w:val="0"/>
                                      <w:marRight w:val="0"/>
                                      <w:marTop w:val="0"/>
                                      <w:marBottom w:val="0"/>
                                      <w:divBdr>
                                        <w:top w:val="none" w:sz="0" w:space="0" w:color="auto"/>
                                        <w:left w:val="none" w:sz="0" w:space="0" w:color="auto"/>
                                        <w:bottom w:val="none" w:sz="0" w:space="0" w:color="auto"/>
                                        <w:right w:val="none" w:sz="0" w:space="0" w:color="auto"/>
                                      </w:divBdr>
                                      <w:divsChild>
                                        <w:div w:id="1390762918">
                                          <w:marLeft w:val="0"/>
                                          <w:marRight w:val="0"/>
                                          <w:marTop w:val="0"/>
                                          <w:marBottom w:val="0"/>
                                          <w:divBdr>
                                            <w:top w:val="none" w:sz="0" w:space="0" w:color="auto"/>
                                            <w:left w:val="none" w:sz="0" w:space="0" w:color="auto"/>
                                            <w:bottom w:val="none" w:sz="0" w:space="0" w:color="auto"/>
                                            <w:right w:val="none" w:sz="0" w:space="0" w:color="auto"/>
                                          </w:divBdr>
                                          <w:divsChild>
                                            <w:div w:id="116071772">
                                              <w:marLeft w:val="0"/>
                                              <w:marRight w:val="0"/>
                                              <w:marTop w:val="0"/>
                                              <w:marBottom w:val="0"/>
                                              <w:divBdr>
                                                <w:top w:val="none" w:sz="0" w:space="0" w:color="auto"/>
                                                <w:left w:val="none" w:sz="0" w:space="0" w:color="auto"/>
                                                <w:bottom w:val="none" w:sz="0" w:space="0" w:color="auto"/>
                                                <w:right w:val="none" w:sz="0" w:space="0" w:color="auto"/>
                                              </w:divBdr>
                                              <w:divsChild>
                                                <w:div w:id="827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13325">
      <w:bodyDiv w:val="1"/>
      <w:marLeft w:val="0"/>
      <w:marRight w:val="0"/>
      <w:marTop w:val="0"/>
      <w:marBottom w:val="0"/>
      <w:divBdr>
        <w:top w:val="none" w:sz="0" w:space="0" w:color="auto"/>
        <w:left w:val="none" w:sz="0" w:space="0" w:color="auto"/>
        <w:bottom w:val="none" w:sz="0" w:space="0" w:color="auto"/>
        <w:right w:val="none" w:sz="0" w:space="0" w:color="auto"/>
      </w:divBdr>
      <w:divsChild>
        <w:div w:id="78530428">
          <w:marLeft w:val="0"/>
          <w:marRight w:val="0"/>
          <w:marTop w:val="0"/>
          <w:marBottom w:val="0"/>
          <w:divBdr>
            <w:top w:val="none" w:sz="0" w:space="0" w:color="auto"/>
            <w:left w:val="none" w:sz="0" w:space="0" w:color="auto"/>
            <w:bottom w:val="none" w:sz="0" w:space="0" w:color="auto"/>
            <w:right w:val="none" w:sz="0" w:space="0" w:color="auto"/>
          </w:divBdr>
          <w:divsChild>
            <w:div w:id="1259485558">
              <w:marLeft w:val="0"/>
              <w:marRight w:val="0"/>
              <w:marTop w:val="0"/>
              <w:marBottom w:val="0"/>
              <w:divBdr>
                <w:top w:val="none" w:sz="0" w:space="0" w:color="auto"/>
                <w:left w:val="none" w:sz="0" w:space="0" w:color="auto"/>
                <w:bottom w:val="none" w:sz="0" w:space="0" w:color="auto"/>
                <w:right w:val="none" w:sz="0" w:space="0" w:color="auto"/>
              </w:divBdr>
              <w:divsChild>
                <w:div w:id="256450477">
                  <w:marLeft w:val="0"/>
                  <w:marRight w:val="0"/>
                  <w:marTop w:val="0"/>
                  <w:marBottom w:val="0"/>
                  <w:divBdr>
                    <w:top w:val="none" w:sz="0" w:space="0" w:color="auto"/>
                    <w:left w:val="none" w:sz="0" w:space="0" w:color="auto"/>
                    <w:bottom w:val="none" w:sz="0" w:space="0" w:color="auto"/>
                    <w:right w:val="none" w:sz="0" w:space="0" w:color="auto"/>
                  </w:divBdr>
                  <w:divsChild>
                    <w:div w:id="1295866666">
                      <w:marLeft w:val="0"/>
                      <w:marRight w:val="0"/>
                      <w:marTop w:val="0"/>
                      <w:marBottom w:val="0"/>
                      <w:divBdr>
                        <w:top w:val="none" w:sz="0" w:space="0" w:color="auto"/>
                        <w:left w:val="none" w:sz="0" w:space="0" w:color="auto"/>
                        <w:bottom w:val="none" w:sz="0" w:space="0" w:color="auto"/>
                        <w:right w:val="none" w:sz="0" w:space="0" w:color="auto"/>
                      </w:divBdr>
                      <w:divsChild>
                        <w:div w:id="1791706669">
                          <w:marLeft w:val="0"/>
                          <w:marRight w:val="0"/>
                          <w:marTop w:val="0"/>
                          <w:marBottom w:val="0"/>
                          <w:divBdr>
                            <w:top w:val="single" w:sz="6" w:space="0" w:color="828282"/>
                            <w:left w:val="single" w:sz="6" w:space="0" w:color="828282"/>
                            <w:bottom w:val="single" w:sz="6" w:space="0" w:color="828282"/>
                            <w:right w:val="single" w:sz="6" w:space="0" w:color="828282"/>
                          </w:divBdr>
                          <w:divsChild>
                            <w:div w:id="96752538">
                              <w:marLeft w:val="0"/>
                              <w:marRight w:val="0"/>
                              <w:marTop w:val="0"/>
                              <w:marBottom w:val="0"/>
                              <w:divBdr>
                                <w:top w:val="none" w:sz="0" w:space="0" w:color="auto"/>
                                <w:left w:val="none" w:sz="0" w:space="0" w:color="auto"/>
                                <w:bottom w:val="none" w:sz="0" w:space="0" w:color="auto"/>
                                <w:right w:val="none" w:sz="0" w:space="0" w:color="auto"/>
                              </w:divBdr>
                              <w:divsChild>
                                <w:div w:id="1314867195">
                                  <w:marLeft w:val="0"/>
                                  <w:marRight w:val="0"/>
                                  <w:marTop w:val="0"/>
                                  <w:marBottom w:val="0"/>
                                  <w:divBdr>
                                    <w:top w:val="none" w:sz="0" w:space="0" w:color="auto"/>
                                    <w:left w:val="none" w:sz="0" w:space="0" w:color="auto"/>
                                    <w:bottom w:val="none" w:sz="0" w:space="0" w:color="auto"/>
                                    <w:right w:val="none" w:sz="0" w:space="0" w:color="auto"/>
                                  </w:divBdr>
                                  <w:divsChild>
                                    <w:div w:id="1503886636">
                                      <w:marLeft w:val="0"/>
                                      <w:marRight w:val="0"/>
                                      <w:marTop w:val="0"/>
                                      <w:marBottom w:val="0"/>
                                      <w:divBdr>
                                        <w:top w:val="none" w:sz="0" w:space="0" w:color="auto"/>
                                        <w:left w:val="none" w:sz="0" w:space="0" w:color="auto"/>
                                        <w:bottom w:val="none" w:sz="0" w:space="0" w:color="auto"/>
                                        <w:right w:val="none" w:sz="0" w:space="0" w:color="auto"/>
                                      </w:divBdr>
                                      <w:divsChild>
                                        <w:div w:id="712734320">
                                          <w:marLeft w:val="0"/>
                                          <w:marRight w:val="0"/>
                                          <w:marTop w:val="0"/>
                                          <w:marBottom w:val="0"/>
                                          <w:divBdr>
                                            <w:top w:val="none" w:sz="0" w:space="0" w:color="auto"/>
                                            <w:left w:val="none" w:sz="0" w:space="0" w:color="auto"/>
                                            <w:bottom w:val="none" w:sz="0" w:space="0" w:color="auto"/>
                                            <w:right w:val="none" w:sz="0" w:space="0" w:color="auto"/>
                                          </w:divBdr>
                                          <w:divsChild>
                                            <w:div w:id="1707607358">
                                              <w:marLeft w:val="0"/>
                                              <w:marRight w:val="0"/>
                                              <w:marTop w:val="0"/>
                                              <w:marBottom w:val="0"/>
                                              <w:divBdr>
                                                <w:top w:val="none" w:sz="0" w:space="0" w:color="auto"/>
                                                <w:left w:val="none" w:sz="0" w:space="0" w:color="auto"/>
                                                <w:bottom w:val="none" w:sz="0" w:space="0" w:color="auto"/>
                                                <w:right w:val="none" w:sz="0" w:space="0" w:color="auto"/>
                                              </w:divBdr>
                                              <w:divsChild>
                                                <w:div w:id="9731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18474">
      <w:bodyDiv w:val="1"/>
      <w:marLeft w:val="0"/>
      <w:marRight w:val="0"/>
      <w:marTop w:val="0"/>
      <w:marBottom w:val="0"/>
      <w:divBdr>
        <w:top w:val="none" w:sz="0" w:space="0" w:color="auto"/>
        <w:left w:val="none" w:sz="0" w:space="0" w:color="auto"/>
        <w:bottom w:val="none" w:sz="0" w:space="0" w:color="auto"/>
        <w:right w:val="none" w:sz="0" w:space="0" w:color="auto"/>
      </w:divBdr>
    </w:div>
    <w:div w:id="242568121">
      <w:bodyDiv w:val="1"/>
      <w:marLeft w:val="0"/>
      <w:marRight w:val="0"/>
      <w:marTop w:val="0"/>
      <w:marBottom w:val="0"/>
      <w:divBdr>
        <w:top w:val="none" w:sz="0" w:space="0" w:color="auto"/>
        <w:left w:val="none" w:sz="0" w:space="0" w:color="auto"/>
        <w:bottom w:val="none" w:sz="0" w:space="0" w:color="auto"/>
        <w:right w:val="none" w:sz="0" w:space="0" w:color="auto"/>
      </w:divBdr>
      <w:divsChild>
        <w:div w:id="2039698038">
          <w:marLeft w:val="0"/>
          <w:marRight w:val="0"/>
          <w:marTop w:val="0"/>
          <w:marBottom w:val="0"/>
          <w:divBdr>
            <w:top w:val="none" w:sz="0" w:space="0" w:color="auto"/>
            <w:left w:val="none" w:sz="0" w:space="0" w:color="auto"/>
            <w:bottom w:val="none" w:sz="0" w:space="0" w:color="auto"/>
            <w:right w:val="none" w:sz="0" w:space="0" w:color="auto"/>
          </w:divBdr>
          <w:divsChild>
            <w:div w:id="1064065670">
              <w:marLeft w:val="0"/>
              <w:marRight w:val="0"/>
              <w:marTop w:val="0"/>
              <w:marBottom w:val="0"/>
              <w:divBdr>
                <w:top w:val="none" w:sz="0" w:space="0" w:color="auto"/>
                <w:left w:val="none" w:sz="0" w:space="0" w:color="auto"/>
                <w:bottom w:val="none" w:sz="0" w:space="0" w:color="auto"/>
                <w:right w:val="none" w:sz="0" w:space="0" w:color="auto"/>
              </w:divBdr>
              <w:divsChild>
                <w:div w:id="472061241">
                  <w:marLeft w:val="0"/>
                  <w:marRight w:val="0"/>
                  <w:marTop w:val="0"/>
                  <w:marBottom w:val="0"/>
                  <w:divBdr>
                    <w:top w:val="none" w:sz="0" w:space="0" w:color="auto"/>
                    <w:left w:val="none" w:sz="0" w:space="0" w:color="auto"/>
                    <w:bottom w:val="none" w:sz="0" w:space="0" w:color="auto"/>
                    <w:right w:val="none" w:sz="0" w:space="0" w:color="auto"/>
                  </w:divBdr>
                  <w:divsChild>
                    <w:div w:id="1204059656">
                      <w:marLeft w:val="0"/>
                      <w:marRight w:val="0"/>
                      <w:marTop w:val="0"/>
                      <w:marBottom w:val="0"/>
                      <w:divBdr>
                        <w:top w:val="none" w:sz="0" w:space="0" w:color="auto"/>
                        <w:left w:val="none" w:sz="0" w:space="0" w:color="auto"/>
                        <w:bottom w:val="none" w:sz="0" w:space="0" w:color="auto"/>
                        <w:right w:val="none" w:sz="0" w:space="0" w:color="auto"/>
                      </w:divBdr>
                      <w:divsChild>
                        <w:div w:id="1015620068">
                          <w:marLeft w:val="0"/>
                          <w:marRight w:val="0"/>
                          <w:marTop w:val="0"/>
                          <w:marBottom w:val="0"/>
                          <w:divBdr>
                            <w:top w:val="single" w:sz="6" w:space="0" w:color="828282"/>
                            <w:left w:val="single" w:sz="6" w:space="0" w:color="828282"/>
                            <w:bottom w:val="single" w:sz="6" w:space="0" w:color="828282"/>
                            <w:right w:val="single" w:sz="6" w:space="0" w:color="828282"/>
                          </w:divBdr>
                          <w:divsChild>
                            <w:div w:id="322707947">
                              <w:marLeft w:val="0"/>
                              <w:marRight w:val="0"/>
                              <w:marTop w:val="0"/>
                              <w:marBottom w:val="0"/>
                              <w:divBdr>
                                <w:top w:val="none" w:sz="0" w:space="0" w:color="auto"/>
                                <w:left w:val="none" w:sz="0" w:space="0" w:color="auto"/>
                                <w:bottom w:val="none" w:sz="0" w:space="0" w:color="auto"/>
                                <w:right w:val="none" w:sz="0" w:space="0" w:color="auto"/>
                              </w:divBdr>
                              <w:divsChild>
                                <w:div w:id="280385289">
                                  <w:marLeft w:val="0"/>
                                  <w:marRight w:val="0"/>
                                  <w:marTop w:val="0"/>
                                  <w:marBottom w:val="0"/>
                                  <w:divBdr>
                                    <w:top w:val="none" w:sz="0" w:space="0" w:color="auto"/>
                                    <w:left w:val="none" w:sz="0" w:space="0" w:color="auto"/>
                                    <w:bottom w:val="none" w:sz="0" w:space="0" w:color="auto"/>
                                    <w:right w:val="none" w:sz="0" w:space="0" w:color="auto"/>
                                  </w:divBdr>
                                  <w:divsChild>
                                    <w:div w:id="654190946">
                                      <w:marLeft w:val="0"/>
                                      <w:marRight w:val="0"/>
                                      <w:marTop w:val="0"/>
                                      <w:marBottom w:val="0"/>
                                      <w:divBdr>
                                        <w:top w:val="none" w:sz="0" w:space="0" w:color="auto"/>
                                        <w:left w:val="none" w:sz="0" w:space="0" w:color="auto"/>
                                        <w:bottom w:val="none" w:sz="0" w:space="0" w:color="auto"/>
                                        <w:right w:val="none" w:sz="0" w:space="0" w:color="auto"/>
                                      </w:divBdr>
                                      <w:divsChild>
                                        <w:div w:id="377776383">
                                          <w:marLeft w:val="0"/>
                                          <w:marRight w:val="0"/>
                                          <w:marTop w:val="0"/>
                                          <w:marBottom w:val="0"/>
                                          <w:divBdr>
                                            <w:top w:val="none" w:sz="0" w:space="0" w:color="auto"/>
                                            <w:left w:val="none" w:sz="0" w:space="0" w:color="auto"/>
                                            <w:bottom w:val="none" w:sz="0" w:space="0" w:color="auto"/>
                                            <w:right w:val="none" w:sz="0" w:space="0" w:color="auto"/>
                                          </w:divBdr>
                                          <w:divsChild>
                                            <w:div w:id="2072189721">
                                              <w:marLeft w:val="0"/>
                                              <w:marRight w:val="0"/>
                                              <w:marTop w:val="0"/>
                                              <w:marBottom w:val="0"/>
                                              <w:divBdr>
                                                <w:top w:val="none" w:sz="0" w:space="0" w:color="auto"/>
                                                <w:left w:val="none" w:sz="0" w:space="0" w:color="auto"/>
                                                <w:bottom w:val="none" w:sz="0" w:space="0" w:color="auto"/>
                                                <w:right w:val="none" w:sz="0" w:space="0" w:color="auto"/>
                                              </w:divBdr>
                                              <w:divsChild>
                                                <w:div w:id="25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452189">
      <w:bodyDiv w:val="1"/>
      <w:marLeft w:val="0"/>
      <w:marRight w:val="0"/>
      <w:marTop w:val="0"/>
      <w:marBottom w:val="0"/>
      <w:divBdr>
        <w:top w:val="none" w:sz="0" w:space="0" w:color="auto"/>
        <w:left w:val="none" w:sz="0" w:space="0" w:color="auto"/>
        <w:bottom w:val="none" w:sz="0" w:space="0" w:color="auto"/>
        <w:right w:val="none" w:sz="0" w:space="0" w:color="auto"/>
      </w:divBdr>
      <w:divsChild>
        <w:div w:id="1284071041">
          <w:marLeft w:val="0"/>
          <w:marRight w:val="0"/>
          <w:marTop w:val="0"/>
          <w:marBottom w:val="0"/>
          <w:divBdr>
            <w:top w:val="none" w:sz="0" w:space="0" w:color="auto"/>
            <w:left w:val="none" w:sz="0" w:space="0" w:color="auto"/>
            <w:bottom w:val="none" w:sz="0" w:space="0" w:color="auto"/>
            <w:right w:val="none" w:sz="0" w:space="0" w:color="auto"/>
          </w:divBdr>
          <w:divsChild>
            <w:div w:id="1312978350">
              <w:marLeft w:val="0"/>
              <w:marRight w:val="0"/>
              <w:marTop w:val="0"/>
              <w:marBottom w:val="0"/>
              <w:divBdr>
                <w:top w:val="none" w:sz="0" w:space="0" w:color="auto"/>
                <w:left w:val="none" w:sz="0" w:space="0" w:color="auto"/>
                <w:bottom w:val="none" w:sz="0" w:space="0" w:color="auto"/>
                <w:right w:val="none" w:sz="0" w:space="0" w:color="auto"/>
              </w:divBdr>
              <w:divsChild>
                <w:div w:id="1198278656">
                  <w:marLeft w:val="0"/>
                  <w:marRight w:val="0"/>
                  <w:marTop w:val="0"/>
                  <w:marBottom w:val="0"/>
                  <w:divBdr>
                    <w:top w:val="none" w:sz="0" w:space="0" w:color="auto"/>
                    <w:left w:val="none" w:sz="0" w:space="0" w:color="auto"/>
                    <w:bottom w:val="none" w:sz="0" w:space="0" w:color="auto"/>
                    <w:right w:val="none" w:sz="0" w:space="0" w:color="auto"/>
                  </w:divBdr>
                  <w:divsChild>
                    <w:div w:id="1764492043">
                      <w:marLeft w:val="0"/>
                      <w:marRight w:val="0"/>
                      <w:marTop w:val="0"/>
                      <w:marBottom w:val="0"/>
                      <w:divBdr>
                        <w:top w:val="none" w:sz="0" w:space="0" w:color="auto"/>
                        <w:left w:val="none" w:sz="0" w:space="0" w:color="auto"/>
                        <w:bottom w:val="none" w:sz="0" w:space="0" w:color="auto"/>
                        <w:right w:val="none" w:sz="0" w:space="0" w:color="auto"/>
                      </w:divBdr>
                      <w:divsChild>
                        <w:div w:id="1990983919">
                          <w:marLeft w:val="0"/>
                          <w:marRight w:val="0"/>
                          <w:marTop w:val="0"/>
                          <w:marBottom w:val="0"/>
                          <w:divBdr>
                            <w:top w:val="none" w:sz="0" w:space="0" w:color="auto"/>
                            <w:left w:val="none" w:sz="0" w:space="0" w:color="auto"/>
                            <w:bottom w:val="none" w:sz="0" w:space="0" w:color="auto"/>
                            <w:right w:val="none" w:sz="0" w:space="0" w:color="auto"/>
                          </w:divBdr>
                          <w:divsChild>
                            <w:div w:id="10746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62775">
      <w:bodyDiv w:val="1"/>
      <w:marLeft w:val="0"/>
      <w:marRight w:val="0"/>
      <w:marTop w:val="0"/>
      <w:marBottom w:val="0"/>
      <w:divBdr>
        <w:top w:val="none" w:sz="0" w:space="0" w:color="auto"/>
        <w:left w:val="none" w:sz="0" w:space="0" w:color="auto"/>
        <w:bottom w:val="none" w:sz="0" w:space="0" w:color="auto"/>
        <w:right w:val="none" w:sz="0" w:space="0" w:color="auto"/>
      </w:divBdr>
      <w:divsChild>
        <w:div w:id="243418744">
          <w:marLeft w:val="0"/>
          <w:marRight w:val="0"/>
          <w:marTop w:val="0"/>
          <w:marBottom w:val="0"/>
          <w:divBdr>
            <w:top w:val="none" w:sz="0" w:space="0" w:color="auto"/>
            <w:left w:val="none" w:sz="0" w:space="0" w:color="auto"/>
            <w:bottom w:val="none" w:sz="0" w:space="0" w:color="auto"/>
            <w:right w:val="none" w:sz="0" w:space="0" w:color="auto"/>
          </w:divBdr>
          <w:divsChild>
            <w:div w:id="1034504681">
              <w:marLeft w:val="0"/>
              <w:marRight w:val="0"/>
              <w:marTop w:val="0"/>
              <w:marBottom w:val="0"/>
              <w:divBdr>
                <w:top w:val="none" w:sz="0" w:space="0" w:color="auto"/>
                <w:left w:val="none" w:sz="0" w:space="0" w:color="auto"/>
                <w:bottom w:val="none" w:sz="0" w:space="0" w:color="auto"/>
                <w:right w:val="none" w:sz="0" w:space="0" w:color="auto"/>
              </w:divBdr>
              <w:divsChild>
                <w:div w:id="186527102">
                  <w:marLeft w:val="0"/>
                  <w:marRight w:val="0"/>
                  <w:marTop w:val="0"/>
                  <w:marBottom w:val="0"/>
                  <w:divBdr>
                    <w:top w:val="none" w:sz="0" w:space="0" w:color="auto"/>
                    <w:left w:val="none" w:sz="0" w:space="0" w:color="auto"/>
                    <w:bottom w:val="none" w:sz="0" w:space="0" w:color="auto"/>
                    <w:right w:val="none" w:sz="0" w:space="0" w:color="auto"/>
                  </w:divBdr>
                  <w:divsChild>
                    <w:div w:id="829175869">
                      <w:marLeft w:val="0"/>
                      <w:marRight w:val="0"/>
                      <w:marTop w:val="0"/>
                      <w:marBottom w:val="0"/>
                      <w:divBdr>
                        <w:top w:val="none" w:sz="0" w:space="0" w:color="auto"/>
                        <w:left w:val="none" w:sz="0" w:space="0" w:color="auto"/>
                        <w:bottom w:val="none" w:sz="0" w:space="0" w:color="auto"/>
                        <w:right w:val="none" w:sz="0" w:space="0" w:color="auto"/>
                      </w:divBdr>
                      <w:divsChild>
                        <w:div w:id="43994392">
                          <w:marLeft w:val="0"/>
                          <w:marRight w:val="0"/>
                          <w:marTop w:val="0"/>
                          <w:marBottom w:val="0"/>
                          <w:divBdr>
                            <w:top w:val="single" w:sz="6" w:space="0" w:color="828282"/>
                            <w:left w:val="single" w:sz="6" w:space="0" w:color="828282"/>
                            <w:bottom w:val="single" w:sz="6" w:space="0" w:color="828282"/>
                            <w:right w:val="single" w:sz="6" w:space="0" w:color="828282"/>
                          </w:divBdr>
                          <w:divsChild>
                            <w:div w:id="2055957208">
                              <w:marLeft w:val="0"/>
                              <w:marRight w:val="0"/>
                              <w:marTop w:val="0"/>
                              <w:marBottom w:val="0"/>
                              <w:divBdr>
                                <w:top w:val="none" w:sz="0" w:space="0" w:color="auto"/>
                                <w:left w:val="none" w:sz="0" w:space="0" w:color="auto"/>
                                <w:bottom w:val="none" w:sz="0" w:space="0" w:color="auto"/>
                                <w:right w:val="none" w:sz="0" w:space="0" w:color="auto"/>
                              </w:divBdr>
                              <w:divsChild>
                                <w:div w:id="1373309259">
                                  <w:marLeft w:val="0"/>
                                  <w:marRight w:val="0"/>
                                  <w:marTop w:val="0"/>
                                  <w:marBottom w:val="0"/>
                                  <w:divBdr>
                                    <w:top w:val="none" w:sz="0" w:space="0" w:color="auto"/>
                                    <w:left w:val="none" w:sz="0" w:space="0" w:color="auto"/>
                                    <w:bottom w:val="none" w:sz="0" w:space="0" w:color="auto"/>
                                    <w:right w:val="none" w:sz="0" w:space="0" w:color="auto"/>
                                  </w:divBdr>
                                  <w:divsChild>
                                    <w:div w:id="653795503">
                                      <w:marLeft w:val="0"/>
                                      <w:marRight w:val="0"/>
                                      <w:marTop w:val="0"/>
                                      <w:marBottom w:val="0"/>
                                      <w:divBdr>
                                        <w:top w:val="none" w:sz="0" w:space="0" w:color="auto"/>
                                        <w:left w:val="none" w:sz="0" w:space="0" w:color="auto"/>
                                        <w:bottom w:val="none" w:sz="0" w:space="0" w:color="auto"/>
                                        <w:right w:val="none" w:sz="0" w:space="0" w:color="auto"/>
                                      </w:divBdr>
                                      <w:divsChild>
                                        <w:div w:id="736778861">
                                          <w:marLeft w:val="0"/>
                                          <w:marRight w:val="0"/>
                                          <w:marTop w:val="0"/>
                                          <w:marBottom w:val="0"/>
                                          <w:divBdr>
                                            <w:top w:val="none" w:sz="0" w:space="0" w:color="auto"/>
                                            <w:left w:val="none" w:sz="0" w:space="0" w:color="auto"/>
                                            <w:bottom w:val="none" w:sz="0" w:space="0" w:color="auto"/>
                                            <w:right w:val="none" w:sz="0" w:space="0" w:color="auto"/>
                                          </w:divBdr>
                                          <w:divsChild>
                                            <w:div w:id="1451315347">
                                              <w:marLeft w:val="0"/>
                                              <w:marRight w:val="0"/>
                                              <w:marTop w:val="0"/>
                                              <w:marBottom w:val="0"/>
                                              <w:divBdr>
                                                <w:top w:val="none" w:sz="0" w:space="0" w:color="auto"/>
                                                <w:left w:val="none" w:sz="0" w:space="0" w:color="auto"/>
                                                <w:bottom w:val="none" w:sz="0" w:space="0" w:color="auto"/>
                                                <w:right w:val="none" w:sz="0" w:space="0" w:color="auto"/>
                                              </w:divBdr>
                                              <w:divsChild>
                                                <w:div w:id="1984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524107">
      <w:bodyDiv w:val="1"/>
      <w:marLeft w:val="0"/>
      <w:marRight w:val="0"/>
      <w:marTop w:val="0"/>
      <w:marBottom w:val="0"/>
      <w:divBdr>
        <w:top w:val="none" w:sz="0" w:space="0" w:color="auto"/>
        <w:left w:val="none" w:sz="0" w:space="0" w:color="auto"/>
        <w:bottom w:val="none" w:sz="0" w:space="0" w:color="auto"/>
        <w:right w:val="none" w:sz="0" w:space="0" w:color="auto"/>
      </w:divBdr>
      <w:divsChild>
        <w:div w:id="389571758">
          <w:marLeft w:val="0"/>
          <w:marRight w:val="0"/>
          <w:marTop w:val="0"/>
          <w:marBottom w:val="0"/>
          <w:divBdr>
            <w:top w:val="none" w:sz="0" w:space="0" w:color="auto"/>
            <w:left w:val="none" w:sz="0" w:space="0" w:color="auto"/>
            <w:bottom w:val="none" w:sz="0" w:space="0" w:color="auto"/>
            <w:right w:val="none" w:sz="0" w:space="0" w:color="auto"/>
          </w:divBdr>
          <w:divsChild>
            <w:div w:id="894511681">
              <w:marLeft w:val="0"/>
              <w:marRight w:val="0"/>
              <w:marTop w:val="0"/>
              <w:marBottom w:val="0"/>
              <w:divBdr>
                <w:top w:val="none" w:sz="0" w:space="0" w:color="auto"/>
                <w:left w:val="none" w:sz="0" w:space="0" w:color="auto"/>
                <w:bottom w:val="none" w:sz="0" w:space="0" w:color="auto"/>
                <w:right w:val="none" w:sz="0" w:space="0" w:color="auto"/>
              </w:divBdr>
              <w:divsChild>
                <w:div w:id="905727566">
                  <w:marLeft w:val="0"/>
                  <w:marRight w:val="0"/>
                  <w:marTop w:val="0"/>
                  <w:marBottom w:val="0"/>
                  <w:divBdr>
                    <w:top w:val="none" w:sz="0" w:space="0" w:color="auto"/>
                    <w:left w:val="none" w:sz="0" w:space="0" w:color="auto"/>
                    <w:bottom w:val="none" w:sz="0" w:space="0" w:color="auto"/>
                    <w:right w:val="none" w:sz="0" w:space="0" w:color="auto"/>
                  </w:divBdr>
                  <w:divsChild>
                    <w:div w:id="1184052506">
                      <w:marLeft w:val="0"/>
                      <w:marRight w:val="0"/>
                      <w:marTop w:val="0"/>
                      <w:marBottom w:val="0"/>
                      <w:divBdr>
                        <w:top w:val="none" w:sz="0" w:space="0" w:color="auto"/>
                        <w:left w:val="none" w:sz="0" w:space="0" w:color="auto"/>
                        <w:bottom w:val="none" w:sz="0" w:space="0" w:color="auto"/>
                        <w:right w:val="none" w:sz="0" w:space="0" w:color="auto"/>
                      </w:divBdr>
                      <w:divsChild>
                        <w:div w:id="629092928">
                          <w:marLeft w:val="0"/>
                          <w:marRight w:val="0"/>
                          <w:marTop w:val="0"/>
                          <w:marBottom w:val="0"/>
                          <w:divBdr>
                            <w:top w:val="single" w:sz="6" w:space="0" w:color="828282"/>
                            <w:left w:val="single" w:sz="6" w:space="0" w:color="828282"/>
                            <w:bottom w:val="single" w:sz="6" w:space="0" w:color="828282"/>
                            <w:right w:val="single" w:sz="6" w:space="0" w:color="828282"/>
                          </w:divBdr>
                          <w:divsChild>
                            <w:div w:id="756826024">
                              <w:marLeft w:val="0"/>
                              <w:marRight w:val="0"/>
                              <w:marTop w:val="0"/>
                              <w:marBottom w:val="0"/>
                              <w:divBdr>
                                <w:top w:val="none" w:sz="0" w:space="0" w:color="auto"/>
                                <w:left w:val="none" w:sz="0" w:space="0" w:color="auto"/>
                                <w:bottom w:val="none" w:sz="0" w:space="0" w:color="auto"/>
                                <w:right w:val="none" w:sz="0" w:space="0" w:color="auto"/>
                              </w:divBdr>
                              <w:divsChild>
                                <w:div w:id="1559244551">
                                  <w:marLeft w:val="0"/>
                                  <w:marRight w:val="0"/>
                                  <w:marTop w:val="0"/>
                                  <w:marBottom w:val="0"/>
                                  <w:divBdr>
                                    <w:top w:val="none" w:sz="0" w:space="0" w:color="auto"/>
                                    <w:left w:val="none" w:sz="0" w:space="0" w:color="auto"/>
                                    <w:bottom w:val="none" w:sz="0" w:space="0" w:color="auto"/>
                                    <w:right w:val="none" w:sz="0" w:space="0" w:color="auto"/>
                                  </w:divBdr>
                                  <w:divsChild>
                                    <w:div w:id="575896486">
                                      <w:marLeft w:val="0"/>
                                      <w:marRight w:val="0"/>
                                      <w:marTop w:val="0"/>
                                      <w:marBottom w:val="0"/>
                                      <w:divBdr>
                                        <w:top w:val="none" w:sz="0" w:space="0" w:color="auto"/>
                                        <w:left w:val="none" w:sz="0" w:space="0" w:color="auto"/>
                                        <w:bottom w:val="none" w:sz="0" w:space="0" w:color="auto"/>
                                        <w:right w:val="none" w:sz="0" w:space="0" w:color="auto"/>
                                      </w:divBdr>
                                      <w:divsChild>
                                        <w:div w:id="1558931764">
                                          <w:marLeft w:val="0"/>
                                          <w:marRight w:val="0"/>
                                          <w:marTop w:val="0"/>
                                          <w:marBottom w:val="0"/>
                                          <w:divBdr>
                                            <w:top w:val="none" w:sz="0" w:space="0" w:color="auto"/>
                                            <w:left w:val="none" w:sz="0" w:space="0" w:color="auto"/>
                                            <w:bottom w:val="none" w:sz="0" w:space="0" w:color="auto"/>
                                            <w:right w:val="none" w:sz="0" w:space="0" w:color="auto"/>
                                          </w:divBdr>
                                          <w:divsChild>
                                            <w:div w:id="127477735">
                                              <w:marLeft w:val="0"/>
                                              <w:marRight w:val="0"/>
                                              <w:marTop w:val="0"/>
                                              <w:marBottom w:val="0"/>
                                              <w:divBdr>
                                                <w:top w:val="none" w:sz="0" w:space="0" w:color="auto"/>
                                                <w:left w:val="none" w:sz="0" w:space="0" w:color="auto"/>
                                                <w:bottom w:val="none" w:sz="0" w:space="0" w:color="auto"/>
                                                <w:right w:val="none" w:sz="0" w:space="0" w:color="auto"/>
                                              </w:divBdr>
                                              <w:divsChild>
                                                <w:div w:id="16028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611907">
      <w:bodyDiv w:val="1"/>
      <w:marLeft w:val="0"/>
      <w:marRight w:val="0"/>
      <w:marTop w:val="0"/>
      <w:marBottom w:val="0"/>
      <w:divBdr>
        <w:top w:val="none" w:sz="0" w:space="0" w:color="auto"/>
        <w:left w:val="none" w:sz="0" w:space="0" w:color="auto"/>
        <w:bottom w:val="none" w:sz="0" w:space="0" w:color="auto"/>
        <w:right w:val="none" w:sz="0" w:space="0" w:color="auto"/>
      </w:divBdr>
      <w:divsChild>
        <w:div w:id="1282103936">
          <w:marLeft w:val="0"/>
          <w:marRight w:val="0"/>
          <w:marTop w:val="0"/>
          <w:marBottom w:val="0"/>
          <w:divBdr>
            <w:top w:val="none" w:sz="0" w:space="0" w:color="auto"/>
            <w:left w:val="none" w:sz="0" w:space="0" w:color="auto"/>
            <w:bottom w:val="none" w:sz="0" w:space="0" w:color="auto"/>
            <w:right w:val="none" w:sz="0" w:space="0" w:color="auto"/>
          </w:divBdr>
          <w:divsChild>
            <w:div w:id="1200513817">
              <w:marLeft w:val="0"/>
              <w:marRight w:val="0"/>
              <w:marTop w:val="0"/>
              <w:marBottom w:val="0"/>
              <w:divBdr>
                <w:top w:val="none" w:sz="0" w:space="0" w:color="auto"/>
                <w:left w:val="none" w:sz="0" w:space="0" w:color="auto"/>
                <w:bottom w:val="none" w:sz="0" w:space="0" w:color="auto"/>
                <w:right w:val="none" w:sz="0" w:space="0" w:color="auto"/>
              </w:divBdr>
              <w:divsChild>
                <w:div w:id="512885218">
                  <w:marLeft w:val="0"/>
                  <w:marRight w:val="0"/>
                  <w:marTop w:val="0"/>
                  <w:marBottom w:val="0"/>
                  <w:divBdr>
                    <w:top w:val="none" w:sz="0" w:space="0" w:color="auto"/>
                    <w:left w:val="none" w:sz="0" w:space="0" w:color="auto"/>
                    <w:bottom w:val="none" w:sz="0" w:space="0" w:color="auto"/>
                    <w:right w:val="none" w:sz="0" w:space="0" w:color="auto"/>
                  </w:divBdr>
                  <w:divsChild>
                    <w:div w:id="745108275">
                      <w:marLeft w:val="0"/>
                      <w:marRight w:val="0"/>
                      <w:marTop w:val="0"/>
                      <w:marBottom w:val="0"/>
                      <w:divBdr>
                        <w:top w:val="none" w:sz="0" w:space="0" w:color="auto"/>
                        <w:left w:val="none" w:sz="0" w:space="0" w:color="auto"/>
                        <w:bottom w:val="none" w:sz="0" w:space="0" w:color="auto"/>
                        <w:right w:val="none" w:sz="0" w:space="0" w:color="auto"/>
                      </w:divBdr>
                      <w:divsChild>
                        <w:div w:id="910896302">
                          <w:marLeft w:val="0"/>
                          <w:marRight w:val="0"/>
                          <w:marTop w:val="0"/>
                          <w:marBottom w:val="0"/>
                          <w:divBdr>
                            <w:top w:val="single" w:sz="6" w:space="0" w:color="828282"/>
                            <w:left w:val="single" w:sz="6" w:space="0" w:color="828282"/>
                            <w:bottom w:val="single" w:sz="6" w:space="0" w:color="828282"/>
                            <w:right w:val="single" w:sz="6" w:space="0" w:color="828282"/>
                          </w:divBdr>
                          <w:divsChild>
                            <w:div w:id="239297034">
                              <w:marLeft w:val="0"/>
                              <w:marRight w:val="0"/>
                              <w:marTop w:val="0"/>
                              <w:marBottom w:val="0"/>
                              <w:divBdr>
                                <w:top w:val="none" w:sz="0" w:space="0" w:color="auto"/>
                                <w:left w:val="none" w:sz="0" w:space="0" w:color="auto"/>
                                <w:bottom w:val="none" w:sz="0" w:space="0" w:color="auto"/>
                                <w:right w:val="none" w:sz="0" w:space="0" w:color="auto"/>
                              </w:divBdr>
                              <w:divsChild>
                                <w:div w:id="888031594">
                                  <w:marLeft w:val="0"/>
                                  <w:marRight w:val="0"/>
                                  <w:marTop w:val="0"/>
                                  <w:marBottom w:val="0"/>
                                  <w:divBdr>
                                    <w:top w:val="none" w:sz="0" w:space="0" w:color="auto"/>
                                    <w:left w:val="none" w:sz="0" w:space="0" w:color="auto"/>
                                    <w:bottom w:val="none" w:sz="0" w:space="0" w:color="auto"/>
                                    <w:right w:val="none" w:sz="0" w:space="0" w:color="auto"/>
                                  </w:divBdr>
                                  <w:divsChild>
                                    <w:div w:id="441921276">
                                      <w:marLeft w:val="0"/>
                                      <w:marRight w:val="0"/>
                                      <w:marTop w:val="0"/>
                                      <w:marBottom w:val="0"/>
                                      <w:divBdr>
                                        <w:top w:val="none" w:sz="0" w:space="0" w:color="auto"/>
                                        <w:left w:val="none" w:sz="0" w:space="0" w:color="auto"/>
                                        <w:bottom w:val="none" w:sz="0" w:space="0" w:color="auto"/>
                                        <w:right w:val="none" w:sz="0" w:space="0" w:color="auto"/>
                                      </w:divBdr>
                                      <w:divsChild>
                                        <w:div w:id="49429635">
                                          <w:marLeft w:val="0"/>
                                          <w:marRight w:val="0"/>
                                          <w:marTop w:val="0"/>
                                          <w:marBottom w:val="0"/>
                                          <w:divBdr>
                                            <w:top w:val="none" w:sz="0" w:space="0" w:color="auto"/>
                                            <w:left w:val="none" w:sz="0" w:space="0" w:color="auto"/>
                                            <w:bottom w:val="none" w:sz="0" w:space="0" w:color="auto"/>
                                            <w:right w:val="none" w:sz="0" w:space="0" w:color="auto"/>
                                          </w:divBdr>
                                          <w:divsChild>
                                            <w:div w:id="2127772850">
                                              <w:marLeft w:val="0"/>
                                              <w:marRight w:val="0"/>
                                              <w:marTop w:val="0"/>
                                              <w:marBottom w:val="0"/>
                                              <w:divBdr>
                                                <w:top w:val="none" w:sz="0" w:space="0" w:color="auto"/>
                                                <w:left w:val="none" w:sz="0" w:space="0" w:color="auto"/>
                                                <w:bottom w:val="none" w:sz="0" w:space="0" w:color="auto"/>
                                                <w:right w:val="none" w:sz="0" w:space="0" w:color="auto"/>
                                              </w:divBdr>
                                              <w:divsChild>
                                                <w:div w:id="143852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189923">
      <w:bodyDiv w:val="1"/>
      <w:marLeft w:val="0"/>
      <w:marRight w:val="0"/>
      <w:marTop w:val="0"/>
      <w:marBottom w:val="0"/>
      <w:divBdr>
        <w:top w:val="none" w:sz="0" w:space="0" w:color="auto"/>
        <w:left w:val="none" w:sz="0" w:space="0" w:color="auto"/>
        <w:bottom w:val="none" w:sz="0" w:space="0" w:color="auto"/>
        <w:right w:val="none" w:sz="0" w:space="0" w:color="auto"/>
      </w:divBdr>
      <w:divsChild>
        <w:div w:id="375735254">
          <w:marLeft w:val="0"/>
          <w:marRight w:val="0"/>
          <w:marTop w:val="0"/>
          <w:marBottom w:val="0"/>
          <w:divBdr>
            <w:top w:val="none" w:sz="0" w:space="0" w:color="auto"/>
            <w:left w:val="none" w:sz="0" w:space="0" w:color="auto"/>
            <w:bottom w:val="none" w:sz="0" w:space="0" w:color="auto"/>
            <w:right w:val="none" w:sz="0" w:space="0" w:color="auto"/>
          </w:divBdr>
          <w:divsChild>
            <w:div w:id="2021467946">
              <w:marLeft w:val="0"/>
              <w:marRight w:val="0"/>
              <w:marTop w:val="0"/>
              <w:marBottom w:val="0"/>
              <w:divBdr>
                <w:top w:val="none" w:sz="0" w:space="0" w:color="auto"/>
                <w:left w:val="none" w:sz="0" w:space="0" w:color="auto"/>
                <w:bottom w:val="none" w:sz="0" w:space="0" w:color="auto"/>
                <w:right w:val="none" w:sz="0" w:space="0" w:color="auto"/>
              </w:divBdr>
              <w:divsChild>
                <w:div w:id="548301448">
                  <w:marLeft w:val="0"/>
                  <w:marRight w:val="0"/>
                  <w:marTop w:val="0"/>
                  <w:marBottom w:val="0"/>
                  <w:divBdr>
                    <w:top w:val="none" w:sz="0" w:space="0" w:color="auto"/>
                    <w:left w:val="none" w:sz="0" w:space="0" w:color="auto"/>
                    <w:bottom w:val="none" w:sz="0" w:space="0" w:color="auto"/>
                    <w:right w:val="none" w:sz="0" w:space="0" w:color="auto"/>
                  </w:divBdr>
                  <w:divsChild>
                    <w:div w:id="657153815">
                      <w:marLeft w:val="0"/>
                      <w:marRight w:val="0"/>
                      <w:marTop w:val="0"/>
                      <w:marBottom w:val="0"/>
                      <w:divBdr>
                        <w:top w:val="none" w:sz="0" w:space="0" w:color="auto"/>
                        <w:left w:val="none" w:sz="0" w:space="0" w:color="auto"/>
                        <w:bottom w:val="none" w:sz="0" w:space="0" w:color="auto"/>
                        <w:right w:val="none" w:sz="0" w:space="0" w:color="auto"/>
                      </w:divBdr>
                      <w:divsChild>
                        <w:div w:id="68768825">
                          <w:marLeft w:val="0"/>
                          <w:marRight w:val="0"/>
                          <w:marTop w:val="0"/>
                          <w:marBottom w:val="0"/>
                          <w:divBdr>
                            <w:top w:val="single" w:sz="6" w:space="0" w:color="828282"/>
                            <w:left w:val="single" w:sz="6" w:space="0" w:color="828282"/>
                            <w:bottom w:val="single" w:sz="6" w:space="0" w:color="828282"/>
                            <w:right w:val="single" w:sz="6" w:space="0" w:color="828282"/>
                          </w:divBdr>
                          <w:divsChild>
                            <w:div w:id="1919754562">
                              <w:marLeft w:val="0"/>
                              <w:marRight w:val="0"/>
                              <w:marTop w:val="0"/>
                              <w:marBottom w:val="0"/>
                              <w:divBdr>
                                <w:top w:val="none" w:sz="0" w:space="0" w:color="auto"/>
                                <w:left w:val="none" w:sz="0" w:space="0" w:color="auto"/>
                                <w:bottom w:val="none" w:sz="0" w:space="0" w:color="auto"/>
                                <w:right w:val="none" w:sz="0" w:space="0" w:color="auto"/>
                              </w:divBdr>
                              <w:divsChild>
                                <w:div w:id="314067366">
                                  <w:marLeft w:val="0"/>
                                  <w:marRight w:val="0"/>
                                  <w:marTop w:val="0"/>
                                  <w:marBottom w:val="0"/>
                                  <w:divBdr>
                                    <w:top w:val="none" w:sz="0" w:space="0" w:color="auto"/>
                                    <w:left w:val="none" w:sz="0" w:space="0" w:color="auto"/>
                                    <w:bottom w:val="none" w:sz="0" w:space="0" w:color="auto"/>
                                    <w:right w:val="none" w:sz="0" w:space="0" w:color="auto"/>
                                  </w:divBdr>
                                  <w:divsChild>
                                    <w:div w:id="218514434">
                                      <w:marLeft w:val="0"/>
                                      <w:marRight w:val="0"/>
                                      <w:marTop w:val="0"/>
                                      <w:marBottom w:val="0"/>
                                      <w:divBdr>
                                        <w:top w:val="none" w:sz="0" w:space="0" w:color="auto"/>
                                        <w:left w:val="none" w:sz="0" w:space="0" w:color="auto"/>
                                        <w:bottom w:val="none" w:sz="0" w:space="0" w:color="auto"/>
                                        <w:right w:val="none" w:sz="0" w:space="0" w:color="auto"/>
                                      </w:divBdr>
                                      <w:divsChild>
                                        <w:div w:id="2025084287">
                                          <w:marLeft w:val="0"/>
                                          <w:marRight w:val="0"/>
                                          <w:marTop w:val="0"/>
                                          <w:marBottom w:val="0"/>
                                          <w:divBdr>
                                            <w:top w:val="none" w:sz="0" w:space="0" w:color="auto"/>
                                            <w:left w:val="none" w:sz="0" w:space="0" w:color="auto"/>
                                            <w:bottom w:val="none" w:sz="0" w:space="0" w:color="auto"/>
                                            <w:right w:val="none" w:sz="0" w:space="0" w:color="auto"/>
                                          </w:divBdr>
                                          <w:divsChild>
                                            <w:div w:id="732119875">
                                              <w:marLeft w:val="0"/>
                                              <w:marRight w:val="0"/>
                                              <w:marTop w:val="0"/>
                                              <w:marBottom w:val="0"/>
                                              <w:divBdr>
                                                <w:top w:val="none" w:sz="0" w:space="0" w:color="auto"/>
                                                <w:left w:val="none" w:sz="0" w:space="0" w:color="auto"/>
                                                <w:bottom w:val="none" w:sz="0" w:space="0" w:color="auto"/>
                                                <w:right w:val="none" w:sz="0" w:space="0" w:color="auto"/>
                                              </w:divBdr>
                                              <w:divsChild>
                                                <w:div w:id="4440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477825">
      <w:bodyDiv w:val="1"/>
      <w:marLeft w:val="0"/>
      <w:marRight w:val="0"/>
      <w:marTop w:val="0"/>
      <w:marBottom w:val="0"/>
      <w:divBdr>
        <w:top w:val="none" w:sz="0" w:space="0" w:color="auto"/>
        <w:left w:val="none" w:sz="0" w:space="0" w:color="auto"/>
        <w:bottom w:val="none" w:sz="0" w:space="0" w:color="auto"/>
        <w:right w:val="none" w:sz="0" w:space="0" w:color="auto"/>
      </w:divBdr>
    </w:div>
    <w:div w:id="408813832">
      <w:bodyDiv w:val="1"/>
      <w:marLeft w:val="0"/>
      <w:marRight w:val="0"/>
      <w:marTop w:val="0"/>
      <w:marBottom w:val="0"/>
      <w:divBdr>
        <w:top w:val="none" w:sz="0" w:space="0" w:color="auto"/>
        <w:left w:val="none" w:sz="0" w:space="0" w:color="auto"/>
        <w:bottom w:val="none" w:sz="0" w:space="0" w:color="auto"/>
        <w:right w:val="none" w:sz="0" w:space="0" w:color="auto"/>
      </w:divBdr>
      <w:divsChild>
        <w:div w:id="1884709482">
          <w:marLeft w:val="0"/>
          <w:marRight w:val="0"/>
          <w:marTop w:val="0"/>
          <w:marBottom w:val="0"/>
          <w:divBdr>
            <w:top w:val="none" w:sz="0" w:space="0" w:color="auto"/>
            <w:left w:val="none" w:sz="0" w:space="0" w:color="auto"/>
            <w:bottom w:val="none" w:sz="0" w:space="0" w:color="auto"/>
            <w:right w:val="none" w:sz="0" w:space="0" w:color="auto"/>
          </w:divBdr>
          <w:divsChild>
            <w:div w:id="1769498994">
              <w:marLeft w:val="0"/>
              <w:marRight w:val="0"/>
              <w:marTop w:val="0"/>
              <w:marBottom w:val="0"/>
              <w:divBdr>
                <w:top w:val="none" w:sz="0" w:space="0" w:color="auto"/>
                <w:left w:val="none" w:sz="0" w:space="0" w:color="auto"/>
                <w:bottom w:val="none" w:sz="0" w:space="0" w:color="auto"/>
                <w:right w:val="none" w:sz="0" w:space="0" w:color="auto"/>
              </w:divBdr>
              <w:divsChild>
                <w:div w:id="814375665">
                  <w:marLeft w:val="0"/>
                  <w:marRight w:val="0"/>
                  <w:marTop w:val="0"/>
                  <w:marBottom w:val="0"/>
                  <w:divBdr>
                    <w:top w:val="none" w:sz="0" w:space="0" w:color="auto"/>
                    <w:left w:val="none" w:sz="0" w:space="0" w:color="auto"/>
                    <w:bottom w:val="none" w:sz="0" w:space="0" w:color="auto"/>
                    <w:right w:val="none" w:sz="0" w:space="0" w:color="auto"/>
                  </w:divBdr>
                  <w:divsChild>
                    <w:div w:id="677083079">
                      <w:marLeft w:val="0"/>
                      <w:marRight w:val="0"/>
                      <w:marTop w:val="0"/>
                      <w:marBottom w:val="0"/>
                      <w:divBdr>
                        <w:top w:val="none" w:sz="0" w:space="0" w:color="auto"/>
                        <w:left w:val="none" w:sz="0" w:space="0" w:color="auto"/>
                        <w:bottom w:val="none" w:sz="0" w:space="0" w:color="auto"/>
                        <w:right w:val="none" w:sz="0" w:space="0" w:color="auto"/>
                      </w:divBdr>
                      <w:divsChild>
                        <w:div w:id="115567284">
                          <w:marLeft w:val="0"/>
                          <w:marRight w:val="0"/>
                          <w:marTop w:val="0"/>
                          <w:marBottom w:val="0"/>
                          <w:divBdr>
                            <w:top w:val="none" w:sz="0" w:space="0" w:color="auto"/>
                            <w:left w:val="none" w:sz="0" w:space="0" w:color="auto"/>
                            <w:bottom w:val="none" w:sz="0" w:space="0" w:color="auto"/>
                            <w:right w:val="none" w:sz="0" w:space="0" w:color="auto"/>
                          </w:divBdr>
                          <w:divsChild>
                            <w:div w:id="18816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20774">
      <w:bodyDiv w:val="1"/>
      <w:marLeft w:val="0"/>
      <w:marRight w:val="0"/>
      <w:marTop w:val="0"/>
      <w:marBottom w:val="0"/>
      <w:divBdr>
        <w:top w:val="none" w:sz="0" w:space="0" w:color="auto"/>
        <w:left w:val="none" w:sz="0" w:space="0" w:color="auto"/>
        <w:bottom w:val="none" w:sz="0" w:space="0" w:color="auto"/>
        <w:right w:val="none" w:sz="0" w:space="0" w:color="auto"/>
      </w:divBdr>
      <w:divsChild>
        <w:div w:id="688486115">
          <w:marLeft w:val="0"/>
          <w:marRight w:val="0"/>
          <w:marTop w:val="0"/>
          <w:marBottom w:val="0"/>
          <w:divBdr>
            <w:top w:val="none" w:sz="0" w:space="0" w:color="auto"/>
            <w:left w:val="none" w:sz="0" w:space="0" w:color="auto"/>
            <w:bottom w:val="none" w:sz="0" w:space="0" w:color="auto"/>
            <w:right w:val="none" w:sz="0" w:space="0" w:color="auto"/>
          </w:divBdr>
          <w:divsChild>
            <w:div w:id="1286892225">
              <w:marLeft w:val="0"/>
              <w:marRight w:val="0"/>
              <w:marTop w:val="0"/>
              <w:marBottom w:val="0"/>
              <w:divBdr>
                <w:top w:val="none" w:sz="0" w:space="0" w:color="auto"/>
                <w:left w:val="none" w:sz="0" w:space="0" w:color="auto"/>
                <w:bottom w:val="none" w:sz="0" w:space="0" w:color="auto"/>
                <w:right w:val="none" w:sz="0" w:space="0" w:color="auto"/>
              </w:divBdr>
              <w:divsChild>
                <w:div w:id="1633630524">
                  <w:marLeft w:val="0"/>
                  <w:marRight w:val="0"/>
                  <w:marTop w:val="0"/>
                  <w:marBottom w:val="0"/>
                  <w:divBdr>
                    <w:top w:val="none" w:sz="0" w:space="0" w:color="auto"/>
                    <w:left w:val="none" w:sz="0" w:space="0" w:color="auto"/>
                    <w:bottom w:val="none" w:sz="0" w:space="0" w:color="auto"/>
                    <w:right w:val="none" w:sz="0" w:space="0" w:color="auto"/>
                  </w:divBdr>
                  <w:divsChild>
                    <w:div w:id="980579098">
                      <w:marLeft w:val="0"/>
                      <w:marRight w:val="0"/>
                      <w:marTop w:val="0"/>
                      <w:marBottom w:val="0"/>
                      <w:divBdr>
                        <w:top w:val="none" w:sz="0" w:space="0" w:color="auto"/>
                        <w:left w:val="none" w:sz="0" w:space="0" w:color="auto"/>
                        <w:bottom w:val="none" w:sz="0" w:space="0" w:color="auto"/>
                        <w:right w:val="none" w:sz="0" w:space="0" w:color="auto"/>
                      </w:divBdr>
                      <w:divsChild>
                        <w:div w:id="1133064584">
                          <w:marLeft w:val="0"/>
                          <w:marRight w:val="0"/>
                          <w:marTop w:val="0"/>
                          <w:marBottom w:val="0"/>
                          <w:divBdr>
                            <w:top w:val="single" w:sz="6" w:space="0" w:color="828282"/>
                            <w:left w:val="single" w:sz="6" w:space="0" w:color="828282"/>
                            <w:bottom w:val="single" w:sz="6" w:space="0" w:color="828282"/>
                            <w:right w:val="single" w:sz="6" w:space="0" w:color="828282"/>
                          </w:divBdr>
                          <w:divsChild>
                            <w:div w:id="2083135795">
                              <w:marLeft w:val="0"/>
                              <w:marRight w:val="0"/>
                              <w:marTop w:val="0"/>
                              <w:marBottom w:val="0"/>
                              <w:divBdr>
                                <w:top w:val="none" w:sz="0" w:space="0" w:color="auto"/>
                                <w:left w:val="none" w:sz="0" w:space="0" w:color="auto"/>
                                <w:bottom w:val="none" w:sz="0" w:space="0" w:color="auto"/>
                                <w:right w:val="none" w:sz="0" w:space="0" w:color="auto"/>
                              </w:divBdr>
                              <w:divsChild>
                                <w:div w:id="521436962">
                                  <w:marLeft w:val="0"/>
                                  <w:marRight w:val="0"/>
                                  <w:marTop w:val="0"/>
                                  <w:marBottom w:val="0"/>
                                  <w:divBdr>
                                    <w:top w:val="none" w:sz="0" w:space="0" w:color="auto"/>
                                    <w:left w:val="none" w:sz="0" w:space="0" w:color="auto"/>
                                    <w:bottom w:val="none" w:sz="0" w:space="0" w:color="auto"/>
                                    <w:right w:val="none" w:sz="0" w:space="0" w:color="auto"/>
                                  </w:divBdr>
                                  <w:divsChild>
                                    <w:div w:id="299073112">
                                      <w:marLeft w:val="0"/>
                                      <w:marRight w:val="0"/>
                                      <w:marTop w:val="0"/>
                                      <w:marBottom w:val="0"/>
                                      <w:divBdr>
                                        <w:top w:val="none" w:sz="0" w:space="0" w:color="auto"/>
                                        <w:left w:val="none" w:sz="0" w:space="0" w:color="auto"/>
                                        <w:bottom w:val="none" w:sz="0" w:space="0" w:color="auto"/>
                                        <w:right w:val="none" w:sz="0" w:space="0" w:color="auto"/>
                                      </w:divBdr>
                                      <w:divsChild>
                                        <w:div w:id="248855630">
                                          <w:marLeft w:val="0"/>
                                          <w:marRight w:val="0"/>
                                          <w:marTop w:val="0"/>
                                          <w:marBottom w:val="0"/>
                                          <w:divBdr>
                                            <w:top w:val="none" w:sz="0" w:space="0" w:color="auto"/>
                                            <w:left w:val="none" w:sz="0" w:space="0" w:color="auto"/>
                                            <w:bottom w:val="none" w:sz="0" w:space="0" w:color="auto"/>
                                            <w:right w:val="none" w:sz="0" w:space="0" w:color="auto"/>
                                          </w:divBdr>
                                          <w:divsChild>
                                            <w:div w:id="2070030089">
                                              <w:marLeft w:val="0"/>
                                              <w:marRight w:val="0"/>
                                              <w:marTop w:val="0"/>
                                              <w:marBottom w:val="0"/>
                                              <w:divBdr>
                                                <w:top w:val="none" w:sz="0" w:space="0" w:color="auto"/>
                                                <w:left w:val="none" w:sz="0" w:space="0" w:color="auto"/>
                                                <w:bottom w:val="none" w:sz="0" w:space="0" w:color="auto"/>
                                                <w:right w:val="none" w:sz="0" w:space="0" w:color="auto"/>
                                              </w:divBdr>
                                              <w:divsChild>
                                                <w:div w:id="15786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29579">
      <w:bodyDiv w:val="1"/>
      <w:marLeft w:val="0"/>
      <w:marRight w:val="0"/>
      <w:marTop w:val="0"/>
      <w:marBottom w:val="0"/>
      <w:divBdr>
        <w:top w:val="none" w:sz="0" w:space="0" w:color="auto"/>
        <w:left w:val="none" w:sz="0" w:space="0" w:color="auto"/>
        <w:bottom w:val="none" w:sz="0" w:space="0" w:color="auto"/>
        <w:right w:val="none" w:sz="0" w:space="0" w:color="auto"/>
      </w:divBdr>
    </w:div>
    <w:div w:id="512112956">
      <w:bodyDiv w:val="1"/>
      <w:marLeft w:val="0"/>
      <w:marRight w:val="0"/>
      <w:marTop w:val="0"/>
      <w:marBottom w:val="0"/>
      <w:divBdr>
        <w:top w:val="none" w:sz="0" w:space="0" w:color="auto"/>
        <w:left w:val="none" w:sz="0" w:space="0" w:color="auto"/>
        <w:bottom w:val="none" w:sz="0" w:space="0" w:color="auto"/>
        <w:right w:val="none" w:sz="0" w:space="0" w:color="auto"/>
      </w:divBdr>
      <w:divsChild>
        <w:div w:id="1501848687">
          <w:marLeft w:val="0"/>
          <w:marRight w:val="0"/>
          <w:marTop w:val="0"/>
          <w:marBottom w:val="0"/>
          <w:divBdr>
            <w:top w:val="none" w:sz="0" w:space="0" w:color="auto"/>
            <w:left w:val="none" w:sz="0" w:space="0" w:color="auto"/>
            <w:bottom w:val="none" w:sz="0" w:space="0" w:color="auto"/>
            <w:right w:val="none" w:sz="0" w:space="0" w:color="auto"/>
          </w:divBdr>
          <w:divsChild>
            <w:div w:id="316495550">
              <w:marLeft w:val="0"/>
              <w:marRight w:val="0"/>
              <w:marTop w:val="0"/>
              <w:marBottom w:val="0"/>
              <w:divBdr>
                <w:top w:val="none" w:sz="0" w:space="0" w:color="auto"/>
                <w:left w:val="none" w:sz="0" w:space="0" w:color="auto"/>
                <w:bottom w:val="none" w:sz="0" w:space="0" w:color="auto"/>
                <w:right w:val="none" w:sz="0" w:space="0" w:color="auto"/>
              </w:divBdr>
              <w:divsChild>
                <w:div w:id="730424004">
                  <w:marLeft w:val="0"/>
                  <w:marRight w:val="0"/>
                  <w:marTop w:val="0"/>
                  <w:marBottom w:val="0"/>
                  <w:divBdr>
                    <w:top w:val="none" w:sz="0" w:space="0" w:color="auto"/>
                    <w:left w:val="none" w:sz="0" w:space="0" w:color="auto"/>
                    <w:bottom w:val="none" w:sz="0" w:space="0" w:color="auto"/>
                    <w:right w:val="none" w:sz="0" w:space="0" w:color="auto"/>
                  </w:divBdr>
                  <w:divsChild>
                    <w:div w:id="119419855">
                      <w:marLeft w:val="0"/>
                      <w:marRight w:val="0"/>
                      <w:marTop w:val="0"/>
                      <w:marBottom w:val="0"/>
                      <w:divBdr>
                        <w:top w:val="none" w:sz="0" w:space="0" w:color="auto"/>
                        <w:left w:val="none" w:sz="0" w:space="0" w:color="auto"/>
                        <w:bottom w:val="none" w:sz="0" w:space="0" w:color="auto"/>
                        <w:right w:val="none" w:sz="0" w:space="0" w:color="auto"/>
                      </w:divBdr>
                      <w:divsChild>
                        <w:div w:id="368384586">
                          <w:marLeft w:val="0"/>
                          <w:marRight w:val="0"/>
                          <w:marTop w:val="0"/>
                          <w:marBottom w:val="0"/>
                          <w:divBdr>
                            <w:top w:val="single" w:sz="6" w:space="0" w:color="828282"/>
                            <w:left w:val="single" w:sz="6" w:space="0" w:color="828282"/>
                            <w:bottom w:val="single" w:sz="6" w:space="0" w:color="828282"/>
                            <w:right w:val="single" w:sz="6" w:space="0" w:color="828282"/>
                          </w:divBdr>
                          <w:divsChild>
                            <w:div w:id="837618522">
                              <w:marLeft w:val="0"/>
                              <w:marRight w:val="0"/>
                              <w:marTop w:val="0"/>
                              <w:marBottom w:val="0"/>
                              <w:divBdr>
                                <w:top w:val="none" w:sz="0" w:space="0" w:color="auto"/>
                                <w:left w:val="none" w:sz="0" w:space="0" w:color="auto"/>
                                <w:bottom w:val="none" w:sz="0" w:space="0" w:color="auto"/>
                                <w:right w:val="none" w:sz="0" w:space="0" w:color="auto"/>
                              </w:divBdr>
                              <w:divsChild>
                                <w:div w:id="77482901">
                                  <w:marLeft w:val="0"/>
                                  <w:marRight w:val="0"/>
                                  <w:marTop w:val="0"/>
                                  <w:marBottom w:val="0"/>
                                  <w:divBdr>
                                    <w:top w:val="none" w:sz="0" w:space="0" w:color="auto"/>
                                    <w:left w:val="none" w:sz="0" w:space="0" w:color="auto"/>
                                    <w:bottom w:val="none" w:sz="0" w:space="0" w:color="auto"/>
                                    <w:right w:val="none" w:sz="0" w:space="0" w:color="auto"/>
                                  </w:divBdr>
                                  <w:divsChild>
                                    <w:div w:id="1109397879">
                                      <w:marLeft w:val="0"/>
                                      <w:marRight w:val="0"/>
                                      <w:marTop w:val="0"/>
                                      <w:marBottom w:val="0"/>
                                      <w:divBdr>
                                        <w:top w:val="none" w:sz="0" w:space="0" w:color="auto"/>
                                        <w:left w:val="none" w:sz="0" w:space="0" w:color="auto"/>
                                        <w:bottom w:val="none" w:sz="0" w:space="0" w:color="auto"/>
                                        <w:right w:val="none" w:sz="0" w:space="0" w:color="auto"/>
                                      </w:divBdr>
                                      <w:divsChild>
                                        <w:div w:id="462114176">
                                          <w:marLeft w:val="0"/>
                                          <w:marRight w:val="0"/>
                                          <w:marTop w:val="0"/>
                                          <w:marBottom w:val="0"/>
                                          <w:divBdr>
                                            <w:top w:val="none" w:sz="0" w:space="0" w:color="auto"/>
                                            <w:left w:val="none" w:sz="0" w:space="0" w:color="auto"/>
                                            <w:bottom w:val="none" w:sz="0" w:space="0" w:color="auto"/>
                                            <w:right w:val="none" w:sz="0" w:space="0" w:color="auto"/>
                                          </w:divBdr>
                                          <w:divsChild>
                                            <w:div w:id="766727655">
                                              <w:marLeft w:val="0"/>
                                              <w:marRight w:val="0"/>
                                              <w:marTop w:val="0"/>
                                              <w:marBottom w:val="0"/>
                                              <w:divBdr>
                                                <w:top w:val="none" w:sz="0" w:space="0" w:color="auto"/>
                                                <w:left w:val="none" w:sz="0" w:space="0" w:color="auto"/>
                                                <w:bottom w:val="none" w:sz="0" w:space="0" w:color="auto"/>
                                                <w:right w:val="none" w:sz="0" w:space="0" w:color="auto"/>
                                              </w:divBdr>
                                              <w:divsChild>
                                                <w:div w:id="8504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456889">
      <w:bodyDiv w:val="1"/>
      <w:marLeft w:val="0"/>
      <w:marRight w:val="0"/>
      <w:marTop w:val="0"/>
      <w:marBottom w:val="0"/>
      <w:divBdr>
        <w:top w:val="none" w:sz="0" w:space="0" w:color="auto"/>
        <w:left w:val="none" w:sz="0" w:space="0" w:color="auto"/>
        <w:bottom w:val="none" w:sz="0" w:space="0" w:color="auto"/>
        <w:right w:val="none" w:sz="0" w:space="0" w:color="auto"/>
      </w:divBdr>
    </w:div>
    <w:div w:id="681316363">
      <w:bodyDiv w:val="1"/>
      <w:marLeft w:val="0"/>
      <w:marRight w:val="0"/>
      <w:marTop w:val="0"/>
      <w:marBottom w:val="0"/>
      <w:divBdr>
        <w:top w:val="none" w:sz="0" w:space="0" w:color="auto"/>
        <w:left w:val="none" w:sz="0" w:space="0" w:color="auto"/>
        <w:bottom w:val="none" w:sz="0" w:space="0" w:color="auto"/>
        <w:right w:val="none" w:sz="0" w:space="0" w:color="auto"/>
      </w:divBdr>
    </w:div>
    <w:div w:id="721565413">
      <w:bodyDiv w:val="1"/>
      <w:marLeft w:val="0"/>
      <w:marRight w:val="0"/>
      <w:marTop w:val="0"/>
      <w:marBottom w:val="0"/>
      <w:divBdr>
        <w:top w:val="none" w:sz="0" w:space="0" w:color="auto"/>
        <w:left w:val="none" w:sz="0" w:space="0" w:color="auto"/>
        <w:bottom w:val="none" w:sz="0" w:space="0" w:color="auto"/>
        <w:right w:val="none" w:sz="0" w:space="0" w:color="auto"/>
      </w:divBdr>
    </w:div>
    <w:div w:id="751318816">
      <w:bodyDiv w:val="1"/>
      <w:marLeft w:val="0"/>
      <w:marRight w:val="0"/>
      <w:marTop w:val="0"/>
      <w:marBottom w:val="0"/>
      <w:divBdr>
        <w:top w:val="none" w:sz="0" w:space="0" w:color="auto"/>
        <w:left w:val="none" w:sz="0" w:space="0" w:color="auto"/>
        <w:bottom w:val="none" w:sz="0" w:space="0" w:color="auto"/>
        <w:right w:val="none" w:sz="0" w:space="0" w:color="auto"/>
      </w:divBdr>
      <w:divsChild>
        <w:div w:id="554589011">
          <w:marLeft w:val="0"/>
          <w:marRight w:val="0"/>
          <w:marTop w:val="0"/>
          <w:marBottom w:val="0"/>
          <w:divBdr>
            <w:top w:val="none" w:sz="0" w:space="0" w:color="auto"/>
            <w:left w:val="none" w:sz="0" w:space="0" w:color="auto"/>
            <w:bottom w:val="none" w:sz="0" w:space="0" w:color="auto"/>
            <w:right w:val="none" w:sz="0" w:space="0" w:color="auto"/>
          </w:divBdr>
          <w:divsChild>
            <w:div w:id="536967401">
              <w:marLeft w:val="0"/>
              <w:marRight w:val="0"/>
              <w:marTop w:val="0"/>
              <w:marBottom w:val="0"/>
              <w:divBdr>
                <w:top w:val="none" w:sz="0" w:space="0" w:color="auto"/>
                <w:left w:val="none" w:sz="0" w:space="0" w:color="auto"/>
                <w:bottom w:val="none" w:sz="0" w:space="0" w:color="auto"/>
                <w:right w:val="none" w:sz="0" w:space="0" w:color="auto"/>
              </w:divBdr>
              <w:divsChild>
                <w:div w:id="141626486">
                  <w:marLeft w:val="0"/>
                  <w:marRight w:val="0"/>
                  <w:marTop w:val="0"/>
                  <w:marBottom w:val="0"/>
                  <w:divBdr>
                    <w:top w:val="none" w:sz="0" w:space="0" w:color="auto"/>
                    <w:left w:val="none" w:sz="0" w:space="0" w:color="auto"/>
                    <w:bottom w:val="none" w:sz="0" w:space="0" w:color="auto"/>
                    <w:right w:val="none" w:sz="0" w:space="0" w:color="auto"/>
                  </w:divBdr>
                  <w:divsChild>
                    <w:div w:id="939459444">
                      <w:marLeft w:val="0"/>
                      <w:marRight w:val="0"/>
                      <w:marTop w:val="0"/>
                      <w:marBottom w:val="0"/>
                      <w:divBdr>
                        <w:top w:val="none" w:sz="0" w:space="0" w:color="auto"/>
                        <w:left w:val="none" w:sz="0" w:space="0" w:color="auto"/>
                        <w:bottom w:val="none" w:sz="0" w:space="0" w:color="auto"/>
                        <w:right w:val="none" w:sz="0" w:space="0" w:color="auto"/>
                      </w:divBdr>
                      <w:divsChild>
                        <w:div w:id="1354726587">
                          <w:marLeft w:val="0"/>
                          <w:marRight w:val="0"/>
                          <w:marTop w:val="0"/>
                          <w:marBottom w:val="0"/>
                          <w:divBdr>
                            <w:top w:val="single" w:sz="6" w:space="0" w:color="828282"/>
                            <w:left w:val="single" w:sz="6" w:space="0" w:color="828282"/>
                            <w:bottom w:val="single" w:sz="6" w:space="0" w:color="828282"/>
                            <w:right w:val="single" w:sz="6" w:space="0" w:color="828282"/>
                          </w:divBdr>
                          <w:divsChild>
                            <w:div w:id="501045403">
                              <w:marLeft w:val="0"/>
                              <w:marRight w:val="0"/>
                              <w:marTop w:val="0"/>
                              <w:marBottom w:val="0"/>
                              <w:divBdr>
                                <w:top w:val="none" w:sz="0" w:space="0" w:color="auto"/>
                                <w:left w:val="none" w:sz="0" w:space="0" w:color="auto"/>
                                <w:bottom w:val="none" w:sz="0" w:space="0" w:color="auto"/>
                                <w:right w:val="none" w:sz="0" w:space="0" w:color="auto"/>
                              </w:divBdr>
                              <w:divsChild>
                                <w:div w:id="630749590">
                                  <w:marLeft w:val="0"/>
                                  <w:marRight w:val="0"/>
                                  <w:marTop w:val="0"/>
                                  <w:marBottom w:val="0"/>
                                  <w:divBdr>
                                    <w:top w:val="none" w:sz="0" w:space="0" w:color="auto"/>
                                    <w:left w:val="none" w:sz="0" w:space="0" w:color="auto"/>
                                    <w:bottom w:val="none" w:sz="0" w:space="0" w:color="auto"/>
                                    <w:right w:val="none" w:sz="0" w:space="0" w:color="auto"/>
                                  </w:divBdr>
                                  <w:divsChild>
                                    <w:div w:id="284043041">
                                      <w:marLeft w:val="0"/>
                                      <w:marRight w:val="0"/>
                                      <w:marTop w:val="0"/>
                                      <w:marBottom w:val="0"/>
                                      <w:divBdr>
                                        <w:top w:val="none" w:sz="0" w:space="0" w:color="auto"/>
                                        <w:left w:val="none" w:sz="0" w:space="0" w:color="auto"/>
                                        <w:bottom w:val="none" w:sz="0" w:space="0" w:color="auto"/>
                                        <w:right w:val="none" w:sz="0" w:space="0" w:color="auto"/>
                                      </w:divBdr>
                                      <w:divsChild>
                                        <w:div w:id="1517967056">
                                          <w:marLeft w:val="0"/>
                                          <w:marRight w:val="0"/>
                                          <w:marTop w:val="0"/>
                                          <w:marBottom w:val="0"/>
                                          <w:divBdr>
                                            <w:top w:val="none" w:sz="0" w:space="0" w:color="auto"/>
                                            <w:left w:val="none" w:sz="0" w:space="0" w:color="auto"/>
                                            <w:bottom w:val="none" w:sz="0" w:space="0" w:color="auto"/>
                                            <w:right w:val="none" w:sz="0" w:space="0" w:color="auto"/>
                                          </w:divBdr>
                                          <w:divsChild>
                                            <w:div w:id="864442139">
                                              <w:marLeft w:val="0"/>
                                              <w:marRight w:val="0"/>
                                              <w:marTop w:val="0"/>
                                              <w:marBottom w:val="0"/>
                                              <w:divBdr>
                                                <w:top w:val="none" w:sz="0" w:space="0" w:color="auto"/>
                                                <w:left w:val="none" w:sz="0" w:space="0" w:color="auto"/>
                                                <w:bottom w:val="none" w:sz="0" w:space="0" w:color="auto"/>
                                                <w:right w:val="none" w:sz="0" w:space="0" w:color="auto"/>
                                              </w:divBdr>
                                              <w:divsChild>
                                                <w:div w:id="1231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134866">
      <w:bodyDiv w:val="1"/>
      <w:marLeft w:val="0"/>
      <w:marRight w:val="0"/>
      <w:marTop w:val="0"/>
      <w:marBottom w:val="0"/>
      <w:divBdr>
        <w:top w:val="none" w:sz="0" w:space="0" w:color="auto"/>
        <w:left w:val="none" w:sz="0" w:space="0" w:color="auto"/>
        <w:bottom w:val="none" w:sz="0" w:space="0" w:color="auto"/>
        <w:right w:val="none" w:sz="0" w:space="0" w:color="auto"/>
      </w:divBdr>
      <w:divsChild>
        <w:div w:id="381058832">
          <w:marLeft w:val="0"/>
          <w:marRight w:val="0"/>
          <w:marTop w:val="0"/>
          <w:marBottom w:val="0"/>
          <w:divBdr>
            <w:top w:val="none" w:sz="0" w:space="0" w:color="auto"/>
            <w:left w:val="none" w:sz="0" w:space="0" w:color="auto"/>
            <w:bottom w:val="none" w:sz="0" w:space="0" w:color="auto"/>
            <w:right w:val="none" w:sz="0" w:space="0" w:color="auto"/>
          </w:divBdr>
          <w:divsChild>
            <w:div w:id="22101277">
              <w:marLeft w:val="0"/>
              <w:marRight w:val="0"/>
              <w:marTop w:val="0"/>
              <w:marBottom w:val="0"/>
              <w:divBdr>
                <w:top w:val="none" w:sz="0" w:space="0" w:color="auto"/>
                <w:left w:val="none" w:sz="0" w:space="0" w:color="auto"/>
                <w:bottom w:val="none" w:sz="0" w:space="0" w:color="auto"/>
                <w:right w:val="none" w:sz="0" w:space="0" w:color="auto"/>
              </w:divBdr>
              <w:divsChild>
                <w:div w:id="1079717798">
                  <w:marLeft w:val="0"/>
                  <w:marRight w:val="0"/>
                  <w:marTop w:val="0"/>
                  <w:marBottom w:val="0"/>
                  <w:divBdr>
                    <w:top w:val="none" w:sz="0" w:space="0" w:color="auto"/>
                    <w:left w:val="none" w:sz="0" w:space="0" w:color="auto"/>
                    <w:bottom w:val="none" w:sz="0" w:space="0" w:color="auto"/>
                    <w:right w:val="none" w:sz="0" w:space="0" w:color="auto"/>
                  </w:divBdr>
                  <w:divsChild>
                    <w:div w:id="1382168601">
                      <w:marLeft w:val="0"/>
                      <w:marRight w:val="0"/>
                      <w:marTop w:val="0"/>
                      <w:marBottom w:val="0"/>
                      <w:divBdr>
                        <w:top w:val="none" w:sz="0" w:space="0" w:color="auto"/>
                        <w:left w:val="none" w:sz="0" w:space="0" w:color="auto"/>
                        <w:bottom w:val="none" w:sz="0" w:space="0" w:color="auto"/>
                        <w:right w:val="none" w:sz="0" w:space="0" w:color="auto"/>
                      </w:divBdr>
                      <w:divsChild>
                        <w:div w:id="218441646">
                          <w:marLeft w:val="0"/>
                          <w:marRight w:val="0"/>
                          <w:marTop w:val="0"/>
                          <w:marBottom w:val="0"/>
                          <w:divBdr>
                            <w:top w:val="single" w:sz="6" w:space="0" w:color="828282"/>
                            <w:left w:val="single" w:sz="6" w:space="0" w:color="828282"/>
                            <w:bottom w:val="single" w:sz="6" w:space="0" w:color="828282"/>
                            <w:right w:val="single" w:sz="6" w:space="0" w:color="828282"/>
                          </w:divBdr>
                          <w:divsChild>
                            <w:div w:id="1658147109">
                              <w:marLeft w:val="0"/>
                              <w:marRight w:val="0"/>
                              <w:marTop w:val="0"/>
                              <w:marBottom w:val="0"/>
                              <w:divBdr>
                                <w:top w:val="none" w:sz="0" w:space="0" w:color="auto"/>
                                <w:left w:val="none" w:sz="0" w:space="0" w:color="auto"/>
                                <w:bottom w:val="none" w:sz="0" w:space="0" w:color="auto"/>
                                <w:right w:val="none" w:sz="0" w:space="0" w:color="auto"/>
                              </w:divBdr>
                              <w:divsChild>
                                <w:div w:id="314381129">
                                  <w:marLeft w:val="0"/>
                                  <w:marRight w:val="0"/>
                                  <w:marTop w:val="0"/>
                                  <w:marBottom w:val="0"/>
                                  <w:divBdr>
                                    <w:top w:val="none" w:sz="0" w:space="0" w:color="auto"/>
                                    <w:left w:val="none" w:sz="0" w:space="0" w:color="auto"/>
                                    <w:bottom w:val="none" w:sz="0" w:space="0" w:color="auto"/>
                                    <w:right w:val="none" w:sz="0" w:space="0" w:color="auto"/>
                                  </w:divBdr>
                                  <w:divsChild>
                                    <w:div w:id="1823961633">
                                      <w:marLeft w:val="0"/>
                                      <w:marRight w:val="0"/>
                                      <w:marTop w:val="0"/>
                                      <w:marBottom w:val="0"/>
                                      <w:divBdr>
                                        <w:top w:val="none" w:sz="0" w:space="0" w:color="auto"/>
                                        <w:left w:val="none" w:sz="0" w:space="0" w:color="auto"/>
                                        <w:bottom w:val="none" w:sz="0" w:space="0" w:color="auto"/>
                                        <w:right w:val="none" w:sz="0" w:space="0" w:color="auto"/>
                                      </w:divBdr>
                                      <w:divsChild>
                                        <w:div w:id="203368036">
                                          <w:marLeft w:val="0"/>
                                          <w:marRight w:val="0"/>
                                          <w:marTop w:val="0"/>
                                          <w:marBottom w:val="0"/>
                                          <w:divBdr>
                                            <w:top w:val="none" w:sz="0" w:space="0" w:color="auto"/>
                                            <w:left w:val="none" w:sz="0" w:space="0" w:color="auto"/>
                                            <w:bottom w:val="none" w:sz="0" w:space="0" w:color="auto"/>
                                            <w:right w:val="none" w:sz="0" w:space="0" w:color="auto"/>
                                          </w:divBdr>
                                          <w:divsChild>
                                            <w:div w:id="1897623286">
                                              <w:marLeft w:val="0"/>
                                              <w:marRight w:val="0"/>
                                              <w:marTop w:val="0"/>
                                              <w:marBottom w:val="0"/>
                                              <w:divBdr>
                                                <w:top w:val="none" w:sz="0" w:space="0" w:color="auto"/>
                                                <w:left w:val="none" w:sz="0" w:space="0" w:color="auto"/>
                                                <w:bottom w:val="none" w:sz="0" w:space="0" w:color="auto"/>
                                                <w:right w:val="none" w:sz="0" w:space="0" w:color="auto"/>
                                              </w:divBdr>
                                              <w:divsChild>
                                                <w:div w:id="16077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564403">
      <w:bodyDiv w:val="1"/>
      <w:marLeft w:val="0"/>
      <w:marRight w:val="0"/>
      <w:marTop w:val="0"/>
      <w:marBottom w:val="0"/>
      <w:divBdr>
        <w:top w:val="none" w:sz="0" w:space="0" w:color="auto"/>
        <w:left w:val="none" w:sz="0" w:space="0" w:color="auto"/>
        <w:bottom w:val="none" w:sz="0" w:space="0" w:color="auto"/>
        <w:right w:val="none" w:sz="0" w:space="0" w:color="auto"/>
      </w:divBdr>
      <w:divsChild>
        <w:div w:id="236597306">
          <w:marLeft w:val="0"/>
          <w:marRight w:val="0"/>
          <w:marTop w:val="0"/>
          <w:marBottom w:val="0"/>
          <w:divBdr>
            <w:top w:val="none" w:sz="0" w:space="0" w:color="auto"/>
            <w:left w:val="none" w:sz="0" w:space="0" w:color="auto"/>
            <w:bottom w:val="none" w:sz="0" w:space="0" w:color="auto"/>
            <w:right w:val="none" w:sz="0" w:space="0" w:color="auto"/>
          </w:divBdr>
          <w:divsChild>
            <w:div w:id="402459709">
              <w:marLeft w:val="0"/>
              <w:marRight w:val="0"/>
              <w:marTop w:val="0"/>
              <w:marBottom w:val="0"/>
              <w:divBdr>
                <w:top w:val="none" w:sz="0" w:space="0" w:color="auto"/>
                <w:left w:val="none" w:sz="0" w:space="0" w:color="auto"/>
                <w:bottom w:val="none" w:sz="0" w:space="0" w:color="auto"/>
                <w:right w:val="none" w:sz="0" w:space="0" w:color="auto"/>
              </w:divBdr>
              <w:divsChild>
                <w:div w:id="541600291">
                  <w:marLeft w:val="0"/>
                  <w:marRight w:val="0"/>
                  <w:marTop w:val="0"/>
                  <w:marBottom w:val="0"/>
                  <w:divBdr>
                    <w:top w:val="none" w:sz="0" w:space="0" w:color="auto"/>
                    <w:left w:val="none" w:sz="0" w:space="0" w:color="auto"/>
                    <w:bottom w:val="none" w:sz="0" w:space="0" w:color="auto"/>
                    <w:right w:val="none" w:sz="0" w:space="0" w:color="auto"/>
                  </w:divBdr>
                  <w:divsChild>
                    <w:div w:id="1104805979">
                      <w:marLeft w:val="0"/>
                      <w:marRight w:val="0"/>
                      <w:marTop w:val="0"/>
                      <w:marBottom w:val="0"/>
                      <w:divBdr>
                        <w:top w:val="none" w:sz="0" w:space="0" w:color="auto"/>
                        <w:left w:val="none" w:sz="0" w:space="0" w:color="auto"/>
                        <w:bottom w:val="none" w:sz="0" w:space="0" w:color="auto"/>
                        <w:right w:val="none" w:sz="0" w:space="0" w:color="auto"/>
                      </w:divBdr>
                      <w:divsChild>
                        <w:div w:id="600648809">
                          <w:marLeft w:val="0"/>
                          <w:marRight w:val="0"/>
                          <w:marTop w:val="0"/>
                          <w:marBottom w:val="0"/>
                          <w:divBdr>
                            <w:top w:val="single" w:sz="6" w:space="0" w:color="828282"/>
                            <w:left w:val="single" w:sz="6" w:space="0" w:color="828282"/>
                            <w:bottom w:val="single" w:sz="6" w:space="0" w:color="828282"/>
                            <w:right w:val="single" w:sz="6" w:space="0" w:color="828282"/>
                          </w:divBdr>
                          <w:divsChild>
                            <w:div w:id="1352343555">
                              <w:marLeft w:val="0"/>
                              <w:marRight w:val="0"/>
                              <w:marTop w:val="0"/>
                              <w:marBottom w:val="0"/>
                              <w:divBdr>
                                <w:top w:val="none" w:sz="0" w:space="0" w:color="auto"/>
                                <w:left w:val="none" w:sz="0" w:space="0" w:color="auto"/>
                                <w:bottom w:val="none" w:sz="0" w:space="0" w:color="auto"/>
                                <w:right w:val="none" w:sz="0" w:space="0" w:color="auto"/>
                              </w:divBdr>
                              <w:divsChild>
                                <w:div w:id="926226873">
                                  <w:marLeft w:val="0"/>
                                  <w:marRight w:val="0"/>
                                  <w:marTop w:val="0"/>
                                  <w:marBottom w:val="0"/>
                                  <w:divBdr>
                                    <w:top w:val="none" w:sz="0" w:space="0" w:color="auto"/>
                                    <w:left w:val="none" w:sz="0" w:space="0" w:color="auto"/>
                                    <w:bottom w:val="none" w:sz="0" w:space="0" w:color="auto"/>
                                    <w:right w:val="none" w:sz="0" w:space="0" w:color="auto"/>
                                  </w:divBdr>
                                  <w:divsChild>
                                    <w:div w:id="164396295">
                                      <w:marLeft w:val="0"/>
                                      <w:marRight w:val="0"/>
                                      <w:marTop w:val="0"/>
                                      <w:marBottom w:val="0"/>
                                      <w:divBdr>
                                        <w:top w:val="none" w:sz="0" w:space="0" w:color="auto"/>
                                        <w:left w:val="none" w:sz="0" w:space="0" w:color="auto"/>
                                        <w:bottom w:val="none" w:sz="0" w:space="0" w:color="auto"/>
                                        <w:right w:val="none" w:sz="0" w:space="0" w:color="auto"/>
                                      </w:divBdr>
                                      <w:divsChild>
                                        <w:div w:id="1540050232">
                                          <w:marLeft w:val="0"/>
                                          <w:marRight w:val="0"/>
                                          <w:marTop w:val="0"/>
                                          <w:marBottom w:val="0"/>
                                          <w:divBdr>
                                            <w:top w:val="none" w:sz="0" w:space="0" w:color="auto"/>
                                            <w:left w:val="none" w:sz="0" w:space="0" w:color="auto"/>
                                            <w:bottom w:val="none" w:sz="0" w:space="0" w:color="auto"/>
                                            <w:right w:val="none" w:sz="0" w:space="0" w:color="auto"/>
                                          </w:divBdr>
                                          <w:divsChild>
                                            <w:div w:id="834804663">
                                              <w:marLeft w:val="0"/>
                                              <w:marRight w:val="0"/>
                                              <w:marTop w:val="0"/>
                                              <w:marBottom w:val="0"/>
                                              <w:divBdr>
                                                <w:top w:val="none" w:sz="0" w:space="0" w:color="auto"/>
                                                <w:left w:val="none" w:sz="0" w:space="0" w:color="auto"/>
                                                <w:bottom w:val="none" w:sz="0" w:space="0" w:color="auto"/>
                                                <w:right w:val="none" w:sz="0" w:space="0" w:color="auto"/>
                                              </w:divBdr>
                                              <w:divsChild>
                                                <w:div w:id="20773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516783">
      <w:bodyDiv w:val="1"/>
      <w:marLeft w:val="0"/>
      <w:marRight w:val="0"/>
      <w:marTop w:val="0"/>
      <w:marBottom w:val="0"/>
      <w:divBdr>
        <w:top w:val="none" w:sz="0" w:space="0" w:color="auto"/>
        <w:left w:val="none" w:sz="0" w:space="0" w:color="auto"/>
        <w:bottom w:val="none" w:sz="0" w:space="0" w:color="auto"/>
        <w:right w:val="none" w:sz="0" w:space="0" w:color="auto"/>
      </w:divBdr>
    </w:div>
    <w:div w:id="837619516">
      <w:bodyDiv w:val="1"/>
      <w:marLeft w:val="0"/>
      <w:marRight w:val="0"/>
      <w:marTop w:val="0"/>
      <w:marBottom w:val="0"/>
      <w:divBdr>
        <w:top w:val="none" w:sz="0" w:space="0" w:color="auto"/>
        <w:left w:val="none" w:sz="0" w:space="0" w:color="auto"/>
        <w:bottom w:val="none" w:sz="0" w:space="0" w:color="auto"/>
        <w:right w:val="none" w:sz="0" w:space="0" w:color="auto"/>
      </w:divBdr>
      <w:divsChild>
        <w:div w:id="1921675710">
          <w:marLeft w:val="0"/>
          <w:marRight w:val="0"/>
          <w:marTop w:val="0"/>
          <w:marBottom w:val="0"/>
          <w:divBdr>
            <w:top w:val="none" w:sz="0" w:space="0" w:color="auto"/>
            <w:left w:val="none" w:sz="0" w:space="0" w:color="auto"/>
            <w:bottom w:val="none" w:sz="0" w:space="0" w:color="auto"/>
            <w:right w:val="none" w:sz="0" w:space="0" w:color="auto"/>
          </w:divBdr>
          <w:divsChild>
            <w:div w:id="793989669">
              <w:marLeft w:val="0"/>
              <w:marRight w:val="0"/>
              <w:marTop w:val="0"/>
              <w:marBottom w:val="0"/>
              <w:divBdr>
                <w:top w:val="none" w:sz="0" w:space="0" w:color="auto"/>
                <w:left w:val="none" w:sz="0" w:space="0" w:color="auto"/>
                <w:bottom w:val="none" w:sz="0" w:space="0" w:color="auto"/>
                <w:right w:val="none" w:sz="0" w:space="0" w:color="auto"/>
              </w:divBdr>
              <w:divsChild>
                <w:div w:id="548733229">
                  <w:marLeft w:val="0"/>
                  <w:marRight w:val="0"/>
                  <w:marTop w:val="0"/>
                  <w:marBottom w:val="0"/>
                  <w:divBdr>
                    <w:top w:val="none" w:sz="0" w:space="0" w:color="auto"/>
                    <w:left w:val="none" w:sz="0" w:space="0" w:color="auto"/>
                    <w:bottom w:val="none" w:sz="0" w:space="0" w:color="auto"/>
                    <w:right w:val="none" w:sz="0" w:space="0" w:color="auto"/>
                  </w:divBdr>
                  <w:divsChild>
                    <w:div w:id="448746886">
                      <w:marLeft w:val="0"/>
                      <w:marRight w:val="0"/>
                      <w:marTop w:val="0"/>
                      <w:marBottom w:val="0"/>
                      <w:divBdr>
                        <w:top w:val="none" w:sz="0" w:space="0" w:color="auto"/>
                        <w:left w:val="none" w:sz="0" w:space="0" w:color="auto"/>
                        <w:bottom w:val="none" w:sz="0" w:space="0" w:color="auto"/>
                        <w:right w:val="none" w:sz="0" w:space="0" w:color="auto"/>
                      </w:divBdr>
                      <w:divsChild>
                        <w:div w:id="2069372934">
                          <w:marLeft w:val="0"/>
                          <w:marRight w:val="0"/>
                          <w:marTop w:val="0"/>
                          <w:marBottom w:val="0"/>
                          <w:divBdr>
                            <w:top w:val="single" w:sz="6" w:space="0" w:color="828282"/>
                            <w:left w:val="single" w:sz="6" w:space="0" w:color="828282"/>
                            <w:bottom w:val="single" w:sz="6" w:space="0" w:color="828282"/>
                            <w:right w:val="single" w:sz="6" w:space="0" w:color="828282"/>
                          </w:divBdr>
                          <w:divsChild>
                            <w:div w:id="237981328">
                              <w:marLeft w:val="0"/>
                              <w:marRight w:val="0"/>
                              <w:marTop w:val="0"/>
                              <w:marBottom w:val="0"/>
                              <w:divBdr>
                                <w:top w:val="none" w:sz="0" w:space="0" w:color="auto"/>
                                <w:left w:val="none" w:sz="0" w:space="0" w:color="auto"/>
                                <w:bottom w:val="none" w:sz="0" w:space="0" w:color="auto"/>
                                <w:right w:val="none" w:sz="0" w:space="0" w:color="auto"/>
                              </w:divBdr>
                              <w:divsChild>
                                <w:div w:id="1379940693">
                                  <w:marLeft w:val="0"/>
                                  <w:marRight w:val="0"/>
                                  <w:marTop w:val="0"/>
                                  <w:marBottom w:val="0"/>
                                  <w:divBdr>
                                    <w:top w:val="none" w:sz="0" w:space="0" w:color="auto"/>
                                    <w:left w:val="none" w:sz="0" w:space="0" w:color="auto"/>
                                    <w:bottom w:val="none" w:sz="0" w:space="0" w:color="auto"/>
                                    <w:right w:val="none" w:sz="0" w:space="0" w:color="auto"/>
                                  </w:divBdr>
                                  <w:divsChild>
                                    <w:div w:id="811600088">
                                      <w:marLeft w:val="0"/>
                                      <w:marRight w:val="0"/>
                                      <w:marTop w:val="0"/>
                                      <w:marBottom w:val="0"/>
                                      <w:divBdr>
                                        <w:top w:val="none" w:sz="0" w:space="0" w:color="auto"/>
                                        <w:left w:val="none" w:sz="0" w:space="0" w:color="auto"/>
                                        <w:bottom w:val="none" w:sz="0" w:space="0" w:color="auto"/>
                                        <w:right w:val="none" w:sz="0" w:space="0" w:color="auto"/>
                                      </w:divBdr>
                                      <w:divsChild>
                                        <w:div w:id="190581008">
                                          <w:marLeft w:val="0"/>
                                          <w:marRight w:val="0"/>
                                          <w:marTop w:val="0"/>
                                          <w:marBottom w:val="0"/>
                                          <w:divBdr>
                                            <w:top w:val="none" w:sz="0" w:space="0" w:color="auto"/>
                                            <w:left w:val="none" w:sz="0" w:space="0" w:color="auto"/>
                                            <w:bottom w:val="none" w:sz="0" w:space="0" w:color="auto"/>
                                            <w:right w:val="none" w:sz="0" w:space="0" w:color="auto"/>
                                          </w:divBdr>
                                          <w:divsChild>
                                            <w:div w:id="1690058213">
                                              <w:marLeft w:val="0"/>
                                              <w:marRight w:val="0"/>
                                              <w:marTop w:val="0"/>
                                              <w:marBottom w:val="0"/>
                                              <w:divBdr>
                                                <w:top w:val="none" w:sz="0" w:space="0" w:color="auto"/>
                                                <w:left w:val="none" w:sz="0" w:space="0" w:color="auto"/>
                                                <w:bottom w:val="none" w:sz="0" w:space="0" w:color="auto"/>
                                                <w:right w:val="none" w:sz="0" w:space="0" w:color="auto"/>
                                              </w:divBdr>
                                              <w:divsChild>
                                                <w:div w:id="648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0897716">
      <w:bodyDiv w:val="1"/>
      <w:marLeft w:val="0"/>
      <w:marRight w:val="0"/>
      <w:marTop w:val="0"/>
      <w:marBottom w:val="0"/>
      <w:divBdr>
        <w:top w:val="none" w:sz="0" w:space="0" w:color="auto"/>
        <w:left w:val="none" w:sz="0" w:space="0" w:color="auto"/>
        <w:bottom w:val="none" w:sz="0" w:space="0" w:color="auto"/>
        <w:right w:val="none" w:sz="0" w:space="0" w:color="auto"/>
      </w:divBdr>
    </w:div>
    <w:div w:id="962030412">
      <w:bodyDiv w:val="1"/>
      <w:marLeft w:val="0"/>
      <w:marRight w:val="0"/>
      <w:marTop w:val="0"/>
      <w:marBottom w:val="0"/>
      <w:divBdr>
        <w:top w:val="none" w:sz="0" w:space="0" w:color="auto"/>
        <w:left w:val="none" w:sz="0" w:space="0" w:color="auto"/>
        <w:bottom w:val="none" w:sz="0" w:space="0" w:color="auto"/>
        <w:right w:val="none" w:sz="0" w:space="0" w:color="auto"/>
      </w:divBdr>
    </w:div>
    <w:div w:id="1058868277">
      <w:bodyDiv w:val="1"/>
      <w:marLeft w:val="0"/>
      <w:marRight w:val="0"/>
      <w:marTop w:val="0"/>
      <w:marBottom w:val="0"/>
      <w:divBdr>
        <w:top w:val="none" w:sz="0" w:space="0" w:color="auto"/>
        <w:left w:val="none" w:sz="0" w:space="0" w:color="auto"/>
        <w:bottom w:val="none" w:sz="0" w:space="0" w:color="auto"/>
        <w:right w:val="none" w:sz="0" w:space="0" w:color="auto"/>
      </w:divBdr>
      <w:divsChild>
        <w:div w:id="34164039">
          <w:marLeft w:val="0"/>
          <w:marRight w:val="0"/>
          <w:marTop w:val="0"/>
          <w:marBottom w:val="0"/>
          <w:divBdr>
            <w:top w:val="none" w:sz="0" w:space="0" w:color="auto"/>
            <w:left w:val="none" w:sz="0" w:space="0" w:color="auto"/>
            <w:bottom w:val="none" w:sz="0" w:space="0" w:color="auto"/>
            <w:right w:val="none" w:sz="0" w:space="0" w:color="auto"/>
          </w:divBdr>
          <w:divsChild>
            <w:div w:id="1355306931">
              <w:marLeft w:val="0"/>
              <w:marRight w:val="0"/>
              <w:marTop w:val="0"/>
              <w:marBottom w:val="0"/>
              <w:divBdr>
                <w:top w:val="none" w:sz="0" w:space="0" w:color="auto"/>
                <w:left w:val="none" w:sz="0" w:space="0" w:color="auto"/>
                <w:bottom w:val="none" w:sz="0" w:space="0" w:color="auto"/>
                <w:right w:val="none" w:sz="0" w:space="0" w:color="auto"/>
              </w:divBdr>
              <w:divsChild>
                <w:div w:id="442773820">
                  <w:marLeft w:val="0"/>
                  <w:marRight w:val="0"/>
                  <w:marTop w:val="0"/>
                  <w:marBottom w:val="0"/>
                  <w:divBdr>
                    <w:top w:val="none" w:sz="0" w:space="0" w:color="auto"/>
                    <w:left w:val="none" w:sz="0" w:space="0" w:color="auto"/>
                    <w:bottom w:val="none" w:sz="0" w:space="0" w:color="auto"/>
                    <w:right w:val="none" w:sz="0" w:space="0" w:color="auto"/>
                  </w:divBdr>
                  <w:divsChild>
                    <w:div w:id="1349067789">
                      <w:marLeft w:val="0"/>
                      <w:marRight w:val="0"/>
                      <w:marTop w:val="0"/>
                      <w:marBottom w:val="0"/>
                      <w:divBdr>
                        <w:top w:val="none" w:sz="0" w:space="0" w:color="auto"/>
                        <w:left w:val="none" w:sz="0" w:space="0" w:color="auto"/>
                        <w:bottom w:val="none" w:sz="0" w:space="0" w:color="auto"/>
                        <w:right w:val="none" w:sz="0" w:space="0" w:color="auto"/>
                      </w:divBdr>
                      <w:divsChild>
                        <w:div w:id="100535379">
                          <w:marLeft w:val="0"/>
                          <w:marRight w:val="0"/>
                          <w:marTop w:val="0"/>
                          <w:marBottom w:val="0"/>
                          <w:divBdr>
                            <w:top w:val="single" w:sz="6" w:space="0" w:color="828282"/>
                            <w:left w:val="single" w:sz="6" w:space="0" w:color="828282"/>
                            <w:bottom w:val="single" w:sz="6" w:space="0" w:color="828282"/>
                            <w:right w:val="single" w:sz="6" w:space="0" w:color="828282"/>
                          </w:divBdr>
                          <w:divsChild>
                            <w:div w:id="2016296644">
                              <w:marLeft w:val="0"/>
                              <w:marRight w:val="0"/>
                              <w:marTop w:val="0"/>
                              <w:marBottom w:val="0"/>
                              <w:divBdr>
                                <w:top w:val="none" w:sz="0" w:space="0" w:color="auto"/>
                                <w:left w:val="none" w:sz="0" w:space="0" w:color="auto"/>
                                <w:bottom w:val="none" w:sz="0" w:space="0" w:color="auto"/>
                                <w:right w:val="none" w:sz="0" w:space="0" w:color="auto"/>
                              </w:divBdr>
                              <w:divsChild>
                                <w:div w:id="301155789">
                                  <w:marLeft w:val="0"/>
                                  <w:marRight w:val="0"/>
                                  <w:marTop w:val="0"/>
                                  <w:marBottom w:val="0"/>
                                  <w:divBdr>
                                    <w:top w:val="none" w:sz="0" w:space="0" w:color="auto"/>
                                    <w:left w:val="none" w:sz="0" w:space="0" w:color="auto"/>
                                    <w:bottom w:val="none" w:sz="0" w:space="0" w:color="auto"/>
                                    <w:right w:val="none" w:sz="0" w:space="0" w:color="auto"/>
                                  </w:divBdr>
                                  <w:divsChild>
                                    <w:div w:id="1773672143">
                                      <w:marLeft w:val="0"/>
                                      <w:marRight w:val="0"/>
                                      <w:marTop w:val="0"/>
                                      <w:marBottom w:val="0"/>
                                      <w:divBdr>
                                        <w:top w:val="none" w:sz="0" w:space="0" w:color="auto"/>
                                        <w:left w:val="none" w:sz="0" w:space="0" w:color="auto"/>
                                        <w:bottom w:val="none" w:sz="0" w:space="0" w:color="auto"/>
                                        <w:right w:val="none" w:sz="0" w:space="0" w:color="auto"/>
                                      </w:divBdr>
                                      <w:divsChild>
                                        <w:div w:id="933899877">
                                          <w:marLeft w:val="0"/>
                                          <w:marRight w:val="0"/>
                                          <w:marTop w:val="0"/>
                                          <w:marBottom w:val="0"/>
                                          <w:divBdr>
                                            <w:top w:val="none" w:sz="0" w:space="0" w:color="auto"/>
                                            <w:left w:val="none" w:sz="0" w:space="0" w:color="auto"/>
                                            <w:bottom w:val="none" w:sz="0" w:space="0" w:color="auto"/>
                                            <w:right w:val="none" w:sz="0" w:space="0" w:color="auto"/>
                                          </w:divBdr>
                                          <w:divsChild>
                                            <w:div w:id="979575855">
                                              <w:marLeft w:val="0"/>
                                              <w:marRight w:val="0"/>
                                              <w:marTop w:val="0"/>
                                              <w:marBottom w:val="0"/>
                                              <w:divBdr>
                                                <w:top w:val="none" w:sz="0" w:space="0" w:color="auto"/>
                                                <w:left w:val="none" w:sz="0" w:space="0" w:color="auto"/>
                                                <w:bottom w:val="none" w:sz="0" w:space="0" w:color="auto"/>
                                                <w:right w:val="none" w:sz="0" w:space="0" w:color="auto"/>
                                              </w:divBdr>
                                              <w:divsChild>
                                                <w:div w:id="21467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6941096">
      <w:bodyDiv w:val="1"/>
      <w:marLeft w:val="0"/>
      <w:marRight w:val="0"/>
      <w:marTop w:val="0"/>
      <w:marBottom w:val="0"/>
      <w:divBdr>
        <w:top w:val="none" w:sz="0" w:space="0" w:color="auto"/>
        <w:left w:val="none" w:sz="0" w:space="0" w:color="auto"/>
        <w:bottom w:val="none" w:sz="0" w:space="0" w:color="auto"/>
        <w:right w:val="none" w:sz="0" w:space="0" w:color="auto"/>
      </w:divBdr>
      <w:divsChild>
        <w:div w:id="1518425129">
          <w:marLeft w:val="0"/>
          <w:marRight w:val="0"/>
          <w:marTop w:val="0"/>
          <w:marBottom w:val="0"/>
          <w:divBdr>
            <w:top w:val="none" w:sz="0" w:space="0" w:color="auto"/>
            <w:left w:val="none" w:sz="0" w:space="0" w:color="auto"/>
            <w:bottom w:val="none" w:sz="0" w:space="0" w:color="auto"/>
            <w:right w:val="none" w:sz="0" w:space="0" w:color="auto"/>
          </w:divBdr>
          <w:divsChild>
            <w:div w:id="2003703028">
              <w:marLeft w:val="0"/>
              <w:marRight w:val="0"/>
              <w:marTop w:val="0"/>
              <w:marBottom w:val="0"/>
              <w:divBdr>
                <w:top w:val="none" w:sz="0" w:space="0" w:color="auto"/>
                <w:left w:val="none" w:sz="0" w:space="0" w:color="auto"/>
                <w:bottom w:val="none" w:sz="0" w:space="0" w:color="auto"/>
                <w:right w:val="none" w:sz="0" w:space="0" w:color="auto"/>
              </w:divBdr>
              <w:divsChild>
                <w:div w:id="666371335">
                  <w:marLeft w:val="0"/>
                  <w:marRight w:val="0"/>
                  <w:marTop w:val="0"/>
                  <w:marBottom w:val="0"/>
                  <w:divBdr>
                    <w:top w:val="none" w:sz="0" w:space="0" w:color="auto"/>
                    <w:left w:val="none" w:sz="0" w:space="0" w:color="auto"/>
                    <w:bottom w:val="none" w:sz="0" w:space="0" w:color="auto"/>
                    <w:right w:val="none" w:sz="0" w:space="0" w:color="auto"/>
                  </w:divBdr>
                  <w:divsChild>
                    <w:div w:id="1499151535">
                      <w:marLeft w:val="0"/>
                      <w:marRight w:val="0"/>
                      <w:marTop w:val="0"/>
                      <w:marBottom w:val="0"/>
                      <w:divBdr>
                        <w:top w:val="none" w:sz="0" w:space="0" w:color="auto"/>
                        <w:left w:val="none" w:sz="0" w:space="0" w:color="auto"/>
                        <w:bottom w:val="none" w:sz="0" w:space="0" w:color="auto"/>
                        <w:right w:val="none" w:sz="0" w:space="0" w:color="auto"/>
                      </w:divBdr>
                      <w:divsChild>
                        <w:div w:id="255789706">
                          <w:marLeft w:val="0"/>
                          <w:marRight w:val="0"/>
                          <w:marTop w:val="0"/>
                          <w:marBottom w:val="0"/>
                          <w:divBdr>
                            <w:top w:val="single" w:sz="6" w:space="0" w:color="828282"/>
                            <w:left w:val="single" w:sz="6" w:space="0" w:color="828282"/>
                            <w:bottom w:val="single" w:sz="6" w:space="0" w:color="828282"/>
                            <w:right w:val="single" w:sz="6" w:space="0" w:color="828282"/>
                          </w:divBdr>
                          <w:divsChild>
                            <w:div w:id="1466583626">
                              <w:marLeft w:val="0"/>
                              <w:marRight w:val="0"/>
                              <w:marTop w:val="0"/>
                              <w:marBottom w:val="0"/>
                              <w:divBdr>
                                <w:top w:val="none" w:sz="0" w:space="0" w:color="auto"/>
                                <w:left w:val="none" w:sz="0" w:space="0" w:color="auto"/>
                                <w:bottom w:val="none" w:sz="0" w:space="0" w:color="auto"/>
                                <w:right w:val="none" w:sz="0" w:space="0" w:color="auto"/>
                              </w:divBdr>
                              <w:divsChild>
                                <w:div w:id="1855262990">
                                  <w:marLeft w:val="0"/>
                                  <w:marRight w:val="0"/>
                                  <w:marTop w:val="0"/>
                                  <w:marBottom w:val="0"/>
                                  <w:divBdr>
                                    <w:top w:val="none" w:sz="0" w:space="0" w:color="auto"/>
                                    <w:left w:val="none" w:sz="0" w:space="0" w:color="auto"/>
                                    <w:bottom w:val="none" w:sz="0" w:space="0" w:color="auto"/>
                                    <w:right w:val="none" w:sz="0" w:space="0" w:color="auto"/>
                                  </w:divBdr>
                                  <w:divsChild>
                                    <w:div w:id="1421685048">
                                      <w:marLeft w:val="0"/>
                                      <w:marRight w:val="0"/>
                                      <w:marTop w:val="0"/>
                                      <w:marBottom w:val="0"/>
                                      <w:divBdr>
                                        <w:top w:val="none" w:sz="0" w:space="0" w:color="auto"/>
                                        <w:left w:val="none" w:sz="0" w:space="0" w:color="auto"/>
                                        <w:bottom w:val="none" w:sz="0" w:space="0" w:color="auto"/>
                                        <w:right w:val="none" w:sz="0" w:space="0" w:color="auto"/>
                                      </w:divBdr>
                                      <w:divsChild>
                                        <w:div w:id="1786072041">
                                          <w:marLeft w:val="0"/>
                                          <w:marRight w:val="0"/>
                                          <w:marTop w:val="0"/>
                                          <w:marBottom w:val="0"/>
                                          <w:divBdr>
                                            <w:top w:val="none" w:sz="0" w:space="0" w:color="auto"/>
                                            <w:left w:val="none" w:sz="0" w:space="0" w:color="auto"/>
                                            <w:bottom w:val="none" w:sz="0" w:space="0" w:color="auto"/>
                                            <w:right w:val="none" w:sz="0" w:space="0" w:color="auto"/>
                                          </w:divBdr>
                                          <w:divsChild>
                                            <w:div w:id="15347825">
                                              <w:marLeft w:val="0"/>
                                              <w:marRight w:val="0"/>
                                              <w:marTop w:val="0"/>
                                              <w:marBottom w:val="0"/>
                                              <w:divBdr>
                                                <w:top w:val="none" w:sz="0" w:space="0" w:color="auto"/>
                                                <w:left w:val="none" w:sz="0" w:space="0" w:color="auto"/>
                                                <w:bottom w:val="none" w:sz="0" w:space="0" w:color="auto"/>
                                                <w:right w:val="none" w:sz="0" w:space="0" w:color="auto"/>
                                              </w:divBdr>
                                              <w:divsChild>
                                                <w:div w:id="4920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808667">
      <w:bodyDiv w:val="1"/>
      <w:marLeft w:val="0"/>
      <w:marRight w:val="0"/>
      <w:marTop w:val="0"/>
      <w:marBottom w:val="0"/>
      <w:divBdr>
        <w:top w:val="none" w:sz="0" w:space="0" w:color="auto"/>
        <w:left w:val="none" w:sz="0" w:space="0" w:color="auto"/>
        <w:bottom w:val="none" w:sz="0" w:space="0" w:color="auto"/>
        <w:right w:val="none" w:sz="0" w:space="0" w:color="auto"/>
      </w:divBdr>
    </w:div>
    <w:div w:id="1365061554">
      <w:bodyDiv w:val="1"/>
      <w:marLeft w:val="0"/>
      <w:marRight w:val="0"/>
      <w:marTop w:val="0"/>
      <w:marBottom w:val="0"/>
      <w:divBdr>
        <w:top w:val="none" w:sz="0" w:space="0" w:color="auto"/>
        <w:left w:val="none" w:sz="0" w:space="0" w:color="auto"/>
        <w:bottom w:val="none" w:sz="0" w:space="0" w:color="auto"/>
        <w:right w:val="none" w:sz="0" w:space="0" w:color="auto"/>
      </w:divBdr>
    </w:div>
    <w:div w:id="1383408389">
      <w:bodyDiv w:val="1"/>
      <w:marLeft w:val="0"/>
      <w:marRight w:val="0"/>
      <w:marTop w:val="0"/>
      <w:marBottom w:val="0"/>
      <w:divBdr>
        <w:top w:val="none" w:sz="0" w:space="0" w:color="auto"/>
        <w:left w:val="none" w:sz="0" w:space="0" w:color="auto"/>
        <w:bottom w:val="none" w:sz="0" w:space="0" w:color="auto"/>
        <w:right w:val="none" w:sz="0" w:space="0" w:color="auto"/>
      </w:divBdr>
      <w:divsChild>
        <w:div w:id="164133708">
          <w:marLeft w:val="0"/>
          <w:marRight w:val="0"/>
          <w:marTop w:val="0"/>
          <w:marBottom w:val="0"/>
          <w:divBdr>
            <w:top w:val="none" w:sz="0" w:space="0" w:color="auto"/>
            <w:left w:val="none" w:sz="0" w:space="0" w:color="auto"/>
            <w:bottom w:val="none" w:sz="0" w:space="0" w:color="auto"/>
            <w:right w:val="none" w:sz="0" w:space="0" w:color="auto"/>
          </w:divBdr>
          <w:divsChild>
            <w:div w:id="2065446736">
              <w:marLeft w:val="0"/>
              <w:marRight w:val="0"/>
              <w:marTop w:val="0"/>
              <w:marBottom w:val="0"/>
              <w:divBdr>
                <w:top w:val="none" w:sz="0" w:space="0" w:color="auto"/>
                <w:left w:val="none" w:sz="0" w:space="0" w:color="auto"/>
                <w:bottom w:val="none" w:sz="0" w:space="0" w:color="auto"/>
                <w:right w:val="none" w:sz="0" w:space="0" w:color="auto"/>
              </w:divBdr>
              <w:divsChild>
                <w:div w:id="1143892679">
                  <w:marLeft w:val="0"/>
                  <w:marRight w:val="0"/>
                  <w:marTop w:val="0"/>
                  <w:marBottom w:val="0"/>
                  <w:divBdr>
                    <w:top w:val="none" w:sz="0" w:space="0" w:color="auto"/>
                    <w:left w:val="none" w:sz="0" w:space="0" w:color="auto"/>
                    <w:bottom w:val="none" w:sz="0" w:space="0" w:color="auto"/>
                    <w:right w:val="none" w:sz="0" w:space="0" w:color="auto"/>
                  </w:divBdr>
                  <w:divsChild>
                    <w:div w:id="1730110780">
                      <w:marLeft w:val="0"/>
                      <w:marRight w:val="0"/>
                      <w:marTop w:val="0"/>
                      <w:marBottom w:val="0"/>
                      <w:divBdr>
                        <w:top w:val="none" w:sz="0" w:space="0" w:color="auto"/>
                        <w:left w:val="none" w:sz="0" w:space="0" w:color="auto"/>
                        <w:bottom w:val="none" w:sz="0" w:space="0" w:color="auto"/>
                        <w:right w:val="none" w:sz="0" w:space="0" w:color="auto"/>
                      </w:divBdr>
                      <w:divsChild>
                        <w:div w:id="1713190118">
                          <w:marLeft w:val="0"/>
                          <w:marRight w:val="0"/>
                          <w:marTop w:val="0"/>
                          <w:marBottom w:val="0"/>
                          <w:divBdr>
                            <w:top w:val="single" w:sz="6" w:space="0" w:color="828282"/>
                            <w:left w:val="single" w:sz="6" w:space="0" w:color="828282"/>
                            <w:bottom w:val="single" w:sz="6" w:space="0" w:color="828282"/>
                            <w:right w:val="single" w:sz="6" w:space="0" w:color="828282"/>
                          </w:divBdr>
                          <w:divsChild>
                            <w:div w:id="1964381405">
                              <w:marLeft w:val="0"/>
                              <w:marRight w:val="0"/>
                              <w:marTop w:val="0"/>
                              <w:marBottom w:val="0"/>
                              <w:divBdr>
                                <w:top w:val="none" w:sz="0" w:space="0" w:color="auto"/>
                                <w:left w:val="none" w:sz="0" w:space="0" w:color="auto"/>
                                <w:bottom w:val="none" w:sz="0" w:space="0" w:color="auto"/>
                                <w:right w:val="none" w:sz="0" w:space="0" w:color="auto"/>
                              </w:divBdr>
                              <w:divsChild>
                                <w:div w:id="1058821853">
                                  <w:marLeft w:val="0"/>
                                  <w:marRight w:val="0"/>
                                  <w:marTop w:val="0"/>
                                  <w:marBottom w:val="0"/>
                                  <w:divBdr>
                                    <w:top w:val="none" w:sz="0" w:space="0" w:color="auto"/>
                                    <w:left w:val="none" w:sz="0" w:space="0" w:color="auto"/>
                                    <w:bottom w:val="none" w:sz="0" w:space="0" w:color="auto"/>
                                    <w:right w:val="none" w:sz="0" w:space="0" w:color="auto"/>
                                  </w:divBdr>
                                  <w:divsChild>
                                    <w:div w:id="1324554375">
                                      <w:marLeft w:val="0"/>
                                      <w:marRight w:val="0"/>
                                      <w:marTop w:val="0"/>
                                      <w:marBottom w:val="0"/>
                                      <w:divBdr>
                                        <w:top w:val="none" w:sz="0" w:space="0" w:color="auto"/>
                                        <w:left w:val="none" w:sz="0" w:space="0" w:color="auto"/>
                                        <w:bottom w:val="none" w:sz="0" w:space="0" w:color="auto"/>
                                        <w:right w:val="none" w:sz="0" w:space="0" w:color="auto"/>
                                      </w:divBdr>
                                      <w:divsChild>
                                        <w:div w:id="1391612625">
                                          <w:marLeft w:val="0"/>
                                          <w:marRight w:val="0"/>
                                          <w:marTop w:val="0"/>
                                          <w:marBottom w:val="0"/>
                                          <w:divBdr>
                                            <w:top w:val="none" w:sz="0" w:space="0" w:color="auto"/>
                                            <w:left w:val="none" w:sz="0" w:space="0" w:color="auto"/>
                                            <w:bottom w:val="none" w:sz="0" w:space="0" w:color="auto"/>
                                            <w:right w:val="none" w:sz="0" w:space="0" w:color="auto"/>
                                          </w:divBdr>
                                          <w:divsChild>
                                            <w:div w:id="831524260">
                                              <w:marLeft w:val="0"/>
                                              <w:marRight w:val="0"/>
                                              <w:marTop w:val="0"/>
                                              <w:marBottom w:val="0"/>
                                              <w:divBdr>
                                                <w:top w:val="none" w:sz="0" w:space="0" w:color="auto"/>
                                                <w:left w:val="none" w:sz="0" w:space="0" w:color="auto"/>
                                                <w:bottom w:val="none" w:sz="0" w:space="0" w:color="auto"/>
                                                <w:right w:val="none" w:sz="0" w:space="0" w:color="auto"/>
                                              </w:divBdr>
                                              <w:divsChild>
                                                <w:div w:id="4063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543699">
      <w:bodyDiv w:val="1"/>
      <w:marLeft w:val="0"/>
      <w:marRight w:val="0"/>
      <w:marTop w:val="0"/>
      <w:marBottom w:val="0"/>
      <w:divBdr>
        <w:top w:val="none" w:sz="0" w:space="0" w:color="auto"/>
        <w:left w:val="none" w:sz="0" w:space="0" w:color="auto"/>
        <w:bottom w:val="none" w:sz="0" w:space="0" w:color="auto"/>
        <w:right w:val="none" w:sz="0" w:space="0" w:color="auto"/>
      </w:divBdr>
    </w:div>
    <w:div w:id="1453590870">
      <w:bodyDiv w:val="1"/>
      <w:marLeft w:val="0"/>
      <w:marRight w:val="0"/>
      <w:marTop w:val="0"/>
      <w:marBottom w:val="0"/>
      <w:divBdr>
        <w:top w:val="none" w:sz="0" w:space="0" w:color="auto"/>
        <w:left w:val="none" w:sz="0" w:space="0" w:color="auto"/>
        <w:bottom w:val="none" w:sz="0" w:space="0" w:color="auto"/>
        <w:right w:val="none" w:sz="0" w:space="0" w:color="auto"/>
      </w:divBdr>
      <w:divsChild>
        <w:div w:id="1318455148">
          <w:marLeft w:val="0"/>
          <w:marRight w:val="0"/>
          <w:marTop w:val="0"/>
          <w:marBottom w:val="0"/>
          <w:divBdr>
            <w:top w:val="none" w:sz="0" w:space="0" w:color="auto"/>
            <w:left w:val="none" w:sz="0" w:space="0" w:color="auto"/>
            <w:bottom w:val="none" w:sz="0" w:space="0" w:color="auto"/>
            <w:right w:val="none" w:sz="0" w:space="0" w:color="auto"/>
          </w:divBdr>
          <w:divsChild>
            <w:div w:id="932129253">
              <w:marLeft w:val="0"/>
              <w:marRight w:val="0"/>
              <w:marTop w:val="0"/>
              <w:marBottom w:val="0"/>
              <w:divBdr>
                <w:top w:val="none" w:sz="0" w:space="0" w:color="auto"/>
                <w:left w:val="none" w:sz="0" w:space="0" w:color="auto"/>
                <w:bottom w:val="none" w:sz="0" w:space="0" w:color="auto"/>
                <w:right w:val="none" w:sz="0" w:space="0" w:color="auto"/>
              </w:divBdr>
              <w:divsChild>
                <w:div w:id="1255625989">
                  <w:marLeft w:val="0"/>
                  <w:marRight w:val="0"/>
                  <w:marTop w:val="0"/>
                  <w:marBottom w:val="0"/>
                  <w:divBdr>
                    <w:top w:val="none" w:sz="0" w:space="0" w:color="auto"/>
                    <w:left w:val="none" w:sz="0" w:space="0" w:color="auto"/>
                    <w:bottom w:val="none" w:sz="0" w:space="0" w:color="auto"/>
                    <w:right w:val="none" w:sz="0" w:space="0" w:color="auto"/>
                  </w:divBdr>
                  <w:divsChild>
                    <w:div w:id="87049219">
                      <w:marLeft w:val="0"/>
                      <w:marRight w:val="0"/>
                      <w:marTop w:val="0"/>
                      <w:marBottom w:val="0"/>
                      <w:divBdr>
                        <w:top w:val="none" w:sz="0" w:space="0" w:color="auto"/>
                        <w:left w:val="none" w:sz="0" w:space="0" w:color="auto"/>
                        <w:bottom w:val="none" w:sz="0" w:space="0" w:color="auto"/>
                        <w:right w:val="none" w:sz="0" w:space="0" w:color="auto"/>
                      </w:divBdr>
                      <w:divsChild>
                        <w:div w:id="670912161">
                          <w:marLeft w:val="0"/>
                          <w:marRight w:val="0"/>
                          <w:marTop w:val="0"/>
                          <w:marBottom w:val="0"/>
                          <w:divBdr>
                            <w:top w:val="single" w:sz="6" w:space="0" w:color="828282"/>
                            <w:left w:val="single" w:sz="6" w:space="0" w:color="828282"/>
                            <w:bottom w:val="single" w:sz="6" w:space="0" w:color="828282"/>
                            <w:right w:val="single" w:sz="6" w:space="0" w:color="828282"/>
                          </w:divBdr>
                          <w:divsChild>
                            <w:div w:id="2051609182">
                              <w:marLeft w:val="0"/>
                              <w:marRight w:val="0"/>
                              <w:marTop w:val="0"/>
                              <w:marBottom w:val="0"/>
                              <w:divBdr>
                                <w:top w:val="none" w:sz="0" w:space="0" w:color="auto"/>
                                <w:left w:val="none" w:sz="0" w:space="0" w:color="auto"/>
                                <w:bottom w:val="none" w:sz="0" w:space="0" w:color="auto"/>
                                <w:right w:val="none" w:sz="0" w:space="0" w:color="auto"/>
                              </w:divBdr>
                              <w:divsChild>
                                <w:div w:id="577712578">
                                  <w:marLeft w:val="0"/>
                                  <w:marRight w:val="0"/>
                                  <w:marTop w:val="0"/>
                                  <w:marBottom w:val="0"/>
                                  <w:divBdr>
                                    <w:top w:val="none" w:sz="0" w:space="0" w:color="auto"/>
                                    <w:left w:val="none" w:sz="0" w:space="0" w:color="auto"/>
                                    <w:bottom w:val="none" w:sz="0" w:space="0" w:color="auto"/>
                                    <w:right w:val="none" w:sz="0" w:space="0" w:color="auto"/>
                                  </w:divBdr>
                                  <w:divsChild>
                                    <w:div w:id="924076396">
                                      <w:marLeft w:val="0"/>
                                      <w:marRight w:val="0"/>
                                      <w:marTop w:val="0"/>
                                      <w:marBottom w:val="0"/>
                                      <w:divBdr>
                                        <w:top w:val="none" w:sz="0" w:space="0" w:color="auto"/>
                                        <w:left w:val="none" w:sz="0" w:space="0" w:color="auto"/>
                                        <w:bottom w:val="none" w:sz="0" w:space="0" w:color="auto"/>
                                        <w:right w:val="none" w:sz="0" w:space="0" w:color="auto"/>
                                      </w:divBdr>
                                      <w:divsChild>
                                        <w:div w:id="357434676">
                                          <w:marLeft w:val="0"/>
                                          <w:marRight w:val="0"/>
                                          <w:marTop w:val="0"/>
                                          <w:marBottom w:val="0"/>
                                          <w:divBdr>
                                            <w:top w:val="none" w:sz="0" w:space="0" w:color="auto"/>
                                            <w:left w:val="none" w:sz="0" w:space="0" w:color="auto"/>
                                            <w:bottom w:val="none" w:sz="0" w:space="0" w:color="auto"/>
                                            <w:right w:val="none" w:sz="0" w:space="0" w:color="auto"/>
                                          </w:divBdr>
                                          <w:divsChild>
                                            <w:div w:id="758674047">
                                              <w:marLeft w:val="0"/>
                                              <w:marRight w:val="0"/>
                                              <w:marTop w:val="0"/>
                                              <w:marBottom w:val="0"/>
                                              <w:divBdr>
                                                <w:top w:val="none" w:sz="0" w:space="0" w:color="auto"/>
                                                <w:left w:val="none" w:sz="0" w:space="0" w:color="auto"/>
                                                <w:bottom w:val="none" w:sz="0" w:space="0" w:color="auto"/>
                                                <w:right w:val="none" w:sz="0" w:space="0" w:color="auto"/>
                                              </w:divBdr>
                                              <w:divsChild>
                                                <w:div w:id="15079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3699652">
      <w:bodyDiv w:val="1"/>
      <w:marLeft w:val="0"/>
      <w:marRight w:val="0"/>
      <w:marTop w:val="0"/>
      <w:marBottom w:val="0"/>
      <w:divBdr>
        <w:top w:val="none" w:sz="0" w:space="0" w:color="auto"/>
        <w:left w:val="none" w:sz="0" w:space="0" w:color="auto"/>
        <w:bottom w:val="none" w:sz="0" w:space="0" w:color="auto"/>
        <w:right w:val="none" w:sz="0" w:space="0" w:color="auto"/>
      </w:divBdr>
      <w:divsChild>
        <w:div w:id="1977643081">
          <w:marLeft w:val="0"/>
          <w:marRight w:val="0"/>
          <w:marTop w:val="0"/>
          <w:marBottom w:val="0"/>
          <w:divBdr>
            <w:top w:val="none" w:sz="0" w:space="0" w:color="auto"/>
            <w:left w:val="none" w:sz="0" w:space="0" w:color="auto"/>
            <w:bottom w:val="none" w:sz="0" w:space="0" w:color="auto"/>
            <w:right w:val="none" w:sz="0" w:space="0" w:color="auto"/>
          </w:divBdr>
          <w:divsChild>
            <w:div w:id="1135177899">
              <w:marLeft w:val="0"/>
              <w:marRight w:val="0"/>
              <w:marTop w:val="0"/>
              <w:marBottom w:val="0"/>
              <w:divBdr>
                <w:top w:val="none" w:sz="0" w:space="0" w:color="auto"/>
                <w:left w:val="none" w:sz="0" w:space="0" w:color="auto"/>
                <w:bottom w:val="none" w:sz="0" w:space="0" w:color="auto"/>
                <w:right w:val="none" w:sz="0" w:space="0" w:color="auto"/>
              </w:divBdr>
              <w:divsChild>
                <w:div w:id="1217156507">
                  <w:marLeft w:val="0"/>
                  <w:marRight w:val="0"/>
                  <w:marTop w:val="0"/>
                  <w:marBottom w:val="0"/>
                  <w:divBdr>
                    <w:top w:val="none" w:sz="0" w:space="0" w:color="auto"/>
                    <w:left w:val="none" w:sz="0" w:space="0" w:color="auto"/>
                    <w:bottom w:val="none" w:sz="0" w:space="0" w:color="auto"/>
                    <w:right w:val="none" w:sz="0" w:space="0" w:color="auto"/>
                  </w:divBdr>
                  <w:divsChild>
                    <w:div w:id="1312324221">
                      <w:marLeft w:val="0"/>
                      <w:marRight w:val="0"/>
                      <w:marTop w:val="0"/>
                      <w:marBottom w:val="0"/>
                      <w:divBdr>
                        <w:top w:val="none" w:sz="0" w:space="0" w:color="auto"/>
                        <w:left w:val="none" w:sz="0" w:space="0" w:color="auto"/>
                        <w:bottom w:val="none" w:sz="0" w:space="0" w:color="auto"/>
                        <w:right w:val="none" w:sz="0" w:space="0" w:color="auto"/>
                      </w:divBdr>
                      <w:divsChild>
                        <w:div w:id="1427534031">
                          <w:marLeft w:val="0"/>
                          <w:marRight w:val="0"/>
                          <w:marTop w:val="0"/>
                          <w:marBottom w:val="0"/>
                          <w:divBdr>
                            <w:top w:val="single" w:sz="6" w:space="0" w:color="828282"/>
                            <w:left w:val="single" w:sz="6" w:space="0" w:color="828282"/>
                            <w:bottom w:val="single" w:sz="6" w:space="0" w:color="828282"/>
                            <w:right w:val="single" w:sz="6" w:space="0" w:color="828282"/>
                          </w:divBdr>
                          <w:divsChild>
                            <w:div w:id="455683838">
                              <w:marLeft w:val="0"/>
                              <w:marRight w:val="0"/>
                              <w:marTop w:val="0"/>
                              <w:marBottom w:val="0"/>
                              <w:divBdr>
                                <w:top w:val="none" w:sz="0" w:space="0" w:color="auto"/>
                                <w:left w:val="none" w:sz="0" w:space="0" w:color="auto"/>
                                <w:bottom w:val="none" w:sz="0" w:space="0" w:color="auto"/>
                                <w:right w:val="none" w:sz="0" w:space="0" w:color="auto"/>
                              </w:divBdr>
                              <w:divsChild>
                                <w:div w:id="2082865937">
                                  <w:marLeft w:val="0"/>
                                  <w:marRight w:val="0"/>
                                  <w:marTop w:val="0"/>
                                  <w:marBottom w:val="0"/>
                                  <w:divBdr>
                                    <w:top w:val="none" w:sz="0" w:space="0" w:color="auto"/>
                                    <w:left w:val="none" w:sz="0" w:space="0" w:color="auto"/>
                                    <w:bottom w:val="none" w:sz="0" w:space="0" w:color="auto"/>
                                    <w:right w:val="none" w:sz="0" w:space="0" w:color="auto"/>
                                  </w:divBdr>
                                  <w:divsChild>
                                    <w:div w:id="1359819516">
                                      <w:marLeft w:val="0"/>
                                      <w:marRight w:val="0"/>
                                      <w:marTop w:val="0"/>
                                      <w:marBottom w:val="0"/>
                                      <w:divBdr>
                                        <w:top w:val="none" w:sz="0" w:space="0" w:color="auto"/>
                                        <w:left w:val="none" w:sz="0" w:space="0" w:color="auto"/>
                                        <w:bottom w:val="none" w:sz="0" w:space="0" w:color="auto"/>
                                        <w:right w:val="none" w:sz="0" w:space="0" w:color="auto"/>
                                      </w:divBdr>
                                      <w:divsChild>
                                        <w:div w:id="1146975909">
                                          <w:marLeft w:val="0"/>
                                          <w:marRight w:val="0"/>
                                          <w:marTop w:val="0"/>
                                          <w:marBottom w:val="0"/>
                                          <w:divBdr>
                                            <w:top w:val="none" w:sz="0" w:space="0" w:color="auto"/>
                                            <w:left w:val="none" w:sz="0" w:space="0" w:color="auto"/>
                                            <w:bottom w:val="none" w:sz="0" w:space="0" w:color="auto"/>
                                            <w:right w:val="none" w:sz="0" w:space="0" w:color="auto"/>
                                          </w:divBdr>
                                          <w:divsChild>
                                            <w:div w:id="1148209786">
                                              <w:marLeft w:val="0"/>
                                              <w:marRight w:val="0"/>
                                              <w:marTop w:val="0"/>
                                              <w:marBottom w:val="0"/>
                                              <w:divBdr>
                                                <w:top w:val="none" w:sz="0" w:space="0" w:color="auto"/>
                                                <w:left w:val="none" w:sz="0" w:space="0" w:color="auto"/>
                                                <w:bottom w:val="none" w:sz="0" w:space="0" w:color="auto"/>
                                                <w:right w:val="none" w:sz="0" w:space="0" w:color="auto"/>
                                              </w:divBdr>
                                              <w:divsChild>
                                                <w:div w:id="2854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366983">
      <w:bodyDiv w:val="1"/>
      <w:marLeft w:val="0"/>
      <w:marRight w:val="0"/>
      <w:marTop w:val="0"/>
      <w:marBottom w:val="0"/>
      <w:divBdr>
        <w:top w:val="none" w:sz="0" w:space="0" w:color="auto"/>
        <w:left w:val="none" w:sz="0" w:space="0" w:color="auto"/>
        <w:bottom w:val="none" w:sz="0" w:space="0" w:color="auto"/>
        <w:right w:val="none" w:sz="0" w:space="0" w:color="auto"/>
      </w:divBdr>
      <w:divsChild>
        <w:div w:id="468517874">
          <w:marLeft w:val="0"/>
          <w:marRight w:val="0"/>
          <w:marTop w:val="0"/>
          <w:marBottom w:val="0"/>
          <w:divBdr>
            <w:top w:val="none" w:sz="0" w:space="0" w:color="auto"/>
            <w:left w:val="none" w:sz="0" w:space="0" w:color="auto"/>
            <w:bottom w:val="none" w:sz="0" w:space="0" w:color="auto"/>
            <w:right w:val="none" w:sz="0" w:space="0" w:color="auto"/>
          </w:divBdr>
          <w:divsChild>
            <w:div w:id="927158855">
              <w:marLeft w:val="0"/>
              <w:marRight w:val="0"/>
              <w:marTop w:val="0"/>
              <w:marBottom w:val="0"/>
              <w:divBdr>
                <w:top w:val="none" w:sz="0" w:space="0" w:color="auto"/>
                <w:left w:val="none" w:sz="0" w:space="0" w:color="auto"/>
                <w:bottom w:val="none" w:sz="0" w:space="0" w:color="auto"/>
                <w:right w:val="none" w:sz="0" w:space="0" w:color="auto"/>
              </w:divBdr>
              <w:divsChild>
                <w:div w:id="390228117">
                  <w:marLeft w:val="0"/>
                  <w:marRight w:val="0"/>
                  <w:marTop w:val="0"/>
                  <w:marBottom w:val="0"/>
                  <w:divBdr>
                    <w:top w:val="none" w:sz="0" w:space="0" w:color="auto"/>
                    <w:left w:val="none" w:sz="0" w:space="0" w:color="auto"/>
                    <w:bottom w:val="none" w:sz="0" w:space="0" w:color="auto"/>
                    <w:right w:val="none" w:sz="0" w:space="0" w:color="auto"/>
                  </w:divBdr>
                  <w:divsChild>
                    <w:div w:id="196040677">
                      <w:marLeft w:val="0"/>
                      <w:marRight w:val="0"/>
                      <w:marTop w:val="0"/>
                      <w:marBottom w:val="0"/>
                      <w:divBdr>
                        <w:top w:val="none" w:sz="0" w:space="0" w:color="auto"/>
                        <w:left w:val="none" w:sz="0" w:space="0" w:color="auto"/>
                        <w:bottom w:val="none" w:sz="0" w:space="0" w:color="auto"/>
                        <w:right w:val="none" w:sz="0" w:space="0" w:color="auto"/>
                      </w:divBdr>
                      <w:divsChild>
                        <w:div w:id="1435398699">
                          <w:marLeft w:val="0"/>
                          <w:marRight w:val="0"/>
                          <w:marTop w:val="0"/>
                          <w:marBottom w:val="0"/>
                          <w:divBdr>
                            <w:top w:val="single" w:sz="6" w:space="0" w:color="828282"/>
                            <w:left w:val="single" w:sz="6" w:space="0" w:color="828282"/>
                            <w:bottom w:val="single" w:sz="6" w:space="0" w:color="828282"/>
                            <w:right w:val="single" w:sz="6" w:space="0" w:color="828282"/>
                          </w:divBdr>
                          <w:divsChild>
                            <w:div w:id="456337353">
                              <w:marLeft w:val="0"/>
                              <w:marRight w:val="0"/>
                              <w:marTop w:val="0"/>
                              <w:marBottom w:val="0"/>
                              <w:divBdr>
                                <w:top w:val="none" w:sz="0" w:space="0" w:color="auto"/>
                                <w:left w:val="none" w:sz="0" w:space="0" w:color="auto"/>
                                <w:bottom w:val="none" w:sz="0" w:space="0" w:color="auto"/>
                                <w:right w:val="none" w:sz="0" w:space="0" w:color="auto"/>
                              </w:divBdr>
                              <w:divsChild>
                                <w:div w:id="351538855">
                                  <w:marLeft w:val="0"/>
                                  <w:marRight w:val="0"/>
                                  <w:marTop w:val="0"/>
                                  <w:marBottom w:val="0"/>
                                  <w:divBdr>
                                    <w:top w:val="none" w:sz="0" w:space="0" w:color="auto"/>
                                    <w:left w:val="none" w:sz="0" w:space="0" w:color="auto"/>
                                    <w:bottom w:val="none" w:sz="0" w:space="0" w:color="auto"/>
                                    <w:right w:val="none" w:sz="0" w:space="0" w:color="auto"/>
                                  </w:divBdr>
                                  <w:divsChild>
                                    <w:div w:id="1838155299">
                                      <w:marLeft w:val="0"/>
                                      <w:marRight w:val="0"/>
                                      <w:marTop w:val="0"/>
                                      <w:marBottom w:val="0"/>
                                      <w:divBdr>
                                        <w:top w:val="none" w:sz="0" w:space="0" w:color="auto"/>
                                        <w:left w:val="none" w:sz="0" w:space="0" w:color="auto"/>
                                        <w:bottom w:val="none" w:sz="0" w:space="0" w:color="auto"/>
                                        <w:right w:val="none" w:sz="0" w:space="0" w:color="auto"/>
                                      </w:divBdr>
                                      <w:divsChild>
                                        <w:div w:id="1388726867">
                                          <w:marLeft w:val="0"/>
                                          <w:marRight w:val="0"/>
                                          <w:marTop w:val="0"/>
                                          <w:marBottom w:val="0"/>
                                          <w:divBdr>
                                            <w:top w:val="none" w:sz="0" w:space="0" w:color="auto"/>
                                            <w:left w:val="none" w:sz="0" w:space="0" w:color="auto"/>
                                            <w:bottom w:val="none" w:sz="0" w:space="0" w:color="auto"/>
                                            <w:right w:val="none" w:sz="0" w:space="0" w:color="auto"/>
                                          </w:divBdr>
                                          <w:divsChild>
                                            <w:div w:id="1851409305">
                                              <w:marLeft w:val="0"/>
                                              <w:marRight w:val="0"/>
                                              <w:marTop w:val="0"/>
                                              <w:marBottom w:val="0"/>
                                              <w:divBdr>
                                                <w:top w:val="none" w:sz="0" w:space="0" w:color="auto"/>
                                                <w:left w:val="none" w:sz="0" w:space="0" w:color="auto"/>
                                                <w:bottom w:val="none" w:sz="0" w:space="0" w:color="auto"/>
                                                <w:right w:val="none" w:sz="0" w:space="0" w:color="auto"/>
                                              </w:divBdr>
                                              <w:divsChild>
                                                <w:div w:id="3166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667450">
      <w:bodyDiv w:val="1"/>
      <w:marLeft w:val="0"/>
      <w:marRight w:val="0"/>
      <w:marTop w:val="0"/>
      <w:marBottom w:val="0"/>
      <w:divBdr>
        <w:top w:val="none" w:sz="0" w:space="0" w:color="auto"/>
        <w:left w:val="none" w:sz="0" w:space="0" w:color="auto"/>
        <w:bottom w:val="none" w:sz="0" w:space="0" w:color="auto"/>
        <w:right w:val="none" w:sz="0" w:space="0" w:color="auto"/>
      </w:divBdr>
    </w:div>
    <w:div w:id="1639067101">
      <w:marLeft w:val="0"/>
      <w:marRight w:val="0"/>
      <w:marTop w:val="0"/>
      <w:marBottom w:val="0"/>
      <w:divBdr>
        <w:top w:val="none" w:sz="0" w:space="0" w:color="auto"/>
        <w:left w:val="none" w:sz="0" w:space="0" w:color="auto"/>
        <w:bottom w:val="none" w:sz="0" w:space="0" w:color="auto"/>
        <w:right w:val="none" w:sz="0" w:space="0" w:color="auto"/>
      </w:divBdr>
    </w:div>
    <w:div w:id="1639067103">
      <w:marLeft w:val="0"/>
      <w:marRight w:val="0"/>
      <w:marTop w:val="0"/>
      <w:marBottom w:val="0"/>
      <w:divBdr>
        <w:top w:val="none" w:sz="0" w:space="0" w:color="auto"/>
        <w:left w:val="none" w:sz="0" w:space="0" w:color="auto"/>
        <w:bottom w:val="none" w:sz="0" w:space="0" w:color="auto"/>
        <w:right w:val="none" w:sz="0" w:space="0" w:color="auto"/>
      </w:divBdr>
      <w:divsChild>
        <w:div w:id="1639067127">
          <w:marLeft w:val="0"/>
          <w:marRight w:val="0"/>
          <w:marTop w:val="0"/>
          <w:marBottom w:val="0"/>
          <w:divBdr>
            <w:top w:val="none" w:sz="0" w:space="0" w:color="auto"/>
            <w:left w:val="none" w:sz="0" w:space="0" w:color="auto"/>
            <w:bottom w:val="none" w:sz="0" w:space="0" w:color="auto"/>
            <w:right w:val="none" w:sz="0" w:space="0" w:color="auto"/>
          </w:divBdr>
          <w:divsChild>
            <w:div w:id="1639067117">
              <w:marLeft w:val="0"/>
              <w:marRight w:val="0"/>
              <w:marTop w:val="0"/>
              <w:marBottom w:val="0"/>
              <w:divBdr>
                <w:top w:val="none" w:sz="0" w:space="0" w:color="auto"/>
                <w:left w:val="none" w:sz="0" w:space="0" w:color="auto"/>
                <w:bottom w:val="none" w:sz="0" w:space="0" w:color="auto"/>
                <w:right w:val="none" w:sz="0" w:space="0" w:color="auto"/>
              </w:divBdr>
              <w:divsChild>
                <w:div w:id="1639067113">
                  <w:marLeft w:val="0"/>
                  <w:marRight w:val="0"/>
                  <w:marTop w:val="0"/>
                  <w:marBottom w:val="0"/>
                  <w:divBdr>
                    <w:top w:val="none" w:sz="0" w:space="0" w:color="auto"/>
                    <w:left w:val="none" w:sz="0" w:space="0" w:color="auto"/>
                    <w:bottom w:val="none" w:sz="0" w:space="0" w:color="auto"/>
                    <w:right w:val="none" w:sz="0" w:space="0" w:color="auto"/>
                  </w:divBdr>
                  <w:divsChild>
                    <w:div w:id="1639067132">
                      <w:marLeft w:val="0"/>
                      <w:marRight w:val="0"/>
                      <w:marTop w:val="0"/>
                      <w:marBottom w:val="0"/>
                      <w:divBdr>
                        <w:top w:val="none" w:sz="0" w:space="0" w:color="auto"/>
                        <w:left w:val="none" w:sz="0" w:space="0" w:color="auto"/>
                        <w:bottom w:val="none" w:sz="0" w:space="0" w:color="auto"/>
                        <w:right w:val="none" w:sz="0" w:space="0" w:color="auto"/>
                      </w:divBdr>
                      <w:divsChild>
                        <w:div w:id="16390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067109">
      <w:marLeft w:val="0"/>
      <w:marRight w:val="0"/>
      <w:marTop w:val="0"/>
      <w:marBottom w:val="0"/>
      <w:divBdr>
        <w:top w:val="none" w:sz="0" w:space="0" w:color="auto"/>
        <w:left w:val="none" w:sz="0" w:space="0" w:color="auto"/>
        <w:bottom w:val="none" w:sz="0" w:space="0" w:color="auto"/>
        <w:right w:val="none" w:sz="0" w:space="0" w:color="auto"/>
      </w:divBdr>
      <w:divsChild>
        <w:div w:id="1639067125">
          <w:marLeft w:val="0"/>
          <w:marRight w:val="0"/>
          <w:marTop w:val="0"/>
          <w:marBottom w:val="0"/>
          <w:divBdr>
            <w:top w:val="none" w:sz="0" w:space="0" w:color="auto"/>
            <w:left w:val="none" w:sz="0" w:space="0" w:color="auto"/>
            <w:bottom w:val="none" w:sz="0" w:space="0" w:color="auto"/>
            <w:right w:val="none" w:sz="0" w:space="0" w:color="auto"/>
          </w:divBdr>
          <w:divsChild>
            <w:div w:id="1639067131">
              <w:marLeft w:val="0"/>
              <w:marRight w:val="0"/>
              <w:marTop w:val="0"/>
              <w:marBottom w:val="300"/>
              <w:divBdr>
                <w:top w:val="none" w:sz="0" w:space="0" w:color="auto"/>
                <w:left w:val="none" w:sz="0" w:space="0" w:color="auto"/>
                <w:bottom w:val="none" w:sz="0" w:space="0" w:color="auto"/>
                <w:right w:val="none" w:sz="0" w:space="0" w:color="auto"/>
              </w:divBdr>
              <w:divsChild>
                <w:div w:id="1639067112">
                  <w:marLeft w:val="0"/>
                  <w:marRight w:val="0"/>
                  <w:marTop w:val="0"/>
                  <w:marBottom w:val="0"/>
                  <w:divBdr>
                    <w:top w:val="none" w:sz="0" w:space="0" w:color="auto"/>
                    <w:left w:val="none" w:sz="0" w:space="0" w:color="auto"/>
                    <w:bottom w:val="none" w:sz="0" w:space="0" w:color="auto"/>
                    <w:right w:val="none" w:sz="0" w:space="0" w:color="auto"/>
                  </w:divBdr>
                  <w:divsChild>
                    <w:div w:id="1639067120">
                      <w:marLeft w:val="0"/>
                      <w:marRight w:val="0"/>
                      <w:marTop w:val="0"/>
                      <w:marBottom w:val="0"/>
                      <w:divBdr>
                        <w:top w:val="none" w:sz="0" w:space="0" w:color="auto"/>
                        <w:left w:val="none" w:sz="0" w:space="0" w:color="auto"/>
                        <w:bottom w:val="none" w:sz="0" w:space="0" w:color="auto"/>
                        <w:right w:val="none" w:sz="0" w:space="0" w:color="auto"/>
                      </w:divBdr>
                      <w:divsChild>
                        <w:div w:id="1639067121">
                          <w:marLeft w:val="0"/>
                          <w:marRight w:val="0"/>
                          <w:marTop w:val="0"/>
                          <w:marBottom w:val="0"/>
                          <w:divBdr>
                            <w:top w:val="none" w:sz="0" w:space="0" w:color="auto"/>
                            <w:left w:val="none" w:sz="0" w:space="0" w:color="auto"/>
                            <w:bottom w:val="none" w:sz="0" w:space="0" w:color="auto"/>
                            <w:right w:val="none" w:sz="0" w:space="0" w:color="auto"/>
                          </w:divBdr>
                          <w:divsChild>
                            <w:div w:id="16390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7111">
      <w:marLeft w:val="0"/>
      <w:marRight w:val="0"/>
      <w:marTop w:val="0"/>
      <w:marBottom w:val="0"/>
      <w:divBdr>
        <w:top w:val="none" w:sz="0" w:space="0" w:color="auto"/>
        <w:left w:val="none" w:sz="0" w:space="0" w:color="auto"/>
        <w:bottom w:val="none" w:sz="0" w:space="0" w:color="auto"/>
        <w:right w:val="none" w:sz="0" w:space="0" w:color="auto"/>
      </w:divBdr>
      <w:divsChild>
        <w:div w:id="1639067128">
          <w:marLeft w:val="0"/>
          <w:marRight w:val="0"/>
          <w:marTop w:val="0"/>
          <w:marBottom w:val="0"/>
          <w:divBdr>
            <w:top w:val="none" w:sz="0" w:space="0" w:color="auto"/>
            <w:left w:val="none" w:sz="0" w:space="0" w:color="auto"/>
            <w:bottom w:val="none" w:sz="0" w:space="0" w:color="auto"/>
            <w:right w:val="none" w:sz="0" w:space="0" w:color="auto"/>
          </w:divBdr>
          <w:divsChild>
            <w:div w:id="1639067126">
              <w:marLeft w:val="0"/>
              <w:marRight w:val="0"/>
              <w:marTop w:val="0"/>
              <w:marBottom w:val="0"/>
              <w:divBdr>
                <w:top w:val="none" w:sz="0" w:space="0" w:color="auto"/>
                <w:left w:val="none" w:sz="0" w:space="0" w:color="auto"/>
                <w:bottom w:val="none" w:sz="0" w:space="0" w:color="auto"/>
                <w:right w:val="none" w:sz="0" w:space="0" w:color="auto"/>
              </w:divBdr>
              <w:divsChild>
                <w:div w:id="1639067130">
                  <w:marLeft w:val="0"/>
                  <w:marRight w:val="0"/>
                  <w:marTop w:val="0"/>
                  <w:marBottom w:val="0"/>
                  <w:divBdr>
                    <w:top w:val="none" w:sz="0" w:space="0" w:color="auto"/>
                    <w:left w:val="none" w:sz="0" w:space="0" w:color="auto"/>
                    <w:bottom w:val="none" w:sz="0" w:space="0" w:color="auto"/>
                    <w:right w:val="none" w:sz="0" w:space="0" w:color="auto"/>
                  </w:divBdr>
                  <w:divsChild>
                    <w:div w:id="1639067102">
                      <w:marLeft w:val="0"/>
                      <w:marRight w:val="0"/>
                      <w:marTop w:val="0"/>
                      <w:marBottom w:val="0"/>
                      <w:divBdr>
                        <w:top w:val="none" w:sz="0" w:space="0" w:color="auto"/>
                        <w:left w:val="none" w:sz="0" w:space="0" w:color="auto"/>
                        <w:bottom w:val="none" w:sz="0" w:space="0" w:color="auto"/>
                        <w:right w:val="none" w:sz="0" w:space="0" w:color="auto"/>
                      </w:divBdr>
                      <w:divsChild>
                        <w:div w:id="1639067119">
                          <w:marLeft w:val="0"/>
                          <w:marRight w:val="0"/>
                          <w:marTop w:val="0"/>
                          <w:marBottom w:val="0"/>
                          <w:divBdr>
                            <w:top w:val="none" w:sz="0" w:space="0" w:color="auto"/>
                            <w:left w:val="none" w:sz="0" w:space="0" w:color="auto"/>
                            <w:bottom w:val="none" w:sz="0" w:space="0" w:color="auto"/>
                            <w:right w:val="none" w:sz="0" w:space="0" w:color="auto"/>
                          </w:divBdr>
                          <w:divsChild>
                            <w:div w:id="1639067104">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639067116">
      <w:marLeft w:val="0"/>
      <w:marRight w:val="0"/>
      <w:marTop w:val="0"/>
      <w:marBottom w:val="0"/>
      <w:divBdr>
        <w:top w:val="none" w:sz="0" w:space="0" w:color="auto"/>
        <w:left w:val="none" w:sz="0" w:space="0" w:color="auto"/>
        <w:bottom w:val="none" w:sz="0" w:space="0" w:color="auto"/>
        <w:right w:val="none" w:sz="0" w:space="0" w:color="auto"/>
      </w:divBdr>
      <w:divsChild>
        <w:div w:id="1639067134">
          <w:marLeft w:val="0"/>
          <w:marRight w:val="0"/>
          <w:marTop w:val="0"/>
          <w:marBottom w:val="0"/>
          <w:divBdr>
            <w:top w:val="none" w:sz="0" w:space="0" w:color="auto"/>
            <w:left w:val="none" w:sz="0" w:space="0" w:color="auto"/>
            <w:bottom w:val="none" w:sz="0" w:space="0" w:color="auto"/>
            <w:right w:val="none" w:sz="0" w:space="0" w:color="auto"/>
          </w:divBdr>
          <w:divsChild>
            <w:div w:id="1639067108">
              <w:marLeft w:val="0"/>
              <w:marRight w:val="0"/>
              <w:marTop w:val="0"/>
              <w:marBottom w:val="0"/>
              <w:divBdr>
                <w:top w:val="none" w:sz="0" w:space="0" w:color="auto"/>
                <w:left w:val="none" w:sz="0" w:space="0" w:color="auto"/>
                <w:bottom w:val="none" w:sz="0" w:space="0" w:color="auto"/>
                <w:right w:val="none" w:sz="0" w:space="0" w:color="auto"/>
              </w:divBdr>
              <w:divsChild>
                <w:div w:id="1639067122">
                  <w:marLeft w:val="0"/>
                  <w:marRight w:val="0"/>
                  <w:marTop w:val="0"/>
                  <w:marBottom w:val="0"/>
                  <w:divBdr>
                    <w:top w:val="none" w:sz="0" w:space="0" w:color="auto"/>
                    <w:left w:val="none" w:sz="0" w:space="0" w:color="auto"/>
                    <w:bottom w:val="none" w:sz="0" w:space="0" w:color="auto"/>
                    <w:right w:val="none" w:sz="0" w:space="0" w:color="auto"/>
                  </w:divBdr>
                  <w:divsChild>
                    <w:div w:id="1639067100">
                      <w:marLeft w:val="0"/>
                      <w:marRight w:val="0"/>
                      <w:marTop w:val="0"/>
                      <w:marBottom w:val="0"/>
                      <w:divBdr>
                        <w:top w:val="none" w:sz="0" w:space="0" w:color="auto"/>
                        <w:left w:val="none" w:sz="0" w:space="0" w:color="auto"/>
                        <w:bottom w:val="none" w:sz="0" w:space="0" w:color="auto"/>
                        <w:right w:val="none" w:sz="0" w:space="0" w:color="auto"/>
                      </w:divBdr>
                      <w:divsChild>
                        <w:div w:id="1639067133">
                          <w:marLeft w:val="0"/>
                          <w:marRight w:val="0"/>
                          <w:marTop w:val="0"/>
                          <w:marBottom w:val="0"/>
                          <w:divBdr>
                            <w:top w:val="none" w:sz="0" w:space="0" w:color="auto"/>
                            <w:left w:val="none" w:sz="0" w:space="0" w:color="auto"/>
                            <w:bottom w:val="none" w:sz="0" w:space="0" w:color="auto"/>
                            <w:right w:val="none" w:sz="0" w:space="0" w:color="auto"/>
                          </w:divBdr>
                          <w:divsChild>
                            <w:div w:id="16390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7123">
      <w:marLeft w:val="0"/>
      <w:marRight w:val="0"/>
      <w:marTop w:val="0"/>
      <w:marBottom w:val="0"/>
      <w:divBdr>
        <w:top w:val="none" w:sz="0" w:space="0" w:color="auto"/>
        <w:left w:val="none" w:sz="0" w:space="0" w:color="auto"/>
        <w:bottom w:val="none" w:sz="0" w:space="0" w:color="auto"/>
        <w:right w:val="none" w:sz="0" w:space="0" w:color="auto"/>
      </w:divBdr>
      <w:divsChild>
        <w:div w:id="1639067106">
          <w:marLeft w:val="0"/>
          <w:marRight w:val="0"/>
          <w:marTop w:val="0"/>
          <w:marBottom w:val="0"/>
          <w:divBdr>
            <w:top w:val="none" w:sz="0" w:space="0" w:color="auto"/>
            <w:left w:val="none" w:sz="0" w:space="0" w:color="auto"/>
            <w:bottom w:val="none" w:sz="0" w:space="0" w:color="auto"/>
            <w:right w:val="none" w:sz="0" w:space="0" w:color="auto"/>
          </w:divBdr>
          <w:divsChild>
            <w:div w:id="1639067124">
              <w:marLeft w:val="0"/>
              <w:marRight w:val="0"/>
              <w:marTop w:val="0"/>
              <w:marBottom w:val="300"/>
              <w:divBdr>
                <w:top w:val="none" w:sz="0" w:space="0" w:color="auto"/>
                <w:left w:val="none" w:sz="0" w:space="0" w:color="auto"/>
                <w:bottom w:val="none" w:sz="0" w:space="0" w:color="auto"/>
                <w:right w:val="none" w:sz="0" w:space="0" w:color="auto"/>
              </w:divBdr>
              <w:divsChild>
                <w:div w:id="1639067110">
                  <w:marLeft w:val="0"/>
                  <w:marRight w:val="0"/>
                  <w:marTop w:val="0"/>
                  <w:marBottom w:val="0"/>
                  <w:divBdr>
                    <w:top w:val="none" w:sz="0" w:space="0" w:color="auto"/>
                    <w:left w:val="none" w:sz="0" w:space="0" w:color="auto"/>
                    <w:bottom w:val="none" w:sz="0" w:space="0" w:color="auto"/>
                    <w:right w:val="none" w:sz="0" w:space="0" w:color="auto"/>
                  </w:divBdr>
                  <w:divsChild>
                    <w:div w:id="1639067115">
                      <w:marLeft w:val="0"/>
                      <w:marRight w:val="0"/>
                      <w:marTop w:val="0"/>
                      <w:marBottom w:val="0"/>
                      <w:divBdr>
                        <w:top w:val="none" w:sz="0" w:space="0" w:color="auto"/>
                        <w:left w:val="none" w:sz="0" w:space="0" w:color="auto"/>
                        <w:bottom w:val="none" w:sz="0" w:space="0" w:color="auto"/>
                        <w:right w:val="none" w:sz="0" w:space="0" w:color="auto"/>
                      </w:divBdr>
                      <w:divsChild>
                        <w:div w:id="1639067099">
                          <w:marLeft w:val="0"/>
                          <w:marRight w:val="0"/>
                          <w:marTop w:val="0"/>
                          <w:marBottom w:val="0"/>
                          <w:divBdr>
                            <w:top w:val="none" w:sz="0" w:space="0" w:color="auto"/>
                            <w:left w:val="none" w:sz="0" w:space="0" w:color="auto"/>
                            <w:bottom w:val="none" w:sz="0" w:space="0" w:color="auto"/>
                            <w:right w:val="none" w:sz="0" w:space="0" w:color="auto"/>
                          </w:divBdr>
                          <w:divsChild>
                            <w:div w:id="16390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7129">
      <w:marLeft w:val="0"/>
      <w:marRight w:val="0"/>
      <w:marTop w:val="0"/>
      <w:marBottom w:val="0"/>
      <w:divBdr>
        <w:top w:val="none" w:sz="0" w:space="0" w:color="auto"/>
        <w:left w:val="none" w:sz="0" w:space="0" w:color="auto"/>
        <w:bottom w:val="none" w:sz="0" w:space="0" w:color="auto"/>
        <w:right w:val="none" w:sz="0" w:space="0" w:color="auto"/>
      </w:divBdr>
    </w:div>
    <w:div w:id="1682311851">
      <w:bodyDiv w:val="1"/>
      <w:marLeft w:val="0"/>
      <w:marRight w:val="0"/>
      <w:marTop w:val="0"/>
      <w:marBottom w:val="0"/>
      <w:divBdr>
        <w:top w:val="none" w:sz="0" w:space="0" w:color="auto"/>
        <w:left w:val="none" w:sz="0" w:space="0" w:color="auto"/>
        <w:bottom w:val="none" w:sz="0" w:space="0" w:color="auto"/>
        <w:right w:val="none" w:sz="0" w:space="0" w:color="auto"/>
      </w:divBdr>
    </w:div>
    <w:div w:id="1706714429">
      <w:bodyDiv w:val="1"/>
      <w:marLeft w:val="0"/>
      <w:marRight w:val="0"/>
      <w:marTop w:val="0"/>
      <w:marBottom w:val="0"/>
      <w:divBdr>
        <w:top w:val="none" w:sz="0" w:space="0" w:color="auto"/>
        <w:left w:val="none" w:sz="0" w:space="0" w:color="auto"/>
        <w:bottom w:val="none" w:sz="0" w:space="0" w:color="auto"/>
        <w:right w:val="none" w:sz="0" w:space="0" w:color="auto"/>
      </w:divBdr>
      <w:divsChild>
        <w:div w:id="144858895">
          <w:marLeft w:val="0"/>
          <w:marRight w:val="0"/>
          <w:marTop w:val="0"/>
          <w:marBottom w:val="0"/>
          <w:divBdr>
            <w:top w:val="none" w:sz="0" w:space="0" w:color="auto"/>
            <w:left w:val="none" w:sz="0" w:space="0" w:color="auto"/>
            <w:bottom w:val="none" w:sz="0" w:space="0" w:color="auto"/>
            <w:right w:val="none" w:sz="0" w:space="0" w:color="auto"/>
          </w:divBdr>
          <w:divsChild>
            <w:div w:id="1517386457">
              <w:marLeft w:val="0"/>
              <w:marRight w:val="0"/>
              <w:marTop w:val="0"/>
              <w:marBottom w:val="0"/>
              <w:divBdr>
                <w:top w:val="none" w:sz="0" w:space="0" w:color="auto"/>
                <w:left w:val="none" w:sz="0" w:space="0" w:color="auto"/>
                <w:bottom w:val="none" w:sz="0" w:space="0" w:color="auto"/>
                <w:right w:val="none" w:sz="0" w:space="0" w:color="auto"/>
              </w:divBdr>
              <w:divsChild>
                <w:div w:id="2084062942">
                  <w:marLeft w:val="0"/>
                  <w:marRight w:val="0"/>
                  <w:marTop w:val="0"/>
                  <w:marBottom w:val="0"/>
                  <w:divBdr>
                    <w:top w:val="none" w:sz="0" w:space="0" w:color="auto"/>
                    <w:left w:val="none" w:sz="0" w:space="0" w:color="auto"/>
                    <w:bottom w:val="none" w:sz="0" w:space="0" w:color="auto"/>
                    <w:right w:val="none" w:sz="0" w:space="0" w:color="auto"/>
                  </w:divBdr>
                  <w:divsChild>
                    <w:div w:id="2126003818">
                      <w:marLeft w:val="0"/>
                      <w:marRight w:val="0"/>
                      <w:marTop w:val="0"/>
                      <w:marBottom w:val="0"/>
                      <w:divBdr>
                        <w:top w:val="none" w:sz="0" w:space="0" w:color="auto"/>
                        <w:left w:val="none" w:sz="0" w:space="0" w:color="auto"/>
                        <w:bottom w:val="none" w:sz="0" w:space="0" w:color="auto"/>
                        <w:right w:val="none" w:sz="0" w:space="0" w:color="auto"/>
                      </w:divBdr>
                      <w:divsChild>
                        <w:div w:id="395247856">
                          <w:marLeft w:val="0"/>
                          <w:marRight w:val="0"/>
                          <w:marTop w:val="0"/>
                          <w:marBottom w:val="0"/>
                          <w:divBdr>
                            <w:top w:val="none" w:sz="0" w:space="0" w:color="auto"/>
                            <w:left w:val="none" w:sz="0" w:space="0" w:color="auto"/>
                            <w:bottom w:val="none" w:sz="0" w:space="0" w:color="auto"/>
                            <w:right w:val="none" w:sz="0" w:space="0" w:color="auto"/>
                          </w:divBdr>
                          <w:divsChild>
                            <w:div w:id="728459539">
                              <w:marLeft w:val="0"/>
                              <w:marRight w:val="0"/>
                              <w:marTop w:val="0"/>
                              <w:marBottom w:val="0"/>
                              <w:divBdr>
                                <w:top w:val="single" w:sz="6" w:space="0" w:color="828282"/>
                                <w:left w:val="single" w:sz="6" w:space="0" w:color="828282"/>
                                <w:bottom w:val="single" w:sz="6" w:space="0" w:color="828282"/>
                                <w:right w:val="single" w:sz="6" w:space="0" w:color="828282"/>
                              </w:divBdr>
                              <w:divsChild>
                                <w:div w:id="1403411587">
                                  <w:marLeft w:val="0"/>
                                  <w:marRight w:val="0"/>
                                  <w:marTop w:val="0"/>
                                  <w:marBottom w:val="0"/>
                                  <w:divBdr>
                                    <w:top w:val="none" w:sz="0" w:space="0" w:color="auto"/>
                                    <w:left w:val="none" w:sz="0" w:space="0" w:color="auto"/>
                                    <w:bottom w:val="none" w:sz="0" w:space="0" w:color="auto"/>
                                    <w:right w:val="none" w:sz="0" w:space="0" w:color="auto"/>
                                  </w:divBdr>
                                  <w:divsChild>
                                    <w:div w:id="1836803411">
                                      <w:marLeft w:val="0"/>
                                      <w:marRight w:val="0"/>
                                      <w:marTop w:val="0"/>
                                      <w:marBottom w:val="0"/>
                                      <w:divBdr>
                                        <w:top w:val="none" w:sz="0" w:space="0" w:color="auto"/>
                                        <w:left w:val="none" w:sz="0" w:space="0" w:color="auto"/>
                                        <w:bottom w:val="none" w:sz="0" w:space="0" w:color="auto"/>
                                        <w:right w:val="none" w:sz="0" w:space="0" w:color="auto"/>
                                      </w:divBdr>
                                      <w:divsChild>
                                        <w:div w:id="1198618325">
                                          <w:marLeft w:val="0"/>
                                          <w:marRight w:val="0"/>
                                          <w:marTop w:val="0"/>
                                          <w:marBottom w:val="0"/>
                                          <w:divBdr>
                                            <w:top w:val="none" w:sz="0" w:space="0" w:color="auto"/>
                                            <w:left w:val="none" w:sz="0" w:space="0" w:color="auto"/>
                                            <w:bottom w:val="none" w:sz="0" w:space="0" w:color="auto"/>
                                            <w:right w:val="none" w:sz="0" w:space="0" w:color="auto"/>
                                          </w:divBdr>
                                          <w:divsChild>
                                            <w:div w:id="1225947593">
                                              <w:marLeft w:val="0"/>
                                              <w:marRight w:val="0"/>
                                              <w:marTop w:val="0"/>
                                              <w:marBottom w:val="0"/>
                                              <w:divBdr>
                                                <w:top w:val="none" w:sz="0" w:space="0" w:color="auto"/>
                                                <w:left w:val="none" w:sz="0" w:space="0" w:color="auto"/>
                                                <w:bottom w:val="none" w:sz="0" w:space="0" w:color="auto"/>
                                                <w:right w:val="none" w:sz="0" w:space="0" w:color="auto"/>
                                              </w:divBdr>
                                              <w:divsChild>
                                                <w:div w:id="1784425133">
                                                  <w:marLeft w:val="0"/>
                                                  <w:marRight w:val="0"/>
                                                  <w:marTop w:val="0"/>
                                                  <w:marBottom w:val="0"/>
                                                  <w:divBdr>
                                                    <w:top w:val="none" w:sz="0" w:space="0" w:color="auto"/>
                                                    <w:left w:val="none" w:sz="0" w:space="0" w:color="auto"/>
                                                    <w:bottom w:val="none" w:sz="0" w:space="0" w:color="auto"/>
                                                    <w:right w:val="none" w:sz="0" w:space="0" w:color="auto"/>
                                                  </w:divBdr>
                                                  <w:divsChild>
                                                    <w:div w:id="17690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4395002">
      <w:bodyDiv w:val="1"/>
      <w:marLeft w:val="0"/>
      <w:marRight w:val="0"/>
      <w:marTop w:val="0"/>
      <w:marBottom w:val="0"/>
      <w:divBdr>
        <w:top w:val="none" w:sz="0" w:space="0" w:color="auto"/>
        <w:left w:val="none" w:sz="0" w:space="0" w:color="auto"/>
        <w:bottom w:val="none" w:sz="0" w:space="0" w:color="auto"/>
        <w:right w:val="none" w:sz="0" w:space="0" w:color="auto"/>
      </w:divBdr>
    </w:div>
    <w:div w:id="1843543329">
      <w:bodyDiv w:val="1"/>
      <w:marLeft w:val="0"/>
      <w:marRight w:val="0"/>
      <w:marTop w:val="0"/>
      <w:marBottom w:val="0"/>
      <w:divBdr>
        <w:top w:val="none" w:sz="0" w:space="0" w:color="auto"/>
        <w:left w:val="none" w:sz="0" w:space="0" w:color="auto"/>
        <w:bottom w:val="none" w:sz="0" w:space="0" w:color="auto"/>
        <w:right w:val="none" w:sz="0" w:space="0" w:color="auto"/>
      </w:divBdr>
    </w:div>
    <w:div w:id="1857304016">
      <w:bodyDiv w:val="1"/>
      <w:marLeft w:val="0"/>
      <w:marRight w:val="0"/>
      <w:marTop w:val="0"/>
      <w:marBottom w:val="0"/>
      <w:divBdr>
        <w:top w:val="none" w:sz="0" w:space="0" w:color="auto"/>
        <w:left w:val="none" w:sz="0" w:space="0" w:color="auto"/>
        <w:bottom w:val="none" w:sz="0" w:space="0" w:color="auto"/>
        <w:right w:val="none" w:sz="0" w:space="0" w:color="auto"/>
      </w:divBdr>
    </w:div>
    <w:div w:id="1869101533">
      <w:bodyDiv w:val="1"/>
      <w:marLeft w:val="0"/>
      <w:marRight w:val="0"/>
      <w:marTop w:val="0"/>
      <w:marBottom w:val="0"/>
      <w:divBdr>
        <w:top w:val="none" w:sz="0" w:space="0" w:color="auto"/>
        <w:left w:val="none" w:sz="0" w:space="0" w:color="auto"/>
        <w:bottom w:val="none" w:sz="0" w:space="0" w:color="auto"/>
        <w:right w:val="none" w:sz="0" w:space="0" w:color="auto"/>
      </w:divBdr>
    </w:div>
    <w:div w:id="1876188811">
      <w:bodyDiv w:val="1"/>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sChild>
            <w:div w:id="1485311887">
              <w:marLeft w:val="0"/>
              <w:marRight w:val="0"/>
              <w:marTop w:val="0"/>
              <w:marBottom w:val="0"/>
              <w:divBdr>
                <w:top w:val="none" w:sz="0" w:space="0" w:color="auto"/>
                <w:left w:val="none" w:sz="0" w:space="0" w:color="auto"/>
                <w:bottom w:val="none" w:sz="0" w:space="0" w:color="auto"/>
                <w:right w:val="none" w:sz="0" w:space="0" w:color="auto"/>
              </w:divBdr>
              <w:divsChild>
                <w:div w:id="845827343">
                  <w:marLeft w:val="0"/>
                  <w:marRight w:val="0"/>
                  <w:marTop w:val="0"/>
                  <w:marBottom w:val="0"/>
                  <w:divBdr>
                    <w:top w:val="none" w:sz="0" w:space="0" w:color="auto"/>
                    <w:left w:val="none" w:sz="0" w:space="0" w:color="auto"/>
                    <w:bottom w:val="none" w:sz="0" w:space="0" w:color="auto"/>
                    <w:right w:val="none" w:sz="0" w:space="0" w:color="auto"/>
                  </w:divBdr>
                  <w:divsChild>
                    <w:div w:id="1512061177">
                      <w:marLeft w:val="0"/>
                      <w:marRight w:val="0"/>
                      <w:marTop w:val="0"/>
                      <w:marBottom w:val="0"/>
                      <w:divBdr>
                        <w:top w:val="none" w:sz="0" w:space="0" w:color="auto"/>
                        <w:left w:val="none" w:sz="0" w:space="0" w:color="auto"/>
                        <w:bottom w:val="none" w:sz="0" w:space="0" w:color="auto"/>
                        <w:right w:val="none" w:sz="0" w:space="0" w:color="auto"/>
                      </w:divBdr>
                      <w:divsChild>
                        <w:div w:id="650136483">
                          <w:marLeft w:val="0"/>
                          <w:marRight w:val="0"/>
                          <w:marTop w:val="0"/>
                          <w:marBottom w:val="0"/>
                          <w:divBdr>
                            <w:top w:val="single" w:sz="6" w:space="0" w:color="828282"/>
                            <w:left w:val="single" w:sz="6" w:space="0" w:color="828282"/>
                            <w:bottom w:val="single" w:sz="6" w:space="0" w:color="828282"/>
                            <w:right w:val="single" w:sz="6" w:space="0" w:color="828282"/>
                          </w:divBdr>
                          <w:divsChild>
                            <w:div w:id="906257503">
                              <w:marLeft w:val="0"/>
                              <w:marRight w:val="0"/>
                              <w:marTop w:val="0"/>
                              <w:marBottom w:val="0"/>
                              <w:divBdr>
                                <w:top w:val="none" w:sz="0" w:space="0" w:color="auto"/>
                                <w:left w:val="none" w:sz="0" w:space="0" w:color="auto"/>
                                <w:bottom w:val="none" w:sz="0" w:space="0" w:color="auto"/>
                                <w:right w:val="none" w:sz="0" w:space="0" w:color="auto"/>
                              </w:divBdr>
                              <w:divsChild>
                                <w:div w:id="1924604304">
                                  <w:marLeft w:val="0"/>
                                  <w:marRight w:val="0"/>
                                  <w:marTop w:val="0"/>
                                  <w:marBottom w:val="0"/>
                                  <w:divBdr>
                                    <w:top w:val="none" w:sz="0" w:space="0" w:color="auto"/>
                                    <w:left w:val="none" w:sz="0" w:space="0" w:color="auto"/>
                                    <w:bottom w:val="none" w:sz="0" w:space="0" w:color="auto"/>
                                    <w:right w:val="none" w:sz="0" w:space="0" w:color="auto"/>
                                  </w:divBdr>
                                  <w:divsChild>
                                    <w:div w:id="1005085520">
                                      <w:marLeft w:val="0"/>
                                      <w:marRight w:val="0"/>
                                      <w:marTop w:val="0"/>
                                      <w:marBottom w:val="0"/>
                                      <w:divBdr>
                                        <w:top w:val="none" w:sz="0" w:space="0" w:color="auto"/>
                                        <w:left w:val="none" w:sz="0" w:space="0" w:color="auto"/>
                                        <w:bottom w:val="none" w:sz="0" w:space="0" w:color="auto"/>
                                        <w:right w:val="none" w:sz="0" w:space="0" w:color="auto"/>
                                      </w:divBdr>
                                      <w:divsChild>
                                        <w:div w:id="1952973459">
                                          <w:marLeft w:val="0"/>
                                          <w:marRight w:val="0"/>
                                          <w:marTop w:val="0"/>
                                          <w:marBottom w:val="0"/>
                                          <w:divBdr>
                                            <w:top w:val="none" w:sz="0" w:space="0" w:color="auto"/>
                                            <w:left w:val="none" w:sz="0" w:space="0" w:color="auto"/>
                                            <w:bottom w:val="none" w:sz="0" w:space="0" w:color="auto"/>
                                            <w:right w:val="none" w:sz="0" w:space="0" w:color="auto"/>
                                          </w:divBdr>
                                          <w:divsChild>
                                            <w:div w:id="1428890719">
                                              <w:marLeft w:val="0"/>
                                              <w:marRight w:val="0"/>
                                              <w:marTop w:val="0"/>
                                              <w:marBottom w:val="0"/>
                                              <w:divBdr>
                                                <w:top w:val="none" w:sz="0" w:space="0" w:color="auto"/>
                                                <w:left w:val="none" w:sz="0" w:space="0" w:color="auto"/>
                                                <w:bottom w:val="none" w:sz="0" w:space="0" w:color="auto"/>
                                                <w:right w:val="none" w:sz="0" w:space="0" w:color="auto"/>
                                              </w:divBdr>
                                              <w:divsChild>
                                                <w:div w:id="7005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580463">
      <w:bodyDiv w:val="1"/>
      <w:marLeft w:val="0"/>
      <w:marRight w:val="0"/>
      <w:marTop w:val="0"/>
      <w:marBottom w:val="0"/>
      <w:divBdr>
        <w:top w:val="none" w:sz="0" w:space="0" w:color="auto"/>
        <w:left w:val="none" w:sz="0" w:space="0" w:color="auto"/>
        <w:bottom w:val="none" w:sz="0" w:space="0" w:color="auto"/>
        <w:right w:val="none" w:sz="0" w:space="0" w:color="auto"/>
      </w:divBdr>
      <w:divsChild>
        <w:div w:id="1365131688">
          <w:marLeft w:val="0"/>
          <w:marRight w:val="0"/>
          <w:marTop w:val="0"/>
          <w:marBottom w:val="0"/>
          <w:divBdr>
            <w:top w:val="none" w:sz="0" w:space="0" w:color="auto"/>
            <w:left w:val="none" w:sz="0" w:space="0" w:color="auto"/>
            <w:bottom w:val="none" w:sz="0" w:space="0" w:color="auto"/>
            <w:right w:val="none" w:sz="0" w:space="0" w:color="auto"/>
          </w:divBdr>
          <w:divsChild>
            <w:div w:id="1253783124">
              <w:marLeft w:val="0"/>
              <w:marRight w:val="0"/>
              <w:marTop w:val="0"/>
              <w:marBottom w:val="0"/>
              <w:divBdr>
                <w:top w:val="none" w:sz="0" w:space="0" w:color="auto"/>
                <w:left w:val="none" w:sz="0" w:space="0" w:color="auto"/>
                <w:bottom w:val="none" w:sz="0" w:space="0" w:color="auto"/>
                <w:right w:val="none" w:sz="0" w:space="0" w:color="auto"/>
              </w:divBdr>
              <w:divsChild>
                <w:div w:id="1788352575">
                  <w:marLeft w:val="0"/>
                  <w:marRight w:val="0"/>
                  <w:marTop w:val="0"/>
                  <w:marBottom w:val="0"/>
                  <w:divBdr>
                    <w:top w:val="none" w:sz="0" w:space="0" w:color="auto"/>
                    <w:left w:val="none" w:sz="0" w:space="0" w:color="auto"/>
                    <w:bottom w:val="none" w:sz="0" w:space="0" w:color="auto"/>
                    <w:right w:val="none" w:sz="0" w:space="0" w:color="auto"/>
                  </w:divBdr>
                  <w:divsChild>
                    <w:div w:id="2053573172">
                      <w:marLeft w:val="0"/>
                      <w:marRight w:val="0"/>
                      <w:marTop w:val="0"/>
                      <w:marBottom w:val="0"/>
                      <w:divBdr>
                        <w:top w:val="none" w:sz="0" w:space="0" w:color="auto"/>
                        <w:left w:val="none" w:sz="0" w:space="0" w:color="auto"/>
                        <w:bottom w:val="none" w:sz="0" w:space="0" w:color="auto"/>
                        <w:right w:val="none" w:sz="0" w:space="0" w:color="auto"/>
                      </w:divBdr>
                      <w:divsChild>
                        <w:div w:id="396367780">
                          <w:marLeft w:val="0"/>
                          <w:marRight w:val="0"/>
                          <w:marTop w:val="0"/>
                          <w:marBottom w:val="0"/>
                          <w:divBdr>
                            <w:top w:val="single" w:sz="6" w:space="0" w:color="828282"/>
                            <w:left w:val="single" w:sz="6" w:space="0" w:color="828282"/>
                            <w:bottom w:val="single" w:sz="6" w:space="0" w:color="828282"/>
                            <w:right w:val="single" w:sz="6" w:space="0" w:color="828282"/>
                          </w:divBdr>
                          <w:divsChild>
                            <w:div w:id="1977105566">
                              <w:marLeft w:val="0"/>
                              <w:marRight w:val="0"/>
                              <w:marTop w:val="0"/>
                              <w:marBottom w:val="0"/>
                              <w:divBdr>
                                <w:top w:val="none" w:sz="0" w:space="0" w:color="auto"/>
                                <w:left w:val="none" w:sz="0" w:space="0" w:color="auto"/>
                                <w:bottom w:val="none" w:sz="0" w:space="0" w:color="auto"/>
                                <w:right w:val="none" w:sz="0" w:space="0" w:color="auto"/>
                              </w:divBdr>
                              <w:divsChild>
                                <w:div w:id="565265362">
                                  <w:marLeft w:val="0"/>
                                  <w:marRight w:val="0"/>
                                  <w:marTop w:val="0"/>
                                  <w:marBottom w:val="0"/>
                                  <w:divBdr>
                                    <w:top w:val="none" w:sz="0" w:space="0" w:color="auto"/>
                                    <w:left w:val="none" w:sz="0" w:space="0" w:color="auto"/>
                                    <w:bottom w:val="none" w:sz="0" w:space="0" w:color="auto"/>
                                    <w:right w:val="none" w:sz="0" w:space="0" w:color="auto"/>
                                  </w:divBdr>
                                  <w:divsChild>
                                    <w:div w:id="391733731">
                                      <w:marLeft w:val="0"/>
                                      <w:marRight w:val="0"/>
                                      <w:marTop w:val="0"/>
                                      <w:marBottom w:val="0"/>
                                      <w:divBdr>
                                        <w:top w:val="none" w:sz="0" w:space="0" w:color="auto"/>
                                        <w:left w:val="none" w:sz="0" w:space="0" w:color="auto"/>
                                        <w:bottom w:val="none" w:sz="0" w:space="0" w:color="auto"/>
                                        <w:right w:val="none" w:sz="0" w:space="0" w:color="auto"/>
                                      </w:divBdr>
                                      <w:divsChild>
                                        <w:div w:id="643777384">
                                          <w:marLeft w:val="0"/>
                                          <w:marRight w:val="0"/>
                                          <w:marTop w:val="0"/>
                                          <w:marBottom w:val="0"/>
                                          <w:divBdr>
                                            <w:top w:val="none" w:sz="0" w:space="0" w:color="auto"/>
                                            <w:left w:val="none" w:sz="0" w:space="0" w:color="auto"/>
                                            <w:bottom w:val="none" w:sz="0" w:space="0" w:color="auto"/>
                                            <w:right w:val="none" w:sz="0" w:space="0" w:color="auto"/>
                                          </w:divBdr>
                                          <w:divsChild>
                                            <w:div w:id="1157577823">
                                              <w:marLeft w:val="0"/>
                                              <w:marRight w:val="0"/>
                                              <w:marTop w:val="0"/>
                                              <w:marBottom w:val="0"/>
                                              <w:divBdr>
                                                <w:top w:val="none" w:sz="0" w:space="0" w:color="auto"/>
                                                <w:left w:val="none" w:sz="0" w:space="0" w:color="auto"/>
                                                <w:bottom w:val="none" w:sz="0" w:space="0" w:color="auto"/>
                                                <w:right w:val="none" w:sz="0" w:space="0" w:color="auto"/>
                                              </w:divBdr>
                                              <w:divsChild>
                                                <w:div w:id="329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775683">
      <w:bodyDiv w:val="1"/>
      <w:marLeft w:val="0"/>
      <w:marRight w:val="0"/>
      <w:marTop w:val="0"/>
      <w:marBottom w:val="0"/>
      <w:divBdr>
        <w:top w:val="none" w:sz="0" w:space="0" w:color="auto"/>
        <w:left w:val="none" w:sz="0" w:space="0" w:color="auto"/>
        <w:bottom w:val="none" w:sz="0" w:space="0" w:color="auto"/>
        <w:right w:val="none" w:sz="0" w:space="0" w:color="auto"/>
      </w:divBdr>
      <w:divsChild>
        <w:div w:id="2023512140">
          <w:marLeft w:val="0"/>
          <w:marRight w:val="0"/>
          <w:marTop w:val="0"/>
          <w:marBottom w:val="0"/>
          <w:divBdr>
            <w:top w:val="none" w:sz="0" w:space="0" w:color="auto"/>
            <w:left w:val="none" w:sz="0" w:space="0" w:color="auto"/>
            <w:bottom w:val="none" w:sz="0" w:space="0" w:color="auto"/>
            <w:right w:val="none" w:sz="0" w:space="0" w:color="auto"/>
          </w:divBdr>
          <w:divsChild>
            <w:div w:id="1252393393">
              <w:marLeft w:val="0"/>
              <w:marRight w:val="0"/>
              <w:marTop w:val="0"/>
              <w:marBottom w:val="0"/>
              <w:divBdr>
                <w:top w:val="none" w:sz="0" w:space="0" w:color="auto"/>
                <w:left w:val="none" w:sz="0" w:space="0" w:color="auto"/>
                <w:bottom w:val="none" w:sz="0" w:space="0" w:color="auto"/>
                <w:right w:val="none" w:sz="0" w:space="0" w:color="auto"/>
              </w:divBdr>
              <w:divsChild>
                <w:div w:id="1531911579">
                  <w:marLeft w:val="0"/>
                  <w:marRight w:val="0"/>
                  <w:marTop w:val="0"/>
                  <w:marBottom w:val="0"/>
                  <w:divBdr>
                    <w:top w:val="none" w:sz="0" w:space="0" w:color="auto"/>
                    <w:left w:val="none" w:sz="0" w:space="0" w:color="auto"/>
                    <w:bottom w:val="none" w:sz="0" w:space="0" w:color="auto"/>
                    <w:right w:val="none" w:sz="0" w:space="0" w:color="auto"/>
                  </w:divBdr>
                  <w:divsChild>
                    <w:div w:id="486559799">
                      <w:marLeft w:val="0"/>
                      <w:marRight w:val="0"/>
                      <w:marTop w:val="0"/>
                      <w:marBottom w:val="0"/>
                      <w:divBdr>
                        <w:top w:val="none" w:sz="0" w:space="0" w:color="auto"/>
                        <w:left w:val="none" w:sz="0" w:space="0" w:color="auto"/>
                        <w:bottom w:val="none" w:sz="0" w:space="0" w:color="auto"/>
                        <w:right w:val="none" w:sz="0" w:space="0" w:color="auto"/>
                      </w:divBdr>
                      <w:divsChild>
                        <w:div w:id="174807884">
                          <w:marLeft w:val="0"/>
                          <w:marRight w:val="0"/>
                          <w:marTop w:val="0"/>
                          <w:marBottom w:val="0"/>
                          <w:divBdr>
                            <w:top w:val="single" w:sz="6" w:space="0" w:color="828282"/>
                            <w:left w:val="single" w:sz="6" w:space="0" w:color="828282"/>
                            <w:bottom w:val="single" w:sz="6" w:space="0" w:color="828282"/>
                            <w:right w:val="single" w:sz="6" w:space="0" w:color="828282"/>
                          </w:divBdr>
                          <w:divsChild>
                            <w:div w:id="954409773">
                              <w:marLeft w:val="0"/>
                              <w:marRight w:val="0"/>
                              <w:marTop w:val="0"/>
                              <w:marBottom w:val="0"/>
                              <w:divBdr>
                                <w:top w:val="none" w:sz="0" w:space="0" w:color="auto"/>
                                <w:left w:val="none" w:sz="0" w:space="0" w:color="auto"/>
                                <w:bottom w:val="none" w:sz="0" w:space="0" w:color="auto"/>
                                <w:right w:val="none" w:sz="0" w:space="0" w:color="auto"/>
                              </w:divBdr>
                              <w:divsChild>
                                <w:div w:id="645597102">
                                  <w:marLeft w:val="0"/>
                                  <w:marRight w:val="0"/>
                                  <w:marTop w:val="0"/>
                                  <w:marBottom w:val="0"/>
                                  <w:divBdr>
                                    <w:top w:val="none" w:sz="0" w:space="0" w:color="auto"/>
                                    <w:left w:val="none" w:sz="0" w:space="0" w:color="auto"/>
                                    <w:bottom w:val="none" w:sz="0" w:space="0" w:color="auto"/>
                                    <w:right w:val="none" w:sz="0" w:space="0" w:color="auto"/>
                                  </w:divBdr>
                                  <w:divsChild>
                                    <w:div w:id="1557205434">
                                      <w:marLeft w:val="0"/>
                                      <w:marRight w:val="0"/>
                                      <w:marTop w:val="0"/>
                                      <w:marBottom w:val="0"/>
                                      <w:divBdr>
                                        <w:top w:val="none" w:sz="0" w:space="0" w:color="auto"/>
                                        <w:left w:val="none" w:sz="0" w:space="0" w:color="auto"/>
                                        <w:bottom w:val="none" w:sz="0" w:space="0" w:color="auto"/>
                                        <w:right w:val="none" w:sz="0" w:space="0" w:color="auto"/>
                                      </w:divBdr>
                                      <w:divsChild>
                                        <w:div w:id="1704095701">
                                          <w:marLeft w:val="0"/>
                                          <w:marRight w:val="0"/>
                                          <w:marTop w:val="0"/>
                                          <w:marBottom w:val="0"/>
                                          <w:divBdr>
                                            <w:top w:val="none" w:sz="0" w:space="0" w:color="auto"/>
                                            <w:left w:val="none" w:sz="0" w:space="0" w:color="auto"/>
                                            <w:bottom w:val="none" w:sz="0" w:space="0" w:color="auto"/>
                                            <w:right w:val="none" w:sz="0" w:space="0" w:color="auto"/>
                                          </w:divBdr>
                                          <w:divsChild>
                                            <w:div w:id="424302277">
                                              <w:marLeft w:val="0"/>
                                              <w:marRight w:val="0"/>
                                              <w:marTop w:val="0"/>
                                              <w:marBottom w:val="0"/>
                                              <w:divBdr>
                                                <w:top w:val="none" w:sz="0" w:space="0" w:color="auto"/>
                                                <w:left w:val="none" w:sz="0" w:space="0" w:color="auto"/>
                                                <w:bottom w:val="none" w:sz="0" w:space="0" w:color="auto"/>
                                                <w:right w:val="none" w:sz="0" w:space="0" w:color="auto"/>
                                              </w:divBdr>
                                              <w:divsChild>
                                                <w:div w:id="20273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690983">
      <w:bodyDiv w:val="1"/>
      <w:marLeft w:val="0"/>
      <w:marRight w:val="0"/>
      <w:marTop w:val="0"/>
      <w:marBottom w:val="0"/>
      <w:divBdr>
        <w:top w:val="none" w:sz="0" w:space="0" w:color="auto"/>
        <w:left w:val="none" w:sz="0" w:space="0" w:color="auto"/>
        <w:bottom w:val="none" w:sz="0" w:space="0" w:color="auto"/>
        <w:right w:val="none" w:sz="0" w:space="0" w:color="auto"/>
      </w:divBdr>
    </w:div>
    <w:div w:id="2031711304">
      <w:bodyDiv w:val="1"/>
      <w:marLeft w:val="0"/>
      <w:marRight w:val="0"/>
      <w:marTop w:val="0"/>
      <w:marBottom w:val="0"/>
      <w:divBdr>
        <w:top w:val="none" w:sz="0" w:space="0" w:color="auto"/>
        <w:left w:val="none" w:sz="0" w:space="0" w:color="auto"/>
        <w:bottom w:val="none" w:sz="0" w:space="0" w:color="auto"/>
        <w:right w:val="none" w:sz="0" w:space="0" w:color="auto"/>
      </w:divBdr>
      <w:divsChild>
        <w:div w:id="651639588">
          <w:marLeft w:val="0"/>
          <w:marRight w:val="0"/>
          <w:marTop w:val="0"/>
          <w:marBottom w:val="0"/>
          <w:divBdr>
            <w:top w:val="none" w:sz="0" w:space="0" w:color="auto"/>
            <w:left w:val="none" w:sz="0" w:space="0" w:color="auto"/>
            <w:bottom w:val="none" w:sz="0" w:space="0" w:color="auto"/>
            <w:right w:val="none" w:sz="0" w:space="0" w:color="auto"/>
          </w:divBdr>
          <w:divsChild>
            <w:div w:id="1057894344">
              <w:marLeft w:val="0"/>
              <w:marRight w:val="0"/>
              <w:marTop w:val="0"/>
              <w:marBottom w:val="0"/>
              <w:divBdr>
                <w:top w:val="none" w:sz="0" w:space="0" w:color="auto"/>
                <w:left w:val="none" w:sz="0" w:space="0" w:color="auto"/>
                <w:bottom w:val="none" w:sz="0" w:space="0" w:color="auto"/>
                <w:right w:val="none" w:sz="0" w:space="0" w:color="auto"/>
              </w:divBdr>
              <w:divsChild>
                <w:div w:id="896477045">
                  <w:marLeft w:val="0"/>
                  <w:marRight w:val="0"/>
                  <w:marTop w:val="0"/>
                  <w:marBottom w:val="0"/>
                  <w:divBdr>
                    <w:top w:val="none" w:sz="0" w:space="0" w:color="auto"/>
                    <w:left w:val="none" w:sz="0" w:space="0" w:color="auto"/>
                    <w:bottom w:val="none" w:sz="0" w:space="0" w:color="auto"/>
                    <w:right w:val="none" w:sz="0" w:space="0" w:color="auto"/>
                  </w:divBdr>
                  <w:divsChild>
                    <w:div w:id="1169636204">
                      <w:marLeft w:val="0"/>
                      <w:marRight w:val="0"/>
                      <w:marTop w:val="0"/>
                      <w:marBottom w:val="0"/>
                      <w:divBdr>
                        <w:top w:val="none" w:sz="0" w:space="0" w:color="auto"/>
                        <w:left w:val="none" w:sz="0" w:space="0" w:color="auto"/>
                        <w:bottom w:val="none" w:sz="0" w:space="0" w:color="auto"/>
                        <w:right w:val="none" w:sz="0" w:space="0" w:color="auto"/>
                      </w:divBdr>
                      <w:divsChild>
                        <w:div w:id="395327417">
                          <w:marLeft w:val="0"/>
                          <w:marRight w:val="0"/>
                          <w:marTop w:val="0"/>
                          <w:marBottom w:val="0"/>
                          <w:divBdr>
                            <w:top w:val="none" w:sz="0" w:space="0" w:color="auto"/>
                            <w:left w:val="none" w:sz="0" w:space="0" w:color="auto"/>
                            <w:bottom w:val="none" w:sz="0" w:space="0" w:color="auto"/>
                            <w:right w:val="none" w:sz="0" w:space="0" w:color="auto"/>
                          </w:divBdr>
                          <w:divsChild>
                            <w:div w:id="2108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224033">
      <w:bodyDiv w:val="1"/>
      <w:marLeft w:val="0"/>
      <w:marRight w:val="0"/>
      <w:marTop w:val="0"/>
      <w:marBottom w:val="0"/>
      <w:divBdr>
        <w:top w:val="none" w:sz="0" w:space="0" w:color="auto"/>
        <w:left w:val="none" w:sz="0" w:space="0" w:color="auto"/>
        <w:bottom w:val="none" w:sz="0" w:space="0" w:color="auto"/>
        <w:right w:val="none" w:sz="0" w:space="0" w:color="auto"/>
      </w:divBdr>
      <w:divsChild>
        <w:div w:id="825248843">
          <w:marLeft w:val="0"/>
          <w:marRight w:val="0"/>
          <w:marTop w:val="0"/>
          <w:marBottom w:val="0"/>
          <w:divBdr>
            <w:top w:val="none" w:sz="0" w:space="0" w:color="auto"/>
            <w:left w:val="none" w:sz="0" w:space="0" w:color="auto"/>
            <w:bottom w:val="none" w:sz="0" w:space="0" w:color="auto"/>
            <w:right w:val="none" w:sz="0" w:space="0" w:color="auto"/>
          </w:divBdr>
          <w:divsChild>
            <w:div w:id="726537716">
              <w:marLeft w:val="0"/>
              <w:marRight w:val="0"/>
              <w:marTop w:val="0"/>
              <w:marBottom w:val="0"/>
              <w:divBdr>
                <w:top w:val="none" w:sz="0" w:space="0" w:color="auto"/>
                <w:left w:val="none" w:sz="0" w:space="0" w:color="auto"/>
                <w:bottom w:val="none" w:sz="0" w:space="0" w:color="auto"/>
                <w:right w:val="none" w:sz="0" w:space="0" w:color="auto"/>
              </w:divBdr>
              <w:divsChild>
                <w:div w:id="1584099857">
                  <w:marLeft w:val="0"/>
                  <w:marRight w:val="0"/>
                  <w:marTop w:val="0"/>
                  <w:marBottom w:val="0"/>
                  <w:divBdr>
                    <w:top w:val="none" w:sz="0" w:space="0" w:color="auto"/>
                    <w:left w:val="none" w:sz="0" w:space="0" w:color="auto"/>
                    <w:bottom w:val="none" w:sz="0" w:space="0" w:color="auto"/>
                    <w:right w:val="none" w:sz="0" w:space="0" w:color="auto"/>
                  </w:divBdr>
                  <w:divsChild>
                    <w:div w:id="598683687">
                      <w:marLeft w:val="0"/>
                      <w:marRight w:val="0"/>
                      <w:marTop w:val="0"/>
                      <w:marBottom w:val="0"/>
                      <w:divBdr>
                        <w:top w:val="none" w:sz="0" w:space="0" w:color="auto"/>
                        <w:left w:val="none" w:sz="0" w:space="0" w:color="auto"/>
                        <w:bottom w:val="none" w:sz="0" w:space="0" w:color="auto"/>
                        <w:right w:val="none" w:sz="0" w:space="0" w:color="auto"/>
                      </w:divBdr>
                      <w:divsChild>
                        <w:div w:id="1401978459">
                          <w:marLeft w:val="0"/>
                          <w:marRight w:val="0"/>
                          <w:marTop w:val="0"/>
                          <w:marBottom w:val="0"/>
                          <w:divBdr>
                            <w:top w:val="single" w:sz="6" w:space="0" w:color="828282"/>
                            <w:left w:val="single" w:sz="6" w:space="0" w:color="828282"/>
                            <w:bottom w:val="single" w:sz="6" w:space="0" w:color="828282"/>
                            <w:right w:val="single" w:sz="6" w:space="0" w:color="828282"/>
                          </w:divBdr>
                          <w:divsChild>
                            <w:div w:id="852721445">
                              <w:marLeft w:val="0"/>
                              <w:marRight w:val="0"/>
                              <w:marTop w:val="0"/>
                              <w:marBottom w:val="0"/>
                              <w:divBdr>
                                <w:top w:val="none" w:sz="0" w:space="0" w:color="auto"/>
                                <w:left w:val="none" w:sz="0" w:space="0" w:color="auto"/>
                                <w:bottom w:val="none" w:sz="0" w:space="0" w:color="auto"/>
                                <w:right w:val="none" w:sz="0" w:space="0" w:color="auto"/>
                              </w:divBdr>
                              <w:divsChild>
                                <w:div w:id="851725155">
                                  <w:marLeft w:val="0"/>
                                  <w:marRight w:val="0"/>
                                  <w:marTop w:val="0"/>
                                  <w:marBottom w:val="0"/>
                                  <w:divBdr>
                                    <w:top w:val="none" w:sz="0" w:space="0" w:color="auto"/>
                                    <w:left w:val="none" w:sz="0" w:space="0" w:color="auto"/>
                                    <w:bottom w:val="none" w:sz="0" w:space="0" w:color="auto"/>
                                    <w:right w:val="none" w:sz="0" w:space="0" w:color="auto"/>
                                  </w:divBdr>
                                  <w:divsChild>
                                    <w:div w:id="1276908158">
                                      <w:marLeft w:val="0"/>
                                      <w:marRight w:val="0"/>
                                      <w:marTop w:val="0"/>
                                      <w:marBottom w:val="0"/>
                                      <w:divBdr>
                                        <w:top w:val="none" w:sz="0" w:space="0" w:color="auto"/>
                                        <w:left w:val="none" w:sz="0" w:space="0" w:color="auto"/>
                                        <w:bottom w:val="none" w:sz="0" w:space="0" w:color="auto"/>
                                        <w:right w:val="none" w:sz="0" w:space="0" w:color="auto"/>
                                      </w:divBdr>
                                      <w:divsChild>
                                        <w:div w:id="543181201">
                                          <w:marLeft w:val="0"/>
                                          <w:marRight w:val="0"/>
                                          <w:marTop w:val="0"/>
                                          <w:marBottom w:val="0"/>
                                          <w:divBdr>
                                            <w:top w:val="none" w:sz="0" w:space="0" w:color="auto"/>
                                            <w:left w:val="none" w:sz="0" w:space="0" w:color="auto"/>
                                            <w:bottom w:val="none" w:sz="0" w:space="0" w:color="auto"/>
                                            <w:right w:val="none" w:sz="0" w:space="0" w:color="auto"/>
                                          </w:divBdr>
                                          <w:divsChild>
                                            <w:div w:id="1797872273">
                                              <w:marLeft w:val="0"/>
                                              <w:marRight w:val="0"/>
                                              <w:marTop w:val="0"/>
                                              <w:marBottom w:val="0"/>
                                              <w:divBdr>
                                                <w:top w:val="none" w:sz="0" w:space="0" w:color="auto"/>
                                                <w:left w:val="none" w:sz="0" w:space="0" w:color="auto"/>
                                                <w:bottom w:val="none" w:sz="0" w:space="0" w:color="auto"/>
                                                <w:right w:val="none" w:sz="0" w:space="0" w:color="auto"/>
                                              </w:divBdr>
                                              <w:divsChild>
                                                <w:div w:id="510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232673">
      <w:bodyDiv w:val="1"/>
      <w:marLeft w:val="0"/>
      <w:marRight w:val="0"/>
      <w:marTop w:val="0"/>
      <w:marBottom w:val="0"/>
      <w:divBdr>
        <w:top w:val="none" w:sz="0" w:space="0" w:color="auto"/>
        <w:left w:val="none" w:sz="0" w:space="0" w:color="auto"/>
        <w:bottom w:val="none" w:sz="0" w:space="0" w:color="auto"/>
        <w:right w:val="none" w:sz="0" w:space="0" w:color="auto"/>
      </w:divBdr>
    </w:div>
    <w:div w:id="214172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nvironment.gov.au/climate-change/emissions-reduction-fund/methods/human-induced-regeneration-native-fores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Props1.xml><?xml version="1.0" encoding="utf-8"?>
<ds:datastoreItem xmlns:ds="http://schemas.openxmlformats.org/officeDocument/2006/customXml" ds:itemID="{16ECCB88-D0B9-48A2-A456-4B664FF0E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D730412-602C-4B83-8F83-31F0DAA8225C}">
  <ds:schemaRefs>
    <ds:schemaRef ds:uri="http://schemas.microsoft.com/sharepoint/events"/>
  </ds:schemaRefs>
</ds:datastoreItem>
</file>

<file path=customXml/itemProps3.xml><?xml version="1.0" encoding="utf-8"?>
<ds:datastoreItem xmlns:ds="http://schemas.openxmlformats.org/officeDocument/2006/customXml" ds:itemID="{BF7B6A80-8891-4F7D-87C5-F60CBDE5F031}">
  <ds:schemaRefs>
    <ds:schemaRef ds:uri="http://schemas.microsoft.com/office/2006/metadata/customXsn"/>
  </ds:schemaRefs>
</ds:datastoreItem>
</file>

<file path=customXml/itemProps4.xml><?xml version="1.0" encoding="utf-8"?>
<ds:datastoreItem xmlns:ds="http://schemas.openxmlformats.org/officeDocument/2006/customXml" ds:itemID="{F880921B-846F-48AD-8D35-124C52DDE69C}">
  <ds:schemaRefs>
    <ds:schemaRef ds:uri="http://schemas.microsoft.com/sharepoint/v3/contenttype/forms"/>
  </ds:schemaRefs>
</ds:datastoreItem>
</file>

<file path=customXml/itemProps5.xml><?xml version="1.0" encoding="utf-8"?>
<ds:datastoreItem xmlns:ds="http://schemas.openxmlformats.org/officeDocument/2006/customXml" ds:itemID="{266217C4-BD52-4AA4-95C2-99C7A144706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11284</Words>
  <Characters>64325</Characters>
  <Application>Microsoft Office Word</Application>
  <DocSecurity>4</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2016-03-21T01:51:00Z</dcterms:created>
  <dcterms:modified xsi:type="dcterms:W3CDTF">2016-03-21T01:51:00Z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ies>
</file>