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E4" w:rsidRPr="00271B8C" w:rsidRDefault="00131FD2" w:rsidP="00695AE4">
      <w:pPr>
        <w:spacing w:before="100" w:beforeAutospacing="1" w:after="100" w:afterAutospacing="1"/>
        <w:ind w:right="3"/>
        <w:jc w:val="center"/>
        <w:outlineLvl w:val="0"/>
        <w:rPr>
          <w:rFonts w:eastAsia="Times New Roman" w:cs="Arial"/>
          <w:b/>
          <w:bCs/>
          <w:kern w:val="36"/>
          <w:sz w:val="48"/>
          <w:szCs w:val="48"/>
          <w:lang w:eastAsia="en-AU"/>
        </w:rPr>
      </w:pPr>
      <w:r>
        <w:rPr>
          <w:rFonts w:eastAsia="Times New Roman" w:cs="Arial"/>
          <w:b/>
          <w:bCs/>
          <w:kern w:val="36"/>
          <w:sz w:val="48"/>
          <w:szCs w:val="48"/>
          <w:lang w:val="en-GB" w:eastAsia="en-AU"/>
        </w:rPr>
        <w:t xml:space="preserve">REPLACEMENT </w:t>
      </w:r>
      <w:r w:rsidR="00695AE4" w:rsidRPr="00271B8C">
        <w:rPr>
          <w:rFonts w:eastAsia="Times New Roman" w:cs="Arial"/>
          <w:b/>
          <w:bCs/>
          <w:kern w:val="36"/>
          <w:sz w:val="48"/>
          <w:szCs w:val="48"/>
          <w:lang w:val="en-GB" w:eastAsia="en-AU"/>
        </w:rPr>
        <w:t>EXPLANATORY STATEMENT</w:t>
      </w:r>
    </w:p>
    <w:p w:rsidR="00695AE4" w:rsidRPr="008C73EF" w:rsidRDefault="00695AE4" w:rsidP="00695AE4">
      <w:pPr>
        <w:spacing w:before="100" w:beforeAutospacing="1" w:after="100" w:afterAutospacing="1"/>
        <w:jc w:val="center"/>
        <w:rPr>
          <w:rFonts w:ascii="Times New Roman" w:eastAsia="Times New Roman" w:hAnsi="Times New Roman" w:cs="Times New Roman"/>
          <w:sz w:val="24"/>
          <w:szCs w:val="24"/>
          <w:lang w:eastAsia="en-AU"/>
        </w:rPr>
      </w:pPr>
      <w:bookmarkStart w:id="0" w:name="_GoBack"/>
      <w:bookmarkEnd w:id="0"/>
      <w:r w:rsidRPr="008C73EF">
        <w:rPr>
          <w:rFonts w:ascii="Times New Roman" w:eastAsia="Times New Roman" w:hAnsi="Times New Roman" w:cs="Times New Roman"/>
          <w:lang w:val="en-GB" w:eastAsia="en-AU"/>
        </w:rPr>
        <w:t xml:space="preserve">Issued by the Authority of the </w:t>
      </w:r>
      <w:r>
        <w:rPr>
          <w:rFonts w:ascii="Times New Roman" w:eastAsia="Times New Roman" w:hAnsi="Times New Roman" w:cs="Times New Roman"/>
          <w:lang w:val="en-GB" w:eastAsia="en-AU"/>
        </w:rPr>
        <w:t xml:space="preserve">Minister for Small Business and </w:t>
      </w:r>
      <w:r w:rsidRPr="008C73EF">
        <w:rPr>
          <w:rFonts w:ascii="Times New Roman" w:eastAsia="Times New Roman" w:hAnsi="Times New Roman" w:cs="Times New Roman"/>
          <w:lang w:val="en-GB" w:eastAsia="en-AU"/>
        </w:rPr>
        <w:t>Assistant Treasurer</w:t>
      </w:r>
    </w:p>
    <w:p w:rsidR="00695AE4" w:rsidRPr="008C73EF" w:rsidRDefault="00695AE4" w:rsidP="00695AE4">
      <w:pPr>
        <w:spacing w:before="100" w:beforeAutospacing="1" w:after="100" w:afterAutospacing="1"/>
        <w:ind w:right="3"/>
        <w:jc w:val="center"/>
        <w:rPr>
          <w:rFonts w:ascii="Times New Roman" w:eastAsia="Times New Roman" w:hAnsi="Times New Roman" w:cs="Times New Roman"/>
          <w:sz w:val="24"/>
          <w:szCs w:val="24"/>
          <w:lang w:eastAsia="en-AU"/>
        </w:rPr>
      </w:pPr>
      <w:r w:rsidRPr="008C73EF">
        <w:rPr>
          <w:rFonts w:ascii="Times New Roman" w:eastAsia="Times New Roman" w:hAnsi="Times New Roman" w:cs="Times New Roman"/>
          <w:i/>
          <w:iCs/>
          <w:lang w:val="en-GB" w:eastAsia="en-AU"/>
        </w:rPr>
        <w:t>Competition and Consumer Act 2010</w:t>
      </w:r>
    </w:p>
    <w:p w:rsidR="00695AE4" w:rsidRPr="008C73EF" w:rsidRDefault="00695AE4" w:rsidP="00695AE4">
      <w:pPr>
        <w:spacing w:before="100" w:beforeAutospacing="1" w:after="100" w:afterAutospacing="1"/>
        <w:jc w:val="center"/>
        <w:rPr>
          <w:rFonts w:ascii="Times New Roman" w:eastAsia="Times New Roman" w:hAnsi="Times New Roman" w:cs="Times New Roman"/>
          <w:sz w:val="24"/>
          <w:szCs w:val="24"/>
          <w:lang w:eastAsia="en-AU"/>
        </w:rPr>
      </w:pPr>
      <w:r w:rsidRPr="008C73EF">
        <w:rPr>
          <w:rFonts w:ascii="Times New Roman" w:eastAsia="Times New Roman" w:hAnsi="Times New Roman" w:cs="Times New Roman"/>
          <w:i/>
          <w:iCs/>
          <w:lang w:val="en-GB" w:eastAsia="en-AU"/>
        </w:rPr>
        <w:t xml:space="preserve">Consumer Protection Notice No. </w:t>
      </w:r>
      <w:r>
        <w:rPr>
          <w:rFonts w:ascii="Times New Roman" w:eastAsia="Times New Roman" w:hAnsi="Times New Roman" w:cs="Times New Roman"/>
          <w:i/>
          <w:iCs/>
          <w:lang w:val="en-GB" w:eastAsia="en-AU"/>
        </w:rPr>
        <w:t>3</w:t>
      </w:r>
      <w:r w:rsidRPr="008C73EF">
        <w:rPr>
          <w:rFonts w:ascii="Times New Roman" w:eastAsia="Times New Roman" w:hAnsi="Times New Roman" w:cs="Times New Roman"/>
          <w:i/>
          <w:iCs/>
          <w:lang w:val="en-GB" w:eastAsia="en-AU"/>
        </w:rPr>
        <w:t xml:space="preserve"> of 2016 </w:t>
      </w:r>
    </w:p>
    <w:p w:rsidR="00695AE4" w:rsidRPr="008C73EF" w:rsidRDefault="00695AE4" w:rsidP="00695AE4">
      <w:pPr>
        <w:spacing w:before="100" w:beforeAutospacing="1" w:after="100" w:afterAutospacing="1"/>
        <w:jc w:val="center"/>
        <w:rPr>
          <w:rFonts w:ascii="Times New Roman" w:eastAsia="Times New Roman" w:hAnsi="Times New Roman" w:cs="Times New Roman"/>
          <w:sz w:val="24"/>
          <w:szCs w:val="24"/>
          <w:lang w:eastAsia="en-AU"/>
        </w:rPr>
      </w:pPr>
      <w:r w:rsidRPr="008C73EF">
        <w:rPr>
          <w:rFonts w:ascii="Times New Roman" w:eastAsia="Times New Roman" w:hAnsi="Times New Roman" w:cs="Times New Roman"/>
          <w:i/>
          <w:iCs/>
          <w:lang w:val="en-GB" w:eastAsia="en-AU"/>
        </w:rPr>
        <w:t>Imposition of interim ban on hoverboards that do not meet specifi</w:t>
      </w:r>
      <w:r>
        <w:rPr>
          <w:rFonts w:ascii="Times New Roman" w:eastAsia="Times New Roman" w:hAnsi="Times New Roman" w:cs="Times New Roman"/>
          <w:i/>
          <w:iCs/>
          <w:lang w:val="en-GB" w:eastAsia="en-AU"/>
        </w:rPr>
        <w:t>c</w:t>
      </w:r>
      <w:r w:rsidRPr="008C73EF">
        <w:rPr>
          <w:rFonts w:ascii="Times New Roman" w:eastAsia="Times New Roman" w:hAnsi="Times New Roman" w:cs="Times New Roman"/>
          <w:i/>
          <w:iCs/>
          <w:lang w:val="en-GB" w:eastAsia="en-AU"/>
        </w:rPr>
        <w:t xml:space="preserve"> safety requirements</w:t>
      </w:r>
    </w:p>
    <w:p w:rsidR="00695AE4" w:rsidRDefault="00695AE4" w:rsidP="00695AE4">
      <w:pPr>
        <w:spacing w:before="120" w:after="120"/>
        <w:ind w:right="3"/>
        <w:jc w:val="both"/>
        <w:rPr>
          <w:rFonts w:ascii="Times New Roman" w:eastAsia="Times New Roman" w:hAnsi="Times New Roman" w:cs="Times New Roman"/>
          <w:lang w:val="en-GB" w:eastAsia="en-AU"/>
        </w:rPr>
      </w:pPr>
      <w:r w:rsidRPr="008C73EF">
        <w:rPr>
          <w:rFonts w:ascii="Times New Roman" w:eastAsia="Times New Roman" w:hAnsi="Times New Roman" w:cs="Times New Roman"/>
          <w:lang w:val="en-GB" w:eastAsia="en-AU"/>
        </w:rPr>
        <w:t xml:space="preserve">The </w:t>
      </w:r>
      <w:r>
        <w:rPr>
          <w:rFonts w:ascii="Times New Roman" w:eastAsia="Times New Roman" w:hAnsi="Times New Roman" w:cs="Times New Roman"/>
          <w:lang w:val="en-GB" w:eastAsia="en-AU"/>
        </w:rPr>
        <w:t xml:space="preserve">Minister for Small Business and </w:t>
      </w:r>
      <w:r w:rsidRPr="008C73EF">
        <w:rPr>
          <w:rFonts w:ascii="Times New Roman" w:eastAsia="Times New Roman" w:hAnsi="Times New Roman" w:cs="Times New Roman"/>
          <w:lang w:val="en-GB" w:eastAsia="en-AU"/>
        </w:rPr>
        <w:t xml:space="preserve">Assistant Treasurer has imposed an interim ban which prohibits the supply of hoverboards that do not meet </w:t>
      </w:r>
      <w:r w:rsidRPr="00BC74D3">
        <w:rPr>
          <w:rFonts w:ascii="Times New Roman" w:eastAsia="Times New Roman" w:hAnsi="Times New Roman" w:cs="Times New Roman"/>
          <w:lang w:val="en-GB" w:eastAsia="en-AU"/>
        </w:rPr>
        <w:t>certain specified safety requirements</w:t>
      </w:r>
      <w:r>
        <w:rPr>
          <w:rFonts w:ascii="Times New Roman" w:eastAsia="Times New Roman" w:hAnsi="Times New Roman" w:cs="Times New Roman"/>
          <w:lang w:val="en-GB" w:eastAsia="en-AU"/>
        </w:rPr>
        <w:t>.</w:t>
      </w:r>
    </w:p>
    <w:p w:rsidR="00F837A3" w:rsidRDefault="00695AE4" w:rsidP="00695AE4">
      <w:pPr>
        <w:spacing w:before="120" w:after="120"/>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The interim ban applies to the supply of hoverboards that do not meet</w:t>
      </w:r>
      <w:r w:rsidR="004F2A8C">
        <w:rPr>
          <w:rFonts w:ascii="Times New Roman" w:eastAsia="Times New Roman" w:hAnsi="Times New Roman" w:cs="Times New Roman"/>
          <w:lang w:val="en-GB" w:eastAsia="en-AU"/>
        </w:rPr>
        <w:t xml:space="preserve"> </w:t>
      </w:r>
      <w:r w:rsidR="00F837A3">
        <w:rPr>
          <w:rFonts w:ascii="Times New Roman" w:eastAsia="Times New Roman" w:hAnsi="Times New Roman" w:cs="Times New Roman"/>
          <w:lang w:val="en-GB" w:eastAsia="en-AU"/>
        </w:rPr>
        <w:t>either:</w:t>
      </w:r>
    </w:p>
    <w:p w:rsidR="00F837A3" w:rsidRPr="001D487D" w:rsidRDefault="004F2A8C" w:rsidP="001D487D">
      <w:pPr>
        <w:pStyle w:val="ListParagraph"/>
        <w:numPr>
          <w:ilvl w:val="0"/>
          <w:numId w:val="33"/>
        </w:numPr>
        <w:spacing w:after="120"/>
        <w:ind w:right="3"/>
        <w:jc w:val="both"/>
        <w:rPr>
          <w:rFonts w:ascii="Times New Roman" w:eastAsia="Times New Roman" w:hAnsi="Times New Roman" w:cs="Times New Roman"/>
          <w:lang w:val="en-GB" w:eastAsia="en-AU"/>
        </w:rPr>
      </w:pPr>
      <w:r w:rsidRPr="001D487D">
        <w:rPr>
          <w:rFonts w:ascii="Times New Roman" w:eastAsia="Times New Roman" w:hAnsi="Times New Roman" w:cs="Times New Roman"/>
          <w:lang w:val="en-GB" w:eastAsia="en-AU"/>
        </w:rPr>
        <w:t xml:space="preserve">the requirements of </w:t>
      </w:r>
      <w:r w:rsidR="000D7C1E" w:rsidRPr="00CE61C7">
        <w:rPr>
          <w:rFonts w:ascii="Times New Roman" w:eastAsia="Times New Roman" w:hAnsi="Times New Roman" w:cs="Times New Roman"/>
          <w:lang w:val="en-GB" w:eastAsia="en-AU"/>
        </w:rPr>
        <w:t xml:space="preserve">the </w:t>
      </w:r>
      <w:r w:rsidR="00935693" w:rsidRPr="008615DC">
        <w:rPr>
          <w:rFonts w:ascii="Times New Roman" w:hAnsi="Times New Roman" w:cs="Times New Roman"/>
        </w:rPr>
        <w:t xml:space="preserve">International Electrotechnical Commission (IEC) standard </w:t>
      </w:r>
      <w:r w:rsidR="000D7C1E" w:rsidRPr="009B6BA6">
        <w:rPr>
          <w:rFonts w:ascii="Times New Roman" w:hAnsi="Times New Roman" w:cs="Times New Roman"/>
          <w:i/>
        </w:rPr>
        <w:t xml:space="preserve">IEC 62133 Edition 2.0 2012-12 </w:t>
      </w:r>
      <w:r w:rsidR="000D7C1E" w:rsidRPr="009B6BA6">
        <w:rPr>
          <w:rFonts w:ascii="Times New Roman" w:hAnsi="Times New Roman" w:cs="Times New Roman"/>
        </w:rPr>
        <w:t xml:space="preserve">and sections 11 and 19 </w:t>
      </w:r>
      <w:r w:rsidR="005B4271" w:rsidRPr="00397942">
        <w:rPr>
          <w:rFonts w:ascii="Times New Roman" w:hAnsi="Times New Roman" w:cs="Times New Roman"/>
        </w:rPr>
        <w:t>(as amended by Annex B)</w:t>
      </w:r>
      <w:r w:rsidR="005B4271" w:rsidRPr="000203FF">
        <w:rPr>
          <w:rFonts w:ascii="Times New Roman" w:hAnsi="Times New Roman" w:cs="Times New Roman"/>
        </w:rPr>
        <w:t xml:space="preserve"> </w:t>
      </w:r>
      <w:r w:rsidR="000D7C1E" w:rsidRPr="00CE61C7">
        <w:rPr>
          <w:rFonts w:ascii="Times New Roman" w:hAnsi="Times New Roman" w:cs="Times New Roman"/>
        </w:rPr>
        <w:t xml:space="preserve">of </w:t>
      </w:r>
      <w:r w:rsidR="000D7C1E" w:rsidRPr="008615DC">
        <w:rPr>
          <w:rFonts w:ascii="Times New Roman" w:hAnsi="Times New Roman" w:cs="Times New Roman"/>
        </w:rPr>
        <w:t>the IEC standard</w:t>
      </w:r>
      <w:r w:rsidR="008C6C6E" w:rsidRPr="009B6BA6">
        <w:rPr>
          <w:rFonts w:ascii="Times New Roman" w:hAnsi="Times New Roman" w:cs="Times New Roman"/>
        </w:rPr>
        <w:t xml:space="preserve"> </w:t>
      </w:r>
      <w:r w:rsidR="000D7C1E" w:rsidRPr="005B4271">
        <w:rPr>
          <w:rFonts w:ascii="Times New Roman" w:hAnsi="Times New Roman" w:cs="Times New Roman"/>
          <w:i/>
        </w:rPr>
        <w:t>IEC 60335-1 Edition 5.1 2013-12</w:t>
      </w:r>
      <w:r w:rsidR="000D7C1E" w:rsidRPr="001D487D">
        <w:rPr>
          <w:rFonts w:ascii="Times New Roman" w:hAnsi="Times New Roman" w:cs="Times New Roman"/>
        </w:rPr>
        <w:t xml:space="preserve"> </w:t>
      </w:r>
      <w:r w:rsidR="00F837A3" w:rsidRPr="001D487D">
        <w:rPr>
          <w:rFonts w:ascii="Times New Roman" w:hAnsi="Times New Roman" w:cs="Times New Roman"/>
        </w:rPr>
        <w:t xml:space="preserve">(or </w:t>
      </w:r>
      <w:r w:rsidR="000D7C1E" w:rsidRPr="001D487D">
        <w:rPr>
          <w:rFonts w:ascii="Times New Roman" w:hAnsi="Times New Roman" w:cs="Times New Roman"/>
        </w:rPr>
        <w:t>sections 11 and</w:t>
      </w:r>
      <w:r w:rsidR="000D7C1E" w:rsidRPr="00CE61C7">
        <w:rPr>
          <w:rFonts w:ascii="Times New Roman" w:eastAsia="Times New Roman" w:hAnsi="Times New Roman" w:cs="Times New Roman"/>
          <w:lang w:val="en-GB" w:eastAsia="en-AU"/>
        </w:rPr>
        <w:t xml:space="preserve"> 19 </w:t>
      </w:r>
      <w:r w:rsidR="005B4271" w:rsidRPr="00674611">
        <w:rPr>
          <w:rFonts w:ascii="Times New Roman" w:hAnsi="Times New Roman" w:cs="Times New Roman"/>
        </w:rPr>
        <w:t>(</w:t>
      </w:r>
      <w:r w:rsidR="005B4271" w:rsidRPr="00254EA4">
        <w:rPr>
          <w:rFonts w:ascii="Times New Roman" w:hAnsi="Times New Roman" w:cs="Times New Roman"/>
        </w:rPr>
        <w:t>as amended by Annex B</w:t>
      </w:r>
      <w:r w:rsidR="005B4271" w:rsidRPr="00674611">
        <w:rPr>
          <w:rFonts w:ascii="Times New Roman" w:hAnsi="Times New Roman" w:cs="Times New Roman"/>
        </w:rPr>
        <w:t>)</w:t>
      </w:r>
      <w:r w:rsidR="005B4271">
        <w:rPr>
          <w:rFonts w:ascii="Times New Roman" w:hAnsi="Times New Roman" w:cs="Times New Roman"/>
        </w:rPr>
        <w:t xml:space="preserve"> </w:t>
      </w:r>
      <w:r w:rsidR="000D7C1E" w:rsidRPr="00CE61C7">
        <w:rPr>
          <w:rFonts w:ascii="Times New Roman" w:eastAsia="Times New Roman" w:hAnsi="Times New Roman" w:cs="Times New Roman"/>
          <w:lang w:val="en-GB" w:eastAsia="en-AU"/>
        </w:rPr>
        <w:t xml:space="preserve">of </w:t>
      </w:r>
      <w:r w:rsidR="000D7C1E" w:rsidRPr="001D487D">
        <w:rPr>
          <w:rFonts w:ascii="Times New Roman" w:hAnsi="Times New Roman" w:cs="Times New Roman"/>
          <w:i/>
        </w:rPr>
        <w:t>AS/NZS</w:t>
      </w:r>
      <w:r w:rsidR="005B4271">
        <w:rPr>
          <w:rFonts w:ascii="Times New Roman" w:hAnsi="Times New Roman" w:cs="Times New Roman"/>
          <w:i/>
        </w:rPr>
        <w:t> </w:t>
      </w:r>
      <w:r w:rsidR="000D7C1E" w:rsidRPr="001D487D">
        <w:rPr>
          <w:rFonts w:ascii="Times New Roman" w:hAnsi="Times New Roman" w:cs="Times New Roman"/>
          <w:i/>
        </w:rPr>
        <w:t>60335.1:2011</w:t>
      </w:r>
      <w:r w:rsidR="008C6C6E" w:rsidRPr="001D487D">
        <w:rPr>
          <w:rFonts w:ascii="Times New Roman" w:hAnsi="Times New Roman" w:cs="Times New Roman"/>
          <w:i/>
        </w:rPr>
        <w:t xml:space="preserve"> </w:t>
      </w:r>
      <w:r w:rsidR="000D7C1E" w:rsidRPr="001D487D">
        <w:rPr>
          <w:rFonts w:ascii="Times New Roman" w:hAnsi="Times New Roman" w:cs="Times New Roman"/>
          <w:i/>
        </w:rPr>
        <w:t>(incorporating amendment Nos 1, 2 and 3)</w:t>
      </w:r>
      <w:r w:rsidR="000D7C1E" w:rsidRPr="001D487D">
        <w:rPr>
          <w:rFonts w:ascii="Times New Roman" w:hAnsi="Times New Roman" w:cs="Times New Roman"/>
        </w:rPr>
        <w:t xml:space="preserve"> which adopt IEC 60335</w:t>
      </w:r>
      <w:r w:rsidR="000D7C1E" w:rsidRPr="001D487D">
        <w:rPr>
          <w:rFonts w:ascii="Times New Roman" w:eastAsia="Times New Roman" w:hAnsi="Times New Roman" w:cs="Times New Roman"/>
          <w:lang w:val="en-GB" w:eastAsia="en-AU"/>
        </w:rPr>
        <w:t xml:space="preserve">); </w:t>
      </w:r>
      <w:r w:rsidRPr="001D487D">
        <w:rPr>
          <w:rFonts w:ascii="Times New Roman" w:eastAsia="Times New Roman" w:hAnsi="Times New Roman" w:cs="Times New Roman"/>
          <w:lang w:val="en-GB" w:eastAsia="en-AU"/>
        </w:rPr>
        <w:t xml:space="preserve">or </w:t>
      </w:r>
    </w:p>
    <w:p w:rsidR="00F837A3" w:rsidRDefault="004F2A8C" w:rsidP="001D487D">
      <w:pPr>
        <w:pStyle w:val="ListParagraph"/>
        <w:numPr>
          <w:ilvl w:val="0"/>
          <w:numId w:val="33"/>
        </w:numPr>
        <w:spacing w:after="120"/>
        <w:ind w:right="3"/>
        <w:jc w:val="both"/>
        <w:rPr>
          <w:rFonts w:ascii="Times New Roman" w:eastAsia="Times New Roman" w:hAnsi="Times New Roman" w:cs="Times New Roman"/>
          <w:lang w:val="en-GB" w:eastAsia="en-AU"/>
        </w:rPr>
      </w:pPr>
      <w:r w:rsidRPr="001D487D">
        <w:rPr>
          <w:rFonts w:ascii="Times New Roman" w:eastAsia="Times New Roman" w:hAnsi="Times New Roman" w:cs="Times New Roman"/>
          <w:lang w:val="en-GB" w:eastAsia="en-AU"/>
        </w:rPr>
        <w:t xml:space="preserve">certain specified </w:t>
      </w:r>
      <w:r w:rsidR="00F837A3" w:rsidRPr="00F837A3">
        <w:rPr>
          <w:rFonts w:ascii="Times New Roman" w:eastAsia="Times New Roman" w:hAnsi="Times New Roman" w:cs="Times New Roman"/>
          <w:lang w:val="en-GB" w:eastAsia="en-AU"/>
        </w:rPr>
        <w:t xml:space="preserve">sections of </w:t>
      </w:r>
      <w:r w:rsidR="005B4271" w:rsidRPr="00066FF1">
        <w:rPr>
          <w:rFonts w:ascii="Times New Roman" w:hAnsi="Times New Roman" w:cs="Times New Roman"/>
          <w:i/>
        </w:rPr>
        <w:t>UL 2272 – Outline of Investigation for Electrical Systems for Self-balancing Scooters</w:t>
      </w:r>
      <w:r w:rsidR="008C6C6E">
        <w:rPr>
          <w:rFonts w:ascii="Times New Roman" w:eastAsia="Times New Roman" w:hAnsi="Times New Roman" w:cs="Times New Roman"/>
          <w:lang w:val="en-GB" w:eastAsia="en-AU"/>
        </w:rPr>
        <w:t>)</w:t>
      </w:r>
      <w:r w:rsidR="005B4271">
        <w:rPr>
          <w:rFonts w:ascii="Times New Roman" w:eastAsia="Times New Roman" w:hAnsi="Times New Roman" w:cs="Times New Roman"/>
          <w:lang w:val="en-GB" w:eastAsia="en-AU"/>
        </w:rPr>
        <w:t>.</w:t>
      </w:r>
    </w:p>
    <w:p w:rsidR="004F2A8C" w:rsidRPr="00066FF1" w:rsidRDefault="00F738C3" w:rsidP="001D487D">
      <w:pPr>
        <w:spacing w:after="120"/>
        <w:ind w:right="3"/>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Specifically, t</w:t>
      </w:r>
      <w:r w:rsidR="004F2A8C">
        <w:rPr>
          <w:rFonts w:ascii="Times New Roman" w:eastAsia="Times New Roman" w:hAnsi="Times New Roman" w:cs="Times New Roman"/>
          <w:lang w:val="en-GB" w:eastAsia="en-AU"/>
        </w:rPr>
        <w:t>he interim ban applies to hoverboards which do not meet the requirements of</w:t>
      </w:r>
      <w:r w:rsidR="00935693">
        <w:rPr>
          <w:rFonts w:ascii="Times New Roman" w:eastAsia="Times New Roman" w:hAnsi="Times New Roman" w:cs="Times New Roman"/>
          <w:lang w:val="en-GB" w:eastAsia="en-AU"/>
        </w:rPr>
        <w:t xml:space="preserve"> either</w:t>
      </w:r>
      <w:r w:rsidR="004F2A8C">
        <w:rPr>
          <w:rFonts w:ascii="Times New Roman" w:eastAsia="Times New Roman" w:hAnsi="Times New Roman" w:cs="Times New Roman"/>
          <w:lang w:val="en-GB" w:eastAsia="en-AU"/>
        </w:rPr>
        <w:t>:</w:t>
      </w:r>
    </w:p>
    <w:p w:rsidR="00695AE4" w:rsidRDefault="00F738C3" w:rsidP="00695AE4">
      <w:pPr>
        <w:pStyle w:val="ListParagraph"/>
        <w:numPr>
          <w:ilvl w:val="0"/>
          <w:numId w:val="31"/>
        </w:numPr>
        <w:spacing w:after="120"/>
        <w:ind w:right="3"/>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the following </w:t>
      </w:r>
      <w:r w:rsidRPr="00066FF1">
        <w:rPr>
          <w:rFonts w:ascii="Times New Roman" w:hAnsi="Times New Roman" w:cs="Times New Roman"/>
        </w:rPr>
        <w:t>IEC standard</w:t>
      </w:r>
      <w:r>
        <w:rPr>
          <w:rFonts w:ascii="Times New Roman" w:hAnsi="Times New Roman" w:cs="Times New Roman"/>
        </w:rPr>
        <w:t>s:</w:t>
      </w:r>
      <w:r w:rsidRPr="00066FF1">
        <w:rPr>
          <w:rFonts w:ascii="Times New Roman" w:hAnsi="Times New Roman" w:cs="Times New Roman"/>
        </w:rPr>
        <w:t xml:space="preserve"> </w:t>
      </w:r>
    </w:p>
    <w:p w:rsidR="00695AE4" w:rsidRPr="00066FF1" w:rsidRDefault="00021887" w:rsidP="00695AE4">
      <w:pPr>
        <w:numPr>
          <w:ilvl w:val="1"/>
          <w:numId w:val="31"/>
        </w:numPr>
        <w:tabs>
          <w:tab w:val="left" w:pos="340"/>
        </w:tabs>
        <w:spacing w:before="120"/>
        <w:rPr>
          <w:rFonts w:ascii="Times New Roman" w:hAnsi="Times New Roman" w:cs="Times New Roman"/>
          <w:i/>
        </w:rPr>
      </w:pPr>
      <w:r>
        <w:rPr>
          <w:rFonts w:ascii="Times New Roman" w:hAnsi="Times New Roman" w:cs="Times New Roman"/>
        </w:rPr>
        <w:t>for</w:t>
      </w:r>
      <w:r w:rsidR="00F738C3">
        <w:rPr>
          <w:rFonts w:ascii="Times New Roman" w:hAnsi="Times New Roman" w:cs="Times New Roman"/>
        </w:rPr>
        <w:t xml:space="preserve"> </w:t>
      </w:r>
      <w:r w:rsidR="007F57E6">
        <w:rPr>
          <w:rFonts w:ascii="Times New Roman" w:hAnsi="Times New Roman" w:cs="Times New Roman"/>
        </w:rPr>
        <w:t>b</w:t>
      </w:r>
      <w:r w:rsidR="00695AE4" w:rsidRPr="00066FF1">
        <w:rPr>
          <w:rFonts w:ascii="Times New Roman" w:hAnsi="Times New Roman" w:cs="Times New Roman"/>
        </w:rPr>
        <w:t>atteries</w:t>
      </w:r>
      <w:r w:rsidR="00F738C3">
        <w:rPr>
          <w:rFonts w:ascii="Times New Roman" w:hAnsi="Times New Roman" w:cs="Times New Roman"/>
        </w:rPr>
        <w:t>,</w:t>
      </w:r>
      <w:r w:rsidR="00695AE4" w:rsidRPr="00066FF1">
        <w:rPr>
          <w:rFonts w:ascii="Times New Roman" w:hAnsi="Times New Roman" w:cs="Times New Roman"/>
        </w:rPr>
        <w:t xml:space="preserve"> as specified in </w:t>
      </w:r>
      <w:r w:rsidR="007F57E6" w:rsidRPr="007F57E6">
        <w:rPr>
          <w:rFonts w:ascii="Times New Roman" w:hAnsi="Times New Roman" w:cs="Times New Roman"/>
          <w:i/>
        </w:rPr>
        <w:t>IEC 6213</w:t>
      </w:r>
      <w:r w:rsidR="007F57E6">
        <w:rPr>
          <w:rFonts w:ascii="Times New Roman" w:hAnsi="Times New Roman" w:cs="Times New Roman"/>
          <w:i/>
        </w:rPr>
        <w:t>3 Edition 2.0 2012-12</w:t>
      </w:r>
      <w:r w:rsidR="00695AE4" w:rsidRPr="00066FF1">
        <w:rPr>
          <w:rFonts w:ascii="Times New Roman" w:hAnsi="Times New Roman" w:cs="Times New Roman"/>
          <w:i/>
        </w:rPr>
        <w:t xml:space="preserve"> - Secondary Cells and Batteries containing Alkaline or other Non-acid Electrolytes - Safety Requirements for Portable Sealed Secondary Cells, and for Batteries made from them, for use in Portable Applications </w:t>
      </w:r>
      <w:r w:rsidR="00695AE4" w:rsidRPr="00066FF1">
        <w:rPr>
          <w:rFonts w:ascii="Times New Roman" w:hAnsi="Times New Roman" w:cs="Times New Roman"/>
        </w:rPr>
        <w:t>(IEC 62133)</w:t>
      </w:r>
      <w:r w:rsidR="000D7C1E">
        <w:rPr>
          <w:rFonts w:ascii="Times New Roman" w:hAnsi="Times New Roman" w:cs="Times New Roman"/>
        </w:rPr>
        <w:t>; and</w:t>
      </w:r>
    </w:p>
    <w:p w:rsidR="007F57E6" w:rsidRPr="007F57E6" w:rsidRDefault="00021887" w:rsidP="007F57E6">
      <w:pPr>
        <w:numPr>
          <w:ilvl w:val="1"/>
          <w:numId w:val="31"/>
        </w:numPr>
        <w:tabs>
          <w:tab w:val="left" w:pos="340"/>
        </w:tabs>
        <w:spacing w:before="120"/>
        <w:rPr>
          <w:rFonts w:ascii="Times New Roman" w:hAnsi="Times New Roman" w:cs="Times New Roman"/>
        </w:rPr>
      </w:pPr>
      <w:r>
        <w:rPr>
          <w:rFonts w:ascii="Times New Roman" w:hAnsi="Times New Roman" w:cs="Times New Roman"/>
        </w:rPr>
        <w:t xml:space="preserve">for battery control systems </w:t>
      </w:r>
      <w:r w:rsidR="007F57E6" w:rsidRPr="007F57E6">
        <w:rPr>
          <w:rFonts w:ascii="Times New Roman" w:hAnsi="Times New Roman" w:cs="Times New Roman"/>
        </w:rPr>
        <w:t>prevent</w:t>
      </w:r>
      <w:r w:rsidR="00110BB9">
        <w:rPr>
          <w:rFonts w:ascii="Times New Roman" w:hAnsi="Times New Roman" w:cs="Times New Roman"/>
        </w:rPr>
        <w:t>ing</w:t>
      </w:r>
      <w:r w:rsidR="007F57E6" w:rsidRPr="007F57E6">
        <w:rPr>
          <w:rFonts w:ascii="Times New Roman" w:hAnsi="Times New Roman" w:cs="Times New Roman"/>
        </w:rPr>
        <w:t xml:space="preserve"> </w:t>
      </w:r>
      <w:r w:rsidR="00110BB9">
        <w:rPr>
          <w:rFonts w:ascii="Times New Roman" w:hAnsi="Times New Roman" w:cs="Times New Roman"/>
        </w:rPr>
        <w:t>electrical appliances</w:t>
      </w:r>
      <w:r w:rsidR="007F57E6" w:rsidRPr="007F57E6">
        <w:rPr>
          <w:rFonts w:ascii="Times New Roman" w:hAnsi="Times New Roman" w:cs="Times New Roman"/>
        </w:rPr>
        <w:t xml:space="preserve"> from attaining excessive temperatures in normal use</w:t>
      </w:r>
      <w:r w:rsidR="00F738C3">
        <w:rPr>
          <w:rFonts w:ascii="Times New Roman" w:hAnsi="Times New Roman" w:cs="Times New Roman"/>
        </w:rPr>
        <w:t>,</w:t>
      </w:r>
      <w:r w:rsidR="007F57E6" w:rsidRPr="007F57E6">
        <w:rPr>
          <w:rFonts w:ascii="Times New Roman" w:hAnsi="Times New Roman" w:cs="Times New Roman"/>
        </w:rPr>
        <w:t xml:space="preserve"> as specified in section 11</w:t>
      </w:r>
      <w:r w:rsidR="007F57E6" w:rsidRPr="00F06511">
        <w:rPr>
          <w:rFonts w:ascii="Times New Roman" w:hAnsi="Times New Roman" w:cs="Times New Roman"/>
        </w:rPr>
        <w:t xml:space="preserve"> as amended by Annex B, of </w:t>
      </w:r>
      <w:r w:rsidR="007F57E6" w:rsidRPr="00F06511">
        <w:rPr>
          <w:rFonts w:ascii="Times New Roman" w:hAnsi="Times New Roman" w:cs="Times New Roman"/>
          <w:i/>
        </w:rPr>
        <w:t xml:space="preserve">IEC 60335-1 Edition 5.1 2013-12 Household and similar Electrical Appliances - Safety - Part 1: General Requirements </w:t>
      </w:r>
      <w:r w:rsidR="007F57E6" w:rsidRPr="00F06511">
        <w:rPr>
          <w:rFonts w:ascii="Times New Roman" w:hAnsi="Times New Roman" w:cs="Times New Roman"/>
        </w:rPr>
        <w:t>(IEC 60335-1)</w:t>
      </w:r>
      <w:r w:rsidR="00F738C3">
        <w:rPr>
          <w:rFonts w:ascii="Times New Roman" w:hAnsi="Times New Roman" w:cs="Times New Roman"/>
        </w:rPr>
        <w:t xml:space="preserve"> or </w:t>
      </w:r>
      <w:r w:rsidR="000D7C1E">
        <w:rPr>
          <w:rFonts w:ascii="Times New Roman" w:hAnsi="Times New Roman" w:cs="Times New Roman"/>
        </w:rPr>
        <w:t xml:space="preserve">as specified in </w:t>
      </w:r>
      <w:r w:rsidR="00F738C3">
        <w:rPr>
          <w:rFonts w:ascii="Times New Roman" w:hAnsi="Times New Roman" w:cs="Times New Roman"/>
        </w:rPr>
        <w:t>section 11</w:t>
      </w:r>
      <w:r w:rsidR="00CE61C7">
        <w:rPr>
          <w:rFonts w:ascii="Times New Roman" w:hAnsi="Times New Roman" w:cs="Times New Roman"/>
        </w:rPr>
        <w:t xml:space="preserve"> as amended by Annex B,</w:t>
      </w:r>
      <w:r w:rsidR="00F738C3">
        <w:rPr>
          <w:rFonts w:ascii="Times New Roman" w:hAnsi="Times New Roman" w:cs="Times New Roman"/>
        </w:rPr>
        <w:t xml:space="preserve"> </w:t>
      </w:r>
      <w:r w:rsidR="00F738C3" w:rsidRPr="00AF5143">
        <w:rPr>
          <w:rFonts w:ascii="Times New Roman" w:hAnsi="Times New Roman" w:cs="Times New Roman"/>
        </w:rPr>
        <w:t xml:space="preserve">of </w:t>
      </w:r>
      <w:r w:rsidR="00F738C3" w:rsidRPr="001D487D">
        <w:rPr>
          <w:rFonts w:ascii="Times New Roman" w:hAnsi="Times New Roman" w:cs="Times New Roman"/>
          <w:i/>
        </w:rPr>
        <w:t>AS/NZS</w:t>
      </w:r>
      <w:r w:rsidR="00CE61C7" w:rsidRPr="001D487D">
        <w:rPr>
          <w:rFonts w:ascii="Times New Roman" w:hAnsi="Times New Roman" w:cs="Times New Roman"/>
          <w:i/>
        </w:rPr>
        <w:t> </w:t>
      </w:r>
      <w:r w:rsidR="00F738C3" w:rsidRPr="001D487D">
        <w:rPr>
          <w:rFonts w:ascii="Times New Roman" w:hAnsi="Times New Roman" w:cs="Times New Roman"/>
          <w:i/>
        </w:rPr>
        <w:t>60335.1:2011 (incorporating amendment Nos 1, 2 and 3)</w:t>
      </w:r>
      <w:r w:rsidR="000D7C1E">
        <w:rPr>
          <w:rFonts w:ascii="Times New Roman" w:hAnsi="Times New Roman" w:cs="Times New Roman"/>
        </w:rPr>
        <w:t>; and</w:t>
      </w:r>
    </w:p>
    <w:p w:rsidR="00F738C3" w:rsidRPr="007F57E6" w:rsidRDefault="00021887" w:rsidP="00F738C3">
      <w:pPr>
        <w:numPr>
          <w:ilvl w:val="1"/>
          <w:numId w:val="31"/>
        </w:numPr>
        <w:tabs>
          <w:tab w:val="left" w:pos="340"/>
        </w:tabs>
        <w:spacing w:before="120"/>
        <w:rPr>
          <w:rFonts w:ascii="Times New Roman" w:hAnsi="Times New Roman" w:cs="Times New Roman"/>
        </w:rPr>
      </w:pPr>
      <w:r>
        <w:rPr>
          <w:rFonts w:ascii="Times New Roman" w:hAnsi="Times New Roman" w:cs="Times New Roman"/>
        </w:rPr>
        <w:t xml:space="preserve">for battery control systems </w:t>
      </w:r>
      <w:r w:rsidR="007F57E6">
        <w:rPr>
          <w:rFonts w:ascii="Times New Roman" w:hAnsi="Times New Roman" w:cs="Times New Roman"/>
        </w:rPr>
        <w:t>prevent</w:t>
      </w:r>
      <w:r w:rsidR="00110BB9">
        <w:rPr>
          <w:rFonts w:ascii="Times New Roman" w:hAnsi="Times New Roman" w:cs="Times New Roman"/>
        </w:rPr>
        <w:t>ing</w:t>
      </w:r>
      <w:r w:rsidR="007F57E6">
        <w:rPr>
          <w:rFonts w:ascii="Times New Roman" w:hAnsi="Times New Roman" w:cs="Times New Roman"/>
        </w:rPr>
        <w:t xml:space="preserve">  abnormal operation</w:t>
      </w:r>
      <w:r w:rsidR="00110BB9">
        <w:rPr>
          <w:rFonts w:ascii="Times New Roman" w:hAnsi="Times New Roman" w:cs="Times New Roman"/>
        </w:rPr>
        <w:t xml:space="preserve"> of electrical appliances</w:t>
      </w:r>
      <w:r w:rsidR="007F57E6">
        <w:rPr>
          <w:rFonts w:ascii="Times New Roman" w:hAnsi="Times New Roman" w:cs="Times New Roman"/>
        </w:rPr>
        <w:t xml:space="preserve">, </w:t>
      </w:r>
      <w:r w:rsidR="00695AE4" w:rsidRPr="00066FF1">
        <w:rPr>
          <w:rFonts w:ascii="Times New Roman" w:hAnsi="Times New Roman" w:cs="Times New Roman"/>
        </w:rPr>
        <w:t xml:space="preserve">as specified in </w:t>
      </w:r>
      <w:r w:rsidR="00BE5628">
        <w:rPr>
          <w:rFonts w:ascii="Times New Roman" w:hAnsi="Times New Roman" w:cs="Times New Roman"/>
        </w:rPr>
        <w:t>s</w:t>
      </w:r>
      <w:r w:rsidR="00695AE4" w:rsidRPr="00066FF1">
        <w:rPr>
          <w:rFonts w:ascii="Times New Roman" w:hAnsi="Times New Roman" w:cs="Times New Roman"/>
        </w:rPr>
        <w:t xml:space="preserve">ection 19, as amended by Annex B, of </w:t>
      </w:r>
      <w:r w:rsidR="007F57E6" w:rsidRPr="007F57E6">
        <w:rPr>
          <w:rFonts w:ascii="Times New Roman" w:hAnsi="Times New Roman" w:cs="Times New Roman"/>
          <w:i/>
        </w:rPr>
        <w:t>IEC 60335-</w:t>
      </w:r>
      <w:r w:rsidR="007F57E6">
        <w:rPr>
          <w:rFonts w:ascii="Times New Roman" w:hAnsi="Times New Roman" w:cs="Times New Roman"/>
          <w:i/>
        </w:rPr>
        <w:t>1 Edition 5.1 2013-12</w:t>
      </w:r>
      <w:r w:rsidR="00695AE4" w:rsidRPr="00066FF1">
        <w:rPr>
          <w:rFonts w:ascii="Times New Roman" w:hAnsi="Times New Roman" w:cs="Times New Roman"/>
          <w:i/>
        </w:rPr>
        <w:t xml:space="preserve"> Household and similar Electrical Appliances - Safety - Part 1: General Requirements </w:t>
      </w:r>
      <w:r w:rsidR="00F738C3">
        <w:rPr>
          <w:rFonts w:ascii="Times New Roman" w:hAnsi="Times New Roman" w:cs="Times New Roman"/>
        </w:rPr>
        <w:t xml:space="preserve">or </w:t>
      </w:r>
      <w:r w:rsidR="000D7C1E">
        <w:rPr>
          <w:rFonts w:ascii="Times New Roman" w:hAnsi="Times New Roman" w:cs="Times New Roman"/>
        </w:rPr>
        <w:t xml:space="preserve">as specified in </w:t>
      </w:r>
      <w:r w:rsidR="00F738C3">
        <w:rPr>
          <w:rFonts w:ascii="Times New Roman" w:hAnsi="Times New Roman" w:cs="Times New Roman"/>
        </w:rPr>
        <w:t>section 19</w:t>
      </w:r>
      <w:r w:rsidR="00CE61C7">
        <w:rPr>
          <w:rFonts w:ascii="Times New Roman" w:hAnsi="Times New Roman" w:cs="Times New Roman"/>
        </w:rPr>
        <w:t>, as amended by Annex B,</w:t>
      </w:r>
      <w:r w:rsidR="00F738C3">
        <w:rPr>
          <w:rFonts w:ascii="Times New Roman" w:hAnsi="Times New Roman" w:cs="Times New Roman"/>
        </w:rPr>
        <w:t xml:space="preserve"> </w:t>
      </w:r>
      <w:r w:rsidR="00F738C3" w:rsidRPr="00AF5143">
        <w:rPr>
          <w:rFonts w:ascii="Times New Roman" w:hAnsi="Times New Roman" w:cs="Times New Roman"/>
        </w:rPr>
        <w:t xml:space="preserve">of </w:t>
      </w:r>
      <w:r w:rsidR="00F738C3" w:rsidRPr="001D487D">
        <w:rPr>
          <w:rFonts w:ascii="Times New Roman" w:hAnsi="Times New Roman" w:cs="Times New Roman"/>
          <w:i/>
        </w:rPr>
        <w:t>AS/NZS 60335.1:2011 (incorporating amendment Nos 1, 2 and 3)</w:t>
      </w:r>
      <w:r w:rsidR="00935693">
        <w:rPr>
          <w:rFonts w:ascii="Times New Roman" w:hAnsi="Times New Roman" w:cs="Times New Roman"/>
        </w:rPr>
        <w:t xml:space="preserve">; </w:t>
      </w:r>
    </w:p>
    <w:p w:rsidR="00695AE4" w:rsidRPr="00066FF1" w:rsidRDefault="000D7C1E" w:rsidP="00695AE4">
      <w:pPr>
        <w:rPr>
          <w:rFonts w:ascii="Times New Roman" w:hAnsi="Times New Roman" w:cs="Times New Roman"/>
        </w:rPr>
      </w:pPr>
      <w:r>
        <w:rPr>
          <w:rFonts w:ascii="Times New Roman" w:hAnsi="Times New Roman" w:cs="Times New Roman"/>
        </w:rPr>
        <w:t>OR</w:t>
      </w:r>
      <w:r w:rsidR="004F2A8C">
        <w:rPr>
          <w:rFonts w:ascii="Times New Roman" w:hAnsi="Times New Roman" w:cs="Times New Roman"/>
        </w:rPr>
        <w:t xml:space="preserve">  </w:t>
      </w:r>
    </w:p>
    <w:p w:rsidR="00695AE4" w:rsidRPr="00066FF1" w:rsidRDefault="00935693" w:rsidP="00695AE4">
      <w:pPr>
        <w:numPr>
          <w:ilvl w:val="0"/>
          <w:numId w:val="31"/>
        </w:numPr>
        <w:tabs>
          <w:tab w:val="left" w:pos="340"/>
        </w:tabs>
        <w:spacing w:before="120"/>
        <w:rPr>
          <w:rFonts w:ascii="Times New Roman" w:hAnsi="Times New Roman" w:cs="Times New Roman"/>
        </w:rPr>
      </w:pPr>
      <w:r>
        <w:rPr>
          <w:rFonts w:ascii="Times New Roman" w:hAnsi="Times New Roman" w:cs="Times New Roman"/>
        </w:rPr>
        <w:t>t</w:t>
      </w:r>
      <w:r w:rsidR="00695AE4" w:rsidRPr="00066FF1">
        <w:rPr>
          <w:rFonts w:ascii="Times New Roman" w:hAnsi="Times New Roman" w:cs="Times New Roman"/>
        </w:rPr>
        <w:t xml:space="preserve">he requirements for: </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Fuses as specified in section 11 of the Underwriters Laboratories Inc. (UL) document </w:t>
      </w:r>
      <w:r w:rsidRPr="00066FF1">
        <w:rPr>
          <w:rFonts w:ascii="Times New Roman" w:hAnsi="Times New Roman" w:cs="Times New Roman"/>
          <w:i/>
        </w:rPr>
        <w:t xml:space="preserve">UL 2272 – Outline of Investigation for Electrical Systems for Self-balancing Scooters </w:t>
      </w:r>
      <w:r w:rsidRPr="00066FF1">
        <w:rPr>
          <w:rFonts w:ascii="Times New Roman" w:hAnsi="Times New Roman" w:cs="Times New Roman"/>
        </w:rPr>
        <w:t>(UL 2272)</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Protective circuits and safety analysis as specified in sub-sections 15.1, 15.2, 15.3, 15.4 and 15.5 of </w:t>
      </w:r>
      <w:r w:rsidRPr="00066FF1">
        <w:rPr>
          <w:rFonts w:ascii="Times New Roman" w:hAnsi="Times New Roman" w:cs="Times New Roman"/>
          <w:i/>
        </w:rPr>
        <w:t>UL 2272 – Outline of Investigation for Electrical Systems for Self-balancing Scooters</w:t>
      </w:r>
    </w:p>
    <w:p w:rsidR="00695AE4" w:rsidRPr="00066FF1" w:rsidRDefault="00BE5628" w:rsidP="00695AE4">
      <w:pPr>
        <w:numPr>
          <w:ilvl w:val="1"/>
          <w:numId w:val="31"/>
        </w:numPr>
        <w:tabs>
          <w:tab w:val="left" w:pos="340"/>
        </w:tabs>
        <w:spacing w:before="120"/>
        <w:rPr>
          <w:rFonts w:ascii="Times New Roman" w:hAnsi="Times New Roman" w:cs="Times New Roman"/>
        </w:rPr>
      </w:pPr>
      <w:r>
        <w:rPr>
          <w:rFonts w:ascii="Times New Roman" w:hAnsi="Times New Roman" w:cs="Times New Roman"/>
        </w:rPr>
        <w:lastRenderedPageBreak/>
        <w:t>Cells as specified in s</w:t>
      </w:r>
      <w:r w:rsidR="00695AE4" w:rsidRPr="00066FF1">
        <w:rPr>
          <w:rFonts w:ascii="Times New Roman" w:hAnsi="Times New Roman" w:cs="Times New Roman"/>
        </w:rPr>
        <w:t xml:space="preserve">ection 16 of </w:t>
      </w:r>
      <w:r w:rsidR="00695AE4" w:rsidRPr="00066FF1">
        <w:rPr>
          <w:rFonts w:ascii="Times New Roman" w:hAnsi="Times New Roman" w:cs="Times New Roman"/>
          <w:i/>
        </w:rPr>
        <w:t>UL 2272 – Outline of Investigation for Electrical Systems for Self-balancing Scooters</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Overcharging as specified in section 23 of </w:t>
      </w:r>
      <w:r w:rsidRPr="00066FF1">
        <w:rPr>
          <w:rFonts w:ascii="Times New Roman" w:hAnsi="Times New Roman" w:cs="Times New Roman"/>
          <w:i/>
        </w:rPr>
        <w:t>UL 2272 – Outline of Investigation for Electrical Systems for Self-balancing Scooters</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Short circuit protection as specified in section 24 of </w:t>
      </w:r>
      <w:r w:rsidRPr="00066FF1">
        <w:rPr>
          <w:rFonts w:ascii="Times New Roman" w:hAnsi="Times New Roman" w:cs="Times New Roman"/>
          <w:i/>
        </w:rPr>
        <w:t>UL 2272 – Outline of Investigation for Electrical Systems for Self-balancing Scooters</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Temperature control as specified in section 26 of </w:t>
      </w:r>
      <w:r w:rsidRPr="00066FF1">
        <w:rPr>
          <w:rFonts w:ascii="Times New Roman" w:hAnsi="Times New Roman" w:cs="Times New Roman"/>
          <w:i/>
        </w:rPr>
        <w:t>UL 2272 – Outline of Investigation for Electrical Systems for Self-balancing Scooters</w:t>
      </w:r>
    </w:p>
    <w:p w:rsidR="00695AE4" w:rsidRPr="00066FF1" w:rsidRDefault="00695AE4" w:rsidP="00695AE4">
      <w:pPr>
        <w:numPr>
          <w:ilvl w:val="1"/>
          <w:numId w:val="31"/>
        </w:numPr>
        <w:tabs>
          <w:tab w:val="left" w:pos="340"/>
        </w:tabs>
        <w:spacing w:before="120"/>
        <w:rPr>
          <w:rFonts w:ascii="Times New Roman" w:hAnsi="Times New Roman" w:cs="Times New Roman"/>
        </w:rPr>
      </w:pPr>
      <w:r w:rsidRPr="00066FF1">
        <w:rPr>
          <w:rFonts w:ascii="Times New Roman" w:hAnsi="Times New Roman" w:cs="Times New Roman"/>
        </w:rPr>
        <w:t xml:space="preserve">Cell imbalanced charging as specified in section 27 of </w:t>
      </w:r>
      <w:r w:rsidRPr="00066FF1">
        <w:rPr>
          <w:rFonts w:ascii="Times New Roman" w:hAnsi="Times New Roman" w:cs="Times New Roman"/>
          <w:i/>
        </w:rPr>
        <w:t>UL 2272 – Outline of Investigation for Electrical Systems for Self-balancing Scooters</w:t>
      </w:r>
    </w:p>
    <w:p w:rsidR="00695AE4" w:rsidRDefault="00695AE4" w:rsidP="00695AE4">
      <w:pPr>
        <w:keepNext/>
        <w:spacing w:before="240" w:after="120"/>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The Minister for Small Business and Assistant Treasurer has certified that an interim ban on hoverboards that do not meet specified safety requirements should be imposed without delay pursuant to section 132J of the </w:t>
      </w:r>
      <w:r>
        <w:rPr>
          <w:rFonts w:ascii="Times New Roman" w:eastAsia="Times New Roman" w:hAnsi="Times New Roman" w:cs="Times New Roman"/>
          <w:i/>
          <w:lang w:val="en-GB" w:eastAsia="en-AU"/>
        </w:rPr>
        <w:t xml:space="preserve">Competition and Consumer Act 2010 </w:t>
      </w:r>
      <w:r>
        <w:rPr>
          <w:rFonts w:ascii="Times New Roman" w:eastAsia="Times New Roman" w:hAnsi="Times New Roman" w:cs="Times New Roman"/>
          <w:lang w:val="en-GB" w:eastAsia="en-AU"/>
        </w:rPr>
        <w:t>(Cth) (the CCA), because it appears to her that hoverboards which do not meet specified safety requirements create an imminent risk of death or serious injury.  This certification was based on evidence of the frequent occurrence of fires caused by hoverboards while being charged, including four house fires in A</w:t>
      </w:r>
      <w:r w:rsidR="00021887">
        <w:rPr>
          <w:rFonts w:ascii="Times New Roman" w:eastAsia="Times New Roman" w:hAnsi="Times New Roman" w:cs="Times New Roman"/>
          <w:lang w:val="en-GB" w:eastAsia="en-AU"/>
        </w:rPr>
        <w:t>ustralia since January 2016 resulting in the complete destruction of two of those houses</w:t>
      </w:r>
      <w:r>
        <w:rPr>
          <w:rFonts w:ascii="Times New Roman" w:eastAsia="Times New Roman" w:hAnsi="Times New Roman" w:cs="Times New Roman"/>
          <w:lang w:val="en-GB" w:eastAsia="en-AU"/>
        </w:rPr>
        <w:t xml:space="preserve">.  </w:t>
      </w:r>
    </w:p>
    <w:p w:rsidR="00695AE4" w:rsidRPr="00271B8C" w:rsidRDefault="00695AE4" w:rsidP="00695AE4">
      <w:pPr>
        <w:spacing w:before="24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b/>
          <w:bCs/>
          <w:lang w:val="en-GB" w:eastAsia="en-AU"/>
        </w:rPr>
        <w:t>Background</w:t>
      </w:r>
    </w:p>
    <w:p w:rsidR="00695AE4" w:rsidRPr="00271B8C" w:rsidRDefault="00695AE4" w:rsidP="00695AE4">
      <w:pPr>
        <w:spacing w:before="120" w:after="120"/>
        <w:ind w:right="3"/>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 xml:space="preserve">Section 109(1)(a) of the </w:t>
      </w:r>
      <w:r w:rsidRPr="00271B8C">
        <w:rPr>
          <w:rFonts w:ascii="Times New Roman" w:eastAsia="Times New Roman" w:hAnsi="Times New Roman" w:cs="Times New Roman"/>
          <w:i/>
          <w:iCs/>
          <w:lang w:val="en-GB" w:eastAsia="en-AU"/>
        </w:rPr>
        <w:t>Australian Consumer Law</w:t>
      </w:r>
      <w:r w:rsidRPr="00271B8C">
        <w:rPr>
          <w:rFonts w:ascii="Times New Roman" w:eastAsia="Times New Roman" w:hAnsi="Times New Roman" w:cs="Times New Roman"/>
          <w:lang w:val="en-GB" w:eastAsia="en-AU"/>
        </w:rPr>
        <w:t xml:space="preserve"> (the ACL),</w:t>
      </w:r>
      <w:r>
        <w:rPr>
          <w:rFonts w:ascii="Times New Roman" w:eastAsia="Times New Roman" w:hAnsi="Times New Roman" w:cs="Times New Roman"/>
          <w:lang w:val="en-GB" w:eastAsia="en-AU"/>
        </w:rPr>
        <w:t xml:space="preserve"> Schedule 2</w:t>
      </w:r>
      <w:r w:rsidRPr="00271B8C">
        <w:rPr>
          <w:rFonts w:ascii="Times New Roman" w:eastAsia="Times New Roman" w:hAnsi="Times New Roman" w:cs="Times New Roman"/>
          <w:lang w:val="en-GB" w:eastAsia="en-AU"/>
        </w:rPr>
        <w:t xml:space="preserve"> to the CCA</w:t>
      </w:r>
      <w:r>
        <w:rPr>
          <w:rFonts w:ascii="Times New Roman" w:eastAsia="Times New Roman" w:hAnsi="Times New Roman" w:cs="Times New Roman"/>
          <w:lang w:val="en-GB" w:eastAsia="en-AU"/>
        </w:rPr>
        <w:t>,</w:t>
      </w:r>
      <w:r w:rsidRPr="00271B8C">
        <w:rPr>
          <w:rFonts w:ascii="Times New Roman" w:eastAsia="Times New Roman" w:hAnsi="Times New Roman" w:cs="Times New Roman"/>
          <w:lang w:val="en-GB" w:eastAsia="en-AU"/>
        </w:rPr>
        <w:t xml:space="preserve"> provides that a responsible Minister (including the Commonwealth Minister) may impose an interim ban on consumer goods of a particular kind if it appears to the responsible Minister that consumer goods of that kind</w:t>
      </w:r>
      <w:r>
        <w:rPr>
          <w:rFonts w:ascii="Times New Roman" w:eastAsia="Times New Roman" w:hAnsi="Times New Roman" w:cs="Times New Roman"/>
          <w:lang w:val="en-GB" w:eastAsia="en-AU"/>
        </w:rPr>
        <w:t xml:space="preserve">, or a </w:t>
      </w:r>
      <w:r w:rsidRPr="00271B8C">
        <w:rPr>
          <w:rFonts w:ascii="Times New Roman" w:eastAsia="Times New Roman" w:hAnsi="Times New Roman" w:cs="Times New Roman"/>
          <w:lang w:val="en-GB" w:eastAsia="en-AU"/>
        </w:rPr>
        <w:t>reasonably foreseeable use (including a misuse) of</w:t>
      </w:r>
      <w:r>
        <w:rPr>
          <w:rFonts w:ascii="Times New Roman" w:eastAsia="Times New Roman" w:hAnsi="Times New Roman" w:cs="Times New Roman"/>
          <w:lang w:val="en-GB" w:eastAsia="en-AU"/>
        </w:rPr>
        <w:t xml:space="preserve"> consumer goods of that kind, </w:t>
      </w:r>
      <w:r w:rsidRPr="00271B8C">
        <w:rPr>
          <w:rFonts w:ascii="Times New Roman" w:eastAsia="Times New Roman" w:hAnsi="Times New Roman" w:cs="Times New Roman"/>
          <w:lang w:val="en-GB" w:eastAsia="en-AU"/>
        </w:rPr>
        <w:t>will or may cause injury to any person.</w:t>
      </w:r>
    </w:p>
    <w:p w:rsidR="00695AE4" w:rsidRPr="00271B8C" w:rsidRDefault="00695AE4" w:rsidP="00695AE4">
      <w:pPr>
        <w:spacing w:before="120" w:after="120"/>
        <w:ind w:right="3"/>
        <w:jc w:val="both"/>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Section 132J(1)(a) of the CCA provides that</w:t>
      </w:r>
      <w:r>
        <w:rPr>
          <w:rFonts w:ascii="Times New Roman" w:eastAsia="Times New Roman" w:hAnsi="Times New Roman" w:cs="Times New Roman"/>
          <w:lang w:val="en-GB" w:eastAsia="en-AU"/>
        </w:rPr>
        <w:t>,</w:t>
      </w:r>
      <w:r w:rsidRPr="00271B8C">
        <w:rPr>
          <w:rFonts w:ascii="Times New Roman" w:eastAsia="Times New Roman" w:hAnsi="Times New Roman" w:cs="Times New Roman"/>
          <w:lang w:val="en-GB" w:eastAsia="en-AU"/>
        </w:rPr>
        <w:t xml:space="preserve"> </w:t>
      </w:r>
      <w:r>
        <w:rPr>
          <w:rFonts w:ascii="Times New Roman" w:eastAsia="Times New Roman" w:hAnsi="Times New Roman" w:cs="Times New Roman"/>
          <w:lang w:val="en-GB" w:eastAsia="en-AU"/>
        </w:rPr>
        <w:t>if</w:t>
      </w:r>
      <w:r w:rsidRPr="00271B8C">
        <w:rPr>
          <w:rFonts w:ascii="Times New Roman" w:eastAsia="Times New Roman" w:hAnsi="Times New Roman" w:cs="Times New Roman"/>
          <w:lang w:val="en-GB" w:eastAsia="en-AU"/>
        </w:rPr>
        <w:t xml:space="preserve"> it appears to the Commonwealth Minister that consumer goods of a particular kind create an imminent risk of death, serious illness or serious injury, the Commonwealth Minister may certify by written notice published on the internet, that an interim ban should be imposed on the consumer goods without delay.</w:t>
      </w:r>
    </w:p>
    <w:p w:rsidR="00CE61C7" w:rsidRPr="00271B8C" w:rsidRDefault="00CE61C7" w:rsidP="00CE61C7">
      <w:pPr>
        <w:spacing w:before="120" w:after="240"/>
        <w:ind w:right="3"/>
        <w:jc w:val="both"/>
        <w:rPr>
          <w:rFonts w:ascii="Times New Roman" w:eastAsia="Times New Roman" w:hAnsi="Times New Roman" w:cs="Times New Roman"/>
          <w:sz w:val="24"/>
          <w:szCs w:val="24"/>
          <w:lang w:eastAsia="en-AU"/>
        </w:rPr>
      </w:pPr>
      <w:r>
        <w:rPr>
          <w:rFonts w:ascii="Times New Roman" w:eastAsia="Times New Roman" w:hAnsi="Times New Roman" w:cs="Times New Roman"/>
          <w:lang w:val="en-GB" w:eastAsia="en-AU"/>
        </w:rPr>
        <w:t>If t</w:t>
      </w:r>
      <w:r w:rsidRPr="00271B8C">
        <w:rPr>
          <w:rFonts w:ascii="Times New Roman" w:eastAsia="Times New Roman" w:hAnsi="Times New Roman" w:cs="Times New Roman"/>
          <w:lang w:val="en-GB" w:eastAsia="en-AU"/>
        </w:rPr>
        <w:t xml:space="preserve">he Commonwealth Minister </w:t>
      </w:r>
      <w:r>
        <w:rPr>
          <w:rFonts w:ascii="Times New Roman" w:eastAsia="Times New Roman" w:hAnsi="Times New Roman" w:cs="Times New Roman"/>
          <w:lang w:val="en-GB" w:eastAsia="en-AU"/>
        </w:rPr>
        <w:t xml:space="preserve">certifies that an interim ban should be imposed on the consumer goods without delay pursuant to </w:t>
      </w:r>
      <w:r w:rsidRPr="00271B8C">
        <w:rPr>
          <w:rFonts w:ascii="Times New Roman" w:eastAsia="Times New Roman" w:hAnsi="Times New Roman" w:cs="Times New Roman"/>
          <w:lang w:val="en-GB" w:eastAsia="en-AU"/>
        </w:rPr>
        <w:t xml:space="preserve">section 132J of the CCA, </w:t>
      </w:r>
      <w:r>
        <w:rPr>
          <w:rFonts w:ascii="Times New Roman" w:eastAsia="Times New Roman" w:hAnsi="Times New Roman" w:cs="Times New Roman"/>
          <w:lang w:val="en-GB" w:eastAsia="en-AU"/>
        </w:rPr>
        <w:t>section 132E of the CCA</w:t>
      </w:r>
      <w:r w:rsidRPr="00271B8C">
        <w:rPr>
          <w:rFonts w:ascii="Times New Roman" w:eastAsia="Times New Roman" w:hAnsi="Times New Roman" w:cs="Times New Roman"/>
          <w:lang w:val="en-GB" w:eastAsia="en-AU"/>
        </w:rPr>
        <w:t xml:space="preserve"> </w:t>
      </w:r>
      <w:r>
        <w:rPr>
          <w:rFonts w:ascii="Times New Roman" w:eastAsia="Times New Roman" w:hAnsi="Times New Roman" w:cs="Times New Roman"/>
          <w:lang w:val="en-GB" w:eastAsia="en-AU"/>
        </w:rPr>
        <w:t xml:space="preserve">requires </w:t>
      </w:r>
      <w:r w:rsidRPr="00271B8C">
        <w:rPr>
          <w:rFonts w:ascii="Times New Roman" w:eastAsia="Times New Roman" w:hAnsi="Times New Roman" w:cs="Times New Roman"/>
          <w:lang w:val="en-GB" w:eastAsia="en-AU"/>
        </w:rPr>
        <w:t>the Minister</w:t>
      </w:r>
      <w:r>
        <w:rPr>
          <w:rFonts w:ascii="Times New Roman" w:eastAsia="Times New Roman" w:hAnsi="Times New Roman" w:cs="Times New Roman"/>
          <w:lang w:val="en-GB" w:eastAsia="en-AU"/>
        </w:rPr>
        <w:t xml:space="preserve"> to </w:t>
      </w:r>
      <w:r w:rsidRPr="00271B8C">
        <w:rPr>
          <w:rFonts w:ascii="Times New Roman" w:eastAsia="Times New Roman" w:hAnsi="Times New Roman" w:cs="Times New Roman"/>
          <w:lang w:val="en-GB" w:eastAsia="en-AU"/>
        </w:rPr>
        <w:t xml:space="preserve">invite any person who supplied or proposes to supply consumer goods of that kind to </w:t>
      </w:r>
      <w:r>
        <w:rPr>
          <w:rFonts w:ascii="Times New Roman" w:eastAsia="Times New Roman" w:hAnsi="Times New Roman" w:cs="Times New Roman"/>
          <w:lang w:val="en-GB" w:eastAsia="en-AU"/>
        </w:rPr>
        <w:t xml:space="preserve">notify the </w:t>
      </w:r>
      <w:r w:rsidRPr="00271B8C">
        <w:rPr>
          <w:rFonts w:ascii="Times New Roman" w:eastAsia="Times New Roman" w:hAnsi="Times New Roman" w:cs="Times New Roman"/>
          <w:lang w:val="en-GB" w:eastAsia="en-AU"/>
        </w:rPr>
        <w:t xml:space="preserve">Australian Competition and Consumer Commission (ACCC) </w:t>
      </w:r>
      <w:r>
        <w:rPr>
          <w:rFonts w:ascii="Times New Roman" w:eastAsia="Times New Roman" w:hAnsi="Times New Roman" w:cs="Times New Roman"/>
          <w:lang w:val="en-GB" w:eastAsia="en-AU"/>
        </w:rPr>
        <w:t xml:space="preserve">within a specified notice period that they wish the ACCC to hold a conference </w:t>
      </w:r>
      <w:r w:rsidRPr="00271B8C">
        <w:rPr>
          <w:rFonts w:ascii="Times New Roman" w:eastAsia="Times New Roman" w:hAnsi="Times New Roman" w:cs="Times New Roman"/>
          <w:lang w:val="en-GB" w:eastAsia="en-AU"/>
        </w:rPr>
        <w:t>in relation to the interim ba</w:t>
      </w:r>
      <w:r>
        <w:rPr>
          <w:rFonts w:ascii="Times New Roman" w:eastAsia="Times New Roman" w:hAnsi="Times New Roman" w:cs="Times New Roman"/>
          <w:lang w:val="en-GB" w:eastAsia="en-AU"/>
        </w:rPr>
        <w:t xml:space="preserve">n.  </w:t>
      </w:r>
    </w:p>
    <w:p w:rsidR="00695AE4" w:rsidRPr="00AF251E" w:rsidRDefault="00695AE4" w:rsidP="00695AE4">
      <w:pPr>
        <w:spacing w:before="100" w:beforeAutospacing="1" w:after="100" w:afterAutospacing="1"/>
        <w:jc w:val="both"/>
        <w:rPr>
          <w:rFonts w:ascii="Times New Roman" w:eastAsia="Times New Roman" w:hAnsi="Times New Roman" w:cs="Times New Roman"/>
          <w:sz w:val="19"/>
          <w:szCs w:val="19"/>
          <w:lang w:eastAsia="en-AU"/>
        </w:rPr>
      </w:pPr>
      <w:r>
        <w:rPr>
          <w:rFonts w:ascii="Times New Roman" w:eastAsia="Times New Roman" w:hAnsi="Times New Roman" w:cs="Times New Roman"/>
          <w:b/>
          <w:bCs/>
          <w:lang w:eastAsia="en-AU"/>
        </w:rPr>
        <w:t>Risk of death or serious injury resulting from fires caused by hoverboards</w:t>
      </w:r>
    </w:p>
    <w:p w:rsidR="00695AE4" w:rsidRDefault="00695AE4" w:rsidP="00695AE4">
      <w:pPr>
        <w:spacing w:before="120" w:after="120"/>
        <w:ind w:right="3"/>
        <w:jc w:val="both"/>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 xml:space="preserve">Hoverboards have </w:t>
      </w:r>
      <w:r w:rsidR="00021887">
        <w:rPr>
          <w:rFonts w:ascii="Times New Roman" w:eastAsia="Times New Roman" w:hAnsi="Times New Roman" w:cs="Times New Roman"/>
          <w:lang w:val="en-GB" w:eastAsia="en-AU"/>
        </w:rPr>
        <w:t>been associated with</w:t>
      </w:r>
      <w:r w:rsidRPr="0086236D">
        <w:rPr>
          <w:rFonts w:ascii="Times New Roman" w:eastAsia="Times New Roman" w:hAnsi="Times New Roman" w:cs="Times New Roman"/>
          <w:lang w:val="en-GB" w:eastAsia="en-AU"/>
        </w:rPr>
        <w:t xml:space="preserve"> fires, and smoking, overheating </w:t>
      </w:r>
      <w:r>
        <w:rPr>
          <w:rFonts w:ascii="Times New Roman" w:eastAsia="Times New Roman" w:hAnsi="Times New Roman" w:cs="Times New Roman"/>
          <w:lang w:val="en-GB" w:eastAsia="en-AU"/>
        </w:rPr>
        <w:t>and</w:t>
      </w:r>
      <w:r w:rsidRPr="0086236D">
        <w:rPr>
          <w:rFonts w:ascii="Times New Roman" w:eastAsia="Times New Roman" w:hAnsi="Times New Roman" w:cs="Times New Roman"/>
          <w:lang w:val="en-GB" w:eastAsia="en-AU"/>
        </w:rPr>
        <w:t xml:space="preserve"> sparking incidents, in Australia and overseas. </w:t>
      </w:r>
    </w:p>
    <w:p w:rsidR="00695AE4" w:rsidRDefault="00695AE4" w:rsidP="00695AE4">
      <w:pPr>
        <w:spacing w:before="120" w:after="120"/>
        <w:ind w:right="3"/>
        <w:jc w:val="both"/>
        <w:rPr>
          <w:rFonts w:ascii="Times New Roman" w:eastAsia="Times New Roman" w:hAnsi="Times New Roman" w:cs="Times New Roman"/>
          <w:lang w:val="en-GB" w:eastAsia="en-AU"/>
        </w:rPr>
      </w:pPr>
      <w:r w:rsidRPr="00AF251E">
        <w:rPr>
          <w:rFonts w:ascii="Times New Roman" w:eastAsia="Times New Roman" w:hAnsi="Times New Roman" w:cs="Times New Roman"/>
          <w:lang w:val="en-GB" w:eastAsia="en-AU"/>
        </w:rPr>
        <w:t>In Australia, there have been four reports of house fires attributable to hoverboards, two of which resulted in complete destruction of the house. In each case of fire, the hoverboard was being charged when it caught fire.</w:t>
      </w:r>
      <w:r w:rsidRPr="0086236D">
        <w:rPr>
          <w:rFonts w:ascii="Times New Roman" w:eastAsia="Times New Roman" w:hAnsi="Times New Roman" w:cs="Times New Roman"/>
          <w:lang w:val="en-GB" w:eastAsia="en-AU"/>
        </w:rPr>
        <w:t xml:space="preserve">  </w:t>
      </w:r>
    </w:p>
    <w:p w:rsidR="00695AE4" w:rsidRDefault="00695AE4" w:rsidP="00695AE4">
      <w:pPr>
        <w:spacing w:before="120" w:after="120"/>
        <w:ind w:right="3"/>
        <w:jc w:val="both"/>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 xml:space="preserve">There have also been seven further reports of incidents involving smoking, overheating or sparking of hoverboards while charging. Reports from electrical safety regulators and fire authorities following investigation of fires have concluded that observable fire damage indicates that the fires </w:t>
      </w:r>
      <w:r w:rsidR="004F2A8C" w:rsidRPr="001D487D">
        <w:rPr>
          <w:rFonts w:ascii="Times New Roman" w:eastAsia="Times New Roman" w:hAnsi="Times New Roman" w:cs="Times New Roman"/>
          <w:lang w:val="en-GB" w:eastAsia="en-AU"/>
        </w:rPr>
        <w:t xml:space="preserve">were likely to </w:t>
      </w:r>
      <w:r w:rsidRPr="00935693">
        <w:rPr>
          <w:rFonts w:ascii="Times New Roman" w:eastAsia="Times New Roman" w:hAnsi="Times New Roman" w:cs="Times New Roman"/>
          <w:lang w:val="en-GB" w:eastAsia="en-AU"/>
        </w:rPr>
        <w:t>have started in the battery pack of the hoverboard while the hoverboard was being charged</w:t>
      </w:r>
      <w:r w:rsidRPr="0086236D">
        <w:rPr>
          <w:rFonts w:ascii="Times New Roman" w:eastAsia="Times New Roman" w:hAnsi="Times New Roman" w:cs="Times New Roman"/>
          <w:lang w:val="en-GB" w:eastAsia="en-AU"/>
        </w:rPr>
        <w:t xml:space="preserve">.  </w:t>
      </w:r>
    </w:p>
    <w:p w:rsidR="00695AE4" w:rsidRDefault="00695AE4" w:rsidP="00695AE4">
      <w:pPr>
        <w:spacing w:before="120" w:after="120"/>
        <w:ind w:right="3"/>
        <w:jc w:val="both"/>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 xml:space="preserve">This is consistent with the experience in other jurisdictions. The United States Consumer Product Safety Commission (CPSC) has received over 50 reports of hoverboard related fires across 24 US states. The CPSC’s investigation of hoverboards has found that a number of hoverboards do not have </w:t>
      </w:r>
      <w:r w:rsidRPr="0086236D">
        <w:rPr>
          <w:rFonts w:ascii="Times New Roman" w:eastAsia="Times New Roman" w:hAnsi="Times New Roman" w:cs="Times New Roman"/>
          <w:lang w:val="en-GB" w:eastAsia="en-AU"/>
        </w:rPr>
        <w:lastRenderedPageBreak/>
        <w:t>adequate electrical control circuits to prevent lithium</w:t>
      </w:r>
      <w:r>
        <w:rPr>
          <w:rFonts w:ascii="Times New Roman" w:eastAsia="Times New Roman" w:hAnsi="Times New Roman" w:cs="Times New Roman"/>
          <w:lang w:val="en-GB" w:eastAsia="en-AU"/>
        </w:rPr>
        <w:t>-</w:t>
      </w:r>
      <w:r w:rsidRPr="0086236D">
        <w:rPr>
          <w:rFonts w:ascii="Times New Roman" w:eastAsia="Times New Roman" w:hAnsi="Times New Roman" w:cs="Times New Roman"/>
          <w:lang w:val="en-GB" w:eastAsia="en-AU"/>
        </w:rPr>
        <w:t xml:space="preserve">ion battery over charging, excessive battery current flow and battery temperature control. </w:t>
      </w:r>
    </w:p>
    <w:p w:rsidR="00695AE4" w:rsidRDefault="00695AE4" w:rsidP="00695AE4">
      <w:pPr>
        <w:spacing w:before="120" w:after="120"/>
        <w:ind w:right="3"/>
        <w:jc w:val="both"/>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 xml:space="preserve">Based on the Australian and international evidence, it appears that hoverboards, or the reasonably foreseeable use of hoverboards, may cause injury to persons, as a result of the risk of fire and overheating while charging.  </w:t>
      </w:r>
    </w:p>
    <w:p w:rsidR="00695AE4" w:rsidRPr="0086236D" w:rsidRDefault="00695AE4" w:rsidP="00695AE4">
      <w:pPr>
        <w:spacing w:before="120" w:after="120"/>
        <w:ind w:right="3"/>
        <w:jc w:val="both"/>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Electrical safety regulators from Queensland, New South Wales and Victoria have provided advice that, to reduce the risk of an electrical fire, as a minimum, hoverboards should include appropriate components and electrical circuitry to safely manage:</w:t>
      </w:r>
    </w:p>
    <w:p w:rsidR="00695AE4" w:rsidRPr="0086236D"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w:t>
      </w:r>
      <w:r w:rsidRPr="0086236D">
        <w:rPr>
          <w:rFonts w:ascii="Times New Roman" w:eastAsia="Times New Roman" w:hAnsi="Times New Roman" w:cs="Times New Roman"/>
          <w:lang w:val="en-GB" w:eastAsia="en-AU"/>
        </w:rPr>
        <w:tab/>
        <w:t>battery charging;</w:t>
      </w:r>
    </w:p>
    <w:p w:rsidR="00695AE4" w:rsidRPr="0086236D"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w:t>
      </w:r>
      <w:r w:rsidRPr="0086236D">
        <w:rPr>
          <w:rFonts w:ascii="Times New Roman" w:eastAsia="Times New Roman" w:hAnsi="Times New Roman" w:cs="Times New Roman"/>
          <w:lang w:val="en-GB" w:eastAsia="en-AU"/>
        </w:rPr>
        <w:tab/>
        <w:t>battery discharging;</w:t>
      </w:r>
    </w:p>
    <w:p w:rsidR="00695AE4" w:rsidRPr="0086236D"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w:t>
      </w:r>
      <w:r w:rsidRPr="0086236D">
        <w:rPr>
          <w:rFonts w:ascii="Times New Roman" w:eastAsia="Times New Roman" w:hAnsi="Times New Roman" w:cs="Times New Roman"/>
          <w:lang w:val="en-GB" w:eastAsia="en-AU"/>
        </w:rPr>
        <w:tab/>
        <w:t>battery temperature control; and</w:t>
      </w:r>
    </w:p>
    <w:p w:rsidR="00695AE4" w:rsidRPr="0086236D"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w:t>
      </w:r>
      <w:r w:rsidRPr="0086236D">
        <w:rPr>
          <w:rFonts w:ascii="Times New Roman" w:eastAsia="Times New Roman" w:hAnsi="Times New Roman" w:cs="Times New Roman"/>
          <w:lang w:val="en-GB" w:eastAsia="en-AU"/>
        </w:rPr>
        <w:tab/>
        <w:t xml:space="preserve">unbalanced charge in multiple lithium-ion battery cells. </w:t>
      </w:r>
    </w:p>
    <w:p w:rsidR="00695AE4" w:rsidRPr="0086236D"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Publicly available reports on the safety of lithium-ion batteries support that advice.</w:t>
      </w:r>
    </w:p>
    <w:p w:rsidR="00695AE4"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Requiring these safety measures to be included in all hoverboards sold in Australia will reduce the risk of fire in lithium-ion batteries in the hoverboard, and thereby reduce the risk of injury to consumers.</w:t>
      </w:r>
    </w:p>
    <w:p w:rsidR="005E7F23" w:rsidRDefault="005E7F23" w:rsidP="00695AE4">
      <w:pPr>
        <w:spacing w:before="240" w:after="120"/>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The International Electrotechnical Commission (IEC) is a global organisation that prepares and publishes International Standards for electrical and electronic technologies.</w:t>
      </w:r>
    </w:p>
    <w:p w:rsidR="00695AE4" w:rsidRPr="00066FF1" w:rsidRDefault="00695AE4" w:rsidP="00695AE4">
      <w:pPr>
        <w:spacing w:before="240" w:after="120"/>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 xml:space="preserve">IEC </w:t>
      </w:r>
      <w:r w:rsidR="005E7F23">
        <w:rPr>
          <w:rFonts w:ascii="Times New Roman" w:eastAsia="Times New Roman" w:hAnsi="Times New Roman" w:cs="Times New Roman"/>
          <w:lang w:val="en-GB" w:eastAsia="en-AU"/>
        </w:rPr>
        <w:t>6</w:t>
      </w:r>
      <w:r w:rsidRPr="00066FF1">
        <w:rPr>
          <w:rFonts w:ascii="Times New Roman" w:eastAsia="Times New Roman" w:hAnsi="Times New Roman" w:cs="Times New Roman"/>
          <w:lang w:val="en-GB" w:eastAsia="en-AU"/>
        </w:rPr>
        <w:t>2133 sets out safety requirements for portable sealed secondary (rechargeable) cells and for batteries made from cells for use in portable applications.</w:t>
      </w:r>
    </w:p>
    <w:p w:rsidR="00695AE4" w:rsidRPr="0086236D" w:rsidRDefault="00695AE4" w:rsidP="00695AE4">
      <w:pPr>
        <w:spacing w:before="240" w:after="120"/>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IEC 60335-1</w:t>
      </w:r>
      <w:r w:rsidR="00EC30A1">
        <w:rPr>
          <w:rFonts w:ascii="Times New Roman" w:eastAsia="Times New Roman" w:hAnsi="Times New Roman" w:cs="Times New Roman"/>
          <w:lang w:val="en-GB" w:eastAsia="en-AU"/>
        </w:rPr>
        <w:t xml:space="preserve"> </w:t>
      </w:r>
      <w:r w:rsidRPr="00066FF1">
        <w:rPr>
          <w:rFonts w:ascii="Times New Roman" w:eastAsia="Times New Roman" w:hAnsi="Times New Roman" w:cs="Times New Roman"/>
          <w:lang w:val="en-GB" w:eastAsia="en-AU"/>
        </w:rPr>
        <w:t>specifies general safety requirements for household and similar electrical appliances. Section 11 specifies requirements to reduce the risk that appliances and their surroundings will attain excessive heating. Section 19 includes requirements to reduce, amongst other things, fire hazard as a result of abnormal operation.</w:t>
      </w:r>
      <w:r>
        <w:rPr>
          <w:rFonts w:ascii="Times New Roman" w:eastAsia="Times New Roman" w:hAnsi="Times New Roman" w:cs="Times New Roman"/>
          <w:lang w:val="en-GB" w:eastAsia="en-AU"/>
        </w:rPr>
        <w:t xml:space="preserve">  </w:t>
      </w:r>
      <w:r w:rsidR="00CE61C7">
        <w:rPr>
          <w:rFonts w:ascii="Times New Roman" w:eastAsia="Times New Roman" w:hAnsi="Times New Roman" w:cs="Times New Roman"/>
          <w:lang w:val="en-GB" w:eastAsia="en-AU"/>
        </w:rPr>
        <w:t>AS/NZS 60335.1 adopts relevant sections of IEC 60335-1.</w:t>
      </w:r>
    </w:p>
    <w:p w:rsidR="005A7F39" w:rsidRDefault="008615DC" w:rsidP="00695AE4">
      <w:pPr>
        <w:spacing w:before="240" w:after="120"/>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Separately, </w:t>
      </w:r>
      <w:r w:rsidR="00695AE4" w:rsidRPr="0086236D">
        <w:rPr>
          <w:rFonts w:ascii="Times New Roman" w:eastAsia="Times New Roman" w:hAnsi="Times New Roman" w:cs="Times New Roman"/>
          <w:lang w:val="en-GB" w:eastAsia="en-AU"/>
        </w:rPr>
        <w:t>Underwriters Laboratories</w:t>
      </w:r>
      <w:r w:rsidR="005A7F39">
        <w:rPr>
          <w:rFonts w:ascii="Times New Roman" w:eastAsia="Times New Roman" w:hAnsi="Times New Roman" w:cs="Times New Roman"/>
          <w:lang w:val="en-GB" w:eastAsia="en-AU"/>
        </w:rPr>
        <w:t xml:space="preserve"> Inc.</w:t>
      </w:r>
      <w:r w:rsidR="00695AE4" w:rsidRPr="0086236D">
        <w:rPr>
          <w:rFonts w:ascii="Times New Roman" w:eastAsia="Times New Roman" w:hAnsi="Times New Roman" w:cs="Times New Roman"/>
          <w:lang w:val="en-GB" w:eastAsia="en-AU"/>
        </w:rPr>
        <w:t xml:space="preserve"> has developed and published </w:t>
      </w:r>
      <w:r w:rsidR="00695AE4" w:rsidRPr="000761DB">
        <w:rPr>
          <w:rFonts w:ascii="Times New Roman" w:eastAsia="Times New Roman" w:hAnsi="Times New Roman" w:cs="Times New Roman"/>
          <w:i/>
          <w:lang w:val="en-GB" w:eastAsia="en-AU"/>
        </w:rPr>
        <w:t>UL 2272 – Outline of Investigation for Electrical Systems for Self-balancing Scooters</w:t>
      </w:r>
      <w:r w:rsidR="00695AE4" w:rsidRPr="0086236D">
        <w:rPr>
          <w:rFonts w:ascii="Times New Roman" w:eastAsia="Times New Roman" w:hAnsi="Times New Roman" w:cs="Times New Roman"/>
          <w:lang w:val="en-GB" w:eastAsia="en-AU"/>
        </w:rPr>
        <w:t xml:space="preserve">. The outline of investigation includes requirements for the electrical drive train system, including the battery and charger system combinations, for electric-powered self-balancing scooters (hoverboards).  The requirements of UL 2272 specified in the Interim Ban Notice require hoverboards to include appropriate components and electrical circuitry to manage each of the matters listed above. </w:t>
      </w:r>
    </w:p>
    <w:p w:rsidR="00695AE4" w:rsidRDefault="00695AE4" w:rsidP="00695AE4">
      <w:pPr>
        <w:spacing w:before="240" w:after="120"/>
        <w:rPr>
          <w:rFonts w:ascii="Times New Roman" w:eastAsia="Times New Roman" w:hAnsi="Times New Roman" w:cs="Times New Roman"/>
          <w:lang w:val="en-GB" w:eastAsia="en-AU"/>
        </w:rPr>
      </w:pPr>
      <w:r w:rsidRPr="0086236D">
        <w:rPr>
          <w:rFonts w:ascii="Times New Roman" w:eastAsia="Times New Roman" w:hAnsi="Times New Roman" w:cs="Times New Roman"/>
          <w:lang w:val="en-GB" w:eastAsia="en-AU"/>
        </w:rPr>
        <w:t xml:space="preserve">For these reasons, the imposition of </w:t>
      </w:r>
      <w:r>
        <w:rPr>
          <w:rFonts w:ascii="Times New Roman" w:eastAsia="Times New Roman" w:hAnsi="Times New Roman" w:cs="Times New Roman"/>
          <w:lang w:val="en-GB" w:eastAsia="en-AU"/>
        </w:rPr>
        <w:t>this</w:t>
      </w:r>
      <w:r w:rsidRPr="0086236D">
        <w:rPr>
          <w:rFonts w:ascii="Times New Roman" w:eastAsia="Times New Roman" w:hAnsi="Times New Roman" w:cs="Times New Roman"/>
          <w:lang w:val="en-GB" w:eastAsia="en-AU"/>
        </w:rPr>
        <w:t xml:space="preserve"> interim ban </w:t>
      </w:r>
      <w:r>
        <w:rPr>
          <w:rFonts w:ascii="Times New Roman" w:eastAsia="Times New Roman" w:hAnsi="Times New Roman" w:cs="Times New Roman"/>
          <w:lang w:val="en-GB" w:eastAsia="en-AU"/>
        </w:rPr>
        <w:t>to prevent</w:t>
      </w:r>
      <w:r w:rsidRPr="0086236D">
        <w:rPr>
          <w:rFonts w:ascii="Times New Roman" w:eastAsia="Times New Roman" w:hAnsi="Times New Roman" w:cs="Times New Roman"/>
          <w:lang w:val="en-GB" w:eastAsia="en-AU"/>
        </w:rPr>
        <w:t xml:space="preserve"> the supply of hoverboards that do not comply with specified safety requirements in</w:t>
      </w:r>
      <w:r w:rsidR="00BF0F82">
        <w:rPr>
          <w:rFonts w:ascii="Times New Roman" w:eastAsia="Times New Roman" w:hAnsi="Times New Roman" w:cs="Times New Roman"/>
          <w:lang w:val="en-GB" w:eastAsia="en-AU"/>
        </w:rPr>
        <w:t xml:space="preserve"> the IEC standards listed above or</w:t>
      </w:r>
      <w:r w:rsidRPr="0086236D">
        <w:rPr>
          <w:rFonts w:ascii="Times New Roman" w:eastAsia="Times New Roman" w:hAnsi="Times New Roman" w:cs="Times New Roman"/>
          <w:lang w:val="en-GB" w:eastAsia="en-AU"/>
        </w:rPr>
        <w:t xml:space="preserve"> UL 2272 is expected to reduce the risk of fire in hoverboards, and thereby reduce the risk of </w:t>
      </w:r>
      <w:r>
        <w:rPr>
          <w:rFonts w:ascii="Times New Roman" w:eastAsia="Times New Roman" w:hAnsi="Times New Roman" w:cs="Times New Roman"/>
          <w:lang w:val="en-GB" w:eastAsia="en-AU"/>
        </w:rPr>
        <w:t xml:space="preserve">death and serious </w:t>
      </w:r>
      <w:r w:rsidRPr="0086236D">
        <w:rPr>
          <w:rFonts w:ascii="Times New Roman" w:eastAsia="Times New Roman" w:hAnsi="Times New Roman" w:cs="Times New Roman"/>
          <w:lang w:val="en-GB" w:eastAsia="en-AU"/>
        </w:rPr>
        <w:t>injury.</w:t>
      </w:r>
    </w:p>
    <w:p w:rsidR="00695AE4" w:rsidRPr="00271B8C" w:rsidRDefault="00695AE4" w:rsidP="00695AE4">
      <w:pPr>
        <w:spacing w:before="24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b/>
          <w:bCs/>
          <w:lang w:val="en-GB" w:eastAsia="en-AU"/>
        </w:rPr>
        <w:t>Consultation</w:t>
      </w:r>
    </w:p>
    <w:p w:rsidR="00695AE4" w:rsidRDefault="00695AE4" w:rsidP="00695AE4">
      <w:pPr>
        <w:spacing w:before="100" w:beforeAutospacing="1" w:after="100" w:afterAutospacing="1"/>
        <w:ind w:right="3"/>
        <w:jc w:val="both"/>
        <w:rPr>
          <w:rFonts w:ascii="Times New Roman" w:eastAsia="Times New Roman" w:hAnsi="Times New Roman" w:cs="Times New Roman"/>
          <w:lang w:val="en-GB" w:eastAsia="en-AU"/>
        </w:rPr>
      </w:pPr>
      <w:r w:rsidRPr="00271B8C">
        <w:rPr>
          <w:rFonts w:ascii="Times New Roman" w:eastAsia="Times New Roman" w:hAnsi="Times New Roman" w:cs="Times New Roman"/>
          <w:lang w:val="en-GB" w:eastAsia="en-AU"/>
        </w:rPr>
        <w:t xml:space="preserve">Section 131E of the CCA provides that an interim ban made under section 109 of the ACL is a legislative instrument for the purposes of the </w:t>
      </w:r>
      <w:r w:rsidRPr="00271B8C">
        <w:rPr>
          <w:rFonts w:ascii="Times New Roman" w:eastAsia="Times New Roman" w:hAnsi="Times New Roman" w:cs="Times New Roman"/>
          <w:i/>
          <w:iCs/>
          <w:lang w:val="en-GB" w:eastAsia="en-AU"/>
        </w:rPr>
        <w:t>Legislative Instruments Act 2003</w:t>
      </w:r>
      <w:r w:rsidRPr="00271B8C">
        <w:rPr>
          <w:rFonts w:ascii="Times New Roman" w:eastAsia="Times New Roman" w:hAnsi="Times New Roman" w:cs="Times New Roman"/>
          <w:lang w:val="en-GB" w:eastAsia="en-AU"/>
        </w:rPr>
        <w:t xml:space="preserve"> (LIA). Section 17 of the LIA requires that the rule maker should consult prior to making a legislative instrument. </w:t>
      </w:r>
    </w:p>
    <w:p w:rsidR="00695AE4" w:rsidRPr="00066FF1" w:rsidRDefault="00695AE4" w:rsidP="00695AE4">
      <w:pPr>
        <w:spacing w:before="100" w:beforeAutospacing="1" w:after="100" w:afterAutospacing="1"/>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 xml:space="preserve">Prior to the imposition of the interim ban, the ACCC contacted </w:t>
      </w:r>
      <w:r w:rsidR="00F06511">
        <w:rPr>
          <w:rFonts w:ascii="Times New Roman" w:eastAsia="Times New Roman" w:hAnsi="Times New Roman" w:cs="Times New Roman"/>
          <w:lang w:val="en-GB" w:eastAsia="en-AU"/>
        </w:rPr>
        <w:t xml:space="preserve">all known </w:t>
      </w:r>
      <w:r w:rsidRPr="00066FF1">
        <w:rPr>
          <w:rFonts w:ascii="Times New Roman" w:eastAsia="Times New Roman" w:hAnsi="Times New Roman" w:cs="Times New Roman"/>
          <w:lang w:val="en-GB" w:eastAsia="en-AU"/>
        </w:rPr>
        <w:t xml:space="preserve">hoverboard suppliers and advised them that the ACCC was considering options to reduce the risk of house fires caused by hoverboards and that one of the options under consideration was </w:t>
      </w:r>
      <w:r w:rsidR="005E7F23">
        <w:rPr>
          <w:rFonts w:ascii="Times New Roman" w:eastAsia="Times New Roman" w:hAnsi="Times New Roman" w:cs="Times New Roman"/>
          <w:lang w:val="en-GB" w:eastAsia="en-AU"/>
        </w:rPr>
        <w:t>a recommendation to</w:t>
      </w:r>
      <w:r w:rsidRPr="00066FF1">
        <w:rPr>
          <w:rFonts w:ascii="Times New Roman" w:eastAsia="Times New Roman" w:hAnsi="Times New Roman" w:cs="Times New Roman"/>
          <w:lang w:val="en-GB" w:eastAsia="en-AU"/>
        </w:rPr>
        <w:t xml:space="preserve"> the Minister </w:t>
      </w:r>
      <w:r w:rsidRPr="00066FF1">
        <w:rPr>
          <w:rFonts w:ascii="Times New Roman" w:eastAsia="Times New Roman" w:hAnsi="Times New Roman" w:cs="Times New Roman"/>
          <w:lang w:val="en-GB" w:eastAsia="en-AU"/>
        </w:rPr>
        <w:lastRenderedPageBreak/>
        <w:t>for Small Business and Assistant Treasurer</w:t>
      </w:r>
      <w:r w:rsidR="005E7F23">
        <w:rPr>
          <w:rFonts w:ascii="Times New Roman" w:eastAsia="Times New Roman" w:hAnsi="Times New Roman" w:cs="Times New Roman"/>
          <w:lang w:val="en-GB" w:eastAsia="en-AU"/>
        </w:rPr>
        <w:t xml:space="preserve"> that she</w:t>
      </w:r>
      <w:r w:rsidRPr="00066FF1">
        <w:rPr>
          <w:rFonts w:ascii="Times New Roman" w:eastAsia="Times New Roman" w:hAnsi="Times New Roman" w:cs="Times New Roman"/>
          <w:lang w:val="en-GB" w:eastAsia="en-AU"/>
        </w:rPr>
        <w:t xml:space="preserve"> impose an interim ban on hoverboards that do not meet specific safety requirements of UL 2272. </w:t>
      </w:r>
    </w:p>
    <w:p w:rsidR="00695AE4" w:rsidRPr="00066FF1" w:rsidRDefault="00695AE4" w:rsidP="00695AE4">
      <w:pPr>
        <w:spacing w:before="100" w:beforeAutospacing="1" w:after="100" w:afterAutospacing="1"/>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Suppliers were advised that, given the number of house fires and incidents involving smoking, overheating or sparking of hoverboards while charging, the ACCC may recommend that the Minister impose an interim ban immediately</w:t>
      </w:r>
      <w:r w:rsidR="00BF0F82">
        <w:rPr>
          <w:rFonts w:ascii="Times New Roman" w:eastAsia="Times New Roman" w:hAnsi="Times New Roman" w:cs="Times New Roman"/>
          <w:lang w:val="en-GB" w:eastAsia="en-AU"/>
        </w:rPr>
        <w:t>,</w:t>
      </w:r>
      <w:r w:rsidRPr="00066FF1">
        <w:rPr>
          <w:rFonts w:ascii="Times New Roman" w:eastAsia="Times New Roman" w:hAnsi="Times New Roman" w:cs="Times New Roman"/>
          <w:lang w:val="en-GB" w:eastAsia="en-AU"/>
        </w:rPr>
        <w:t xml:space="preserve"> on the basis that hoverboards that do not comply with  specific safety requirements</w:t>
      </w:r>
      <w:r w:rsidR="005E7F23">
        <w:rPr>
          <w:rFonts w:ascii="Times New Roman" w:eastAsia="Times New Roman" w:hAnsi="Times New Roman" w:cs="Times New Roman"/>
          <w:lang w:val="en-GB" w:eastAsia="en-AU"/>
        </w:rPr>
        <w:t xml:space="preserve"> in UL 2272</w:t>
      </w:r>
      <w:r w:rsidRPr="00066FF1">
        <w:rPr>
          <w:rFonts w:ascii="Times New Roman" w:eastAsia="Times New Roman" w:hAnsi="Times New Roman" w:cs="Times New Roman"/>
          <w:lang w:val="en-GB" w:eastAsia="en-AU"/>
        </w:rPr>
        <w:t xml:space="preserve"> create an imminent risk of death or serious injury.</w:t>
      </w:r>
    </w:p>
    <w:p w:rsidR="00695AE4" w:rsidRPr="00066FF1" w:rsidRDefault="00695AE4" w:rsidP="00695AE4">
      <w:pPr>
        <w:spacing w:before="100" w:beforeAutospacing="1" w:after="100" w:afterAutospacing="1"/>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Suppliers were invited to make submissions to the ACCC</w:t>
      </w:r>
      <w:r w:rsidR="005E7F23">
        <w:rPr>
          <w:rFonts w:ascii="Times New Roman" w:eastAsia="Times New Roman" w:hAnsi="Times New Roman" w:cs="Times New Roman"/>
          <w:lang w:val="en-GB" w:eastAsia="en-AU"/>
        </w:rPr>
        <w:t xml:space="preserve"> in response to the options being considered</w:t>
      </w:r>
      <w:r w:rsidRPr="00066FF1">
        <w:rPr>
          <w:rFonts w:ascii="Times New Roman" w:eastAsia="Times New Roman" w:hAnsi="Times New Roman" w:cs="Times New Roman"/>
          <w:lang w:val="en-GB" w:eastAsia="en-AU"/>
        </w:rPr>
        <w:t>. Thirty two submissions were received.</w:t>
      </w:r>
    </w:p>
    <w:p w:rsidR="008615DC" w:rsidRDefault="008615DC" w:rsidP="008615DC">
      <w:pPr>
        <w:spacing w:before="100" w:beforeAutospacing="1" w:after="100" w:afterAutospacing="1"/>
        <w:ind w:right="3"/>
        <w:jc w:val="both"/>
        <w:rPr>
          <w:rFonts w:ascii="Times New Roman" w:eastAsia="Times New Roman" w:hAnsi="Times New Roman" w:cs="Times New Roman"/>
          <w:lang w:val="en-GB" w:eastAsia="en-AU"/>
        </w:rPr>
      </w:pPr>
      <w:r w:rsidRPr="00066FF1">
        <w:rPr>
          <w:rFonts w:ascii="Times New Roman" w:eastAsia="Times New Roman" w:hAnsi="Times New Roman" w:cs="Times New Roman"/>
          <w:lang w:val="en-GB" w:eastAsia="en-AU"/>
        </w:rPr>
        <w:t xml:space="preserve">A number of submissions </w:t>
      </w:r>
      <w:r>
        <w:rPr>
          <w:rFonts w:ascii="Times New Roman" w:eastAsia="Times New Roman" w:hAnsi="Times New Roman" w:cs="Times New Roman"/>
          <w:lang w:val="en-GB" w:eastAsia="en-AU"/>
        </w:rPr>
        <w:t>suggested that</w:t>
      </w:r>
      <w:r w:rsidRPr="00066FF1">
        <w:rPr>
          <w:rFonts w:ascii="Times New Roman" w:eastAsia="Times New Roman" w:hAnsi="Times New Roman" w:cs="Times New Roman"/>
          <w:lang w:val="en-GB" w:eastAsia="en-AU"/>
        </w:rPr>
        <w:t xml:space="preserve"> hoverboards that meet the requirements of the IEC standards referred to above</w:t>
      </w:r>
      <w:r>
        <w:rPr>
          <w:rFonts w:ascii="Times New Roman" w:eastAsia="Times New Roman" w:hAnsi="Times New Roman" w:cs="Times New Roman"/>
          <w:lang w:val="en-GB" w:eastAsia="en-AU"/>
        </w:rPr>
        <w:t xml:space="preserve"> should also be excluded from any ban</w:t>
      </w:r>
      <w:r w:rsidRPr="00066FF1">
        <w:rPr>
          <w:rFonts w:ascii="Times New Roman" w:eastAsia="Times New Roman" w:hAnsi="Times New Roman" w:cs="Times New Roman"/>
          <w:lang w:val="en-GB" w:eastAsia="en-AU"/>
        </w:rPr>
        <w:t>.</w:t>
      </w:r>
      <w:r>
        <w:rPr>
          <w:rFonts w:ascii="Times New Roman" w:eastAsia="Times New Roman" w:hAnsi="Times New Roman" w:cs="Times New Roman"/>
          <w:lang w:val="en-GB" w:eastAsia="en-AU"/>
        </w:rPr>
        <w:t xml:space="preserve"> The Electrical Regulatory Authorities Council (ERAC) has also stated that hoverboard battery charging functionality, ancillary electronics and supply units could be assessed against the IEC standards. </w:t>
      </w:r>
    </w:p>
    <w:p w:rsidR="008615DC" w:rsidRDefault="008615DC" w:rsidP="008615DC">
      <w:pPr>
        <w:spacing w:before="100" w:beforeAutospacing="1" w:after="100" w:afterAutospacing="1"/>
        <w:ind w:right="3"/>
        <w:jc w:val="both"/>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In light of submissions and statements by ERAC on the suitability of the IEC standards as well as supplier feedback, the proposed interim ban was amended to exclude hoverboards that comply with the IE</w:t>
      </w:r>
      <w:r w:rsidR="00BA0BDC">
        <w:rPr>
          <w:rFonts w:ascii="Times New Roman" w:eastAsia="Times New Roman" w:hAnsi="Times New Roman" w:cs="Times New Roman"/>
          <w:lang w:val="en-GB" w:eastAsia="en-AU"/>
        </w:rPr>
        <w:t>C standards (or alternatively</w:t>
      </w:r>
      <w:r>
        <w:rPr>
          <w:rFonts w:ascii="Times New Roman" w:eastAsia="Times New Roman" w:hAnsi="Times New Roman" w:cs="Times New Roman"/>
          <w:lang w:val="en-GB" w:eastAsia="en-AU"/>
        </w:rPr>
        <w:t xml:space="preserve"> the AS/NZS standards which adopt the relevant sections of IEC 60335</w:t>
      </w:r>
      <w:r w:rsidR="00BA0BDC">
        <w:rPr>
          <w:rFonts w:ascii="Times New Roman" w:eastAsia="Times New Roman" w:hAnsi="Times New Roman" w:cs="Times New Roman"/>
          <w:lang w:val="en-GB" w:eastAsia="en-AU"/>
        </w:rPr>
        <w:t>-1</w:t>
      </w:r>
      <w:r>
        <w:rPr>
          <w:rFonts w:ascii="Times New Roman" w:eastAsia="Times New Roman" w:hAnsi="Times New Roman" w:cs="Times New Roman"/>
          <w:lang w:val="en-GB" w:eastAsia="en-AU"/>
        </w:rPr>
        <w:t>).</w:t>
      </w:r>
    </w:p>
    <w:p w:rsidR="00695AE4" w:rsidRPr="00271B8C" w:rsidRDefault="00695AE4" w:rsidP="00695AE4">
      <w:pPr>
        <w:spacing w:before="24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b/>
          <w:bCs/>
          <w:lang w:val="en-GB" w:eastAsia="en-AU"/>
        </w:rPr>
        <w:t>Commencement</w:t>
      </w:r>
    </w:p>
    <w:p w:rsidR="00695AE4" w:rsidRPr="00271B8C" w:rsidRDefault="00695AE4" w:rsidP="006E31EE">
      <w:pPr>
        <w:spacing w:before="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lang w:val="en-GB" w:eastAsia="en-AU"/>
        </w:rPr>
        <w:t>This</w:t>
      </w:r>
      <w:r w:rsidR="00064E1E">
        <w:rPr>
          <w:rFonts w:ascii="Times New Roman" w:eastAsia="Times New Roman" w:hAnsi="Times New Roman" w:cs="Times New Roman"/>
          <w:lang w:val="en-GB" w:eastAsia="en-AU"/>
        </w:rPr>
        <w:t xml:space="preserve"> legislative</w:t>
      </w:r>
      <w:r w:rsidRPr="00271B8C">
        <w:rPr>
          <w:rFonts w:ascii="Times New Roman" w:eastAsia="Times New Roman" w:hAnsi="Times New Roman" w:cs="Times New Roman"/>
          <w:lang w:val="en-GB" w:eastAsia="en-AU"/>
        </w:rPr>
        <w:t xml:space="preserve"> instrument commences on the day specified in the instrument.</w:t>
      </w:r>
    </w:p>
    <w:p w:rsidR="006E31EE" w:rsidRDefault="006E31EE" w:rsidP="006E31EE">
      <w:pPr>
        <w:spacing w:before="0"/>
        <w:rPr>
          <w:rFonts w:ascii="Times New Roman" w:eastAsia="Times New Roman" w:hAnsi="Times New Roman" w:cs="Times New Roman"/>
          <w:b/>
          <w:bCs/>
          <w:lang w:val="en-GB" w:eastAsia="en-AU"/>
        </w:rPr>
      </w:pPr>
    </w:p>
    <w:p w:rsidR="00695AE4" w:rsidRPr="00271B8C" w:rsidRDefault="00695AE4" w:rsidP="006E31EE">
      <w:pPr>
        <w:spacing w:before="0" w:after="120"/>
        <w:rPr>
          <w:rFonts w:ascii="Times New Roman" w:eastAsia="Times New Roman" w:hAnsi="Times New Roman" w:cs="Times New Roman"/>
          <w:sz w:val="24"/>
          <w:szCs w:val="24"/>
          <w:lang w:eastAsia="en-AU"/>
        </w:rPr>
      </w:pPr>
      <w:r w:rsidRPr="00271B8C">
        <w:rPr>
          <w:rFonts w:ascii="Times New Roman" w:eastAsia="Times New Roman" w:hAnsi="Times New Roman" w:cs="Times New Roman"/>
          <w:b/>
          <w:bCs/>
          <w:lang w:val="en-GB" w:eastAsia="en-AU"/>
        </w:rPr>
        <w:t>Disallowance</w:t>
      </w:r>
    </w:p>
    <w:p w:rsidR="006E31EE" w:rsidRPr="006E31EE" w:rsidRDefault="006E31EE" w:rsidP="006E31EE">
      <w:pPr>
        <w:rPr>
          <w:rFonts w:ascii="Times New Roman" w:hAnsi="Times New Roman" w:cs="Times New Roman"/>
        </w:rPr>
      </w:pPr>
      <w:r w:rsidRPr="006E31EE">
        <w:rPr>
          <w:rFonts w:ascii="Times New Roman" w:hAnsi="Times New Roman" w:cs="Times New Roman"/>
        </w:rPr>
        <w:t xml:space="preserve">This legislative instrument is not subject to disallowance due to section 44 of the </w:t>
      </w:r>
      <w:r w:rsidRPr="006E31EE">
        <w:rPr>
          <w:rFonts w:ascii="Times New Roman" w:hAnsi="Times New Roman" w:cs="Times New Roman"/>
          <w:i/>
        </w:rPr>
        <w:t>Legislation Act 2003</w:t>
      </w:r>
      <w:r w:rsidRPr="006E31EE">
        <w:rPr>
          <w:rFonts w:ascii="Times New Roman" w:hAnsi="Times New Roman" w:cs="Times New Roman"/>
        </w:rPr>
        <w:t>.</w:t>
      </w:r>
    </w:p>
    <w:p w:rsidR="00695AE4" w:rsidRPr="00433844" w:rsidRDefault="00695AE4" w:rsidP="00695AE4">
      <w:pPr>
        <w:spacing w:before="240" w:after="120"/>
        <w:rPr>
          <w:rFonts w:ascii="Times New Roman" w:eastAsia="Times New Roman" w:hAnsi="Times New Roman" w:cs="Times New Roman"/>
          <w:sz w:val="24"/>
          <w:szCs w:val="24"/>
          <w:lang w:eastAsia="en-AU"/>
        </w:rPr>
      </w:pPr>
      <w:r w:rsidRPr="00433844">
        <w:rPr>
          <w:rFonts w:ascii="Times New Roman" w:eastAsia="Times New Roman" w:hAnsi="Times New Roman" w:cs="Times New Roman"/>
          <w:b/>
          <w:bCs/>
          <w:lang w:val="en-GB" w:eastAsia="en-AU"/>
        </w:rPr>
        <w:t>Sunsetting</w:t>
      </w:r>
    </w:p>
    <w:p w:rsidR="00695AE4" w:rsidRPr="00433844" w:rsidRDefault="0095315C" w:rsidP="0095315C">
      <w:pPr>
        <w:spacing w:before="120" w:after="120"/>
        <w:ind w:right="3"/>
        <w:jc w:val="both"/>
        <w:rPr>
          <w:rFonts w:ascii="Times New Roman" w:eastAsia="Times New Roman" w:hAnsi="Times New Roman" w:cs="Times New Roman"/>
          <w:lang w:val="en-GB" w:eastAsia="en-AU"/>
        </w:rPr>
      </w:pPr>
      <w:r w:rsidRPr="0095315C">
        <w:rPr>
          <w:rFonts w:ascii="Times New Roman" w:hAnsi="Times New Roman" w:cs="Times New Roman"/>
          <w:lang w:val="en-GB"/>
        </w:rPr>
        <w:t>Th</w:t>
      </w:r>
      <w:r w:rsidR="008D7A96">
        <w:rPr>
          <w:rFonts w:ascii="Times New Roman" w:hAnsi="Times New Roman" w:cs="Times New Roman"/>
          <w:lang w:val="en-GB"/>
        </w:rPr>
        <w:t>is</w:t>
      </w:r>
      <w:r w:rsidR="00967FF5">
        <w:rPr>
          <w:rFonts w:ascii="Times New Roman" w:hAnsi="Times New Roman" w:cs="Times New Roman"/>
          <w:lang w:val="en-GB"/>
        </w:rPr>
        <w:t xml:space="preserve"> legislative</w:t>
      </w:r>
      <w:r w:rsidRPr="0095315C">
        <w:rPr>
          <w:rFonts w:ascii="Times New Roman" w:hAnsi="Times New Roman" w:cs="Times New Roman"/>
          <w:lang w:val="en-GB"/>
        </w:rPr>
        <w:t xml:space="preserve"> instrument is not subject to sunsetting due to section 54 of </w:t>
      </w:r>
      <w:r w:rsidRPr="0095315C">
        <w:rPr>
          <w:rFonts w:ascii="Times New Roman" w:hAnsi="Times New Roman" w:cs="Times New Roman"/>
          <w:i/>
          <w:lang w:val="en-GB"/>
        </w:rPr>
        <w:t>the Legislation Act 2003</w:t>
      </w:r>
      <w:r w:rsidRPr="0095315C">
        <w:rPr>
          <w:rFonts w:ascii="Times New Roman" w:hAnsi="Times New Roman" w:cs="Times New Roman"/>
          <w:lang w:val="en-GB"/>
        </w:rPr>
        <w:t xml:space="preserve">. </w:t>
      </w:r>
    </w:p>
    <w:sectPr w:rsidR="00695AE4" w:rsidRPr="00433844" w:rsidSect="00F06511">
      <w:footerReference w:type="default" r:id="rId9"/>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2A" w:rsidRDefault="00F14A2A" w:rsidP="004B4412">
      <w:pPr>
        <w:spacing w:before="0"/>
      </w:pPr>
      <w:r>
        <w:separator/>
      </w:r>
    </w:p>
  </w:endnote>
  <w:endnote w:type="continuationSeparator" w:id="0">
    <w:p w:rsidR="00F14A2A" w:rsidRDefault="00F14A2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682750"/>
      <w:docPartObj>
        <w:docPartGallery w:val="Page Numbers (Bottom of Page)"/>
        <w:docPartUnique/>
      </w:docPartObj>
    </w:sdtPr>
    <w:sdtEndPr>
      <w:rPr>
        <w:noProof/>
      </w:rPr>
    </w:sdtEndPr>
    <w:sdtContent>
      <w:p w:rsidR="00884E15" w:rsidRDefault="00884E15">
        <w:pPr>
          <w:pStyle w:val="Footer"/>
          <w:jc w:val="center"/>
        </w:pPr>
        <w:r>
          <w:fldChar w:fldCharType="begin"/>
        </w:r>
        <w:r>
          <w:instrText xml:space="preserve"> PAGE   \* MERGEFORMAT </w:instrText>
        </w:r>
        <w:r>
          <w:fldChar w:fldCharType="separate"/>
        </w:r>
        <w:r w:rsidR="00131FD2">
          <w:rPr>
            <w:noProof/>
          </w:rPr>
          <w:t>1</w:t>
        </w:r>
        <w:r>
          <w:rPr>
            <w:noProof/>
          </w:rPr>
          <w:fldChar w:fldCharType="end"/>
        </w:r>
      </w:p>
    </w:sdtContent>
  </w:sdt>
  <w:p w:rsidR="006D5B61" w:rsidRDefault="006D5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2A" w:rsidRDefault="00F14A2A" w:rsidP="004B4412">
      <w:pPr>
        <w:spacing w:before="0"/>
      </w:pPr>
      <w:r>
        <w:separator/>
      </w:r>
    </w:p>
  </w:footnote>
  <w:footnote w:type="continuationSeparator" w:id="0">
    <w:p w:rsidR="00F14A2A" w:rsidRDefault="00F14A2A"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6C325E"/>
    <w:multiLevelType w:val="hybridMultilevel"/>
    <w:tmpl w:val="E3B2B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E401384"/>
    <w:multiLevelType w:val="multilevel"/>
    <w:tmpl w:val="7C6E1012"/>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CD06C2"/>
    <w:multiLevelType w:val="multilevel"/>
    <w:tmpl w:val="FA342AE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15:restartNumberingAfterBreak="0">
    <w:nsid w:val="45A33385"/>
    <w:multiLevelType w:val="multilevel"/>
    <w:tmpl w:val="A6AEDD94"/>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15:restartNumberingAfterBreak="0">
    <w:nsid w:val="739E3617"/>
    <w:multiLevelType w:val="multilevel"/>
    <w:tmpl w:val="FA342AE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9" w15:restartNumberingAfterBreak="0">
    <w:nsid w:val="74ED785E"/>
    <w:multiLevelType w:val="hybridMultilevel"/>
    <w:tmpl w:val="267CE1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1"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15:restartNumberingAfterBreak="0">
    <w:nsid w:val="7CC03762"/>
    <w:multiLevelType w:val="hybridMultilevel"/>
    <w:tmpl w:val="267CE1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1"/>
  </w:num>
  <w:num w:numId="8">
    <w:abstractNumId w:val="0"/>
  </w:num>
  <w:num w:numId="9">
    <w:abstractNumId w:val="25"/>
  </w:num>
  <w:num w:numId="10">
    <w:abstractNumId w:val="18"/>
  </w:num>
  <w:num w:numId="11">
    <w:abstractNumId w:val="10"/>
  </w:num>
  <w:num w:numId="12">
    <w:abstractNumId w:val="13"/>
  </w:num>
  <w:num w:numId="13">
    <w:abstractNumId w:val="17"/>
  </w:num>
  <w:num w:numId="14">
    <w:abstractNumId w:val="2"/>
  </w:num>
  <w:num w:numId="15">
    <w:abstractNumId w:val="26"/>
  </w:num>
  <w:num w:numId="16">
    <w:abstractNumId w:val="31"/>
  </w:num>
  <w:num w:numId="17">
    <w:abstractNumId w:val="30"/>
  </w:num>
  <w:num w:numId="18">
    <w:abstractNumId w:val="22"/>
  </w:num>
  <w:num w:numId="19">
    <w:abstractNumId w:val="16"/>
  </w:num>
  <w:num w:numId="20">
    <w:abstractNumId w:val="19"/>
  </w:num>
  <w:num w:numId="21">
    <w:abstractNumId w:val="28"/>
  </w:num>
  <w:num w:numId="22">
    <w:abstractNumId w:val="23"/>
  </w:num>
  <w:num w:numId="23">
    <w:abstractNumId w:val="8"/>
  </w:num>
  <w:num w:numId="24">
    <w:abstractNumId w:val="3"/>
  </w:num>
  <w:num w:numId="25">
    <w:abstractNumId w:val="21"/>
  </w:num>
  <w:num w:numId="26">
    <w:abstractNumId w:val="12"/>
  </w:num>
  <w:num w:numId="27">
    <w:abstractNumId w:val="24"/>
  </w:num>
  <w:num w:numId="28">
    <w:abstractNumId w:val="14"/>
  </w:num>
  <w:num w:numId="29">
    <w:abstractNumId w:val="29"/>
  </w:num>
  <w:num w:numId="30">
    <w:abstractNumId w:val="32"/>
  </w:num>
  <w:num w:numId="31">
    <w:abstractNumId w:val="27"/>
  </w:num>
  <w:num w:numId="32">
    <w:abstractNumId w:val="20"/>
  </w:num>
  <w:num w:numId="33">
    <w:abstractNumId w:val="9"/>
  </w:num>
  <w:num w:numId="3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bell\AppData\Local\Microsoft\Windows\Temporary Internet Files\Content.Outlook\DGCS00O1\Attachment D - Explanatory Statement.docx"/>
  </w:docVars>
  <w:rsids>
    <w:rsidRoot w:val="00271B8C"/>
    <w:rsid w:val="0002115F"/>
    <w:rsid w:val="00021202"/>
    <w:rsid w:val="00021887"/>
    <w:rsid w:val="000225C4"/>
    <w:rsid w:val="0003578C"/>
    <w:rsid w:val="00063247"/>
    <w:rsid w:val="00064E1E"/>
    <w:rsid w:val="00066FF1"/>
    <w:rsid w:val="00070F9F"/>
    <w:rsid w:val="0007137B"/>
    <w:rsid w:val="000761DB"/>
    <w:rsid w:val="00081C82"/>
    <w:rsid w:val="00085663"/>
    <w:rsid w:val="00085EBF"/>
    <w:rsid w:val="000955BC"/>
    <w:rsid w:val="000A1E14"/>
    <w:rsid w:val="000A455B"/>
    <w:rsid w:val="000C60BB"/>
    <w:rsid w:val="000D122C"/>
    <w:rsid w:val="000D2421"/>
    <w:rsid w:val="000D7C1E"/>
    <w:rsid w:val="000E1819"/>
    <w:rsid w:val="000E6C72"/>
    <w:rsid w:val="000F2368"/>
    <w:rsid w:val="00110BB9"/>
    <w:rsid w:val="00116EB2"/>
    <w:rsid w:val="00121140"/>
    <w:rsid w:val="00124609"/>
    <w:rsid w:val="00131FD2"/>
    <w:rsid w:val="00144801"/>
    <w:rsid w:val="001573E4"/>
    <w:rsid w:val="00160756"/>
    <w:rsid w:val="001674A2"/>
    <w:rsid w:val="0017232E"/>
    <w:rsid w:val="00174102"/>
    <w:rsid w:val="00180157"/>
    <w:rsid w:val="00181223"/>
    <w:rsid w:val="00186F77"/>
    <w:rsid w:val="00191B71"/>
    <w:rsid w:val="001926A4"/>
    <w:rsid w:val="00193631"/>
    <w:rsid w:val="001A3A19"/>
    <w:rsid w:val="001A6146"/>
    <w:rsid w:val="001B246B"/>
    <w:rsid w:val="001B45A0"/>
    <w:rsid w:val="001C18EE"/>
    <w:rsid w:val="001D055E"/>
    <w:rsid w:val="001D487D"/>
    <w:rsid w:val="001F3BA3"/>
    <w:rsid w:val="001F492E"/>
    <w:rsid w:val="001F4E30"/>
    <w:rsid w:val="001F6DA3"/>
    <w:rsid w:val="00212737"/>
    <w:rsid w:val="00224DB9"/>
    <w:rsid w:val="00234DCB"/>
    <w:rsid w:val="00251745"/>
    <w:rsid w:val="00263AC0"/>
    <w:rsid w:val="0026772D"/>
    <w:rsid w:val="00271B8C"/>
    <w:rsid w:val="00286874"/>
    <w:rsid w:val="00296B65"/>
    <w:rsid w:val="002A12CB"/>
    <w:rsid w:val="002A7DEF"/>
    <w:rsid w:val="002F7986"/>
    <w:rsid w:val="00303C4A"/>
    <w:rsid w:val="003068DF"/>
    <w:rsid w:val="00307F6D"/>
    <w:rsid w:val="003177A2"/>
    <w:rsid w:val="003271B5"/>
    <w:rsid w:val="003301BA"/>
    <w:rsid w:val="00330CA0"/>
    <w:rsid w:val="00331264"/>
    <w:rsid w:val="00334C8D"/>
    <w:rsid w:val="00340655"/>
    <w:rsid w:val="003459E6"/>
    <w:rsid w:val="003518B3"/>
    <w:rsid w:val="00355DB8"/>
    <w:rsid w:val="003643CF"/>
    <w:rsid w:val="00364AD5"/>
    <w:rsid w:val="00371641"/>
    <w:rsid w:val="003846F1"/>
    <w:rsid w:val="0039786F"/>
    <w:rsid w:val="003A673F"/>
    <w:rsid w:val="003B5A70"/>
    <w:rsid w:val="003D7B87"/>
    <w:rsid w:val="003E4E10"/>
    <w:rsid w:val="00433844"/>
    <w:rsid w:val="00474A3C"/>
    <w:rsid w:val="00475DDE"/>
    <w:rsid w:val="00480B4B"/>
    <w:rsid w:val="00485DC4"/>
    <w:rsid w:val="004B4412"/>
    <w:rsid w:val="004C348C"/>
    <w:rsid w:val="004D55BA"/>
    <w:rsid w:val="004F2A8C"/>
    <w:rsid w:val="005038DB"/>
    <w:rsid w:val="00511A11"/>
    <w:rsid w:val="0052379B"/>
    <w:rsid w:val="00530128"/>
    <w:rsid w:val="00532467"/>
    <w:rsid w:val="00544EA4"/>
    <w:rsid w:val="00547BA2"/>
    <w:rsid w:val="00547CCF"/>
    <w:rsid w:val="00564A4D"/>
    <w:rsid w:val="00565829"/>
    <w:rsid w:val="00571B35"/>
    <w:rsid w:val="00571C9F"/>
    <w:rsid w:val="00577A09"/>
    <w:rsid w:val="00580B78"/>
    <w:rsid w:val="00584D8F"/>
    <w:rsid w:val="00592CE9"/>
    <w:rsid w:val="00596D42"/>
    <w:rsid w:val="005A404D"/>
    <w:rsid w:val="005A7F39"/>
    <w:rsid w:val="005B1E3C"/>
    <w:rsid w:val="005B4271"/>
    <w:rsid w:val="005C24AC"/>
    <w:rsid w:val="005C26CC"/>
    <w:rsid w:val="005E395F"/>
    <w:rsid w:val="005E3CCB"/>
    <w:rsid w:val="005E6C0E"/>
    <w:rsid w:val="005E7F23"/>
    <w:rsid w:val="005F39DB"/>
    <w:rsid w:val="00605506"/>
    <w:rsid w:val="00615C6B"/>
    <w:rsid w:val="00632D6D"/>
    <w:rsid w:val="00642C3E"/>
    <w:rsid w:val="00645E31"/>
    <w:rsid w:val="00646025"/>
    <w:rsid w:val="00663DAD"/>
    <w:rsid w:val="00676679"/>
    <w:rsid w:val="00691616"/>
    <w:rsid w:val="00695AE4"/>
    <w:rsid w:val="006B4CF9"/>
    <w:rsid w:val="006B7AC8"/>
    <w:rsid w:val="006D550F"/>
    <w:rsid w:val="006D5B61"/>
    <w:rsid w:val="006D6990"/>
    <w:rsid w:val="006D77F3"/>
    <w:rsid w:val="006E31EE"/>
    <w:rsid w:val="006E3E3E"/>
    <w:rsid w:val="00701CAB"/>
    <w:rsid w:val="00707563"/>
    <w:rsid w:val="0072348C"/>
    <w:rsid w:val="00724A37"/>
    <w:rsid w:val="007303C3"/>
    <w:rsid w:val="00743223"/>
    <w:rsid w:val="00746E01"/>
    <w:rsid w:val="00756ED4"/>
    <w:rsid w:val="00763E5D"/>
    <w:rsid w:val="00767740"/>
    <w:rsid w:val="00777EE6"/>
    <w:rsid w:val="00782EEA"/>
    <w:rsid w:val="007B2C72"/>
    <w:rsid w:val="007C1C53"/>
    <w:rsid w:val="007E26A9"/>
    <w:rsid w:val="007E4904"/>
    <w:rsid w:val="007E4CB5"/>
    <w:rsid w:val="007F066B"/>
    <w:rsid w:val="007F57E6"/>
    <w:rsid w:val="008033C4"/>
    <w:rsid w:val="00806C88"/>
    <w:rsid w:val="0081034E"/>
    <w:rsid w:val="008344F6"/>
    <w:rsid w:val="0083510F"/>
    <w:rsid w:val="00851209"/>
    <w:rsid w:val="00853572"/>
    <w:rsid w:val="008541F7"/>
    <w:rsid w:val="008615DC"/>
    <w:rsid w:val="0086236D"/>
    <w:rsid w:val="0088007E"/>
    <w:rsid w:val="008837AC"/>
    <w:rsid w:val="00884E15"/>
    <w:rsid w:val="008945B4"/>
    <w:rsid w:val="008A587D"/>
    <w:rsid w:val="008A5B1E"/>
    <w:rsid w:val="008B740A"/>
    <w:rsid w:val="008C5486"/>
    <w:rsid w:val="008C6C6E"/>
    <w:rsid w:val="008C73EF"/>
    <w:rsid w:val="008D7A96"/>
    <w:rsid w:val="008E7031"/>
    <w:rsid w:val="00922C95"/>
    <w:rsid w:val="009233EE"/>
    <w:rsid w:val="00935693"/>
    <w:rsid w:val="0095315C"/>
    <w:rsid w:val="009618A7"/>
    <w:rsid w:val="009661DE"/>
    <w:rsid w:val="00967FF5"/>
    <w:rsid w:val="009856B7"/>
    <w:rsid w:val="0098602B"/>
    <w:rsid w:val="00991B3B"/>
    <w:rsid w:val="009962BA"/>
    <w:rsid w:val="009B6BA6"/>
    <w:rsid w:val="009B74B0"/>
    <w:rsid w:val="009D4414"/>
    <w:rsid w:val="009D6B46"/>
    <w:rsid w:val="009F4940"/>
    <w:rsid w:val="00A11413"/>
    <w:rsid w:val="00A1665B"/>
    <w:rsid w:val="00A4478A"/>
    <w:rsid w:val="00A44852"/>
    <w:rsid w:val="00A57D04"/>
    <w:rsid w:val="00A60A26"/>
    <w:rsid w:val="00A61598"/>
    <w:rsid w:val="00A65ED6"/>
    <w:rsid w:val="00A7132F"/>
    <w:rsid w:val="00A84F46"/>
    <w:rsid w:val="00A871F4"/>
    <w:rsid w:val="00AB18B2"/>
    <w:rsid w:val="00AC1B2C"/>
    <w:rsid w:val="00AC3264"/>
    <w:rsid w:val="00AC6F01"/>
    <w:rsid w:val="00AE0FE2"/>
    <w:rsid w:val="00AE1BF1"/>
    <w:rsid w:val="00AF0DD2"/>
    <w:rsid w:val="00AF251E"/>
    <w:rsid w:val="00AF5143"/>
    <w:rsid w:val="00B10314"/>
    <w:rsid w:val="00B13048"/>
    <w:rsid w:val="00B153C7"/>
    <w:rsid w:val="00B15998"/>
    <w:rsid w:val="00B1716D"/>
    <w:rsid w:val="00B1734E"/>
    <w:rsid w:val="00B17A1D"/>
    <w:rsid w:val="00B207A0"/>
    <w:rsid w:val="00B271A4"/>
    <w:rsid w:val="00B45484"/>
    <w:rsid w:val="00B56E03"/>
    <w:rsid w:val="00B60F5D"/>
    <w:rsid w:val="00B67E91"/>
    <w:rsid w:val="00B8080B"/>
    <w:rsid w:val="00B87C39"/>
    <w:rsid w:val="00B924C5"/>
    <w:rsid w:val="00BA0BDC"/>
    <w:rsid w:val="00BA4665"/>
    <w:rsid w:val="00BB2FB2"/>
    <w:rsid w:val="00BB3304"/>
    <w:rsid w:val="00BC74D3"/>
    <w:rsid w:val="00BD3446"/>
    <w:rsid w:val="00BE1F1B"/>
    <w:rsid w:val="00BE47B5"/>
    <w:rsid w:val="00BE4C99"/>
    <w:rsid w:val="00BE5628"/>
    <w:rsid w:val="00BF0AE2"/>
    <w:rsid w:val="00BF0F82"/>
    <w:rsid w:val="00BF55C6"/>
    <w:rsid w:val="00C04C58"/>
    <w:rsid w:val="00C058AB"/>
    <w:rsid w:val="00C06739"/>
    <w:rsid w:val="00C538A9"/>
    <w:rsid w:val="00C53B5A"/>
    <w:rsid w:val="00C54F5A"/>
    <w:rsid w:val="00C755AD"/>
    <w:rsid w:val="00C8537E"/>
    <w:rsid w:val="00C86679"/>
    <w:rsid w:val="00CA37D5"/>
    <w:rsid w:val="00CB0F31"/>
    <w:rsid w:val="00CB666B"/>
    <w:rsid w:val="00CB7DE4"/>
    <w:rsid w:val="00CC0337"/>
    <w:rsid w:val="00CE325A"/>
    <w:rsid w:val="00CE61C7"/>
    <w:rsid w:val="00CF799E"/>
    <w:rsid w:val="00D01CF0"/>
    <w:rsid w:val="00D0442A"/>
    <w:rsid w:val="00D203E1"/>
    <w:rsid w:val="00D2651F"/>
    <w:rsid w:val="00D45BC4"/>
    <w:rsid w:val="00D544B8"/>
    <w:rsid w:val="00D61388"/>
    <w:rsid w:val="00D61A54"/>
    <w:rsid w:val="00D64DEA"/>
    <w:rsid w:val="00D80893"/>
    <w:rsid w:val="00D92CF1"/>
    <w:rsid w:val="00D92D38"/>
    <w:rsid w:val="00D950F5"/>
    <w:rsid w:val="00DB0F93"/>
    <w:rsid w:val="00DB42D0"/>
    <w:rsid w:val="00DC542F"/>
    <w:rsid w:val="00DC7981"/>
    <w:rsid w:val="00DE0FCD"/>
    <w:rsid w:val="00DE4EFA"/>
    <w:rsid w:val="00DE5520"/>
    <w:rsid w:val="00E04818"/>
    <w:rsid w:val="00E06442"/>
    <w:rsid w:val="00E101B9"/>
    <w:rsid w:val="00E22BF1"/>
    <w:rsid w:val="00E23993"/>
    <w:rsid w:val="00E25B8C"/>
    <w:rsid w:val="00E41DB6"/>
    <w:rsid w:val="00E4674F"/>
    <w:rsid w:val="00E53730"/>
    <w:rsid w:val="00E65C85"/>
    <w:rsid w:val="00E66199"/>
    <w:rsid w:val="00E755EC"/>
    <w:rsid w:val="00E7624D"/>
    <w:rsid w:val="00E77FA5"/>
    <w:rsid w:val="00EA3D42"/>
    <w:rsid w:val="00EA6B1B"/>
    <w:rsid w:val="00EC30A1"/>
    <w:rsid w:val="00EC625A"/>
    <w:rsid w:val="00EE28F3"/>
    <w:rsid w:val="00EF5110"/>
    <w:rsid w:val="00F06511"/>
    <w:rsid w:val="00F12CBA"/>
    <w:rsid w:val="00F14A2A"/>
    <w:rsid w:val="00F15882"/>
    <w:rsid w:val="00F20BD3"/>
    <w:rsid w:val="00F22524"/>
    <w:rsid w:val="00F241E7"/>
    <w:rsid w:val="00F373A5"/>
    <w:rsid w:val="00F47559"/>
    <w:rsid w:val="00F57F0E"/>
    <w:rsid w:val="00F60BE4"/>
    <w:rsid w:val="00F61B84"/>
    <w:rsid w:val="00F64C7B"/>
    <w:rsid w:val="00F676DD"/>
    <w:rsid w:val="00F738C3"/>
    <w:rsid w:val="00F75A26"/>
    <w:rsid w:val="00F837A3"/>
    <w:rsid w:val="00F83FAD"/>
    <w:rsid w:val="00F84B2C"/>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3F66C"/>
  <w15:docId w15:val="{0ED34AC9-03EB-4155-8FCF-04C86D56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uiPriority w:val="9"/>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basedOn w:val="Normal"/>
    <w:rsid w:val="00271B8C"/>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643CF"/>
    <w:rPr>
      <w:sz w:val="16"/>
      <w:szCs w:val="16"/>
    </w:rPr>
  </w:style>
  <w:style w:type="paragraph" w:styleId="CommentText">
    <w:name w:val="annotation text"/>
    <w:basedOn w:val="Normal"/>
    <w:link w:val="CommentTextChar"/>
    <w:uiPriority w:val="99"/>
    <w:semiHidden/>
    <w:unhideWhenUsed/>
    <w:rsid w:val="003643CF"/>
    <w:rPr>
      <w:sz w:val="20"/>
      <w:szCs w:val="20"/>
    </w:rPr>
  </w:style>
  <w:style w:type="character" w:customStyle="1" w:styleId="CommentTextChar">
    <w:name w:val="Comment Text Char"/>
    <w:basedOn w:val="DefaultParagraphFont"/>
    <w:link w:val="CommentText"/>
    <w:uiPriority w:val="99"/>
    <w:semiHidden/>
    <w:rsid w:val="003643C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43CF"/>
    <w:rPr>
      <w:b/>
      <w:bCs/>
    </w:rPr>
  </w:style>
  <w:style w:type="character" w:customStyle="1" w:styleId="CommentSubjectChar">
    <w:name w:val="Comment Subject Char"/>
    <w:basedOn w:val="CommentTextChar"/>
    <w:link w:val="CommentSubject"/>
    <w:uiPriority w:val="99"/>
    <w:semiHidden/>
    <w:rsid w:val="003643CF"/>
    <w:rPr>
      <w:rFonts w:ascii="Arial" w:hAnsi="Arial"/>
      <w:b/>
      <w:bCs/>
      <w:sz w:val="20"/>
      <w:szCs w:val="20"/>
    </w:rPr>
  </w:style>
  <w:style w:type="paragraph" w:styleId="Revision">
    <w:name w:val="Revision"/>
    <w:hidden/>
    <w:uiPriority w:val="99"/>
    <w:semiHidden/>
    <w:rsid w:val="00A7132F"/>
    <w:pPr>
      <w:spacing w:before="0"/>
    </w:pPr>
    <w:rPr>
      <w:rFonts w:ascii="Arial" w:hAnsi="Arial"/>
    </w:rPr>
  </w:style>
  <w:style w:type="character" w:styleId="FollowedHyperlink">
    <w:name w:val="FollowedHyperlink"/>
    <w:basedOn w:val="DefaultParagraphFont"/>
    <w:uiPriority w:val="99"/>
    <w:semiHidden/>
    <w:unhideWhenUsed/>
    <w:rsid w:val="008B74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01567821">
      <w:bodyDiv w:val="1"/>
      <w:marLeft w:val="0"/>
      <w:marRight w:val="0"/>
      <w:marTop w:val="0"/>
      <w:marBottom w:val="0"/>
      <w:divBdr>
        <w:top w:val="none" w:sz="0" w:space="0" w:color="auto"/>
        <w:left w:val="none" w:sz="0" w:space="0" w:color="auto"/>
        <w:bottom w:val="none" w:sz="0" w:space="0" w:color="auto"/>
        <w:right w:val="none" w:sz="0" w:space="0" w:color="auto"/>
      </w:divBdr>
    </w:div>
    <w:div w:id="1516774132">
      <w:bodyDiv w:val="1"/>
      <w:marLeft w:val="0"/>
      <w:marRight w:val="0"/>
      <w:marTop w:val="0"/>
      <w:marBottom w:val="0"/>
      <w:divBdr>
        <w:top w:val="none" w:sz="0" w:space="0" w:color="auto"/>
        <w:left w:val="none" w:sz="0" w:space="0" w:color="auto"/>
        <w:bottom w:val="none" w:sz="0" w:space="0" w:color="auto"/>
        <w:right w:val="none" w:sz="0" w:space="0" w:color="auto"/>
      </w:divBdr>
      <w:divsChild>
        <w:div w:id="107741186">
          <w:marLeft w:val="0"/>
          <w:marRight w:val="0"/>
          <w:marTop w:val="0"/>
          <w:marBottom w:val="0"/>
          <w:divBdr>
            <w:top w:val="none" w:sz="0" w:space="0" w:color="auto"/>
            <w:left w:val="none" w:sz="0" w:space="0" w:color="auto"/>
            <w:bottom w:val="none" w:sz="0" w:space="0" w:color="auto"/>
            <w:right w:val="none" w:sz="0" w:space="0" w:color="auto"/>
          </w:divBdr>
          <w:divsChild>
            <w:div w:id="810712356">
              <w:marLeft w:val="0"/>
              <w:marRight w:val="0"/>
              <w:marTop w:val="0"/>
              <w:marBottom w:val="0"/>
              <w:divBdr>
                <w:top w:val="none" w:sz="0" w:space="0" w:color="auto"/>
                <w:left w:val="none" w:sz="0" w:space="0" w:color="auto"/>
                <w:bottom w:val="none" w:sz="0" w:space="0" w:color="auto"/>
                <w:right w:val="none" w:sz="0" w:space="0" w:color="auto"/>
              </w:divBdr>
              <w:divsChild>
                <w:div w:id="1721517082">
                  <w:marLeft w:val="0"/>
                  <w:marRight w:val="0"/>
                  <w:marTop w:val="0"/>
                  <w:marBottom w:val="0"/>
                  <w:divBdr>
                    <w:top w:val="none" w:sz="0" w:space="0" w:color="auto"/>
                    <w:left w:val="none" w:sz="0" w:space="0" w:color="auto"/>
                    <w:bottom w:val="none" w:sz="0" w:space="0" w:color="auto"/>
                    <w:right w:val="none" w:sz="0" w:space="0" w:color="auto"/>
                  </w:divBdr>
                  <w:divsChild>
                    <w:div w:id="444690966">
                      <w:marLeft w:val="0"/>
                      <w:marRight w:val="0"/>
                      <w:marTop w:val="0"/>
                      <w:marBottom w:val="0"/>
                      <w:divBdr>
                        <w:top w:val="none" w:sz="0" w:space="0" w:color="auto"/>
                        <w:left w:val="none" w:sz="0" w:space="0" w:color="auto"/>
                        <w:bottom w:val="none" w:sz="0" w:space="0" w:color="auto"/>
                        <w:right w:val="none" w:sz="0" w:space="0" w:color="auto"/>
                      </w:divBdr>
                      <w:divsChild>
                        <w:div w:id="1758285413">
                          <w:marLeft w:val="0"/>
                          <w:marRight w:val="0"/>
                          <w:marTop w:val="0"/>
                          <w:marBottom w:val="0"/>
                          <w:divBdr>
                            <w:top w:val="none" w:sz="0" w:space="0" w:color="auto"/>
                            <w:left w:val="none" w:sz="0" w:space="0" w:color="auto"/>
                            <w:bottom w:val="none" w:sz="0" w:space="0" w:color="auto"/>
                            <w:right w:val="none" w:sz="0" w:space="0" w:color="auto"/>
                          </w:divBdr>
                          <w:divsChild>
                            <w:div w:id="1067338500">
                              <w:marLeft w:val="0"/>
                              <w:marRight w:val="0"/>
                              <w:marTop w:val="0"/>
                              <w:marBottom w:val="0"/>
                              <w:divBdr>
                                <w:top w:val="none" w:sz="0" w:space="0" w:color="auto"/>
                                <w:left w:val="none" w:sz="0" w:space="0" w:color="auto"/>
                                <w:bottom w:val="none" w:sz="0" w:space="0" w:color="auto"/>
                                <w:right w:val="none" w:sz="0" w:space="0" w:color="auto"/>
                              </w:divBdr>
                              <w:divsChild>
                                <w:div w:id="894587428">
                                  <w:marLeft w:val="0"/>
                                  <w:marRight w:val="0"/>
                                  <w:marTop w:val="0"/>
                                  <w:marBottom w:val="0"/>
                                  <w:divBdr>
                                    <w:top w:val="none" w:sz="0" w:space="0" w:color="auto"/>
                                    <w:left w:val="none" w:sz="0" w:space="0" w:color="auto"/>
                                    <w:bottom w:val="none" w:sz="0" w:space="0" w:color="auto"/>
                                    <w:right w:val="none" w:sz="0" w:space="0" w:color="auto"/>
                                  </w:divBdr>
                                  <w:divsChild>
                                    <w:div w:id="1052390118">
                                      <w:marLeft w:val="0"/>
                                      <w:marRight w:val="0"/>
                                      <w:marTop w:val="0"/>
                                      <w:marBottom w:val="0"/>
                                      <w:divBdr>
                                        <w:top w:val="none" w:sz="0" w:space="0" w:color="auto"/>
                                        <w:left w:val="none" w:sz="0" w:space="0" w:color="auto"/>
                                        <w:bottom w:val="none" w:sz="0" w:space="0" w:color="auto"/>
                                        <w:right w:val="none" w:sz="0" w:space="0" w:color="auto"/>
                                      </w:divBdr>
                                      <w:divsChild>
                                        <w:div w:id="1094401750">
                                          <w:marLeft w:val="0"/>
                                          <w:marRight w:val="0"/>
                                          <w:marTop w:val="0"/>
                                          <w:marBottom w:val="0"/>
                                          <w:divBdr>
                                            <w:top w:val="none" w:sz="0" w:space="0" w:color="auto"/>
                                            <w:left w:val="none" w:sz="0" w:space="0" w:color="auto"/>
                                            <w:bottom w:val="none" w:sz="0" w:space="0" w:color="auto"/>
                                            <w:right w:val="none" w:sz="0" w:space="0" w:color="auto"/>
                                          </w:divBdr>
                                          <w:divsChild>
                                            <w:div w:id="9355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024A38-5816-4900-959E-AAE8965D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Burela, Kathryn</dc:creator>
  <cp:lastModifiedBy>Loiacono, Elizabeth</cp:lastModifiedBy>
  <cp:revision>3</cp:revision>
  <cp:lastPrinted>2016-03-17T22:52:00Z</cp:lastPrinted>
  <dcterms:created xsi:type="dcterms:W3CDTF">2017-12-15T03:58:00Z</dcterms:created>
  <dcterms:modified xsi:type="dcterms:W3CDTF">2018-10-10T01:29:00Z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8955497</vt:lpwstr>
  </property>
  <property fmtid="{D5CDD505-2E9C-101B-9397-08002B2CF9AE}" pid="3" name="currfile">
    <vt:lpwstr>\\homesharecl\HomeDrives\asure\cps - sp - revised explanatory statement - hoverboards interim ban f2016l00357es (D2017-00116654).docx</vt:lpwstr>
  </property>
</Properties>
</file>