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589" w:rsidRPr="008B6C52" w:rsidRDefault="00C003C3" w:rsidP="00C82589">
      <w:r>
        <w:rPr>
          <w:noProof/>
        </w:rPr>
        <w:drawing>
          <wp:inline distT="0" distB="0" distL="0" distR="0" wp14:anchorId="20832DF8" wp14:editId="63873CC9">
            <wp:extent cx="1423670" cy="1104265"/>
            <wp:effectExtent l="0" t="0" r="508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3670" cy="1104265"/>
                    </a:xfrm>
                    <a:prstGeom prst="rect">
                      <a:avLst/>
                    </a:prstGeom>
                    <a:noFill/>
                    <a:ln>
                      <a:noFill/>
                    </a:ln>
                  </pic:spPr>
                </pic:pic>
              </a:graphicData>
            </a:graphic>
          </wp:inline>
        </w:drawing>
      </w:r>
    </w:p>
    <w:p w:rsidR="00C82589" w:rsidRDefault="00C23981" w:rsidP="00C82589">
      <w:pPr>
        <w:pStyle w:val="Title"/>
        <w:pBdr>
          <w:bottom w:val="single" w:sz="4" w:space="3" w:color="auto"/>
        </w:pBdr>
      </w:pPr>
      <w:bookmarkStart w:id="0" w:name="Citation"/>
      <w:r>
        <w:t xml:space="preserve">Telecommunications Numbering Plan </w:t>
      </w:r>
      <w:r w:rsidR="00DF51A2">
        <w:t xml:space="preserve">Variation </w:t>
      </w:r>
      <w:r w:rsidR="00C82589">
        <w:t>201</w:t>
      </w:r>
      <w:bookmarkEnd w:id="0"/>
      <w:r>
        <w:t>6</w:t>
      </w:r>
      <w:r w:rsidR="00DF51A2">
        <w:t xml:space="preserve"> (No. 1)</w:t>
      </w:r>
    </w:p>
    <w:p w:rsidR="00C82589" w:rsidRDefault="00C23981" w:rsidP="00C82589">
      <w:pPr>
        <w:pBdr>
          <w:bottom w:val="single" w:sz="4" w:space="3" w:color="auto"/>
        </w:pBdr>
        <w:spacing w:before="480"/>
        <w:rPr>
          <w:rFonts w:cs="Arial"/>
          <w:i/>
          <w:sz w:val="28"/>
          <w:szCs w:val="28"/>
          <w:lang w:val="en-US"/>
        </w:rPr>
      </w:pPr>
      <w:r>
        <w:rPr>
          <w:rFonts w:cs="Arial"/>
          <w:i/>
          <w:sz w:val="28"/>
          <w:szCs w:val="28"/>
          <w:lang w:val="en-US"/>
        </w:rPr>
        <w:t>Telecommunications Act 1997</w:t>
      </w:r>
    </w:p>
    <w:p w:rsidR="00C82589" w:rsidRPr="009E13E8" w:rsidRDefault="00C82589" w:rsidP="00C82589">
      <w:pPr>
        <w:spacing w:before="360"/>
        <w:jc w:val="both"/>
        <w:rPr>
          <w:rFonts w:cs="Arial"/>
        </w:rPr>
      </w:pPr>
      <w:r w:rsidRPr="009E13E8">
        <w:rPr>
          <w:rFonts w:cs="Arial"/>
        </w:rPr>
        <w:t xml:space="preserve">The AUSTRALIAN COMMUNICATIONS AND MEDIA AUTHORITY makes this </w:t>
      </w:r>
      <w:r>
        <w:rPr>
          <w:rFonts w:cs="Arial"/>
        </w:rPr>
        <w:t>Instrument</w:t>
      </w:r>
      <w:r w:rsidRPr="009E13E8">
        <w:rPr>
          <w:rFonts w:cs="Arial"/>
        </w:rPr>
        <w:t xml:space="preserve"> </w:t>
      </w:r>
      <w:r>
        <w:rPr>
          <w:rFonts w:cs="Arial"/>
        </w:rPr>
        <w:t>under</w:t>
      </w:r>
      <w:r w:rsidRPr="009E13E8">
        <w:rPr>
          <w:rFonts w:cs="Arial"/>
        </w:rPr>
        <w:t xml:space="preserve"> subsection </w:t>
      </w:r>
      <w:r w:rsidR="00C23981">
        <w:rPr>
          <w:rFonts w:cs="Arial"/>
        </w:rPr>
        <w:t>455(1)</w:t>
      </w:r>
      <w:r w:rsidRPr="009E13E8">
        <w:rPr>
          <w:rFonts w:cs="Arial"/>
        </w:rPr>
        <w:t xml:space="preserve"> of the </w:t>
      </w:r>
      <w:r w:rsidR="00C23981">
        <w:rPr>
          <w:rFonts w:cs="Arial"/>
          <w:i/>
        </w:rPr>
        <w:t>Telecommunications Act 1997</w:t>
      </w:r>
      <w:r w:rsidRPr="009E13E8">
        <w:rPr>
          <w:rFonts w:cs="Arial"/>
        </w:rPr>
        <w:t>.</w:t>
      </w:r>
    </w:p>
    <w:p w:rsidR="00C82589" w:rsidRPr="009E13E8" w:rsidRDefault="00C82589" w:rsidP="00C82589">
      <w:pPr>
        <w:tabs>
          <w:tab w:val="left" w:pos="3119"/>
        </w:tabs>
        <w:spacing w:before="300" w:after="600" w:line="300" w:lineRule="atLeast"/>
        <w:rPr>
          <w:rFonts w:cs="Arial"/>
        </w:rPr>
      </w:pPr>
      <w:r w:rsidRPr="009E13E8">
        <w:rPr>
          <w:rFonts w:cs="Arial"/>
        </w:rPr>
        <w:t xml:space="preserve">Dated </w:t>
      </w:r>
      <w:bookmarkStart w:id="1" w:name="Year"/>
      <w:r w:rsidR="00D455DF">
        <w:rPr>
          <w:rFonts w:cs="Arial"/>
        </w:rPr>
        <w:t xml:space="preserve">     </w:t>
      </w:r>
      <w:r w:rsidR="002D2856" w:rsidRPr="002D2856">
        <w:rPr>
          <w:rFonts w:cs="Arial"/>
          <w:i/>
        </w:rPr>
        <w:t>18 March</w:t>
      </w:r>
      <w:r w:rsidR="002D2856">
        <w:rPr>
          <w:rFonts w:cs="Arial"/>
        </w:rPr>
        <w:t xml:space="preserve"> </w:t>
      </w:r>
      <w:r w:rsidRPr="009E13E8">
        <w:rPr>
          <w:rFonts w:cs="Arial"/>
        </w:rPr>
        <w:t>201</w:t>
      </w:r>
      <w:bookmarkEnd w:id="1"/>
      <w:r w:rsidR="00344E38">
        <w:rPr>
          <w:rFonts w:cs="Arial"/>
        </w:rPr>
        <w:t>6</w:t>
      </w:r>
    </w:p>
    <w:p w:rsidR="00C82589" w:rsidRPr="009E13E8" w:rsidRDefault="002D2856" w:rsidP="00C82589">
      <w:pPr>
        <w:pStyle w:val="ACMABodyText"/>
        <w:jc w:val="right"/>
        <w:rPr>
          <w:rFonts w:ascii="Arial" w:hAnsi="Arial" w:cs="Arial"/>
          <w:sz w:val="22"/>
        </w:rPr>
      </w:pPr>
      <w:r>
        <w:rPr>
          <w:rFonts w:ascii="Arial" w:hAnsi="Arial" w:cs="Arial"/>
          <w:sz w:val="22"/>
        </w:rPr>
        <w:br/>
      </w:r>
      <w:r w:rsidRPr="002D2856">
        <w:rPr>
          <w:rFonts w:ascii="Arial" w:hAnsi="Arial" w:cs="Arial"/>
          <w:i/>
          <w:sz w:val="22"/>
        </w:rPr>
        <w:t>Richard Bean</w:t>
      </w:r>
      <w:r>
        <w:rPr>
          <w:rFonts w:ascii="Arial" w:hAnsi="Arial" w:cs="Arial"/>
          <w:sz w:val="22"/>
        </w:rPr>
        <w:br/>
      </w:r>
      <w:r w:rsidR="00C82589">
        <w:rPr>
          <w:rFonts w:ascii="Arial" w:hAnsi="Arial" w:cs="Arial"/>
          <w:sz w:val="22"/>
        </w:rPr>
        <w:t>Member</w:t>
      </w:r>
    </w:p>
    <w:p w:rsidR="00C82589" w:rsidRPr="009E13E8" w:rsidRDefault="00C82589" w:rsidP="00C82589">
      <w:pPr>
        <w:pStyle w:val="ACMABodyText"/>
        <w:jc w:val="right"/>
        <w:rPr>
          <w:rFonts w:ascii="Arial" w:hAnsi="Arial" w:cs="Arial"/>
          <w:sz w:val="22"/>
        </w:rPr>
      </w:pPr>
    </w:p>
    <w:p w:rsidR="00C82589" w:rsidRPr="009E13E8" w:rsidRDefault="00C82589" w:rsidP="00C82589">
      <w:pPr>
        <w:pStyle w:val="ACMABodyText"/>
        <w:jc w:val="right"/>
        <w:rPr>
          <w:rFonts w:ascii="Arial" w:hAnsi="Arial" w:cs="Arial"/>
          <w:sz w:val="22"/>
        </w:rPr>
      </w:pPr>
    </w:p>
    <w:p w:rsidR="00C82589" w:rsidRPr="009E13E8" w:rsidRDefault="002D2856" w:rsidP="00C82589">
      <w:pPr>
        <w:pStyle w:val="ACMABodyText"/>
        <w:pBdr>
          <w:bottom w:val="single" w:sz="6" w:space="1" w:color="auto"/>
        </w:pBdr>
        <w:jc w:val="right"/>
        <w:rPr>
          <w:rFonts w:ascii="Arial" w:hAnsi="Arial" w:cs="Arial"/>
          <w:sz w:val="22"/>
        </w:rPr>
      </w:pPr>
      <w:r w:rsidRPr="002D2856">
        <w:rPr>
          <w:rFonts w:ascii="Arial" w:hAnsi="Arial" w:cs="Arial"/>
          <w:i/>
          <w:sz w:val="22"/>
        </w:rPr>
        <w:t>Brendan Byrne</w:t>
      </w:r>
      <w:r>
        <w:rPr>
          <w:rFonts w:ascii="Arial" w:hAnsi="Arial" w:cs="Arial"/>
          <w:sz w:val="22"/>
        </w:rPr>
        <w:br/>
      </w:r>
      <w:r w:rsidR="00C82589" w:rsidRPr="002D2856">
        <w:rPr>
          <w:rFonts w:ascii="Arial" w:hAnsi="Arial" w:cs="Arial"/>
          <w:strike/>
          <w:sz w:val="22"/>
        </w:rPr>
        <w:t>Member</w:t>
      </w:r>
      <w:r w:rsidR="00C82589" w:rsidRPr="009E13E8">
        <w:rPr>
          <w:rFonts w:ascii="Arial" w:hAnsi="Arial" w:cs="Arial"/>
          <w:sz w:val="22"/>
        </w:rPr>
        <w:t>/General Manager</w:t>
      </w:r>
    </w:p>
    <w:p w:rsidR="00C82589" w:rsidRDefault="00C82589" w:rsidP="002844F3">
      <w:pPr>
        <w:tabs>
          <w:tab w:val="left" w:pos="3119"/>
        </w:tabs>
        <w:spacing w:after="240" w:line="300" w:lineRule="atLeast"/>
        <w:rPr>
          <w:b/>
        </w:rPr>
      </w:pPr>
      <w:r>
        <w:rPr>
          <w:b/>
        </w:rPr>
        <w:t xml:space="preserve"> </w:t>
      </w:r>
    </w:p>
    <w:p w:rsidR="00C82589" w:rsidRDefault="00C82589" w:rsidP="002844F3">
      <w:pPr>
        <w:tabs>
          <w:tab w:val="left" w:pos="3119"/>
        </w:tabs>
        <w:spacing w:after="240" w:line="300" w:lineRule="atLeast"/>
        <w:rPr>
          <w:b/>
        </w:rPr>
      </w:pPr>
    </w:p>
    <w:p w:rsidR="00C82589" w:rsidRDefault="00C82589" w:rsidP="002844F3">
      <w:pPr>
        <w:tabs>
          <w:tab w:val="left" w:pos="3119"/>
        </w:tabs>
        <w:spacing w:after="240" w:line="300" w:lineRule="atLeast"/>
        <w:rPr>
          <w:b/>
        </w:rPr>
      </w:pPr>
      <w:bookmarkStart w:id="2" w:name="_GoBack"/>
      <w:bookmarkEnd w:id="2"/>
    </w:p>
    <w:p w:rsidR="00C82589" w:rsidRDefault="00C82589" w:rsidP="002844F3">
      <w:pPr>
        <w:tabs>
          <w:tab w:val="left" w:pos="3119"/>
        </w:tabs>
        <w:spacing w:after="240" w:line="300" w:lineRule="atLeast"/>
        <w:rPr>
          <w:b/>
        </w:rPr>
      </w:pPr>
    </w:p>
    <w:p w:rsidR="00C82589" w:rsidRDefault="00C82589" w:rsidP="002844F3">
      <w:pPr>
        <w:tabs>
          <w:tab w:val="left" w:pos="3119"/>
        </w:tabs>
        <w:spacing w:after="240" w:line="300" w:lineRule="atLeast"/>
        <w:rPr>
          <w:b/>
        </w:rPr>
      </w:pPr>
    </w:p>
    <w:p w:rsidR="00C82589" w:rsidRDefault="00C82589" w:rsidP="002844F3">
      <w:pPr>
        <w:tabs>
          <w:tab w:val="left" w:pos="3119"/>
        </w:tabs>
        <w:spacing w:after="240" w:line="300" w:lineRule="atLeast"/>
        <w:rPr>
          <w:b/>
        </w:rPr>
      </w:pPr>
    </w:p>
    <w:p w:rsidR="00C82589" w:rsidRDefault="00C82589" w:rsidP="002844F3">
      <w:pPr>
        <w:tabs>
          <w:tab w:val="left" w:pos="3119"/>
        </w:tabs>
        <w:spacing w:after="240" w:line="300" w:lineRule="atLeast"/>
        <w:rPr>
          <w:b/>
        </w:rPr>
      </w:pPr>
    </w:p>
    <w:p w:rsidR="00C23981" w:rsidRDefault="00C23981">
      <w:pPr>
        <w:rPr>
          <w:b/>
        </w:rPr>
      </w:pPr>
      <w:r>
        <w:rPr>
          <w:b/>
        </w:rPr>
        <w:br w:type="page"/>
      </w:r>
    </w:p>
    <w:p w:rsidR="00C82589" w:rsidRDefault="00BC4800" w:rsidP="00C82589">
      <w:pPr>
        <w:pStyle w:val="HR"/>
      </w:pPr>
      <w:r>
        <w:lastRenderedPageBreak/>
        <w:t>1</w:t>
      </w:r>
      <w:r>
        <w:tab/>
      </w:r>
      <w:r w:rsidR="00C82589">
        <w:t>Name of Instrument</w:t>
      </w:r>
    </w:p>
    <w:p w:rsidR="00C82589" w:rsidRDefault="00C82589" w:rsidP="00C82589">
      <w:pPr>
        <w:pStyle w:val="R1"/>
        <w:jc w:val="left"/>
      </w:pPr>
      <w:r>
        <w:tab/>
      </w:r>
      <w:r>
        <w:tab/>
        <w:t xml:space="preserve">This Instrument is the </w:t>
      </w:r>
      <w:r w:rsidR="00C23981" w:rsidRPr="00C23981">
        <w:rPr>
          <w:i/>
        </w:rPr>
        <w:t>Telecommunications Numbering Plan Variation 201</w:t>
      </w:r>
      <w:r w:rsidR="00C23981">
        <w:rPr>
          <w:i/>
        </w:rPr>
        <w:t>6</w:t>
      </w:r>
      <w:r w:rsidR="00DF51A2">
        <w:rPr>
          <w:i/>
        </w:rPr>
        <w:t xml:space="preserve"> (No. 1)</w:t>
      </w:r>
      <w:r w:rsidRPr="005A5EEC">
        <w:rPr>
          <w:i/>
        </w:rPr>
        <w:t>.</w:t>
      </w:r>
    </w:p>
    <w:p w:rsidR="00C82589" w:rsidRDefault="00C82589" w:rsidP="00C82589">
      <w:pPr>
        <w:pStyle w:val="HR"/>
      </w:pPr>
      <w:r>
        <w:t>2</w:t>
      </w:r>
      <w:r>
        <w:tab/>
        <w:t>Commencement</w:t>
      </w:r>
    </w:p>
    <w:p w:rsidR="00C82589" w:rsidRDefault="00C82589" w:rsidP="00C82589">
      <w:pPr>
        <w:spacing w:before="240" w:after="240"/>
        <w:ind w:left="992"/>
        <w:rPr>
          <w:rFonts w:ascii="Times New Roman" w:hAnsi="Times New Roman"/>
          <w:sz w:val="24"/>
        </w:rPr>
      </w:pPr>
      <w:r w:rsidRPr="004D6B7B">
        <w:rPr>
          <w:rFonts w:ascii="Times New Roman" w:hAnsi="Times New Roman"/>
          <w:sz w:val="24"/>
        </w:rPr>
        <w:t xml:space="preserve">This Instrument commences on </w:t>
      </w:r>
      <w:r w:rsidR="003F1B74">
        <w:rPr>
          <w:rFonts w:ascii="Times New Roman" w:hAnsi="Times New Roman"/>
          <w:sz w:val="24"/>
        </w:rPr>
        <w:t>21 March 2016</w:t>
      </w:r>
      <w:r>
        <w:rPr>
          <w:rFonts w:ascii="Times New Roman" w:hAnsi="Times New Roman"/>
          <w:sz w:val="24"/>
        </w:rPr>
        <w:t>.</w:t>
      </w:r>
    </w:p>
    <w:p w:rsidR="00DF51A2" w:rsidRPr="00DF51A2" w:rsidRDefault="00DF51A2" w:rsidP="00C82589">
      <w:pPr>
        <w:spacing w:before="240" w:after="240"/>
        <w:ind w:left="992"/>
        <w:rPr>
          <w:rFonts w:ascii="Times New Roman" w:hAnsi="Times New Roman"/>
          <w:sz w:val="16"/>
          <w:szCs w:val="16"/>
        </w:rPr>
      </w:pPr>
      <w:r w:rsidRPr="00DF51A2">
        <w:rPr>
          <w:rFonts w:ascii="Times New Roman" w:hAnsi="Times New Roman"/>
          <w:i/>
          <w:iCs/>
          <w:color w:val="000000"/>
          <w:sz w:val="16"/>
          <w:szCs w:val="16"/>
          <w:shd w:val="clear" w:color="auto" w:fill="FFFFFF"/>
        </w:rPr>
        <w:t>Note:</w:t>
      </w:r>
      <w:r w:rsidRPr="00DF51A2">
        <w:rPr>
          <w:rFonts w:ascii="Times New Roman" w:hAnsi="Times New Roman"/>
          <w:color w:val="000000"/>
          <w:sz w:val="16"/>
          <w:szCs w:val="16"/>
          <w:shd w:val="clear" w:color="auto" w:fill="FFFFFF"/>
        </w:rPr>
        <w:t>      All legislative instruments and compilations are registered on the Federal Register of Legislati</w:t>
      </w:r>
      <w:r w:rsidR="00A478DC">
        <w:rPr>
          <w:rFonts w:ascii="Times New Roman" w:hAnsi="Times New Roman"/>
          <w:color w:val="000000"/>
          <w:sz w:val="16"/>
          <w:szCs w:val="16"/>
          <w:shd w:val="clear" w:color="auto" w:fill="FFFFFF"/>
        </w:rPr>
        <w:t>on</w:t>
      </w:r>
      <w:r w:rsidRPr="00DF51A2">
        <w:rPr>
          <w:rFonts w:ascii="Times New Roman" w:hAnsi="Times New Roman"/>
          <w:color w:val="000000"/>
          <w:sz w:val="16"/>
          <w:szCs w:val="16"/>
          <w:shd w:val="clear" w:color="auto" w:fill="FFFFFF"/>
        </w:rPr>
        <w:t xml:space="preserve"> kept under the </w:t>
      </w:r>
      <w:r w:rsidRPr="00DF51A2">
        <w:rPr>
          <w:rFonts w:ascii="Times New Roman" w:hAnsi="Times New Roman"/>
          <w:i/>
          <w:iCs/>
          <w:color w:val="000000"/>
          <w:sz w:val="16"/>
          <w:szCs w:val="16"/>
          <w:shd w:val="clear" w:color="auto" w:fill="FFFFFF"/>
        </w:rPr>
        <w:t>Legislati</w:t>
      </w:r>
      <w:r w:rsidR="0065260A">
        <w:rPr>
          <w:rFonts w:ascii="Times New Roman" w:hAnsi="Times New Roman"/>
          <w:i/>
          <w:iCs/>
          <w:color w:val="000000"/>
          <w:sz w:val="16"/>
          <w:szCs w:val="16"/>
          <w:shd w:val="clear" w:color="auto" w:fill="FFFFFF"/>
        </w:rPr>
        <w:t>on</w:t>
      </w:r>
      <w:r w:rsidRPr="00DF51A2">
        <w:rPr>
          <w:rFonts w:ascii="Times New Roman" w:hAnsi="Times New Roman"/>
          <w:i/>
          <w:iCs/>
          <w:color w:val="000000"/>
          <w:sz w:val="16"/>
          <w:szCs w:val="16"/>
          <w:shd w:val="clear" w:color="auto" w:fill="FFFFFF"/>
        </w:rPr>
        <w:t xml:space="preserve"> Act 2003</w:t>
      </w:r>
      <w:r w:rsidRPr="00DF51A2">
        <w:rPr>
          <w:rFonts w:ascii="Times New Roman" w:hAnsi="Times New Roman"/>
          <w:color w:val="000000"/>
          <w:sz w:val="16"/>
          <w:szCs w:val="16"/>
          <w:shd w:val="clear" w:color="auto" w:fill="FFFFFF"/>
        </w:rPr>
        <w:t>.  See </w:t>
      </w:r>
      <w:hyperlink r:id="rId9" w:history="1">
        <w:r w:rsidR="008B77A8" w:rsidRPr="002C30DA">
          <w:rPr>
            <w:rStyle w:val="Hyperlink"/>
            <w:rFonts w:ascii="Times New Roman" w:hAnsi="Times New Roman"/>
            <w:sz w:val="16"/>
            <w:szCs w:val="16"/>
            <w:shd w:val="clear" w:color="auto" w:fill="FFFFFF"/>
          </w:rPr>
          <w:t>http://www.legislation.gov.au</w:t>
        </w:r>
      </w:hyperlink>
      <w:r w:rsidRPr="00DF51A2">
        <w:rPr>
          <w:rFonts w:ascii="Times New Roman" w:hAnsi="Times New Roman"/>
          <w:color w:val="000000"/>
          <w:sz w:val="16"/>
          <w:szCs w:val="16"/>
          <w:shd w:val="clear" w:color="auto" w:fill="FFFFFF"/>
        </w:rPr>
        <w:t>.</w:t>
      </w:r>
    </w:p>
    <w:p w:rsidR="00C82589" w:rsidRDefault="00C82589" w:rsidP="00C82589">
      <w:pPr>
        <w:pStyle w:val="HR"/>
      </w:pPr>
      <w:r>
        <w:t>3</w:t>
      </w:r>
      <w:r>
        <w:tab/>
      </w:r>
      <w:r w:rsidR="00DF51A2">
        <w:t xml:space="preserve">Amendment of the </w:t>
      </w:r>
      <w:r w:rsidR="00C23981">
        <w:rPr>
          <w:i/>
        </w:rPr>
        <w:t>Telecommunications Numbering Plan 2015</w:t>
      </w:r>
    </w:p>
    <w:p w:rsidR="00C82589" w:rsidRPr="00C23981" w:rsidRDefault="00C82589" w:rsidP="00DF51A2">
      <w:pPr>
        <w:pStyle w:val="R1"/>
        <w:spacing w:before="240"/>
      </w:pPr>
      <w:r>
        <w:tab/>
      </w:r>
      <w:r>
        <w:tab/>
      </w:r>
      <w:r w:rsidR="00DF51A2">
        <w:t xml:space="preserve">Schedule 1 amends the </w:t>
      </w:r>
      <w:r w:rsidR="00C23981">
        <w:rPr>
          <w:i/>
        </w:rPr>
        <w:t>Telecommunications Numbering Plan 2015</w:t>
      </w:r>
      <w:r w:rsidR="0065260A">
        <w:rPr>
          <w:i/>
        </w:rPr>
        <w:t xml:space="preserve"> </w:t>
      </w:r>
      <w:r w:rsidR="0065260A">
        <w:t>[F2015L00319]</w:t>
      </w:r>
      <w:r w:rsidR="00C23981">
        <w:t>.</w:t>
      </w:r>
    </w:p>
    <w:p w:rsidR="00C82589" w:rsidRDefault="00C82589" w:rsidP="00C82589">
      <w:pPr>
        <w:pStyle w:val="NoteEnd"/>
        <w:jc w:val="left"/>
        <w:rPr>
          <w:color w:val="000000"/>
        </w:rPr>
      </w:pPr>
    </w:p>
    <w:p w:rsidR="000D0D54" w:rsidRDefault="000D0D54" w:rsidP="00C82589">
      <w:pPr>
        <w:pStyle w:val="R2"/>
        <w:ind w:firstLine="29"/>
        <w:sectPr w:rsidR="000D0D54" w:rsidSect="00A816CE">
          <w:headerReference w:type="even" r:id="rId10"/>
          <w:headerReference w:type="default" r:id="rId11"/>
          <w:footerReference w:type="even" r:id="rId12"/>
          <w:footerReference w:type="default" r:id="rId13"/>
          <w:footerReference w:type="first" r:id="rId14"/>
          <w:type w:val="continuous"/>
          <w:pgSz w:w="11907" w:h="16839" w:code="9"/>
          <w:pgMar w:top="1440" w:right="1797" w:bottom="1440" w:left="1797" w:header="709" w:footer="709" w:gutter="0"/>
          <w:cols w:space="708"/>
          <w:titlePg/>
          <w:docGrid w:linePitch="360"/>
        </w:sectPr>
      </w:pPr>
    </w:p>
    <w:p w:rsidR="00C82589" w:rsidRDefault="00C82589" w:rsidP="00C82589">
      <w:pPr>
        <w:pStyle w:val="R2"/>
        <w:ind w:firstLine="29"/>
      </w:pPr>
    </w:p>
    <w:p w:rsidR="00C82589" w:rsidRPr="002844F3" w:rsidRDefault="00C82589" w:rsidP="00DF51A2">
      <w:pPr>
        <w:autoSpaceDE w:val="0"/>
        <w:autoSpaceDN w:val="0"/>
        <w:adjustRightInd w:val="0"/>
        <w:rPr>
          <w:rFonts w:cs="Arial"/>
          <w:b/>
          <w:bCs/>
          <w:sz w:val="28"/>
          <w:szCs w:val="23"/>
        </w:rPr>
      </w:pPr>
      <w:r w:rsidRPr="002844F3">
        <w:rPr>
          <w:rFonts w:cs="Arial"/>
          <w:b/>
          <w:bCs/>
          <w:sz w:val="28"/>
          <w:szCs w:val="23"/>
        </w:rPr>
        <w:t>S</w:t>
      </w:r>
      <w:r w:rsidR="00DF51A2" w:rsidRPr="002844F3">
        <w:rPr>
          <w:rFonts w:cs="Arial"/>
          <w:b/>
          <w:bCs/>
          <w:sz w:val="28"/>
          <w:szCs w:val="23"/>
        </w:rPr>
        <w:t>chedule 1</w:t>
      </w:r>
      <w:r w:rsidR="00DF51A2" w:rsidRPr="002844F3">
        <w:rPr>
          <w:rFonts w:cs="Arial"/>
          <w:b/>
          <w:bCs/>
          <w:sz w:val="28"/>
          <w:szCs w:val="23"/>
        </w:rPr>
        <w:tab/>
      </w:r>
      <w:r w:rsidR="00DF51A2" w:rsidRPr="002844F3">
        <w:rPr>
          <w:rFonts w:cs="Arial"/>
          <w:b/>
          <w:bCs/>
          <w:sz w:val="28"/>
          <w:szCs w:val="23"/>
        </w:rPr>
        <w:tab/>
        <w:t>Amendments</w:t>
      </w:r>
    </w:p>
    <w:p w:rsidR="00C82589" w:rsidRPr="008F44A1" w:rsidRDefault="00C82589" w:rsidP="00C82589">
      <w:pPr>
        <w:autoSpaceDE w:val="0"/>
        <w:autoSpaceDN w:val="0"/>
        <w:adjustRightInd w:val="0"/>
        <w:jc w:val="center"/>
        <w:rPr>
          <w:rFonts w:cs="Arial"/>
          <w:b/>
          <w:bCs/>
          <w:sz w:val="28"/>
          <w:szCs w:val="23"/>
        </w:rPr>
      </w:pPr>
    </w:p>
    <w:p w:rsidR="00A2123E" w:rsidRDefault="00A2123E" w:rsidP="0041641F">
      <w:pPr>
        <w:autoSpaceDE w:val="0"/>
        <w:autoSpaceDN w:val="0"/>
        <w:adjustRightInd w:val="0"/>
        <w:jc w:val="center"/>
        <w:rPr>
          <w:rFonts w:cs="Arial"/>
          <w:b/>
          <w:sz w:val="24"/>
        </w:rPr>
      </w:pPr>
    </w:p>
    <w:p w:rsidR="001F4CB5" w:rsidRDefault="002A280B" w:rsidP="00DF51A2">
      <w:pPr>
        <w:autoSpaceDE w:val="0"/>
        <w:autoSpaceDN w:val="0"/>
        <w:adjustRightInd w:val="0"/>
        <w:rPr>
          <w:rFonts w:cs="Arial"/>
          <w:b/>
          <w:sz w:val="24"/>
        </w:rPr>
      </w:pPr>
      <w:r>
        <w:rPr>
          <w:rFonts w:cs="Arial"/>
          <w:b/>
          <w:sz w:val="24"/>
        </w:rPr>
        <w:t>[1</w:t>
      </w:r>
      <w:r w:rsidR="001F4CB5">
        <w:rPr>
          <w:rFonts w:cs="Arial"/>
          <w:b/>
          <w:sz w:val="24"/>
        </w:rPr>
        <w:t xml:space="preserve">] </w:t>
      </w:r>
      <w:r>
        <w:rPr>
          <w:rFonts w:cs="Arial"/>
          <w:b/>
          <w:sz w:val="24"/>
        </w:rPr>
        <w:tab/>
      </w:r>
      <w:r w:rsidR="001F4CB5">
        <w:rPr>
          <w:rFonts w:cs="Arial"/>
          <w:b/>
          <w:sz w:val="24"/>
        </w:rPr>
        <w:t>After subsection 34(10)</w:t>
      </w:r>
    </w:p>
    <w:p w:rsidR="001F4CB5" w:rsidRDefault="001F4CB5" w:rsidP="00DF51A2">
      <w:pPr>
        <w:autoSpaceDE w:val="0"/>
        <w:autoSpaceDN w:val="0"/>
        <w:adjustRightInd w:val="0"/>
        <w:rPr>
          <w:rFonts w:cs="Arial"/>
          <w:b/>
          <w:sz w:val="24"/>
        </w:rPr>
      </w:pPr>
    </w:p>
    <w:p w:rsidR="001F4CB5" w:rsidRDefault="001F4CB5" w:rsidP="002A280B">
      <w:pPr>
        <w:autoSpaceDE w:val="0"/>
        <w:autoSpaceDN w:val="0"/>
        <w:adjustRightInd w:val="0"/>
        <w:ind w:left="1276" w:hanging="567"/>
        <w:rPr>
          <w:rFonts w:ascii="Times New Roman" w:hAnsi="Times New Roman"/>
          <w:i/>
          <w:sz w:val="24"/>
        </w:rPr>
      </w:pPr>
      <w:r w:rsidRPr="001F4CB5">
        <w:rPr>
          <w:rFonts w:ascii="Times New Roman" w:hAnsi="Times New Roman"/>
          <w:i/>
          <w:sz w:val="24"/>
        </w:rPr>
        <w:t xml:space="preserve">Insert a </w:t>
      </w:r>
      <w:r>
        <w:rPr>
          <w:rFonts w:ascii="Times New Roman" w:hAnsi="Times New Roman"/>
          <w:i/>
          <w:sz w:val="24"/>
        </w:rPr>
        <w:t>new subsection</w:t>
      </w:r>
      <w:r w:rsidR="00D17AF3">
        <w:rPr>
          <w:rFonts w:ascii="Times New Roman" w:hAnsi="Times New Roman"/>
          <w:i/>
          <w:sz w:val="24"/>
        </w:rPr>
        <w:t>:</w:t>
      </w:r>
    </w:p>
    <w:p w:rsidR="001F4CB5" w:rsidRDefault="001F4CB5" w:rsidP="002A280B">
      <w:pPr>
        <w:autoSpaceDE w:val="0"/>
        <w:autoSpaceDN w:val="0"/>
        <w:adjustRightInd w:val="0"/>
        <w:ind w:left="1276" w:hanging="567"/>
        <w:rPr>
          <w:rFonts w:ascii="Times New Roman" w:hAnsi="Times New Roman"/>
          <w:i/>
          <w:sz w:val="24"/>
        </w:rPr>
      </w:pPr>
    </w:p>
    <w:p w:rsidR="00812BE1" w:rsidRDefault="001F4CB5" w:rsidP="002A280B">
      <w:pPr>
        <w:tabs>
          <w:tab w:val="left" w:pos="567"/>
        </w:tabs>
        <w:autoSpaceDE w:val="0"/>
        <w:autoSpaceDN w:val="0"/>
        <w:adjustRightInd w:val="0"/>
        <w:ind w:left="1276" w:hanging="567"/>
        <w:rPr>
          <w:rFonts w:ascii="Times New Roman" w:hAnsi="Times New Roman"/>
          <w:sz w:val="24"/>
        </w:rPr>
      </w:pPr>
      <w:r>
        <w:rPr>
          <w:rFonts w:ascii="Times New Roman" w:hAnsi="Times New Roman"/>
          <w:sz w:val="24"/>
        </w:rPr>
        <w:t xml:space="preserve">(11) </w:t>
      </w:r>
      <w:r>
        <w:rPr>
          <w:rFonts w:ascii="Times New Roman" w:hAnsi="Times New Roman"/>
          <w:sz w:val="24"/>
        </w:rPr>
        <w:tab/>
      </w:r>
      <w:r w:rsidRPr="001F4CB5">
        <w:rPr>
          <w:rFonts w:ascii="Times New Roman" w:hAnsi="Times New Roman"/>
          <w:sz w:val="24"/>
        </w:rPr>
        <w:t xml:space="preserve">If the ACMA does not make a decision within the period required under subsection </w:t>
      </w:r>
      <w:r w:rsidR="00812BE1">
        <w:rPr>
          <w:rFonts w:ascii="Times New Roman" w:hAnsi="Times New Roman"/>
          <w:sz w:val="24"/>
        </w:rPr>
        <w:t>(</w:t>
      </w:r>
      <w:r w:rsidRPr="001F4CB5">
        <w:rPr>
          <w:rFonts w:ascii="Times New Roman" w:hAnsi="Times New Roman"/>
          <w:sz w:val="24"/>
        </w:rPr>
        <w:t>4</w:t>
      </w:r>
      <w:r w:rsidR="00812BE1">
        <w:rPr>
          <w:rFonts w:ascii="Times New Roman" w:hAnsi="Times New Roman"/>
          <w:sz w:val="24"/>
        </w:rPr>
        <w:t>)</w:t>
      </w:r>
      <w:r w:rsidRPr="001F4CB5">
        <w:rPr>
          <w:rFonts w:ascii="Times New Roman" w:hAnsi="Times New Roman"/>
          <w:sz w:val="24"/>
        </w:rPr>
        <w:t>, the ACMA is taken to have made a decision to refuse the application</w:t>
      </w:r>
      <w:r w:rsidR="00812BE1">
        <w:rPr>
          <w:rFonts w:ascii="Times New Roman" w:hAnsi="Times New Roman"/>
          <w:sz w:val="24"/>
        </w:rPr>
        <w:t>.</w:t>
      </w:r>
    </w:p>
    <w:p w:rsidR="00812BE1" w:rsidRDefault="00812BE1" w:rsidP="001F4CB5">
      <w:pPr>
        <w:tabs>
          <w:tab w:val="left" w:pos="567"/>
        </w:tabs>
        <w:autoSpaceDE w:val="0"/>
        <w:autoSpaceDN w:val="0"/>
        <w:adjustRightInd w:val="0"/>
        <w:ind w:left="567" w:hanging="567"/>
        <w:rPr>
          <w:rFonts w:ascii="Times New Roman" w:hAnsi="Times New Roman"/>
          <w:sz w:val="24"/>
        </w:rPr>
      </w:pPr>
    </w:p>
    <w:p w:rsidR="00812BE1" w:rsidRDefault="002A280B" w:rsidP="00812BE1">
      <w:pPr>
        <w:autoSpaceDE w:val="0"/>
        <w:autoSpaceDN w:val="0"/>
        <w:adjustRightInd w:val="0"/>
        <w:rPr>
          <w:rFonts w:cs="Arial"/>
          <w:b/>
          <w:sz w:val="24"/>
        </w:rPr>
      </w:pPr>
      <w:r>
        <w:rPr>
          <w:rFonts w:cs="Arial"/>
          <w:b/>
          <w:sz w:val="24"/>
        </w:rPr>
        <w:t>[2</w:t>
      </w:r>
      <w:r w:rsidR="00812BE1">
        <w:rPr>
          <w:rFonts w:cs="Arial"/>
          <w:b/>
          <w:sz w:val="24"/>
        </w:rPr>
        <w:t xml:space="preserve">] </w:t>
      </w:r>
      <w:r>
        <w:rPr>
          <w:rFonts w:cs="Arial"/>
          <w:b/>
          <w:sz w:val="24"/>
        </w:rPr>
        <w:tab/>
      </w:r>
      <w:r w:rsidR="00812BE1">
        <w:rPr>
          <w:rFonts w:cs="Arial"/>
          <w:b/>
          <w:sz w:val="24"/>
        </w:rPr>
        <w:t>After subsection 35(7)</w:t>
      </w:r>
    </w:p>
    <w:p w:rsidR="00812BE1" w:rsidRDefault="00812BE1" w:rsidP="00812BE1">
      <w:pPr>
        <w:autoSpaceDE w:val="0"/>
        <w:autoSpaceDN w:val="0"/>
        <w:adjustRightInd w:val="0"/>
        <w:rPr>
          <w:rFonts w:cs="Arial"/>
          <w:b/>
          <w:sz w:val="24"/>
        </w:rPr>
      </w:pPr>
    </w:p>
    <w:p w:rsidR="00812BE1" w:rsidRDefault="00812BE1" w:rsidP="002A280B">
      <w:pPr>
        <w:autoSpaceDE w:val="0"/>
        <w:autoSpaceDN w:val="0"/>
        <w:adjustRightInd w:val="0"/>
        <w:ind w:left="1276" w:hanging="567"/>
        <w:rPr>
          <w:rFonts w:ascii="Times New Roman" w:hAnsi="Times New Roman"/>
          <w:i/>
          <w:sz w:val="24"/>
        </w:rPr>
      </w:pPr>
      <w:r w:rsidRPr="001F4CB5">
        <w:rPr>
          <w:rFonts w:ascii="Times New Roman" w:hAnsi="Times New Roman"/>
          <w:i/>
          <w:sz w:val="24"/>
        </w:rPr>
        <w:t xml:space="preserve">Insert a </w:t>
      </w:r>
      <w:r>
        <w:rPr>
          <w:rFonts w:ascii="Times New Roman" w:hAnsi="Times New Roman"/>
          <w:i/>
          <w:sz w:val="24"/>
        </w:rPr>
        <w:t>new subsection</w:t>
      </w:r>
      <w:r w:rsidR="00D17AF3">
        <w:rPr>
          <w:rFonts w:ascii="Times New Roman" w:hAnsi="Times New Roman"/>
          <w:i/>
          <w:sz w:val="24"/>
        </w:rPr>
        <w:t>:</w:t>
      </w:r>
    </w:p>
    <w:p w:rsidR="00812BE1" w:rsidRDefault="00812BE1" w:rsidP="002A280B">
      <w:pPr>
        <w:autoSpaceDE w:val="0"/>
        <w:autoSpaceDN w:val="0"/>
        <w:adjustRightInd w:val="0"/>
        <w:ind w:left="1276" w:hanging="567"/>
        <w:rPr>
          <w:rFonts w:ascii="Times New Roman" w:hAnsi="Times New Roman"/>
          <w:i/>
          <w:sz w:val="24"/>
        </w:rPr>
      </w:pPr>
    </w:p>
    <w:p w:rsidR="00812BE1" w:rsidRDefault="00812BE1" w:rsidP="002A280B">
      <w:pPr>
        <w:tabs>
          <w:tab w:val="left" w:pos="567"/>
        </w:tabs>
        <w:autoSpaceDE w:val="0"/>
        <w:autoSpaceDN w:val="0"/>
        <w:adjustRightInd w:val="0"/>
        <w:ind w:left="1276" w:hanging="567"/>
        <w:rPr>
          <w:rFonts w:ascii="Times New Roman" w:hAnsi="Times New Roman"/>
          <w:sz w:val="24"/>
        </w:rPr>
      </w:pPr>
      <w:r>
        <w:rPr>
          <w:rFonts w:ascii="Times New Roman" w:hAnsi="Times New Roman"/>
          <w:sz w:val="24"/>
        </w:rPr>
        <w:t xml:space="preserve">(8) </w:t>
      </w:r>
      <w:r>
        <w:rPr>
          <w:rFonts w:ascii="Times New Roman" w:hAnsi="Times New Roman"/>
          <w:sz w:val="24"/>
        </w:rPr>
        <w:tab/>
      </w:r>
      <w:r w:rsidRPr="001F4CB5">
        <w:rPr>
          <w:rFonts w:ascii="Times New Roman" w:hAnsi="Times New Roman"/>
          <w:sz w:val="24"/>
        </w:rPr>
        <w:t xml:space="preserve">If the ACMA does not make a decision within the period required under </w:t>
      </w:r>
      <w:r>
        <w:rPr>
          <w:rFonts w:ascii="Times New Roman" w:hAnsi="Times New Roman"/>
          <w:sz w:val="24"/>
        </w:rPr>
        <w:t>subsection (3)</w:t>
      </w:r>
      <w:r w:rsidRPr="001F4CB5">
        <w:rPr>
          <w:rFonts w:ascii="Times New Roman" w:hAnsi="Times New Roman"/>
          <w:sz w:val="24"/>
        </w:rPr>
        <w:t>, the ACMA is taken to have made a decision to refuse the application</w:t>
      </w:r>
      <w:r>
        <w:rPr>
          <w:rFonts w:ascii="Times New Roman" w:hAnsi="Times New Roman"/>
          <w:sz w:val="24"/>
        </w:rPr>
        <w:t>.</w:t>
      </w:r>
    </w:p>
    <w:p w:rsidR="00812BE1" w:rsidRDefault="00812BE1" w:rsidP="00812BE1">
      <w:pPr>
        <w:tabs>
          <w:tab w:val="left" w:pos="567"/>
        </w:tabs>
        <w:autoSpaceDE w:val="0"/>
        <w:autoSpaceDN w:val="0"/>
        <w:adjustRightInd w:val="0"/>
        <w:ind w:left="567" w:hanging="567"/>
        <w:rPr>
          <w:rFonts w:ascii="Times New Roman" w:hAnsi="Times New Roman"/>
          <w:sz w:val="24"/>
        </w:rPr>
      </w:pPr>
    </w:p>
    <w:p w:rsidR="00812BE1" w:rsidRDefault="002A280B" w:rsidP="00812BE1">
      <w:pPr>
        <w:autoSpaceDE w:val="0"/>
        <w:autoSpaceDN w:val="0"/>
        <w:adjustRightInd w:val="0"/>
        <w:rPr>
          <w:rFonts w:cs="Arial"/>
          <w:b/>
          <w:sz w:val="24"/>
        </w:rPr>
      </w:pPr>
      <w:r>
        <w:rPr>
          <w:rFonts w:cs="Arial"/>
          <w:b/>
          <w:sz w:val="24"/>
        </w:rPr>
        <w:t>[3</w:t>
      </w:r>
      <w:r w:rsidR="00812BE1">
        <w:rPr>
          <w:rFonts w:cs="Arial"/>
          <w:b/>
          <w:sz w:val="24"/>
        </w:rPr>
        <w:t xml:space="preserve">] </w:t>
      </w:r>
      <w:r>
        <w:rPr>
          <w:rFonts w:cs="Arial"/>
          <w:b/>
          <w:sz w:val="24"/>
        </w:rPr>
        <w:tab/>
      </w:r>
      <w:r w:rsidR="00812BE1">
        <w:rPr>
          <w:rFonts w:cs="Arial"/>
          <w:b/>
          <w:sz w:val="24"/>
        </w:rPr>
        <w:t>After subsection 36(5)</w:t>
      </w:r>
    </w:p>
    <w:p w:rsidR="00812BE1" w:rsidRDefault="00812BE1" w:rsidP="00812BE1">
      <w:pPr>
        <w:autoSpaceDE w:val="0"/>
        <w:autoSpaceDN w:val="0"/>
        <w:adjustRightInd w:val="0"/>
        <w:rPr>
          <w:rFonts w:cs="Arial"/>
          <w:b/>
          <w:sz w:val="24"/>
        </w:rPr>
      </w:pPr>
    </w:p>
    <w:p w:rsidR="00812BE1" w:rsidRDefault="00812BE1" w:rsidP="002A280B">
      <w:pPr>
        <w:autoSpaceDE w:val="0"/>
        <w:autoSpaceDN w:val="0"/>
        <w:adjustRightInd w:val="0"/>
        <w:ind w:left="1276" w:hanging="567"/>
        <w:rPr>
          <w:rFonts w:ascii="Times New Roman" w:hAnsi="Times New Roman"/>
          <w:i/>
          <w:sz w:val="24"/>
        </w:rPr>
      </w:pPr>
      <w:r w:rsidRPr="001F4CB5">
        <w:rPr>
          <w:rFonts w:ascii="Times New Roman" w:hAnsi="Times New Roman"/>
          <w:i/>
          <w:sz w:val="24"/>
        </w:rPr>
        <w:t xml:space="preserve">Insert a </w:t>
      </w:r>
      <w:r>
        <w:rPr>
          <w:rFonts w:ascii="Times New Roman" w:hAnsi="Times New Roman"/>
          <w:i/>
          <w:sz w:val="24"/>
        </w:rPr>
        <w:t>new subsection</w:t>
      </w:r>
      <w:r w:rsidR="00D17AF3">
        <w:rPr>
          <w:rFonts w:ascii="Times New Roman" w:hAnsi="Times New Roman"/>
          <w:i/>
          <w:sz w:val="24"/>
        </w:rPr>
        <w:t>:</w:t>
      </w:r>
    </w:p>
    <w:p w:rsidR="00812BE1" w:rsidRDefault="00812BE1" w:rsidP="002A280B">
      <w:pPr>
        <w:autoSpaceDE w:val="0"/>
        <w:autoSpaceDN w:val="0"/>
        <w:adjustRightInd w:val="0"/>
        <w:ind w:left="1276" w:hanging="567"/>
        <w:rPr>
          <w:rFonts w:ascii="Times New Roman" w:hAnsi="Times New Roman"/>
          <w:i/>
          <w:sz w:val="24"/>
        </w:rPr>
      </w:pPr>
    </w:p>
    <w:p w:rsidR="00812BE1" w:rsidRDefault="00812BE1" w:rsidP="002A280B">
      <w:pPr>
        <w:tabs>
          <w:tab w:val="left" w:pos="567"/>
        </w:tabs>
        <w:autoSpaceDE w:val="0"/>
        <w:autoSpaceDN w:val="0"/>
        <w:adjustRightInd w:val="0"/>
        <w:ind w:left="1276" w:hanging="567"/>
        <w:rPr>
          <w:rFonts w:ascii="Times New Roman" w:hAnsi="Times New Roman"/>
          <w:sz w:val="24"/>
        </w:rPr>
      </w:pPr>
      <w:r>
        <w:rPr>
          <w:rFonts w:ascii="Times New Roman" w:hAnsi="Times New Roman"/>
          <w:sz w:val="24"/>
        </w:rPr>
        <w:t xml:space="preserve">(5A) </w:t>
      </w:r>
      <w:r>
        <w:rPr>
          <w:rFonts w:ascii="Times New Roman" w:hAnsi="Times New Roman"/>
          <w:sz w:val="24"/>
        </w:rPr>
        <w:tab/>
      </w:r>
      <w:proofErr w:type="gramStart"/>
      <w:r w:rsidRPr="001F4CB5">
        <w:rPr>
          <w:rFonts w:ascii="Times New Roman" w:hAnsi="Times New Roman"/>
          <w:sz w:val="24"/>
        </w:rPr>
        <w:t>If</w:t>
      </w:r>
      <w:proofErr w:type="gramEnd"/>
      <w:r w:rsidRPr="001F4CB5">
        <w:rPr>
          <w:rFonts w:ascii="Times New Roman" w:hAnsi="Times New Roman"/>
          <w:sz w:val="24"/>
        </w:rPr>
        <w:t xml:space="preserve"> the ACMA does not make a decision within the period required under </w:t>
      </w:r>
      <w:r>
        <w:rPr>
          <w:rFonts w:ascii="Times New Roman" w:hAnsi="Times New Roman"/>
          <w:sz w:val="24"/>
        </w:rPr>
        <w:t>subsection (3)</w:t>
      </w:r>
      <w:r w:rsidRPr="001F4CB5">
        <w:rPr>
          <w:rFonts w:ascii="Times New Roman" w:hAnsi="Times New Roman"/>
          <w:sz w:val="24"/>
        </w:rPr>
        <w:t xml:space="preserve">, the ACMA is taken to have made a decision </w:t>
      </w:r>
      <w:r w:rsidR="000C7629">
        <w:rPr>
          <w:rFonts w:ascii="Times New Roman" w:hAnsi="Times New Roman"/>
          <w:sz w:val="24"/>
        </w:rPr>
        <w:t xml:space="preserve">under subsection (4) </w:t>
      </w:r>
      <w:r w:rsidRPr="001F4CB5">
        <w:rPr>
          <w:rFonts w:ascii="Times New Roman" w:hAnsi="Times New Roman"/>
          <w:sz w:val="24"/>
        </w:rPr>
        <w:t>t</w:t>
      </w:r>
      <w:r w:rsidR="004C0AF3">
        <w:rPr>
          <w:rFonts w:ascii="Times New Roman" w:hAnsi="Times New Roman"/>
          <w:sz w:val="24"/>
        </w:rPr>
        <w:t>hat the carriage service provider has not complied with the direction</w:t>
      </w:r>
      <w:r>
        <w:rPr>
          <w:rFonts w:ascii="Times New Roman" w:hAnsi="Times New Roman"/>
          <w:sz w:val="24"/>
        </w:rPr>
        <w:t>.</w:t>
      </w:r>
    </w:p>
    <w:p w:rsidR="001F4CB5" w:rsidRDefault="001F4CB5" w:rsidP="00812BE1">
      <w:pPr>
        <w:tabs>
          <w:tab w:val="left" w:pos="567"/>
        </w:tabs>
        <w:autoSpaceDE w:val="0"/>
        <w:autoSpaceDN w:val="0"/>
        <w:adjustRightInd w:val="0"/>
        <w:ind w:left="567" w:hanging="567"/>
        <w:rPr>
          <w:rFonts w:ascii="Times New Roman" w:hAnsi="Times New Roman"/>
          <w:sz w:val="24"/>
        </w:rPr>
      </w:pPr>
    </w:p>
    <w:p w:rsidR="004C0AF3" w:rsidRDefault="002A280B" w:rsidP="004C0AF3">
      <w:pPr>
        <w:autoSpaceDE w:val="0"/>
        <w:autoSpaceDN w:val="0"/>
        <w:adjustRightInd w:val="0"/>
        <w:rPr>
          <w:rFonts w:cs="Arial"/>
          <w:b/>
          <w:sz w:val="24"/>
        </w:rPr>
      </w:pPr>
      <w:r>
        <w:rPr>
          <w:rFonts w:cs="Arial"/>
          <w:b/>
          <w:sz w:val="24"/>
        </w:rPr>
        <w:t>[4</w:t>
      </w:r>
      <w:r w:rsidR="004C0AF3">
        <w:rPr>
          <w:rFonts w:cs="Arial"/>
          <w:b/>
          <w:sz w:val="24"/>
        </w:rPr>
        <w:t xml:space="preserve">] </w:t>
      </w:r>
      <w:r>
        <w:rPr>
          <w:rFonts w:cs="Arial"/>
          <w:b/>
          <w:sz w:val="24"/>
        </w:rPr>
        <w:tab/>
      </w:r>
      <w:r w:rsidR="004C0AF3">
        <w:rPr>
          <w:rFonts w:cs="Arial"/>
          <w:b/>
          <w:sz w:val="24"/>
        </w:rPr>
        <w:t>After subsection 48(7)</w:t>
      </w:r>
    </w:p>
    <w:p w:rsidR="004C0AF3" w:rsidRDefault="004C0AF3" w:rsidP="004C0AF3">
      <w:pPr>
        <w:autoSpaceDE w:val="0"/>
        <w:autoSpaceDN w:val="0"/>
        <w:adjustRightInd w:val="0"/>
        <w:rPr>
          <w:rFonts w:cs="Arial"/>
          <w:b/>
          <w:sz w:val="24"/>
        </w:rPr>
      </w:pPr>
    </w:p>
    <w:p w:rsidR="004C0AF3" w:rsidRDefault="004C0AF3" w:rsidP="002A280B">
      <w:pPr>
        <w:autoSpaceDE w:val="0"/>
        <w:autoSpaceDN w:val="0"/>
        <w:adjustRightInd w:val="0"/>
        <w:ind w:left="1276" w:hanging="567"/>
        <w:rPr>
          <w:rFonts w:ascii="Times New Roman" w:hAnsi="Times New Roman"/>
          <w:i/>
          <w:sz w:val="24"/>
        </w:rPr>
      </w:pPr>
      <w:r w:rsidRPr="001F4CB5">
        <w:rPr>
          <w:rFonts w:ascii="Times New Roman" w:hAnsi="Times New Roman"/>
          <w:i/>
          <w:sz w:val="24"/>
        </w:rPr>
        <w:t xml:space="preserve">Insert </w:t>
      </w:r>
      <w:r w:rsidR="00BF009C">
        <w:rPr>
          <w:rFonts w:ascii="Times New Roman" w:hAnsi="Times New Roman"/>
          <w:i/>
          <w:sz w:val="24"/>
        </w:rPr>
        <w:t xml:space="preserve">two new </w:t>
      </w:r>
      <w:r>
        <w:rPr>
          <w:rFonts w:ascii="Times New Roman" w:hAnsi="Times New Roman"/>
          <w:i/>
          <w:sz w:val="24"/>
        </w:rPr>
        <w:t>subsection</w:t>
      </w:r>
      <w:r w:rsidR="00BF009C">
        <w:rPr>
          <w:rFonts w:ascii="Times New Roman" w:hAnsi="Times New Roman"/>
          <w:i/>
          <w:sz w:val="24"/>
        </w:rPr>
        <w:t>s</w:t>
      </w:r>
      <w:r w:rsidR="00D17AF3">
        <w:rPr>
          <w:rFonts w:ascii="Times New Roman" w:hAnsi="Times New Roman"/>
          <w:i/>
          <w:sz w:val="24"/>
        </w:rPr>
        <w:t>:</w:t>
      </w:r>
    </w:p>
    <w:p w:rsidR="004C0AF3" w:rsidRDefault="004C0AF3" w:rsidP="002A280B">
      <w:pPr>
        <w:autoSpaceDE w:val="0"/>
        <w:autoSpaceDN w:val="0"/>
        <w:adjustRightInd w:val="0"/>
        <w:ind w:left="1276" w:hanging="567"/>
        <w:rPr>
          <w:rFonts w:ascii="Times New Roman" w:hAnsi="Times New Roman"/>
          <w:i/>
          <w:sz w:val="24"/>
        </w:rPr>
      </w:pPr>
    </w:p>
    <w:p w:rsidR="004C0AF3" w:rsidRDefault="004C0AF3" w:rsidP="002A280B">
      <w:pPr>
        <w:tabs>
          <w:tab w:val="left" w:pos="567"/>
        </w:tabs>
        <w:autoSpaceDE w:val="0"/>
        <w:autoSpaceDN w:val="0"/>
        <w:adjustRightInd w:val="0"/>
        <w:ind w:left="1276" w:hanging="567"/>
        <w:rPr>
          <w:rFonts w:ascii="Times New Roman" w:hAnsi="Times New Roman"/>
          <w:sz w:val="24"/>
        </w:rPr>
      </w:pPr>
      <w:r>
        <w:rPr>
          <w:rFonts w:ascii="Times New Roman" w:hAnsi="Times New Roman"/>
          <w:sz w:val="24"/>
        </w:rPr>
        <w:t xml:space="preserve">(8) </w:t>
      </w:r>
      <w:r>
        <w:rPr>
          <w:rFonts w:ascii="Times New Roman" w:hAnsi="Times New Roman"/>
          <w:sz w:val="24"/>
        </w:rPr>
        <w:tab/>
      </w:r>
      <w:r w:rsidR="00790B65">
        <w:rPr>
          <w:rFonts w:ascii="Times New Roman" w:hAnsi="Times New Roman"/>
          <w:sz w:val="24"/>
        </w:rPr>
        <w:t xml:space="preserve">Subject to subsection </w:t>
      </w:r>
      <w:r w:rsidR="0065260A">
        <w:rPr>
          <w:rFonts w:ascii="Times New Roman" w:hAnsi="Times New Roman"/>
          <w:sz w:val="24"/>
        </w:rPr>
        <w:t>(</w:t>
      </w:r>
      <w:r w:rsidR="00790B65">
        <w:rPr>
          <w:rFonts w:ascii="Times New Roman" w:hAnsi="Times New Roman"/>
          <w:sz w:val="24"/>
        </w:rPr>
        <w:t>9</w:t>
      </w:r>
      <w:r w:rsidR="0065260A">
        <w:rPr>
          <w:rFonts w:ascii="Times New Roman" w:hAnsi="Times New Roman"/>
          <w:sz w:val="24"/>
        </w:rPr>
        <w:t>)</w:t>
      </w:r>
      <w:r w:rsidR="00790B65">
        <w:rPr>
          <w:rFonts w:ascii="Times New Roman" w:hAnsi="Times New Roman"/>
          <w:sz w:val="24"/>
        </w:rPr>
        <w:t>, i</w:t>
      </w:r>
      <w:r w:rsidRPr="001F4CB5">
        <w:rPr>
          <w:rFonts w:ascii="Times New Roman" w:hAnsi="Times New Roman"/>
          <w:sz w:val="24"/>
        </w:rPr>
        <w:t xml:space="preserve">f the ACMA does not </w:t>
      </w:r>
      <w:r w:rsidR="000C7629">
        <w:rPr>
          <w:rFonts w:ascii="Times New Roman" w:hAnsi="Times New Roman"/>
          <w:sz w:val="24"/>
        </w:rPr>
        <w:t xml:space="preserve">inform the applicant of its decision </w:t>
      </w:r>
      <w:r w:rsidRPr="001F4CB5">
        <w:rPr>
          <w:rFonts w:ascii="Times New Roman" w:hAnsi="Times New Roman"/>
          <w:sz w:val="24"/>
        </w:rPr>
        <w:t xml:space="preserve">within </w:t>
      </w:r>
      <w:r w:rsidR="00F92CB1">
        <w:rPr>
          <w:rFonts w:ascii="Times New Roman" w:hAnsi="Times New Roman"/>
          <w:sz w:val="24"/>
        </w:rPr>
        <w:t>60 business days</w:t>
      </w:r>
      <w:r>
        <w:rPr>
          <w:rFonts w:ascii="Times New Roman" w:hAnsi="Times New Roman"/>
          <w:sz w:val="24"/>
        </w:rPr>
        <w:t xml:space="preserve"> of an application made under section 47,</w:t>
      </w:r>
      <w:r w:rsidRPr="001F4CB5">
        <w:rPr>
          <w:rFonts w:ascii="Times New Roman" w:hAnsi="Times New Roman"/>
          <w:sz w:val="24"/>
        </w:rPr>
        <w:t xml:space="preserve"> the ACMA is taken to have made a decision </w:t>
      </w:r>
      <w:r w:rsidR="004C26DF">
        <w:rPr>
          <w:rFonts w:ascii="Times New Roman" w:hAnsi="Times New Roman"/>
          <w:sz w:val="24"/>
        </w:rPr>
        <w:t>under subsection 48</w:t>
      </w:r>
      <w:r w:rsidR="000C7629">
        <w:rPr>
          <w:rFonts w:ascii="Times New Roman" w:hAnsi="Times New Roman"/>
          <w:sz w:val="24"/>
        </w:rPr>
        <w:t xml:space="preserve">(7) </w:t>
      </w:r>
      <w:r w:rsidRPr="001F4CB5">
        <w:rPr>
          <w:rFonts w:ascii="Times New Roman" w:hAnsi="Times New Roman"/>
          <w:sz w:val="24"/>
        </w:rPr>
        <w:t>to refuse the application</w:t>
      </w:r>
      <w:r>
        <w:rPr>
          <w:rFonts w:ascii="Times New Roman" w:hAnsi="Times New Roman"/>
          <w:sz w:val="24"/>
        </w:rPr>
        <w:t>.</w:t>
      </w:r>
    </w:p>
    <w:p w:rsidR="00BF009C" w:rsidRDefault="00BF009C" w:rsidP="002A280B">
      <w:pPr>
        <w:tabs>
          <w:tab w:val="left" w:pos="567"/>
        </w:tabs>
        <w:autoSpaceDE w:val="0"/>
        <w:autoSpaceDN w:val="0"/>
        <w:adjustRightInd w:val="0"/>
        <w:ind w:left="1276" w:hanging="567"/>
        <w:rPr>
          <w:rFonts w:ascii="Times New Roman" w:hAnsi="Times New Roman"/>
          <w:sz w:val="24"/>
        </w:rPr>
      </w:pPr>
    </w:p>
    <w:p w:rsidR="00BF009C" w:rsidRDefault="00BF009C" w:rsidP="002A280B">
      <w:pPr>
        <w:tabs>
          <w:tab w:val="left" w:pos="567"/>
        </w:tabs>
        <w:autoSpaceDE w:val="0"/>
        <w:autoSpaceDN w:val="0"/>
        <w:adjustRightInd w:val="0"/>
        <w:ind w:left="1276" w:hanging="567"/>
        <w:rPr>
          <w:rFonts w:ascii="Times New Roman" w:hAnsi="Times New Roman"/>
          <w:sz w:val="24"/>
        </w:rPr>
      </w:pPr>
      <w:r>
        <w:rPr>
          <w:rFonts w:ascii="Times New Roman" w:hAnsi="Times New Roman"/>
          <w:sz w:val="24"/>
        </w:rPr>
        <w:t>(9)</w:t>
      </w:r>
      <w:r>
        <w:rPr>
          <w:rFonts w:ascii="Times New Roman" w:hAnsi="Times New Roman"/>
          <w:sz w:val="24"/>
        </w:rPr>
        <w:tab/>
      </w:r>
      <w:r w:rsidR="00790B65">
        <w:rPr>
          <w:rFonts w:ascii="Times New Roman" w:hAnsi="Times New Roman"/>
          <w:sz w:val="24"/>
        </w:rPr>
        <w:t xml:space="preserve">The ACMA may seek further information from the applicant about an application made under section 47, and if the ACMA does not inform the applicant of the ACMA’s decision on the application within </w:t>
      </w:r>
      <w:r w:rsidR="00F92CB1">
        <w:rPr>
          <w:rFonts w:ascii="Times New Roman" w:hAnsi="Times New Roman"/>
          <w:sz w:val="24"/>
        </w:rPr>
        <w:t>60 business days</w:t>
      </w:r>
      <w:r w:rsidR="00790B65">
        <w:rPr>
          <w:rFonts w:ascii="Times New Roman" w:hAnsi="Times New Roman"/>
          <w:sz w:val="24"/>
        </w:rPr>
        <w:t xml:space="preserve"> of receiving the further requested information, the ACMA is taken to have mad</w:t>
      </w:r>
      <w:r w:rsidR="004C26DF">
        <w:rPr>
          <w:rFonts w:ascii="Times New Roman" w:hAnsi="Times New Roman"/>
          <w:sz w:val="24"/>
        </w:rPr>
        <w:t>e a decision under subsection 48</w:t>
      </w:r>
      <w:r w:rsidR="00790B65">
        <w:rPr>
          <w:rFonts w:ascii="Times New Roman" w:hAnsi="Times New Roman"/>
          <w:sz w:val="24"/>
        </w:rPr>
        <w:t>(7) to refuse the application.</w:t>
      </w:r>
    </w:p>
    <w:p w:rsidR="004C0AF3" w:rsidRDefault="004C0AF3" w:rsidP="00812BE1">
      <w:pPr>
        <w:tabs>
          <w:tab w:val="left" w:pos="567"/>
        </w:tabs>
        <w:autoSpaceDE w:val="0"/>
        <w:autoSpaceDN w:val="0"/>
        <w:adjustRightInd w:val="0"/>
        <w:ind w:left="567" w:hanging="567"/>
        <w:rPr>
          <w:rFonts w:ascii="Times New Roman" w:hAnsi="Times New Roman"/>
          <w:sz w:val="24"/>
        </w:rPr>
      </w:pPr>
    </w:p>
    <w:p w:rsidR="004C0AF3" w:rsidRDefault="002A280B" w:rsidP="004C0AF3">
      <w:pPr>
        <w:autoSpaceDE w:val="0"/>
        <w:autoSpaceDN w:val="0"/>
        <w:adjustRightInd w:val="0"/>
        <w:rPr>
          <w:rFonts w:cs="Arial"/>
          <w:b/>
          <w:sz w:val="24"/>
        </w:rPr>
      </w:pPr>
      <w:r>
        <w:rPr>
          <w:rFonts w:cs="Arial"/>
          <w:b/>
          <w:sz w:val="24"/>
        </w:rPr>
        <w:t>[5</w:t>
      </w:r>
      <w:r w:rsidR="004C0AF3">
        <w:rPr>
          <w:rFonts w:cs="Arial"/>
          <w:b/>
          <w:sz w:val="24"/>
        </w:rPr>
        <w:t xml:space="preserve">] </w:t>
      </w:r>
      <w:r>
        <w:rPr>
          <w:rFonts w:cs="Arial"/>
          <w:b/>
          <w:sz w:val="24"/>
        </w:rPr>
        <w:tab/>
      </w:r>
      <w:r w:rsidR="004C0AF3">
        <w:rPr>
          <w:rFonts w:cs="Arial"/>
          <w:b/>
          <w:sz w:val="24"/>
        </w:rPr>
        <w:t>After subsection 51(7)</w:t>
      </w:r>
    </w:p>
    <w:p w:rsidR="004C0AF3" w:rsidRDefault="004C0AF3" w:rsidP="004C0AF3">
      <w:pPr>
        <w:autoSpaceDE w:val="0"/>
        <w:autoSpaceDN w:val="0"/>
        <w:adjustRightInd w:val="0"/>
        <w:rPr>
          <w:rFonts w:cs="Arial"/>
          <w:b/>
          <w:sz w:val="24"/>
        </w:rPr>
      </w:pPr>
    </w:p>
    <w:p w:rsidR="004C0AF3" w:rsidRDefault="004C0AF3" w:rsidP="002A280B">
      <w:pPr>
        <w:autoSpaceDE w:val="0"/>
        <w:autoSpaceDN w:val="0"/>
        <w:adjustRightInd w:val="0"/>
        <w:ind w:left="1276" w:hanging="567"/>
        <w:rPr>
          <w:rFonts w:ascii="Times New Roman" w:hAnsi="Times New Roman"/>
          <w:i/>
          <w:sz w:val="24"/>
        </w:rPr>
      </w:pPr>
      <w:r w:rsidRPr="001F4CB5">
        <w:rPr>
          <w:rFonts w:ascii="Times New Roman" w:hAnsi="Times New Roman"/>
          <w:i/>
          <w:sz w:val="24"/>
        </w:rPr>
        <w:t xml:space="preserve">Insert </w:t>
      </w:r>
      <w:r w:rsidR="00790B65">
        <w:rPr>
          <w:rFonts w:ascii="Times New Roman" w:hAnsi="Times New Roman"/>
          <w:i/>
          <w:sz w:val="24"/>
        </w:rPr>
        <w:t>two</w:t>
      </w:r>
      <w:r w:rsidRPr="001F4CB5">
        <w:rPr>
          <w:rFonts w:ascii="Times New Roman" w:hAnsi="Times New Roman"/>
          <w:i/>
          <w:sz w:val="24"/>
        </w:rPr>
        <w:t xml:space="preserve"> </w:t>
      </w:r>
      <w:r>
        <w:rPr>
          <w:rFonts w:ascii="Times New Roman" w:hAnsi="Times New Roman"/>
          <w:i/>
          <w:sz w:val="24"/>
        </w:rPr>
        <w:t>new subsection</w:t>
      </w:r>
      <w:r w:rsidR="00790B65">
        <w:rPr>
          <w:rFonts w:ascii="Times New Roman" w:hAnsi="Times New Roman"/>
          <w:i/>
          <w:sz w:val="24"/>
        </w:rPr>
        <w:t>s</w:t>
      </w:r>
      <w:r w:rsidR="00D17AF3">
        <w:rPr>
          <w:rFonts w:ascii="Times New Roman" w:hAnsi="Times New Roman"/>
          <w:i/>
          <w:sz w:val="24"/>
        </w:rPr>
        <w:t>:</w:t>
      </w:r>
    </w:p>
    <w:p w:rsidR="004C0AF3" w:rsidRDefault="004C0AF3" w:rsidP="002A280B">
      <w:pPr>
        <w:autoSpaceDE w:val="0"/>
        <w:autoSpaceDN w:val="0"/>
        <w:adjustRightInd w:val="0"/>
        <w:ind w:left="1276" w:hanging="567"/>
        <w:rPr>
          <w:rFonts w:ascii="Times New Roman" w:hAnsi="Times New Roman"/>
          <w:i/>
          <w:sz w:val="24"/>
        </w:rPr>
      </w:pPr>
    </w:p>
    <w:p w:rsidR="004C0AF3" w:rsidRDefault="004C0AF3" w:rsidP="002A280B">
      <w:pPr>
        <w:tabs>
          <w:tab w:val="left" w:pos="567"/>
        </w:tabs>
        <w:autoSpaceDE w:val="0"/>
        <w:autoSpaceDN w:val="0"/>
        <w:adjustRightInd w:val="0"/>
        <w:ind w:left="1276" w:hanging="567"/>
        <w:rPr>
          <w:rFonts w:ascii="Times New Roman" w:hAnsi="Times New Roman"/>
          <w:sz w:val="24"/>
        </w:rPr>
      </w:pPr>
      <w:r>
        <w:rPr>
          <w:rFonts w:ascii="Times New Roman" w:hAnsi="Times New Roman"/>
          <w:sz w:val="24"/>
        </w:rPr>
        <w:t xml:space="preserve">(8) </w:t>
      </w:r>
      <w:r>
        <w:rPr>
          <w:rFonts w:ascii="Times New Roman" w:hAnsi="Times New Roman"/>
          <w:sz w:val="24"/>
        </w:rPr>
        <w:tab/>
      </w:r>
      <w:r w:rsidR="00790B65">
        <w:rPr>
          <w:rFonts w:ascii="Times New Roman" w:hAnsi="Times New Roman"/>
          <w:sz w:val="24"/>
        </w:rPr>
        <w:t xml:space="preserve">Subject to subsection </w:t>
      </w:r>
      <w:r w:rsidR="0065260A">
        <w:rPr>
          <w:rFonts w:ascii="Times New Roman" w:hAnsi="Times New Roman"/>
          <w:sz w:val="24"/>
        </w:rPr>
        <w:t>(</w:t>
      </w:r>
      <w:r w:rsidR="00790B65">
        <w:rPr>
          <w:rFonts w:ascii="Times New Roman" w:hAnsi="Times New Roman"/>
          <w:sz w:val="24"/>
        </w:rPr>
        <w:t>9</w:t>
      </w:r>
      <w:r w:rsidR="0065260A">
        <w:rPr>
          <w:rFonts w:ascii="Times New Roman" w:hAnsi="Times New Roman"/>
          <w:sz w:val="24"/>
        </w:rPr>
        <w:t>)</w:t>
      </w:r>
      <w:r w:rsidR="00790B65">
        <w:rPr>
          <w:rFonts w:ascii="Times New Roman" w:hAnsi="Times New Roman"/>
          <w:sz w:val="24"/>
        </w:rPr>
        <w:t xml:space="preserve">, </w:t>
      </w:r>
      <w:r w:rsidR="002F7BC3">
        <w:rPr>
          <w:rFonts w:ascii="Times New Roman" w:hAnsi="Times New Roman"/>
          <w:sz w:val="24"/>
        </w:rPr>
        <w:t>i</w:t>
      </w:r>
      <w:r w:rsidRPr="001F4CB5">
        <w:rPr>
          <w:rFonts w:ascii="Times New Roman" w:hAnsi="Times New Roman"/>
          <w:sz w:val="24"/>
        </w:rPr>
        <w:t xml:space="preserve">f the ACMA does not </w:t>
      </w:r>
      <w:r w:rsidR="000C7629">
        <w:rPr>
          <w:rFonts w:ascii="Times New Roman" w:hAnsi="Times New Roman"/>
          <w:sz w:val="24"/>
        </w:rPr>
        <w:t xml:space="preserve">inform the applicant of its decision </w:t>
      </w:r>
      <w:r w:rsidRPr="001F4CB5">
        <w:rPr>
          <w:rFonts w:ascii="Times New Roman" w:hAnsi="Times New Roman"/>
          <w:sz w:val="24"/>
        </w:rPr>
        <w:t xml:space="preserve">within </w:t>
      </w:r>
      <w:r w:rsidR="00F92CB1">
        <w:rPr>
          <w:rFonts w:ascii="Times New Roman" w:hAnsi="Times New Roman"/>
          <w:sz w:val="24"/>
        </w:rPr>
        <w:t>60 business days</w:t>
      </w:r>
      <w:r>
        <w:rPr>
          <w:rFonts w:ascii="Times New Roman" w:hAnsi="Times New Roman"/>
          <w:sz w:val="24"/>
        </w:rPr>
        <w:t xml:space="preserve"> of an application made under section </w:t>
      </w:r>
      <w:r w:rsidR="000C7629">
        <w:rPr>
          <w:rFonts w:ascii="Times New Roman" w:hAnsi="Times New Roman"/>
          <w:sz w:val="24"/>
        </w:rPr>
        <w:t>50</w:t>
      </w:r>
      <w:r>
        <w:rPr>
          <w:rFonts w:ascii="Times New Roman" w:hAnsi="Times New Roman"/>
          <w:sz w:val="24"/>
        </w:rPr>
        <w:t>,</w:t>
      </w:r>
      <w:r w:rsidRPr="001F4CB5">
        <w:rPr>
          <w:rFonts w:ascii="Times New Roman" w:hAnsi="Times New Roman"/>
          <w:sz w:val="24"/>
        </w:rPr>
        <w:t xml:space="preserve"> the ACMA is taken to have made a decision </w:t>
      </w:r>
      <w:r w:rsidR="000C7629">
        <w:rPr>
          <w:rFonts w:ascii="Times New Roman" w:hAnsi="Times New Roman"/>
          <w:sz w:val="24"/>
        </w:rPr>
        <w:t xml:space="preserve">under subsection 51(7) </w:t>
      </w:r>
      <w:r w:rsidRPr="001F4CB5">
        <w:rPr>
          <w:rFonts w:ascii="Times New Roman" w:hAnsi="Times New Roman"/>
          <w:sz w:val="24"/>
        </w:rPr>
        <w:t>to refuse the application</w:t>
      </w:r>
      <w:r>
        <w:rPr>
          <w:rFonts w:ascii="Times New Roman" w:hAnsi="Times New Roman"/>
          <w:sz w:val="24"/>
        </w:rPr>
        <w:t>.</w:t>
      </w:r>
    </w:p>
    <w:p w:rsidR="00790B65" w:rsidRDefault="00790B65" w:rsidP="002A280B">
      <w:pPr>
        <w:tabs>
          <w:tab w:val="left" w:pos="567"/>
        </w:tabs>
        <w:autoSpaceDE w:val="0"/>
        <w:autoSpaceDN w:val="0"/>
        <w:adjustRightInd w:val="0"/>
        <w:ind w:left="1276" w:hanging="567"/>
        <w:rPr>
          <w:rFonts w:ascii="Times New Roman" w:hAnsi="Times New Roman"/>
          <w:sz w:val="24"/>
        </w:rPr>
      </w:pPr>
    </w:p>
    <w:p w:rsidR="00790B65" w:rsidRDefault="00790B65" w:rsidP="002A280B">
      <w:pPr>
        <w:tabs>
          <w:tab w:val="left" w:pos="567"/>
        </w:tabs>
        <w:autoSpaceDE w:val="0"/>
        <w:autoSpaceDN w:val="0"/>
        <w:adjustRightInd w:val="0"/>
        <w:ind w:left="1276" w:hanging="567"/>
        <w:rPr>
          <w:rFonts w:ascii="Times New Roman" w:hAnsi="Times New Roman"/>
          <w:sz w:val="24"/>
        </w:rPr>
      </w:pPr>
      <w:r>
        <w:rPr>
          <w:rFonts w:ascii="Times New Roman" w:hAnsi="Times New Roman"/>
          <w:sz w:val="24"/>
        </w:rPr>
        <w:t>(9)</w:t>
      </w:r>
      <w:r>
        <w:rPr>
          <w:rFonts w:ascii="Times New Roman" w:hAnsi="Times New Roman"/>
          <w:sz w:val="24"/>
        </w:rPr>
        <w:tab/>
        <w:t>The ACMA may seek further information from the applicant about an application made under section 50, and if the ACMA does not inform the applicant of the ACMA’s deci</w:t>
      </w:r>
      <w:r w:rsidR="00F92CB1">
        <w:rPr>
          <w:rFonts w:ascii="Times New Roman" w:hAnsi="Times New Roman"/>
          <w:sz w:val="24"/>
        </w:rPr>
        <w:t xml:space="preserve">sion on the application within 60 business days </w:t>
      </w:r>
      <w:r>
        <w:rPr>
          <w:rFonts w:ascii="Times New Roman" w:hAnsi="Times New Roman"/>
          <w:sz w:val="24"/>
        </w:rPr>
        <w:t>of receiving the further requested information, the ACMA is taken to have made a decision under subsection 51(7) to refuse the application.</w:t>
      </w:r>
    </w:p>
    <w:p w:rsidR="004C0AF3" w:rsidRPr="001F4CB5" w:rsidRDefault="004C0AF3" w:rsidP="004C0AF3">
      <w:pPr>
        <w:tabs>
          <w:tab w:val="left" w:pos="567"/>
        </w:tabs>
        <w:autoSpaceDE w:val="0"/>
        <w:autoSpaceDN w:val="0"/>
        <w:adjustRightInd w:val="0"/>
        <w:ind w:left="567" w:hanging="567"/>
        <w:rPr>
          <w:rFonts w:ascii="Times New Roman" w:hAnsi="Times New Roman"/>
          <w:sz w:val="24"/>
        </w:rPr>
      </w:pPr>
    </w:p>
    <w:p w:rsidR="000C7629" w:rsidRDefault="002A280B" w:rsidP="000C7629">
      <w:pPr>
        <w:autoSpaceDE w:val="0"/>
        <w:autoSpaceDN w:val="0"/>
        <w:adjustRightInd w:val="0"/>
        <w:rPr>
          <w:rFonts w:cs="Arial"/>
          <w:b/>
          <w:sz w:val="24"/>
        </w:rPr>
      </w:pPr>
      <w:r>
        <w:rPr>
          <w:rFonts w:cs="Arial"/>
          <w:b/>
          <w:sz w:val="24"/>
        </w:rPr>
        <w:t>[6</w:t>
      </w:r>
      <w:r w:rsidR="000C7629">
        <w:rPr>
          <w:rFonts w:cs="Arial"/>
          <w:b/>
          <w:sz w:val="24"/>
        </w:rPr>
        <w:t xml:space="preserve">] </w:t>
      </w:r>
      <w:r>
        <w:rPr>
          <w:rFonts w:cs="Arial"/>
          <w:b/>
          <w:sz w:val="24"/>
        </w:rPr>
        <w:tab/>
      </w:r>
      <w:r w:rsidR="000C7629">
        <w:rPr>
          <w:rFonts w:cs="Arial"/>
          <w:b/>
          <w:sz w:val="24"/>
        </w:rPr>
        <w:t>After subsection 56(3)</w:t>
      </w:r>
    </w:p>
    <w:p w:rsidR="000C7629" w:rsidRDefault="000C7629" w:rsidP="000C7629">
      <w:pPr>
        <w:autoSpaceDE w:val="0"/>
        <w:autoSpaceDN w:val="0"/>
        <w:adjustRightInd w:val="0"/>
        <w:rPr>
          <w:rFonts w:cs="Arial"/>
          <w:b/>
          <w:sz w:val="24"/>
        </w:rPr>
      </w:pPr>
    </w:p>
    <w:p w:rsidR="000C7629" w:rsidRDefault="000C7629" w:rsidP="002A280B">
      <w:pPr>
        <w:autoSpaceDE w:val="0"/>
        <w:autoSpaceDN w:val="0"/>
        <w:adjustRightInd w:val="0"/>
        <w:ind w:left="1276" w:hanging="567"/>
        <w:rPr>
          <w:rFonts w:ascii="Times New Roman" w:hAnsi="Times New Roman"/>
          <w:i/>
          <w:sz w:val="24"/>
        </w:rPr>
      </w:pPr>
      <w:r w:rsidRPr="001F4CB5">
        <w:rPr>
          <w:rFonts w:ascii="Times New Roman" w:hAnsi="Times New Roman"/>
          <w:i/>
          <w:sz w:val="24"/>
        </w:rPr>
        <w:t xml:space="preserve">Insert a </w:t>
      </w:r>
      <w:r>
        <w:rPr>
          <w:rFonts w:ascii="Times New Roman" w:hAnsi="Times New Roman"/>
          <w:i/>
          <w:sz w:val="24"/>
        </w:rPr>
        <w:t>new subsection</w:t>
      </w:r>
      <w:r w:rsidR="00D17AF3">
        <w:rPr>
          <w:rFonts w:ascii="Times New Roman" w:hAnsi="Times New Roman"/>
          <w:i/>
          <w:sz w:val="24"/>
        </w:rPr>
        <w:t>:</w:t>
      </w:r>
    </w:p>
    <w:p w:rsidR="000C7629" w:rsidRDefault="000C7629" w:rsidP="002A280B">
      <w:pPr>
        <w:autoSpaceDE w:val="0"/>
        <w:autoSpaceDN w:val="0"/>
        <w:adjustRightInd w:val="0"/>
        <w:ind w:left="1276" w:hanging="567"/>
        <w:rPr>
          <w:rFonts w:ascii="Times New Roman" w:hAnsi="Times New Roman"/>
          <w:i/>
          <w:sz w:val="24"/>
        </w:rPr>
      </w:pPr>
    </w:p>
    <w:p w:rsidR="000C7629" w:rsidRDefault="000C7629" w:rsidP="002A280B">
      <w:pPr>
        <w:tabs>
          <w:tab w:val="left" w:pos="567"/>
        </w:tabs>
        <w:autoSpaceDE w:val="0"/>
        <w:autoSpaceDN w:val="0"/>
        <w:adjustRightInd w:val="0"/>
        <w:ind w:left="1276" w:hanging="567"/>
        <w:rPr>
          <w:rFonts w:ascii="Times New Roman" w:hAnsi="Times New Roman"/>
          <w:sz w:val="24"/>
        </w:rPr>
      </w:pPr>
      <w:r>
        <w:rPr>
          <w:rFonts w:ascii="Times New Roman" w:hAnsi="Times New Roman"/>
          <w:sz w:val="24"/>
        </w:rPr>
        <w:t xml:space="preserve">(4) </w:t>
      </w:r>
      <w:r>
        <w:rPr>
          <w:rFonts w:ascii="Times New Roman" w:hAnsi="Times New Roman"/>
          <w:sz w:val="24"/>
        </w:rPr>
        <w:tab/>
      </w:r>
      <w:r w:rsidR="004C26DF">
        <w:rPr>
          <w:rFonts w:ascii="Times New Roman" w:hAnsi="Times New Roman"/>
          <w:sz w:val="24"/>
        </w:rPr>
        <w:t>I</w:t>
      </w:r>
      <w:r>
        <w:rPr>
          <w:rFonts w:ascii="Times New Roman" w:hAnsi="Times New Roman"/>
          <w:sz w:val="24"/>
        </w:rPr>
        <w:t xml:space="preserve">f the ACMA does not inform the applicant of its decision </w:t>
      </w:r>
      <w:r w:rsidR="00D45835">
        <w:rPr>
          <w:rFonts w:ascii="Times New Roman" w:hAnsi="Times New Roman"/>
          <w:sz w:val="24"/>
        </w:rPr>
        <w:t xml:space="preserve">in the manner </w:t>
      </w:r>
      <w:r w:rsidR="00FC3F42">
        <w:rPr>
          <w:rFonts w:ascii="Times New Roman" w:hAnsi="Times New Roman"/>
          <w:sz w:val="24"/>
        </w:rPr>
        <w:t xml:space="preserve">required by subsection (1) </w:t>
      </w:r>
      <w:r w:rsidRPr="001F4CB5">
        <w:rPr>
          <w:rFonts w:ascii="Times New Roman" w:hAnsi="Times New Roman"/>
          <w:sz w:val="24"/>
        </w:rPr>
        <w:t xml:space="preserve">within </w:t>
      </w:r>
      <w:r>
        <w:rPr>
          <w:rFonts w:ascii="Times New Roman" w:hAnsi="Times New Roman"/>
          <w:sz w:val="24"/>
        </w:rPr>
        <w:t>the period required under section 55,</w:t>
      </w:r>
      <w:r w:rsidRPr="001F4CB5">
        <w:rPr>
          <w:rFonts w:ascii="Times New Roman" w:hAnsi="Times New Roman"/>
          <w:sz w:val="24"/>
        </w:rPr>
        <w:t xml:space="preserve"> the ACMA is taken to have made a decision </w:t>
      </w:r>
      <w:r>
        <w:rPr>
          <w:rFonts w:ascii="Times New Roman" w:hAnsi="Times New Roman"/>
          <w:sz w:val="24"/>
        </w:rPr>
        <w:t>under section 55 to refuse the application.</w:t>
      </w:r>
    </w:p>
    <w:p w:rsidR="004C0AF3" w:rsidRDefault="004C0AF3" w:rsidP="00812BE1">
      <w:pPr>
        <w:tabs>
          <w:tab w:val="left" w:pos="567"/>
        </w:tabs>
        <w:autoSpaceDE w:val="0"/>
        <w:autoSpaceDN w:val="0"/>
        <w:adjustRightInd w:val="0"/>
        <w:ind w:left="567" w:hanging="567"/>
        <w:rPr>
          <w:rFonts w:ascii="Times New Roman" w:hAnsi="Times New Roman"/>
          <w:sz w:val="24"/>
        </w:rPr>
      </w:pPr>
    </w:p>
    <w:p w:rsidR="009970D9" w:rsidRDefault="002A280B" w:rsidP="009970D9">
      <w:pPr>
        <w:autoSpaceDE w:val="0"/>
        <w:autoSpaceDN w:val="0"/>
        <w:adjustRightInd w:val="0"/>
        <w:rPr>
          <w:rFonts w:cs="Arial"/>
          <w:b/>
          <w:sz w:val="24"/>
        </w:rPr>
      </w:pPr>
      <w:r>
        <w:rPr>
          <w:rFonts w:cs="Arial"/>
          <w:b/>
          <w:sz w:val="24"/>
        </w:rPr>
        <w:t>[7</w:t>
      </w:r>
      <w:r w:rsidR="009970D9">
        <w:rPr>
          <w:rFonts w:cs="Arial"/>
          <w:b/>
          <w:sz w:val="24"/>
        </w:rPr>
        <w:t xml:space="preserve">] </w:t>
      </w:r>
      <w:r>
        <w:rPr>
          <w:rFonts w:cs="Arial"/>
          <w:b/>
          <w:sz w:val="24"/>
        </w:rPr>
        <w:tab/>
      </w:r>
      <w:r w:rsidR="009970D9">
        <w:rPr>
          <w:rFonts w:cs="Arial"/>
          <w:b/>
          <w:sz w:val="24"/>
        </w:rPr>
        <w:t>S</w:t>
      </w:r>
      <w:r w:rsidR="00775727">
        <w:rPr>
          <w:rFonts w:cs="Arial"/>
          <w:b/>
          <w:sz w:val="24"/>
        </w:rPr>
        <w:t>ubsection 64(2</w:t>
      </w:r>
      <w:r w:rsidR="009970D9">
        <w:rPr>
          <w:rFonts w:cs="Arial"/>
          <w:b/>
          <w:sz w:val="24"/>
        </w:rPr>
        <w:t>)</w:t>
      </w:r>
    </w:p>
    <w:p w:rsidR="009970D9" w:rsidRDefault="009970D9" w:rsidP="009970D9">
      <w:pPr>
        <w:autoSpaceDE w:val="0"/>
        <w:autoSpaceDN w:val="0"/>
        <w:adjustRightInd w:val="0"/>
        <w:rPr>
          <w:rFonts w:cs="Arial"/>
          <w:b/>
          <w:sz w:val="24"/>
        </w:rPr>
      </w:pPr>
    </w:p>
    <w:p w:rsidR="009970D9" w:rsidRPr="00B55F33" w:rsidRDefault="009970D9" w:rsidP="002A280B">
      <w:pPr>
        <w:autoSpaceDE w:val="0"/>
        <w:autoSpaceDN w:val="0"/>
        <w:adjustRightInd w:val="0"/>
        <w:ind w:left="1276" w:hanging="567"/>
        <w:rPr>
          <w:rFonts w:ascii="Times New Roman" w:hAnsi="Times New Roman"/>
          <w:i/>
          <w:sz w:val="24"/>
        </w:rPr>
      </w:pPr>
      <w:r w:rsidRPr="00B55F33">
        <w:rPr>
          <w:rFonts w:ascii="Times New Roman" w:hAnsi="Times New Roman"/>
          <w:i/>
          <w:sz w:val="24"/>
        </w:rPr>
        <w:t>Omit, substitute:</w:t>
      </w:r>
    </w:p>
    <w:p w:rsidR="009970D9" w:rsidRPr="009970D9" w:rsidRDefault="00775727" w:rsidP="002844F3">
      <w:pPr>
        <w:pStyle w:val="subsection"/>
        <w:shd w:val="clear" w:color="auto" w:fill="FFFFFF"/>
        <w:spacing w:before="180" w:beforeAutospacing="0" w:after="0" w:afterAutospacing="0"/>
        <w:ind w:left="1276" w:hanging="567"/>
        <w:rPr>
          <w:color w:val="000000"/>
          <w:sz w:val="18"/>
          <w:szCs w:val="18"/>
        </w:rPr>
      </w:pPr>
      <w:r>
        <w:t>(2</w:t>
      </w:r>
      <w:r w:rsidR="009970D9" w:rsidRPr="009970D9">
        <w:t xml:space="preserve">) </w:t>
      </w:r>
      <w:r w:rsidR="009970D9" w:rsidRPr="009970D9">
        <w:tab/>
      </w:r>
      <w:r>
        <w:t xml:space="preserve">Unless subsection 64(2A) applies, the </w:t>
      </w:r>
      <w:r w:rsidR="008B77A8">
        <w:t xml:space="preserve">ACMA </w:t>
      </w:r>
      <w:r>
        <w:t>may approve an application if the ACMA is satisfied that it is appropriate to do so in all the circumstances.</w:t>
      </w:r>
    </w:p>
    <w:p w:rsidR="00775727" w:rsidRDefault="00D17AF3" w:rsidP="002A280B">
      <w:pPr>
        <w:pStyle w:val="subsection"/>
        <w:shd w:val="clear" w:color="auto" w:fill="FFFFFF"/>
        <w:spacing w:before="180" w:beforeAutospacing="0" w:after="0" w:afterAutospacing="0"/>
        <w:ind w:left="1276" w:hanging="567"/>
      </w:pPr>
      <w:r w:rsidDel="00D17AF3">
        <w:rPr>
          <w:rFonts w:cs="Arial"/>
          <w:b/>
        </w:rPr>
        <w:t xml:space="preserve"> </w:t>
      </w:r>
      <w:r w:rsidR="00775727">
        <w:t>(2A</w:t>
      </w:r>
      <w:r w:rsidR="00775727" w:rsidRPr="009970D9">
        <w:t xml:space="preserve">) </w:t>
      </w:r>
      <w:r w:rsidR="004E2572">
        <w:t>Subject to subsection (3),</w:t>
      </w:r>
      <w:r w:rsidR="00903A01">
        <w:t xml:space="preserve"> </w:t>
      </w:r>
      <w:r w:rsidR="004E2572">
        <w:t>i</w:t>
      </w:r>
      <w:r w:rsidR="00775727">
        <w:t xml:space="preserve">f the application </w:t>
      </w:r>
      <w:r w:rsidR="00190BFE">
        <w:t>relates to a freephone or local rate number and is made</w:t>
      </w:r>
      <w:r w:rsidR="00775727">
        <w:t>:</w:t>
      </w:r>
    </w:p>
    <w:p w:rsidR="00190BFE" w:rsidRDefault="00190BFE" w:rsidP="002A280B">
      <w:pPr>
        <w:pStyle w:val="subsection"/>
        <w:numPr>
          <w:ilvl w:val="0"/>
          <w:numId w:val="22"/>
        </w:numPr>
        <w:shd w:val="clear" w:color="auto" w:fill="FFFFFF"/>
        <w:spacing w:before="120" w:beforeAutospacing="0" w:after="0" w:afterAutospacing="0"/>
        <w:ind w:left="1843" w:hanging="567"/>
      </w:pPr>
      <w:r>
        <w:t xml:space="preserve">by the registered carriage service provider that was the last registered carriage service provider </w:t>
      </w:r>
      <w:r w:rsidR="003D29AB">
        <w:t>who held the number</w:t>
      </w:r>
      <w:r>
        <w:t>; and</w:t>
      </w:r>
    </w:p>
    <w:p w:rsidR="00190BFE" w:rsidRDefault="00190BFE" w:rsidP="002A280B">
      <w:pPr>
        <w:pStyle w:val="subsection"/>
        <w:numPr>
          <w:ilvl w:val="0"/>
          <w:numId w:val="22"/>
        </w:numPr>
        <w:shd w:val="clear" w:color="auto" w:fill="FFFFFF"/>
        <w:spacing w:before="120" w:beforeAutospacing="0" w:after="0" w:afterAutospacing="0"/>
        <w:ind w:left="1843" w:hanging="567"/>
      </w:pPr>
      <w:r>
        <w:t>for the purpose of issuing the number to the customer that was the last customer to whom the number was issued;</w:t>
      </w:r>
    </w:p>
    <w:p w:rsidR="00775727" w:rsidRDefault="00190BFE" w:rsidP="00E412CC">
      <w:pPr>
        <w:pStyle w:val="subsection"/>
        <w:shd w:val="clear" w:color="auto" w:fill="FFFFFF"/>
        <w:spacing w:before="120" w:beforeAutospacing="0" w:after="0" w:afterAutospacing="0"/>
        <w:ind w:left="1276"/>
      </w:pPr>
      <w:proofErr w:type="gramStart"/>
      <w:r>
        <w:t>the</w:t>
      </w:r>
      <w:proofErr w:type="gramEnd"/>
      <w:r>
        <w:t xml:space="preserve"> ACMA must approve the application</w:t>
      </w:r>
      <w:r w:rsidR="00775727">
        <w:t>.</w:t>
      </w:r>
    </w:p>
    <w:p w:rsidR="00775727" w:rsidRPr="009970D9" w:rsidRDefault="00775727" w:rsidP="009970D9">
      <w:pPr>
        <w:tabs>
          <w:tab w:val="left" w:pos="567"/>
        </w:tabs>
        <w:autoSpaceDE w:val="0"/>
        <w:autoSpaceDN w:val="0"/>
        <w:adjustRightInd w:val="0"/>
        <w:rPr>
          <w:rFonts w:ascii="Times New Roman" w:hAnsi="Times New Roman"/>
          <w:b/>
          <w:sz w:val="24"/>
        </w:rPr>
      </w:pPr>
    </w:p>
    <w:p w:rsidR="004E2572" w:rsidRDefault="002A280B" w:rsidP="004E2572">
      <w:pPr>
        <w:autoSpaceDE w:val="0"/>
        <w:autoSpaceDN w:val="0"/>
        <w:adjustRightInd w:val="0"/>
        <w:rPr>
          <w:rFonts w:cs="Arial"/>
          <w:b/>
          <w:sz w:val="24"/>
        </w:rPr>
      </w:pPr>
      <w:r>
        <w:rPr>
          <w:rFonts w:cs="Arial"/>
          <w:b/>
          <w:sz w:val="24"/>
        </w:rPr>
        <w:t>[</w:t>
      </w:r>
      <w:r w:rsidR="00D17AF3">
        <w:rPr>
          <w:rFonts w:cs="Arial"/>
          <w:b/>
          <w:sz w:val="24"/>
        </w:rPr>
        <w:t>8</w:t>
      </w:r>
      <w:r w:rsidR="004E2572">
        <w:rPr>
          <w:rFonts w:cs="Arial"/>
          <w:b/>
          <w:sz w:val="24"/>
        </w:rPr>
        <w:t xml:space="preserve">] </w:t>
      </w:r>
      <w:r>
        <w:rPr>
          <w:rFonts w:cs="Arial"/>
          <w:b/>
          <w:sz w:val="24"/>
        </w:rPr>
        <w:tab/>
      </w:r>
      <w:r w:rsidR="004E2572">
        <w:rPr>
          <w:rFonts w:cs="Arial"/>
          <w:b/>
          <w:sz w:val="24"/>
        </w:rPr>
        <w:t>Subsection 64(4)</w:t>
      </w:r>
    </w:p>
    <w:p w:rsidR="004E2572" w:rsidRDefault="004E2572" w:rsidP="004E2572">
      <w:pPr>
        <w:autoSpaceDE w:val="0"/>
        <w:autoSpaceDN w:val="0"/>
        <w:adjustRightInd w:val="0"/>
        <w:rPr>
          <w:rFonts w:cs="Arial"/>
          <w:b/>
          <w:sz w:val="24"/>
        </w:rPr>
      </w:pPr>
    </w:p>
    <w:p w:rsidR="004E2572" w:rsidRDefault="004E2572" w:rsidP="002A280B">
      <w:pPr>
        <w:autoSpaceDE w:val="0"/>
        <w:autoSpaceDN w:val="0"/>
        <w:adjustRightInd w:val="0"/>
        <w:ind w:left="1276" w:hanging="567"/>
        <w:rPr>
          <w:rFonts w:ascii="Times New Roman" w:hAnsi="Times New Roman"/>
          <w:i/>
          <w:sz w:val="24"/>
        </w:rPr>
      </w:pPr>
      <w:r>
        <w:rPr>
          <w:rFonts w:ascii="Times New Roman" w:hAnsi="Times New Roman"/>
          <w:i/>
          <w:sz w:val="24"/>
        </w:rPr>
        <w:t>Omit, substitute:</w:t>
      </w:r>
    </w:p>
    <w:p w:rsidR="004E2572" w:rsidRPr="004E2572" w:rsidRDefault="004E2572" w:rsidP="002A280B">
      <w:pPr>
        <w:pStyle w:val="subsection"/>
        <w:shd w:val="clear" w:color="auto" w:fill="FFFFFF"/>
        <w:spacing w:before="180" w:beforeAutospacing="0" w:after="0" w:afterAutospacing="0"/>
        <w:ind w:left="1276" w:hanging="567"/>
      </w:pPr>
      <w:r>
        <w:t>(4</w:t>
      </w:r>
      <w:r w:rsidRPr="009970D9">
        <w:t xml:space="preserve">) </w:t>
      </w:r>
      <w:r w:rsidRPr="009970D9">
        <w:tab/>
      </w:r>
      <w:r w:rsidR="004C26DF">
        <w:rPr>
          <w:color w:val="000000"/>
          <w:shd w:val="clear" w:color="auto" w:fill="FFFFFF"/>
        </w:rPr>
        <w:t>I</w:t>
      </w:r>
      <w:r w:rsidRPr="004E2572">
        <w:rPr>
          <w:color w:val="000000"/>
          <w:shd w:val="clear" w:color="auto" w:fill="FFFFFF"/>
        </w:rPr>
        <w:t>f the ACMA receives more than one request for allocation of the same number, the ACMA must make a decision on the requests in the order that the requests were received</w:t>
      </w:r>
      <w:r>
        <w:rPr>
          <w:color w:val="000000"/>
          <w:shd w:val="clear" w:color="auto" w:fill="FFFFFF"/>
        </w:rPr>
        <w:t>, unless the circumstances in subsection (2A) apply</w:t>
      </w:r>
      <w:r w:rsidRPr="004E2572">
        <w:rPr>
          <w:color w:val="000000"/>
          <w:shd w:val="clear" w:color="auto" w:fill="FFFFFF"/>
        </w:rPr>
        <w:t>.</w:t>
      </w:r>
    </w:p>
    <w:p w:rsidR="005D571E" w:rsidRDefault="005D571E" w:rsidP="002844F3">
      <w:pPr>
        <w:autoSpaceDE w:val="0"/>
        <w:autoSpaceDN w:val="0"/>
        <w:adjustRightInd w:val="0"/>
        <w:rPr>
          <w:rFonts w:cs="Arial"/>
          <w:b/>
          <w:sz w:val="24"/>
        </w:rPr>
      </w:pPr>
    </w:p>
    <w:p w:rsidR="004E2572" w:rsidRDefault="005D571E" w:rsidP="002A280B">
      <w:pPr>
        <w:autoSpaceDE w:val="0"/>
        <w:autoSpaceDN w:val="0"/>
        <w:adjustRightInd w:val="0"/>
        <w:ind w:left="1276" w:hanging="567"/>
        <w:rPr>
          <w:rFonts w:ascii="Times New Roman" w:hAnsi="Times New Roman"/>
          <w:sz w:val="24"/>
        </w:rPr>
      </w:pPr>
      <w:r w:rsidRPr="005D571E">
        <w:rPr>
          <w:rFonts w:ascii="Times New Roman" w:hAnsi="Times New Roman"/>
          <w:sz w:val="24"/>
        </w:rPr>
        <w:t>(5)</w:t>
      </w:r>
      <w:r>
        <w:rPr>
          <w:rFonts w:ascii="Times New Roman" w:hAnsi="Times New Roman"/>
          <w:sz w:val="24"/>
        </w:rPr>
        <w:tab/>
        <w:t>Despite subsections 63(6) and (7), the ACMA may regard an application as complete for the purposes of subsection (1) if</w:t>
      </w:r>
      <w:r w:rsidR="004E2572">
        <w:rPr>
          <w:rFonts w:ascii="Times New Roman" w:hAnsi="Times New Roman"/>
          <w:sz w:val="24"/>
        </w:rPr>
        <w:t xml:space="preserve"> the circumstances in subsection 64(2A) apply and</w:t>
      </w:r>
      <w:r>
        <w:rPr>
          <w:rFonts w:ascii="Times New Roman" w:hAnsi="Times New Roman"/>
          <w:sz w:val="24"/>
        </w:rPr>
        <w:t>:</w:t>
      </w:r>
    </w:p>
    <w:p w:rsidR="005D571E" w:rsidRDefault="004E2572" w:rsidP="002A280B">
      <w:pPr>
        <w:pStyle w:val="ListParagraph"/>
        <w:numPr>
          <w:ilvl w:val="0"/>
          <w:numId w:val="21"/>
        </w:numPr>
        <w:autoSpaceDE w:val="0"/>
        <w:autoSpaceDN w:val="0"/>
        <w:adjustRightInd w:val="0"/>
        <w:spacing w:before="120"/>
        <w:ind w:left="1843" w:hanging="567"/>
        <w:rPr>
          <w:rFonts w:ascii="Times New Roman" w:hAnsi="Times New Roman"/>
          <w:sz w:val="24"/>
        </w:rPr>
      </w:pPr>
      <w:r>
        <w:rPr>
          <w:rFonts w:ascii="Times New Roman" w:hAnsi="Times New Roman"/>
          <w:sz w:val="24"/>
        </w:rPr>
        <w:t>t</w:t>
      </w:r>
      <w:r w:rsidR="005D571E">
        <w:rPr>
          <w:rFonts w:ascii="Times New Roman" w:hAnsi="Times New Roman"/>
          <w:sz w:val="24"/>
        </w:rPr>
        <w:t>he ACMA has determined in writing that this subsection applies to the registered carriage service provider; and</w:t>
      </w:r>
    </w:p>
    <w:p w:rsidR="005D571E" w:rsidRPr="005D571E" w:rsidRDefault="005D571E" w:rsidP="002A280B">
      <w:pPr>
        <w:pStyle w:val="ListParagraph"/>
        <w:numPr>
          <w:ilvl w:val="0"/>
          <w:numId w:val="21"/>
        </w:numPr>
        <w:autoSpaceDE w:val="0"/>
        <w:autoSpaceDN w:val="0"/>
        <w:adjustRightInd w:val="0"/>
        <w:spacing w:before="120"/>
        <w:ind w:left="1843" w:hanging="567"/>
        <w:rPr>
          <w:rFonts w:ascii="Times New Roman" w:hAnsi="Times New Roman"/>
          <w:sz w:val="24"/>
        </w:rPr>
      </w:pPr>
      <w:proofErr w:type="gramStart"/>
      <w:r>
        <w:rPr>
          <w:rFonts w:ascii="Times New Roman" w:hAnsi="Times New Roman"/>
          <w:sz w:val="24"/>
        </w:rPr>
        <w:t>the</w:t>
      </w:r>
      <w:proofErr w:type="gramEnd"/>
      <w:r>
        <w:rPr>
          <w:rFonts w:ascii="Times New Roman" w:hAnsi="Times New Roman"/>
          <w:sz w:val="24"/>
        </w:rPr>
        <w:t xml:space="preserve"> ACMA has not revoked the determination.</w:t>
      </w:r>
    </w:p>
    <w:p w:rsidR="00CA711C" w:rsidRDefault="00CA711C" w:rsidP="002A280B">
      <w:pPr>
        <w:autoSpaceDE w:val="0"/>
        <w:autoSpaceDN w:val="0"/>
        <w:adjustRightInd w:val="0"/>
        <w:ind w:left="1276" w:hanging="567"/>
        <w:rPr>
          <w:rFonts w:ascii="Times New Roman" w:hAnsi="Times New Roman"/>
          <w:i/>
          <w:sz w:val="24"/>
        </w:rPr>
      </w:pPr>
    </w:p>
    <w:p w:rsidR="00CA711C" w:rsidRDefault="00CA711C" w:rsidP="002A280B">
      <w:pPr>
        <w:tabs>
          <w:tab w:val="left" w:pos="567"/>
        </w:tabs>
        <w:autoSpaceDE w:val="0"/>
        <w:autoSpaceDN w:val="0"/>
        <w:adjustRightInd w:val="0"/>
        <w:ind w:left="1276" w:hanging="567"/>
        <w:rPr>
          <w:rFonts w:ascii="Times New Roman" w:hAnsi="Times New Roman"/>
          <w:sz w:val="24"/>
        </w:rPr>
      </w:pPr>
      <w:r>
        <w:rPr>
          <w:rFonts w:ascii="Times New Roman" w:hAnsi="Times New Roman"/>
          <w:sz w:val="24"/>
        </w:rPr>
        <w:t>(</w:t>
      </w:r>
      <w:r w:rsidR="004E2572">
        <w:rPr>
          <w:rFonts w:ascii="Times New Roman" w:hAnsi="Times New Roman"/>
          <w:sz w:val="24"/>
        </w:rPr>
        <w:t>6</w:t>
      </w:r>
      <w:r>
        <w:rPr>
          <w:rFonts w:ascii="Times New Roman" w:hAnsi="Times New Roman"/>
          <w:sz w:val="24"/>
        </w:rPr>
        <w:t xml:space="preserve">) </w:t>
      </w:r>
      <w:r>
        <w:rPr>
          <w:rFonts w:ascii="Times New Roman" w:hAnsi="Times New Roman"/>
          <w:sz w:val="24"/>
        </w:rPr>
        <w:tab/>
      </w:r>
      <w:r w:rsidRPr="001F4CB5">
        <w:rPr>
          <w:rFonts w:ascii="Times New Roman" w:hAnsi="Times New Roman"/>
          <w:sz w:val="24"/>
        </w:rPr>
        <w:t xml:space="preserve">If the ACMA does not make a decision within the period required under </w:t>
      </w:r>
      <w:r>
        <w:rPr>
          <w:rFonts w:ascii="Times New Roman" w:hAnsi="Times New Roman"/>
          <w:sz w:val="24"/>
        </w:rPr>
        <w:t>subsection (1)</w:t>
      </w:r>
      <w:r w:rsidRPr="001F4CB5">
        <w:rPr>
          <w:rFonts w:ascii="Times New Roman" w:hAnsi="Times New Roman"/>
          <w:sz w:val="24"/>
        </w:rPr>
        <w:t>, the ACMA is taken to have made a decision to refuse the application</w:t>
      </w:r>
      <w:r>
        <w:rPr>
          <w:rFonts w:ascii="Times New Roman" w:hAnsi="Times New Roman"/>
          <w:sz w:val="24"/>
        </w:rPr>
        <w:t xml:space="preserve"> under subsection (1).</w:t>
      </w:r>
    </w:p>
    <w:p w:rsidR="00CA711C" w:rsidRDefault="00CA711C" w:rsidP="00CA711C">
      <w:pPr>
        <w:tabs>
          <w:tab w:val="left" w:pos="567"/>
        </w:tabs>
        <w:autoSpaceDE w:val="0"/>
        <w:autoSpaceDN w:val="0"/>
        <w:adjustRightInd w:val="0"/>
        <w:ind w:left="567" w:hanging="567"/>
        <w:rPr>
          <w:rFonts w:ascii="Times New Roman" w:hAnsi="Times New Roman"/>
          <w:sz w:val="24"/>
        </w:rPr>
      </w:pPr>
    </w:p>
    <w:p w:rsidR="004E2572" w:rsidRDefault="002A280B" w:rsidP="004E2572">
      <w:pPr>
        <w:autoSpaceDE w:val="0"/>
        <w:autoSpaceDN w:val="0"/>
        <w:adjustRightInd w:val="0"/>
        <w:rPr>
          <w:rFonts w:cs="Arial"/>
          <w:b/>
          <w:sz w:val="24"/>
        </w:rPr>
      </w:pPr>
      <w:r>
        <w:rPr>
          <w:rFonts w:cs="Arial"/>
          <w:b/>
          <w:sz w:val="24"/>
        </w:rPr>
        <w:t>[</w:t>
      </w:r>
      <w:r w:rsidR="00D17AF3">
        <w:rPr>
          <w:rFonts w:cs="Arial"/>
          <w:b/>
          <w:sz w:val="24"/>
        </w:rPr>
        <w:t>9</w:t>
      </w:r>
      <w:r w:rsidR="004E2572">
        <w:rPr>
          <w:rFonts w:cs="Arial"/>
          <w:b/>
          <w:sz w:val="24"/>
        </w:rPr>
        <w:t xml:space="preserve">] </w:t>
      </w:r>
      <w:r>
        <w:rPr>
          <w:rFonts w:cs="Arial"/>
          <w:b/>
          <w:sz w:val="24"/>
        </w:rPr>
        <w:tab/>
      </w:r>
      <w:r w:rsidR="004E2572">
        <w:rPr>
          <w:rFonts w:cs="Arial"/>
          <w:b/>
          <w:sz w:val="24"/>
        </w:rPr>
        <w:t>Subsection 65(1)</w:t>
      </w:r>
    </w:p>
    <w:p w:rsidR="004E2572" w:rsidRDefault="004E2572" w:rsidP="004E2572">
      <w:pPr>
        <w:autoSpaceDE w:val="0"/>
        <w:autoSpaceDN w:val="0"/>
        <w:adjustRightInd w:val="0"/>
        <w:rPr>
          <w:rFonts w:cs="Arial"/>
          <w:b/>
          <w:sz w:val="24"/>
        </w:rPr>
      </w:pPr>
    </w:p>
    <w:p w:rsidR="00B57138" w:rsidRDefault="003A6DF0" w:rsidP="002A280B">
      <w:pPr>
        <w:autoSpaceDE w:val="0"/>
        <w:autoSpaceDN w:val="0"/>
        <w:adjustRightInd w:val="0"/>
        <w:ind w:left="709"/>
        <w:rPr>
          <w:rFonts w:ascii="Times New Roman" w:hAnsi="Times New Roman"/>
          <w:i/>
          <w:sz w:val="24"/>
        </w:rPr>
      </w:pPr>
      <w:r>
        <w:rPr>
          <w:rFonts w:ascii="Times New Roman" w:hAnsi="Times New Roman"/>
          <w:i/>
          <w:sz w:val="24"/>
        </w:rPr>
        <w:t xml:space="preserve">After the words </w:t>
      </w:r>
      <w:r w:rsidRPr="003A6DF0">
        <w:rPr>
          <w:rFonts w:ascii="Times New Roman" w:hAnsi="Times New Roman"/>
          <w:sz w:val="24"/>
        </w:rPr>
        <w:t>“In considering”</w:t>
      </w:r>
      <w:r>
        <w:rPr>
          <w:rFonts w:ascii="Times New Roman" w:hAnsi="Times New Roman"/>
          <w:i/>
          <w:sz w:val="24"/>
        </w:rPr>
        <w:t xml:space="preserve"> </w:t>
      </w:r>
      <w:r w:rsidRPr="003A6DF0">
        <w:rPr>
          <w:rFonts w:ascii="Times New Roman" w:hAnsi="Times New Roman"/>
          <w:i/>
          <w:sz w:val="24"/>
        </w:rPr>
        <w:t>insert</w:t>
      </w:r>
      <w:r>
        <w:rPr>
          <w:rFonts w:ascii="Times New Roman" w:hAnsi="Times New Roman"/>
          <w:i/>
          <w:sz w:val="24"/>
        </w:rPr>
        <w:t xml:space="preserve"> the words</w:t>
      </w:r>
      <w:r w:rsidRPr="003A6DF0">
        <w:rPr>
          <w:rFonts w:ascii="Times New Roman" w:hAnsi="Times New Roman"/>
          <w:sz w:val="24"/>
        </w:rPr>
        <w:t xml:space="preserve"> </w:t>
      </w:r>
      <w:r w:rsidRPr="003A6DF0">
        <w:rPr>
          <w:rFonts w:ascii="Times New Roman" w:hAnsi="Times New Roman"/>
          <w:color w:val="000000"/>
          <w:sz w:val="24"/>
        </w:rPr>
        <w:t>“under subsection 64(2)”</w:t>
      </w:r>
    </w:p>
    <w:p w:rsidR="00B57138" w:rsidRDefault="00B57138" w:rsidP="004E2572">
      <w:pPr>
        <w:autoSpaceDE w:val="0"/>
        <w:autoSpaceDN w:val="0"/>
        <w:adjustRightInd w:val="0"/>
        <w:rPr>
          <w:rFonts w:ascii="Times New Roman" w:hAnsi="Times New Roman"/>
          <w:i/>
          <w:sz w:val="24"/>
        </w:rPr>
      </w:pPr>
    </w:p>
    <w:p w:rsidR="00DF51A2" w:rsidRDefault="002A280B" w:rsidP="00DF51A2">
      <w:pPr>
        <w:autoSpaceDE w:val="0"/>
        <w:autoSpaceDN w:val="0"/>
        <w:adjustRightInd w:val="0"/>
        <w:rPr>
          <w:rFonts w:cs="Arial"/>
          <w:b/>
          <w:sz w:val="24"/>
        </w:rPr>
      </w:pPr>
      <w:r>
        <w:rPr>
          <w:rFonts w:cs="Arial"/>
          <w:b/>
          <w:sz w:val="24"/>
        </w:rPr>
        <w:t>[1</w:t>
      </w:r>
      <w:r w:rsidR="00D17AF3">
        <w:rPr>
          <w:rFonts w:cs="Arial"/>
          <w:b/>
          <w:sz w:val="24"/>
        </w:rPr>
        <w:t>0</w:t>
      </w:r>
      <w:r w:rsidR="00DF51A2">
        <w:rPr>
          <w:rFonts w:cs="Arial"/>
          <w:b/>
          <w:sz w:val="24"/>
        </w:rPr>
        <w:t xml:space="preserve">] </w:t>
      </w:r>
      <w:r w:rsidR="00D92B2C">
        <w:rPr>
          <w:rFonts w:cs="Arial"/>
          <w:b/>
          <w:sz w:val="24"/>
        </w:rPr>
        <w:tab/>
      </w:r>
      <w:r w:rsidR="00C23981">
        <w:rPr>
          <w:rFonts w:cs="Arial"/>
          <w:b/>
          <w:sz w:val="24"/>
        </w:rPr>
        <w:t>S</w:t>
      </w:r>
      <w:r w:rsidR="00CD6003">
        <w:rPr>
          <w:rFonts w:cs="Arial"/>
          <w:b/>
          <w:sz w:val="24"/>
        </w:rPr>
        <w:t>ubsection 71(</w:t>
      </w:r>
      <w:r w:rsidR="006B11B8">
        <w:rPr>
          <w:rFonts w:cs="Arial"/>
          <w:b/>
          <w:sz w:val="24"/>
        </w:rPr>
        <w:t>3</w:t>
      </w:r>
      <w:r w:rsidR="00C23981">
        <w:rPr>
          <w:rFonts w:cs="Arial"/>
          <w:b/>
          <w:sz w:val="24"/>
        </w:rPr>
        <w:t>)</w:t>
      </w:r>
    </w:p>
    <w:p w:rsidR="00DF51A2" w:rsidRDefault="00DF51A2" w:rsidP="00DF51A2">
      <w:pPr>
        <w:autoSpaceDE w:val="0"/>
        <w:autoSpaceDN w:val="0"/>
        <w:adjustRightInd w:val="0"/>
        <w:rPr>
          <w:rFonts w:cs="Arial"/>
          <w:b/>
          <w:sz w:val="24"/>
        </w:rPr>
      </w:pPr>
    </w:p>
    <w:p w:rsidR="00DF51A2" w:rsidRPr="00DF51A2" w:rsidRDefault="00C23981" w:rsidP="00D92B2C">
      <w:pPr>
        <w:autoSpaceDE w:val="0"/>
        <w:autoSpaceDN w:val="0"/>
        <w:adjustRightInd w:val="0"/>
        <w:ind w:left="709"/>
        <w:rPr>
          <w:rFonts w:ascii="Times New Roman" w:hAnsi="Times New Roman"/>
          <w:i/>
          <w:sz w:val="24"/>
        </w:rPr>
      </w:pPr>
      <w:r>
        <w:rPr>
          <w:rFonts w:ascii="Times New Roman" w:hAnsi="Times New Roman"/>
          <w:i/>
          <w:sz w:val="24"/>
        </w:rPr>
        <w:t>Omit</w:t>
      </w:r>
      <w:r w:rsidR="00CD6003">
        <w:rPr>
          <w:rFonts w:ascii="Times New Roman" w:hAnsi="Times New Roman"/>
          <w:i/>
          <w:sz w:val="24"/>
        </w:rPr>
        <w:t xml:space="preserve"> </w:t>
      </w:r>
      <w:r w:rsidR="00CD6003" w:rsidRPr="00CD6003">
        <w:rPr>
          <w:rFonts w:ascii="Times New Roman" w:hAnsi="Times New Roman"/>
          <w:sz w:val="24"/>
        </w:rPr>
        <w:t>“(1)”</w:t>
      </w:r>
      <w:r w:rsidR="00CD6003">
        <w:rPr>
          <w:rFonts w:ascii="Times New Roman" w:hAnsi="Times New Roman"/>
          <w:sz w:val="24"/>
        </w:rPr>
        <w:t xml:space="preserve">, </w:t>
      </w:r>
      <w:r w:rsidR="009957AA" w:rsidRPr="009957AA">
        <w:rPr>
          <w:rFonts w:ascii="Times New Roman" w:hAnsi="Times New Roman"/>
          <w:i/>
          <w:sz w:val="24"/>
        </w:rPr>
        <w:t>substitute</w:t>
      </w:r>
      <w:r w:rsidR="009957AA">
        <w:rPr>
          <w:rFonts w:ascii="Times New Roman" w:hAnsi="Times New Roman"/>
          <w:sz w:val="24"/>
        </w:rPr>
        <w:t xml:space="preserve"> “(2)”</w:t>
      </w:r>
    </w:p>
    <w:p w:rsidR="00CA711C" w:rsidRDefault="00CA711C" w:rsidP="00DF51A2">
      <w:pPr>
        <w:autoSpaceDE w:val="0"/>
        <w:autoSpaceDN w:val="0"/>
        <w:adjustRightInd w:val="0"/>
        <w:rPr>
          <w:rFonts w:cs="Arial"/>
          <w:b/>
          <w:sz w:val="24"/>
        </w:rPr>
      </w:pPr>
    </w:p>
    <w:p w:rsidR="00CA711C" w:rsidRDefault="002A280B" w:rsidP="00CA711C">
      <w:pPr>
        <w:autoSpaceDE w:val="0"/>
        <w:autoSpaceDN w:val="0"/>
        <w:adjustRightInd w:val="0"/>
        <w:rPr>
          <w:rFonts w:cs="Arial"/>
          <w:b/>
          <w:sz w:val="24"/>
        </w:rPr>
      </w:pPr>
      <w:r>
        <w:rPr>
          <w:rFonts w:cs="Arial"/>
          <w:b/>
          <w:sz w:val="24"/>
        </w:rPr>
        <w:t>[1</w:t>
      </w:r>
      <w:r w:rsidR="00D17AF3">
        <w:rPr>
          <w:rFonts w:cs="Arial"/>
          <w:b/>
          <w:sz w:val="24"/>
        </w:rPr>
        <w:t>1</w:t>
      </w:r>
      <w:r w:rsidR="00CA711C">
        <w:rPr>
          <w:rFonts w:cs="Arial"/>
          <w:b/>
          <w:sz w:val="24"/>
        </w:rPr>
        <w:t xml:space="preserve">] </w:t>
      </w:r>
      <w:r w:rsidR="00D92B2C">
        <w:rPr>
          <w:rFonts w:cs="Arial"/>
          <w:b/>
          <w:sz w:val="24"/>
        </w:rPr>
        <w:tab/>
      </w:r>
      <w:r w:rsidR="00CA711C">
        <w:rPr>
          <w:rFonts w:cs="Arial"/>
          <w:b/>
          <w:sz w:val="24"/>
        </w:rPr>
        <w:t>After subsection 71(4)</w:t>
      </w:r>
    </w:p>
    <w:p w:rsidR="00CA711C" w:rsidRDefault="00CA711C" w:rsidP="00CA711C">
      <w:pPr>
        <w:autoSpaceDE w:val="0"/>
        <w:autoSpaceDN w:val="0"/>
        <w:adjustRightInd w:val="0"/>
        <w:rPr>
          <w:rFonts w:cs="Arial"/>
          <w:b/>
          <w:sz w:val="24"/>
        </w:rPr>
      </w:pPr>
    </w:p>
    <w:p w:rsidR="00CA711C" w:rsidRDefault="00CA711C" w:rsidP="00D92B2C">
      <w:pPr>
        <w:autoSpaceDE w:val="0"/>
        <w:autoSpaceDN w:val="0"/>
        <w:adjustRightInd w:val="0"/>
        <w:ind w:left="1276" w:hanging="567"/>
        <w:rPr>
          <w:rFonts w:ascii="Times New Roman" w:hAnsi="Times New Roman"/>
          <w:i/>
          <w:sz w:val="24"/>
        </w:rPr>
      </w:pPr>
      <w:r w:rsidRPr="001F4CB5">
        <w:rPr>
          <w:rFonts w:ascii="Times New Roman" w:hAnsi="Times New Roman"/>
          <w:i/>
          <w:sz w:val="24"/>
        </w:rPr>
        <w:t xml:space="preserve">Insert a </w:t>
      </w:r>
      <w:r>
        <w:rPr>
          <w:rFonts w:ascii="Times New Roman" w:hAnsi="Times New Roman"/>
          <w:i/>
          <w:sz w:val="24"/>
        </w:rPr>
        <w:t>new subsection</w:t>
      </w:r>
      <w:r w:rsidR="00D17AF3">
        <w:rPr>
          <w:rFonts w:ascii="Times New Roman" w:hAnsi="Times New Roman"/>
          <w:i/>
          <w:sz w:val="24"/>
        </w:rPr>
        <w:t>:</w:t>
      </w:r>
    </w:p>
    <w:p w:rsidR="00CA711C" w:rsidRDefault="00CA711C" w:rsidP="00D92B2C">
      <w:pPr>
        <w:autoSpaceDE w:val="0"/>
        <w:autoSpaceDN w:val="0"/>
        <w:adjustRightInd w:val="0"/>
        <w:ind w:left="1276" w:hanging="567"/>
        <w:rPr>
          <w:rFonts w:ascii="Times New Roman" w:hAnsi="Times New Roman"/>
          <w:i/>
          <w:sz w:val="24"/>
        </w:rPr>
      </w:pPr>
    </w:p>
    <w:p w:rsidR="00CA711C" w:rsidRDefault="00CA711C" w:rsidP="00D92B2C">
      <w:pPr>
        <w:tabs>
          <w:tab w:val="left" w:pos="567"/>
        </w:tabs>
        <w:autoSpaceDE w:val="0"/>
        <w:autoSpaceDN w:val="0"/>
        <w:adjustRightInd w:val="0"/>
        <w:ind w:left="1276" w:hanging="567"/>
        <w:rPr>
          <w:rFonts w:ascii="Times New Roman" w:hAnsi="Times New Roman"/>
          <w:sz w:val="24"/>
        </w:rPr>
      </w:pPr>
      <w:r>
        <w:rPr>
          <w:rFonts w:ascii="Times New Roman" w:hAnsi="Times New Roman"/>
          <w:sz w:val="24"/>
        </w:rPr>
        <w:t xml:space="preserve">(4A) </w:t>
      </w:r>
      <w:r>
        <w:rPr>
          <w:rFonts w:ascii="Times New Roman" w:hAnsi="Times New Roman"/>
          <w:sz w:val="24"/>
        </w:rPr>
        <w:tab/>
      </w:r>
      <w:proofErr w:type="gramStart"/>
      <w:r w:rsidRPr="001F4CB5">
        <w:rPr>
          <w:rFonts w:ascii="Times New Roman" w:hAnsi="Times New Roman"/>
          <w:sz w:val="24"/>
        </w:rPr>
        <w:t>If</w:t>
      </w:r>
      <w:proofErr w:type="gramEnd"/>
      <w:r w:rsidRPr="001F4CB5">
        <w:rPr>
          <w:rFonts w:ascii="Times New Roman" w:hAnsi="Times New Roman"/>
          <w:sz w:val="24"/>
        </w:rPr>
        <w:t xml:space="preserve"> the ACMA does not make a decision within the period required under </w:t>
      </w:r>
      <w:r>
        <w:rPr>
          <w:rFonts w:ascii="Times New Roman" w:hAnsi="Times New Roman"/>
          <w:sz w:val="24"/>
        </w:rPr>
        <w:t>subsection (1)</w:t>
      </w:r>
      <w:r w:rsidRPr="001F4CB5">
        <w:rPr>
          <w:rFonts w:ascii="Times New Roman" w:hAnsi="Times New Roman"/>
          <w:sz w:val="24"/>
        </w:rPr>
        <w:t>, the ACMA is taken to have made a decision to refuse the application</w:t>
      </w:r>
      <w:r>
        <w:rPr>
          <w:rFonts w:ascii="Times New Roman" w:hAnsi="Times New Roman"/>
          <w:sz w:val="24"/>
        </w:rPr>
        <w:t>.</w:t>
      </w:r>
    </w:p>
    <w:p w:rsidR="00CA711C" w:rsidRDefault="00CA711C" w:rsidP="00DF51A2">
      <w:pPr>
        <w:autoSpaceDE w:val="0"/>
        <w:autoSpaceDN w:val="0"/>
        <w:adjustRightInd w:val="0"/>
        <w:rPr>
          <w:rFonts w:cs="Arial"/>
          <w:b/>
          <w:sz w:val="24"/>
        </w:rPr>
      </w:pPr>
    </w:p>
    <w:p w:rsidR="00CA711C" w:rsidRDefault="00CA711C" w:rsidP="00CA711C">
      <w:pPr>
        <w:autoSpaceDE w:val="0"/>
        <w:autoSpaceDN w:val="0"/>
        <w:adjustRightInd w:val="0"/>
        <w:rPr>
          <w:rFonts w:cs="Arial"/>
          <w:b/>
          <w:sz w:val="24"/>
        </w:rPr>
      </w:pPr>
      <w:r>
        <w:rPr>
          <w:rFonts w:cs="Arial"/>
          <w:b/>
          <w:sz w:val="24"/>
        </w:rPr>
        <w:t>[</w:t>
      </w:r>
      <w:r w:rsidR="00D92B2C">
        <w:rPr>
          <w:rFonts w:cs="Arial"/>
          <w:b/>
          <w:sz w:val="24"/>
        </w:rPr>
        <w:t>1</w:t>
      </w:r>
      <w:r w:rsidR="00D17AF3">
        <w:rPr>
          <w:rFonts w:cs="Arial"/>
          <w:b/>
          <w:sz w:val="24"/>
        </w:rPr>
        <w:t>2</w:t>
      </w:r>
      <w:r>
        <w:rPr>
          <w:rFonts w:cs="Arial"/>
          <w:b/>
          <w:sz w:val="24"/>
        </w:rPr>
        <w:t xml:space="preserve">] </w:t>
      </w:r>
      <w:r w:rsidR="00D92B2C">
        <w:rPr>
          <w:rFonts w:cs="Arial"/>
          <w:b/>
          <w:sz w:val="24"/>
        </w:rPr>
        <w:tab/>
      </w:r>
      <w:r>
        <w:rPr>
          <w:rFonts w:cs="Arial"/>
          <w:b/>
          <w:sz w:val="24"/>
        </w:rPr>
        <w:t>After subsection 82(3)</w:t>
      </w:r>
    </w:p>
    <w:p w:rsidR="00CA711C" w:rsidRDefault="00CA711C" w:rsidP="00CA711C">
      <w:pPr>
        <w:autoSpaceDE w:val="0"/>
        <w:autoSpaceDN w:val="0"/>
        <w:adjustRightInd w:val="0"/>
        <w:rPr>
          <w:rFonts w:cs="Arial"/>
          <w:b/>
          <w:sz w:val="24"/>
        </w:rPr>
      </w:pPr>
    </w:p>
    <w:p w:rsidR="00CA711C" w:rsidRDefault="00CA711C" w:rsidP="00D92B2C">
      <w:pPr>
        <w:autoSpaceDE w:val="0"/>
        <w:autoSpaceDN w:val="0"/>
        <w:adjustRightInd w:val="0"/>
        <w:ind w:left="1134" w:hanging="425"/>
        <w:rPr>
          <w:rFonts w:ascii="Times New Roman" w:hAnsi="Times New Roman"/>
          <w:i/>
          <w:sz w:val="24"/>
        </w:rPr>
      </w:pPr>
      <w:r w:rsidRPr="001F4CB5">
        <w:rPr>
          <w:rFonts w:ascii="Times New Roman" w:hAnsi="Times New Roman"/>
          <w:i/>
          <w:sz w:val="24"/>
        </w:rPr>
        <w:t xml:space="preserve">Insert a </w:t>
      </w:r>
      <w:r>
        <w:rPr>
          <w:rFonts w:ascii="Times New Roman" w:hAnsi="Times New Roman"/>
          <w:i/>
          <w:sz w:val="24"/>
        </w:rPr>
        <w:t>new subsection</w:t>
      </w:r>
      <w:r w:rsidR="00D17AF3">
        <w:rPr>
          <w:rFonts w:ascii="Times New Roman" w:hAnsi="Times New Roman"/>
          <w:i/>
          <w:sz w:val="24"/>
        </w:rPr>
        <w:t>:</w:t>
      </w:r>
    </w:p>
    <w:p w:rsidR="00CA711C" w:rsidRDefault="00CA711C" w:rsidP="00D92B2C">
      <w:pPr>
        <w:autoSpaceDE w:val="0"/>
        <w:autoSpaceDN w:val="0"/>
        <w:adjustRightInd w:val="0"/>
        <w:ind w:left="1134" w:hanging="425"/>
        <w:rPr>
          <w:rFonts w:ascii="Times New Roman" w:hAnsi="Times New Roman"/>
          <w:i/>
          <w:sz w:val="24"/>
        </w:rPr>
      </w:pPr>
    </w:p>
    <w:p w:rsidR="00CA711C" w:rsidRDefault="00CA711C" w:rsidP="00D92B2C">
      <w:pPr>
        <w:tabs>
          <w:tab w:val="left" w:pos="567"/>
        </w:tabs>
        <w:autoSpaceDE w:val="0"/>
        <w:autoSpaceDN w:val="0"/>
        <w:adjustRightInd w:val="0"/>
        <w:ind w:left="1276" w:hanging="567"/>
        <w:rPr>
          <w:rFonts w:ascii="Times New Roman" w:hAnsi="Times New Roman"/>
          <w:sz w:val="24"/>
        </w:rPr>
      </w:pPr>
      <w:r>
        <w:rPr>
          <w:rFonts w:ascii="Times New Roman" w:hAnsi="Times New Roman"/>
          <w:sz w:val="24"/>
        </w:rPr>
        <w:t xml:space="preserve">(4) </w:t>
      </w:r>
      <w:r>
        <w:rPr>
          <w:rFonts w:ascii="Times New Roman" w:hAnsi="Times New Roman"/>
          <w:sz w:val="24"/>
        </w:rPr>
        <w:tab/>
        <w:t xml:space="preserve">If the ACMA does not inform the applicant of its decision in the manner required by subsection (1) </w:t>
      </w:r>
      <w:r w:rsidRPr="001F4CB5">
        <w:rPr>
          <w:rFonts w:ascii="Times New Roman" w:hAnsi="Times New Roman"/>
          <w:sz w:val="24"/>
        </w:rPr>
        <w:t xml:space="preserve">within </w:t>
      </w:r>
      <w:r>
        <w:rPr>
          <w:rFonts w:ascii="Times New Roman" w:hAnsi="Times New Roman"/>
          <w:sz w:val="24"/>
        </w:rPr>
        <w:t xml:space="preserve">the period </w:t>
      </w:r>
      <w:r w:rsidR="004C26DF">
        <w:rPr>
          <w:rFonts w:ascii="Times New Roman" w:hAnsi="Times New Roman"/>
          <w:sz w:val="24"/>
        </w:rPr>
        <w:t xml:space="preserve">referred to in </w:t>
      </w:r>
      <w:r>
        <w:rPr>
          <w:rFonts w:ascii="Times New Roman" w:hAnsi="Times New Roman"/>
          <w:sz w:val="24"/>
        </w:rPr>
        <w:t>section 81,</w:t>
      </w:r>
      <w:r w:rsidRPr="001F4CB5">
        <w:rPr>
          <w:rFonts w:ascii="Times New Roman" w:hAnsi="Times New Roman"/>
          <w:sz w:val="24"/>
        </w:rPr>
        <w:t xml:space="preserve"> the ACMA is taken to have made a decision </w:t>
      </w:r>
      <w:r>
        <w:rPr>
          <w:rFonts w:ascii="Times New Roman" w:hAnsi="Times New Roman"/>
          <w:sz w:val="24"/>
        </w:rPr>
        <w:t>under section 81 to refuse the application.</w:t>
      </w:r>
    </w:p>
    <w:p w:rsidR="003869FA" w:rsidRDefault="003869FA" w:rsidP="00CA711C">
      <w:pPr>
        <w:tabs>
          <w:tab w:val="left" w:pos="567"/>
        </w:tabs>
        <w:autoSpaceDE w:val="0"/>
        <w:autoSpaceDN w:val="0"/>
        <w:adjustRightInd w:val="0"/>
        <w:ind w:left="567" w:hanging="567"/>
        <w:rPr>
          <w:rFonts w:ascii="Times New Roman" w:hAnsi="Times New Roman"/>
          <w:sz w:val="24"/>
        </w:rPr>
      </w:pPr>
    </w:p>
    <w:p w:rsidR="003869FA" w:rsidRDefault="00D92B2C" w:rsidP="003A346C">
      <w:pPr>
        <w:autoSpaceDE w:val="0"/>
        <w:autoSpaceDN w:val="0"/>
        <w:adjustRightInd w:val="0"/>
        <w:rPr>
          <w:rFonts w:cs="Arial"/>
          <w:b/>
          <w:sz w:val="24"/>
        </w:rPr>
      </w:pPr>
      <w:r>
        <w:rPr>
          <w:rFonts w:cs="Arial"/>
          <w:b/>
          <w:sz w:val="24"/>
        </w:rPr>
        <w:t>[1</w:t>
      </w:r>
      <w:r w:rsidR="00D17AF3">
        <w:rPr>
          <w:rFonts w:cs="Arial"/>
          <w:b/>
          <w:sz w:val="24"/>
        </w:rPr>
        <w:t>3</w:t>
      </w:r>
      <w:r w:rsidR="003869FA" w:rsidRPr="003A346C">
        <w:rPr>
          <w:rFonts w:cs="Arial"/>
          <w:b/>
          <w:sz w:val="24"/>
        </w:rPr>
        <w:t xml:space="preserve">] </w:t>
      </w:r>
      <w:r>
        <w:rPr>
          <w:rFonts w:cs="Arial"/>
          <w:b/>
          <w:sz w:val="24"/>
        </w:rPr>
        <w:tab/>
      </w:r>
      <w:r w:rsidR="00B9239A">
        <w:rPr>
          <w:rFonts w:cs="Arial"/>
          <w:b/>
          <w:sz w:val="24"/>
        </w:rPr>
        <w:t>Subsection 89(2)</w:t>
      </w:r>
    </w:p>
    <w:p w:rsidR="003869FA" w:rsidRDefault="003869FA" w:rsidP="003A346C">
      <w:pPr>
        <w:autoSpaceDE w:val="0"/>
        <w:autoSpaceDN w:val="0"/>
        <w:adjustRightInd w:val="0"/>
        <w:rPr>
          <w:rFonts w:cs="Arial"/>
          <w:b/>
          <w:sz w:val="24"/>
        </w:rPr>
      </w:pPr>
    </w:p>
    <w:p w:rsidR="003869FA" w:rsidRDefault="00505C84" w:rsidP="00D92B2C">
      <w:pPr>
        <w:autoSpaceDE w:val="0"/>
        <w:autoSpaceDN w:val="0"/>
        <w:adjustRightInd w:val="0"/>
        <w:ind w:left="1276" w:hanging="567"/>
        <w:rPr>
          <w:rFonts w:ascii="Times New Roman" w:hAnsi="Times New Roman"/>
          <w:i/>
          <w:sz w:val="24"/>
        </w:rPr>
      </w:pPr>
      <w:r>
        <w:rPr>
          <w:rFonts w:ascii="Times New Roman" w:hAnsi="Times New Roman"/>
          <w:i/>
          <w:sz w:val="24"/>
        </w:rPr>
        <w:t xml:space="preserve">Omit, </w:t>
      </w:r>
      <w:r w:rsidR="00B9239A" w:rsidRPr="003A346C">
        <w:rPr>
          <w:rFonts w:ascii="Times New Roman" w:hAnsi="Times New Roman"/>
          <w:i/>
          <w:sz w:val="24"/>
        </w:rPr>
        <w:t>substitute</w:t>
      </w:r>
      <w:r w:rsidR="00D17AF3">
        <w:rPr>
          <w:rFonts w:ascii="Times New Roman" w:hAnsi="Times New Roman"/>
          <w:i/>
          <w:sz w:val="24"/>
        </w:rPr>
        <w:t>:</w:t>
      </w:r>
      <w:r w:rsidR="00B9239A" w:rsidRPr="003A346C">
        <w:rPr>
          <w:rFonts w:ascii="Times New Roman" w:hAnsi="Times New Roman"/>
          <w:i/>
          <w:sz w:val="24"/>
        </w:rPr>
        <w:t xml:space="preserve"> </w:t>
      </w:r>
    </w:p>
    <w:p w:rsidR="00B9239A" w:rsidRDefault="00B9239A" w:rsidP="00D92B2C">
      <w:pPr>
        <w:autoSpaceDE w:val="0"/>
        <w:autoSpaceDN w:val="0"/>
        <w:adjustRightInd w:val="0"/>
        <w:ind w:left="1276" w:hanging="567"/>
        <w:rPr>
          <w:rFonts w:ascii="Times New Roman" w:hAnsi="Times New Roman"/>
          <w:i/>
          <w:sz w:val="24"/>
        </w:rPr>
      </w:pPr>
    </w:p>
    <w:p w:rsidR="00B9239A" w:rsidRDefault="00B9239A" w:rsidP="00D92B2C">
      <w:pPr>
        <w:autoSpaceDE w:val="0"/>
        <w:autoSpaceDN w:val="0"/>
        <w:adjustRightInd w:val="0"/>
        <w:ind w:left="1276" w:hanging="567"/>
        <w:rPr>
          <w:rFonts w:ascii="Times New Roman" w:hAnsi="Times New Roman"/>
          <w:sz w:val="24"/>
        </w:rPr>
      </w:pPr>
      <w:r>
        <w:rPr>
          <w:rFonts w:ascii="Times New Roman" w:hAnsi="Times New Roman"/>
          <w:sz w:val="24"/>
        </w:rPr>
        <w:t>(2)</w:t>
      </w:r>
      <w:r>
        <w:rPr>
          <w:rFonts w:ascii="Times New Roman" w:hAnsi="Times New Roman"/>
          <w:sz w:val="24"/>
        </w:rPr>
        <w:tab/>
        <w:t xml:space="preserve">If the </w:t>
      </w:r>
      <w:r w:rsidR="00D17AF3">
        <w:rPr>
          <w:rFonts w:ascii="Times New Roman" w:hAnsi="Times New Roman"/>
          <w:sz w:val="24"/>
        </w:rPr>
        <w:t xml:space="preserve">units of the </w:t>
      </w:r>
      <w:r>
        <w:rPr>
          <w:rFonts w:ascii="Times New Roman" w:hAnsi="Times New Roman"/>
          <w:sz w:val="24"/>
        </w:rPr>
        <w:t xml:space="preserve">numbers to which the application relates are not </w:t>
      </w:r>
      <w:r w:rsidR="0065260A">
        <w:rPr>
          <w:rFonts w:ascii="Times New Roman" w:hAnsi="Times New Roman"/>
          <w:sz w:val="24"/>
        </w:rPr>
        <w:t xml:space="preserve">a </w:t>
      </w:r>
      <w:r>
        <w:rPr>
          <w:rFonts w:ascii="Times New Roman" w:hAnsi="Times New Roman"/>
          <w:sz w:val="24"/>
        </w:rPr>
        <w:t>multiple of standard units for the type of number, the ACMA must decide not to</w:t>
      </w:r>
      <w:r w:rsidR="007B0262">
        <w:rPr>
          <w:rFonts w:ascii="Times New Roman" w:hAnsi="Times New Roman"/>
          <w:sz w:val="24"/>
        </w:rPr>
        <w:t xml:space="preserve"> approve the application unless it is satisfied of each of the following: </w:t>
      </w:r>
    </w:p>
    <w:p w:rsidR="00B9239A" w:rsidRDefault="007B0262" w:rsidP="00D92B2C">
      <w:pPr>
        <w:autoSpaceDE w:val="0"/>
        <w:autoSpaceDN w:val="0"/>
        <w:adjustRightInd w:val="0"/>
        <w:spacing w:before="120"/>
        <w:ind w:left="1843" w:hanging="567"/>
        <w:rPr>
          <w:rFonts w:ascii="Times New Roman" w:hAnsi="Times New Roman"/>
          <w:sz w:val="24"/>
        </w:rPr>
      </w:pPr>
      <w:r>
        <w:rPr>
          <w:rFonts w:ascii="Times New Roman" w:hAnsi="Times New Roman"/>
          <w:sz w:val="24"/>
        </w:rPr>
        <w:t>(a)</w:t>
      </w:r>
      <w:r>
        <w:rPr>
          <w:rFonts w:ascii="Times New Roman" w:hAnsi="Times New Roman"/>
          <w:sz w:val="24"/>
        </w:rPr>
        <w:tab/>
      </w:r>
      <w:proofErr w:type="gramStart"/>
      <w:r w:rsidR="009408F8">
        <w:rPr>
          <w:rFonts w:ascii="Times New Roman" w:hAnsi="Times New Roman"/>
          <w:sz w:val="24"/>
        </w:rPr>
        <w:t>that</w:t>
      </w:r>
      <w:proofErr w:type="gramEnd"/>
      <w:r w:rsidR="009408F8">
        <w:rPr>
          <w:rFonts w:ascii="Times New Roman" w:hAnsi="Times New Roman"/>
          <w:sz w:val="24"/>
        </w:rPr>
        <w:t xml:space="preserve"> </w:t>
      </w:r>
      <w:r>
        <w:rPr>
          <w:rFonts w:ascii="Times New Roman" w:hAnsi="Times New Roman"/>
          <w:sz w:val="24"/>
        </w:rPr>
        <w:t>the surrender of the numbers is consistent with the current number analysis capabilities of telecommunications networks operated in Australia; and</w:t>
      </w:r>
    </w:p>
    <w:p w:rsidR="007B0262" w:rsidRDefault="007B0262" w:rsidP="00D92B2C">
      <w:pPr>
        <w:autoSpaceDE w:val="0"/>
        <w:autoSpaceDN w:val="0"/>
        <w:adjustRightInd w:val="0"/>
        <w:spacing w:before="120"/>
        <w:ind w:left="1843" w:hanging="567"/>
        <w:rPr>
          <w:rFonts w:ascii="Times New Roman" w:hAnsi="Times New Roman"/>
          <w:sz w:val="24"/>
        </w:rPr>
      </w:pPr>
      <w:r>
        <w:rPr>
          <w:rFonts w:ascii="Times New Roman" w:hAnsi="Times New Roman"/>
          <w:sz w:val="24"/>
        </w:rPr>
        <w:t>(b)</w:t>
      </w:r>
      <w:r>
        <w:rPr>
          <w:rFonts w:ascii="Times New Roman" w:hAnsi="Times New Roman"/>
          <w:sz w:val="24"/>
        </w:rPr>
        <w:tab/>
      </w:r>
      <w:r w:rsidR="009408F8">
        <w:rPr>
          <w:rFonts w:ascii="Times New Roman" w:hAnsi="Times New Roman"/>
          <w:sz w:val="24"/>
        </w:rPr>
        <w:t xml:space="preserve">that </w:t>
      </w:r>
      <w:r>
        <w:rPr>
          <w:rFonts w:ascii="Times New Roman" w:hAnsi="Times New Roman"/>
          <w:sz w:val="24"/>
        </w:rPr>
        <w:t xml:space="preserve">the carriage service provider is unable to surrender numbers as a multiple of standard units, or would be significantly disadvantaged or inconvenienced by being required to surrender </w:t>
      </w:r>
      <w:r w:rsidR="0065260A">
        <w:rPr>
          <w:rFonts w:ascii="Times New Roman" w:hAnsi="Times New Roman"/>
          <w:sz w:val="24"/>
        </w:rPr>
        <w:t xml:space="preserve">the </w:t>
      </w:r>
      <w:r>
        <w:rPr>
          <w:rFonts w:ascii="Times New Roman" w:hAnsi="Times New Roman"/>
          <w:sz w:val="24"/>
        </w:rPr>
        <w:t>numbers as a multiple of standard units; and</w:t>
      </w:r>
    </w:p>
    <w:p w:rsidR="003A346C" w:rsidRDefault="009408F8" w:rsidP="002844F3">
      <w:pPr>
        <w:autoSpaceDE w:val="0"/>
        <w:autoSpaceDN w:val="0"/>
        <w:adjustRightInd w:val="0"/>
        <w:spacing w:before="120"/>
        <w:ind w:left="1843" w:hanging="567"/>
        <w:rPr>
          <w:rFonts w:cs="Arial"/>
          <w:b/>
          <w:sz w:val="24"/>
        </w:rPr>
      </w:pPr>
      <w:r>
        <w:rPr>
          <w:rFonts w:ascii="Times New Roman" w:hAnsi="Times New Roman"/>
          <w:sz w:val="24"/>
        </w:rPr>
        <w:t>(c)</w:t>
      </w:r>
      <w:r>
        <w:rPr>
          <w:rFonts w:ascii="Times New Roman" w:hAnsi="Times New Roman"/>
          <w:sz w:val="24"/>
        </w:rPr>
        <w:tab/>
      </w:r>
      <w:proofErr w:type="gramStart"/>
      <w:r>
        <w:rPr>
          <w:rFonts w:ascii="Times New Roman" w:hAnsi="Times New Roman"/>
          <w:sz w:val="24"/>
        </w:rPr>
        <w:t>that</w:t>
      </w:r>
      <w:proofErr w:type="gramEnd"/>
      <w:r>
        <w:rPr>
          <w:rFonts w:ascii="Times New Roman" w:hAnsi="Times New Roman"/>
          <w:sz w:val="24"/>
        </w:rPr>
        <w:t xml:space="preserve"> it is appropriate to allow the surrender of the numbers in all the circumstances.</w:t>
      </w:r>
    </w:p>
    <w:p w:rsidR="003A346C" w:rsidRPr="003A346C" w:rsidRDefault="003A346C" w:rsidP="002844F3">
      <w:pPr>
        <w:autoSpaceDE w:val="0"/>
        <w:autoSpaceDN w:val="0"/>
        <w:adjustRightInd w:val="0"/>
        <w:rPr>
          <w:rFonts w:ascii="Times New Roman" w:hAnsi="Times New Roman"/>
          <w:i/>
          <w:sz w:val="24"/>
        </w:rPr>
      </w:pPr>
    </w:p>
    <w:p w:rsidR="001D58AB" w:rsidRDefault="00E22874" w:rsidP="00D92B2C">
      <w:pPr>
        <w:autoSpaceDE w:val="0"/>
        <w:autoSpaceDN w:val="0"/>
        <w:adjustRightInd w:val="0"/>
        <w:ind w:left="1276" w:hanging="567"/>
        <w:rPr>
          <w:rFonts w:ascii="Times New Roman" w:hAnsi="Times New Roman"/>
          <w:sz w:val="24"/>
        </w:rPr>
      </w:pPr>
      <w:r>
        <w:rPr>
          <w:rFonts w:ascii="Times New Roman" w:hAnsi="Times New Roman"/>
          <w:sz w:val="24"/>
        </w:rPr>
        <w:t>(2A</w:t>
      </w:r>
      <w:r w:rsidR="009408F8">
        <w:rPr>
          <w:rFonts w:ascii="Times New Roman" w:hAnsi="Times New Roman"/>
          <w:sz w:val="24"/>
        </w:rPr>
        <w:t>)</w:t>
      </w:r>
      <w:r w:rsidR="009408F8">
        <w:rPr>
          <w:rFonts w:ascii="Times New Roman" w:hAnsi="Times New Roman"/>
          <w:sz w:val="24"/>
        </w:rPr>
        <w:tab/>
        <w:t xml:space="preserve">In considering whether it is appropriate to allow the surrender of the numbers </w:t>
      </w:r>
      <w:r>
        <w:rPr>
          <w:rFonts w:ascii="Times New Roman" w:hAnsi="Times New Roman"/>
          <w:sz w:val="24"/>
        </w:rPr>
        <w:t>for the purposes of paragraph (2)(c) the ACMA may</w:t>
      </w:r>
      <w:r w:rsidR="001D58AB">
        <w:rPr>
          <w:rFonts w:ascii="Times New Roman" w:hAnsi="Times New Roman"/>
          <w:sz w:val="24"/>
        </w:rPr>
        <w:t xml:space="preserve"> take into account any matter that it considers relevant and may, </w:t>
      </w:r>
      <w:r>
        <w:rPr>
          <w:rFonts w:ascii="Times New Roman" w:hAnsi="Times New Roman"/>
          <w:sz w:val="24"/>
        </w:rPr>
        <w:t>in writing, ask the carriage service provider who lodged the application to give the ACMA further information</w:t>
      </w:r>
      <w:r w:rsidR="00D17AF3">
        <w:rPr>
          <w:rFonts w:ascii="Times New Roman" w:hAnsi="Times New Roman"/>
          <w:sz w:val="24"/>
        </w:rPr>
        <w:t xml:space="preserve"> about </w:t>
      </w:r>
      <w:r>
        <w:rPr>
          <w:rFonts w:ascii="Times New Roman" w:hAnsi="Times New Roman"/>
          <w:sz w:val="24"/>
        </w:rPr>
        <w:t>the matters to which application relates.</w:t>
      </w:r>
    </w:p>
    <w:p w:rsidR="001D58AB" w:rsidRDefault="001D58AB" w:rsidP="00D92B2C">
      <w:pPr>
        <w:autoSpaceDE w:val="0"/>
        <w:autoSpaceDN w:val="0"/>
        <w:adjustRightInd w:val="0"/>
        <w:ind w:left="1276" w:hanging="567"/>
        <w:rPr>
          <w:rFonts w:ascii="Times New Roman" w:hAnsi="Times New Roman"/>
          <w:sz w:val="24"/>
        </w:rPr>
      </w:pPr>
    </w:p>
    <w:p w:rsidR="00E22874" w:rsidRDefault="00E22874" w:rsidP="00D92B2C">
      <w:pPr>
        <w:autoSpaceDE w:val="0"/>
        <w:autoSpaceDN w:val="0"/>
        <w:adjustRightInd w:val="0"/>
        <w:ind w:left="1276" w:hanging="567"/>
        <w:rPr>
          <w:rFonts w:ascii="Times New Roman" w:hAnsi="Times New Roman"/>
          <w:sz w:val="24"/>
        </w:rPr>
      </w:pPr>
      <w:r>
        <w:rPr>
          <w:rFonts w:ascii="Times New Roman" w:hAnsi="Times New Roman"/>
          <w:sz w:val="24"/>
        </w:rPr>
        <w:t>(2B)</w:t>
      </w:r>
      <w:r>
        <w:rPr>
          <w:rFonts w:ascii="Times New Roman" w:hAnsi="Times New Roman"/>
          <w:sz w:val="24"/>
        </w:rPr>
        <w:tab/>
      </w:r>
      <w:proofErr w:type="gramStart"/>
      <w:r w:rsidR="001D58AB">
        <w:rPr>
          <w:rFonts w:ascii="Times New Roman" w:hAnsi="Times New Roman"/>
          <w:sz w:val="24"/>
        </w:rPr>
        <w:t>The</w:t>
      </w:r>
      <w:proofErr w:type="gramEnd"/>
      <w:r w:rsidR="001D58AB">
        <w:rPr>
          <w:rFonts w:ascii="Times New Roman" w:hAnsi="Times New Roman"/>
          <w:sz w:val="24"/>
        </w:rPr>
        <w:t xml:space="preserve"> period mentioned in subsection (1) does not include a period:</w:t>
      </w:r>
    </w:p>
    <w:p w:rsidR="001D58AB" w:rsidRDefault="001D58AB" w:rsidP="00D92B2C">
      <w:pPr>
        <w:autoSpaceDE w:val="0"/>
        <w:autoSpaceDN w:val="0"/>
        <w:adjustRightInd w:val="0"/>
        <w:spacing w:before="120"/>
        <w:ind w:left="1843" w:hanging="567"/>
        <w:rPr>
          <w:rFonts w:ascii="Times New Roman" w:hAnsi="Times New Roman"/>
          <w:sz w:val="24"/>
        </w:rPr>
      </w:pPr>
      <w:r>
        <w:rPr>
          <w:rFonts w:ascii="Times New Roman" w:hAnsi="Times New Roman"/>
          <w:sz w:val="24"/>
        </w:rPr>
        <w:t>(a)</w:t>
      </w:r>
      <w:r>
        <w:rPr>
          <w:rFonts w:ascii="Times New Roman" w:hAnsi="Times New Roman"/>
          <w:sz w:val="24"/>
        </w:rPr>
        <w:tab/>
      </w:r>
      <w:proofErr w:type="gramStart"/>
      <w:r>
        <w:rPr>
          <w:rFonts w:ascii="Times New Roman" w:hAnsi="Times New Roman"/>
          <w:sz w:val="24"/>
        </w:rPr>
        <w:t>starting</w:t>
      </w:r>
      <w:proofErr w:type="gramEnd"/>
      <w:r>
        <w:rPr>
          <w:rFonts w:ascii="Times New Roman" w:hAnsi="Times New Roman"/>
          <w:sz w:val="24"/>
        </w:rPr>
        <w:t xml:space="preserve"> when the ACMA asks the carriage service provider for further information; and</w:t>
      </w:r>
    </w:p>
    <w:p w:rsidR="001D58AB" w:rsidRDefault="001D58AB" w:rsidP="00D92B2C">
      <w:pPr>
        <w:autoSpaceDE w:val="0"/>
        <w:autoSpaceDN w:val="0"/>
        <w:adjustRightInd w:val="0"/>
        <w:spacing w:before="120"/>
        <w:ind w:left="1843" w:hanging="567"/>
        <w:rPr>
          <w:rFonts w:ascii="Times New Roman" w:hAnsi="Times New Roman"/>
          <w:sz w:val="24"/>
        </w:rPr>
      </w:pPr>
      <w:r>
        <w:rPr>
          <w:rFonts w:ascii="Times New Roman" w:hAnsi="Times New Roman"/>
          <w:sz w:val="24"/>
        </w:rPr>
        <w:t>(b)</w:t>
      </w:r>
      <w:r>
        <w:rPr>
          <w:rFonts w:ascii="Times New Roman" w:hAnsi="Times New Roman"/>
          <w:sz w:val="24"/>
        </w:rPr>
        <w:tab/>
      </w:r>
      <w:proofErr w:type="gramStart"/>
      <w:r>
        <w:rPr>
          <w:rFonts w:ascii="Times New Roman" w:hAnsi="Times New Roman"/>
          <w:sz w:val="24"/>
        </w:rPr>
        <w:t>ending</w:t>
      </w:r>
      <w:proofErr w:type="gramEnd"/>
      <w:r>
        <w:rPr>
          <w:rFonts w:ascii="Times New Roman" w:hAnsi="Times New Roman"/>
          <w:sz w:val="24"/>
        </w:rPr>
        <w:t xml:space="preserve"> when the ACMA receives the information.</w:t>
      </w:r>
    </w:p>
    <w:p w:rsidR="001D58AB" w:rsidRDefault="001D58AB" w:rsidP="00D92B2C">
      <w:pPr>
        <w:autoSpaceDE w:val="0"/>
        <w:autoSpaceDN w:val="0"/>
        <w:adjustRightInd w:val="0"/>
        <w:ind w:left="1276" w:hanging="567"/>
        <w:rPr>
          <w:rFonts w:ascii="Times New Roman" w:hAnsi="Times New Roman"/>
          <w:sz w:val="24"/>
        </w:rPr>
      </w:pPr>
    </w:p>
    <w:p w:rsidR="001D58AB" w:rsidRDefault="001D58AB" w:rsidP="00D92B2C">
      <w:pPr>
        <w:autoSpaceDE w:val="0"/>
        <w:autoSpaceDN w:val="0"/>
        <w:adjustRightInd w:val="0"/>
        <w:ind w:left="1276" w:hanging="567"/>
        <w:rPr>
          <w:rFonts w:ascii="Times New Roman" w:hAnsi="Times New Roman"/>
          <w:sz w:val="24"/>
        </w:rPr>
      </w:pPr>
      <w:r>
        <w:rPr>
          <w:rFonts w:ascii="Times New Roman" w:hAnsi="Times New Roman"/>
          <w:sz w:val="24"/>
        </w:rPr>
        <w:t>(2C)</w:t>
      </w:r>
      <w:r>
        <w:rPr>
          <w:rFonts w:ascii="Times New Roman" w:hAnsi="Times New Roman"/>
          <w:sz w:val="24"/>
        </w:rPr>
        <w:tab/>
      </w:r>
      <w:proofErr w:type="gramStart"/>
      <w:r>
        <w:rPr>
          <w:rFonts w:ascii="Times New Roman" w:hAnsi="Times New Roman"/>
          <w:sz w:val="24"/>
        </w:rPr>
        <w:t>If</w:t>
      </w:r>
      <w:proofErr w:type="gramEnd"/>
      <w:r>
        <w:rPr>
          <w:rFonts w:ascii="Times New Roman" w:hAnsi="Times New Roman"/>
          <w:sz w:val="24"/>
        </w:rPr>
        <w:t xml:space="preserve"> the applicant does not give the ACMA the information within </w:t>
      </w:r>
      <w:r w:rsidR="00D17AF3">
        <w:rPr>
          <w:rFonts w:ascii="Times New Roman" w:hAnsi="Times New Roman"/>
          <w:sz w:val="24"/>
        </w:rPr>
        <w:t>a</w:t>
      </w:r>
      <w:r>
        <w:rPr>
          <w:rFonts w:ascii="Times New Roman" w:hAnsi="Times New Roman"/>
          <w:sz w:val="24"/>
        </w:rPr>
        <w:t xml:space="preserve"> period of 30 business days after the request, the applicant is taken to have withdrawn the application at the end of that period.</w:t>
      </w:r>
    </w:p>
    <w:p w:rsidR="00CA711C" w:rsidRDefault="00CA711C" w:rsidP="00CA711C">
      <w:pPr>
        <w:tabs>
          <w:tab w:val="left" w:pos="567"/>
        </w:tabs>
        <w:autoSpaceDE w:val="0"/>
        <w:autoSpaceDN w:val="0"/>
        <w:adjustRightInd w:val="0"/>
        <w:ind w:left="567" w:hanging="567"/>
        <w:rPr>
          <w:rFonts w:ascii="Times New Roman" w:hAnsi="Times New Roman"/>
          <w:sz w:val="24"/>
        </w:rPr>
      </w:pPr>
    </w:p>
    <w:p w:rsidR="00637677" w:rsidRDefault="00D92B2C" w:rsidP="00637677">
      <w:pPr>
        <w:autoSpaceDE w:val="0"/>
        <w:autoSpaceDN w:val="0"/>
        <w:adjustRightInd w:val="0"/>
        <w:rPr>
          <w:rFonts w:cs="Arial"/>
          <w:b/>
          <w:sz w:val="24"/>
        </w:rPr>
      </w:pPr>
      <w:r>
        <w:rPr>
          <w:rFonts w:cs="Arial"/>
          <w:b/>
          <w:sz w:val="24"/>
        </w:rPr>
        <w:t>[1</w:t>
      </w:r>
      <w:r w:rsidR="00D17AF3">
        <w:rPr>
          <w:rFonts w:cs="Arial"/>
          <w:b/>
          <w:sz w:val="24"/>
        </w:rPr>
        <w:t>4</w:t>
      </w:r>
      <w:r w:rsidR="00637677">
        <w:rPr>
          <w:rFonts w:cs="Arial"/>
          <w:b/>
          <w:sz w:val="24"/>
        </w:rPr>
        <w:t xml:space="preserve">] </w:t>
      </w:r>
      <w:r>
        <w:rPr>
          <w:rFonts w:cs="Arial"/>
          <w:b/>
          <w:sz w:val="24"/>
        </w:rPr>
        <w:tab/>
      </w:r>
      <w:r w:rsidR="00637677">
        <w:rPr>
          <w:rFonts w:cs="Arial"/>
          <w:b/>
          <w:sz w:val="24"/>
        </w:rPr>
        <w:t>After subsection 90(3)</w:t>
      </w:r>
    </w:p>
    <w:p w:rsidR="00637677" w:rsidRDefault="00637677" w:rsidP="00637677">
      <w:pPr>
        <w:autoSpaceDE w:val="0"/>
        <w:autoSpaceDN w:val="0"/>
        <w:adjustRightInd w:val="0"/>
        <w:rPr>
          <w:rFonts w:cs="Arial"/>
          <w:b/>
          <w:sz w:val="24"/>
        </w:rPr>
      </w:pPr>
    </w:p>
    <w:p w:rsidR="00637677" w:rsidRDefault="00637677" w:rsidP="00D92B2C">
      <w:pPr>
        <w:autoSpaceDE w:val="0"/>
        <w:autoSpaceDN w:val="0"/>
        <w:adjustRightInd w:val="0"/>
        <w:ind w:left="1276" w:hanging="567"/>
        <w:rPr>
          <w:rFonts w:ascii="Times New Roman" w:hAnsi="Times New Roman"/>
          <w:i/>
          <w:sz w:val="24"/>
        </w:rPr>
      </w:pPr>
      <w:r w:rsidRPr="001F4CB5">
        <w:rPr>
          <w:rFonts w:ascii="Times New Roman" w:hAnsi="Times New Roman"/>
          <w:i/>
          <w:sz w:val="24"/>
        </w:rPr>
        <w:t xml:space="preserve">Insert a </w:t>
      </w:r>
      <w:r>
        <w:rPr>
          <w:rFonts w:ascii="Times New Roman" w:hAnsi="Times New Roman"/>
          <w:i/>
          <w:sz w:val="24"/>
        </w:rPr>
        <w:t>new subsection</w:t>
      </w:r>
      <w:r w:rsidR="00D17AF3">
        <w:rPr>
          <w:rFonts w:ascii="Times New Roman" w:hAnsi="Times New Roman"/>
          <w:i/>
          <w:sz w:val="24"/>
        </w:rPr>
        <w:t>:</w:t>
      </w:r>
    </w:p>
    <w:p w:rsidR="00637677" w:rsidRDefault="00637677" w:rsidP="00D92B2C">
      <w:pPr>
        <w:autoSpaceDE w:val="0"/>
        <w:autoSpaceDN w:val="0"/>
        <w:adjustRightInd w:val="0"/>
        <w:ind w:left="1276" w:hanging="567"/>
        <w:rPr>
          <w:rFonts w:ascii="Times New Roman" w:hAnsi="Times New Roman"/>
          <w:i/>
          <w:sz w:val="24"/>
        </w:rPr>
      </w:pPr>
    </w:p>
    <w:p w:rsidR="00637677" w:rsidRDefault="00637677" w:rsidP="00D92B2C">
      <w:pPr>
        <w:tabs>
          <w:tab w:val="left" w:pos="567"/>
        </w:tabs>
        <w:autoSpaceDE w:val="0"/>
        <w:autoSpaceDN w:val="0"/>
        <w:adjustRightInd w:val="0"/>
        <w:ind w:left="1276" w:hanging="567"/>
        <w:rPr>
          <w:rFonts w:ascii="Times New Roman" w:hAnsi="Times New Roman"/>
          <w:sz w:val="24"/>
        </w:rPr>
      </w:pPr>
      <w:r>
        <w:rPr>
          <w:rFonts w:ascii="Times New Roman" w:hAnsi="Times New Roman"/>
          <w:sz w:val="24"/>
        </w:rPr>
        <w:t xml:space="preserve">(4) </w:t>
      </w:r>
      <w:r>
        <w:rPr>
          <w:rFonts w:ascii="Times New Roman" w:hAnsi="Times New Roman"/>
          <w:sz w:val="24"/>
        </w:rPr>
        <w:tab/>
        <w:t xml:space="preserve">If the ACMA does not inform the applicant of its decision in the manner required by subsection (1) </w:t>
      </w:r>
      <w:r w:rsidRPr="001F4CB5">
        <w:rPr>
          <w:rFonts w:ascii="Times New Roman" w:hAnsi="Times New Roman"/>
          <w:sz w:val="24"/>
        </w:rPr>
        <w:t xml:space="preserve">within </w:t>
      </w:r>
      <w:r>
        <w:rPr>
          <w:rFonts w:ascii="Times New Roman" w:hAnsi="Times New Roman"/>
          <w:sz w:val="24"/>
        </w:rPr>
        <w:t xml:space="preserve">the period </w:t>
      </w:r>
      <w:r w:rsidR="004C26DF">
        <w:rPr>
          <w:rFonts w:ascii="Times New Roman" w:hAnsi="Times New Roman"/>
          <w:sz w:val="24"/>
        </w:rPr>
        <w:t xml:space="preserve">referred to in </w:t>
      </w:r>
      <w:r>
        <w:rPr>
          <w:rFonts w:ascii="Times New Roman" w:hAnsi="Times New Roman"/>
          <w:sz w:val="24"/>
        </w:rPr>
        <w:t>subsection 89(1),</w:t>
      </w:r>
      <w:r w:rsidRPr="001F4CB5">
        <w:rPr>
          <w:rFonts w:ascii="Times New Roman" w:hAnsi="Times New Roman"/>
          <w:sz w:val="24"/>
        </w:rPr>
        <w:t xml:space="preserve"> the ACMA is taken to have made a decision </w:t>
      </w:r>
      <w:r>
        <w:rPr>
          <w:rFonts w:ascii="Times New Roman" w:hAnsi="Times New Roman"/>
          <w:sz w:val="24"/>
        </w:rPr>
        <w:t>under subsection 89(1) to refuse the application on the eleventh business day after receiving the application under section 88.</w:t>
      </w:r>
    </w:p>
    <w:p w:rsidR="009957AA" w:rsidRDefault="009957AA" w:rsidP="00DF51A2">
      <w:pPr>
        <w:autoSpaceDE w:val="0"/>
        <w:autoSpaceDN w:val="0"/>
        <w:adjustRightInd w:val="0"/>
        <w:rPr>
          <w:rFonts w:cs="Arial"/>
          <w:b/>
          <w:sz w:val="24"/>
        </w:rPr>
      </w:pPr>
    </w:p>
    <w:p w:rsidR="00637677" w:rsidRDefault="00D92B2C" w:rsidP="002844F3">
      <w:pPr>
        <w:keepNext/>
        <w:keepLines/>
        <w:autoSpaceDE w:val="0"/>
        <w:autoSpaceDN w:val="0"/>
        <w:adjustRightInd w:val="0"/>
        <w:rPr>
          <w:rFonts w:cs="Arial"/>
          <w:b/>
          <w:sz w:val="24"/>
        </w:rPr>
      </w:pPr>
      <w:r>
        <w:rPr>
          <w:rFonts w:cs="Arial"/>
          <w:b/>
          <w:sz w:val="24"/>
        </w:rPr>
        <w:t>[1</w:t>
      </w:r>
      <w:r w:rsidR="00D17AF3">
        <w:rPr>
          <w:rFonts w:cs="Arial"/>
          <w:b/>
          <w:sz w:val="24"/>
        </w:rPr>
        <w:t>5</w:t>
      </w:r>
      <w:r w:rsidR="00637677">
        <w:rPr>
          <w:rFonts w:cs="Arial"/>
          <w:b/>
          <w:sz w:val="24"/>
        </w:rPr>
        <w:t xml:space="preserve">] </w:t>
      </w:r>
      <w:r>
        <w:rPr>
          <w:rFonts w:cs="Arial"/>
          <w:b/>
          <w:sz w:val="24"/>
        </w:rPr>
        <w:tab/>
      </w:r>
      <w:r w:rsidR="00637677">
        <w:rPr>
          <w:rFonts w:cs="Arial"/>
          <w:b/>
          <w:sz w:val="24"/>
        </w:rPr>
        <w:t>After subsection 94(6)</w:t>
      </w:r>
    </w:p>
    <w:p w:rsidR="00637677" w:rsidRDefault="00637677" w:rsidP="002844F3">
      <w:pPr>
        <w:keepNext/>
        <w:keepLines/>
        <w:autoSpaceDE w:val="0"/>
        <w:autoSpaceDN w:val="0"/>
        <w:adjustRightInd w:val="0"/>
        <w:rPr>
          <w:rFonts w:cs="Arial"/>
          <w:b/>
          <w:sz w:val="24"/>
        </w:rPr>
      </w:pPr>
    </w:p>
    <w:p w:rsidR="00637677" w:rsidRDefault="00637677" w:rsidP="002844F3">
      <w:pPr>
        <w:keepNext/>
        <w:keepLines/>
        <w:autoSpaceDE w:val="0"/>
        <w:autoSpaceDN w:val="0"/>
        <w:adjustRightInd w:val="0"/>
        <w:ind w:left="1276" w:hanging="567"/>
        <w:rPr>
          <w:rFonts w:ascii="Times New Roman" w:hAnsi="Times New Roman"/>
          <w:i/>
          <w:sz w:val="24"/>
        </w:rPr>
      </w:pPr>
      <w:r w:rsidRPr="001F4CB5">
        <w:rPr>
          <w:rFonts w:ascii="Times New Roman" w:hAnsi="Times New Roman"/>
          <w:i/>
          <w:sz w:val="24"/>
        </w:rPr>
        <w:t xml:space="preserve">Insert a </w:t>
      </w:r>
      <w:r>
        <w:rPr>
          <w:rFonts w:ascii="Times New Roman" w:hAnsi="Times New Roman"/>
          <w:i/>
          <w:sz w:val="24"/>
        </w:rPr>
        <w:t>new subsection</w:t>
      </w:r>
      <w:r w:rsidR="00D17AF3">
        <w:rPr>
          <w:rFonts w:ascii="Times New Roman" w:hAnsi="Times New Roman"/>
          <w:i/>
          <w:sz w:val="24"/>
        </w:rPr>
        <w:t>:</w:t>
      </w:r>
    </w:p>
    <w:p w:rsidR="00637677" w:rsidRDefault="00637677" w:rsidP="00D92B2C">
      <w:pPr>
        <w:autoSpaceDE w:val="0"/>
        <w:autoSpaceDN w:val="0"/>
        <w:adjustRightInd w:val="0"/>
        <w:ind w:left="1276" w:hanging="567"/>
        <w:rPr>
          <w:rFonts w:ascii="Times New Roman" w:hAnsi="Times New Roman"/>
          <w:i/>
          <w:sz w:val="24"/>
        </w:rPr>
      </w:pPr>
    </w:p>
    <w:p w:rsidR="00637677" w:rsidRDefault="00637677" w:rsidP="00D92B2C">
      <w:pPr>
        <w:tabs>
          <w:tab w:val="left" w:pos="567"/>
        </w:tabs>
        <w:autoSpaceDE w:val="0"/>
        <w:autoSpaceDN w:val="0"/>
        <w:adjustRightInd w:val="0"/>
        <w:ind w:left="1276" w:hanging="567"/>
        <w:rPr>
          <w:rFonts w:ascii="Times New Roman" w:hAnsi="Times New Roman"/>
          <w:sz w:val="24"/>
        </w:rPr>
      </w:pPr>
      <w:r>
        <w:rPr>
          <w:rFonts w:ascii="Times New Roman" w:hAnsi="Times New Roman"/>
          <w:sz w:val="24"/>
        </w:rPr>
        <w:t xml:space="preserve">(6A) </w:t>
      </w:r>
      <w:r>
        <w:rPr>
          <w:rFonts w:ascii="Times New Roman" w:hAnsi="Times New Roman"/>
          <w:sz w:val="24"/>
        </w:rPr>
        <w:tab/>
      </w:r>
      <w:r w:rsidRPr="001F4CB5">
        <w:rPr>
          <w:rFonts w:ascii="Times New Roman" w:hAnsi="Times New Roman"/>
          <w:sz w:val="24"/>
        </w:rPr>
        <w:t xml:space="preserve">If the ACMA does not make a decision within the period required under </w:t>
      </w:r>
      <w:r>
        <w:rPr>
          <w:rFonts w:ascii="Times New Roman" w:hAnsi="Times New Roman"/>
          <w:sz w:val="24"/>
        </w:rPr>
        <w:t>subsection (4)</w:t>
      </w:r>
      <w:r w:rsidRPr="001F4CB5">
        <w:rPr>
          <w:rFonts w:ascii="Times New Roman" w:hAnsi="Times New Roman"/>
          <w:sz w:val="24"/>
        </w:rPr>
        <w:t xml:space="preserve">, the ACMA is taken to have made a decision </w:t>
      </w:r>
      <w:r>
        <w:rPr>
          <w:rFonts w:ascii="Times New Roman" w:hAnsi="Times New Roman"/>
          <w:sz w:val="24"/>
        </w:rPr>
        <w:t>under subsection (</w:t>
      </w:r>
      <w:r w:rsidR="0082321D">
        <w:rPr>
          <w:rFonts w:ascii="Times New Roman" w:hAnsi="Times New Roman"/>
          <w:sz w:val="24"/>
        </w:rPr>
        <w:t>1</w:t>
      </w:r>
      <w:r>
        <w:rPr>
          <w:rFonts w:ascii="Times New Roman" w:hAnsi="Times New Roman"/>
          <w:sz w:val="24"/>
        </w:rPr>
        <w:t xml:space="preserve">) to </w:t>
      </w:r>
      <w:r w:rsidR="0082321D">
        <w:rPr>
          <w:rFonts w:ascii="Times New Roman" w:hAnsi="Times New Roman"/>
          <w:sz w:val="24"/>
        </w:rPr>
        <w:t>withdraw the number</w:t>
      </w:r>
      <w:r>
        <w:rPr>
          <w:rFonts w:ascii="Times New Roman" w:hAnsi="Times New Roman"/>
          <w:sz w:val="24"/>
        </w:rPr>
        <w:t>.</w:t>
      </w:r>
    </w:p>
    <w:p w:rsidR="00637677" w:rsidRDefault="00637677" w:rsidP="00DF51A2">
      <w:pPr>
        <w:autoSpaceDE w:val="0"/>
        <w:autoSpaceDN w:val="0"/>
        <w:adjustRightInd w:val="0"/>
        <w:rPr>
          <w:rFonts w:cs="Arial"/>
          <w:b/>
          <w:sz w:val="24"/>
        </w:rPr>
      </w:pPr>
    </w:p>
    <w:p w:rsidR="0082321D" w:rsidRDefault="00D92B2C" w:rsidP="0082321D">
      <w:pPr>
        <w:autoSpaceDE w:val="0"/>
        <w:autoSpaceDN w:val="0"/>
        <w:adjustRightInd w:val="0"/>
        <w:rPr>
          <w:rFonts w:cs="Arial"/>
          <w:b/>
          <w:sz w:val="24"/>
        </w:rPr>
      </w:pPr>
      <w:r>
        <w:rPr>
          <w:rFonts w:cs="Arial"/>
          <w:b/>
          <w:sz w:val="24"/>
        </w:rPr>
        <w:t>[1</w:t>
      </w:r>
      <w:r w:rsidR="00D17AF3">
        <w:rPr>
          <w:rFonts w:cs="Arial"/>
          <w:b/>
          <w:sz w:val="24"/>
        </w:rPr>
        <w:t>6</w:t>
      </w:r>
      <w:r w:rsidR="0082321D">
        <w:rPr>
          <w:rFonts w:cs="Arial"/>
          <w:b/>
          <w:sz w:val="24"/>
        </w:rPr>
        <w:t xml:space="preserve">] </w:t>
      </w:r>
      <w:r>
        <w:rPr>
          <w:rFonts w:cs="Arial"/>
          <w:b/>
          <w:sz w:val="24"/>
        </w:rPr>
        <w:tab/>
      </w:r>
      <w:r w:rsidR="0082321D">
        <w:rPr>
          <w:rFonts w:cs="Arial"/>
          <w:b/>
          <w:sz w:val="24"/>
        </w:rPr>
        <w:t>After subsection 98(8)</w:t>
      </w:r>
    </w:p>
    <w:p w:rsidR="0082321D" w:rsidRDefault="0082321D" w:rsidP="0082321D">
      <w:pPr>
        <w:autoSpaceDE w:val="0"/>
        <w:autoSpaceDN w:val="0"/>
        <w:adjustRightInd w:val="0"/>
        <w:rPr>
          <w:rFonts w:cs="Arial"/>
          <w:b/>
          <w:sz w:val="24"/>
        </w:rPr>
      </w:pPr>
    </w:p>
    <w:p w:rsidR="0082321D" w:rsidRDefault="0082321D" w:rsidP="00D92B2C">
      <w:pPr>
        <w:autoSpaceDE w:val="0"/>
        <w:autoSpaceDN w:val="0"/>
        <w:adjustRightInd w:val="0"/>
        <w:ind w:left="1276" w:hanging="567"/>
        <w:rPr>
          <w:rFonts w:ascii="Times New Roman" w:hAnsi="Times New Roman"/>
          <w:i/>
          <w:sz w:val="24"/>
        </w:rPr>
      </w:pPr>
      <w:r w:rsidRPr="001F4CB5">
        <w:rPr>
          <w:rFonts w:ascii="Times New Roman" w:hAnsi="Times New Roman"/>
          <w:i/>
          <w:sz w:val="24"/>
        </w:rPr>
        <w:t xml:space="preserve">Insert a </w:t>
      </w:r>
      <w:r>
        <w:rPr>
          <w:rFonts w:ascii="Times New Roman" w:hAnsi="Times New Roman"/>
          <w:i/>
          <w:sz w:val="24"/>
        </w:rPr>
        <w:t>new subsection</w:t>
      </w:r>
      <w:r w:rsidR="00D17AF3">
        <w:rPr>
          <w:rFonts w:ascii="Times New Roman" w:hAnsi="Times New Roman"/>
          <w:i/>
          <w:sz w:val="24"/>
        </w:rPr>
        <w:t>:</w:t>
      </w:r>
    </w:p>
    <w:p w:rsidR="0082321D" w:rsidRDefault="0082321D" w:rsidP="00D92B2C">
      <w:pPr>
        <w:autoSpaceDE w:val="0"/>
        <w:autoSpaceDN w:val="0"/>
        <w:adjustRightInd w:val="0"/>
        <w:ind w:left="1276" w:hanging="567"/>
        <w:rPr>
          <w:rFonts w:ascii="Times New Roman" w:hAnsi="Times New Roman"/>
          <w:i/>
          <w:sz w:val="24"/>
        </w:rPr>
      </w:pPr>
    </w:p>
    <w:p w:rsidR="0082321D" w:rsidRDefault="0082321D" w:rsidP="00D92B2C">
      <w:pPr>
        <w:tabs>
          <w:tab w:val="left" w:pos="567"/>
        </w:tabs>
        <w:autoSpaceDE w:val="0"/>
        <w:autoSpaceDN w:val="0"/>
        <w:adjustRightInd w:val="0"/>
        <w:ind w:left="1276" w:hanging="567"/>
        <w:rPr>
          <w:rFonts w:ascii="Times New Roman" w:hAnsi="Times New Roman"/>
          <w:sz w:val="24"/>
        </w:rPr>
      </w:pPr>
      <w:r>
        <w:rPr>
          <w:rFonts w:ascii="Times New Roman" w:hAnsi="Times New Roman"/>
          <w:sz w:val="24"/>
        </w:rPr>
        <w:t xml:space="preserve">(9) </w:t>
      </w:r>
      <w:r>
        <w:rPr>
          <w:rFonts w:ascii="Times New Roman" w:hAnsi="Times New Roman"/>
          <w:sz w:val="24"/>
        </w:rPr>
        <w:tab/>
      </w:r>
      <w:r w:rsidRPr="001F4CB5">
        <w:rPr>
          <w:rFonts w:ascii="Times New Roman" w:hAnsi="Times New Roman"/>
          <w:sz w:val="24"/>
        </w:rPr>
        <w:t xml:space="preserve">If the ACMA does not make a decision within the period required under </w:t>
      </w:r>
      <w:r>
        <w:rPr>
          <w:rFonts w:ascii="Times New Roman" w:hAnsi="Times New Roman"/>
          <w:sz w:val="24"/>
        </w:rPr>
        <w:t>subsection (3)</w:t>
      </w:r>
      <w:r w:rsidRPr="001F4CB5">
        <w:rPr>
          <w:rFonts w:ascii="Times New Roman" w:hAnsi="Times New Roman"/>
          <w:sz w:val="24"/>
        </w:rPr>
        <w:t>, the ACMA is taken to have made a decision to refuse the application</w:t>
      </w:r>
      <w:r>
        <w:rPr>
          <w:rFonts w:ascii="Times New Roman" w:hAnsi="Times New Roman"/>
          <w:sz w:val="24"/>
        </w:rPr>
        <w:t xml:space="preserve"> under subsection (3).</w:t>
      </w:r>
    </w:p>
    <w:p w:rsidR="0082321D" w:rsidRDefault="0082321D" w:rsidP="0082321D">
      <w:pPr>
        <w:tabs>
          <w:tab w:val="left" w:pos="567"/>
        </w:tabs>
        <w:autoSpaceDE w:val="0"/>
        <w:autoSpaceDN w:val="0"/>
        <w:adjustRightInd w:val="0"/>
        <w:ind w:left="567" w:hanging="567"/>
        <w:rPr>
          <w:rFonts w:ascii="Times New Roman" w:hAnsi="Times New Roman"/>
          <w:sz w:val="24"/>
        </w:rPr>
      </w:pPr>
    </w:p>
    <w:p w:rsidR="0082321D" w:rsidRDefault="00D92B2C" w:rsidP="0082321D">
      <w:pPr>
        <w:autoSpaceDE w:val="0"/>
        <w:autoSpaceDN w:val="0"/>
        <w:adjustRightInd w:val="0"/>
        <w:rPr>
          <w:rFonts w:cs="Arial"/>
          <w:b/>
          <w:sz w:val="24"/>
        </w:rPr>
      </w:pPr>
      <w:r>
        <w:rPr>
          <w:rFonts w:cs="Arial"/>
          <w:b/>
          <w:sz w:val="24"/>
        </w:rPr>
        <w:t>[</w:t>
      </w:r>
      <w:r w:rsidR="00D17AF3">
        <w:rPr>
          <w:rFonts w:cs="Arial"/>
          <w:b/>
          <w:sz w:val="24"/>
        </w:rPr>
        <w:t>17</w:t>
      </w:r>
      <w:r w:rsidR="0082321D">
        <w:rPr>
          <w:rFonts w:cs="Arial"/>
          <w:b/>
          <w:sz w:val="24"/>
        </w:rPr>
        <w:t xml:space="preserve">] </w:t>
      </w:r>
      <w:r>
        <w:rPr>
          <w:rFonts w:cs="Arial"/>
          <w:b/>
          <w:sz w:val="24"/>
        </w:rPr>
        <w:tab/>
      </w:r>
      <w:r w:rsidR="0082321D">
        <w:rPr>
          <w:rFonts w:cs="Arial"/>
          <w:b/>
          <w:sz w:val="24"/>
        </w:rPr>
        <w:t>After subsection 104(9)</w:t>
      </w:r>
    </w:p>
    <w:p w:rsidR="0082321D" w:rsidRDefault="0082321D" w:rsidP="0082321D">
      <w:pPr>
        <w:autoSpaceDE w:val="0"/>
        <w:autoSpaceDN w:val="0"/>
        <w:adjustRightInd w:val="0"/>
        <w:rPr>
          <w:rFonts w:cs="Arial"/>
          <w:b/>
          <w:sz w:val="24"/>
        </w:rPr>
      </w:pPr>
    </w:p>
    <w:p w:rsidR="0082321D" w:rsidRDefault="0082321D" w:rsidP="00D92B2C">
      <w:pPr>
        <w:autoSpaceDE w:val="0"/>
        <w:autoSpaceDN w:val="0"/>
        <w:adjustRightInd w:val="0"/>
        <w:ind w:left="1276" w:hanging="567"/>
        <w:rPr>
          <w:rFonts w:ascii="Times New Roman" w:hAnsi="Times New Roman"/>
          <w:i/>
          <w:sz w:val="24"/>
        </w:rPr>
      </w:pPr>
      <w:r w:rsidRPr="001F4CB5">
        <w:rPr>
          <w:rFonts w:ascii="Times New Roman" w:hAnsi="Times New Roman"/>
          <w:i/>
          <w:sz w:val="24"/>
        </w:rPr>
        <w:t xml:space="preserve">Insert a </w:t>
      </w:r>
      <w:r>
        <w:rPr>
          <w:rFonts w:ascii="Times New Roman" w:hAnsi="Times New Roman"/>
          <w:i/>
          <w:sz w:val="24"/>
        </w:rPr>
        <w:t>new subsection</w:t>
      </w:r>
      <w:r w:rsidR="00D17AF3">
        <w:rPr>
          <w:rFonts w:ascii="Times New Roman" w:hAnsi="Times New Roman"/>
          <w:i/>
          <w:sz w:val="24"/>
        </w:rPr>
        <w:t>:</w:t>
      </w:r>
    </w:p>
    <w:p w:rsidR="0082321D" w:rsidRDefault="0082321D" w:rsidP="00D92B2C">
      <w:pPr>
        <w:autoSpaceDE w:val="0"/>
        <w:autoSpaceDN w:val="0"/>
        <w:adjustRightInd w:val="0"/>
        <w:ind w:left="1276" w:hanging="567"/>
        <w:rPr>
          <w:rFonts w:ascii="Times New Roman" w:hAnsi="Times New Roman"/>
          <w:i/>
          <w:sz w:val="24"/>
        </w:rPr>
      </w:pPr>
    </w:p>
    <w:p w:rsidR="0082321D" w:rsidRDefault="0082321D" w:rsidP="00903A01">
      <w:pPr>
        <w:tabs>
          <w:tab w:val="left" w:pos="567"/>
          <w:tab w:val="left" w:pos="709"/>
        </w:tabs>
        <w:autoSpaceDE w:val="0"/>
        <w:autoSpaceDN w:val="0"/>
        <w:adjustRightInd w:val="0"/>
        <w:ind w:left="1276" w:hanging="567"/>
        <w:rPr>
          <w:rFonts w:ascii="Times New Roman" w:hAnsi="Times New Roman"/>
          <w:sz w:val="24"/>
        </w:rPr>
      </w:pPr>
      <w:r>
        <w:rPr>
          <w:rFonts w:ascii="Times New Roman" w:hAnsi="Times New Roman"/>
          <w:sz w:val="24"/>
        </w:rPr>
        <w:t xml:space="preserve">(10) </w:t>
      </w:r>
      <w:r>
        <w:rPr>
          <w:rFonts w:ascii="Times New Roman" w:hAnsi="Times New Roman"/>
          <w:sz w:val="24"/>
        </w:rPr>
        <w:tab/>
      </w:r>
      <w:r w:rsidRPr="001F4CB5">
        <w:rPr>
          <w:rFonts w:ascii="Times New Roman" w:hAnsi="Times New Roman"/>
          <w:sz w:val="24"/>
        </w:rPr>
        <w:t xml:space="preserve">If the ACMA does not make a decision within the period required under </w:t>
      </w:r>
      <w:r>
        <w:rPr>
          <w:rFonts w:ascii="Times New Roman" w:hAnsi="Times New Roman"/>
          <w:sz w:val="24"/>
        </w:rPr>
        <w:t>subsection (4)</w:t>
      </w:r>
      <w:r w:rsidRPr="001F4CB5">
        <w:rPr>
          <w:rFonts w:ascii="Times New Roman" w:hAnsi="Times New Roman"/>
          <w:sz w:val="24"/>
        </w:rPr>
        <w:t>, the ACMA is taken to have made a decision to refuse the application</w:t>
      </w:r>
      <w:r>
        <w:rPr>
          <w:rFonts w:ascii="Times New Roman" w:hAnsi="Times New Roman"/>
          <w:sz w:val="24"/>
        </w:rPr>
        <w:t xml:space="preserve"> under subsection (4).</w:t>
      </w:r>
    </w:p>
    <w:p w:rsidR="0082321D" w:rsidRDefault="0082321D" w:rsidP="0082321D">
      <w:pPr>
        <w:tabs>
          <w:tab w:val="left" w:pos="567"/>
        </w:tabs>
        <w:autoSpaceDE w:val="0"/>
        <w:autoSpaceDN w:val="0"/>
        <w:adjustRightInd w:val="0"/>
        <w:ind w:left="567" w:hanging="567"/>
        <w:rPr>
          <w:rFonts w:ascii="Times New Roman" w:hAnsi="Times New Roman"/>
          <w:sz w:val="24"/>
        </w:rPr>
      </w:pPr>
    </w:p>
    <w:p w:rsidR="00B55F33" w:rsidRDefault="00D92B2C" w:rsidP="00B55F33">
      <w:pPr>
        <w:autoSpaceDE w:val="0"/>
        <w:autoSpaceDN w:val="0"/>
        <w:adjustRightInd w:val="0"/>
        <w:rPr>
          <w:rFonts w:cs="Arial"/>
          <w:b/>
          <w:sz w:val="24"/>
        </w:rPr>
      </w:pPr>
      <w:r>
        <w:rPr>
          <w:rFonts w:cs="Arial"/>
          <w:b/>
          <w:sz w:val="24"/>
        </w:rPr>
        <w:t>[</w:t>
      </w:r>
      <w:r w:rsidR="00D17AF3">
        <w:rPr>
          <w:rFonts w:cs="Arial"/>
          <w:b/>
          <w:sz w:val="24"/>
        </w:rPr>
        <w:t>18</w:t>
      </w:r>
      <w:r w:rsidR="00B55F33">
        <w:rPr>
          <w:rFonts w:cs="Arial"/>
          <w:b/>
          <w:sz w:val="24"/>
        </w:rPr>
        <w:t xml:space="preserve">] </w:t>
      </w:r>
      <w:r>
        <w:rPr>
          <w:rFonts w:cs="Arial"/>
          <w:b/>
          <w:sz w:val="24"/>
        </w:rPr>
        <w:tab/>
      </w:r>
      <w:r w:rsidR="00B55F33">
        <w:rPr>
          <w:rFonts w:cs="Arial"/>
          <w:b/>
          <w:sz w:val="24"/>
        </w:rPr>
        <w:t>Paragraph 114(2</w:t>
      </w:r>
      <w:proofErr w:type="gramStart"/>
      <w:r w:rsidR="00B55F33">
        <w:rPr>
          <w:rFonts w:cs="Arial"/>
          <w:b/>
          <w:sz w:val="24"/>
        </w:rPr>
        <w:t>)(</w:t>
      </w:r>
      <w:proofErr w:type="gramEnd"/>
      <w:r w:rsidR="00B55F33">
        <w:rPr>
          <w:rFonts w:cs="Arial"/>
          <w:b/>
          <w:sz w:val="24"/>
        </w:rPr>
        <w:t>a)</w:t>
      </w:r>
    </w:p>
    <w:p w:rsidR="00B55F33" w:rsidRDefault="00B55F33" w:rsidP="0082321D">
      <w:pPr>
        <w:autoSpaceDE w:val="0"/>
        <w:autoSpaceDN w:val="0"/>
        <w:adjustRightInd w:val="0"/>
        <w:rPr>
          <w:rFonts w:cs="Arial"/>
          <w:b/>
          <w:sz w:val="24"/>
        </w:rPr>
      </w:pPr>
    </w:p>
    <w:p w:rsidR="00B55F33" w:rsidRPr="00B55F33" w:rsidRDefault="00B55F33" w:rsidP="00D92B2C">
      <w:pPr>
        <w:autoSpaceDE w:val="0"/>
        <w:autoSpaceDN w:val="0"/>
        <w:adjustRightInd w:val="0"/>
        <w:ind w:left="1701" w:hanging="992"/>
        <w:rPr>
          <w:rFonts w:ascii="Times New Roman" w:hAnsi="Times New Roman"/>
          <w:i/>
          <w:sz w:val="24"/>
        </w:rPr>
      </w:pPr>
      <w:r w:rsidRPr="00B55F33">
        <w:rPr>
          <w:rFonts w:ascii="Times New Roman" w:hAnsi="Times New Roman"/>
          <w:i/>
          <w:sz w:val="24"/>
        </w:rPr>
        <w:t>Omit, substitute:</w:t>
      </w:r>
    </w:p>
    <w:p w:rsidR="00B55F33" w:rsidRPr="00B55F33" w:rsidRDefault="00B55F33" w:rsidP="00D92B2C">
      <w:pPr>
        <w:autoSpaceDE w:val="0"/>
        <w:autoSpaceDN w:val="0"/>
        <w:adjustRightInd w:val="0"/>
        <w:ind w:left="1701" w:hanging="992"/>
        <w:rPr>
          <w:rFonts w:ascii="Times New Roman" w:hAnsi="Times New Roman"/>
          <w:i/>
          <w:sz w:val="24"/>
        </w:rPr>
      </w:pPr>
    </w:p>
    <w:p w:rsidR="00B55F33" w:rsidRPr="00B55F33" w:rsidRDefault="00B55F33" w:rsidP="00D92B2C">
      <w:pPr>
        <w:pStyle w:val="ListParagraph"/>
        <w:numPr>
          <w:ilvl w:val="0"/>
          <w:numId w:val="20"/>
        </w:numPr>
        <w:autoSpaceDE w:val="0"/>
        <w:autoSpaceDN w:val="0"/>
        <w:adjustRightInd w:val="0"/>
        <w:ind w:left="1701" w:hanging="425"/>
        <w:rPr>
          <w:rFonts w:ascii="Times New Roman" w:hAnsi="Times New Roman"/>
          <w:sz w:val="24"/>
        </w:rPr>
      </w:pPr>
      <w:r>
        <w:rPr>
          <w:rFonts w:ascii="Times New Roman" w:hAnsi="Times New Roman"/>
          <w:sz w:val="24"/>
        </w:rPr>
        <w:t xml:space="preserve">if </w:t>
      </w:r>
      <w:r w:rsidRPr="00B55F33">
        <w:rPr>
          <w:rFonts w:ascii="Times New Roman" w:hAnsi="Times New Roman"/>
          <w:sz w:val="24"/>
        </w:rPr>
        <w:t>the number is a freephone number or a local rate number – notify the ACMA that the service to which the number relates has been cancelled;</w:t>
      </w:r>
    </w:p>
    <w:p w:rsidR="00B55F33" w:rsidRPr="00B55F33" w:rsidRDefault="00B55F33" w:rsidP="0082321D">
      <w:pPr>
        <w:autoSpaceDE w:val="0"/>
        <w:autoSpaceDN w:val="0"/>
        <w:adjustRightInd w:val="0"/>
        <w:rPr>
          <w:rFonts w:ascii="Times New Roman" w:hAnsi="Times New Roman"/>
          <w:b/>
          <w:sz w:val="24"/>
        </w:rPr>
      </w:pPr>
    </w:p>
    <w:p w:rsidR="00B55F33" w:rsidRDefault="00D92B2C" w:rsidP="00B55F33">
      <w:pPr>
        <w:autoSpaceDE w:val="0"/>
        <w:autoSpaceDN w:val="0"/>
        <w:adjustRightInd w:val="0"/>
        <w:rPr>
          <w:rFonts w:cs="Arial"/>
          <w:b/>
          <w:sz w:val="24"/>
        </w:rPr>
      </w:pPr>
      <w:r>
        <w:rPr>
          <w:rFonts w:cs="Arial"/>
          <w:b/>
          <w:sz w:val="24"/>
        </w:rPr>
        <w:t>[</w:t>
      </w:r>
      <w:r w:rsidR="00D17AF3">
        <w:rPr>
          <w:rFonts w:cs="Arial"/>
          <w:b/>
          <w:sz w:val="24"/>
        </w:rPr>
        <w:t>19</w:t>
      </w:r>
      <w:r w:rsidR="00B55F33">
        <w:rPr>
          <w:rFonts w:cs="Arial"/>
          <w:b/>
          <w:sz w:val="24"/>
        </w:rPr>
        <w:t xml:space="preserve">] </w:t>
      </w:r>
      <w:r>
        <w:rPr>
          <w:rFonts w:cs="Arial"/>
          <w:b/>
          <w:sz w:val="24"/>
        </w:rPr>
        <w:tab/>
      </w:r>
      <w:r w:rsidR="00B55F33">
        <w:rPr>
          <w:rFonts w:cs="Arial"/>
          <w:b/>
          <w:sz w:val="24"/>
        </w:rPr>
        <w:t>After subsection 114(3)</w:t>
      </w:r>
    </w:p>
    <w:p w:rsidR="00B55F33" w:rsidRDefault="00B55F33" w:rsidP="0082321D">
      <w:pPr>
        <w:autoSpaceDE w:val="0"/>
        <w:autoSpaceDN w:val="0"/>
        <w:adjustRightInd w:val="0"/>
        <w:rPr>
          <w:rFonts w:cs="Arial"/>
          <w:b/>
          <w:sz w:val="24"/>
        </w:rPr>
      </w:pPr>
    </w:p>
    <w:p w:rsidR="00B55F33" w:rsidRDefault="00B55F33" w:rsidP="00D92B2C">
      <w:pPr>
        <w:autoSpaceDE w:val="0"/>
        <w:autoSpaceDN w:val="0"/>
        <w:adjustRightInd w:val="0"/>
        <w:ind w:left="1418" w:hanging="851"/>
        <w:rPr>
          <w:rFonts w:ascii="Times New Roman" w:hAnsi="Times New Roman"/>
          <w:i/>
          <w:sz w:val="24"/>
        </w:rPr>
      </w:pPr>
      <w:r>
        <w:rPr>
          <w:rFonts w:ascii="Times New Roman" w:hAnsi="Times New Roman"/>
          <w:i/>
          <w:sz w:val="24"/>
        </w:rPr>
        <w:t>Insert a new subsection</w:t>
      </w:r>
      <w:r w:rsidR="00D17AF3">
        <w:rPr>
          <w:rFonts w:ascii="Times New Roman" w:hAnsi="Times New Roman"/>
          <w:i/>
          <w:sz w:val="24"/>
        </w:rPr>
        <w:t>:</w:t>
      </w:r>
    </w:p>
    <w:p w:rsidR="00B55F33" w:rsidRDefault="00B55F33" w:rsidP="00D92B2C">
      <w:pPr>
        <w:autoSpaceDE w:val="0"/>
        <w:autoSpaceDN w:val="0"/>
        <w:adjustRightInd w:val="0"/>
        <w:ind w:left="1418" w:hanging="851"/>
        <w:rPr>
          <w:rFonts w:ascii="Times New Roman" w:hAnsi="Times New Roman"/>
          <w:i/>
          <w:sz w:val="24"/>
        </w:rPr>
      </w:pPr>
    </w:p>
    <w:p w:rsidR="00B55F33" w:rsidRDefault="00B55F33" w:rsidP="00D92B2C">
      <w:pPr>
        <w:autoSpaceDE w:val="0"/>
        <w:autoSpaceDN w:val="0"/>
        <w:adjustRightInd w:val="0"/>
        <w:ind w:left="1276" w:hanging="709"/>
        <w:rPr>
          <w:rFonts w:ascii="Times New Roman" w:hAnsi="Times New Roman"/>
          <w:sz w:val="24"/>
        </w:rPr>
      </w:pPr>
      <w:r>
        <w:rPr>
          <w:rFonts w:ascii="Times New Roman" w:hAnsi="Times New Roman"/>
          <w:sz w:val="24"/>
        </w:rPr>
        <w:t>(4)</w:t>
      </w:r>
      <w:r>
        <w:rPr>
          <w:rFonts w:ascii="Times New Roman" w:hAnsi="Times New Roman"/>
          <w:sz w:val="24"/>
        </w:rPr>
        <w:tab/>
        <w:t xml:space="preserve">If a </w:t>
      </w:r>
      <w:r w:rsidR="00D17AF3">
        <w:rPr>
          <w:rFonts w:ascii="Times New Roman" w:hAnsi="Times New Roman"/>
          <w:sz w:val="24"/>
        </w:rPr>
        <w:t xml:space="preserve">carriage service provider </w:t>
      </w:r>
      <w:r>
        <w:rPr>
          <w:rFonts w:ascii="Times New Roman" w:hAnsi="Times New Roman"/>
          <w:sz w:val="24"/>
        </w:rPr>
        <w:t>gives notice in accordance with paragraph (2</w:t>
      </w:r>
      <w:proofErr w:type="gramStart"/>
      <w:r>
        <w:rPr>
          <w:rFonts w:ascii="Times New Roman" w:hAnsi="Times New Roman"/>
          <w:sz w:val="24"/>
        </w:rPr>
        <w:t>)(</w:t>
      </w:r>
      <w:proofErr w:type="gramEnd"/>
      <w:r>
        <w:rPr>
          <w:rFonts w:ascii="Times New Roman" w:hAnsi="Times New Roman"/>
          <w:sz w:val="24"/>
        </w:rPr>
        <w:t>a):</w:t>
      </w:r>
    </w:p>
    <w:p w:rsidR="00B55F33" w:rsidRDefault="00B55F33" w:rsidP="00D92B2C">
      <w:pPr>
        <w:autoSpaceDE w:val="0"/>
        <w:autoSpaceDN w:val="0"/>
        <w:adjustRightInd w:val="0"/>
        <w:spacing w:before="120"/>
        <w:ind w:left="1701" w:hanging="425"/>
        <w:rPr>
          <w:rFonts w:ascii="Times New Roman" w:hAnsi="Times New Roman"/>
          <w:sz w:val="24"/>
        </w:rPr>
      </w:pPr>
      <w:r>
        <w:rPr>
          <w:rFonts w:ascii="Times New Roman" w:hAnsi="Times New Roman"/>
          <w:sz w:val="24"/>
        </w:rPr>
        <w:t>(a)</w:t>
      </w:r>
      <w:r>
        <w:rPr>
          <w:rFonts w:ascii="Times New Roman" w:hAnsi="Times New Roman"/>
          <w:sz w:val="24"/>
        </w:rPr>
        <w:tab/>
      </w:r>
      <w:proofErr w:type="gramStart"/>
      <w:r>
        <w:rPr>
          <w:rFonts w:ascii="Times New Roman" w:hAnsi="Times New Roman"/>
          <w:sz w:val="24"/>
        </w:rPr>
        <w:t>the</w:t>
      </w:r>
      <w:proofErr w:type="gramEnd"/>
      <w:r>
        <w:rPr>
          <w:rFonts w:ascii="Times New Roman" w:hAnsi="Times New Roman"/>
          <w:sz w:val="24"/>
        </w:rPr>
        <w:t xml:space="preserve"> number is taken to have been surrendered by the holder of the number to which the notice relates immediately after the ACMA receives the notice; and</w:t>
      </w:r>
    </w:p>
    <w:p w:rsidR="00B55F33" w:rsidRDefault="00B55F33" w:rsidP="00D92B2C">
      <w:pPr>
        <w:autoSpaceDE w:val="0"/>
        <w:autoSpaceDN w:val="0"/>
        <w:adjustRightInd w:val="0"/>
        <w:spacing w:before="120"/>
        <w:ind w:left="1701" w:hanging="425"/>
        <w:rPr>
          <w:rFonts w:ascii="Times New Roman" w:hAnsi="Times New Roman"/>
          <w:sz w:val="24"/>
        </w:rPr>
      </w:pPr>
      <w:r>
        <w:rPr>
          <w:rFonts w:ascii="Times New Roman" w:hAnsi="Times New Roman"/>
          <w:sz w:val="24"/>
        </w:rPr>
        <w:t>(b)</w:t>
      </w:r>
      <w:r>
        <w:rPr>
          <w:rFonts w:ascii="Times New Roman" w:hAnsi="Times New Roman"/>
          <w:sz w:val="24"/>
        </w:rPr>
        <w:tab/>
      </w:r>
      <w:proofErr w:type="gramStart"/>
      <w:r>
        <w:rPr>
          <w:rFonts w:ascii="Times New Roman" w:hAnsi="Times New Roman"/>
          <w:sz w:val="24"/>
        </w:rPr>
        <w:t>if</w:t>
      </w:r>
      <w:proofErr w:type="gramEnd"/>
      <w:r>
        <w:rPr>
          <w:rFonts w:ascii="Times New Roman" w:hAnsi="Times New Roman"/>
          <w:sz w:val="24"/>
        </w:rPr>
        <w:t xml:space="preserve"> the ACMA is not the designated authority, the ACMA must notify the designated authority of the surrender of the number.</w:t>
      </w:r>
    </w:p>
    <w:p w:rsidR="00B55F33" w:rsidRPr="00B55F33" w:rsidRDefault="00B55F33" w:rsidP="0082321D">
      <w:pPr>
        <w:autoSpaceDE w:val="0"/>
        <w:autoSpaceDN w:val="0"/>
        <w:adjustRightInd w:val="0"/>
        <w:rPr>
          <w:rFonts w:ascii="Times New Roman" w:hAnsi="Times New Roman"/>
          <w:sz w:val="24"/>
        </w:rPr>
      </w:pPr>
    </w:p>
    <w:p w:rsidR="0082321D" w:rsidRDefault="0082321D" w:rsidP="0082321D">
      <w:pPr>
        <w:autoSpaceDE w:val="0"/>
        <w:autoSpaceDN w:val="0"/>
        <w:adjustRightInd w:val="0"/>
        <w:rPr>
          <w:rFonts w:cs="Arial"/>
          <w:b/>
          <w:sz w:val="24"/>
        </w:rPr>
      </w:pPr>
      <w:r>
        <w:rPr>
          <w:rFonts w:cs="Arial"/>
          <w:b/>
          <w:sz w:val="24"/>
        </w:rPr>
        <w:t>[</w:t>
      </w:r>
      <w:r w:rsidR="00D92B2C">
        <w:rPr>
          <w:rFonts w:cs="Arial"/>
          <w:b/>
          <w:sz w:val="24"/>
        </w:rPr>
        <w:t>2</w:t>
      </w:r>
      <w:r w:rsidR="00D17AF3">
        <w:rPr>
          <w:rFonts w:cs="Arial"/>
          <w:b/>
          <w:sz w:val="24"/>
        </w:rPr>
        <w:t>0</w:t>
      </w:r>
      <w:r>
        <w:rPr>
          <w:rFonts w:cs="Arial"/>
          <w:b/>
          <w:sz w:val="24"/>
        </w:rPr>
        <w:t xml:space="preserve">] </w:t>
      </w:r>
      <w:r w:rsidR="00D92B2C">
        <w:rPr>
          <w:rFonts w:cs="Arial"/>
          <w:b/>
          <w:sz w:val="24"/>
        </w:rPr>
        <w:tab/>
      </w:r>
      <w:r>
        <w:rPr>
          <w:rFonts w:cs="Arial"/>
          <w:b/>
          <w:sz w:val="24"/>
        </w:rPr>
        <w:t>After subsection 118(8)</w:t>
      </w:r>
    </w:p>
    <w:p w:rsidR="0082321D" w:rsidRDefault="0082321D" w:rsidP="0082321D">
      <w:pPr>
        <w:autoSpaceDE w:val="0"/>
        <w:autoSpaceDN w:val="0"/>
        <w:adjustRightInd w:val="0"/>
        <w:rPr>
          <w:rFonts w:cs="Arial"/>
          <w:b/>
          <w:sz w:val="24"/>
        </w:rPr>
      </w:pPr>
    </w:p>
    <w:p w:rsidR="0082321D" w:rsidRDefault="0082321D" w:rsidP="00D92B2C">
      <w:pPr>
        <w:autoSpaceDE w:val="0"/>
        <w:autoSpaceDN w:val="0"/>
        <w:adjustRightInd w:val="0"/>
        <w:ind w:left="1276" w:hanging="567"/>
        <w:rPr>
          <w:rFonts w:ascii="Times New Roman" w:hAnsi="Times New Roman"/>
          <w:i/>
          <w:sz w:val="24"/>
        </w:rPr>
      </w:pPr>
      <w:r w:rsidRPr="001F4CB5">
        <w:rPr>
          <w:rFonts w:ascii="Times New Roman" w:hAnsi="Times New Roman"/>
          <w:i/>
          <w:sz w:val="24"/>
        </w:rPr>
        <w:t xml:space="preserve">Insert a </w:t>
      </w:r>
      <w:r>
        <w:rPr>
          <w:rFonts w:ascii="Times New Roman" w:hAnsi="Times New Roman"/>
          <w:i/>
          <w:sz w:val="24"/>
        </w:rPr>
        <w:t>new subsection</w:t>
      </w:r>
      <w:r w:rsidR="00D17AF3">
        <w:rPr>
          <w:rFonts w:ascii="Times New Roman" w:hAnsi="Times New Roman"/>
          <w:i/>
          <w:sz w:val="24"/>
        </w:rPr>
        <w:t>:</w:t>
      </w:r>
    </w:p>
    <w:p w:rsidR="0082321D" w:rsidRDefault="0082321D" w:rsidP="00D92B2C">
      <w:pPr>
        <w:autoSpaceDE w:val="0"/>
        <w:autoSpaceDN w:val="0"/>
        <w:adjustRightInd w:val="0"/>
        <w:ind w:left="1276" w:hanging="567"/>
        <w:rPr>
          <w:rFonts w:ascii="Times New Roman" w:hAnsi="Times New Roman"/>
          <w:i/>
          <w:sz w:val="24"/>
        </w:rPr>
      </w:pPr>
    </w:p>
    <w:p w:rsidR="0082321D" w:rsidRDefault="0082321D" w:rsidP="00D92B2C">
      <w:pPr>
        <w:tabs>
          <w:tab w:val="left" w:pos="567"/>
        </w:tabs>
        <w:autoSpaceDE w:val="0"/>
        <w:autoSpaceDN w:val="0"/>
        <w:adjustRightInd w:val="0"/>
        <w:ind w:left="1276" w:hanging="567"/>
        <w:rPr>
          <w:rFonts w:ascii="Times New Roman" w:hAnsi="Times New Roman"/>
          <w:sz w:val="24"/>
        </w:rPr>
      </w:pPr>
      <w:r>
        <w:rPr>
          <w:rFonts w:ascii="Times New Roman" w:hAnsi="Times New Roman"/>
          <w:sz w:val="24"/>
        </w:rPr>
        <w:t xml:space="preserve">(9) </w:t>
      </w:r>
      <w:r>
        <w:rPr>
          <w:rFonts w:ascii="Times New Roman" w:hAnsi="Times New Roman"/>
          <w:sz w:val="24"/>
        </w:rPr>
        <w:tab/>
      </w:r>
      <w:r w:rsidRPr="001F4CB5">
        <w:rPr>
          <w:rFonts w:ascii="Times New Roman" w:hAnsi="Times New Roman"/>
          <w:sz w:val="24"/>
        </w:rPr>
        <w:t xml:space="preserve">If the ACMA does not make a decision within the period required under </w:t>
      </w:r>
      <w:r>
        <w:rPr>
          <w:rFonts w:ascii="Times New Roman" w:hAnsi="Times New Roman"/>
          <w:sz w:val="24"/>
        </w:rPr>
        <w:t>subsection (1)</w:t>
      </w:r>
      <w:r w:rsidRPr="001F4CB5">
        <w:rPr>
          <w:rFonts w:ascii="Times New Roman" w:hAnsi="Times New Roman"/>
          <w:sz w:val="24"/>
        </w:rPr>
        <w:t xml:space="preserve">, the ACMA is taken to have made a decision </w:t>
      </w:r>
      <w:r w:rsidR="0065260A">
        <w:rPr>
          <w:rFonts w:ascii="Times New Roman" w:hAnsi="Times New Roman"/>
          <w:sz w:val="24"/>
        </w:rPr>
        <w:t xml:space="preserve">not </w:t>
      </w:r>
      <w:r w:rsidRPr="001F4CB5">
        <w:rPr>
          <w:rFonts w:ascii="Times New Roman" w:hAnsi="Times New Roman"/>
          <w:sz w:val="24"/>
        </w:rPr>
        <w:t xml:space="preserve">to </w:t>
      </w:r>
      <w:r w:rsidR="006B11B8">
        <w:rPr>
          <w:rFonts w:ascii="Times New Roman" w:hAnsi="Times New Roman"/>
          <w:sz w:val="24"/>
        </w:rPr>
        <w:t>grant the exemption</w:t>
      </w:r>
      <w:r>
        <w:rPr>
          <w:rFonts w:ascii="Times New Roman" w:hAnsi="Times New Roman"/>
          <w:sz w:val="24"/>
        </w:rPr>
        <w:t xml:space="preserve"> under subsection (1).</w:t>
      </w:r>
    </w:p>
    <w:p w:rsidR="0082321D" w:rsidRDefault="0082321D" w:rsidP="0082321D">
      <w:pPr>
        <w:tabs>
          <w:tab w:val="left" w:pos="567"/>
        </w:tabs>
        <w:autoSpaceDE w:val="0"/>
        <w:autoSpaceDN w:val="0"/>
        <w:adjustRightInd w:val="0"/>
        <w:ind w:left="567" w:hanging="567"/>
        <w:rPr>
          <w:rFonts w:ascii="Times New Roman" w:hAnsi="Times New Roman"/>
          <w:sz w:val="24"/>
        </w:rPr>
      </w:pPr>
    </w:p>
    <w:p w:rsidR="00A2123E" w:rsidRDefault="00D92B2C" w:rsidP="00A2123E">
      <w:pPr>
        <w:autoSpaceDE w:val="0"/>
        <w:autoSpaceDN w:val="0"/>
        <w:adjustRightInd w:val="0"/>
        <w:rPr>
          <w:rFonts w:cs="Arial"/>
          <w:b/>
          <w:sz w:val="24"/>
        </w:rPr>
      </w:pPr>
      <w:r>
        <w:rPr>
          <w:rFonts w:cs="Arial"/>
          <w:b/>
          <w:sz w:val="24"/>
        </w:rPr>
        <w:t>[2</w:t>
      </w:r>
      <w:r w:rsidR="00D17AF3">
        <w:rPr>
          <w:rFonts w:cs="Arial"/>
          <w:b/>
          <w:sz w:val="24"/>
        </w:rPr>
        <w:t>1</w:t>
      </w:r>
      <w:r w:rsidR="00A2123E">
        <w:rPr>
          <w:rFonts w:cs="Arial"/>
          <w:b/>
          <w:sz w:val="24"/>
        </w:rPr>
        <w:t xml:space="preserve">] </w:t>
      </w:r>
      <w:r>
        <w:rPr>
          <w:rFonts w:cs="Arial"/>
          <w:b/>
          <w:sz w:val="24"/>
        </w:rPr>
        <w:tab/>
      </w:r>
      <w:r w:rsidR="00A2123E">
        <w:rPr>
          <w:rFonts w:cs="Arial"/>
          <w:b/>
          <w:sz w:val="24"/>
        </w:rPr>
        <w:t>Subsection 125(1)</w:t>
      </w:r>
    </w:p>
    <w:p w:rsidR="00A2123E" w:rsidRDefault="00A2123E" w:rsidP="00A2123E">
      <w:pPr>
        <w:autoSpaceDE w:val="0"/>
        <w:autoSpaceDN w:val="0"/>
        <w:adjustRightInd w:val="0"/>
        <w:rPr>
          <w:rFonts w:cs="Arial"/>
          <w:b/>
          <w:sz w:val="24"/>
        </w:rPr>
      </w:pPr>
    </w:p>
    <w:p w:rsidR="00A2123E" w:rsidRDefault="00505C84" w:rsidP="00D92B2C">
      <w:pPr>
        <w:autoSpaceDE w:val="0"/>
        <w:autoSpaceDN w:val="0"/>
        <w:adjustRightInd w:val="0"/>
        <w:ind w:left="1276" w:hanging="567"/>
        <w:rPr>
          <w:rFonts w:ascii="Times New Roman" w:hAnsi="Times New Roman"/>
          <w:i/>
          <w:sz w:val="24"/>
        </w:rPr>
      </w:pPr>
      <w:r>
        <w:rPr>
          <w:rFonts w:ascii="Times New Roman" w:hAnsi="Times New Roman"/>
          <w:i/>
          <w:sz w:val="24"/>
        </w:rPr>
        <w:t>Omit</w:t>
      </w:r>
      <w:r w:rsidR="00A2123E">
        <w:rPr>
          <w:rFonts w:ascii="Times New Roman" w:hAnsi="Times New Roman"/>
          <w:i/>
          <w:sz w:val="24"/>
        </w:rPr>
        <w:t xml:space="preserve">, substitute: </w:t>
      </w:r>
    </w:p>
    <w:p w:rsidR="00A2123E" w:rsidRPr="00A2123E" w:rsidRDefault="00A2123E" w:rsidP="00D92B2C">
      <w:pPr>
        <w:pStyle w:val="subsection"/>
        <w:shd w:val="clear" w:color="auto" w:fill="FFFFFF"/>
        <w:spacing w:before="180" w:beforeAutospacing="0" w:after="0" w:afterAutospacing="0"/>
        <w:ind w:left="1276" w:hanging="567"/>
        <w:rPr>
          <w:color w:val="000000"/>
        </w:rPr>
      </w:pPr>
      <w:r w:rsidRPr="00A2123E">
        <w:rPr>
          <w:color w:val="000000"/>
        </w:rPr>
        <w:t xml:space="preserve">(1)  </w:t>
      </w:r>
      <w:r w:rsidRPr="00A2123E">
        <w:rPr>
          <w:color w:val="000000"/>
        </w:rPr>
        <w:tab/>
        <w:t>This section applies to a carriage service provider (the</w:t>
      </w:r>
      <w:r w:rsidRPr="00A2123E">
        <w:rPr>
          <w:rStyle w:val="apple-converted-space"/>
          <w:b/>
          <w:bCs/>
          <w:i/>
          <w:iCs/>
          <w:color w:val="000000"/>
        </w:rPr>
        <w:t> </w:t>
      </w:r>
      <w:r w:rsidRPr="00A2123E">
        <w:rPr>
          <w:b/>
          <w:bCs/>
          <w:i/>
          <w:iCs/>
          <w:color w:val="000000"/>
        </w:rPr>
        <w:t>reporting carriage service provider</w:t>
      </w:r>
      <w:r w:rsidRPr="00A2123E">
        <w:rPr>
          <w:color w:val="000000"/>
        </w:rPr>
        <w:t>)</w:t>
      </w:r>
      <w:r w:rsidR="006B11B8">
        <w:rPr>
          <w:color w:val="000000"/>
        </w:rPr>
        <w:t xml:space="preserve"> who holds (within the meaning of this instrument) a digital mobile number</w:t>
      </w:r>
      <w:r w:rsidRPr="00A2123E">
        <w:rPr>
          <w:color w:val="000000"/>
        </w:rPr>
        <w:t>.</w:t>
      </w:r>
    </w:p>
    <w:p w:rsidR="006237A0" w:rsidRDefault="006237A0" w:rsidP="006237A0">
      <w:pPr>
        <w:autoSpaceDE w:val="0"/>
        <w:autoSpaceDN w:val="0"/>
        <w:adjustRightInd w:val="0"/>
        <w:rPr>
          <w:rFonts w:cs="Arial"/>
          <w:b/>
          <w:sz w:val="24"/>
        </w:rPr>
      </w:pPr>
    </w:p>
    <w:p w:rsidR="006237A0" w:rsidRDefault="006237A0" w:rsidP="006237A0">
      <w:pPr>
        <w:autoSpaceDE w:val="0"/>
        <w:autoSpaceDN w:val="0"/>
        <w:adjustRightInd w:val="0"/>
        <w:rPr>
          <w:rFonts w:cs="Arial"/>
          <w:b/>
          <w:sz w:val="24"/>
        </w:rPr>
      </w:pPr>
      <w:r>
        <w:rPr>
          <w:rFonts w:cs="Arial"/>
          <w:b/>
          <w:sz w:val="24"/>
        </w:rPr>
        <w:t>[</w:t>
      </w:r>
      <w:r w:rsidR="00D92B2C">
        <w:rPr>
          <w:rFonts w:cs="Arial"/>
          <w:b/>
          <w:sz w:val="24"/>
        </w:rPr>
        <w:t>2</w:t>
      </w:r>
      <w:r w:rsidR="00D17AF3">
        <w:rPr>
          <w:rFonts w:cs="Arial"/>
          <w:b/>
          <w:sz w:val="24"/>
        </w:rPr>
        <w:t>2</w:t>
      </w:r>
      <w:r>
        <w:rPr>
          <w:rFonts w:cs="Arial"/>
          <w:b/>
          <w:sz w:val="24"/>
        </w:rPr>
        <w:t xml:space="preserve">] </w:t>
      </w:r>
      <w:r w:rsidR="00D17AF3">
        <w:rPr>
          <w:rFonts w:cs="Arial"/>
          <w:b/>
          <w:sz w:val="24"/>
        </w:rPr>
        <w:t xml:space="preserve"> </w:t>
      </w:r>
      <w:r w:rsidR="00325D98">
        <w:rPr>
          <w:rFonts w:cs="Arial"/>
          <w:b/>
          <w:sz w:val="24"/>
        </w:rPr>
        <w:t xml:space="preserve"> </w:t>
      </w:r>
      <w:r>
        <w:rPr>
          <w:rFonts w:cs="Arial"/>
          <w:b/>
          <w:sz w:val="24"/>
        </w:rPr>
        <w:t>Section 127</w:t>
      </w:r>
      <w:r w:rsidR="00D17AF3">
        <w:rPr>
          <w:rFonts w:cs="Arial"/>
          <w:b/>
          <w:sz w:val="24"/>
        </w:rPr>
        <w:t>, paragraph (n)</w:t>
      </w:r>
    </w:p>
    <w:p w:rsidR="006237A0" w:rsidRDefault="006237A0" w:rsidP="006237A0">
      <w:pPr>
        <w:autoSpaceDE w:val="0"/>
        <w:autoSpaceDN w:val="0"/>
        <w:adjustRightInd w:val="0"/>
        <w:rPr>
          <w:rFonts w:cs="Arial"/>
          <w:b/>
          <w:sz w:val="24"/>
        </w:rPr>
      </w:pPr>
    </w:p>
    <w:p w:rsidR="006237A0" w:rsidRDefault="002A280B" w:rsidP="00D92B2C">
      <w:pPr>
        <w:autoSpaceDE w:val="0"/>
        <w:autoSpaceDN w:val="0"/>
        <w:adjustRightInd w:val="0"/>
        <w:ind w:left="567"/>
        <w:rPr>
          <w:rFonts w:ascii="Times New Roman" w:hAnsi="Times New Roman"/>
          <w:i/>
          <w:sz w:val="24"/>
        </w:rPr>
      </w:pPr>
      <w:r>
        <w:rPr>
          <w:rFonts w:ascii="Times New Roman" w:hAnsi="Times New Roman"/>
          <w:i/>
          <w:sz w:val="24"/>
        </w:rPr>
        <w:t>Omit</w:t>
      </w:r>
      <w:r w:rsidR="006237A0">
        <w:rPr>
          <w:rFonts w:ascii="Times New Roman" w:hAnsi="Times New Roman"/>
          <w:i/>
          <w:sz w:val="24"/>
        </w:rPr>
        <w:t xml:space="preserve"> paragraph (n)</w:t>
      </w:r>
    </w:p>
    <w:p w:rsidR="006237A0" w:rsidRDefault="006237A0" w:rsidP="006237A0">
      <w:pPr>
        <w:autoSpaceDE w:val="0"/>
        <w:autoSpaceDN w:val="0"/>
        <w:adjustRightInd w:val="0"/>
        <w:rPr>
          <w:rFonts w:ascii="Times New Roman" w:hAnsi="Times New Roman"/>
          <w:i/>
          <w:sz w:val="24"/>
        </w:rPr>
      </w:pPr>
    </w:p>
    <w:sectPr w:rsidR="006237A0" w:rsidSect="000D0D54">
      <w:headerReference w:type="default" r:id="rId15"/>
      <w:headerReference w:type="first" r:id="rId16"/>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84E" w:rsidRDefault="00AD184E">
      <w:r>
        <w:separator/>
      </w:r>
    </w:p>
  </w:endnote>
  <w:endnote w:type="continuationSeparator" w:id="0">
    <w:p w:rsidR="00AD184E" w:rsidRDefault="00AD1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39A" w:rsidRDefault="00B9239A" w:rsidP="00A816CE">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B9239A">
      <w:tc>
        <w:tcPr>
          <w:tcW w:w="1134" w:type="dxa"/>
        </w:tcPr>
        <w:p w:rsidR="00B9239A" w:rsidRPr="003D7214" w:rsidRDefault="00B9239A" w:rsidP="00A816CE">
          <w:pPr>
            <w:spacing w:line="240" w:lineRule="exact"/>
            <w:rP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2</w:t>
          </w:r>
          <w:r w:rsidRPr="003D7214">
            <w:rPr>
              <w:rStyle w:val="PageNumber"/>
              <w:rFonts w:cs="Arial"/>
              <w:szCs w:val="22"/>
            </w:rPr>
            <w:fldChar w:fldCharType="end"/>
          </w:r>
        </w:p>
      </w:tc>
      <w:tc>
        <w:tcPr>
          <w:tcW w:w="6095" w:type="dxa"/>
        </w:tcPr>
        <w:p w:rsidR="00B9239A" w:rsidRPr="004F5D6D" w:rsidRDefault="00325D98" w:rsidP="00A816CE">
          <w:pPr>
            <w:pStyle w:val="Footer"/>
            <w:spacing w:before="20" w:line="240" w:lineRule="exact"/>
          </w:pPr>
          <w:fldSimple w:instr=" STYLEREF  Title  ">
            <w:r w:rsidR="00B9239A">
              <w:rPr>
                <w:noProof/>
              </w:rPr>
              <w:t>Broadcasting Services (Regional Commercial Radio — specification of period for subsections 43C(1A) and 61CD(2)) Instrument 2012</w:t>
            </w:r>
          </w:fldSimple>
        </w:p>
      </w:tc>
      <w:tc>
        <w:tcPr>
          <w:tcW w:w="1134" w:type="dxa"/>
        </w:tcPr>
        <w:p w:rsidR="00B9239A" w:rsidRPr="00451BF5" w:rsidRDefault="00B9239A" w:rsidP="00A816CE">
          <w:pPr>
            <w:spacing w:line="240" w:lineRule="exact"/>
            <w:jc w:val="right"/>
            <w:rPr>
              <w:rStyle w:val="PageNumber"/>
            </w:rPr>
          </w:pPr>
        </w:p>
      </w:tc>
    </w:tr>
  </w:tbl>
  <w:p w:rsidR="00B9239A" w:rsidRDefault="00B9239A" w:rsidP="00A816CE">
    <w:pPr>
      <w:pStyle w:val="FooterDraft"/>
      <w:ind w:right="360" w:firstLine="360"/>
    </w:pPr>
    <w:r>
      <w:t>DRAFT ONLY</w:t>
    </w:r>
  </w:p>
  <w:p w:rsidR="00B9239A" w:rsidRDefault="00EE1C3B" w:rsidP="00A816CE">
    <w:pPr>
      <w:pStyle w:val="FooterInfo"/>
    </w:pPr>
    <w:r>
      <w:fldChar w:fldCharType="begin"/>
    </w:r>
    <w:r>
      <w:instrText xml:space="preserve"> FILENAME   \* MERGEFORMAT </w:instrText>
    </w:r>
    <w:r>
      <w:fldChar w:fldCharType="separate"/>
    </w:r>
    <w:r w:rsidR="00B9239A">
      <w:rPr>
        <w:noProof/>
      </w:rPr>
      <w:t>Attachment B - draft legislative instrument - FOR EM CLEARANCE.DOCX</w:t>
    </w:r>
    <w:r>
      <w:rPr>
        <w:noProof/>
      </w:rPr>
      <w:fldChar w:fldCharType="end"/>
    </w:r>
    <w:r w:rsidR="00B9239A" w:rsidRPr="00974D8C">
      <w:t xml:space="preserve"> </w:t>
    </w:r>
    <w:r w:rsidR="00B9239A">
      <w:fldChar w:fldCharType="begin"/>
    </w:r>
    <w:r w:rsidR="00B9239A">
      <w:instrText xml:space="preserve"> DATE  \@ "D/MM/YYYY"  \* MERGEFORMAT </w:instrText>
    </w:r>
    <w:r w:rsidR="00B9239A">
      <w:fldChar w:fldCharType="separate"/>
    </w:r>
    <w:r w:rsidR="002D2856">
      <w:rPr>
        <w:noProof/>
      </w:rPr>
      <w:t>18/03/2016</w:t>
    </w:r>
    <w:r w:rsidR="00B9239A">
      <w:rPr>
        <w:noProof/>
      </w:rPr>
      <w:fldChar w:fldCharType="end"/>
    </w:r>
    <w:r w:rsidR="00B9239A">
      <w:t xml:space="preserve"> </w:t>
    </w:r>
    <w:r w:rsidR="00B9239A">
      <w:fldChar w:fldCharType="begin"/>
    </w:r>
    <w:r w:rsidR="00B9239A">
      <w:instrText xml:space="preserve"> TIME  \@ "h:mm am/pm"  \* MERGEFORMAT </w:instrText>
    </w:r>
    <w:r w:rsidR="00B9239A">
      <w:fldChar w:fldCharType="separate"/>
    </w:r>
    <w:r w:rsidR="002D2856">
      <w:rPr>
        <w:noProof/>
      </w:rPr>
      <w:t>10:18 AM</w:t>
    </w:r>
    <w:r w:rsidR="00B9239A">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39A" w:rsidRDefault="00B9239A" w:rsidP="00A816CE">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B9239A">
      <w:tc>
        <w:tcPr>
          <w:tcW w:w="1134" w:type="dxa"/>
        </w:tcPr>
        <w:p w:rsidR="00B9239A" w:rsidRDefault="00B9239A" w:rsidP="00A816CE">
          <w:pPr>
            <w:spacing w:line="240" w:lineRule="exact"/>
          </w:pPr>
        </w:p>
      </w:tc>
      <w:tc>
        <w:tcPr>
          <w:tcW w:w="6095" w:type="dxa"/>
        </w:tcPr>
        <w:p w:rsidR="00B9239A" w:rsidRPr="004F5D6D" w:rsidRDefault="00325D98" w:rsidP="00A816CE">
          <w:pPr>
            <w:pStyle w:val="FooterCitation"/>
          </w:pPr>
          <w:fldSimple w:instr=" STYLEREF  Title  ">
            <w:r w:rsidR="00EE1C3B">
              <w:rPr>
                <w:noProof/>
              </w:rPr>
              <w:t>Telecommunications Numbering Plan Variation 2016 (No. 1)</w:t>
            </w:r>
          </w:fldSimple>
        </w:p>
      </w:tc>
      <w:tc>
        <w:tcPr>
          <w:tcW w:w="1134" w:type="dxa"/>
        </w:tcPr>
        <w:p w:rsidR="00B9239A" w:rsidRPr="003D7214" w:rsidRDefault="00B9239A" w:rsidP="00A816CE">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EE1C3B">
            <w:rPr>
              <w:rStyle w:val="PageNumber"/>
              <w:rFonts w:cs="Arial"/>
              <w:noProof/>
              <w:szCs w:val="22"/>
            </w:rPr>
            <w:t>7</w:t>
          </w:r>
          <w:r w:rsidRPr="003D7214">
            <w:rPr>
              <w:rStyle w:val="PageNumber"/>
              <w:rFonts w:cs="Arial"/>
              <w:szCs w:val="22"/>
            </w:rPr>
            <w:fldChar w:fldCharType="end"/>
          </w:r>
        </w:p>
      </w:tc>
    </w:tr>
  </w:tbl>
  <w:p w:rsidR="00B9239A" w:rsidRPr="00D4441E" w:rsidRDefault="00B9239A" w:rsidP="002844F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39A" w:rsidRPr="00BA7393" w:rsidRDefault="00B9239A" w:rsidP="00E93F1A">
    <w:pPr>
      <w:pStyle w:val="FooterDraft"/>
      <w:rPr>
        <w:rFonts w:cs="Arial"/>
        <w:b w:val="0"/>
        <w:i/>
        <w:sz w:val="18"/>
        <w:szCs w:val="18"/>
      </w:rPr>
    </w:pPr>
    <w:r>
      <w:rPr>
        <w:rFonts w:cs="Arial"/>
        <w:b w:val="0"/>
        <w:i/>
        <w:sz w:val="18"/>
        <w:szCs w:val="18"/>
      </w:rPr>
      <w:t>Telecommunications Numbering Plan Variation 2016 (No.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84E" w:rsidRDefault="00AD184E">
      <w:r>
        <w:separator/>
      </w:r>
    </w:p>
  </w:footnote>
  <w:footnote w:type="continuationSeparator" w:id="0">
    <w:p w:rsidR="00AD184E" w:rsidRDefault="00AD1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494"/>
      <w:gridCol w:w="6891"/>
    </w:tblGrid>
    <w:tr w:rsidR="00B9239A">
      <w:tc>
        <w:tcPr>
          <w:tcW w:w="1494" w:type="dxa"/>
        </w:tcPr>
        <w:p w:rsidR="00B9239A" w:rsidRDefault="00B9239A" w:rsidP="00A816CE">
          <w:pPr>
            <w:pStyle w:val="HeaderLiteEven"/>
          </w:pPr>
        </w:p>
      </w:tc>
      <w:tc>
        <w:tcPr>
          <w:tcW w:w="6891" w:type="dxa"/>
        </w:tcPr>
        <w:p w:rsidR="00B9239A" w:rsidRDefault="00B9239A" w:rsidP="00A816CE">
          <w:pPr>
            <w:pStyle w:val="HeaderLiteEven"/>
          </w:pPr>
        </w:p>
      </w:tc>
    </w:tr>
    <w:tr w:rsidR="00B9239A">
      <w:tc>
        <w:tcPr>
          <w:tcW w:w="1494" w:type="dxa"/>
        </w:tcPr>
        <w:p w:rsidR="00B9239A" w:rsidRDefault="00B9239A" w:rsidP="00A816CE">
          <w:pPr>
            <w:pStyle w:val="HeaderLiteEven"/>
          </w:pPr>
        </w:p>
      </w:tc>
      <w:tc>
        <w:tcPr>
          <w:tcW w:w="6891" w:type="dxa"/>
        </w:tcPr>
        <w:p w:rsidR="00B9239A" w:rsidRDefault="00B9239A" w:rsidP="00A816CE">
          <w:pPr>
            <w:pStyle w:val="HeaderLiteEven"/>
          </w:pPr>
        </w:p>
      </w:tc>
    </w:tr>
    <w:tr w:rsidR="00B9239A">
      <w:tc>
        <w:tcPr>
          <w:tcW w:w="8385" w:type="dxa"/>
          <w:gridSpan w:val="2"/>
          <w:tcBorders>
            <w:bottom w:val="single" w:sz="4" w:space="0" w:color="auto"/>
          </w:tcBorders>
        </w:tcPr>
        <w:p w:rsidR="00B9239A" w:rsidRDefault="00B9239A" w:rsidP="00A816CE">
          <w:pPr>
            <w:pStyle w:val="HeaderBoldEven"/>
          </w:pPr>
        </w:p>
      </w:tc>
    </w:tr>
  </w:tbl>
  <w:p w:rsidR="00B9239A" w:rsidRDefault="00B9239A" w:rsidP="00A816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39A" w:rsidRPr="002844F3" w:rsidRDefault="000D0D54" w:rsidP="002844F3">
    <w:pPr>
      <w:pBdr>
        <w:bottom w:val="single" w:sz="4" w:space="1" w:color="auto"/>
      </w:pBdr>
      <w:rPr>
        <w:b/>
        <w:sz w:val="20"/>
      </w:rPr>
    </w:pPr>
    <w:r w:rsidRPr="002844F3">
      <w:rPr>
        <w:b/>
        <w:sz w:val="20"/>
      </w:rPr>
      <w:t>Section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D54" w:rsidRPr="002844F3" w:rsidRDefault="000D0D54" w:rsidP="002844F3">
    <w:pPr>
      <w:pBdr>
        <w:bottom w:val="single" w:sz="4" w:space="1" w:color="auto"/>
      </w:pBdr>
      <w:rPr>
        <w:b/>
        <w:sz w:val="20"/>
      </w:rPr>
    </w:pPr>
    <w:r w:rsidRPr="002844F3">
      <w:rPr>
        <w:b/>
        <w:sz w:val="20"/>
      </w:rPr>
      <w:t>S</w:t>
    </w:r>
    <w:r>
      <w:rPr>
        <w:b/>
        <w:sz w:val="20"/>
      </w:rPr>
      <w:t>chedule</w:t>
    </w:r>
    <w:r w:rsidRPr="002844F3">
      <w:rPr>
        <w:b/>
        <w:sz w:val="20"/>
      </w:rPr>
      <w:t xml:space="preserve"> 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D54" w:rsidRPr="002844F3" w:rsidRDefault="000D0D54" w:rsidP="002844F3">
    <w:pPr>
      <w:pStyle w:val="Header"/>
      <w:pBdr>
        <w:bottom w:val="single" w:sz="4" w:space="1" w:color="auto"/>
      </w:pBdr>
      <w:rPr>
        <w:b/>
        <w:sz w:val="20"/>
      </w:rPr>
    </w:pPr>
    <w:r w:rsidRPr="002844F3">
      <w:rPr>
        <w:b/>
        <w:sz w:val="20"/>
      </w:rPr>
      <w:t>Schedule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34769"/>
    <w:multiLevelType w:val="hybridMultilevel"/>
    <w:tmpl w:val="ADE48120"/>
    <w:lvl w:ilvl="0" w:tplc="0C090001">
      <w:start w:val="1"/>
      <w:numFmt w:val="bullet"/>
      <w:lvlText w:val=""/>
      <w:lvlJc w:val="left"/>
      <w:pPr>
        <w:ind w:left="1770" w:hanging="360"/>
      </w:pPr>
      <w:rPr>
        <w:rFonts w:ascii="Symbol" w:hAnsi="Symbol" w:hint="default"/>
      </w:rPr>
    </w:lvl>
    <w:lvl w:ilvl="1" w:tplc="0C090003" w:tentative="1">
      <w:start w:val="1"/>
      <w:numFmt w:val="bullet"/>
      <w:lvlText w:val="o"/>
      <w:lvlJc w:val="left"/>
      <w:pPr>
        <w:ind w:left="2490" w:hanging="360"/>
      </w:pPr>
      <w:rPr>
        <w:rFonts w:ascii="Courier New" w:hAnsi="Courier New" w:cs="Courier New" w:hint="default"/>
      </w:rPr>
    </w:lvl>
    <w:lvl w:ilvl="2" w:tplc="0C090005" w:tentative="1">
      <w:start w:val="1"/>
      <w:numFmt w:val="bullet"/>
      <w:lvlText w:val=""/>
      <w:lvlJc w:val="left"/>
      <w:pPr>
        <w:ind w:left="3210" w:hanging="360"/>
      </w:pPr>
      <w:rPr>
        <w:rFonts w:ascii="Wingdings" w:hAnsi="Wingdings" w:hint="default"/>
      </w:rPr>
    </w:lvl>
    <w:lvl w:ilvl="3" w:tplc="0C090001" w:tentative="1">
      <w:start w:val="1"/>
      <w:numFmt w:val="bullet"/>
      <w:lvlText w:val=""/>
      <w:lvlJc w:val="left"/>
      <w:pPr>
        <w:ind w:left="3930" w:hanging="360"/>
      </w:pPr>
      <w:rPr>
        <w:rFonts w:ascii="Symbol" w:hAnsi="Symbol" w:hint="default"/>
      </w:rPr>
    </w:lvl>
    <w:lvl w:ilvl="4" w:tplc="0C090003" w:tentative="1">
      <w:start w:val="1"/>
      <w:numFmt w:val="bullet"/>
      <w:lvlText w:val="o"/>
      <w:lvlJc w:val="left"/>
      <w:pPr>
        <w:ind w:left="4650" w:hanging="360"/>
      </w:pPr>
      <w:rPr>
        <w:rFonts w:ascii="Courier New" w:hAnsi="Courier New" w:cs="Courier New" w:hint="default"/>
      </w:rPr>
    </w:lvl>
    <w:lvl w:ilvl="5" w:tplc="0C090005" w:tentative="1">
      <w:start w:val="1"/>
      <w:numFmt w:val="bullet"/>
      <w:lvlText w:val=""/>
      <w:lvlJc w:val="left"/>
      <w:pPr>
        <w:ind w:left="5370" w:hanging="360"/>
      </w:pPr>
      <w:rPr>
        <w:rFonts w:ascii="Wingdings" w:hAnsi="Wingdings" w:hint="default"/>
      </w:rPr>
    </w:lvl>
    <w:lvl w:ilvl="6" w:tplc="0C090001" w:tentative="1">
      <w:start w:val="1"/>
      <w:numFmt w:val="bullet"/>
      <w:lvlText w:val=""/>
      <w:lvlJc w:val="left"/>
      <w:pPr>
        <w:ind w:left="6090" w:hanging="360"/>
      </w:pPr>
      <w:rPr>
        <w:rFonts w:ascii="Symbol" w:hAnsi="Symbol" w:hint="default"/>
      </w:rPr>
    </w:lvl>
    <w:lvl w:ilvl="7" w:tplc="0C090003" w:tentative="1">
      <w:start w:val="1"/>
      <w:numFmt w:val="bullet"/>
      <w:lvlText w:val="o"/>
      <w:lvlJc w:val="left"/>
      <w:pPr>
        <w:ind w:left="6810" w:hanging="360"/>
      </w:pPr>
      <w:rPr>
        <w:rFonts w:ascii="Courier New" w:hAnsi="Courier New" w:cs="Courier New" w:hint="default"/>
      </w:rPr>
    </w:lvl>
    <w:lvl w:ilvl="8" w:tplc="0C090005" w:tentative="1">
      <w:start w:val="1"/>
      <w:numFmt w:val="bullet"/>
      <w:lvlText w:val=""/>
      <w:lvlJc w:val="left"/>
      <w:pPr>
        <w:ind w:left="7530" w:hanging="360"/>
      </w:pPr>
      <w:rPr>
        <w:rFonts w:ascii="Wingdings" w:hAnsi="Wingdings" w:hint="default"/>
      </w:rPr>
    </w:lvl>
  </w:abstractNum>
  <w:abstractNum w:abstractNumId="1">
    <w:nsid w:val="07B96B24"/>
    <w:multiLevelType w:val="multilevel"/>
    <w:tmpl w:val="376A62FA"/>
    <w:lvl w:ilvl="0">
      <w:start w:val="1"/>
      <w:numFmt w:val="bullet"/>
      <w:lvlText w:val=""/>
      <w:lvlJc w:val="left"/>
      <w:pPr>
        <w:tabs>
          <w:tab w:val="num" w:pos="1684"/>
        </w:tabs>
        <w:ind w:left="1684" w:hanging="360"/>
      </w:pPr>
      <w:rPr>
        <w:rFonts w:ascii="Symbol" w:hAnsi="Symbol" w:hint="default"/>
      </w:rPr>
    </w:lvl>
    <w:lvl w:ilvl="1">
      <w:start w:val="1"/>
      <w:numFmt w:val="decimal"/>
      <w:lvlText w:val="%1.%2."/>
      <w:lvlJc w:val="left"/>
      <w:pPr>
        <w:tabs>
          <w:tab w:val="num" w:pos="2116"/>
        </w:tabs>
        <w:ind w:left="2116" w:hanging="432"/>
      </w:pPr>
    </w:lvl>
    <w:lvl w:ilvl="2">
      <w:start w:val="1"/>
      <w:numFmt w:val="decimal"/>
      <w:lvlText w:val="%1.%2.%3."/>
      <w:lvlJc w:val="left"/>
      <w:pPr>
        <w:tabs>
          <w:tab w:val="num" w:pos="2764"/>
        </w:tabs>
        <w:ind w:left="2548" w:hanging="504"/>
      </w:pPr>
    </w:lvl>
    <w:lvl w:ilvl="3">
      <w:start w:val="1"/>
      <w:numFmt w:val="decimal"/>
      <w:lvlText w:val="%1.%2.%3.%4."/>
      <w:lvlJc w:val="left"/>
      <w:pPr>
        <w:tabs>
          <w:tab w:val="num" w:pos="3484"/>
        </w:tabs>
        <w:ind w:left="3052" w:hanging="648"/>
      </w:pPr>
    </w:lvl>
    <w:lvl w:ilvl="4">
      <w:start w:val="1"/>
      <w:numFmt w:val="decimal"/>
      <w:lvlText w:val="%1.%2.%3.%4.%5."/>
      <w:lvlJc w:val="left"/>
      <w:pPr>
        <w:tabs>
          <w:tab w:val="num" w:pos="3844"/>
        </w:tabs>
        <w:ind w:left="3556" w:hanging="792"/>
      </w:pPr>
    </w:lvl>
    <w:lvl w:ilvl="5">
      <w:start w:val="1"/>
      <w:numFmt w:val="decimal"/>
      <w:lvlText w:val="%1.%2.%3.%4.%5.%6."/>
      <w:lvlJc w:val="left"/>
      <w:pPr>
        <w:tabs>
          <w:tab w:val="num" w:pos="4564"/>
        </w:tabs>
        <w:ind w:left="4060" w:hanging="936"/>
      </w:pPr>
    </w:lvl>
    <w:lvl w:ilvl="6">
      <w:start w:val="1"/>
      <w:numFmt w:val="decimal"/>
      <w:lvlText w:val="%1.%2.%3.%4.%5.%6.%7."/>
      <w:lvlJc w:val="left"/>
      <w:pPr>
        <w:tabs>
          <w:tab w:val="num" w:pos="4924"/>
        </w:tabs>
        <w:ind w:left="4564" w:hanging="1080"/>
      </w:pPr>
    </w:lvl>
    <w:lvl w:ilvl="7">
      <w:start w:val="1"/>
      <w:numFmt w:val="decimal"/>
      <w:lvlText w:val="%1.%2.%3.%4.%5.%6.%7.%8."/>
      <w:lvlJc w:val="left"/>
      <w:pPr>
        <w:tabs>
          <w:tab w:val="num" w:pos="5644"/>
        </w:tabs>
        <w:ind w:left="5068" w:hanging="1224"/>
      </w:pPr>
    </w:lvl>
    <w:lvl w:ilvl="8">
      <w:start w:val="1"/>
      <w:numFmt w:val="decimal"/>
      <w:lvlText w:val="%1.%2.%3.%4.%5.%6.%7.%8.%9."/>
      <w:lvlJc w:val="left"/>
      <w:pPr>
        <w:tabs>
          <w:tab w:val="num" w:pos="6004"/>
        </w:tabs>
        <w:ind w:left="5644" w:hanging="1440"/>
      </w:pPr>
    </w:lvl>
  </w:abstractNum>
  <w:abstractNum w:abstractNumId="2">
    <w:nsid w:val="087531E4"/>
    <w:multiLevelType w:val="hybridMultilevel"/>
    <w:tmpl w:val="8FDC7E94"/>
    <w:lvl w:ilvl="0" w:tplc="52DC3A5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nsid w:val="099F4EBC"/>
    <w:multiLevelType w:val="hybridMultilevel"/>
    <w:tmpl w:val="B0A8982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0FE505BB"/>
    <w:multiLevelType w:val="hybridMultilevel"/>
    <w:tmpl w:val="5934A6DE"/>
    <w:lvl w:ilvl="0" w:tplc="282ECCF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39A3162"/>
    <w:multiLevelType w:val="hybridMultilevel"/>
    <w:tmpl w:val="724C6F50"/>
    <w:lvl w:ilvl="0" w:tplc="D5F8072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23286CCE"/>
    <w:multiLevelType w:val="hybridMultilevel"/>
    <w:tmpl w:val="D4A422A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7691FDA"/>
    <w:multiLevelType w:val="hybridMultilevel"/>
    <w:tmpl w:val="0FC67ECC"/>
    <w:lvl w:ilvl="0" w:tplc="7C6A673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2A245AE9"/>
    <w:multiLevelType w:val="hybridMultilevel"/>
    <w:tmpl w:val="E9F272DE"/>
    <w:lvl w:ilvl="0" w:tplc="12826C4A">
      <w:start w:val="1"/>
      <w:numFmt w:val="decimal"/>
      <w:lvlText w:val="(%1)"/>
      <w:lvlJc w:val="right"/>
      <w:pPr>
        <w:ind w:left="1930" w:hanging="360"/>
      </w:pPr>
      <w:rPr>
        <w:rFonts w:hint="default"/>
      </w:rPr>
    </w:lvl>
    <w:lvl w:ilvl="1" w:tplc="0C090019">
      <w:start w:val="1"/>
      <w:numFmt w:val="lowerLetter"/>
      <w:lvlText w:val="%2."/>
      <w:lvlJc w:val="left"/>
      <w:pPr>
        <w:ind w:left="2650" w:hanging="360"/>
      </w:pPr>
    </w:lvl>
    <w:lvl w:ilvl="2" w:tplc="0C09001B" w:tentative="1">
      <w:start w:val="1"/>
      <w:numFmt w:val="lowerRoman"/>
      <w:lvlText w:val="%3."/>
      <w:lvlJc w:val="right"/>
      <w:pPr>
        <w:ind w:left="3370" w:hanging="180"/>
      </w:pPr>
    </w:lvl>
    <w:lvl w:ilvl="3" w:tplc="0C09000F" w:tentative="1">
      <w:start w:val="1"/>
      <w:numFmt w:val="decimal"/>
      <w:lvlText w:val="%4."/>
      <w:lvlJc w:val="left"/>
      <w:pPr>
        <w:ind w:left="4090" w:hanging="360"/>
      </w:pPr>
    </w:lvl>
    <w:lvl w:ilvl="4" w:tplc="0C090019" w:tentative="1">
      <w:start w:val="1"/>
      <w:numFmt w:val="lowerLetter"/>
      <w:lvlText w:val="%5."/>
      <w:lvlJc w:val="left"/>
      <w:pPr>
        <w:ind w:left="4810" w:hanging="360"/>
      </w:pPr>
    </w:lvl>
    <w:lvl w:ilvl="5" w:tplc="0C09001B" w:tentative="1">
      <w:start w:val="1"/>
      <w:numFmt w:val="lowerRoman"/>
      <w:lvlText w:val="%6."/>
      <w:lvlJc w:val="right"/>
      <w:pPr>
        <w:ind w:left="5530" w:hanging="180"/>
      </w:pPr>
    </w:lvl>
    <w:lvl w:ilvl="6" w:tplc="0C09000F" w:tentative="1">
      <w:start w:val="1"/>
      <w:numFmt w:val="decimal"/>
      <w:lvlText w:val="%7."/>
      <w:lvlJc w:val="left"/>
      <w:pPr>
        <w:ind w:left="6250" w:hanging="360"/>
      </w:pPr>
    </w:lvl>
    <w:lvl w:ilvl="7" w:tplc="0C090019" w:tentative="1">
      <w:start w:val="1"/>
      <w:numFmt w:val="lowerLetter"/>
      <w:lvlText w:val="%8."/>
      <w:lvlJc w:val="left"/>
      <w:pPr>
        <w:ind w:left="6970" w:hanging="360"/>
      </w:pPr>
    </w:lvl>
    <w:lvl w:ilvl="8" w:tplc="0C09001B" w:tentative="1">
      <w:start w:val="1"/>
      <w:numFmt w:val="lowerRoman"/>
      <w:lvlText w:val="%9."/>
      <w:lvlJc w:val="right"/>
      <w:pPr>
        <w:ind w:left="7690" w:hanging="180"/>
      </w:pPr>
    </w:lvl>
  </w:abstractNum>
  <w:abstractNum w:abstractNumId="9">
    <w:nsid w:val="2D2E6F63"/>
    <w:multiLevelType w:val="hybridMultilevel"/>
    <w:tmpl w:val="2484328E"/>
    <w:lvl w:ilvl="0" w:tplc="F9B436AE">
      <w:start w:val="1"/>
      <w:numFmt w:val="decimal"/>
      <w:lvlText w:val="(%1)"/>
      <w:lvlJc w:val="left"/>
      <w:pPr>
        <w:ind w:left="720" w:hanging="360"/>
      </w:pPr>
      <w:rPr>
        <w:rFonts w:hint="default"/>
      </w:rPr>
    </w:lvl>
    <w:lvl w:ilvl="1" w:tplc="C552556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6837AC0"/>
    <w:multiLevelType w:val="hybridMultilevel"/>
    <w:tmpl w:val="47420DD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9566A32"/>
    <w:multiLevelType w:val="hybridMultilevel"/>
    <w:tmpl w:val="98A46E2E"/>
    <w:lvl w:ilvl="0" w:tplc="2366411E">
      <w:start w:val="1"/>
      <w:numFmt w:val="decimal"/>
      <w:lvlText w:val="(%1)"/>
      <w:lvlJc w:val="right"/>
      <w:pPr>
        <w:ind w:left="19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A7A2516"/>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3D01088A"/>
    <w:multiLevelType w:val="hybridMultilevel"/>
    <w:tmpl w:val="6FA6BAF6"/>
    <w:lvl w:ilvl="0" w:tplc="05AE3F5E">
      <w:start w:val="1"/>
      <w:numFmt w:val="decimal"/>
      <w:lvlText w:val="(%1)"/>
      <w:lvlJc w:val="right"/>
      <w:pPr>
        <w:ind w:left="927" w:hanging="360"/>
      </w:pPr>
      <w:rPr>
        <w:rFonts w:hint="default"/>
      </w:rPr>
    </w:lvl>
    <w:lvl w:ilvl="1" w:tplc="0C090019" w:tentative="1">
      <w:start w:val="1"/>
      <w:numFmt w:val="lowerLetter"/>
      <w:lvlText w:val="%2."/>
      <w:lvlJc w:val="left"/>
      <w:pPr>
        <w:ind w:left="437" w:hanging="360"/>
      </w:pPr>
    </w:lvl>
    <w:lvl w:ilvl="2" w:tplc="0C09001B" w:tentative="1">
      <w:start w:val="1"/>
      <w:numFmt w:val="lowerRoman"/>
      <w:lvlText w:val="%3."/>
      <w:lvlJc w:val="right"/>
      <w:pPr>
        <w:ind w:left="1157" w:hanging="180"/>
      </w:pPr>
    </w:lvl>
    <w:lvl w:ilvl="3" w:tplc="0C09000F" w:tentative="1">
      <w:start w:val="1"/>
      <w:numFmt w:val="decimal"/>
      <w:lvlText w:val="%4."/>
      <w:lvlJc w:val="left"/>
      <w:pPr>
        <w:ind w:left="1877" w:hanging="360"/>
      </w:pPr>
    </w:lvl>
    <w:lvl w:ilvl="4" w:tplc="0C090019" w:tentative="1">
      <w:start w:val="1"/>
      <w:numFmt w:val="lowerLetter"/>
      <w:lvlText w:val="%5."/>
      <w:lvlJc w:val="left"/>
      <w:pPr>
        <w:ind w:left="2597" w:hanging="360"/>
      </w:pPr>
    </w:lvl>
    <w:lvl w:ilvl="5" w:tplc="0C09001B" w:tentative="1">
      <w:start w:val="1"/>
      <w:numFmt w:val="lowerRoman"/>
      <w:lvlText w:val="%6."/>
      <w:lvlJc w:val="right"/>
      <w:pPr>
        <w:ind w:left="3317" w:hanging="180"/>
      </w:pPr>
    </w:lvl>
    <w:lvl w:ilvl="6" w:tplc="0C09000F" w:tentative="1">
      <w:start w:val="1"/>
      <w:numFmt w:val="decimal"/>
      <w:lvlText w:val="%7."/>
      <w:lvlJc w:val="left"/>
      <w:pPr>
        <w:ind w:left="4037" w:hanging="360"/>
      </w:pPr>
    </w:lvl>
    <w:lvl w:ilvl="7" w:tplc="0C090019" w:tentative="1">
      <w:start w:val="1"/>
      <w:numFmt w:val="lowerLetter"/>
      <w:lvlText w:val="%8."/>
      <w:lvlJc w:val="left"/>
      <w:pPr>
        <w:ind w:left="4757" w:hanging="360"/>
      </w:pPr>
    </w:lvl>
    <w:lvl w:ilvl="8" w:tplc="0C09001B" w:tentative="1">
      <w:start w:val="1"/>
      <w:numFmt w:val="lowerRoman"/>
      <w:lvlText w:val="%9."/>
      <w:lvlJc w:val="right"/>
      <w:pPr>
        <w:ind w:left="5477" w:hanging="180"/>
      </w:pPr>
    </w:lvl>
  </w:abstractNum>
  <w:abstractNum w:abstractNumId="14">
    <w:nsid w:val="3F5F502A"/>
    <w:multiLevelType w:val="hybridMultilevel"/>
    <w:tmpl w:val="5AC22A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43C74F3"/>
    <w:multiLevelType w:val="hybridMultilevel"/>
    <w:tmpl w:val="36BE78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48E22CD"/>
    <w:multiLevelType w:val="hybridMultilevel"/>
    <w:tmpl w:val="DAA8E03E"/>
    <w:lvl w:ilvl="0" w:tplc="C5525568">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nsid w:val="596120C2"/>
    <w:multiLevelType w:val="hybridMultilevel"/>
    <w:tmpl w:val="294C9DF2"/>
    <w:lvl w:ilvl="0" w:tplc="99EA3DB8">
      <w:start w:val="1"/>
      <w:numFmt w:val="lowerLetter"/>
      <w:lvlText w:val="(%1)"/>
      <w:lvlJc w:val="left"/>
      <w:pPr>
        <w:ind w:left="1091" w:hanging="360"/>
      </w:pPr>
      <w:rPr>
        <w:rFonts w:hint="default"/>
      </w:rPr>
    </w:lvl>
    <w:lvl w:ilvl="1" w:tplc="0C090019" w:tentative="1">
      <w:start w:val="1"/>
      <w:numFmt w:val="lowerLetter"/>
      <w:lvlText w:val="%2."/>
      <w:lvlJc w:val="left"/>
      <w:pPr>
        <w:ind w:left="1811" w:hanging="360"/>
      </w:pPr>
    </w:lvl>
    <w:lvl w:ilvl="2" w:tplc="0C09001B" w:tentative="1">
      <w:start w:val="1"/>
      <w:numFmt w:val="lowerRoman"/>
      <w:lvlText w:val="%3."/>
      <w:lvlJc w:val="right"/>
      <w:pPr>
        <w:ind w:left="2531" w:hanging="180"/>
      </w:pPr>
    </w:lvl>
    <w:lvl w:ilvl="3" w:tplc="0C09000F" w:tentative="1">
      <w:start w:val="1"/>
      <w:numFmt w:val="decimal"/>
      <w:lvlText w:val="%4."/>
      <w:lvlJc w:val="left"/>
      <w:pPr>
        <w:ind w:left="3251" w:hanging="360"/>
      </w:pPr>
    </w:lvl>
    <w:lvl w:ilvl="4" w:tplc="0C090019" w:tentative="1">
      <w:start w:val="1"/>
      <w:numFmt w:val="lowerLetter"/>
      <w:lvlText w:val="%5."/>
      <w:lvlJc w:val="left"/>
      <w:pPr>
        <w:ind w:left="3971" w:hanging="360"/>
      </w:pPr>
    </w:lvl>
    <w:lvl w:ilvl="5" w:tplc="0C09001B" w:tentative="1">
      <w:start w:val="1"/>
      <w:numFmt w:val="lowerRoman"/>
      <w:lvlText w:val="%6."/>
      <w:lvlJc w:val="right"/>
      <w:pPr>
        <w:ind w:left="4691" w:hanging="180"/>
      </w:pPr>
    </w:lvl>
    <w:lvl w:ilvl="6" w:tplc="0C09000F" w:tentative="1">
      <w:start w:val="1"/>
      <w:numFmt w:val="decimal"/>
      <w:lvlText w:val="%7."/>
      <w:lvlJc w:val="left"/>
      <w:pPr>
        <w:ind w:left="5411" w:hanging="360"/>
      </w:pPr>
    </w:lvl>
    <w:lvl w:ilvl="7" w:tplc="0C090019" w:tentative="1">
      <w:start w:val="1"/>
      <w:numFmt w:val="lowerLetter"/>
      <w:lvlText w:val="%8."/>
      <w:lvlJc w:val="left"/>
      <w:pPr>
        <w:ind w:left="6131" w:hanging="360"/>
      </w:pPr>
    </w:lvl>
    <w:lvl w:ilvl="8" w:tplc="0C09001B" w:tentative="1">
      <w:start w:val="1"/>
      <w:numFmt w:val="lowerRoman"/>
      <w:lvlText w:val="%9."/>
      <w:lvlJc w:val="right"/>
      <w:pPr>
        <w:ind w:left="6851" w:hanging="180"/>
      </w:pPr>
    </w:lvl>
  </w:abstractNum>
  <w:abstractNum w:abstractNumId="18">
    <w:nsid w:val="59E55FCE"/>
    <w:multiLevelType w:val="hybridMultilevel"/>
    <w:tmpl w:val="7728B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DCF1C52"/>
    <w:multiLevelType w:val="hybridMultilevel"/>
    <w:tmpl w:val="1D140752"/>
    <w:lvl w:ilvl="0" w:tplc="230CFBD0">
      <w:start w:val="5"/>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0622AF7"/>
    <w:multiLevelType w:val="hybridMultilevel"/>
    <w:tmpl w:val="A02421D8"/>
    <w:lvl w:ilvl="0" w:tplc="D27A1FDC">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0692FDB"/>
    <w:multiLevelType w:val="hybridMultilevel"/>
    <w:tmpl w:val="613EF32E"/>
    <w:lvl w:ilvl="0" w:tplc="0C09000F">
      <w:start w:val="1"/>
      <w:numFmt w:val="decimal"/>
      <w:lvlText w:val="%1."/>
      <w:lvlJc w:val="left"/>
      <w:pPr>
        <w:ind w:left="720" w:hanging="360"/>
      </w:pPr>
    </w:lvl>
    <w:lvl w:ilvl="1" w:tplc="0C090011">
      <w:start w:val="1"/>
      <w:numFmt w:val="decimal"/>
      <w:lvlText w:val="%2)"/>
      <w:lvlJc w:val="left"/>
      <w:pPr>
        <w:ind w:left="1440" w:hanging="360"/>
      </w:pPr>
    </w:lvl>
    <w:lvl w:ilvl="2" w:tplc="C0423A66">
      <w:start w:val="1"/>
      <w:numFmt w:val="lowerLetter"/>
      <w:lvlText w:val="(%3)"/>
      <w:lvlJc w:val="left"/>
      <w:pPr>
        <w:ind w:left="2160" w:hanging="180"/>
      </w:pPr>
      <w:rPr>
        <w:rFonts w:ascii="Arial" w:hAnsi="Arial" w:hint="default"/>
        <w:sz w:val="22"/>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
  </w:num>
  <w:num w:numId="3">
    <w:abstractNumId w:val="6"/>
  </w:num>
  <w:num w:numId="4">
    <w:abstractNumId w:val="16"/>
  </w:num>
  <w:num w:numId="5">
    <w:abstractNumId w:val="18"/>
  </w:num>
  <w:num w:numId="6">
    <w:abstractNumId w:val="21"/>
  </w:num>
  <w:num w:numId="7">
    <w:abstractNumId w:val="2"/>
  </w:num>
  <w:num w:numId="8">
    <w:abstractNumId w:val="10"/>
  </w:num>
  <w:num w:numId="9">
    <w:abstractNumId w:val="9"/>
  </w:num>
  <w:num w:numId="10">
    <w:abstractNumId w:val="0"/>
  </w:num>
  <w:num w:numId="11">
    <w:abstractNumId w:val="14"/>
  </w:num>
  <w:num w:numId="12">
    <w:abstractNumId w:val="5"/>
  </w:num>
  <w:num w:numId="13">
    <w:abstractNumId w:val="8"/>
  </w:num>
  <w:num w:numId="14">
    <w:abstractNumId w:val="13"/>
  </w:num>
  <w:num w:numId="15">
    <w:abstractNumId w:val="11"/>
  </w:num>
  <w:num w:numId="16">
    <w:abstractNumId w:val="19"/>
  </w:num>
  <w:num w:numId="17">
    <w:abstractNumId w:val="3"/>
  </w:num>
  <w:num w:numId="18">
    <w:abstractNumId w:val="20"/>
  </w:num>
  <w:num w:numId="19">
    <w:abstractNumId w:val="15"/>
  </w:num>
  <w:num w:numId="20">
    <w:abstractNumId w:val="7"/>
  </w:num>
  <w:num w:numId="21">
    <w:abstractNumId w:val="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6CE"/>
    <w:rsid w:val="00026791"/>
    <w:rsid w:val="000339FA"/>
    <w:rsid w:val="00040B27"/>
    <w:rsid w:val="00061CA1"/>
    <w:rsid w:val="00080828"/>
    <w:rsid w:val="0008708D"/>
    <w:rsid w:val="000A2F60"/>
    <w:rsid w:val="000A3798"/>
    <w:rsid w:val="000B5561"/>
    <w:rsid w:val="000B6676"/>
    <w:rsid w:val="000C7629"/>
    <w:rsid w:val="000D0D54"/>
    <w:rsid w:val="000D139D"/>
    <w:rsid w:val="000E3888"/>
    <w:rsid w:val="000E5267"/>
    <w:rsid w:val="000E5425"/>
    <w:rsid w:val="000F2395"/>
    <w:rsid w:val="000F366D"/>
    <w:rsid w:val="000F6F9B"/>
    <w:rsid w:val="001110A2"/>
    <w:rsid w:val="0011631E"/>
    <w:rsid w:val="00125BCE"/>
    <w:rsid w:val="001266DF"/>
    <w:rsid w:val="001303E4"/>
    <w:rsid w:val="001315AA"/>
    <w:rsid w:val="00142FA9"/>
    <w:rsid w:val="0015040D"/>
    <w:rsid w:val="00180C44"/>
    <w:rsid w:val="00190BFE"/>
    <w:rsid w:val="001941D8"/>
    <w:rsid w:val="001976FD"/>
    <w:rsid w:val="001A69C0"/>
    <w:rsid w:val="001B3BC5"/>
    <w:rsid w:val="001B612E"/>
    <w:rsid w:val="001D1EF0"/>
    <w:rsid w:val="001D58AB"/>
    <w:rsid w:val="001F4CB5"/>
    <w:rsid w:val="00207BD4"/>
    <w:rsid w:val="00224FDF"/>
    <w:rsid w:val="002354F7"/>
    <w:rsid w:val="00235AFB"/>
    <w:rsid w:val="002402A1"/>
    <w:rsid w:val="0025346B"/>
    <w:rsid w:val="00260BB8"/>
    <w:rsid w:val="0026674F"/>
    <w:rsid w:val="0027201C"/>
    <w:rsid w:val="002844F3"/>
    <w:rsid w:val="00297368"/>
    <w:rsid w:val="002A280B"/>
    <w:rsid w:val="002A4306"/>
    <w:rsid w:val="002A58A0"/>
    <w:rsid w:val="002B0875"/>
    <w:rsid w:val="002B2195"/>
    <w:rsid w:val="002B69A8"/>
    <w:rsid w:val="002D2856"/>
    <w:rsid w:val="002D4846"/>
    <w:rsid w:val="002D7D12"/>
    <w:rsid w:val="002F09BC"/>
    <w:rsid w:val="002F7BC3"/>
    <w:rsid w:val="003114D1"/>
    <w:rsid w:val="00312044"/>
    <w:rsid w:val="00323199"/>
    <w:rsid w:val="00324FB8"/>
    <w:rsid w:val="00325D98"/>
    <w:rsid w:val="00326680"/>
    <w:rsid w:val="00327E64"/>
    <w:rsid w:val="00344E38"/>
    <w:rsid w:val="00345700"/>
    <w:rsid w:val="00345AD3"/>
    <w:rsid w:val="003544FF"/>
    <w:rsid w:val="0036263D"/>
    <w:rsid w:val="00373587"/>
    <w:rsid w:val="003869FA"/>
    <w:rsid w:val="003A346C"/>
    <w:rsid w:val="003A623D"/>
    <w:rsid w:val="003A6DF0"/>
    <w:rsid w:val="003B5DBA"/>
    <w:rsid w:val="003B6A65"/>
    <w:rsid w:val="003C4873"/>
    <w:rsid w:val="003D29AB"/>
    <w:rsid w:val="003D4D54"/>
    <w:rsid w:val="003F1B74"/>
    <w:rsid w:val="00407D37"/>
    <w:rsid w:val="0041641F"/>
    <w:rsid w:val="004347D0"/>
    <w:rsid w:val="00443D90"/>
    <w:rsid w:val="004443F6"/>
    <w:rsid w:val="00445561"/>
    <w:rsid w:val="00450449"/>
    <w:rsid w:val="00461797"/>
    <w:rsid w:val="0049289F"/>
    <w:rsid w:val="004A5092"/>
    <w:rsid w:val="004A70D4"/>
    <w:rsid w:val="004B5F09"/>
    <w:rsid w:val="004C0AF3"/>
    <w:rsid w:val="004C1CA5"/>
    <w:rsid w:val="004C257F"/>
    <w:rsid w:val="004C26DF"/>
    <w:rsid w:val="004D0EBE"/>
    <w:rsid w:val="004D64E9"/>
    <w:rsid w:val="004D6B7B"/>
    <w:rsid w:val="004E2572"/>
    <w:rsid w:val="004E293B"/>
    <w:rsid w:val="00505C84"/>
    <w:rsid w:val="00507A3F"/>
    <w:rsid w:val="00533012"/>
    <w:rsid w:val="0054597A"/>
    <w:rsid w:val="00554167"/>
    <w:rsid w:val="00554578"/>
    <w:rsid w:val="005664FE"/>
    <w:rsid w:val="00582EE1"/>
    <w:rsid w:val="00584EEA"/>
    <w:rsid w:val="005A4382"/>
    <w:rsid w:val="005A5EEC"/>
    <w:rsid w:val="005A6481"/>
    <w:rsid w:val="005A7020"/>
    <w:rsid w:val="005C5730"/>
    <w:rsid w:val="005D3B6B"/>
    <w:rsid w:val="005D571E"/>
    <w:rsid w:val="005E0A33"/>
    <w:rsid w:val="005F4FF4"/>
    <w:rsid w:val="00600BE1"/>
    <w:rsid w:val="00605C98"/>
    <w:rsid w:val="00606509"/>
    <w:rsid w:val="006237A0"/>
    <w:rsid w:val="00637677"/>
    <w:rsid w:val="00644BC0"/>
    <w:rsid w:val="0065260A"/>
    <w:rsid w:val="0065382F"/>
    <w:rsid w:val="00661D8E"/>
    <w:rsid w:val="00666077"/>
    <w:rsid w:val="00680718"/>
    <w:rsid w:val="006B11B8"/>
    <w:rsid w:val="006B2890"/>
    <w:rsid w:val="006B7A57"/>
    <w:rsid w:val="006C3FC9"/>
    <w:rsid w:val="006D3FB2"/>
    <w:rsid w:val="006E1B30"/>
    <w:rsid w:val="00707754"/>
    <w:rsid w:val="00712705"/>
    <w:rsid w:val="00720EE4"/>
    <w:rsid w:val="007250C8"/>
    <w:rsid w:val="00730238"/>
    <w:rsid w:val="00747125"/>
    <w:rsid w:val="00747A73"/>
    <w:rsid w:val="00756755"/>
    <w:rsid w:val="007704BF"/>
    <w:rsid w:val="0077153B"/>
    <w:rsid w:val="00774B1B"/>
    <w:rsid w:val="00775727"/>
    <w:rsid w:val="00786C9A"/>
    <w:rsid w:val="00790B65"/>
    <w:rsid w:val="007B0262"/>
    <w:rsid w:val="007B5FB4"/>
    <w:rsid w:val="007E388B"/>
    <w:rsid w:val="007E7691"/>
    <w:rsid w:val="007F2930"/>
    <w:rsid w:val="00812BE1"/>
    <w:rsid w:val="008200E9"/>
    <w:rsid w:val="0082321D"/>
    <w:rsid w:val="008312AB"/>
    <w:rsid w:val="008543F2"/>
    <w:rsid w:val="008606D4"/>
    <w:rsid w:val="00860F6F"/>
    <w:rsid w:val="008610B4"/>
    <w:rsid w:val="0086521E"/>
    <w:rsid w:val="0087632C"/>
    <w:rsid w:val="00876935"/>
    <w:rsid w:val="008828D6"/>
    <w:rsid w:val="008A418A"/>
    <w:rsid w:val="008A6BE9"/>
    <w:rsid w:val="008B0768"/>
    <w:rsid w:val="008B77A8"/>
    <w:rsid w:val="008C4EDA"/>
    <w:rsid w:val="008D6214"/>
    <w:rsid w:val="008E5886"/>
    <w:rsid w:val="008F12D0"/>
    <w:rsid w:val="008F44A1"/>
    <w:rsid w:val="00903A01"/>
    <w:rsid w:val="00923D82"/>
    <w:rsid w:val="00927716"/>
    <w:rsid w:val="009308C2"/>
    <w:rsid w:val="009315E3"/>
    <w:rsid w:val="009408F8"/>
    <w:rsid w:val="00952DF9"/>
    <w:rsid w:val="00954A4C"/>
    <w:rsid w:val="00957126"/>
    <w:rsid w:val="009651D1"/>
    <w:rsid w:val="00980C3C"/>
    <w:rsid w:val="00986AFF"/>
    <w:rsid w:val="00991A22"/>
    <w:rsid w:val="009957AA"/>
    <w:rsid w:val="009970D9"/>
    <w:rsid w:val="009A1BED"/>
    <w:rsid w:val="009E13E8"/>
    <w:rsid w:val="009E3150"/>
    <w:rsid w:val="009E368C"/>
    <w:rsid w:val="009E5C54"/>
    <w:rsid w:val="009E6CCB"/>
    <w:rsid w:val="009F4122"/>
    <w:rsid w:val="00A01563"/>
    <w:rsid w:val="00A2123E"/>
    <w:rsid w:val="00A42974"/>
    <w:rsid w:val="00A478DC"/>
    <w:rsid w:val="00A55968"/>
    <w:rsid w:val="00A816CE"/>
    <w:rsid w:val="00A85F7F"/>
    <w:rsid w:val="00A9680E"/>
    <w:rsid w:val="00AA667A"/>
    <w:rsid w:val="00AB17A5"/>
    <w:rsid w:val="00AB5928"/>
    <w:rsid w:val="00AC57A5"/>
    <w:rsid w:val="00AD184E"/>
    <w:rsid w:val="00AD3AF3"/>
    <w:rsid w:val="00AD7AD2"/>
    <w:rsid w:val="00B21E4D"/>
    <w:rsid w:val="00B233EE"/>
    <w:rsid w:val="00B55F33"/>
    <w:rsid w:val="00B5709C"/>
    <w:rsid w:val="00B57138"/>
    <w:rsid w:val="00B8129D"/>
    <w:rsid w:val="00B877FF"/>
    <w:rsid w:val="00B9239A"/>
    <w:rsid w:val="00BA69C4"/>
    <w:rsid w:val="00BA7393"/>
    <w:rsid w:val="00BB059F"/>
    <w:rsid w:val="00BB18DF"/>
    <w:rsid w:val="00BB1A8C"/>
    <w:rsid w:val="00BB3E47"/>
    <w:rsid w:val="00BB5EBF"/>
    <w:rsid w:val="00BC4800"/>
    <w:rsid w:val="00BE5F55"/>
    <w:rsid w:val="00BE6770"/>
    <w:rsid w:val="00BF009C"/>
    <w:rsid w:val="00C003C3"/>
    <w:rsid w:val="00C03133"/>
    <w:rsid w:val="00C154E7"/>
    <w:rsid w:val="00C20794"/>
    <w:rsid w:val="00C23555"/>
    <w:rsid w:val="00C23981"/>
    <w:rsid w:val="00C26580"/>
    <w:rsid w:val="00C408A9"/>
    <w:rsid w:val="00C51ED9"/>
    <w:rsid w:val="00C63E31"/>
    <w:rsid w:val="00C706A3"/>
    <w:rsid w:val="00C812ED"/>
    <w:rsid w:val="00C82589"/>
    <w:rsid w:val="00CA4273"/>
    <w:rsid w:val="00CA5025"/>
    <w:rsid w:val="00CA711C"/>
    <w:rsid w:val="00CC5FF7"/>
    <w:rsid w:val="00CD6003"/>
    <w:rsid w:val="00CD6BD7"/>
    <w:rsid w:val="00CE2E8C"/>
    <w:rsid w:val="00CF5766"/>
    <w:rsid w:val="00D17AF3"/>
    <w:rsid w:val="00D35260"/>
    <w:rsid w:val="00D44353"/>
    <w:rsid w:val="00D4441E"/>
    <w:rsid w:val="00D4555E"/>
    <w:rsid w:val="00D455DF"/>
    <w:rsid w:val="00D45835"/>
    <w:rsid w:val="00D5235C"/>
    <w:rsid w:val="00D54323"/>
    <w:rsid w:val="00D722FB"/>
    <w:rsid w:val="00D92B2C"/>
    <w:rsid w:val="00DA3386"/>
    <w:rsid w:val="00DD23FD"/>
    <w:rsid w:val="00DF4BAC"/>
    <w:rsid w:val="00DF51A2"/>
    <w:rsid w:val="00E0384A"/>
    <w:rsid w:val="00E22874"/>
    <w:rsid w:val="00E27025"/>
    <w:rsid w:val="00E32BB4"/>
    <w:rsid w:val="00E33B97"/>
    <w:rsid w:val="00E347AD"/>
    <w:rsid w:val="00E35BD6"/>
    <w:rsid w:val="00E36C79"/>
    <w:rsid w:val="00E412CC"/>
    <w:rsid w:val="00E44FDF"/>
    <w:rsid w:val="00E52136"/>
    <w:rsid w:val="00E56E35"/>
    <w:rsid w:val="00E65AA7"/>
    <w:rsid w:val="00E808C6"/>
    <w:rsid w:val="00E875D8"/>
    <w:rsid w:val="00E93F1A"/>
    <w:rsid w:val="00EB0694"/>
    <w:rsid w:val="00EB6254"/>
    <w:rsid w:val="00EE1C3B"/>
    <w:rsid w:val="00F14DC4"/>
    <w:rsid w:val="00F32DA1"/>
    <w:rsid w:val="00F341E3"/>
    <w:rsid w:val="00F41CF8"/>
    <w:rsid w:val="00F50FD1"/>
    <w:rsid w:val="00F703D0"/>
    <w:rsid w:val="00F87B2C"/>
    <w:rsid w:val="00F92CB1"/>
    <w:rsid w:val="00FB5212"/>
    <w:rsid w:val="00FC3F42"/>
    <w:rsid w:val="00FC71E8"/>
    <w:rsid w:val="00FE2036"/>
    <w:rsid w:val="00FE305F"/>
    <w:rsid w:val="00FE49FD"/>
    <w:rsid w:val="00FF017B"/>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AA7F25B-6C0F-40A2-93F9-BBCD6AB65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3F2"/>
    <w:rPr>
      <w:rFonts w:ascii="Arial" w:hAnsi="Arial"/>
      <w:sz w:val="22"/>
      <w:szCs w:val="24"/>
    </w:rPr>
  </w:style>
  <w:style w:type="paragraph" w:styleId="Heading2">
    <w:name w:val="heading 2"/>
    <w:basedOn w:val="Normal"/>
    <w:next w:val="Normal"/>
    <w:link w:val="Heading2Char"/>
    <w:qFormat/>
    <w:rsid w:val="00323199"/>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A816CE"/>
    <w:pPr>
      <w:spacing w:before="120" w:after="60"/>
    </w:pPr>
    <w:rPr>
      <w:b/>
      <w:sz w:val="20"/>
    </w:rPr>
  </w:style>
  <w:style w:type="paragraph" w:customStyle="1" w:styleId="HeaderBoldOdd">
    <w:name w:val="HeaderBoldOdd"/>
    <w:basedOn w:val="Normal"/>
    <w:rsid w:val="00A816CE"/>
    <w:pPr>
      <w:spacing w:before="120" w:after="60"/>
      <w:jc w:val="right"/>
    </w:pPr>
    <w:rPr>
      <w:b/>
      <w:sz w:val="20"/>
    </w:rPr>
  </w:style>
  <w:style w:type="paragraph" w:customStyle="1" w:styleId="HeaderLiteEven">
    <w:name w:val="HeaderLiteEven"/>
    <w:basedOn w:val="Normal"/>
    <w:rsid w:val="00A816CE"/>
    <w:pPr>
      <w:tabs>
        <w:tab w:val="center" w:pos="3969"/>
        <w:tab w:val="right" w:pos="8505"/>
      </w:tabs>
      <w:spacing w:before="60"/>
    </w:pPr>
    <w:rPr>
      <w:sz w:val="18"/>
    </w:rPr>
  </w:style>
  <w:style w:type="paragraph" w:customStyle="1" w:styleId="HeaderContentsPage">
    <w:name w:val="HeaderContents&quot;Page&quot;"/>
    <w:basedOn w:val="Normal"/>
    <w:rsid w:val="00A816CE"/>
    <w:pPr>
      <w:spacing w:before="120" w:after="120"/>
      <w:jc w:val="right"/>
    </w:pPr>
    <w:rPr>
      <w:sz w:val="20"/>
    </w:rPr>
  </w:style>
  <w:style w:type="paragraph" w:customStyle="1" w:styleId="HeaderLiteOdd">
    <w:name w:val="HeaderLiteOdd"/>
    <w:basedOn w:val="Normal"/>
    <w:rsid w:val="00A816CE"/>
    <w:pPr>
      <w:tabs>
        <w:tab w:val="center" w:pos="3969"/>
        <w:tab w:val="right" w:pos="8505"/>
      </w:tabs>
      <w:spacing w:before="60"/>
      <w:jc w:val="right"/>
    </w:pPr>
    <w:rPr>
      <w:sz w:val="18"/>
    </w:rPr>
  </w:style>
  <w:style w:type="paragraph" w:styleId="Footer">
    <w:name w:val="footer"/>
    <w:basedOn w:val="Normal"/>
    <w:rsid w:val="00A816CE"/>
    <w:pPr>
      <w:tabs>
        <w:tab w:val="center" w:pos="3600"/>
        <w:tab w:val="right" w:pos="7201"/>
      </w:tabs>
      <w:jc w:val="center"/>
    </w:pPr>
    <w:rPr>
      <w:i/>
      <w:sz w:val="18"/>
      <w:szCs w:val="18"/>
    </w:rPr>
  </w:style>
  <w:style w:type="paragraph" w:customStyle="1" w:styleId="FooterDraft">
    <w:name w:val="FooterDraft"/>
    <w:basedOn w:val="Normal"/>
    <w:rsid w:val="00A816CE"/>
    <w:pPr>
      <w:jc w:val="center"/>
    </w:pPr>
    <w:rPr>
      <w:b/>
      <w:sz w:val="40"/>
    </w:rPr>
  </w:style>
  <w:style w:type="paragraph" w:customStyle="1" w:styleId="FooterInfo">
    <w:name w:val="FooterInfo"/>
    <w:basedOn w:val="Normal"/>
    <w:rsid w:val="00A816CE"/>
    <w:rPr>
      <w:sz w:val="12"/>
    </w:rPr>
  </w:style>
  <w:style w:type="paragraph" w:styleId="Header">
    <w:name w:val="header"/>
    <w:basedOn w:val="Normal"/>
    <w:rsid w:val="00A816CE"/>
    <w:pPr>
      <w:tabs>
        <w:tab w:val="center" w:pos="3969"/>
        <w:tab w:val="right" w:pos="8505"/>
      </w:tabs>
      <w:jc w:val="both"/>
    </w:pPr>
    <w:rPr>
      <w:sz w:val="16"/>
    </w:rPr>
  </w:style>
  <w:style w:type="character" w:styleId="PageNumber">
    <w:name w:val="page number"/>
    <w:basedOn w:val="DefaultParagraphFont"/>
    <w:rsid w:val="00A816CE"/>
    <w:rPr>
      <w:rFonts w:ascii="Arial" w:hAnsi="Arial"/>
      <w:sz w:val="22"/>
    </w:rPr>
  </w:style>
  <w:style w:type="table" w:styleId="TableGrid">
    <w:name w:val="Table Grid"/>
    <w:basedOn w:val="TableNormal"/>
    <w:rsid w:val="00A81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qFormat/>
    <w:rsid w:val="00A816CE"/>
    <w:pPr>
      <w:spacing w:before="480"/>
    </w:pPr>
    <w:rPr>
      <w:rFonts w:cs="Arial"/>
      <w:b/>
      <w:bCs/>
      <w:sz w:val="40"/>
      <w:szCs w:val="40"/>
    </w:rPr>
  </w:style>
  <w:style w:type="character" w:customStyle="1" w:styleId="CharChapNo">
    <w:name w:val="CharChapNo"/>
    <w:basedOn w:val="DefaultParagraphFont"/>
    <w:rsid w:val="00A816CE"/>
  </w:style>
  <w:style w:type="character" w:customStyle="1" w:styleId="CharDivNo">
    <w:name w:val="CharDivNo"/>
    <w:basedOn w:val="DefaultParagraphFont"/>
    <w:rsid w:val="00A816CE"/>
  </w:style>
  <w:style w:type="character" w:customStyle="1" w:styleId="CharDivText">
    <w:name w:val="CharDivText"/>
    <w:basedOn w:val="DefaultParagraphFont"/>
    <w:rsid w:val="00A816CE"/>
  </w:style>
  <w:style w:type="character" w:customStyle="1" w:styleId="CharPartNo">
    <w:name w:val="CharPartNo"/>
    <w:basedOn w:val="DefaultParagraphFont"/>
    <w:rsid w:val="00A816CE"/>
  </w:style>
  <w:style w:type="character" w:customStyle="1" w:styleId="CharPartText">
    <w:name w:val="CharPartText"/>
    <w:basedOn w:val="DefaultParagraphFont"/>
    <w:rsid w:val="00A816CE"/>
  </w:style>
  <w:style w:type="paragraph" w:customStyle="1" w:styleId="definition">
    <w:name w:val="definition"/>
    <w:basedOn w:val="Normal"/>
    <w:rsid w:val="00A816CE"/>
    <w:pPr>
      <w:spacing w:before="80" w:line="260" w:lineRule="exact"/>
      <w:ind w:left="964"/>
      <w:jc w:val="both"/>
    </w:pPr>
    <w:rPr>
      <w:rFonts w:ascii="Times New Roman" w:hAnsi="Times New Roman"/>
      <w:sz w:val="24"/>
    </w:rPr>
  </w:style>
  <w:style w:type="paragraph" w:customStyle="1" w:styleId="HP">
    <w:name w:val="HP"/>
    <w:aliases w:val="Part Heading"/>
    <w:basedOn w:val="Normal"/>
    <w:next w:val="Normal"/>
    <w:rsid w:val="00A816CE"/>
    <w:pPr>
      <w:keepNext/>
      <w:keepLines/>
      <w:spacing w:before="360"/>
      <w:ind w:left="2410" w:hanging="2410"/>
    </w:pPr>
    <w:rPr>
      <w:b/>
      <w:sz w:val="32"/>
    </w:rPr>
  </w:style>
  <w:style w:type="paragraph" w:customStyle="1" w:styleId="HR">
    <w:name w:val="HR"/>
    <w:aliases w:val="Regulation Heading"/>
    <w:basedOn w:val="Normal"/>
    <w:next w:val="R1"/>
    <w:rsid w:val="00A816CE"/>
    <w:pPr>
      <w:keepNext/>
      <w:keepLines/>
      <w:spacing w:before="360"/>
      <w:ind w:left="964" w:hanging="964"/>
    </w:pPr>
    <w:rPr>
      <w:b/>
      <w:sz w:val="24"/>
    </w:rPr>
  </w:style>
  <w:style w:type="paragraph" w:customStyle="1" w:styleId="HSR">
    <w:name w:val="HSR"/>
    <w:aliases w:val="Subregulation Heading"/>
    <w:basedOn w:val="Normal"/>
    <w:next w:val="Normal"/>
    <w:rsid w:val="00A816CE"/>
    <w:pPr>
      <w:keepNext/>
      <w:spacing w:before="300"/>
      <w:ind w:left="964"/>
    </w:pPr>
    <w:rPr>
      <w:i/>
      <w:sz w:val="24"/>
    </w:rPr>
  </w:style>
  <w:style w:type="paragraph" w:customStyle="1" w:styleId="Note">
    <w:name w:val="Note"/>
    <w:basedOn w:val="Normal"/>
    <w:rsid w:val="00A816CE"/>
    <w:pPr>
      <w:keepLines/>
      <w:spacing w:before="120" w:line="220" w:lineRule="exact"/>
      <w:ind w:left="964"/>
      <w:jc w:val="both"/>
    </w:pPr>
    <w:rPr>
      <w:rFonts w:ascii="Times New Roman" w:hAnsi="Times New Roman"/>
      <w:sz w:val="20"/>
    </w:rPr>
  </w:style>
  <w:style w:type="paragraph" w:customStyle="1" w:styleId="P1">
    <w:name w:val="P1"/>
    <w:aliases w:val="(a)"/>
    <w:basedOn w:val="Normal"/>
    <w:rsid w:val="00A816CE"/>
    <w:pPr>
      <w:keepLines/>
      <w:tabs>
        <w:tab w:val="right" w:pos="1191"/>
      </w:tabs>
      <w:spacing w:before="60" w:line="260" w:lineRule="exact"/>
      <w:ind w:left="1418" w:hanging="1418"/>
      <w:jc w:val="both"/>
    </w:pPr>
    <w:rPr>
      <w:rFonts w:ascii="Times New Roman" w:hAnsi="Times New Roman"/>
      <w:sz w:val="24"/>
    </w:rPr>
  </w:style>
  <w:style w:type="paragraph" w:customStyle="1" w:styleId="P2">
    <w:name w:val="P2"/>
    <w:aliases w:val="(i)"/>
    <w:basedOn w:val="Normal"/>
    <w:rsid w:val="00A816CE"/>
    <w:pPr>
      <w:keepLines/>
      <w:tabs>
        <w:tab w:val="right" w:pos="1758"/>
        <w:tab w:val="left" w:pos="2155"/>
      </w:tabs>
      <w:spacing w:before="60" w:line="260" w:lineRule="exact"/>
      <w:ind w:left="1985" w:hanging="1985"/>
      <w:jc w:val="both"/>
    </w:pPr>
    <w:rPr>
      <w:rFonts w:ascii="Times New Roman" w:hAnsi="Times New Roman"/>
      <w:sz w:val="24"/>
    </w:rPr>
  </w:style>
  <w:style w:type="paragraph" w:customStyle="1" w:styleId="Query">
    <w:name w:val="Query"/>
    <w:aliases w:val="QY"/>
    <w:basedOn w:val="Normal"/>
    <w:rsid w:val="00A816CE"/>
    <w:pPr>
      <w:spacing w:before="180" w:line="260" w:lineRule="exact"/>
      <w:ind w:left="964" w:hanging="964"/>
      <w:jc w:val="both"/>
    </w:pPr>
    <w:rPr>
      <w:rFonts w:ascii="Times New Roman" w:hAnsi="Times New Roman"/>
      <w:b/>
      <w:i/>
      <w:sz w:val="24"/>
    </w:rPr>
  </w:style>
  <w:style w:type="paragraph" w:customStyle="1" w:styleId="R1">
    <w:name w:val="R1"/>
    <w:aliases w:val="1. or 1.(1)"/>
    <w:basedOn w:val="Normal"/>
    <w:next w:val="R2"/>
    <w:rsid w:val="00A816CE"/>
    <w:pPr>
      <w:keepLines/>
      <w:tabs>
        <w:tab w:val="right" w:pos="794"/>
      </w:tabs>
      <w:spacing w:before="120" w:line="260" w:lineRule="exact"/>
      <w:ind w:left="964" w:hanging="964"/>
      <w:jc w:val="both"/>
    </w:pPr>
    <w:rPr>
      <w:rFonts w:ascii="Times New Roman" w:hAnsi="Times New Roman"/>
      <w:sz w:val="24"/>
    </w:rPr>
  </w:style>
  <w:style w:type="paragraph" w:customStyle="1" w:styleId="R2">
    <w:name w:val="R2"/>
    <w:aliases w:val="(2)"/>
    <w:basedOn w:val="Normal"/>
    <w:rsid w:val="00A816CE"/>
    <w:pPr>
      <w:keepLines/>
      <w:tabs>
        <w:tab w:val="right" w:pos="794"/>
      </w:tabs>
      <w:spacing w:before="180" w:line="260" w:lineRule="exact"/>
      <w:ind w:left="964" w:hanging="964"/>
      <w:jc w:val="both"/>
    </w:pPr>
    <w:rPr>
      <w:rFonts w:ascii="Times New Roman" w:hAnsi="Times New Roman"/>
      <w:sz w:val="24"/>
    </w:rPr>
  </w:style>
  <w:style w:type="paragraph" w:customStyle="1" w:styleId="Rc">
    <w:name w:val="Rc"/>
    <w:aliases w:val="Rn continued"/>
    <w:basedOn w:val="Normal"/>
    <w:next w:val="R2"/>
    <w:rsid w:val="00A816CE"/>
    <w:pPr>
      <w:spacing w:before="60" w:line="260" w:lineRule="exact"/>
      <w:ind w:left="964"/>
      <w:jc w:val="both"/>
    </w:pPr>
    <w:rPr>
      <w:rFonts w:ascii="Times New Roman" w:hAnsi="Times New Roman"/>
      <w:sz w:val="24"/>
    </w:rPr>
  </w:style>
  <w:style w:type="paragraph" w:customStyle="1" w:styleId="FooterCitation">
    <w:name w:val="FooterCitation"/>
    <w:basedOn w:val="Footer"/>
    <w:rsid w:val="00A816CE"/>
    <w:pPr>
      <w:tabs>
        <w:tab w:val="clear" w:pos="3600"/>
        <w:tab w:val="clear" w:pos="7201"/>
        <w:tab w:val="center" w:pos="4153"/>
        <w:tab w:val="right" w:pos="8306"/>
      </w:tabs>
      <w:spacing w:before="20" w:line="240" w:lineRule="exact"/>
    </w:pPr>
    <w:rPr>
      <w:szCs w:val="24"/>
    </w:rPr>
  </w:style>
  <w:style w:type="paragraph" w:customStyle="1" w:styleId="SigningPageBreak">
    <w:name w:val="SigningPageBreak"/>
    <w:basedOn w:val="Normal"/>
    <w:next w:val="Normal"/>
    <w:rsid w:val="00A816CE"/>
    <w:rPr>
      <w:rFonts w:ascii="Times New Roman" w:hAnsi="Times New Roman"/>
      <w:sz w:val="24"/>
    </w:rPr>
  </w:style>
  <w:style w:type="paragraph" w:styleId="BalloonText">
    <w:name w:val="Balloon Text"/>
    <w:basedOn w:val="Normal"/>
    <w:semiHidden/>
    <w:rsid w:val="00A816CE"/>
    <w:rPr>
      <w:rFonts w:ascii="Tahoma" w:hAnsi="Tahoma" w:cs="Tahoma"/>
      <w:sz w:val="16"/>
      <w:szCs w:val="16"/>
    </w:rPr>
  </w:style>
  <w:style w:type="character" w:styleId="CommentReference">
    <w:name w:val="annotation reference"/>
    <w:basedOn w:val="DefaultParagraphFont"/>
    <w:semiHidden/>
    <w:rsid w:val="001266DF"/>
    <w:rPr>
      <w:sz w:val="16"/>
      <w:szCs w:val="16"/>
    </w:rPr>
  </w:style>
  <w:style w:type="paragraph" w:styleId="CommentText">
    <w:name w:val="annotation text"/>
    <w:basedOn w:val="Normal"/>
    <w:semiHidden/>
    <w:rsid w:val="001266DF"/>
    <w:rPr>
      <w:sz w:val="20"/>
      <w:szCs w:val="20"/>
    </w:rPr>
  </w:style>
  <w:style w:type="paragraph" w:styleId="CommentSubject">
    <w:name w:val="annotation subject"/>
    <w:basedOn w:val="CommentText"/>
    <w:next w:val="CommentText"/>
    <w:semiHidden/>
    <w:rsid w:val="001266DF"/>
    <w:rPr>
      <w:b/>
      <w:bCs/>
    </w:rPr>
  </w:style>
  <w:style w:type="paragraph" w:customStyle="1" w:styleId="ACMABodyText">
    <w:name w:val="ACMA Body Text"/>
    <w:rsid w:val="00756755"/>
    <w:pPr>
      <w:suppressAutoHyphens/>
      <w:spacing w:before="80" w:after="120" w:line="280" w:lineRule="atLeast"/>
    </w:pPr>
    <w:rPr>
      <w:snapToGrid w:val="0"/>
      <w:sz w:val="24"/>
      <w:lang w:eastAsia="en-US"/>
    </w:rPr>
  </w:style>
  <w:style w:type="character" w:customStyle="1" w:styleId="Heading2Char">
    <w:name w:val="Heading 2 Char"/>
    <w:basedOn w:val="DefaultParagraphFont"/>
    <w:link w:val="Heading2"/>
    <w:rsid w:val="00323199"/>
    <w:rPr>
      <w:rFonts w:ascii="Arial" w:hAnsi="Arial" w:cs="Arial"/>
      <w:b/>
      <w:bCs/>
      <w:i/>
      <w:iCs/>
      <w:sz w:val="28"/>
      <w:szCs w:val="28"/>
    </w:rPr>
  </w:style>
  <w:style w:type="paragraph" w:styleId="Revision">
    <w:name w:val="Revision"/>
    <w:hidden/>
    <w:uiPriority w:val="99"/>
    <w:semiHidden/>
    <w:rsid w:val="008A6BE9"/>
    <w:rPr>
      <w:rFonts w:ascii="Arial" w:hAnsi="Arial"/>
      <w:sz w:val="22"/>
      <w:szCs w:val="24"/>
    </w:rPr>
  </w:style>
  <w:style w:type="paragraph" w:customStyle="1" w:styleId="ACMATableText">
    <w:name w:val="ACMA Table Text"/>
    <w:rsid w:val="000A2F60"/>
    <w:pPr>
      <w:spacing w:before="40" w:after="40"/>
    </w:pPr>
    <w:rPr>
      <w:rFonts w:ascii="Arial" w:hAnsi="Arial"/>
      <w:lang w:eastAsia="en-US"/>
    </w:rPr>
  </w:style>
  <w:style w:type="paragraph" w:styleId="ListParagraph">
    <w:name w:val="List Paragraph"/>
    <w:basedOn w:val="Normal"/>
    <w:uiPriority w:val="34"/>
    <w:qFormat/>
    <w:rsid w:val="004D6B7B"/>
    <w:pPr>
      <w:ind w:left="720"/>
      <w:contextualSpacing/>
    </w:pPr>
  </w:style>
  <w:style w:type="paragraph" w:styleId="EndnoteText">
    <w:name w:val="endnote text"/>
    <w:basedOn w:val="Normal"/>
    <w:link w:val="EndnoteTextChar"/>
    <w:rsid w:val="009E368C"/>
    <w:rPr>
      <w:sz w:val="20"/>
      <w:szCs w:val="20"/>
    </w:rPr>
  </w:style>
  <w:style w:type="character" w:customStyle="1" w:styleId="EndnoteTextChar">
    <w:name w:val="Endnote Text Char"/>
    <w:basedOn w:val="DefaultParagraphFont"/>
    <w:link w:val="EndnoteText"/>
    <w:rsid w:val="009E368C"/>
    <w:rPr>
      <w:rFonts w:ascii="Arial" w:hAnsi="Arial"/>
    </w:rPr>
  </w:style>
  <w:style w:type="character" w:styleId="EndnoteReference">
    <w:name w:val="endnote reference"/>
    <w:basedOn w:val="DefaultParagraphFont"/>
    <w:rsid w:val="009E368C"/>
    <w:rPr>
      <w:vertAlign w:val="superscript"/>
    </w:rPr>
  </w:style>
  <w:style w:type="character" w:styleId="Hyperlink">
    <w:name w:val="Hyperlink"/>
    <w:basedOn w:val="DefaultParagraphFont"/>
    <w:rsid w:val="009E368C"/>
    <w:rPr>
      <w:color w:val="0000FF" w:themeColor="hyperlink"/>
      <w:u w:val="single"/>
    </w:rPr>
  </w:style>
  <w:style w:type="paragraph" w:customStyle="1" w:styleId="NoteEnd">
    <w:name w:val="Note End"/>
    <w:basedOn w:val="Normal"/>
    <w:rsid w:val="0065382F"/>
    <w:pPr>
      <w:keepLines/>
      <w:spacing w:before="120" w:line="240" w:lineRule="exact"/>
      <w:ind w:left="567" w:hanging="567"/>
      <w:jc w:val="both"/>
    </w:pPr>
    <w:rPr>
      <w:rFonts w:ascii="Times New Roman" w:hAnsi="Times New Roman"/>
    </w:rPr>
  </w:style>
  <w:style w:type="paragraph" w:customStyle="1" w:styleId="subsection">
    <w:name w:val="subsection"/>
    <w:basedOn w:val="Normal"/>
    <w:rsid w:val="00A2123E"/>
    <w:pPr>
      <w:spacing w:before="100" w:beforeAutospacing="1" w:after="100" w:afterAutospacing="1"/>
    </w:pPr>
    <w:rPr>
      <w:rFonts w:ascii="Times New Roman" w:hAnsi="Times New Roman"/>
      <w:sz w:val="24"/>
    </w:rPr>
  </w:style>
  <w:style w:type="character" w:customStyle="1" w:styleId="apple-converted-space">
    <w:name w:val="apple-converted-space"/>
    <w:basedOn w:val="DefaultParagraphFont"/>
    <w:rsid w:val="00A2123E"/>
  </w:style>
  <w:style w:type="paragraph" w:customStyle="1" w:styleId="paragraph">
    <w:name w:val="paragraph"/>
    <w:basedOn w:val="Normal"/>
    <w:rsid w:val="00A2123E"/>
    <w:pPr>
      <w:spacing w:before="100" w:beforeAutospacing="1" w:after="100" w:afterAutospacing="1"/>
    </w:pPr>
    <w:rPr>
      <w:rFonts w:ascii="Times New Roman" w:hAnsi="Times New Roman"/>
      <w:sz w:val="24"/>
    </w:rPr>
  </w:style>
  <w:style w:type="paragraph" w:customStyle="1" w:styleId="notetext">
    <w:name w:val="notetext"/>
    <w:basedOn w:val="Normal"/>
    <w:rsid w:val="009970D9"/>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4946">
      <w:bodyDiv w:val="1"/>
      <w:marLeft w:val="0"/>
      <w:marRight w:val="0"/>
      <w:marTop w:val="0"/>
      <w:marBottom w:val="0"/>
      <w:divBdr>
        <w:top w:val="none" w:sz="0" w:space="0" w:color="auto"/>
        <w:left w:val="none" w:sz="0" w:space="0" w:color="auto"/>
        <w:bottom w:val="none" w:sz="0" w:space="0" w:color="auto"/>
        <w:right w:val="none" w:sz="0" w:space="0" w:color="auto"/>
      </w:divBdr>
    </w:div>
    <w:div w:id="570507357">
      <w:bodyDiv w:val="1"/>
      <w:marLeft w:val="0"/>
      <w:marRight w:val="0"/>
      <w:marTop w:val="0"/>
      <w:marBottom w:val="0"/>
      <w:divBdr>
        <w:top w:val="none" w:sz="0" w:space="0" w:color="auto"/>
        <w:left w:val="none" w:sz="0" w:space="0" w:color="auto"/>
        <w:bottom w:val="none" w:sz="0" w:space="0" w:color="auto"/>
        <w:right w:val="none" w:sz="0" w:space="0" w:color="auto"/>
      </w:divBdr>
    </w:div>
    <w:div w:id="590548940">
      <w:bodyDiv w:val="1"/>
      <w:marLeft w:val="0"/>
      <w:marRight w:val="0"/>
      <w:marTop w:val="0"/>
      <w:marBottom w:val="0"/>
      <w:divBdr>
        <w:top w:val="none" w:sz="0" w:space="0" w:color="auto"/>
        <w:left w:val="none" w:sz="0" w:space="0" w:color="auto"/>
        <w:bottom w:val="none" w:sz="0" w:space="0" w:color="auto"/>
        <w:right w:val="none" w:sz="0" w:space="0" w:color="auto"/>
      </w:divBdr>
    </w:div>
    <w:div w:id="738938271">
      <w:bodyDiv w:val="1"/>
      <w:marLeft w:val="0"/>
      <w:marRight w:val="0"/>
      <w:marTop w:val="0"/>
      <w:marBottom w:val="0"/>
      <w:divBdr>
        <w:top w:val="none" w:sz="0" w:space="0" w:color="auto"/>
        <w:left w:val="none" w:sz="0" w:space="0" w:color="auto"/>
        <w:bottom w:val="none" w:sz="0" w:space="0" w:color="auto"/>
        <w:right w:val="none" w:sz="0" w:space="0" w:color="auto"/>
      </w:divBdr>
    </w:div>
    <w:div w:id="143304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slation.gov.a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27553-A70B-4C8A-967C-A69B685C2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1450</Words>
  <Characters>7546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Communications Media Authority</Company>
  <LinksUpToDate>false</LinksUpToDate>
  <CharactersWithSpaces>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ahenson</dc:creator>
  <cp:lastModifiedBy>Helen Turnbull</cp:lastModifiedBy>
  <cp:revision>2</cp:revision>
  <cp:lastPrinted>2012-10-18T06:01:00Z</cp:lastPrinted>
  <dcterms:created xsi:type="dcterms:W3CDTF">2016-03-18T00:19:00Z</dcterms:created>
  <dcterms:modified xsi:type="dcterms:W3CDTF">2016-03-18T00:19:00Z</dcterms:modified>
</cp:coreProperties>
</file>