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0340" w14:textId="77777777" w:rsidR="00E030CF" w:rsidRPr="001734A9" w:rsidRDefault="00E030CF" w:rsidP="00E030CF">
      <w:pPr>
        <w:jc w:val="center"/>
        <w:rPr>
          <w:rFonts w:ascii="Arial" w:hAnsi="Arial" w:cs="Arial"/>
          <w:b/>
          <w:szCs w:val="24"/>
          <w:u w:val="single"/>
        </w:rPr>
      </w:pPr>
      <w:r w:rsidRPr="001734A9">
        <w:rPr>
          <w:rFonts w:ascii="Arial" w:hAnsi="Arial" w:cs="Arial"/>
          <w:b/>
          <w:szCs w:val="24"/>
          <w:u w:val="single"/>
        </w:rPr>
        <w:t>EXPLANATORY STATEMENT</w:t>
      </w:r>
    </w:p>
    <w:p w14:paraId="0B7B6387" w14:textId="77777777" w:rsidR="00E030CF" w:rsidRDefault="00E030CF" w:rsidP="00E030CF">
      <w:pPr>
        <w:jc w:val="center"/>
        <w:rPr>
          <w:rFonts w:ascii="Arial" w:hAnsi="Arial" w:cs="Arial"/>
          <w:b/>
          <w:sz w:val="22"/>
          <w:szCs w:val="22"/>
        </w:rPr>
      </w:pPr>
    </w:p>
    <w:p w14:paraId="17A5EB24" w14:textId="77777777" w:rsidR="00E030CF" w:rsidRDefault="00E030CF" w:rsidP="00E030CF">
      <w:pPr>
        <w:jc w:val="center"/>
        <w:rPr>
          <w:rFonts w:ascii="Arial" w:hAnsi="Arial" w:cs="Arial"/>
          <w:b/>
          <w:sz w:val="22"/>
          <w:szCs w:val="22"/>
        </w:rPr>
      </w:pPr>
      <w:r>
        <w:rPr>
          <w:rFonts w:ascii="Arial" w:hAnsi="Arial" w:cs="Arial"/>
          <w:b/>
          <w:sz w:val="22"/>
          <w:szCs w:val="22"/>
        </w:rPr>
        <w:t>Prepared by the Australian Communications and Media Authority</w:t>
      </w:r>
    </w:p>
    <w:p w14:paraId="533A874A" w14:textId="77777777" w:rsidR="00E030CF" w:rsidRPr="001734A9" w:rsidRDefault="00E030CF" w:rsidP="00E030CF">
      <w:pPr>
        <w:jc w:val="center"/>
        <w:rPr>
          <w:rFonts w:ascii="Arial" w:hAnsi="Arial" w:cs="Arial"/>
          <w:b/>
          <w:i/>
          <w:sz w:val="28"/>
          <w:szCs w:val="28"/>
        </w:rPr>
      </w:pPr>
    </w:p>
    <w:p w14:paraId="47B51E68" w14:textId="0638DBAF" w:rsidR="00E030CF" w:rsidRDefault="00513ADB" w:rsidP="00E030CF">
      <w:pPr>
        <w:jc w:val="center"/>
        <w:rPr>
          <w:rFonts w:ascii="Arial" w:hAnsi="Arial" w:cs="Arial"/>
          <w:b/>
          <w:sz w:val="22"/>
          <w:szCs w:val="22"/>
        </w:rPr>
      </w:pPr>
      <w:r w:rsidRPr="00513ADB">
        <w:rPr>
          <w:rFonts w:ascii="Arial" w:hAnsi="Arial" w:cs="Arial"/>
          <w:b/>
          <w:sz w:val="22"/>
          <w:szCs w:val="22"/>
        </w:rPr>
        <w:t>Telecommunications Numbering Plan Variation 2016 (No.1)</w:t>
      </w:r>
    </w:p>
    <w:p w14:paraId="0A5C4BF5" w14:textId="77777777" w:rsidR="00E030CF" w:rsidRPr="00263D63" w:rsidRDefault="00E030CF" w:rsidP="00E030CF">
      <w:pPr>
        <w:jc w:val="center"/>
        <w:rPr>
          <w:rFonts w:ascii="Arial" w:hAnsi="Arial" w:cs="Arial"/>
          <w:b/>
          <w:sz w:val="22"/>
          <w:szCs w:val="22"/>
        </w:rPr>
      </w:pPr>
    </w:p>
    <w:p w14:paraId="11DAB71F" w14:textId="77777777" w:rsidR="00E030CF" w:rsidRDefault="00E030CF" w:rsidP="00E030CF">
      <w:pPr>
        <w:spacing w:after="240"/>
        <w:rPr>
          <w:rFonts w:ascii="Arial" w:hAnsi="Arial" w:cs="Arial"/>
          <w:b/>
          <w:sz w:val="22"/>
          <w:szCs w:val="22"/>
        </w:rPr>
      </w:pPr>
      <w:r>
        <w:rPr>
          <w:rFonts w:ascii="Arial" w:hAnsi="Arial" w:cs="Arial"/>
          <w:b/>
          <w:sz w:val="22"/>
          <w:szCs w:val="22"/>
        </w:rPr>
        <w:t>Purpose</w:t>
      </w:r>
      <w:bookmarkStart w:id="0" w:name="_GoBack"/>
      <w:bookmarkEnd w:id="0"/>
    </w:p>
    <w:p w14:paraId="0EAFCDD2" w14:textId="77777777" w:rsidR="00E030CF" w:rsidRDefault="00E030CF" w:rsidP="00F10F24">
      <w:pPr>
        <w:rPr>
          <w:rFonts w:ascii="Arial" w:hAnsi="Arial" w:cs="Arial"/>
          <w:sz w:val="22"/>
          <w:szCs w:val="22"/>
        </w:rPr>
      </w:pPr>
      <w:r w:rsidRPr="008E0EED">
        <w:rPr>
          <w:rFonts w:ascii="Arial" w:hAnsi="Arial" w:cs="Arial"/>
          <w:sz w:val="22"/>
          <w:szCs w:val="22"/>
        </w:rPr>
        <w:t xml:space="preserve">The </w:t>
      </w:r>
      <w:r>
        <w:rPr>
          <w:rFonts w:ascii="Arial" w:hAnsi="Arial" w:cs="Arial"/>
          <w:sz w:val="22"/>
          <w:szCs w:val="22"/>
        </w:rPr>
        <w:t xml:space="preserve">Australian Communications and Media Authority (the ACMA) has made the </w:t>
      </w:r>
      <w:r w:rsidRPr="006242E8">
        <w:rPr>
          <w:rFonts w:ascii="Arial" w:hAnsi="Arial" w:cs="Arial"/>
          <w:i/>
          <w:sz w:val="22"/>
          <w:szCs w:val="22"/>
        </w:rPr>
        <w:t xml:space="preserve">Telecommunications Numbering Plan </w:t>
      </w:r>
      <w:r w:rsidR="00F10F24">
        <w:rPr>
          <w:rFonts w:ascii="Arial" w:hAnsi="Arial" w:cs="Arial"/>
          <w:i/>
          <w:sz w:val="22"/>
          <w:szCs w:val="22"/>
        </w:rPr>
        <w:t>Variation 2016 (No.1)</w:t>
      </w:r>
      <w:r>
        <w:rPr>
          <w:rFonts w:ascii="Arial" w:hAnsi="Arial" w:cs="Arial"/>
          <w:sz w:val="22"/>
          <w:szCs w:val="22"/>
        </w:rPr>
        <w:t xml:space="preserve"> (the </w:t>
      </w:r>
      <w:r w:rsidR="00F10F24">
        <w:rPr>
          <w:rFonts w:ascii="Arial" w:hAnsi="Arial" w:cs="Arial"/>
          <w:sz w:val="22"/>
          <w:szCs w:val="22"/>
        </w:rPr>
        <w:t>Variation</w:t>
      </w:r>
      <w:r>
        <w:rPr>
          <w:rFonts w:ascii="Arial" w:hAnsi="Arial" w:cs="Arial"/>
          <w:sz w:val="22"/>
          <w:szCs w:val="22"/>
        </w:rPr>
        <w:t xml:space="preserve">) to </w:t>
      </w:r>
      <w:r w:rsidR="00F10F24">
        <w:rPr>
          <w:rFonts w:ascii="Arial" w:hAnsi="Arial" w:cs="Arial"/>
          <w:snapToGrid w:val="0"/>
          <w:sz w:val="22"/>
          <w:szCs w:val="22"/>
        </w:rPr>
        <w:t xml:space="preserve">improve the operation of the </w:t>
      </w:r>
      <w:r w:rsidR="00DA1693" w:rsidRPr="006C244C">
        <w:rPr>
          <w:rFonts w:ascii="Arial" w:hAnsi="Arial" w:cs="Arial"/>
          <w:i/>
          <w:snapToGrid w:val="0"/>
          <w:sz w:val="22"/>
          <w:szCs w:val="22"/>
        </w:rPr>
        <w:t xml:space="preserve">Telecommunications </w:t>
      </w:r>
      <w:r w:rsidR="00F10F24" w:rsidRPr="006C244C">
        <w:rPr>
          <w:rFonts w:ascii="Arial" w:hAnsi="Arial" w:cs="Arial"/>
          <w:i/>
          <w:snapToGrid w:val="0"/>
          <w:sz w:val="22"/>
          <w:szCs w:val="22"/>
        </w:rPr>
        <w:t>Numbering Plan</w:t>
      </w:r>
      <w:r w:rsidR="00DA1693" w:rsidRPr="006C244C">
        <w:rPr>
          <w:rFonts w:ascii="Arial" w:hAnsi="Arial" w:cs="Arial"/>
          <w:i/>
          <w:snapToGrid w:val="0"/>
          <w:sz w:val="22"/>
          <w:szCs w:val="22"/>
        </w:rPr>
        <w:t xml:space="preserve"> 2015</w:t>
      </w:r>
      <w:r w:rsidR="00DA1693">
        <w:rPr>
          <w:rFonts w:ascii="Arial" w:hAnsi="Arial" w:cs="Arial"/>
          <w:snapToGrid w:val="0"/>
          <w:sz w:val="22"/>
          <w:szCs w:val="22"/>
        </w:rPr>
        <w:t xml:space="preserve"> (the Numbering Plan)</w:t>
      </w:r>
      <w:r>
        <w:rPr>
          <w:rFonts w:ascii="Arial" w:hAnsi="Arial" w:cs="Arial"/>
          <w:sz w:val="22"/>
          <w:szCs w:val="22"/>
        </w:rPr>
        <w:t xml:space="preserve">. </w:t>
      </w:r>
    </w:p>
    <w:p w14:paraId="0977B58D" w14:textId="77777777" w:rsidR="00E030CF" w:rsidRPr="00335974" w:rsidRDefault="00E030CF" w:rsidP="00E030CF">
      <w:pPr>
        <w:spacing w:before="120" w:after="120"/>
        <w:rPr>
          <w:rFonts w:ascii="Arial" w:hAnsi="Arial" w:cs="Arial"/>
          <w:b/>
          <w:sz w:val="22"/>
          <w:szCs w:val="22"/>
        </w:rPr>
      </w:pPr>
      <w:r w:rsidRPr="00335974">
        <w:rPr>
          <w:rFonts w:ascii="Arial" w:hAnsi="Arial" w:cs="Arial"/>
          <w:b/>
          <w:sz w:val="22"/>
          <w:szCs w:val="22"/>
        </w:rPr>
        <w:t>Background</w:t>
      </w:r>
    </w:p>
    <w:p w14:paraId="507CA7E8" w14:textId="05397A58" w:rsidR="00E030CF" w:rsidRPr="001734A9" w:rsidRDefault="00E030CF" w:rsidP="00E030CF">
      <w:pPr>
        <w:spacing w:before="120" w:after="120"/>
        <w:rPr>
          <w:rFonts w:ascii="Arial" w:hAnsi="Arial" w:cs="Arial"/>
          <w:sz w:val="22"/>
          <w:szCs w:val="22"/>
        </w:rPr>
      </w:pPr>
      <w:r w:rsidRPr="00335974">
        <w:rPr>
          <w:rFonts w:ascii="Arial" w:hAnsi="Arial" w:cs="Arial"/>
          <w:sz w:val="22"/>
          <w:szCs w:val="22"/>
        </w:rPr>
        <w:t xml:space="preserve">The Numbering Plan forms part of the telecommunications regulatory framework under the </w:t>
      </w:r>
      <w:r w:rsidR="00DE356D" w:rsidRPr="00FB41E1">
        <w:rPr>
          <w:rFonts w:ascii="Arial" w:hAnsi="Arial" w:cs="Arial"/>
          <w:i/>
          <w:sz w:val="22"/>
          <w:szCs w:val="22"/>
        </w:rPr>
        <w:t xml:space="preserve">Telecommunications </w:t>
      </w:r>
      <w:r w:rsidRPr="00FB41E1">
        <w:rPr>
          <w:rFonts w:ascii="Arial" w:hAnsi="Arial" w:cs="Arial"/>
          <w:i/>
          <w:sz w:val="22"/>
          <w:szCs w:val="22"/>
        </w:rPr>
        <w:t>Act</w:t>
      </w:r>
      <w:r w:rsidR="00DE356D" w:rsidRPr="00FB41E1">
        <w:rPr>
          <w:rFonts w:ascii="Arial" w:hAnsi="Arial" w:cs="Arial"/>
          <w:i/>
          <w:sz w:val="22"/>
          <w:szCs w:val="22"/>
        </w:rPr>
        <w:t xml:space="preserve"> 1997</w:t>
      </w:r>
      <w:r w:rsidR="00DE356D">
        <w:rPr>
          <w:rFonts w:ascii="Arial" w:hAnsi="Arial" w:cs="Arial"/>
          <w:sz w:val="22"/>
          <w:szCs w:val="22"/>
        </w:rPr>
        <w:t xml:space="preserve"> (the Act)</w:t>
      </w:r>
      <w:r w:rsidRPr="00335974">
        <w:rPr>
          <w:rFonts w:ascii="Arial" w:hAnsi="Arial" w:cs="Arial"/>
          <w:sz w:val="22"/>
          <w:szCs w:val="22"/>
        </w:rPr>
        <w:t xml:space="preserve"> for the numbering of carriage services</w:t>
      </w:r>
      <w:r w:rsidRPr="001734A9">
        <w:rPr>
          <w:rFonts w:ascii="Arial" w:hAnsi="Arial" w:cs="Arial"/>
          <w:sz w:val="22"/>
          <w:szCs w:val="22"/>
        </w:rPr>
        <w:t>.</w:t>
      </w:r>
      <w:r w:rsidRPr="00335974">
        <w:rPr>
          <w:rFonts w:ascii="Arial" w:hAnsi="Arial" w:cs="Arial"/>
          <w:sz w:val="22"/>
          <w:szCs w:val="22"/>
        </w:rPr>
        <w:t xml:space="preserve">  </w:t>
      </w:r>
      <w:r w:rsidR="00DA1693">
        <w:rPr>
          <w:rFonts w:ascii="Arial" w:hAnsi="Arial" w:cs="Arial"/>
          <w:sz w:val="22"/>
          <w:szCs w:val="22"/>
        </w:rPr>
        <w:t xml:space="preserve">The ACMA made the Numbering Plan in March 2015 to address the impending </w:t>
      </w:r>
      <w:proofErr w:type="spellStart"/>
      <w:r w:rsidR="00DA1693">
        <w:rPr>
          <w:rFonts w:ascii="Arial" w:hAnsi="Arial" w:cs="Arial"/>
          <w:sz w:val="22"/>
          <w:szCs w:val="22"/>
        </w:rPr>
        <w:t>sunsetting</w:t>
      </w:r>
      <w:proofErr w:type="spellEnd"/>
      <w:r w:rsidR="00DA1693">
        <w:rPr>
          <w:rFonts w:ascii="Arial" w:hAnsi="Arial" w:cs="Arial"/>
          <w:sz w:val="22"/>
          <w:szCs w:val="22"/>
        </w:rPr>
        <w:t xml:space="preserve"> of the </w:t>
      </w:r>
      <w:r w:rsidR="00DA1693">
        <w:rPr>
          <w:rFonts w:ascii="Arial" w:hAnsi="Arial" w:cs="Arial"/>
          <w:i/>
          <w:sz w:val="22"/>
          <w:szCs w:val="22"/>
        </w:rPr>
        <w:t>Telecommunications Numbering Plan 1997</w:t>
      </w:r>
      <w:r w:rsidR="00DA1693">
        <w:rPr>
          <w:rFonts w:ascii="Arial" w:hAnsi="Arial" w:cs="Arial"/>
          <w:sz w:val="22"/>
          <w:szCs w:val="22"/>
        </w:rPr>
        <w:t xml:space="preserve"> and to </w:t>
      </w:r>
      <w:r w:rsidR="00793DB9" w:rsidRPr="001734A9">
        <w:rPr>
          <w:rFonts w:ascii="Arial" w:hAnsi="Arial" w:cs="Arial"/>
          <w:sz w:val="22"/>
          <w:szCs w:val="22"/>
        </w:rPr>
        <w:t xml:space="preserve">facilitate the delegation of the majority of </w:t>
      </w:r>
      <w:r w:rsidR="00793DB9">
        <w:rPr>
          <w:rFonts w:ascii="Arial" w:hAnsi="Arial" w:cs="Arial"/>
          <w:sz w:val="22"/>
          <w:szCs w:val="22"/>
        </w:rPr>
        <w:t xml:space="preserve">the </w:t>
      </w:r>
      <w:r w:rsidR="00793DB9" w:rsidRPr="001734A9">
        <w:rPr>
          <w:rFonts w:ascii="Arial" w:hAnsi="Arial" w:cs="Arial"/>
          <w:sz w:val="22"/>
          <w:szCs w:val="22"/>
        </w:rPr>
        <w:t>ACMA’s numbering functions and powers to a</w:t>
      </w:r>
      <w:r w:rsidR="00084861">
        <w:rPr>
          <w:rFonts w:ascii="Arial" w:hAnsi="Arial" w:cs="Arial"/>
          <w:sz w:val="22"/>
          <w:szCs w:val="22"/>
        </w:rPr>
        <w:t xml:space="preserve">n external </w:t>
      </w:r>
      <w:r w:rsidR="00793DB9" w:rsidRPr="001734A9">
        <w:rPr>
          <w:rFonts w:ascii="Arial" w:hAnsi="Arial" w:cs="Arial"/>
          <w:sz w:val="22"/>
          <w:szCs w:val="22"/>
        </w:rPr>
        <w:t>provider</w:t>
      </w:r>
      <w:r w:rsidR="00DA1693">
        <w:rPr>
          <w:rFonts w:ascii="Arial" w:hAnsi="Arial" w:cs="Arial"/>
          <w:sz w:val="22"/>
          <w:szCs w:val="22"/>
        </w:rPr>
        <w:t>.</w:t>
      </w:r>
      <w:r w:rsidR="00793DB9">
        <w:rPr>
          <w:rFonts w:ascii="Arial" w:hAnsi="Arial" w:cs="Arial"/>
          <w:sz w:val="22"/>
          <w:szCs w:val="22"/>
        </w:rPr>
        <w:t xml:space="preserve"> From 3 August 2015, </w:t>
      </w:r>
      <w:r w:rsidR="00793DB9" w:rsidRPr="00335974">
        <w:rPr>
          <w:rFonts w:ascii="Arial" w:hAnsi="Arial" w:cs="Arial"/>
          <w:sz w:val="22"/>
          <w:szCs w:val="22"/>
        </w:rPr>
        <w:t>ZOAK</w:t>
      </w:r>
      <w:r w:rsidRPr="00335974">
        <w:rPr>
          <w:rFonts w:ascii="Arial" w:hAnsi="Arial" w:cs="Arial"/>
          <w:sz w:val="22"/>
          <w:szCs w:val="22"/>
        </w:rPr>
        <w:t xml:space="preserve"> Solutions Pty Ltd </w:t>
      </w:r>
      <w:r w:rsidR="00793DB9">
        <w:rPr>
          <w:rFonts w:ascii="Arial" w:hAnsi="Arial" w:cs="Arial"/>
          <w:sz w:val="22"/>
          <w:szCs w:val="22"/>
        </w:rPr>
        <w:t xml:space="preserve">(ZOAK) has </w:t>
      </w:r>
      <w:r w:rsidRPr="00335974">
        <w:rPr>
          <w:rFonts w:ascii="Arial" w:hAnsi="Arial" w:cs="Arial"/>
          <w:sz w:val="22"/>
          <w:szCs w:val="22"/>
        </w:rPr>
        <w:t>provide</w:t>
      </w:r>
      <w:r w:rsidR="00793DB9">
        <w:rPr>
          <w:rFonts w:ascii="Arial" w:hAnsi="Arial" w:cs="Arial"/>
          <w:sz w:val="22"/>
          <w:szCs w:val="22"/>
        </w:rPr>
        <w:t>d</w:t>
      </w:r>
      <w:r w:rsidRPr="00335974">
        <w:rPr>
          <w:rFonts w:ascii="Arial" w:hAnsi="Arial" w:cs="Arial"/>
          <w:sz w:val="22"/>
          <w:szCs w:val="22"/>
        </w:rPr>
        <w:t xml:space="preserve"> allocation and administ</w:t>
      </w:r>
      <w:r w:rsidRPr="003B0839">
        <w:rPr>
          <w:rFonts w:ascii="Arial" w:hAnsi="Arial" w:cs="Arial"/>
          <w:sz w:val="22"/>
          <w:szCs w:val="22"/>
        </w:rPr>
        <w:t>rative services for most of Australia’s telephone numbers.</w:t>
      </w:r>
      <w:r w:rsidRPr="001734A9">
        <w:rPr>
          <w:rFonts w:ascii="Arial" w:hAnsi="Arial" w:cs="Arial"/>
          <w:sz w:val="22"/>
          <w:szCs w:val="22"/>
        </w:rPr>
        <w:t xml:space="preserve"> </w:t>
      </w:r>
    </w:p>
    <w:p w14:paraId="59424646" w14:textId="081BD273" w:rsidR="00E030CF" w:rsidRPr="001734A9" w:rsidRDefault="00CA1283" w:rsidP="00E030CF">
      <w:pPr>
        <w:pStyle w:val="ACMABodyText"/>
        <w:spacing w:before="120"/>
        <w:rPr>
          <w:rFonts w:ascii="Arial" w:hAnsi="Arial" w:cs="Arial"/>
          <w:sz w:val="22"/>
          <w:szCs w:val="22"/>
        </w:rPr>
      </w:pPr>
      <w:r>
        <w:rPr>
          <w:rFonts w:ascii="Arial" w:hAnsi="Arial" w:cs="Arial"/>
          <w:sz w:val="22"/>
          <w:szCs w:val="22"/>
        </w:rPr>
        <w:t>Since ZOAK commenced service provision on 3 August 2015, the ACMA and carriage service provider (CSP) stakeholders have identified a number of changes which would further streamline the automated number allocation process and improve the operation of the Numbering Plan.</w:t>
      </w:r>
    </w:p>
    <w:p w14:paraId="598E8BD4" w14:textId="231103B9" w:rsidR="007E0BF3" w:rsidRDefault="007E0BF3" w:rsidP="00E030CF">
      <w:pPr>
        <w:spacing w:before="120" w:after="120"/>
        <w:rPr>
          <w:rFonts w:ascii="Arial" w:hAnsi="Arial" w:cs="Arial"/>
          <w:b/>
          <w:sz w:val="22"/>
          <w:szCs w:val="22"/>
        </w:rPr>
      </w:pPr>
      <w:r>
        <w:rPr>
          <w:rFonts w:ascii="Arial" w:hAnsi="Arial" w:cs="Arial"/>
          <w:b/>
          <w:sz w:val="22"/>
          <w:szCs w:val="22"/>
        </w:rPr>
        <w:t>Legislative provisions</w:t>
      </w:r>
      <w:r w:rsidR="000540B9">
        <w:rPr>
          <w:rFonts w:ascii="Arial" w:hAnsi="Arial" w:cs="Arial"/>
          <w:b/>
          <w:sz w:val="22"/>
          <w:szCs w:val="22"/>
        </w:rPr>
        <w:t xml:space="preserve"> and operation</w:t>
      </w:r>
    </w:p>
    <w:p w14:paraId="4E5544B7" w14:textId="1E6A74CA" w:rsidR="007E0BF3" w:rsidRDefault="000540B9" w:rsidP="00E030CF">
      <w:pPr>
        <w:spacing w:before="120" w:after="120"/>
        <w:rPr>
          <w:rFonts w:ascii="Arial" w:hAnsi="Arial" w:cs="Arial"/>
          <w:sz w:val="22"/>
          <w:szCs w:val="22"/>
        </w:rPr>
      </w:pPr>
      <w:r>
        <w:rPr>
          <w:rFonts w:ascii="Arial" w:hAnsi="Arial" w:cs="Arial"/>
          <w:sz w:val="22"/>
          <w:szCs w:val="22"/>
        </w:rPr>
        <w:t xml:space="preserve">The ACMA has made the Numbering Plan under subsection 455(1) of the Act. The </w:t>
      </w:r>
      <w:r w:rsidR="00E030CF" w:rsidRPr="00FF5816">
        <w:rPr>
          <w:rFonts w:ascii="Arial" w:hAnsi="Arial" w:cs="Arial"/>
          <w:sz w:val="22"/>
          <w:szCs w:val="22"/>
        </w:rPr>
        <w:t xml:space="preserve">Numbering Plan sets out the framework for the numbering of carriage services in Australia and the use of numbers in connection with the supply of these services. </w:t>
      </w:r>
      <w:r w:rsidR="00E030CF">
        <w:rPr>
          <w:rFonts w:ascii="Arial" w:hAnsi="Arial" w:cs="Arial"/>
          <w:sz w:val="22"/>
          <w:szCs w:val="22"/>
        </w:rPr>
        <w:t xml:space="preserve">It specifies </w:t>
      </w:r>
      <w:r w:rsidR="00E030CF" w:rsidRPr="00FF5816">
        <w:rPr>
          <w:rFonts w:ascii="Arial" w:hAnsi="Arial" w:cs="Arial"/>
          <w:sz w:val="22"/>
          <w:szCs w:val="22"/>
        </w:rPr>
        <w:t xml:space="preserve">the rules for the allocation, transfer, surrender, </w:t>
      </w:r>
      <w:r w:rsidR="00E030CF">
        <w:rPr>
          <w:rFonts w:ascii="Arial" w:hAnsi="Arial" w:cs="Arial"/>
          <w:sz w:val="22"/>
          <w:szCs w:val="22"/>
        </w:rPr>
        <w:t xml:space="preserve">withdrawal, </w:t>
      </w:r>
      <w:r w:rsidR="00E030CF" w:rsidRPr="00FF5816">
        <w:rPr>
          <w:rFonts w:ascii="Arial" w:hAnsi="Arial" w:cs="Arial"/>
          <w:sz w:val="22"/>
          <w:szCs w:val="22"/>
        </w:rPr>
        <w:t>portability and use of different types of numbers</w:t>
      </w:r>
      <w:r w:rsidR="00E030CF">
        <w:rPr>
          <w:rFonts w:ascii="Arial" w:hAnsi="Arial" w:cs="Arial"/>
          <w:sz w:val="22"/>
          <w:szCs w:val="22"/>
        </w:rPr>
        <w:t>.  The Numbering Plan also places obligations on carriage service providers when using numbers to supply carriage services.</w:t>
      </w:r>
      <w:r w:rsidR="007E0BF3">
        <w:rPr>
          <w:rFonts w:ascii="Arial" w:hAnsi="Arial" w:cs="Arial"/>
          <w:sz w:val="22"/>
          <w:szCs w:val="22"/>
        </w:rPr>
        <w:t xml:space="preserve"> Compliance with the Numbering Plan is a requirement of the Act and is enforceable as a civil penalty provision.</w:t>
      </w:r>
      <w:r w:rsidR="00E030CF">
        <w:rPr>
          <w:rFonts w:ascii="Arial" w:hAnsi="Arial" w:cs="Arial"/>
          <w:sz w:val="22"/>
          <w:szCs w:val="22"/>
        </w:rPr>
        <w:t xml:space="preserve"> </w:t>
      </w:r>
    </w:p>
    <w:p w14:paraId="250374CF" w14:textId="1F3A30C1" w:rsidR="000540B9" w:rsidRDefault="000540B9" w:rsidP="00E030CF">
      <w:pPr>
        <w:spacing w:before="120" w:after="120"/>
        <w:rPr>
          <w:rFonts w:ascii="Arial" w:hAnsi="Arial" w:cs="Arial"/>
          <w:sz w:val="22"/>
          <w:szCs w:val="22"/>
        </w:rPr>
      </w:pPr>
      <w:r>
        <w:rPr>
          <w:rFonts w:ascii="Arial" w:hAnsi="Arial" w:cs="Arial"/>
          <w:sz w:val="22"/>
          <w:szCs w:val="22"/>
        </w:rPr>
        <w:t xml:space="preserve">Subsection 33(3) of the </w:t>
      </w:r>
      <w:r w:rsidRPr="004C5148">
        <w:rPr>
          <w:rFonts w:ascii="Arial" w:hAnsi="Arial" w:cs="Arial"/>
          <w:i/>
          <w:sz w:val="22"/>
          <w:szCs w:val="22"/>
        </w:rPr>
        <w:t>Acts Interpretation Act 1901</w:t>
      </w:r>
      <w:r>
        <w:rPr>
          <w:rFonts w:ascii="Arial" w:hAnsi="Arial" w:cs="Arial"/>
          <w:sz w:val="22"/>
          <w:szCs w:val="22"/>
        </w:rPr>
        <w:t xml:space="preserve"> (the AIA) provides that where an Act confers a power to make, grant or issue any instrument, the power includes a power to amend or vary that instrument, in the like manner and subject to the like conditions as making the instrument. </w:t>
      </w:r>
    </w:p>
    <w:p w14:paraId="3FD0E3CB" w14:textId="0B5BAA2B" w:rsidR="007E0BF3" w:rsidRPr="00FF5816" w:rsidRDefault="000540B9" w:rsidP="00E030CF">
      <w:pPr>
        <w:spacing w:before="120" w:after="120"/>
        <w:rPr>
          <w:rFonts w:ascii="Arial" w:hAnsi="Arial" w:cs="Arial"/>
          <w:sz w:val="22"/>
          <w:szCs w:val="22"/>
        </w:rPr>
      </w:pPr>
      <w:r>
        <w:rPr>
          <w:rFonts w:ascii="Arial" w:hAnsi="Arial" w:cs="Arial"/>
          <w:sz w:val="22"/>
          <w:szCs w:val="22"/>
        </w:rPr>
        <w:t>The ACMA has varied the Numbering Plan by means of t</w:t>
      </w:r>
      <w:r w:rsidR="007E0BF3">
        <w:rPr>
          <w:rFonts w:ascii="Arial" w:hAnsi="Arial" w:cs="Arial"/>
          <w:sz w:val="22"/>
          <w:szCs w:val="22"/>
        </w:rPr>
        <w:t>h</w:t>
      </w:r>
      <w:r w:rsidR="0096578E">
        <w:rPr>
          <w:rFonts w:ascii="Arial" w:hAnsi="Arial" w:cs="Arial"/>
          <w:sz w:val="22"/>
          <w:szCs w:val="22"/>
        </w:rPr>
        <w:t>e</w:t>
      </w:r>
      <w:r w:rsidR="007E0BF3">
        <w:rPr>
          <w:rFonts w:ascii="Arial" w:hAnsi="Arial" w:cs="Arial"/>
          <w:sz w:val="22"/>
          <w:szCs w:val="22"/>
        </w:rPr>
        <w:t xml:space="preserve"> Variation</w:t>
      </w:r>
      <w:r>
        <w:rPr>
          <w:rFonts w:ascii="Arial" w:hAnsi="Arial" w:cs="Arial"/>
          <w:sz w:val="22"/>
          <w:szCs w:val="22"/>
        </w:rPr>
        <w:t>. Th</w:t>
      </w:r>
      <w:r w:rsidR="0096578E">
        <w:rPr>
          <w:rFonts w:ascii="Arial" w:hAnsi="Arial" w:cs="Arial"/>
          <w:sz w:val="22"/>
          <w:szCs w:val="22"/>
        </w:rPr>
        <w:t>e</w:t>
      </w:r>
      <w:r>
        <w:rPr>
          <w:rFonts w:ascii="Arial" w:hAnsi="Arial" w:cs="Arial"/>
          <w:sz w:val="22"/>
          <w:szCs w:val="22"/>
        </w:rPr>
        <w:t xml:space="preserve"> Variation has been made under subsection 455(1) of the Act, taking into account the relevant matters listed under subsection 455(10) of the Act, and subsection 33(3) of the AIA.</w:t>
      </w:r>
    </w:p>
    <w:p w14:paraId="00507C43" w14:textId="77777777" w:rsidR="00E030CF" w:rsidRDefault="00E030CF" w:rsidP="00E030CF">
      <w:pPr>
        <w:spacing w:before="120" w:after="120"/>
        <w:rPr>
          <w:rFonts w:ascii="Arial" w:hAnsi="Arial" w:cs="Arial"/>
          <w:b/>
          <w:sz w:val="22"/>
          <w:szCs w:val="22"/>
        </w:rPr>
      </w:pPr>
      <w:r w:rsidRPr="00FF5816">
        <w:rPr>
          <w:rFonts w:ascii="Arial" w:hAnsi="Arial" w:cs="Arial"/>
          <w:b/>
          <w:sz w:val="22"/>
          <w:szCs w:val="22"/>
        </w:rPr>
        <w:t>Consultation</w:t>
      </w:r>
    </w:p>
    <w:p w14:paraId="2ABBD668" w14:textId="3E7286D0" w:rsidR="00E030CF" w:rsidRPr="0003083A" w:rsidRDefault="00E030CF" w:rsidP="00E030CF">
      <w:pPr>
        <w:pStyle w:val="ACMABodyText"/>
        <w:spacing w:before="120" w:line="240" w:lineRule="auto"/>
        <w:rPr>
          <w:rFonts w:ascii="Arial" w:hAnsi="Arial" w:cs="Arial"/>
          <w:snapToGrid/>
          <w:sz w:val="22"/>
          <w:szCs w:val="22"/>
        </w:rPr>
      </w:pPr>
      <w:r>
        <w:rPr>
          <w:rFonts w:ascii="Arial" w:hAnsi="Arial" w:cs="Arial"/>
          <w:snapToGrid/>
          <w:sz w:val="22"/>
          <w:szCs w:val="22"/>
        </w:rPr>
        <w:t>Subs</w:t>
      </w:r>
      <w:r w:rsidRPr="0003083A">
        <w:rPr>
          <w:rFonts w:ascii="Arial" w:hAnsi="Arial" w:cs="Arial"/>
          <w:snapToGrid/>
          <w:sz w:val="22"/>
          <w:szCs w:val="22"/>
        </w:rPr>
        <w:t>ection 17</w:t>
      </w:r>
      <w:r>
        <w:rPr>
          <w:rFonts w:ascii="Arial" w:hAnsi="Arial" w:cs="Arial"/>
          <w:snapToGrid/>
          <w:sz w:val="22"/>
          <w:szCs w:val="22"/>
        </w:rPr>
        <w:t>(1)</w:t>
      </w:r>
      <w:r w:rsidRPr="0003083A">
        <w:rPr>
          <w:rFonts w:ascii="Arial" w:hAnsi="Arial" w:cs="Arial"/>
          <w:snapToGrid/>
          <w:sz w:val="22"/>
          <w:szCs w:val="22"/>
        </w:rPr>
        <w:t xml:space="preserve"> of the </w:t>
      </w:r>
      <w:r w:rsidRPr="00CA1283">
        <w:rPr>
          <w:rFonts w:ascii="Arial" w:hAnsi="Arial" w:cs="Arial"/>
          <w:i/>
          <w:snapToGrid/>
          <w:sz w:val="22"/>
          <w:szCs w:val="22"/>
        </w:rPr>
        <w:t>L</w:t>
      </w:r>
      <w:r w:rsidR="00CA1283" w:rsidRPr="00CA1283">
        <w:rPr>
          <w:rFonts w:ascii="Arial" w:hAnsi="Arial" w:cs="Arial"/>
          <w:i/>
          <w:snapToGrid/>
          <w:sz w:val="22"/>
          <w:szCs w:val="22"/>
        </w:rPr>
        <w:t>egislati</w:t>
      </w:r>
      <w:r w:rsidR="000E1A98">
        <w:rPr>
          <w:rFonts w:ascii="Arial" w:hAnsi="Arial" w:cs="Arial"/>
          <w:i/>
          <w:snapToGrid/>
          <w:sz w:val="22"/>
          <w:szCs w:val="22"/>
        </w:rPr>
        <w:t>on</w:t>
      </w:r>
      <w:r w:rsidR="00CA1283" w:rsidRPr="00CA1283">
        <w:rPr>
          <w:rFonts w:ascii="Arial" w:hAnsi="Arial" w:cs="Arial"/>
          <w:i/>
          <w:snapToGrid/>
          <w:sz w:val="22"/>
          <w:szCs w:val="22"/>
        </w:rPr>
        <w:t xml:space="preserve"> </w:t>
      </w:r>
      <w:r w:rsidRPr="00CA1283">
        <w:rPr>
          <w:rFonts w:ascii="Arial" w:hAnsi="Arial" w:cs="Arial"/>
          <w:i/>
          <w:snapToGrid/>
          <w:sz w:val="22"/>
          <w:szCs w:val="22"/>
        </w:rPr>
        <w:t>A</w:t>
      </w:r>
      <w:r w:rsidR="00CA1283" w:rsidRPr="00CA1283">
        <w:rPr>
          <w:rFonts w:ascii="Arial" w:hAnsi="Arial" w:cs="Arial"/>
          <w:i/>
          <w:snapToGrid/>
          <w:sz w:val="22"/>
          <w:szCs w:val="22"/>
        </w:rPr>
        <w:t>ct 2003</w:t>
      </w:r>
      <w:r w:rsidRPr="0003083A">
        <w:rPr>
          <w:rFonts w:ascii="Arial" w:hAnsi="Arial" w:cs="Arial"/>
          <w:snapToGrid/>
          <w:sz w:val="22"/>
          <w:szCs w:val="22"/>
        </w:rPr>
        <w:t xml:space="preserve"> </w:t>
      </w:r>
      <w:r w:rsidR="002C6740">
        <w:rPr>
          <w:rFonts w:ascii="Arial" w:hAnsi="Arial" w:cs="Arial"/>
          <w:snapToGrid/>
          <w:sz w:val="22"/>
          <w:szCs w:val="22"/>
        </w:rPr>
        <w:t xml:space="preserve">(the LA) </w:t>
      </w:r>
      <w:r w:rsidRPr="0003083A">
        <w:rPr>
          <w:rFonts w:ascii="Arial" w:hAnsi="Arial" w:cs="Arial"/>
          <w:snapToGrid/>
          <w:sz w:val="22"/>
          <w:szCs w:val="22"/>
        </w:rPr>
        <w:t>requires the ACMA to be satisfied</w:t>
      </w:r>
      <w:r>
        <w:rPr>
          <w:rFonts w:ascii="Arial" w:hAnsi="Arial" w:cs="Arial"/>
          <w:snapToGrid/>
          <w:sz w:val="22"/>
          <w:szCs w:val="22"/>
        </w:rPr>
        <w:t>, before making a legislative instrument,</w:t>
      </w:r>
      <w:r w:rsidRPr="0003083A">
        <w:rPr>
          <w:rFonts w:ascii="Arial" w:hAnsi="Arial" w:cs="Arial"/>
          <w:snapToGrid/>
          <w:sz w:val="22"/>
          <w:szCs w:val="22"/>
        </w:rPr>
        <w:t xml:space="preserve"> that all consultation that is appropriate and reasonably practicable to undertake has been undertaken. The ACMA has undertaken consultation with industry </w:t>
      </w:r>
      <w:r w:rsidR="00430447">
        <w:rPr>
          <w:rFonts w:ascii="Arial" w:hAnsi="Arial" w:cs="Arial"/>
          <w:snapToGrid/>
          <w:sz w:val="22"/>
          <w:szCs w:val="22"/>
        </w:rPr>
        <w:t xml:space="preserve">and the general public </w:t>
      </w:r>
      <w:r w:rsidRPr="0003083A">
        <w:rPr>
          <w:rFonts w:ascii="Arial" w:hAnsi="Arial" w:cs="Arial"/>
          <w:snapToGrid/>
          <w:sz w:val="22"/>
          <w:szCs w:val="22"/>
        </w:rPr>
        <w:t xml:space="preserve">on the proposed changes. </w:t>
      </w:r>
    </w:p>
    <w:p w14:paraId="031D12E0" w14:textId="343D0FEE" w:rsidR="00430447" w:rsidRDefault="00430447" w:rsidP="00E030CF">
      <w:pPr>
        <w:pStyle w:val="ACMABodyText"/>
        <w:spacing w:before="120" w:line="240" w:lineRule="auto"/>
        <w:rPr>
          <w:rFonts w:ascii="Arial" w:hAnsi="Arial" w:cs="Arial"/>
          <w:sz w:val="22"/>
          <w:szCs w:val="22"/>
        </w:rPr>
      </w:pPr>
      <w:r>
        <w:rPr>
          <w:rFonts w:ascii="Arial" w:hAnsi="Arial" w:cs="Arial"/>
          <w:sz w:val="22"/>
          <w:szCs w:val="22"/>
        </w:rPr>
        <w:t>If the ACMA is of the opinion that a variation of the numbering plan is in the public interest, or that it will affect a number issued to a customer of a carriage service provider, su</w:t>
      </w:r>
      <w:r w:rsidRPr="00B975D1">
        <w:rPr>
          <w:rFonts w:ascii="Arial" w:hAnsi="Arial" w:cs="Arial"/>
          <w:sz w:val="22"/>
          <w:szCs w:val="22"/>
        </w:rPr>
        <w:t>bsection</w:t>
      </w:r>
      <w:r w:rsidR="0096578E">
        <w:rPr>
          <w:rFonts w:ascii="Arial" w:hAnsi="Arial" w:cs="Arial"/>
          <w:sz w:val="22"/>
          <w:szCs w:val="22"/>
        </w:rPr>
        <w:t> </w:t>
      </w:r>
      <w:r w:rsidRPr="00B975D1">
        <w:rPr>
          <w:rFonts w:ascii="Arial" w:hAnsi="Arial" w:cs="Arial"/>
          <w:sz w:val="22"/>
          <w:szCs w:val="22"/>
        </w:rPr>
        <w:t>460(</w:t>
      </w:r>
      <w:r>
        <w:rPr>
          <w:rFonts w:ascii="Arial" w:hAnsi="Arial" w:cs="Arial"/>
          <w:sz w:val="22"/>
          <w:szCs w:val="22"/>
        </w:rPr>
        <w:t>3</w:t>
      </w:r>
      <w:r w:rsidRPr="00B975D1">
        <w:rPr>
          <w:rFonts w:ascii="Arial" w:hAnsi="Arial" w:cs="Arial"/>
          <w:sz w:val="22"/>
          <w:szCs w:val="22"/>
        </w:rPr>
        <w:t xml:space="preserve">) of the Act requires the ACMA to make available for public inspection a draft of the </w:t>
      </w:r>
      <w:r>
        <w:rPr>
          <w:rFonts w:ascii="Arial" w:hAnsi="Arial" w:cs="Arial"/>
          <w:sz w:val="22"/>
          <w:szCs w:val="22"/>
        </w:rPr>
        <w:t>variation for 30</w:t>
      </w:r>
      <w:r w:rsidRPr="00B975D1">
        <w:rPr>
          <w:rFonts w:ascii="Arial" w:hAnsi="Arial" w:cs="Arial"/>
          <w:sz w:val="22"/>
          <w:szCs w:val="22"/>
        </w:rPr>
        <w:t xml:space="preserve"> days before </w:t>
      </w:r>
      <w:r>
        <w:rPr>
          <w:rFonts w:ascii="Arial" w:hAnsi="Arial" w:cs="Arial"/>
          <w:sz w:val="22"/>
          <w:szCs w:val="22"/>
        </w:rPr>
        <w:t>varying the</w:t>
      </w:r>
      <w:r w:rsidRPr="00B975D1">
        <w:rPr>
          <w:rFonts w:ascii="Arial" w:hAnsi="Arial" w:cs="Arial"/>
          <w:sz w:val="22"/>
          <w:szCs w:val="22"/>
        </w:rPr>
        <w:t xml:space="preserve"> Numbering Plan. Members of the </w:t>
      </w:r>
      <w:r>
        <w:rPr>
          <w:rFonts w:ascii="Arial" w:hAnsi="Arial" w:cs="Arial"/>
          <w:sz w:val="22"/>
          <w:szCs w:val="22"/>
        </w:rPr>
        <w:lastRenderedPageBreak/>
        <w:t xml:space="preserve">ACMA’s </w:t>
      </w:r>
      <w:r w:rsidRPr="00B975D1">
        <w:rPr>
          <w:rFonts w:ascii="Arial" w:hAnsi="Arial" w:cs="Arial"/>
          <w:sz w:val="22"/>
          <w:szCs w:val="22"/>
        </w:rPr>
        <w:t>N</w:t>
      </w:r>
      <w:r>
        <w:rPr>
          <w:rFonts w:ascii="Arial" w:hAnsi="Arial" w:cs="Arial"/>
          <w:sz w:val="22"/>
          <w:szCs w:val="22"/>
        </w:rPr>
        <w:t xml:space="preserve">umbering </w:t>
      </w:r>
      <w:r w:rsidRPr="00B975D1">
        <w:rPr>
          <w:rFonts w:ascii="Arial" w:hAnsi="Arial" w:cs="Arial"/>
          <w:sz w:val="22"/>
          <w:szCs w:val="22"/>
        </w:rPr>
        <w:t>A</w:t>
      </w:r>
      <w:r>
        <w:rPr>
          <w:rFonts w:ascii="Arial" w:hAnsi="Arial" w:cs="Arial"/>
          <w:sz w:val="22"/>
          <w:szCs w:val="22"/>
        </w:rPr>
        <w:t xml:space="preserve">dvisory </w:t>
      </w:r>
      <w:r w:rsidRPr="00B975D1">
        <w:rPr>
          <w:rFonts w:ascii="Arial" w:hAnsi="Arial" w:cs="Arial"/>
          <w:sz w:val="22"/>
          <w:szCs w:val="22"/>
        </w:rPr>
        <w:t>C</w:t>
      </w:r>
      <w:r>
        <w:rPr>
          <w:rFonts w:ascii="Arial" w:hAnsi="Arial" w:cs="Arial"/>
          <w:sz w:val="22"/>
          <w:szCs w:val="22"/>
        </w:rPr>
        <w:t>ommittee</w:t>
      </w:r>
      <w:r w:rsidRPr="00B975D1">
        <w:rPr>
          <w:rFonts w:ascii="Arial" w:hAnsi="Arial" w:cs="Arial"/>
          <w:sz w:val="22"/>
          <w:szCs w:val="22"/>
        </w:rPr>
        <w:t xml:space="preserve"> </w:t>
      </w:r>
      <w:r>
        <w:rPr>
          <w:rFonts w:ascii="Arial" w:hAnsi="Arial" w:cs="Arial"/>
          <w:sz w:val="22"/>
          <w:szCs w:val="22"/>
        </w:rPr>
        <w:t>were</w:t>
      </w:r>
      <w:r w:rsidRPr="00B975D1">
        <w:rPr>
          <w:rFonts w:ascii="Arial" w:hAnsi="Arial" w:cs="Arial"/>
          <w:sz w:val="22"/>
          <w:szCs w:val="22"/>
        </w:rPr>
        <w:t xml:space="preserve"> specifically </w:t>
      </w:r>
      <w:r w:rsidR="006E686C">
        <w:rPr>
          <w:rFonts w:ascii="Arial" w:hAnsi="Arial" w:cs="Arial"/>
          <w:sz w:val="22"/>
          <w:szCs w:val="22"/>
        </w:rPr>
        <w:t xml:space="preserve">consulted </w:t>
      </w:r>
      <w:r w:rsidRPr="00B975D1">
        <w:rPr>
          <w:rFonts w:ascii="Arial" w:hAnsi="Arial" w:cs="Arial"/>
          <w:sz w:val="22"/>
          <w:szCs w:val="22"/>
        </w:rPr>
        <w:t>as part of this consultation</w:t>
      </w:r>
      <w:r>
        <w:rPr>
          <w:rFonts w:ascii="Arial" w:hAnsi="Arial" w:cs="Arial"/>
          <w:sz w:val="22"/>
          <w:szCs w:val="22"/>
        </w:rPr>
        <w:t>.</w:t>
      </w:r>
    </w:p>
    <w:p w14:paraId="0D69DAFE" w14:textId="0E5F1F0E" w:rsidR="00E030CF" w:rsidRDefault="00E030CF" w:rsidP="00E030CF">
      <w:pPr>
        <w:pStyle w:val="ACMABodyText"/>
        <w:spacing w:before="120" w:line="240" w:lineRule="auto"/>
        <w:rPr>
          <w:rFonts w:ascii="Arial" w:hAnsi="Arial" w:cs="Arial"/>
          <w:snapToGrid/>
          <w:sz w:val="22"/>
          <w:szCs w:val="22"/>
        </w:rPr>
      </w:pPr>
      <w:r>
        <w:rPr>
          <w:rFonts w:ascii="Arial" w:hAnsi="Arial" w:cs="Arial"/>
          <w:snapToGrid/>
          <w:sz w:val="22"/>
          <w:szCs w:val="22"/>
        </w:rPr>
        <w:t xml:space="preserve">Between </w:t>
      </w:r>
      <w:r w:rsidR="00D30B45">
        <w:rPr>
          <w:rFonts w:ascii="Arial" w:hAnsi="Arial" w:cs="Arial"/>
          <w:snapToGrid/>
          <w:sz w:val="22"/>
          <w:szCs w:val="22"/>
        </w:rPr>
        <w:t xml:space="preserve">29 </w:t>
      </w:r>
      <w:r w:rsidR="00430447">
        <w:rPr>
          <w:rFonts w:ascii="Arial" w:hAnsi="Arial" w:cs="Arial"/>
          <w:snapToGrid/>
          <w:sz w:val="22"/>
          <w:szCs w:val="22"/>
        </w:rPr>
        <w:t>January and 29 February 2016</w:t>
      </w:r>
      <w:r>
        <w:rPr>
          <w:rFonts w:ascii="Arial" w:hAnsi="Arial" w:cs="Arial"/>
          <w:snapToGrid/>
          <w:sz w:val="22"/>
          <w:szCs w:val="22"/>
        </w:rPr>
        <w:t xml:space="preserve">, the ACMA conducted a public consultation process inviting submissions on the proposed changes </w:t>
      </w:r>
      <w:r w:rsidR="008B47FE">
        <w:rPr>
          <w:rFonts w:ascii="Arial" w:hAnsi="Arial" w:cs="Arial"/>
          <w:snapToGrid/>
          <w:sz w:val="22"/>
          <w:szCs w:val="22"/>
        </w:rPr>
        <w:t xml:space="preserve">by </w:t>
      </w:r>
      <w:r>
        <w:rPr>
          <w:rFonts w:ascii="Arial" w:hAnsi="Arial" w:cs="Arial"/>
          <w:snapToGrid/>
          <w:sz w:val="22"/>
          <w:szCs w:val="22"/>
        </w:rPr>
        <w:t>releas</w:t>
      </w:r>
      <w:r w:rsidR="008B47FE">
        <w:rPr>
          <w:rFonts w:ascii="Arial" w:hAnsi="Arial" w:cs="Arial"/>
          <w:snapToGrid/>
          <w:sz w:val="22"/>
          <w:szCs w:val="22"/>
        </w:rPr>
        <w:t>ing</w:t>
      </w:r>
      <w:r>
        <w:rPr>
          <w:rFonts w:ascii="Arial" w:hAnsi="Arial" w:cs="Arial"/>
          <w:snapToGrid/>
          <w:sz w:val="22"/>
          <w:szCs w:val="22"/>
        </w:rPr>
        <w:t xml:space="preserve"> a draft </w:t>
      </w:r>
      <w:r w:rsidR="008B47FE">
        <w:rPr>
          <w:rFonts w:ascii="Arial" w:hAnsi="Arial" w:cs="Arial"/>
          <w:snapToGrid/>
          <w:sz w:val="22"/>
          <w:szCs w:val="22"/>
        </w:rPr>
        <w:t xml:space="preserve">variation </w:t>
      </w:r>
      <w:r>
        <w:rPr>
          <w:rFonts w:ascii="Arial" w:hAnsi="Arial" w:cs="Arial"/>
          <w:snapToGrid/>
          <w:sz w:val="22"/>
          <w:szCs w:val="22"/>
        </w:rPr>
        <w:t>instrument and a consultation paper on the ACMA’s website</w:t>
      </w:r>
      <w:r w:rsidR="00F904B3">
        <w:rPr>
          <w:rFonts w:ascii="Arial" w:hAnsi="Arial" w:cs="Arial"/>
          <w:snapToGrid/>
          <w:sz w:val="22"/>
          <w:szCs w:val="22"/>
        </w:rPr>
        <w:t>,</w:t>
      </w:r>
      <w:r>
        <w:rPr>
          <w:rFonts w:ascii="Arial" w:hAnsi="Arial" w:cs="Arial"/>
          <w:snapToGrid/>
          <w:sz w:val="22"/>
          <w:szCs w:val="22"/>
        </w:rPr>
        <w:t xml:space="preserve"> and </w:t>
      </w:r>
      <w:r w:rsidR="00F904B3">
        <w:rPr>
          <w:rFonts w:ascii="Arial" w:hAnsi="Arial" w:cs="Arial"/>
          <w:snapToGrid/>
          <w:sz w:val="22"/>
          <w:szCs w:val="22"/>
        </w:rPr>
        <w:t xml:space="preserve">alerting the public to the proposed changes </w:t>
      </w:r>
      <w:r>
        <w:rPr>
          <w:rFonts w:ascii="Arial" w:hAnsi="Arial" w:cs="Arial"/>
          <w:snapToGrid/>
          <w:sz w:val="22"/>
          <w:szCs w:val="22"/>
        </w:rPr>
        <w:t xml:space="preserve">in a national newspaper advertisement. </w:t>
      </w:r>
    </w:p>
    <w:p w14:paraId="3102FDEC" w14:textId="76DE6774" w:rsidR="001B7B69" w:rsidRDefault="00E030CF" w:rsidP="00E030CF">
      <w:pPr>
        <w:pStyle w:val="ACMABodyText"/>
        <w:spacing w:before="120" w:line="240" w:lineRule="auto"/>
        <w:rPr>
          <w:rFonts w:ascii="Arial" w:hAnsi="Arial" w:cs="Arial"/>
          <w:sz w:val="22"/>
          <w:szCs w:val="22"/>
        </w:rPr>
      </w:pPr>
      <w:r>
        <w:rPr>
          <w:rFonts w:ascii="Arial" w:hAnsi="Arial" w:cs="Arial"/>
          <w:snapToGrid/>
          <w:sz w:val="22"/>
          <w:szCs w:val="22"/>
        </w:rPr>
        <w:t xml:space="preserve">The consultation paper discussed the </w:t>
      </w:r>
      <w:r w:rsidR="001B7B69">
        <w:rPr>
          <w:rFonts w:ascii="Arial" w:hAnsi="Arial" w:cs="Arial"/>
          <w:snapToGrid/>
          <w:sz w:val="22"/>
          <w:szCs w:val="22"/>
        </w:rPr>
        <w:t xml:space="preserve">proposed minor </w:t>
      </w:r>
      <w:r>
        <w:rPr>
          <w:rFonts w:ascii="Arial" w:hAnsi="Arial" w:cs="Arial"/>
          <w:snapToGrid/>
          <w:sz w:val="22"/>
          <w:szCs w:val="22"/>
        </w:rPr>
        <w:t xml:space="preserve">changes to improve the operation of the Numbering Plan, </w:t>
      </w:r>
      <w:r w:rsidR="001B7B69">
        <w:rPr>
          <w:rFonts w:ascii="Arial" w:hAnsi="Arial" w:cs="Arial"/>
          <w:snapToGrid/>
          <w:sz w:val="22"/>
          <w:szCs w:val="22"/>
        </w:rPr>
        <w:t>including</w:t>
      </w:r>
      <w:r w:rsidR="0087484C">
        <w:rPr>
          <w:rFonts w:ascii="Arial" w:hAnsi="Arial" w:cs="Arial"/>
          <w:snapToGrid/>
          <w:sz w:val="22"/>
          <w:szCs w:val="22"/>
        </w:rPr>
        <w:t>:</w:t>
      </w:r>
      <w:r w:rsidR="001B7B69">
        <w:rPr>
          <w:rFonts w:ascii="Arial" w:hAnsi="Arial" w:cs="Arial"/>
          <w:snapToGrid/>
          <w:sz w:val="22"/>
          <w:szCs w:val="22"/>
        </w:rPr>
        <w:t xml:space="preserve"> </w:t>
      </w:r>
      <w:r w:rsidR="001B7B69">
        <w:rPr>
          <w:rFonts w:ascii="Arial" w:hAnsi="Arial" w:cs="Arial"/>
          <w:sz w:val="22"/>
          <w:szCs w:val="22"/>
        </w:rPr>
        <w:t xml:space="preserve">correcting an incorrect </w:t>
      </w:r>
      <w:r w:rsidR="008B47FE">
        <w:rPr>
          <w:rFonts w:ascii="Arial" w:hAnsi="Arial" w:cs="Arial"/>
          <w:sz w:val="22"/>
          <w:szCs w:val="22"/>
        </w:rPr>
        <w:t>cross-</w:t>
      </w:r>
      <w:r w:rsidR="001B7B69">
        <w:rPr>
          <w:rFonts w:ascii="Arial" w:hAnsi="Arial" w:cs="Arial"/>
          <w:sz w:val="22"/>
          <w:szCs w:val="22"/>
        </w:rPr>
        <w:t>reference</w:t>
      </w:r>
      <w:r w:rsidR="0087484C">
        <w:rPr>
          <w:rFonts w:ascii="Arial" w:hAnsi="Arial" w:cs="Arial"/>
          <w:sz w:val="22"/>
          <w:szCs w:val="22"/>
        </w:rPr>
        <w:t>,</w:t>
      </w:r>
      <w:r w:rsidR="001B7B69">
        <w:rPr>
          <w:rFonts w:ascii="Arial" w:hAnsi="Arial" w:cs="Arial"/>
          <w:sz w:val="22"/>
          <w:szCs w:val="22"/>
        </w:rPr>
        <w:t xml:space="preserve"> making certain reporting requirements consistent</w:t>
      </w:r>
      <w:r w:rsidR="008B47FE">
        <w:rPr>
          <w:rFonts w:ascii="Arial" w:hAnsi="Arial" w:cs="Arial"/>
          <w:sz w:val="22"/>
          <w:szCs w:val="22"/>
        </w:rPr>
        <w:t xml:space="preserve"> with current practice</w:t>
      </w:r>
      <w:r w:rsidR="001B7B69">
        <w:rPr>
          <w:rFonts w:ascii="Arial" w:hAnsi="Arial" w:cs="Arial"/>
          <w:sz w:val="22"/>
          <w:szCs w:val="22"/>
        </w:rPr>
        <w:t>, removing merits review rights in relation to a kind of decision that the ACMA has no discretion in making</w:t>
      </w:r>
      <w:r w:rsidR="00F904B3">
        <w:rPr>
          <w:rFonts w:ascii="Arial" w:hAnsi="Arial" w:cs="Arial"/>
          <w:sz w:val="22"/>
          <w:szCs w:val="22"/>
        </w:rPr>
        <w:t>,</w:t>
      </w:r>
      <w:r w:rsidR="001B7B69">
        <w:rPr>
          <w:rFonts w:ascii="Arial" w:hAnsi="Arial" w:cs="Arial"/>
          <w:sz w:val="22"/>
          <w:szCs w:val="22"/>
        </w:rPr>
        <w:t xml:space="preserve"> and creating clearer timeframes for decision-making. </w:t>
      </w:r>
    </w:p>
    <w:p w14:paraId="5AD40154" w14:textId="77777777" w:rsidR="00B43430" w:rsidRDefault="001B7B69" w:rsidP="00E030CF">
      <w:pPr>
        <w:pStyle w:val="ACMABodyText"/>
        <w:spacing w:before="120" w:line="240" w:lineRule="auto"/>
        <w:rPr>
          <w:rFonts w:ascii="Arial" w:hAnsi="Arial" w:cs="Arial"/>
          <w:snapToGrid/>
          <w:sz w:val="22"/>
          <w:szCs w:val="22"/>
        </w:rPr>
      </w:pPr>
      <w:r>
        <w:rPr>
          <w:rFonts w:ascii="Arial" w:hAnsi="Arial" w:cs="Arial"/>
          <w:sz w:val="22"/>
          <w:szCs w:val="22"/>
        </w:rPr>
        <w:t xml:space="preserve">The consultation paper also discussed the proposed substantive changes to </w:t>
      </w:r>
      <w:r w:rsidR="00E030CF">
        <w:rPr>
          <w:rFonts w:ascii="Arial" w:hAnsi="Arial" w:cs="Arial"/>
          <w:snapToGrid/>
          <w:sz w:val="22"/>
          <w:szCs w:val="22"/>
        </w:rPr>
        <w:t>facilitate</w:t>
      </w:r>
      <w:r w:rsidR="00B43430">
        <w:rPr>
          <w:rFonts w:ascii="Arial" w:hAnsi="Arial" w:cs="Arial"/>
          <w:snapToGrid/>
          <w:sz w:val="22"/>
          <w:szCs w:val="22"/>
        </w:rPr>
        <w:t>:</w:t>
      </w:r>
    </w:p>
    <w:p w14:paraId="1243CF02" w14:textId="77777777" w:rsidR="00B43430" w:rsidRDefault="001B7B69" w:rsidP="00B43430">
      <w:pPr>
        <w:pStyle w:val="ACMABodyText"/>
        <w:numPr>
          <w:ilvl w:val="0"/>
          <w:numId w:val="3"/>
        </w:numPr>
        <w:spacing w:before="120" w:line="240" w:lineRule="auto"/>
        <w:rPr>
          <w:rFonts w:ascii="Arial" w:hAnsi="Arial" w:cs="Arial"/>
          <w:snapToGrid/>
          <w:sz w:val="22"/>
          <w:szCs w:val="22"/>
        </w:rPr>
      </w:pPr>
      <w:r>
        <w:rPr>
          <w:rFonts w:ascii="Arial" w:hAnsi="Arial" w:cs="Arial"/>
          <w:snapToGrid/>
          <w:sz w:val="22"/>
          <w:szCs w:val="22"/>
        </w:rPr>
        <w:t>additional</w:t>
      </w:r>
      <w:r w:rsidR="00E030CF">
        <w:rPr>
          <w:rFonts w:ascii="Arial" w:hAnsi="Arial" w:cs="Arial"/>
          <w:snapToGrid/>
          <w:sz w:val="22"/>
          <w:szCs w:val="22"/>
        </w:rPr>
        <w:t xml:space="preserve"> automation of number </w:t>
      </w:r>
      <w:r w:rsidR="00430447">
        <w:rPr>
          <w:rFonts w:ascii="Arial" w:hAnsi="Arial" w:cs="Arial"/>
          <w:snapToGrid/>
          <w:sz w:val="22"/>
          <w:szCs w:val="22"/>
        </w:rPr>
        <w:t>transactions</w:t>
      </w:r>
      <w:r w:rsidR="00E030CF">
        <w:rPr>
          <w:rFonts w:ascii="Arial" w:hAnsi="Arial" w:cs="Arial"/>
          <w:snapToGrid/>
          <w:sz w:val="22"/>
          <w:szCs w:val="22"/>
        </w:rPr>
        <w:t xml:space="preserve"> </w:t>
      </w:r>
      <w:r>
        <w:rPr>
          <w:rFonts w:ascii="Arial" w:hAnsi="Arial" w:cs="Arial"/>
          <w:snapToGrid/>
          <w:sz w:val="22"/>
          <w:szCs w:val="22"/>
        </w:rPr>
        <w:t xml:space="preserve">for </w:t>
      </w:r>
      <w:proofErr w:type="spellStart"/>
      <w:r>
        <w:rPr>
          <w:rFonts w:ascii="Arial" w:hAnsi="Arial" w:cs="Arial"/>
          <w:snapToGrid/>
          <w:sz w:val="22"/>
          <w:szCs w:val="22"/>
        </w:rPr>
        <w:t>freephone</w:t>
      </w:r>
      <w:proofErr w:type="spellEnd"/>
      <w:r>
        <w:rPr>
          <w:rFonts w:ascii="Arial" w:hAnsi="Arial" w:cs="Arial"/>
          <w:snapToGrid/>
          <w:sz w:val="22"/>
          <w:szCs w:val="22"/>
        </w:rPr>
        <w:t xml:space="preserve"> and local rate numbers (FLRNs); </w:t>
      </w:r>
    </w:p>
    <w:p w14:paraId="4E692AE2" w14:textId="77777777" w:rsidR="00B43430" w:rsidRDefault="001B7B69" w:rsidP="00B43430">
      <w:pPr>
        <w:pStyle w:val="ACMABodyText"/>
        <w:numPr>
          <w:ilvl w:val="0"/>
          <w:numId w:val="3"/>
        </w:numPr>
        <w:spacing w:before="120" w:line="240" w:lineRule="auto"/>
        <w:rPr>
          <w:rFonts w:ascii="Arial" w:hAnsi="Arial" w:cs="Arial"/>
          <w:snapToGrid/>
          <w:sz w:val="22"/>
          <w:szCs w:val="22"/>
        </w:rPr>
      </w:pPr>
      <w:r>
        <w:rPr>
          <w:rFonts w:ascii="Arial" w:hAnsi="Arial" w:cs="Arial"/>
          <w:snapToGrid/>
          <w:sz w:val="22"/>
          <w:szCs w:val="22"/>
        </w:rPr>
        <w:t xml:space="preserve">efficiency in </w:t>
      </w:r>
      <w:r w:rsidR="004B56A0">
        <w:rPr>
          <w:rFonts w:ascii="Arial" w:hAnsi="Arial" w:cs="Arial"/>
          <w:snapToGrid/>
          <w:sz w:val="22"/>
          <w:szCs w:val="22"/>
        </w:rPr>
        <w:t>the</w:t>
      </w:r>
      <w:r w:rsidR="00B43430">
        <w:rPr>
          <w:rFonts w:ascii="Arial" w:hAnsi="Arial" w:cs="Arial"/>
          <w:snapToGrid/>
          <w:sz w:val="22"/>
          <w:szCs w:val="22"/>
        </w:rPr>
        <w:t xml:space="preserve"> </w:t>
      </w:r>
      <w:r>
        <w:rPr>
          <w:rFonts w:ascii="Arial" w:hAnsi="Arial" w:cs="Arial"/>
          <w:snapToGrid/>
          <w:sz w:val="22"/>
          <w:szCs w:val="22"/>
        </w:rPr>
        <w:t xml:space="preserve">surrender </w:t>
      </w:r>
      <w:r w:rsidR="004B56A0">
        <w:rPr>
          <w:rFonts w:ascii="Arial" w:hAnsi="Arial" w:cs="Arial"/>
          <w:snapToGrid/>
          <w:sz w:val="22"/>
          <w:szCs w:val="22"/>
        </w:rPr>
        <w:t xml:space="preserve">of </w:t>
      </w:r>
      <w:r>
        <w:rPr>
          <w:rFonts w:ascii="Arial" w:hAnsi="Arial" w:cs="Arial"/>
          <w:snapToGrid/>
          <w:sz w:val="22"/>
          <w:szCs w:val="22"/>
        </w:rPr>
        <w:t>ported FLRNs</w:t>
      </w:r>
      <w:r w:rsidR="00B43430">
        <w:rPr>
          <w:rFonts w:ascii="Arial" w:hAnsi="Arial" w:cs="Arial"/>
          <w:snapToGrid/>
          <w:sz w:val="22"/>
          <w:szCs w:val="22"/>
        </w:rPr>
        <w:t xml:space="preserve">; </w:t>
      </w:r>
      <w:r w:rsidR="00E030CF">
        <w:rPr>
          <w:rFonts w:ascii="Arial" w:hAnsi="Arial" w:cs="Arial"/>
          <w:snapToGrid/>
          <w:sz w:val="22"/>
          <w:szCs w:val="22"/>
        </w:rPr>
        <w:t>and</w:t>
      </w:r>
    </w:p>
    <w:p w14:paraId="339F11EB" w14:textId="44DB7ECE" w:rsidR="00E030CF" w:rsidRDefault="00B43430" w:rsidP="00B43430">
      <w:pPr>
        <w:pStyle w:val="ACMABodyText"/>
        <w:numPr>
          <w:ilvl w:val="0"/>
          <w:numId w:val="3"/>
        </w:numPr>
        <w:spacing w:before="120" w:line="240" w:lineRule="auto"/>
        <w:rPr>
          <w:rFonts w:ascii="Arial" w:hAnsi="Arial" w:cs="Arial"/>
          <w:snapToGrid/>
          <w:sz w:val="22"/>
          <w:szCs w:val="22"/>
        </w:rPr>
      </w:pPr>
      <w:proofErr w:type="gramStart"/>
      <w:r>
        <w:rPr>
          <w:rFonts w:ascii="Arial" w:hAnsi="Arial" w:cs="Arial"/>
          <w:snapToGrid/>
          <w:sz w:val="22"/>
          <w:szCs w:val="22"/>
        </w:rPr>
        <w:t>clarity</w:t>
      </w:r>
      <w:proofErr w:type="gramEnd"/>
      <w:r>
        <w:rPr>
          <w:rFonts w:ascii="Arial" w:hAnsi="Arial" w:cs="Arial"/>
          <w:snapToGrid/>
          <w:sz w:val="22"/>
          <w:szCs w:val="22"/>
        </w:rPr>
        <w:t xml:space="preserve"> in arrangements for surrendering number</w:t>
      </w:r>
      <w:r w:rsidR="004B56A0">
        <w:rPr>
          <w:rFonts w:ascii="Arial" w:hAnsi="Arial" w:cs="Arial"/>
          <w:snapToGrid/>
          <w:sz w:val="22"/>
          <w:szCs w:val="22"/>
        </w:rPr>
        <w:t xml:space="preserve">s not in </w:t>
      </w:r>
      <w:r w:rsidR="008B47FE">
        <w:rPr>
          <w:rFonts w:ascii="Arial" w:hAnsi="Arial" w:cs="Arial"/>
          <w:snapToGrid/>
          <w:sz w:val="22"/>
          <w:szCs w:val="22"/>
        </w:rPr>
        <w:t xml:space="preserve">multiples of </w:t>
      </w:r>
      <w:r w:rsidR="004B56A0">
        <w:rPr>
          <w:rFonts w:ascii="Arial" w:hAnsi="Arial" w:cs="Arial"/>
          <w:snapToGrid/>
          <w:sz w:val="22"/>
          <w:szCs w:val="22"/>
        </w:rPr>
        <w:t>standard unit</w:t>
      </w:r>
      <w:r w:rsidR="008B47FE">
        <w:rPr>
          <w:rFonts w:ascii="Arial" w:hAnsi="Arial" w:cs="Arial"/>
          <w:snapToGrid/>
          <w:sz w:val="22"/>
          <w:szCs w:val="22"/>
        </w:rPr>
        <w:t>s</w:t>
      </w:r>
      <w:r w:rsidR="004B56A0">
        <w:rPr>
          <w:rFonts w:ascii="Arial" w:hAnsi="Arial" w:cs="Arial"/>
          <w:snapToGrid/>
          <w:sz w:val="22"/>
          <w:szCs w:val="22"/>
        </w:rPr>
        <w:t xml:space="preserve"> </w:t>
      </w:r>
      <w:r w:rsidR="008B47FE">
        <w:rPr>
          <w:rFonts w:ascii="Arial" w:hAnsi="Arial" w:cs="Arial"/>
          <w:snapToGrid/>
          <w:sz w:val="22"/>
          <w:szCs w:val="22"/>
        </w:rPr>
        <w:t>for the number type</w:t>
      </w:r>
      <w:r w:rsidR="004B56A0">
        <w:rPr>
          <w:rFonts w:ascii="Arial" w:hAnsi="Arial" w:cs="Arial"/>
          <w:snapToGrid/>
          <w:sz w:val="22"/>
          <w:szCs w:val="22"/>
        </w:rPr>
        <w:t>.</w:t>
      </w:r>
      <w:r w:rsidR="00E030CF">
        <w:rPr>
          <w:rFonts w:ascii="Arial" w:hAnsi="Arial" w:cs="Arial"/>
          <w:snapToGrid/>
          <w:sz w:val="22"/>
          <w:szCs w:val="22"/>
        </w:rPr>
        <w:t xml:space="preserve"> </w:t>
      </w:r>
      <w:r w:rsidR="00E030CF" w:rsidRPr="00A559AB">
        <w:rPr>
          <w:rFonts w:ascii="Arial" w:hAnsi="Arial" w:cs="Arial"/>
          <w:snapToGrid/>
          <w:sz w:val="22"/>
          <w:szCs w:val="22"/>
        </w:rPr>
        <w:t xml:space="preserve"> </w:t>
      </w:r>
    </w:p>
    <w:p w14:paraId="787F3AD6" w14:textId="4F43E358" w:rsidR="00E030CF" w:rsidRPr="00A559AB" w:rsidRDefault="00E030CF" w:rsidP="00E030CF">
      <w:pPr>
        <w:pStyle w:val="ACMABodyText"/>
        <w:spacing w:before="120" w:line="240" w:lineRule="auto"/>
        <w:rPr>
          <w:rFonts w:ascii="Arial" w:hAnsi="Arial" w:cs="Arial"/>
          <w:snapToGrid/>
          <w:sz w:val="22"/>
          <w:szCs w:val="22"/>
        </w:rPr>
      </w:pPr>
      <w:r>
        <w:rPr>
          <w:rFonts w:ascii="Arial" w:hAnsi="Arial" w:cs="Arial"/>
          <w:snapToGrid/>
          <w:sz w:val="22"/>
          <w:szCs w:val="22"/>
        </w:rPr>
        <w:t>The ACMA also consulted the ACCC in accordance with s</w:t>
      </w:r>
      <w:r w:rsidRPr="00A559AB">
        <w:rPr>
          <w:rFonts w:ascii="Arial" w:hAnsi="Arial" w:cs="Arial"/>
          <w:snapToGrid/>
          <w:sz w:val="22"/>
          <w:szCs w:val="22"/>
        </w:rPr>
        <w:t xml:space="preserve">ubsection 461(1) of the Act before making </w:t>
      </w:r>
      <w:r>
        <w:rPr>
          <w:rFonts w:ascii="Arial" w:hAnsi="Arial" w:cs="Arial"/>
          <w:snapToGrid/>
          <w:sz w:val="22"/>
          <w:szCs w:val="22"/>
        </w:rPr>
        <w:t xml:space="preserve">the </w:t>
      </w:r>
      <w:r w:rsidR="004B56A0">
        <w:rPr>
          <w:rFonts w:ascii="Arial" w:hAnsi="Arial" w:cs="Arial"/>
          <w:snapToGrid/>
          <w:sz w:val="22"/>
          <w:szCs w:val="22"/>
        </w:rPr>
        <w:t>Variation</w:t>
      </w:r>
      <w:r w:rsidR="00742CA8">
        <w:rPr>
          <w:rFonts w:ascii="Arial" w:hAnsi="Arial" w:cs="Arial"/>
          <w:snapToGrid/>
          <w:sz w:val="22"/>
          <w:szCs w:val="22"/>
        </w:rPr>
        <w:t>.</w:t>
      </w:r>
      <w:r w:rsidRPr="00A559AB">
        <w:rPr>
          <w:rFonts w:ascii="Arial" w:hAnsi="Arial" w:cs="Arial"/>
          <w:snapToGrid/>
          <w:sz w:val="22"/>
          <w:szCs w:val="22"/>
        </w:rPr>
        <w:t xml:space="preserve"> </w:t>
      </w:r>
      <w:r w:rsidR="004B56A0">
        <w:rPr>
          <w:rFonts w:ascii="Arial" w:hAnsi="Arial" w:cs="Arial"/>
          <w:sz w:val="22"/>
          <w:szCs w:val="22"/>
        </w:rPr>
        <w:t xml:space="preserve">The ACCC advised the ACMA that </w:t>
      </w:r>
      <w:r w:rsidR="00E2176D">
        <w:rPr>
          <w:rFonts w:ascii="Arial" w:hAnsi="Arial" w:cs="Arial"/>
          <w:sz w:val="22"/>
          <w:szCs w:val="22"/>
        </w:rPr>
        <w:t xml:space="preserve">the proposed variation did not raise any competition </w:t>
      </w:r>
      <w:r w:rsidR="0096578E">
        <w:rPr>
          <w:rFonts w:ascii="Arial" w:hAnsi="Arial" w:cs="Arial"/>
          <w:sz w:val="22"/>
          <w:szCs w:val="22"/>
        </w:rPr>
        <w:t xml:space="preserve">or consumer </w:t>
      </w:r>
      <w:r w:rsidR="00E2176D">
        <w:rPr>
          <w:rFonts w:ascii="Arial" w:hAnsi="Arial" w:cs="Arial"/>
          <w:sz w:val="22"/>
          <w:szCs w:val="22"/>
        </w:rPr>
        <w:t>issues</w:t>
      </w:r>
      <w:r w:rsidR="004B56A0" w:rsidRPr="005A3B75">
        <w:rPr>
          <w:rFonts w:ascii="Arial" w:hAnsi="Arial" w:cs="Arial"/>
          <w:sz w:val="22"/>
          <w:szCs w:val="22"/>
        </w:rPr>
        <w:t>.</w:t>
      </w:r>
    </w:p>
    <w:p w14:paraId="4401151C" w14:textId="7A757AE3" w:rsidR="00E030CF" w:rsidRPr="00FF5816" w:rsidRDefault="00E030CF" w:rsidP="00E030CF">
      <w:pPr>
        <w:spacing w:before="120" w:after="120"/>
        <w:rPr>
          <w:rFonts w:ascii="Arial" w:hAnsi="Arial" w:cs="Arial"/>
          <w:sz w:val="22"/>
          <w:szCs w:val="22"/>
        </w:rPr>
      </w:pPr>
      <w:r>
        <w:rPr>
          <w:rFonts w:ascii="Arial" w:hAnsi="Arial" w:cs="Arial"/>
          <w:sz w:val="22"/>
          <w:szCs w:val="22"/>
        </w:rPr>
        <w:t xml:space="preserve">The ACMA received </w:t>
      </w:r>
      <w:r w:rsidR="004C5148">
        <w:rPr>
          <w:rFonts w:ascii="Arial" w:hAnsi="Arial" w:cs="Arial"/>
          <w:sz w:val="22"/>
          <w:szCs w:val="22"/>
        </w:rPr>
        <w:t xml:space="preserve">one </w:t>
      </w:r>
      <w:r>
        <w:rPr>
          <w:rFonts w:ascii="Arial" w:hAnsi="Arial" w:cs="Arial"/>
          <w:sz w:val="22"/>
          <w:szCs w:val="22"/>
        </w:rPr>
        <w:t xml:space="preserve">submission in response to the consultation paper </w:t>
      </w:r>
      <w:r w:rsidR="0096578E">
        <w:rPr>
          <w:rFonts w:ascii="Arial" w:hAnsi="Arial" w:cs="Arial"/>
          <w:sz w:val="22"/>
          <w:szCs w:val="22"/>
        </w:rPr>
        <w:t xml:space="preserve">which supported </w:t>
      </w:r>
      <w:r>
        <w:rPr>
          <w:rFonts w:ascii="Arial" w:hAnsi="Arial" w:cs="Arial"/>
          <w:sz w:val="22"/>
          <w:szCs w:val="22"/>
        </w:rPr>
        <w:t xml:space="preserve">making the </w:t>
      </w:r>
      <w:r w:rsidR="004B56A0">
        <w:rPr>
          <w:rFonts w:ascii="Arial" w:hAnsi="Arial" w:cs="Arial"/>
          <w:sz w:val="22"/>
          <w:szCs w:val="22"/>
        </w:rPr>
        <w:t>Variation</w:t>
      </w:r>
      <w:r>
        <w:rPr>
          <w:rFonts w:ascii="Arial" w:hAnsi="Arial" w:cs="Arial"/>
          <w:sz w:val="22"/>
          <w:szCs w:val="22"/>
        </w:rPr>
        <w:t xml:space="preserve">.  </w:t>
      </w:r>
    </w:p>
    <w:p w14:paraId="7893A644" w14:textId="77777777" w:rsidR="00E030CF" w:rsidRDefault="00E030CF" w:rsidP="00E030CF">
      <w:pPr>
        <w:spacing w:before="120" w:after="120"/>
        <w:rPr>
          <w:rFonts w:ascii="Arial" w:hAnsi="Arial" w:cs="Arial"/>
          <w:b/>
          <w:sz w:val="22"/>
          <w:szCs w:val="22"/>
        </w:rPr>
      </w:pPr>
      <w:r>
        <w:rPr>
          <w:rFonts w:ascii="Arial" w:hAnsi="Arial" w:cs="Arial"/>
          <w:b/>
          <w:sz w:val="22"/>
          <w:szCs w:val="22"/>
        </w:rPr>
        <w:t>Regulation impact</w:t>
      </w:r>
    </w:p>
    <w:p w14:paraId="535E6966" w14:textId="579F60A4" w:rsidR="00E030CF" w:rsidRPr="00FF5816" w:rsidRDefault="00E030CF" w:rsidP="00E030CF">
      <w:pPr>
        <w:pStyle w:val="ACMABodyText"/>
        <w:spacing w:before="120" w:line="240" w:lineRule="auto"/>
        <w:rPr>
          <w:rFonts w:ascii="Arial" w:hAnsi="Arial" w:cs="Arial"/>
          <w:sz w:val="22"/>
          <w:szCs w:val="22"/>
        </w:rPr>
      </w:pPr>
      <w:r>
        <w:rPr>
          <w:rFonts w:ascii="Arial" w:hAnsi="Arial" w:cs="Arial"/>
          <w:sz w:val="22"/>
          <w:szCs w:val="22"/>
        </w:rPr>
        <w:t>T</w:t>
      </w:r>
      <w:r w:rsidRPr="00BA78C3">
        <w:rPr>
          <w:rFonts w:ascii="Arial" w:hAnsi="Arial" w:cs="Arial"/>
          <w:sz w:val="22"/>
          <w:szCs w:val="22"/>
        </w:rPr>
        <w:t>he Office of Best Practice Regulation (OBPR) has determined that</w:t>
      </w:r>
      <w:r w:rsidRPr="0016070B">
        <w:rPr>
          <w:rFonts w:ascii="Arial" w:hAnsi="Arial" w:cs="Arial"/>
          <w:sz w:val="22"/>
          <w:szCs w:val="22"/>
        </w:rPr>
        <w:t xml:space="preserve"> </w:t>
      </w:r>
      <w:r w:rsidRPr="00BA78C3">
        <w:rPr>
          <w:rFonts w:ascii="Arial" w:hAnsi="Arial" w:cs="Arial"/>
          <w:sz w:val="22"/>
          <w:szCs w:val="22"/>
        </w:rPr>
        <w:t>the overall effect of the changes is minor and machinery in nature</w:t>
      </w:r>
      <w:r>
        <w:rPr>
          <w:rFonts w:ascii="Arial" w:hAnsi="Arial" w:cs="Arial"/>
          <w:sz w:val="22"/>
          <w:szCs w:val="22"/>
        </w:rPr>
        <w:t>. Accordingly</w:t>
      </w:r>
      <w:r w:rsidR="00742CA8">
        <w:rPr>
          <w:rFonts w:ascii="Arial" w:hAnsi="Arial" w:cs="Arial"/>
          <w:sz w:val="22"/>
          <w:szCs w:val="22"/>
        </w:rPr>
        <w:t>,</w:t>
      </w:r>
      <w:r>
        <w:rPr>
          <w:rFonts w:ascii="Arial" w:hAnsi="Arial" w:cs="Arial"/>
          <w:sz w:val="22"/>
          <w:szCs w:val="22"/>
        </w:rPr>
        <w:t xml:space="preserve"> the OBPR advised </w:t>
      </w:r>
      <w:r w:rsidRPr="00BA78C3">
        <w:rPr>
          <w:rFonts w:ascii="Arial" w:hAnsi="Arial" w:cs="Arial"/>
          <w:sz w:val="22"/>
          <w:szCs w:val="22"/>
        </w:rPr>
        <w:t>that no further regulatory impact analysis</w:t>
      </w:r>
      <w:r>
        <w:rPr>
          <w:rFonts w:ascii="Arial" w:hAnsi="Arial" w:cs="Arial"/>
          <w:sz w:val="22"/>
          <w:szCs w:val="22"/>
        </w:rPr>
        <w:t xml:space="preserve"> (in the form of a Regulation Impact Statement) was</w:t>
      </w:r>
      <w:r w:rsidRPr="00BA78C3">
        <w:rPr>
          <w:rFonts w:ascii="Arial" w:hAnsi="Arial" w:cs="Arial"/>
          <w:sz w:val="22"/>
          <w:szCs w:val="22"/>
        </w:rPr>
        <w:t xml:space="preserve"> required</w:t>
      </w:r>
      <w:r>
        <w:rPr>
          <w:rFonts w:ascii="Arial" w:hAnsi="Arial" w:cs="Arial"/>
          <w:sz w:val="22"/>
          <w:szCs w:val="22"/>
        </w:rPr>
        <w:t xml:space="preserve">. The </w:t>
      </w:r>
      <w:r w:rsidRPr="00BA78C3">
        <w:rPr>
          <w:rFonts w:ascii="Arial" w:hAnsi="Arial" w:cs="Arial"/>
          <w:sz w:val="22"/>
          <w:szCs w:val="22"/>
        </w:rPr>
        <w:t>OBPR reference number</w:t>
      </w:r>
      <w:r>
        <w:rPr>
          <w:rFonts w:ascii="Arial" w:hAnsi="Arial" w:cs="Arial"/>
          <w:sz w:val="22"/>
          <w:szCs w:val="22"/>
        </w:rPr>
        <w:t xml:space="preserve"> is</w:t>
      </w:r>
      <w:r w:rsidRPr="00BA78C3">
        <w:rPr>
          <w:rFonts w:ascii="Arial" w:hAnsi="Arial" w:cs="Arial"/>
          <w:sz w:val="22"/>
          <w:szCs w:val="22"/>
        </w:rPr>
        <w:t xml:space="preserve"> </w:t>
      </w:r>
      <w:r w:rsidR="0087363E" w:rsidRPr="00EF7825">
        <w:rPr>
          <w:rFonts w:ascii="Arial" w:hAnsi="Arial" w:cs="Arial"/>
          <w:sz w:val="22"/>
          <w:szCs w:val="22"/>
        </w:rPr>
        <w:t>20083</w:t>
      </w:r>
      <w:r w:rsidRPr="00BA78C3">
        <w:rPr>
          <w:rFonts w:ascii="Arial" w:hAnsi="Arial" w:cs="Arial"/>
          <w:sz w:val="22"/>
          <w:szCs w:val="22"/>
        </w:rPr>
        <w:t>.</w:t>
      </w:r>
    </w:p>
    <w:p w14:paraId="67FE6111" w14:textId="23B53A6C" w:rsidR="00E030CF" w:rsidRDefault="00E030CF" w:rsidP="00E030CF">
      <w:pPr>
        <w:spacing w:before="120" w:after="120"/>
        <w:rPr>
          <w:rFonts w:ascii="Arial" w:hAnsi="Arial" w:cs="Arial"/>
          <w:b/>
          <w:sz w:val="22"/>
          <w:szCs w:val="22"/>
        </w:rPr>
      </w:pPr>
      <w:r>
        <w:rPr>
          <w:rFonts w:ascii="Arial" w:hAnsi="Arial" w:cs="Arial"/>
          <w:b/>
          <w:sz w:val="22"/>
          <w:szCs w:val="22"/>
        </w:rPr>
        <w:t xml:space="preserve">Detailed description of the </w:t>
      </w:r>
      <w:r w:rsidR="0087363E">
        <w:rPr>
          <w:rFonts w:ascii="Arial" w:hAnsi="Arial" w:cs="Arial"/>
          <w:b/>
          <w:sz w:val="22"/>
          <w:szCs w:val="22"/>
        </w:rPr>
        <w:t>Variation</w:t>
      </w:r>
    </w:p>
    <w:p w14:paraId="24DEC269" w14:textId="264500F8" w:rsidR="00E030CF" w:rsidRDefault="00E030CF" w:rsidP="00E030CF">
      <w:pPr>
        <w:spacing w:before="120" w:after="120"/>
        <w:rPr>
          <w:rFonts w:ascii="Arial" w:hAnsi="Arial" w:cs="Arial"/>
          <w:sz w:val="22"/>
          <w:szCs w:val="22"/>
        </w:rPr>
      </w:pPr>
      <w:r w:rsidRPr="00FF5816">
        <w:rPr>
          <w:rFonts w:ascii="Arial" w:hAnsi="Arial" w:cs="Arial"/>
          <w:sz w:val="22"/>
          <w:szCs w:val="22"/>
        </w:rPr>
        <w:t xml:space="preserve">Details of the </w:t>
      </w:r>
      <w:r w:rsidR="0087363E">
        <w:rPr>
          <w:rFonts w:ascii="Arial" w:hAnsi="Arial" w:cs="Arial"/>
          <w:sz w:val="22"/>
          <w:szCs w:val="22"/>
        </w:rPr>
        <w:t>Variation</w:t>
      </w:r>
      <w:r w:rsidRPr="00FF5816">
        <w:rPr>
          <w:rFonts w:ascii="Arial" w:hAnsi="Arial" w:cs="Arial"/>
          <w:sz w:val="22"/>
          <w:szCs w:val="22"/>
        </w:rPr>
        <w:t xml:space="preserve"> are in Attachment A.</w:t>
      </w:r>
    </w:p>
    <w:p w14:paraId="7014CFA3" w14:textId="77777777" w:rsidR="00E030CF" w:rsidRPr="007E628D" w:rsidRDefault="00E030CF" w:rsidP="00E030CF">
      <w:pPr>
        <w:spacing w:before="120" w:after="120"/>
        <w:rPr>
          <w:rFonts w:ascii="Arial" w:hAnsi="Arial" w:cs="Arial"/>
          <w:b/>
          <w:sz w:val="22"/>
          <w:szCs w:val="22"/>
        </w:rPr>
      </w:pPr>
      <w:r w:rsidRPr="007E628D">
        <w:rPr>
          <w:rFonts w:ascii="Arial" w:hAnsi="Arial" w:cs="Arial"/>
          <w:b/>
          <w:sz w:val="22"/>
          <w:szCs w:val="22"/>
        </w:rPr>
        <w:t>Statement of compatibility with human rights</w:t>
      </w:r>
    </w:p>
    <w:p w14:paraId="696E8092" w14:textId="048B818D" w:rsidR="00E030CF" w:rsidRPr="007E628D" w:rsidRDefault="00E030CF" w:rsidP="00E030CF">
      <w:pPr>
        <w:spacing w:before="120" w:after="120"/>
        <w:rPr>
          <w:rFonts w:ascii="Arial" w:hAnsi="Arial" w:cs="Arial"/>
          <w:sz w:val="22"/>
          <w:szCs w:val="22"/>
        </w:rPr>
      </w:pPr>
      <w:r w:rsidRPr="007E628D">
        <w:rPr>
          <w:rFonts w:ascii="Arial" w:hAnsi="Arial" w:cs="Arial"/>
          <w:sz w:val="22"/>
          <w:szCs w:val="22"/>
        </w:rPr>
        <w:t xml:space="preserve">Section 9(1) of the </w:t>
      </w:r>
      <w:r w:rsidRPr="007E628D">
        <w:rPr>
          <w:rFonts w:ascii="Arial" w:hAnsi="Arial" w:cs="Arial"/>
          <w:i/>
          <w:sz w:val="22"/>
          <w:szCs w:val="22"/>
        </w:rPr>
        <w:t>Human Rights (Parliamentary Scrutiny) Act 2011</w:t>
      </w:r>
      <w:r w:rsidRPr="007E628D">
        <w:rPr>
          <w:rFonts w:ascii="Arial" w:hAnsi="Arial" w:cs="Arial"/>
          <w:sz w:val="22"/>
          <w:szCs w:val="22"/>
        </w:rPr>
        <w:t xml:space="preserve"> requires the rule maker in relation to a legislative instrument to which section 42 (disallowance) of the </w:t>
      </w:r>
      <w:r>
        <w:rPr>
          <w:rFonts w:ascii="Arial" w:hAnsi="Arial" w:cs="Arial"/>
          <w:sz w:val="22"/>
          <w:szCs w:val="22"/>
        </w:rPr>
        <w:t xml:space="preserve">LA </w:t>
      </w:r>
      <w:r w:rsidRPr="007E628D">
        <w:rPr>
          <w:rFonts w:ascii="Arial" w:hAnsi="Arial" w:cs="Arial"/>
          <w:sz w:val="22"/>
          <w:szCs w:val="22"/>
        </w:rPr>
        <w:t xml:space="preserve">applies to cause a statement of compatibility to be prepared in respect of that legislative instrument. </w:t>
      </w:r>
    </w:p>
    <w:p w14:paraId="4F4751A8" w14:textId="77777777" w:rsidR="00E030CF" w:rsidRPr="007E628D" w:rsidRDefault="00E030CF" w:rsidP="00E030CF">
      <w:pPr>
        <w:spacing w:before="120" w:after="120"/>
        <w:rPr>
          <w:rFonts w:ascii="Arial" w:hAnsi="Arial" w:cs="Arial"/>
          <w:sz w:val="22"/>
          <w:szCs w:val="22"/>
        </w:rPr>
      </w:pPr>
      <w:r w:rsidRPr="007E628D">
        <w:rPr>
          <w:rFonts w:ascii="Arial" w:hAnsi="Arial" w:cs="Arial"/>
          <w:sz w:val="22"/>
          <w:szCs w:val="22"/>
        </w:rPr>
        <w:t xml:space="preserve">This statement has been prepared in accordance with </w:t>
      </w:r>
      <w:r w:rsidRPr="006C244C">
        <w:rPr>
          <w:rFonts w:ascii="Arial" w:hAnsi="Arial" w:cs="Arial"/>
          <w:sz w:val="22"/>
          <w:szCs w:val="22"/>
        </w:rPr>
        <w:t>Part 3 of the</w:t>
      </w:r>
      <w:r w:rsidRPr="007E628D">
        <w:rPr>
          <w:rFonts w:ascii="Arial" w:hAnsi="Arial" w:cs="Arial"/>
          <w:i/>
          <w:sz w:val="22"/>
          <w:szCs w:val="22"/>
        </w:rPr>
        <w:t xml:space="preserve"> Human Rights (Parliamentary Scrutiny) Act 2011.</w:t>
      </w:r>
      <w:r w:rsidRPr="007E628D">
        <w:rPr>
          <w:rFonts w:ascii="Arial" w:hAnsi="Arial" w:cs="Arial"/>
          <w:sz w:val="22"/>
          <w:szCs w:val="22"/>
        </w:rPr>
        <w:t xml:space="preserve"> </w:t>
      </w:r>
    </w:p>
    <w:p w14:paraId="7E147417" w14:textId="0F5B601D" w:rsidR="00E030CF" w:rsidRPr="001734A9" w:rsidRDefault="00E030CF" w:rsidP="00E030CF">
      <w:pPr>
        <w:spacing w:before="120" w:after="120"/>
        <w:rPr>
          <w:rFonts w:ascii="Arial" w:hAnsi="Arial" w:cs="Arial"/>
          <w:i/>
          <w:sz w:val="22"/>
          <w:szCs w:val="22"/>
          <w:highlight w:val="yellow"/>
        </w:rPr>
      </w:pPr>
      <w:r w:rsidRPr="007E628D">
        <w:rPr>
          <w:rFonts w:ascii="Arial" w:hAnsi="Arial" w:cs="Arial"/>
          <w:sz w:val="22"/>
          <w:szCs w:val="22"/>
        </w:rPr>
        <w:t xml:space="preserve">The </w:t>
      </w:r>
      <w:r w:rsidR="002C6740">
        <w:rPr>
          <w:rFonts w:ascii="Arial" w:hAnsi="Arial" w:cs="Arial"/>
          <w:sz w:val="22"/>
          <w:szCs w:val="22"/>
        </w:rPr>
        <w:t>Variation</w:t>
      </w:r>
      <w:r>
        <w:rPr>
          <w:rFonts w:ascii="Arial" w:hAnsi="Arial" w:cs="Arial"/>
          <w:sz w:val="22"/>
          <w:szCs w:val="22"/>
        </w:rPr>
        <w:t xml:space="preserve">, which </w:t>
      </w:r>
      <w:r w:rsidR="002C6740">
        <w:rPr>
          <w:rFonts w:ascii="Arial" w:hAnsi="Arial" w:cs="Arial"/>
          <w:sz w:val="22"/>
          <w:szCs w:val="22"/>
        </w:rPr>
        <w:t>improves the operation of the Numbering Plan</w:t>
      </w:r>
      <w:r>
        <w:rPr>
          <w:rFonts w:ascii="Arial" w:hAnsi="Arial" w:cs="Arial"/>
          <w:sz w:val="22"/>
          <w:szCs w:val="22"/>
        </w:rPr>
        <w:t xml:space="preserve">, </w:t>
      </w:r>
      <w:r w:rsidRPr="007E628D">
        <w:rPr>
          <w:rFonts w:ascii="Arial" w:hAnsi="Arial" w:cs="Arial"/>
          <w:sz w:val="22"/>
          <w:szCs w:val="22"/>
        </w:rPr>
        <w:t xml:space="preserve">is compatible with the human rights and freedoms recognised or declared in the international instruments listed in section 3 of the </w:t>
      </w:r>
      <w:r w:rsidRPr="007E628D">
        <w:rPr>
          <w:rFonts w:ascii="Arial" w:hAnsi="Arial" w:cs="Arial"/>
          <w:i/>
          <w:sz w:val="22"/>
          <w:szCs w:val="22"/>
        </w:rPr>
        <w:t>Human Rights (Parliamentary Scrutiny) Act 2011.</w:t>
      </w:r>
    </w:p>
    <w:p w14:paraId="71B6A34B" w14:textId="4AA88037" w:rsidR="00E030CF" w:rsidRPr="0043248B" w:rsidRDefault="00E030CF" w:rsidP="00E030CF">
      <w:pPr>
        <w:spacing w:before="120"/>
        <w:rPr>
          <w:rFonts w:ascii="Arial" w:hAnsi="Arial" w:cs="Arial"/>
          <w:sz w:val="22"/>
          <w:szCs w:val="22"/>
        </w:rPr>
      </w:pPr>
      <w:r w:rsidRPr="00675D61">
        <w:rPr>
          <w:rFonts w:ascii="Arial" w:hAnsi="Arial" w:cs="Arial"/>
          <w:sz w:val="22"/>
          <w:szCs w:val="22"/>
        </w:rPr>
        <w:t xml:space="preserve">The ACMA has considered whether the </w:t>
      </w:r>
      <w:r w:rsidR="002C6740">
        <w:rPr>
          <w:rFonts w:ascii="Arial" w:hAnsi="Arial" w:cs="Arial"/>
          <w:sz w:val="22"/>
          <w:szCs w:val="22"/>
        </w:rPr>
        <w:t>Variation</w:t>
      </w:r>
      <w:r w:rsidRPr="00675D61">
        <w:rPr>
          <w:rFonts w:ascii="Arial" w:hAnsi="Arial" w:cs="Arial"/>
          <w:sz w:val="22"/>
          <w:szCs w:val="22"/>
        </w:rPr>
        <w:t xml:space="preserve"> engages any applicable human rights or freedoms and has formed the view that it does not. </w:t>
      </w:r>
      <w:r w:rsidR="002C6740">
        <w:rPr>
          <w:rFonts w:ascii="Arial" w:hAnsi="Arial" w:cs="Arial"/>
          <w:sz w:val="22"/>
          <w:szCs w:val="22"/>
        </w:rPr>
        <w:t>The Variation</w:t>
      </w:r>
      <w:r w:rsidRPr="00675D61">
        <w:rPr>
          <w:rFonts w:ascii="Arial" w:hAnsi="Arial" w:cs="Arial"/>
          <w:sz w:val="22"/>
          <w:szCs w:val="22"/>
        </w:rPr>
        <w:t xml:space="preserve"> is compatible with human rights as it does not raise any human rights issues.</w:t>
      </w:r>
    </w:p>
    <w:p w14:paraId="6D9D31C7" w14:textId="77777777" w:rsidR="0096578E" w:rsidRDefault="0096578E" w:rsidP="000B007E">
      <w:pPr>
        <w:spacing w:before="120" w:after="120"/>
        <w:rPr>
          <w:rFonts w:ascii="Arial" w:hAnsi="Arial" w:cs="Arial"/>
          <w:b/>
          <w:szCs w:val="24"/>
        </w:rPr>
      </w:pPr>
    </w:p>
    <w:p w14:paraId="1DF3A8BB" w14:textId="77777777" w:rsidR="00742CA8" w:rsidRDefault="00742CA8" w:rsidP="000B007E">
      <w:pPr>
        <w:spacing w:before="120" w:after="120"/>
        <w:rPr>
          <w:rFonts w:ascii="Arial" w:hAnsi="Arial" w:cs="Arial"/>
          <w:b/>
          <w:szCs w:val="24"/>
        </w:rPr>
      </w:pPr>
    </w:p>
    <w:p w14:paraId="279CCF33" w14:textId="77777777" w:rsidR="00742CA8" w:rsidRDefault="00742CA8" w:rsidP="000B007E">
      <w:pPr>
        <w:spacing w:before="120" w:after="120"/>
        <w:rPr>
          <w:rFonts w:ascii="Arial" w:hAnsi="Arial" w:cs="Arial"/>
          <w:b/>
          <w:szCs w:val="24"/>
        </w:rPr>
      </w:pPr>
    </w:p>
    <w:p w14:paraId="647A85C2" w14:textId="77777777" w:rsidR="000B007E" w:rsidRDefault="000B007E" w:rsidP="000B007E">
      <w:pPr>
        <w:spacing w:before="120" w:after="120"/>
        <w:rPr>
          <w:rFonts w:ascii="Arial" w:hAnsi="Arial" w:cs="Arial"/>
          <w:b/>
          <w:szCs w:val="24"/>
        </w:rPr>
      </w:pPr>
      <w:r>
        <w:rPr>
          <w:rFonts w:ascii="Arial" w:hAnsi="Arial" w:cs="Arial"/>
          <w:b/>
          <w:szCs w:val="24"/>
        </w:rPr>
        <w:t>Attachment A</w:t>
      </w:r>
    </w:p>
    <w:p w14:paraId="4B6A53CB" w14:textId="77777777" w:rsidR="000B007E" w:rsidRDefault="000B007E" w:rsidP="000B007E">
      <w:pPr>
        <w:spacing w:before="120" w:after="120"/>
        <w:rPr>
          <w:rFonts w:ascii="Arial" w:hAnsi="Arial" w:cs="Arial"/>
          <w:b/>
          <w:szCs w:val="24"/>
        </w:rPr>
      </w:pPr>
      <w:r>
        <w:rPr>
          <w:rFonts w:ascii="Arial" w:hAnsi="Arial" w:cs="Arial"/>
          <w:b/>
          <w:szCs w:val="24"/>
        </w:rPr>
        <w:t>Notes on Sections</w:t>
      </w:r>
    </w:p>
    <w:p w14:paraId="1FD85787" w14:textId="428B9D19" w:rsidR="000B007E" w:rsidRPr="00851BE4" w:rsidRDefault="000B007E" w:rsidP="000B007E">
      <w:pPr>
        <w:spacing w:before="120" w:after="120"/>
        <w:rPr>
          <w:rFonts w:ascii="Arial" w:hAnsi="Arial" w:cs="Arial"/>
          <w:b/>
          <w:sz w:val="22"/>
          <w:szCs w:val="22"/>
        </w:rPr>
      </w:pPr>
      <w:r w:rsidRPr="00851BE4">
        <w:rPr>
          <w:rFonts w:ascii="Arial" w:hAnsi="Arial" w:cs="Arial"/>
          <w:b/>
          <w:sz w:val="22"/>
          <w:szCs w:val="22"/>
        </w:rPr>
        <w:t>Section 1</w:t>
      </w:r>
      <w:r w:rsidRPr="00851BE4">
        <w:rPr>
          <w:rFonts w:ascii="Arial" w:hAnsi="Arial" w:cs="Arial"/>
          <w:b/>
          <w:sz w:val="22"/>
          <w:szCs w:val="22"/>
        </w:rPr>
        <w:tab/>
        <w:t>Name</w:t>
      </w:r>
      <w:r w:rsidR="0096578E">
        <w:rPr>
          <w:rFonts w:ascii="Arial" w:hAnsi="Arial" w:cs="Arial"/>
          <w:b/>
          <w:sz w:val="22"/>
          <w:szCs w:val="22"/>
        </w:rPr>
        <w:t xml:space="preserve"> of Instrument</w:t>
      </w:r>
    </w:p>
    <w:p w14:paraId="49A29CED" w14:textId="7D4E5781" w:rsidR="000B007E" w:rsidRPr="00533077" w:rsidRDefault="000B007E" w:rsidP="000B007E">
      <w:pPr>
        <w:spacing w:before="120" w:after="120"/>
        <w:rPr>
          <w:rFonts w:ascii="Arial" w:hAnsi="Arial" w:cs="Arial"/>
          <w:sz w:val="22"/>
          <w:szCs w:val="22"/>
        </w:rPr>
      </w:pPr>
      <w:r>
        <w:rPr>
          <w:rFonts w:ascii="Arial" w:hAnsi="Arial" w:cs="Arial"/>
          <w:sz w:val="22"/>
          <w:szCs w:val="22"/>
        </w:rPr>
        <w:t>Section 1</w:t>
      </w:r>
      <w:r w:rsidRPr="00533077">
        <w:rPr>
          <w:rFonts w:ascii="Arial" w:hAnsi="Arial" w:cs="Arial"/>
          <w:sz w:val="22"/>
          <w:szCs w:val="22"/>
        </w:rPr>
        <w:t xml:space="preserve"> </w:t>
      </w:r>
      <w:r>
        <w:rPr>
          <w:rFonts w:ascii="Arial" w:hAnsi="Arial" w:cs="Arial"/>
          <w:sz w:val="22"/>
          <w:szCs w:val="22"/>
        </w:rPr>
        <w:t xml:space="preserve">names the instrument as the </w:t>
      </w:r>
      <w:r w:rsidRPr="00533077">
        <w:rPr>
          <w:rFonts w:ascii="Arial" w:hAnsi="Arial" w:cs="Arial"/>
          <w:i/>
          <w:sz w:val="22"/>
          <w:szCs w:val="22"/>
        </w:rPr>
        <w:t>Telec</w:t>
      </w:r>
      <w:r>
        <w:rPr>
          <w:rFonts w:ascii="Arial" w:hAnsi="Arial" w:cs="Arial"/>
          <w:i/>
          <w:sz w:val="22"/>
          <w:szCs w:val="22"/>
        </w:rPr>
        <w:t>ommunications Numbering Plan Variation 2016 (No.1).</w:t>
      </w:r>
    </w:p>
    <w:p w14:paraId="7E6B1A7E" w14:textId="77777777" w:rsidR="000B007E" w:rsidRPr="00EA27F9" w:rsidRDefault="000B007E" w:rsidP="000B007E">
      <w:pPr>
        <w:spacing w:before="120" w:after="120"/>
        <w:rPr>
          <w:rFonts w:ascii="Arial" w:hAnsi="Arial" w:cs="Arial"/>
          <w:b/>
          <w:sz w:val="22"/>
          <w:szCs w:val="22"/>
        </w:rPr>
      </w:pPr>
      <w:r w:rsidRPr="00EA27F9">
        <w:rPr>
          <w:rFonts w:ascii="Arial" w:hAnsi="Arial" w:cs="Arial"/>
          <w:b/>
          <w:sz w:val="22"/>
          <w:szCs w:val="22"/>
        </w:rPr>
        <w:t xml:space="preserve">Section 2 </w:t>
      </w:r>
      <w:r w:rsidRPr="00EA27F9">
        <w:rPr>
          <w:rFonts w:ascii="Arial" w:hAnsi="Arial" w:cs="Arial"/>
          <w:b/>
          <w:sz w:val="22"/>
          <w:szCs w:val="22"/>
        </w:rPr>
        <w:tab/>
        <w:t>Commencement</w:t>
      </w:r>
    </w:p>
    <w:p w14:paraId="6B0EF438" w14:textId="49A39DBA" w:rsidR="000B007E" w:rsidRPr="00EA27F9" w:rsidRDefault="000B007E" w:rsidP="000B007E">
      <w:pPr>
        <w:spacing w:before="120" w:after="120"/>
        <w:rPr>
          <w:rFonts w:ascii="Arial" w:hAnsi="Arial" w:cs="Arial"/>
          <w:sz w:val="22"/>
          <w:szCs w:val="22"/>
        </w:rPr>
      </w:pPr>
      <w:r w:rsidRPr="00EA27F9">
        <w:rPr>
          <w:rFonts w:ascii="Arial" w:hAnsi="Arial" w:cs="Arial"/>
          <w:sz w:val="22"/>
          <w:szCs w:val="22"/>
        </w:rPr>
        <w:t xml:space="preserve">Section 2 </w:t>
      </w:r>
      <w:r>
        <w:rPr>
          <w:rFonts w:ascii="Arial" w:hAnsi="Arial" w:cs="Arial"/>
          <w:sz w:val="22"/>
          <w:szCs w:val="22"/>
        </w:rPr>
        <w:t>sets the commencement time</w:t>
      </w:r>
      <w:r w:rsidRPr="00EA27F9">
        <w:rPr>
          <w:rFonts w:ascii="Arial" w:hAnsi="Arial" w:cs="Arial"/>
          <w:sz w:val="22"/>
          <w:szCs w:val="22"/>
        </w:rPr>
        <w:t xml:space="preserve"> for </w:t>
      </w:r>
      <w:r>
        <w:rPr>
          <w:rFonts w:ascii="Arial" w:hAnsi="Arial" w:cs="Arial"/>
          <w:sz w:val="22"/>
          <w:szCs w:val="22"/>
        </w:rPr>
        <w:t>the Variation</w:t>
      </w:r>
      <w:r w:rsidRPr="00EA27F9">
        <w:rPr>
          <w:rFonts w:ascii="Arial" w:hAnsi="Arial" w:cs="Arial"/>
          <w:sz w:val="22"/>
          <w:szCs w:val="22"/>
        </w:rPr>
        <w:t xml:space="preserve">. </w:t>
      </w:r>
      <w:r>
        <w:rPr>
          <w:rFonts w:ascii="Arial" w:hAnsi="Arial" w:cs="Arial"/>
          <w:sz w:val="22"/>
          <w:szCs w:val="22"/>
        </w:rPr>
        <w:t>The variation will</w:t>
      </w:r>
      <w:r w:rsidRPr="00EA27F9">
        <w:rPr>
          <w:rFonts w:ascii="Arial" w:hAnsi="Arial" w:cs="Arial"/>
          <w:sz w:val="22"/>
          <w:szCs w:val="22"/>
        </w:rPr>
        <w:t xml:space="preserve"> commence </w:t>
      </w:r>
      <w:r w:rsidR="004C5148">
        <w:rPr>
          <w:rFonts w:ascii="Arial" w:hAnsi="Arial" w:cs="Arial"/>
          <w:sz w:val="22"/>
          <w:szCs w:val="22"/>
        </w:rPr>
        <w:t>on 21 March 2016</w:t>
      </w:r>
      <w:r w:rsidRPr="00EA27F9">
        <w:rPr>
          <w:rFonts w:ascii="Arial" w:hAnsi="Arial" w:cs="Arial"/>
          <w:sz w:val="22"/>
          <w:szCs w:val="22"/>
        </w:rPr>
        <w:t xml:space="preserve">. </w:t>
      </w:r>
    </w:p>
    <w:p w14:paraId="24BDC47B" w14:textId="24E6C1A9" w:rsidR="000B007E" w:rsidRPr="000B007E" w:rsidRDefault="000B007E" w:rsidP="000B007E">
      <w:pPr>
        <w:spacing w:before="120" w:after="120"/>
        <w:rPr>
          <w:rFonts w:ascii="Arial" w:hAnsi="Arial" w:cs="Arial"/>
          <w:b/>
          <w:i/>
          <w:sz w:val="22"/>
          <w:szCs w:val="22"/>
        </w:rPr>
      </w:pPr>
      <w:r w:rsidRPr="00F055F6">
        <w:rPr>
          <w:rFonts w:ascii="Arial" w:hAnsi="Arial" w:cs="Arial"/>
          <w:b/>
          <w:sz w:val="22"/>
          <w:szCs w:val="22"/>
        </w:rPr>
        <w:t xml:space="preserve">Section 3 </w:t>
      </w:r>
      <w:r w:rsidRPr="00F055F6">
        <w:rPr>
          <w:rFonts w:ascii="Arial" w:hAnsi="Arial" w:cs="Arial"/>
          <w:b/>
          <w:sz w:val="22"/>
          <w:szCs w:val="22"/>
        </w:rPr>
        <w:tab/>
      </w:r>
      <w:r w:rsidR="00217DC0">
        <w:rPr>
          <w:rFonts w:ascii="Arial" w:hAnsi="Arial" w:cs="Arial"/>
          <w:b/>
          <w:sz w:val="22"/>
          <w:szCs w:val="22"/>
        </w:rPr>
        <w:t>Amendment of</w:t>
      </w:r>
      <w:r>
        <w:rPr>
          <w:rFonts w:ascii="Arial" w:hAnsi="Arial" w:cs="Arial"/>
          <w:b/>
          <w:sz w:val="22"/>
          <w:szCs w:val="22"/>
        </w:rPr>
        <w:t xml:space="preserve"> the </w:t>
      </w:r>
      <w:r>
        <w:rPr>
          <w:rFonts w:ascii="Arial" w:hAnsi="Arial" w:cs="Arial"/>
          <w:b/>
          <w:i/>
          <w:sz w:val="22"/>
          <w:szCs w:val="22"/>
        </w:rPr>
        <w:t>Telecommun</w:t>
      </w:r>
      <w:r w:rsidR="00F904B3">
        <w:rPr>
          <w:rFonts w:ascii="Arial" w:hAnsi="Arial" w:cs="Arial"/>
          <w:b/>
          <w:i/>
          <w:sz w:val="22"/>
          <w:szCs w:val="22"/>
        </w:rPr>
        <w:t>i</w:t>
      </w:r>
      <w:r>
        <w:rPr>
          <w:rFonts w:ascii="Arial" w:hAnsi="Arial" w:cs="Arial"/>
          <w:b/>
          <w:i/>
          <w:sz w:val="22"/>
          <w:szCs w:val="22"/>
        </w:rPr>
        <w:t>cations Numbering Plan 2015</w:t>
      </w:r>
    </w:p>
    <w:p w14:paraId="1F277448" w14:textId="43A0491C" w:rsidR="000B007E" w:rsidRPr="0039304E" w:rsidRDefault="000B007E" w:rsidP="000B007E">
      <w:pPr>
        <w:spacing w:before="120" w:after="120"/>
        <w:rPr>
          <w:rFonts w:ascii="Arial" w:hAnsi="Arial" w:cs="Arial"/>
          <w:i/>
          <w:sz w:val="22"/>
          <w:szCs w:val="22"/>
        </w:rPr>
      </w:pPr>
      <w:r>
        <w:rPr>
          <w:rFonts w:ascii="Arial" w:hAnsi="Arial" w:cs="Arial"/>
          <w:sz w:val="22"/>
          <w:szCs w:val="22"/>
        </w:rPr>
        <w:t xml:space="preserve">Section 3 provides that the Numbering Plan is </w:t>
      </w:r>
      <w:r w:rsidR="00217DC0">
        <w:rPr>
          <w:rFonts w:ascii="Arial" w:hAnsi="Arial" w:cs="Arial"/>
          <w:sz w:val="22"/>
          <w:szCs w:val="22"/>
        </w:rPr>
        <w:t>amended by Schedule 1 of the Variation</w:t>
      </w:r>
      <w:r w:rsidRPr="0039304E">
        <w:rPr>
          <w:rFonts w:ascii="Arial" w:hAnsi="Arial" w:cs="Arial"/>
          <w:i/>
          <w:sz w:val="22"/>
          <w:szCs w:val="22"/>
        </w:rPr>
        <w:t>.</w:t>
      </w:r>
    </w:p>
    <w:p w14:paraId="47A4C094" w14:textId="28C44D48" w:rsidR="000B007E" w:rsidRDefault="008F75C2" w:rsidP="006847DF">
      <w:pPr>
        <w:spacing w:after="120"/>
        <w:rPr>
          <w:rFonts w:ascii="Arial" w:hAnsi="Arial" w:cs="Arial"/>
          <w:b/>
          <w:sz w:val="22"/>
          <w:szCs w:val="22"/>
        </w:rPr>
      </w:pPr>
      <w:r>
        <w:rPr>
          <w:rFonts w:ascii="Arial" w:hAnsi="Arial" w:cs="Arial"/>
          <w:b/>
          <w:sz w:val="22"/>
          <w:szCs w:val="22"/>
        </w:rPr>
        <w:t>Schedule 1</w:t>
      </w:r>
      <w:r w:rsidR="000B007E">
        <w:rPr>
          <w:rFonts w:ascii="Arial" w:hAnsi="Arial" w:cs="Arial"/>
          <w:b/>
          <w:sz w:val="22"/>
          <w:szCs w:val="22"/>
        </w:rPr>
        <w:tab/>
      </w:r>
      <w:r>
        <w:rPr>
          <w:rFonts w:ascii="Arial" w:hAnsi="Arial" w:cs="Arial"/>
          <w:b/>
          <w:sz w:val="22"/>
          <w:szCs w:val="22"/>
        </w:rPr>
        <w:t>Amendment</w:t>
      </w:r>
    </w:p>
    <w:p w14:paraId="790267AC" w14:textId="35AA9D82" w:rsidR="006847DF" w:rsidRDefault="008F75C2" w:rsidP="006847DF">
      <w:pPr>
        <w:spacing w:after="120"/>
        <w:rPr>
          <w:rFonts w:ascii="Arial" w:hAnsi="Arial" w:cs="Arial"/>
          <w:i/>
          <w:sz w:val="22"/>
          <w:szCs w:val="22"/>
        </w:rPr>
      </w:pPr>
      <w:r w:rsidRPr="008F75C2">
        <w:rPr>
          <w:rFonts w:ascii="Arial" w:hAnsi="Arial" w:cs="Arial"/>
          <w:sz w:val="22"/>
          <w:szCs w:val="22"/>
        </w:rPr>
        <w:t>Schedule</w:t>
      </w:r>
      <w:r w:rsidR="006847DF">
        <w:rPr>
          <w:rFonts w:ascii="Arial" w:hAnsi="Arial" w:cs="Arial"/>
          <w:sz w:val="22"/>
          <w:szCs w:val="22"/>
        </w:rPr>
        <w:t xml:space="preserve"> 1 lists the amendments to the </w:t>
      </w:r>
      <w:r w:rsidR="008B47FE">
        <w:rPr>
          <w:rFonts w:ascii="Arial" w:hAnsi="Arial" w:cs="Arial"/>
          <w:sz w:val="22"/>
          <w:szCs w:val="22"/>
        </w:rPr>
        <w:t xml:space="preserve">Numbering </w:t>
      </w:r>
      <w:r w:rsidR="004C5148">
        <w:rPr>
          <w:rFonts w:ascii="Arial" w:hAnsi="Arial" w:cs="Arial"/>
          <w:sz w:val="22"/>
          <w:szCs w:val="22"/>
        </w:rPr>
        <w:t>Plan.</w:t>
      </w:r>
    </w:p>
    <w:p w14:paraId="509642D0" w14:textId="03EEF59B" w:rsidR="00465943" w:rsidRDefault="00465943" w:rsidP="006C244C">
      <w:pPr>
        <w:pStyle w:val="ACMANumberedList"/>
        <w:numPr>
          <w:ilvl w:val="0"/>
          <w:numId w:val="0"/>
        </w:numPr>
        <w:spacing w:after="120"/>
        <w:rPr>
          <w:rFonts w:ascii="Arial" w:hAnsi="Arial" w:cs="Arial"/>
          <w:b/>
          <w:sz w:val="22"/>
          <w:szCs w:val="22"/>
        </w:rPr>
      </w:pPr>
      <w:r>
        <w:rPr>
          <w:rFonts w:ascii="Arial" w:hAnsi="Arial" w:cs="Arial"/>
          <w:b/>
          <w:sz w:val="22"/>
          <w:szCs w:val="22"/>
        </w:rPr>
        <w:t>Items 1-6, 11, 12, 14-17 and 20</w:t>
      </w:r>
    </w:p>
    <w:p w14:paraId="759C8E0B" w14:textId="04B957A2" w:rsidR="004514F6" w:rsidRDefault="004514F6" w:rsidP="00742CA8">
      <w:pPr>
        <w:pStyle w:val="ACMANumberedList"/>
        <w:numPr>
          <w:ilvl w:val="0"/>
          <w:numId w:val="0"/>
        </w:numPr>
        <w:spacing w:afterLines="120" w:after="288"/>
        <w:rPr>
          <w:rFonts w:ascii="Arial" w:hAnsi="Arial" w:cs="Arial"/>
          <w:sz w:val="22"/>
          <w:szCs w:val="22"/>
        </w:rPr>
      </w:pPr>
      <w:r>
        <w:rPr>
          <w:rFonts w:ascii="Arial" w:hAnsi="Arial" w:cs="Arial"/>
          <w:sz w:val="22"/>
          <w:szCs w:val="22"/>
        </w:rPr>
        <w:t>The</w:t>
      </w:r>
      <w:r w:rsidRPr="00E47FD4">
        <w:rPr>
          <w:rFonts w:ascii="Arial" w:hAnsi="Arial" w:cs="Arial"/>
          <w:sz w:val="22"/>
          <w:szCs w:val="22"/>
        </w:rPr>
        <w:t xml:space="preserve"> ACMA (or </w:t>
      </w:r>
      <w:r w:rsidRPr="003978F0">
        <w:rPr>
          <w:rFonts w:ascii="Arial" w:hAnsi="Arial" w:cs="Arial"/>
          <w:sz w:val="22"/>
          <w:szCs w:val="22"/>
        </w:rPr>
        <w:t>its</w:t>
      </w:r>
      <w:r w:rsidRPr="00E47FD4">
        <w:rPr>
          <w:rFonts w:ascii="Arial" w:hAnsi="Arial" w:cs="Arial"/>
          <w:sz w:val="22"/>
          <w:szCs w:val="22"/>
        </w:rPr>
        <w:t xml:space="preserve"> delegate) is required to make several decisions under the Numbering Plan within specified periods of time</w:t>
      </w:r>
      <w:r>
        <w:rPr>
          <w:rFonts w:ascii="Arial" w:hAnsi="Arial" w:cs="Arial"/>
          <w:sz w:val="22"/>
          <w:szCs w:val="22"/>
        </w:rPr>
        <w:t xml:space="preserve">. The Variation </w:t>
      </w:r>
      <w:r w:rsidR="00524F74">
        <w:rPr>
          <w:rFonts w:ascii="Arial" w:hAnsi="Arial" w:cs="Arial"/>
          <w:sz w:val="22"/>
          <w:szCs w:val="22"/>
        </w:rPr>
        <w:t>provides</w:t>
      </w:r>
      <w:r w:rsidR="00524F74" w:rsidRPr="00E47FD4">
        <w:rPr>
          <w:rFonts w:ascii="Arial" w:hAnsi="Arial" w:cs="Arial"/>
          <w:sz w:val="22"/>
          <w:szCs w:val="22"/>
        </w:rPr>
        <w:t xml:space="preserve"> </w:t>
      </w:r>
      <w:r w:rsidRPr="00E47FD4">
        <w:rPr>
          <w:rFonts w:ascii="Arial" w:hAnsi="Arial" w:cs="Arial"/>
          <w:sz w:val="22"/>
          <w:szCs w:val="22"/>
        </w:rPr>
        <w:t>that</w:t>
      </w:r>
      <w:r w:rsidR="008B47FE">
        <w:rPr>
          <w:rFonts w:ascii="Arial" w:hAnsi="Arial" w:cs="Arial"/>
          <w:sz w:val="22"/>
          <w:szCs w:val="22"/>
        </w:rPr>
        <w:t>,</w:t>
      </w:r>
      <w:r w:rsidRPr="00E47FD4">
        <w:rPr>
          <w:rFonts w:ascii="Arial" w:hAnsi="Arial" w:cs="Arial"/>
          <w:sz w:val="22"/>
          <w:szCs w:val="22"/>
        </w:rPr>
        <w:t xml:space="preserve"> in the event that the ACMA does not make a decision within the specified time period</w:t>
      </w:r>
      <w:r>
        <w:rPr>
          <w:rFonts w:ascii="Arial" w:hAnsi="Arial" w:cs="Arial"/>
          <w:sz w:val="22"/>
          <w:szCs w:val="22"/>
        </w:rPr>
        <w:t>,</w:t>
      </w:r>
      <w:r w:rsidRPr="00E47FD4">
        <w:rPr>
          <w:rFonts w:ascii="Arial" w:hAnsi="Arial" w:cs="Arial"/>
          <w:sz w:val="22"/>
          <w:szCs w:val="22"/>
        </w:rPr>
        <w:t xml:space="preserve"> the application or request is taken to be refused. This ensure</w:t>
      </w:r>
      <w:r>
        <w:rPr>
          <w:rFonts w:ascii="Arial" w:hAnsi="Arial" w:cs="Arial"/>
          <w:sz w:val="22"/>
          <w:szCs w:val="22"/>
        </w:rPr>
        <w:t>s</w:t>
      </w:r>
      <w:r w:rsidRPr="00E47FD4">
        <w:rPr>
          <w:rFonts w:ascii="Arial" w:hAnsi="Arial" w:cs="Arial"/>
          <w:sz w:val="22"/>
          <w:szCs w:val="22"/>
        </w:rPr>
        <w:t xml:space="preserve"> that applicants affected by such a failure to make a decision are able to seek review of the deemed refusal decision. </w:t>
      </w:r>
      <w:r w:rsidR="00F2079B">
        <w:rPr>
          <w:rFonts w:ascii="Arial" w:hAnsi="Arial" w:cs="Arial"/>
          <w:sz w:val="22"/>
          <w:szCs w:val="22"/>
        </w:rPr>
        <w:t>Items</w:t>
      </w:r>
      <w:r w:rsidR="00035F1B">
        <w:rPr>
          <w:rFonts w:ascii="Arial" w:hAnsi="Arial" w:cs="Arial"/>
          <w:sz w:val="22"/>
          <w:szCs w:val="22"/>
        </w:rPr>
        <w:t> </w:t>
      </w:r>
      <w:r w:rsidR="00F2079B">
        <w:rPr>
          <w:rFonts w:ascii="Arial" w:hAnsi="Arial" w:cs="Arial"/>
          <w:sz w:val="22"/>
          <w:szCs w:val="22"/>
        </w:rPr>
        <w:t>1</w:t>
      </w:r>
      <w:r w:rsidR="00035F1B">
        <w:rPr>
          <w:rFonts w:ascii="Arial" w:hAnsi="Arial" w:cs="Arial"/>
          <w:sz w:val="22"/>
          <w:szCs w:val="22"/>
        </w:rPr>
        <w:t> </w:t>
      </w:r>
      <w:r w:rsidR="00F2079B">
        <w:rPr>
          <w:rFonts w:ascii="Arial" w:hAnsi="Arial" w:cs="Arial"/>
          <w:sz w:val="22"/>
          <w:szCs w:val="22"/>
        </w:rPr>
        <w:t>–</w:t>
      </w:r>
      <w:r w:rsidR="00035F1B">
        <w:rPr>
          <w:rFonts w:ascii="Arial" w:hAnsi="Arial" w:cs="Arial"/>
          <w:sz w:val="22"/>
          <w:szCs w:val="22"/>
        </w:rPr>
        <w:t> </w:t>
      </w:r>
      <w:r w:rsidR="00F2079B">
        <w:rPr>
          <w:rFonts w:ascii="Arial" w:hAnsi="Arial" w:cs="Arial"/>
          <w:sz w:val="22"/>
          <w:szCs w:val="22"/>
        </w:rPr>
        <w:t>6, 11, 12, 14</w:t>
      </w:r>
      <w:r w:rsidR="0096578E">
        <w:rPr>
          <w:rFonts w:ascii="Arial" w:hAnsi="Arial" w:cs="Arial"/>
          <w:sz w:val="22"/>
          <w:szCs w:val="22"/>
        </w:rPr>
        <w:t>-</w:t>
      </w:r>
      <w:r w:rsidR="00F2079B">
        <w:rPr>
          <w:rFonts w:ascii="Arial" w:hAnsi="Arial" w:cs="Arial"/>
          <w:sz w:val="22"/>
          <w:szCs w:val="22"/>
        </w:rPr>
        <w:t>17 and 20 of Schedule 1 introduce these deemed refusal provisions</w:t>
      </w:r>
      <w:r w:rsidR="00035F1B">
        <w:rPr>
          <w:rFonts w:ascii="Arial" w:hAnsi="Arial" w:cs="Arial"/>
          <w:sz w:val="22"/>
          <w:szCs w:val="22"/>
        </w:rPr>
        <w:t xml:space="preserve"> in relation to various decision</w:t>
      </w:r>
      <w:r w:rsidR="0096578E">
        <w:rPr>
          <w:rFonts w:ascii="Arial" w:hAnsi="Arial" w:cs="Arial"/>
          <w:sz w:val="22"/>
          <w:szCs w:val="22"/>
        </w:rPr>
        <w:t>-</w:t>
      </w:r>
      <w:r w:rsidR="00035F1B">
        <w:rPr>
          <w:rFonts w:ascii="Arial" w:hAnsi="Arial" w:cs="Arial"/>
          <w:sz w:val="22"/>
          <w:szCs w:val="22"/>
        </w:rPr>
        <w:t>making processes required under the Numbering Plan</w:t>
      </w:r>
      <w:r w:rsidR="00F2079B">
        <w:rPr>
          <w:rFonts w:ascii="Arial" w:hAnsi="Arial" w:cs="Arial"/>
          <w:sz w:val="22"/>
          <w:szCs w:val="22"/>
        </w:rPr>
        <w:t>.</w:t>
      </w:r>
      <w:r w:rsidR="008B47FE">
        <w:rPr>
          <w:rFonts w:ascii="Arial" w:hAnsi="Arial" w:cs="Arial"/>
          <w:sz w:val="22"/>
          <w:szCs w:val="22"/>
        </w:rPr>
        <w:t xml:space="preserve"> </w:t>
      </w:r>
    </w:p>
    <w:p w14:paraId="0150E533" w14:textId="77777777" w:rsidR="00465943" w:rsidRPr="004C5148" w:rsidRDefault="00035F1B" w:rsidP="00082F8F">
      <w:pPr>
        <w:spacing w:after="120"/>
        <w:rPr>
          <w:rFonts w:ascii="Arial" w:hAnsi="Arial" w:cs="Arial"/>
          <w:b/>
          <w:sz w:val="22"/>
          <w:szCs w:val="22"/>
        </w:rPr>
      </w:pPr>
      <w:r w:rsidRPr="004C5148">
        <w:rPr>
          <w:rFonts w:ascii="Arial" w:hAnsi="Arial" w:cs="Arial"/>
          <w:b/>
          <w:sz w:val="22"/>
          <w:szCs w:val="22"/>
        </w:rPr>
        <w:t xml:space="preserve">Items 7, 8 and 9 </w:t>
      </w:r>
    </w:p>
    <w:p w14:paraId="162E8AEB" w14:textId="77777777" w:rsidR="002D3935" w:rsidRDefault="00465943" w:rsidP="00766E04">
      <w:pPr>
        <w:spacing w:after="120"/>
        <w:rPr>
          <w:rFonts w:ascii="Arial" w:hAnsi="Arial" w:cs="Arial"/>
          <w:sz w:val="22"/>
          <w:szCs w:val="22"/>
        </w:rPr>
      </w:pPr>
      <w:r>
        <w:rPr>
          <w:rFonts w:ascii="Arial" w:hAnsi="Arial" w:cs="Arial"/>
          <w:sz w:val="22"/>
          <w:szCs w:val="22"/>
        </w:rPr>
        <w:t xml:space="preserve">Section 63 sets out the arrangements for registered CSPs to apply for an allocation of numbers in special circumstances. Special circumstances apply where the number is not listed as available for allocation under section 57 of the Numbering Plan (i.e. the number is in ‘quarantine’), or where the application is not for a multiple of standard units of the type of number applied for. </w:t>
      </w:r>
    </w:p>
    <w:p w14:paraId="05CE30ED" w14:textId="3359B51E" w:rsidR="00463EBC" w:rsidRDefault="002D3935" w:rsidP="00766E04">
      <w:pPr>
        <w:spacing w:after="120"/>
        <w:rPr>
          <w:rFonts w:ascii="Arial" w:hAnsi="Arial" w:cs="Arial"/>
          <w:sz w:val="22"/>
          <w:szCs w:val="22"/>
        </w:rPr>
      </w:pPr>
      <w:r>
        <w:rPr>
          <w:rFonts w:ascii="Arial" w:hAnsi="Arial" w:cs="Arial"/>
          <w:sz w:val="22"/>
          <w:szCs w:val="22"/>
        </w:rPr>
        <w:t xml:space="preserve">Most such applications </w:t>
      </w:r>
      <w:r w:rsidR="00C63F7D">
        <w:rPr>
          <w:rFonts w:ascii="Arial" w:hAnsi="Arial" w:cs="Arial"/>
          <w:sz w:val="22"/>
          <w:szCs w:val="22"/>
        </w:rPr>
        <w:t xml:space="preserve">need to be considered </w:t>
      </w:r>
      <w:r>
        <w:rPr>
          <w:rFonts w:ascii="Arial" w:hAnsi="Arial" w:cs="Arial"/>
          <w:sz w:val="22"/>
          <w:szCs w:val="22"/>
        </w:rPr>
        <w:t xml:space="preserve">on a case by case basis, taking into account all the circumstances and the matters listed in section 65 of the Numbering Plan. However, </w:t>
      </w:r>
      <w:r w:rsidR="00C63F7D">
        <w:rPr>
          <w:rFonts w:ascii="Arial" w:hAnsi="Arial" w:cs="Arial"/>
          <w:sz w:val="22"/>
          <w:szCs w:val="22"/>
        </w:rPr>
        <w:t xml:space="preserve">item 7 of the </w:t>
      </w:r>
      <w:r>
        <w:rPr>
          <w:rFonts w:ascii="Arial" w:hAnsi="Arial" w:cs="Arial"/>
          <w:sz w:val="22"/>
          <w:szCs w:val="22"/>
        </w:rPr>
        <w:t xml:space="preserve">Variation adds subsection </w:t>
      </w:r>
      <w:r w:rsidR="00463EBC">
        <w:rPr>
          <w:rFonts w:ascii="Arial" w:hAnsi="Arial" w:cs="Arial"/>
          <w:sz w:val="22"/>
          <w:szCs w:val="22"/>
        </w:rPr>
        <w:t xml:space="preserve">64(2A) </w:t>
      </w:r>
      <w:r>
        <w:rPr>
          <w:rFonts w:ascii="Arial" w:hAnsi="Arial" w:cs="Arial"/>
          <w:sz w:val="22"/>
          <w:szCs w:val="22"/>
        </w:rPr>
        <w:t xml:space="preserve">which </w:t>
      </w:r>
      <w:r w:rsidR="00463EBC">
        <w:rPr>
          <w:rFonts w:ascii="Arial" w:hAnsi="Arial" w:cs="Arial"/>
          <w:sz w:val="22"/>
          <w:szCs w:val="22"/>
        </w:rPr>
        <w:t xml:space="preserve">provides the ACMA must approve an application made under section 63 for a </w:t>
      </w:r>
      <w:proofErr w:type="spellStart"/>
      <w:r w:rsidR="00463EBC">
        <w:rPr>
          <w:rFonts w:ascii="Arial" w:hAnsi="Arial" w:cs="Arial"/>
          <w:sz w:val="22"/>
          <w:szCs w:val="22"/>
        </w:rPr>
        <w:t>freephone</w:t>
      </w:r>
      <w:proofErr w:type="spellEnd"/>
      <w:r w:rsidR="00463EBC">
        <w:rPr>
          <w:rFonts w:ascii="Arial" w:hAnsi="Arial" w:cs="Arial"/>
          <w:sz w:val="22"/>
          <w:szCs w:val="22"/>
        </w:rPr>
        <w:t xml:space="preserve"> or local rate number when the application is </w:t>
      </w:r>
      <w:r>
        <w:rPr>
          <w:rFonts w:ascii="Arial" w:hAnsi="Arial" w:cs="Arial"/>
          <w:sz w:val="22"/>
          <w:szCs w:val="22"/>
        </w:rPr>
        <w:t>made by the</w:t>
      </w:r>
      <w:r w:rsidR="00463EBC">
        <w:rPr>
          <w:rFonts w:ascii="Arial" w:hAnsi="Arial" w:cs="Arial"/>
          <w:sz w:val="22"/>
          <w:szCs w:val="22"/>
        </w:rPr>
        <w:t xml:space="preserve"> registered CSP who </w:t>
      </w:r>
      <w:r>
        <w:rPr>
          <w:rFonts w:ascii="Arial" w:hAnsi="Arial" w:cs="Arial"/>
          <w:sz w:val="22"/>
          <w:szCs w:val="22"/>
        </w:rPr>
        <w:t xml:space="preserve">last </w:t>
      </w:r>
      <w:r w:rsidR="00463EBC">
        <w:rPr>
          <w:rFonts w:ascii="Arial" w:hAnsi="Arial" w:cs="Arial"/>
          <w:sz w:val="22"/>
          <w:szCs w:val="22"/>
        </w:rPr>
        <w:t>held the number for the purpos</w:t>
      </w:r>
      <w:r w:rsidR="00742CA8">
        <w:rPr>
          <w:rFonts w:ascii="Arial" w:hAnsi="Arial" w:cs="Arial"/>
          <w:sz w:val="22"/>
          <w:szCs w:val="22"/>
        </w:rPr>
        <w:t>e</w:t>
      </w:r>
      <w:r w:rsidR="00463EBC">
        <w:rPr>
          <w:rFonts w:ascii="Arial" w:hAnsi="Arial" w:cs="Arial"/>
          <w:sz w:val="22"/>
          <w:szCs w:val="22"/>
        </w:rPr>
        <w:t xml:space="preserve"> of issuing the number to the customer that was the last customer to whom the number was issued.</w:t>
      </w:r>
      <w:r w:rsidR="00455583">
        <w:rPr>
          <w:rFonts w:ascii="Arial" w:hAnsi="Arial" w:cs="Arial"/>
          <w:sz w:val="22"/>
          <w:szCs w:val="22"/>
        </w:rPr>
        <w:t xml:space="preserve"> The applications are known as ‘</w:t>
      </w:r>
      <w:proofErr w:type="spellStart"/>
      <w:r w:rsidR="00455583">
        <w:rPr>
          <w:rFonts w:ascii="Arial" w:hAnsi="Arial" w:cs="Arial"/>
          <w:sz w:val="22"/>
          <w:szCs w:val="22"/>
        </w:rPr>
        <w:t>last</w:t>
      </w:r>
      <w:proofErr w:type="gramStart"/>
      <w:r w:rsidR="00455583">
        <w:rPr>
          <w:rFonts w:ascii="Arial" w:hAnsi="Arial" w:cs="Arial"/>
          <w:sz w:val="22"/>
          <w:szCs w:val="22"/>
        </w:rPr>
        <w:t>:last</w:t>
      </w:r>
      <w:proofErr w:type="spellEnd"/>
      <w:proofErr w:type="gramEnd"/>
      <w:r w:rsidR="00455583">
        <w:rPr>
          <w:rFonts w:ascii="Arial" w:hAnsi="Arial" w:cs="Arial"/>
          <w:sz w:val="22"/>
          <w:szCs w:val="22"/>
        </w:rPr>
        <w:t xml:space="preserve"> applications’.</w:t>
      </w:r>
      <w:r w:rsidR="00C63F7D">
        <w:rPr>
          <w:rFonts w:ascii="Arial" w:hAnsi="Arial" w:cs="Arial"/>
          <w:sz w:val="22"/>
          <w:szCs w:val="22"/>
        </w:rPr>
        <w:t xml:space="preserve"> </w:t>
      </w:r>
    </w:p>
    <w:p w14:paraId="6491C7C0" w14:textId="5F945ADF" w:rsidR="00F50419" w:rsidRDefault="00C63F7D" w:rsidP="00766E04">
      <w:pPr>
        <w:spacing w:after="120"/>
        <w:rPr>
          <w:rFonts w:ascii="Arial" w:hAnsi="Arial" w:cs="Arial"/>
          <w:sz w:val="22"/>
          <w:szCs w:val="22"/>
        </w:rPr>
      </w:pPr>
      <w:r>
        <w:rPr>
          <w:rFonts w:ascii="Arial" w:hAnsi="Arial" w:cs="Arial"/>
          <w:sz w:val="22"/>
          <w:szCs w:val="22"/>
        </w:rPr>
        <w:t xml:space="preserve">Item 8 of the Variation makes a consequential amendment so that </w:t>
      </w:r>
      <w:r w:rsidR="00F50419">
        <w:rPr>
          <w:rFonts w:ascii="Arial" w:hAnsi="Arial" w:cs="Arial"/>
          <w:sz w:val="22"/>
          <w:szCs w:val="22"/>
        </w:rPr>
        <w:t xml:space="preserve">the existing subsection 64(4) </w:t>
      </w:r>
      <w:r>
        <w:rPr>
          <w:rFonts w:ascii="Arial" w:hAnsi="Arial" w:cs="Arial"/>
          <w:sz w:val="22"/>
          <w:szCs w:val="22"/>
        </w:rPr>
        <w:t xml:space="preserve">is </w:t>
      </w:r>
      <w:r w:rsidR="00F50419">
        <w:rPr>
          <w:rFonts w:ascii="Arial" w:hAnsi="Arial" w:cs="Arial"/>
          <w:sz w:val="22"/>
          <w:szCs w:val="22"/>
        </w:rPr>
        <w:t xml:space="preserve">replaced with a provision that </w:t>
      </w:r>
      <w:r w:rsidR="00455583">
        <w:rPr>
          <w:rFonts w:ascii="Arial" w:hAnsi="Arial" w:cs="Arial"/>
          <w:sz w:val="22"/>
          <w:szCs w:val="22"/>
        </w:rPr>
        <w:t>requires the ACMA to make a decision on more than one application for allocation of the same number in the order the requests were received</w:t>
      </w:r>
      <w:r w:rsidR="00524F74">
        <w:rPr>
          <w:rFonts w:ascii="Arial" w:hAnsi="Arial" w:cs="Arial"/>
          <w:sz w:val="22"/>
          <w:szCs w:val="22"/>
        </w:rPr>
        <w:t>,</w:t>
      </w:r>
      <w:r w:rsidR="00455583">
        <w:rPr>
          <w:rFonts w:ascii="Arial" w:hAnsi="Arial" w:cs="Arial"/>
          <w:sz w:val="22"/>
          <w:szCs w:val="22"/>
        </w:rPr>
        <w:t xml:space="preserve"> unless one of the applications is a </w:t>
      </w:r>
      <w:proofErr w:type="spellStart"/>
      <w:r w:rsidR="00455583">
        <w:rPr>
          <w:rFonts w:ascii="Arial" w:hAnsi="Arial" w:cs="Arial"/>
          <w:sz w:val="22"/>
          <w:szCs w:val="22"/>
        </w:rPr>
        <w:t>last</w:t>
      </w:r>
      <w:proofErr w:type="gramStart"/>
      <w:r w:rsidR="00455583">
        <w:rPr>
          <w:rFonts w:ascii="Arial" w:hAnsi="Arial" w:cs="Arial"/>
          <w:sz w:val="22"/>
          <w:szCs w:val="22"/>
        </w:rPr>
        <w:t>:last</w:t>
      </w:r>
      <w:proofErr w:type="spellEnd"/>
      <w:proofErr w:type="gramEnd"/>
      <w:r w:rsidR="00455583">
        <w:rPr>
          <w:rFonts w:ascii="Arial" w:hAnsi="Arial" w:cs="Arial"/>
          <w:sz w:val="22"/>
          <w:szCs w:val="22"/>
        </w:rPr>
        <w:t xml:space="preserve"> application.</w:t>
      </w:r>
    </w:p>
    <w:p w14:paraId="41417506" w14:textId="1862D2AF" w:rsidR="00F312D9" w:rsidRDefault="00C63F7D" w:rsidP="00766E04">
      <w:pPr>
        <w:spacing w:after="120"/>
        <w:rPr>
          <w:rFonts w:ascii="Arial" w:hAnsi="Arial" w:cs="Arial"/>
          <w:sz w:val="22"/>
          <w:szCs w:val="22"/>
        </w:rPr>
      </w:pPr>
      <w:r>
        <w:rPr>
          <w:rFonts w:ascii="Arial" w:hAnsi="Arial" w:cs="Arial"/>
          <w:sz w:val="22"/>
          <w:szCs w:val="22"/>
        </w:rPr>
        <w:t>Item 8 also adds a new s</w:t>
      </w:r>
      <w:r w:rsidR="00F312D9">
        <w:rPr>
          <w:rFonts w:ascii="Arial" w:hAnsi="Arial" w:cs="Arial"/>
          <w:sz w:val="22"/>
          <w:szCs w:val="22"/>
        </w:rPr>
        <w:t xml:space="preserve">ubsection 64(5) </w:t>
      </w:r>
      <w:r>
        <w:rPr>
          <w:rFonts w:ascii="Arial" w:hAnsi="Arial" w:cs="Arial"/>
          <w:sz w:val="22"/>
          <w:szCs w:val="22"/>
        </w:rPr>
        <w:t xml:space="preserve">which allows the ACMA to </w:t>
      </w:r>
      <w:r w:rsidR="00F312D9">
        <w:rPr>
          <w:rFonts w:ascii="Arial" w:hAnsi="Arial" w:cs="Arial"/>
          <w:sz w:val="22"/>
          <w:szCs w:val="22"/>
        </w:rPr>
        <w:t xml:space="preserve">regard a </w:t>
      </w:r>
      <w:proofErr w:type="spellStart"/>
      <w:r w:rsidR="00F312D9">
        <w:rPr>
          <w:rFonts w:ascii="Arial" w:hAnsi="Arial" w:cs="Arial"/>
          <w:sz w:val="22"/>
          <w:szCs w:val="22"/>
        </w:rPr>
        <w:t>last</w:t>
      </w:r>
      <w:proofErr w:type="gramStart"/>
      <w:r w:rsidR="00F312D9">
        <w:rPr>
          <w:rFonts w:ascii="Arial" w:hAnsi="Arial" w:cs="Arial"/>
          <w:sz w:val="22"/>
          <w:szCs w:val="22"/>
        </w:rPr>
        <w:t>:last</w:t>
      </w:r>
      <w:proofErr w:type="spellEnd"/>
      <w:proofErr w:type="gramEnd"/>
      <w:r w:rsidR="00F312D9">
        <w:rPr>
          <w:rFonts w:ascii="Arial" w:hAnsi="Arial" w:cs="Arial"/>
          <w:sz w:val="22"/>
          <w:szCs w:val="22"/>
        </w:rPr>
        <w:t xml:space="preserve"> application as complete without payment of the </w:t>
      </w:r>
      <w:r>
        <w:rPr>
          <w:rFonts w:ascii="Arial" w:hAnsi="Arial" w:cs="Arial"/>
          <w:sz w:val="22"/>
          <w:szCs w:val="22"/>
        </w:rPr>
        <w:t xml:space="preserve">relevant </w:t>
      </w:r>
      <w:r w:rsidR="00F312D9">
        <w:rPr>
          <w:rFonts w:ascii="Arial" w:hAnsi="Arial" w:cs="Arial"/>
          <w:sz w:val="22"/>
          <w:szCs w:val="22"/>
        </w:rPr>
        <w:t>application fee</w:t>
      </w:r>
      <w:r>
        <w:rPr>
          <w:rFonts w:ascii="Arial" w:hAnsi="Arial" w:cs="Arial"/>
          <w:sz w:val="22"/>
          <w:szCs w:val="22"/>
        </w:rPr>
        <w:t xml:space="preserve"> and allocation fees</w:t>
      </w:r>
      <w:r w:rsidR="00F312D9">
        <w:rPr>
          <w:rFonts w:ascii="Arial" w:hAnsi="Arial" w:cs="Arial"/>
          <w:sz w:val="22"/>
          <w:szCs w:val="22"/>
        </w:rPr>
        <w:t>, if the ACMA has determined that th</w:t>
      </w:r>
      <w:r w:rsidR="0096578E">
        <w:rPr>
          <w:rFonts w:ascii="Arial" w:hAnsi="Arial" w:cs="Arial"/>
          <w:sz w:val="22"/>
          <w:szCs w:val="22"/>
        </w:rPr>
        <w:t>at</w:t>
      </w:r>
      <w:r w:rsidR="00F312D9">
        <w:rPr>
          <w:rFonts w:ascii="Arial" w:hAnsi="Arial" w:cs="Arial"/>
          <w:sz w:val="22"/>
          <w:szCs w:val="22"/>
        </w:rPr>
        <w:t xml:space="preserve"> subsection applies to the registered CSP submitting the application.</w:t>
      </w:r>
      <w:r>
        <w:rPr>
          <w:rFonts w:ascii="Arial" w:hAnsi="Arial" w:cs="Arial"/>
          <w:sz w:val="22"/>
          <w:szCs w:val="22"/>
        </w:rPr>
        <w:t xml:space="preserve"> This allows the ACMA to authorise CSPs to use post-payment arrangements for these kinds of applications.</w:t>
      </w:r>
    </w:p>
    <w:p w14:paraId="76E98A3F" w14:textId="402578AD" w:rsidR="00524F74" w:rsidRDefault="0096578E" w:rsidP="00766E04">
      <w:pPr>
        <w:spacing w:after="120"/>
        <w:rPr>
          <w:rFonts w:ascii="Arial" w:hAnsi="Arial" w:cs="Arial"/>
          <w:sz w:val="22"/>
          <w:szCs w:val="22"/>
        </w:rPr>
      </w:pPr>
      <w:r>
        <w:rPr>
          <w:rFonts w:ascii="Arial" w:hAnsi="Arial" w:cs="Arial"/>
          <w:sz w:val="22"/>
          <w:szCs w:val="22"/>
        </w:rPr>
        <w:t>I</w:t>
      </w:r>
      <w:r w:rsidR="00C63F7D">
        <w:rPr>
          <w:rFonts w:ascii="Arial" w:hAnsi="Arial" w:cs="Arial"/>
          <w:sz w:val="22"/>
          <w:szCs w:val="22"/>
        </w:rPr>
        <w:t xml:space="preserve">tem 8 </w:t>
      </w:r>
      <w:r>
        <w:rPr>
          <w:rFonts w:ascii="Arial" w:hAnsi="Arial" w:cs="Arial"/>
          <w:sz w:val="22"/>
          <w:szCs w:val="22"/>
        </w:rPr>
        <w:t xml:space="preserve">also </w:t>
      </w:r>
      <w:r w:rsidR="00C63F7D">
        <w:rPr>
          <w:rFonts w:ascii="Arial" w:hAnsi="Arial" w:cs="Arial"/>
          <w:sz w:val="22"/>
          <w:szCs w:val="22"/>
        </w:rPr>
        <w:t>adds a new s</w:t>
      </w:r>
      <w:r w:rsidR="00EC2303">
        <w:rPr>
          <w:rFonts w:ascii="Arial" w:hAnsi="Arial" w:cs="Arial"/>
          <w:sz w:val="22"/>
          <w:szCs w:val="22"/>
        </w:rPr>
        <w:t>ubsection 64(6)</w:t>
      </w:r>
      <w:r w:rsidR="00C63F7D">
        <w:rPr>
          <w:rFonts w:ascii="Arial" w:hAnsi="Arial" w:cs="Arial"/>
          <w:sz w:val="22"/>
          <w:szCs w:val="22"/>
        </w:rPr>
        <w:t xml:space="preserve"> which</w:t>
      </w:r>
      <w:r w:rsidR="00EC2303">
        <w:rPr>
          <w:rFonts w:ascii="Arial" w:hAnsi="Arial" w:cs="Arial"/>
          <w:sz w:val="22"/>
          <w:szCs w:val="22"/>
        </w:rPr>
        <w:t xml:space="preserve"> provides that if the ACMA does not make a decision on a</w:t>
      </w:r>
      <w:r w:rsidR="00002537">
        <w:rPr>
          <w:rFonts w:ascii="Arial" w:hAnsi="Arial" w:cs="Arial"/>
          <w:sz w:val="22"/>
          <w:szCs w:val="22"/>
        </w:rPr>
        <w:t>n application made under</w:t>
      </w:r>
      <w:r w:rsidR="00EC2303">
        <w:rPr>
          <w:rFonts w:ascii="Arial" w:hAnsi="Arial" w:cs="Arial"/>
          <w:sz w:val="22"/>
          <w:szCs w:val="22"/>
        </w:rPr>
        <w:t xml:space="preserve"> section 63 within 10 </w:t>
      </w:r>
      <w:r w:rsidR="00171D14">
        <w:rPr>
          <w:rFonts w:ascii="Arial" w:hAnsi="Arial" w:cs="Arial"/>
          <w:sz w:val="22"/>
          <w:szCs w:val="22"/>
        </w:rPr>
        <w:t xml:space="preserve">business </w:t>
      </w:r>
      <w:r w:rsidR="00EC2303">
        <w:rPr>
          <w:rFonts w:ascii="Arial" w:hAnsi="Arial" w:cs="Arial"/>
          <w:sz w:val="22"/>
          <w:szCs w:val="22"/>
        </w:rPr>
        <w:t>days, the ACMA is taken to have made a decision to refuse the application.</w:t>
      </w:r>
      <w:r w:rsidR="00C63F7D">
        <w:rPr>
          <w:rFonts w:ascii="Arial" w:hAnsi="Arial" w:cs="Arial"/>
          <w:sz w:val="22"/>
          <w:szCs w:val="22"/>
        </w:rPr>
        <w:t xml:space="preserve"> Item 9 makes a consequential change to subsection 65(1)</w:t>
      </w:r>
      <w:r w:rsidR="00D41060">
        <w:rPr>
          <w:rFonts w:ascii="Arial" w:hAnsi="Arial" w:cs="Arial"/>
          <w:sz w:val="22"/>
          <w:szCs w:val="22"/>
        </w:rPr>
        <w:t>.</w:t>
      </w:r>
    </w:p>
    <w:p w14:paraId="0614D91C" w14:textId="01613810" w:rsidR="00233F90" w:rsidRDefault="00D41060" w:rsidP="00B84254">
      <w:pPr>
        <w:spacing w:after="120"/>
        <w:rPr>
          <w:rFonts w:ascii="Arial" w:hAnsi="Arial" w:cs="Arial"/>
          <w:sz w:val="22"/>
          <w:szCs w:val="22"/>
        </w:rPr>
      </w:pPr>
      <w:r w:rsidRPr="004C5148">
        <w:rPr>
          <w:rFonts w:ascii="Arial" w:hAnsi="Arial" w:cs="Arial"/>
          <w:b/>
          <w:sz w:val="22"/>
          <w:szCs w:val="22"/>
        </w:rPr>
        <w:t xml:space="preserve">Item 10 </w:t>
      </w:r>
      <w:r>
        <w:rPr>
          <w:rFonts w:ascii="Arial" w:hAnsi="Arial" w:cs="Arial"/>
          <w:sz w:val="22"/>
          <w:szCs w:val="22"/>
        </w:rPr>
        <w:t xml:space="preserve">amends subsection 71(3) </w:t>
      </w:r>
      <w:r w:rsidR="00C92DC7">
        <w:rPr>
          <w:rFonts w:ascii="Arial" w:hAnsi="Arial" w:cs="Arial"/>
          <w:sz w:val="22"/>
          <w:szCs w:val="22"/>
        </w:rPr>
        <w:t xml:space="preserve">to </w:t>
      </w:r>
      <w:r w:rsidR="0096578E">
        <w:rPr>
          <w:rFonts w:ascii="Arial" w:hAnsi="Arial" w:cs="Arial"/>
          <w:sz w:val="22"/>
          <w:szCs w:val="22"/>
        </w:rPr>
        <w:t>correct a typographical error</w:t>
      </w:r>
      <w:r w:rsidR="00742CA8">
        <w:rPr>
          <w:rFonts w:ascii="Arial" w:hAnsi="Arial" w:cs="Arial"/>
          <w:sz w:val="22"/>
          <w:szCs w:val="22"/>
        </w:rPr>
        <w:t>.</w:t>
      </w:r>
    </w:p>
    <w:p w14:paraId="731EEA7D" w14:textId="68F3B766" w:rsidR="00D40EAF" w:rsidRDefault="00D41060" w:rsidP="00766E04">
      <w:pPr>
        <w:spacing w:after="120"/>
        <w:rPr>
          <w:rFonts w:ascii="Arial" w:hAnsi="Arial" w:cs="Arial"/>
          <w:sz w:val="22"/>
          <w:szCs w:val="22"/>
        </w:rPr>
      </w:pPr>
      <w:r w:rsidRPr="004C5148">
        <w:rPr>
          <w:rFonts w:ascii="Arial" w:hAnsi="Arial" w:cs="Arial"/>
          <w:b/>
          <w:sz w:val="22"/>
          <w:szCs w:val="22"/>
        </w:rPr>
        <w:t xml:space="preserve">Item 13 </w:t>
      </w:r>
      <w:r w:rsidR="005C0455">
        <w:rPr>
          <w:rFonts w:ascii="Arial" w:hAnsi="Arial" w:cs="Arial"/>
          <w:sz w:val="22"/>
          <w:szCs w:val="22"/>
        </w:rPr>
        <w:t xml:space="preserve">makes changes to subsection 89(2) to clarify when the ACMA may decide to approve an application for surrender of numbers which are not a multiple of standard units for the type of number. </w:t>
      </w:r>
    </w:p>
    <w:p w14:paraId="4FC2A5D5" w14:textId="77777777" w:rsidR="00381942" w:rsidRDefault="005C0455" w:rsidP="00381942">
      <w:pPr>
        <w:spacing w:after="120"/>
        <w:rPr>
          <w:rFonts w:ascii="Arial" w:hAnsi="Arial" w:cs="Arial"/>
          <w:sz w:val="22"/>
          <w:szCs w:val="22"/>
        </w:rPr>
      </w:pPr>
      <w:r w:rsidRPr="00381942">
        <w:rPr>
          <w:rFonts w:ascii="Arial" w:hAnsi="Arial" w:cs="Arial"/>
          <w:sz w:val="22"/>
          <w:szCs w:val="22"/>
        </w:rPr>
        <w:t xml:space="preserve">Relevantly, </w:t>
      </w:r>
      <w:r w:rsidR="005818DF" w:rsidRPr="00381942">
        <w:rPr>
          <w:rFonts w:ascii="Arial" w:hAnsi="Arial" w:cs="Arial"/>
          <w:sz w:val="22"/>
          <w:szCs w:val="22"/>
        </w:rPr>
        <w:t>s</w:t>
      </w:r>
      <w:r w:rsidR="00FF56EC" w:rsidRPr="00381942">
        <w:rPr>
          <w:rFonts w:ascii="Arial" w:hAnsi="Arial" w:cs="Arial"/>
          <w:sz w:val="22"/>
          <w:szCs w:val="22"/>
        </w:rPr>
        <w:t>ubs</w:t>
      </w:r>
      <w:r w:rsidR="00DF6C4A" w:rsidRPr="00381942">
        <w:rPr>
          <w:rFonts w:ascii="Arial" w:hAnsi="Arial" w:cs="Arial"/>
          <w:sz w:val="22"/>
          <w:szCs w:val="22"/>
        </w:rPr>
        <w:t>ection 89</w:t>
      </w:r>
      <w:r w:rsidR="00FF56EC" w:rsidRPr="00381942">
        <w:rPr>
          <w:rFonts w:ascii="Arial" w:hAnsi="Arial" w:cs="Arial"/>
          <w:sz w:val="22"/>
          <w:szCs w:val="22"/>
        </w:rPr>
        <w:t>(2)</w:t>
      </w:r>
      <w:r w:rsidR="00DF6C4A" w:rsidRPr="00381942">
        <w:rPr>
          <w:rFonts w:ascii="Arial" w:hAnsi="Arial" w:cs="Arial"/>
          <w:sz w:val="22"/>
          <w:szCs w:val="22"/>
        </w:rPr>
        <w:t xml:space="preserve"> </w:t>
      </w:r>
      <w:r w:rsidRPr="00381942">
        <w:rPr>
          <w:rFonts w:ascii="Arial" w:hAnsi="Arial" w:cs="Arial"/>
          <w:sz w:val="22"/>
          <w:szCs w:val="22"/>
        </w:rPr>
        <w:t xml:space="preserve">as amended provides that the ACMA must decide not to approve such an application, unless it is satisfied of certain matters. These matters are </w:t>
      </w:r>
      <w:r w:rsidR="004F7E50" w:rsidRPr="00381942">
        <w:rPr>
          <w:rFonts w:ascii="Arial" w:hAnsi="Arial" w:cs="Arial"/>
          <w:sz w:val="22"/>
          <w:szCs w:val="22"/>
        </w:rPr>
        <w:t>that</w:t>
      </w:r>
      <w:r w:rsidR="00381942">
        <w:rPr>
          <w:rFonts w:ascii="Arial" w:hAnsi="Arial" w:cs="Arial"/>
          <w:sz w:val="22"/>
          <w:szCs w:val="22"/>
        </w:rPr>
        <w:t>:</w:t>
      </w:r>
    </w:p>
    <w:p w14:paraId="146E3858" w14:textId="5F729F3A" w:rsidR="004F7E50" w:rsidRPr="00381942" w:rsidRDefault="004F7E50" w:rsidP="00381942">
      <w:pPr>
        <w:pStyle w:val="ListParagraph"/>
        <w:numPr>
          <w:ilvl w:val="0"/>
          <w:numId w:val="8"/>
        </w:numPr>
        <w:spacing w:after="120"/>
        <w:rPr>
          <w:rFonts w:ascii="Arial" w:hAnsi="Arial" w:cs="Arial"/>
          <w:sz w:val="22"/>
          <w:szCs w:val="22"/>
        </w:rPr>
      </w:pPr>
      <w:r w:rsidRPr="00381942">
        <w:rPr>
          <w:rFonts w:ascii="Arial" w:hAnsi="Arial" w:cs="Arial"/>
          <w:sz w:val="22"/>
          <w:szCs w:val="22"/>
        </w:rPr>
        <w:t>the surrender of the numbers is consistent with the current number analysis capabilities of telecommunications networks operated in Australia; and</w:t>
      </w:r>
    </w:p>
    <w:p w14:paraId="63744E2D" w14:textId="4B535DCB" w:rsidR="004F7E50" w:rsidRPr="00650C2C" w:rsidRDefault="004F7E50" w:rsidP="00650C2C">
      <w:pPr>
        <w:pStyle w:val="ListParagraph"/>
        <w:numPr>
          <w:ilvl w:val="0"/>
          <w:numId w:val="8"/>
        </w:numPr>
        <w:spacing w:after="120"/>
        <w:rPr>
          <w:rFonts w:ascii="Arial" w:hAnsi="Arial" w:cs="Arial"/>
          <w:sz w:val="22"/>
          <w:szCs w:val="22"/>
        </w:rPr>
      </w:pPr>
      <w:r w:rsidRPr="00650C2C">
        <w:rPr>
          <w:rFonts w:ascii="Arial" w:hAnsi="Arial" w:cs="Arial"/>
          <w:sz w:val="22"/>
          <w:szCs w:val="22"/>
        </w:rPr>
        <w:t>the carriage service provider is unable to surrender numbers as a multiple of standard units, or would be significantly disadvantaged or inconvenienced by being required to surrender numbers as a multiple of standard units; and</w:t>
      </w:r>
    </w:p>
    <w:p w14:paraId="7FE7F5C0" w14:textId="584219E6" w:rsidR="004F7E50" w:rsidRPr="00650C2C" w:rsidRDefault="004F7E50" w:rsidP="00650C2C">
      <w:pPr>
        <w:pStyle w:val="ListParagraph"/>
        <w:numPr>
          <w:ilvl w:val="0"/>
          <w:numId w:val="8"/>
        </w:numPr>
        <w:spacing w:after="120"/>
        <w:rPr>
          <w:rFonts w:ascii="Arial" w:hAnsi="Arial" w:cs="Arial"/>
          <w:sz w:val="22"/>
          <w:szCs w:val="22"/>
        </w:rPr>
      </w:pPr>
      <w:proofErr w:type="gramStart"/>
      <w:r w:rsidRPr="00650C2C">
        <w:rPr>
          <w:rFonts w:ascii="Arial" w:hAnsi="Arial" w:cs="Arial"/>
          <w:sz w:val="22"/>
          <w:szCs w:val="22"/>
        </w:rPr>
        <w:t>it</w:t>
      </w:r>
      <w:proofErr w:type="gramEnd"/>
      <w:r w:rsidRPr="00650C2C">
        <w:rPr>
          <w:rFonts w:ascii="Arial" w:hAnsi="Arial" w:cs="Arial"/>
          <w:sz w:val="22"/>
          <w:szCs w:val="22"/>
        </w:rPr>
        <w:t xml:space="preserve"> is appropriate to allow the surrender of the numbers in all the circumstances.</w:t>
      </w:r>
    </w:p>
    <w:p w14:paraId="0AC252E6" w14:textId="2C9B2EF5" w:rsidR="00B84254" w:rsidRDefault="00B84254" w:rsidP="004F7E50">
      <w:pPr>
        <w:spacing w:after="120"/>
        <w:rPr>
          <w:rFonts w:ascii="Arial" w:hAnsi="Arial" w:cs="Arial"/>
          <w:sz w:val="22"/>
          <w:szCs w:val="22"/>
        </w:rPr>
      </w:pPr>
      <w:r>
        <w:rPr>
          <w:rFonts w:ascii="Arial" w:hAnsi="Arial" w:cs="Arial"/>
          <w:sz w:val="22"/>
          <w:szCs w:val="22"/>
        </w:rPr>
        <w:t>This removes</w:t>
      </w:r>
      <w:r w:rsidRPr="00B84254">
        <w:rPr>
          <w:rFonts w:ascii="Arial" w:hAnsi="Arial" w:cs="Arial"/>
          <w:sz w:val="22"/>
          <w:szCs w:val="22"/>
        </w:rPr>
        <w:t xml:space="preserve"> the requirement for the ACMA to consider whether the surrender of numbers will hinder the later allocation of the numbers. It has been the ACMA’s experience that this provision is incapable of being given practical effect, particularly with regard to non-standard surrender of digital mobile numbers.</w:t>
      </w:r>
    </w:p>
    <w:p w14:paraId="69B2FE66" w14:textId="4DBDFAAC" w:rsidR="00B84254" w:rsidRDefault="00B84254" w:rsidP="004F7E50">
      <w:pPr>
        <w:spacing w:after="120"/>
        <w:rPr>
          <w:rFonts w:ascii="Arial" w:hAnsi="Arial" w:cs="Arial"/>
          <w:sz w:val="22"/>
          <w:szCs w:val="22"/>
          <w:highlight w:val="yellow"/>
        </w:rPr>
      </w:pPr>
      <w:r w:rsidRPr="00B84254">
        <w:rPr>
          <w:rFonts w:ascii="Arial" w:hAnsi="Arial" w:cs="Arial"/>
          <w:sz w:val="22"/>
          <w:szCs w:val="22"/>
        </w:rPr>
        <w:t>This will allow the ACMA to consider an application from a CSP to surrender numbers in a quantity that is not a multiple of the standard unit for the number on the circumstances of each case, recognising that such surrenders are sometimes necessary (for example, in the event of CSP failure).</w:t>
      </w:r>
    </w:p>
    <w:p w14:paraId="6BCEAC6D" w14:textId="07030820" w:rsidR="004F7E50" w:rsidRDefault="00063498" w:rsidP="004F7E50">
      <w:pPr>
        <w:spacing w:after="120"/>
        <w:rPr>
          <w:rFonts w:ascii="Arial" w:hAnsi="Arial" w:cs="Arial"/>
          <w:sz w:val="22"/>
          <w:szCs w:val="22"/>
        </w:rPr>
      </w:pPr>
      <w:r>
        <w:rPr>
          <w:rFonts w:ascii="Arial" w:hAnsi="Arial" w:cs="Arial"/>
          <w:sz w:val="22"/>
          <w:szCs w:val="22"/>
        </w:rPr>
        <w:t>New s</w:t>
      </w:r>
      <w:r w:rsidR="00650C2C">
        <w:rPr>
          <w:rFonts w:ascii="Arial" w:hAnsi="Arial" w:cs="Arial"/>
          <w:sz w:val="22"/>
          <w:szCs w:val="22"/>
        </w:rPr>
        <w:t xml:space="preserve">ubsection 89(2A) provides that when considering whether it is appropriate to allow the surrender of the numbers </w:t>
      </w:r>
      <w:r>
        <w:rPr>
          <w:rFonts w:ascii="Arial" w:hAnsi="Arial" w:cs="Arial"/>
          <w:sz w:val="22"/>
          <w:szCs w:val="22"/>
        </w:rPr>
        <w:t xml:space="preserve">for the purposes of paragraph </w:t>
      </w:r>
      <w:r w:rsidR="00650C2C">
        <w:rPr>
          <w:rFonts w:ascii="Arial" w:hAnsi="Arial" w:cs="Arial"/>
          <w:sz w:val="22"/>
          <w:szCs w:val="22"/>
        </w:rPr>
        <w:t xml:space="preserve">89(2)(c) the ACMA may take into consideration any matters it considers relevant and </w:t>
      </w:r>
      <w:r>
        <w:rPr>
          <w:rFonts w:ascii="Arial" w:hAnsi="Arial" w:cs="Arial"/>
          <w:sz w:val="22"/>
          <w:szCs w:val="22"/>
        </w:rPr>
        <w:t>may request further information about the matters to which the application relates.</w:t>
      </w:r>
    </w:p>
    <w:p w14:paraId="34B29D4C" w14:textId="064A93F7" w:rsidR="00650C2C" w:rsidRPr="004F7E50" w:rsidRDefault="00381942">
      <w:pPr>
        <w:spacing w:after="120"/>
        <w:rPr>
          <w:rFonts w:ascii="Arial" w:hAnsi="Arial" w:cs="Arial"/>
          <w:sz w:val="22"/>
          <w:szCs w:val="22"/>
        </w:rPr>
      </w:pPr>
      <w:r>
        <w:rPr>
          <w:rFonts w:ascii="Arial" w:hAnsi="Arial" w:cs="Arial"/>
          <w:sz w:val="22"/>
          <w:szCs w:val="22"/>
        </w:rPr>
        <w:t>New s</w:t>
      </w:r>
      <w:r w:rsidR="00650C2C">
        <w:rPr>
          <w:rFonts w:ascii="Arial" w:hAnsi="Arial" w:cs="Arial"/>
          <w:sz w:val="22"/>
          <w:szCs w:val="22"/>
        </w:rPr>
        <w:t xml:space="preserve">ubsection 89(2B) </w:t>
      </w:r>
      <w:r w:rsidR="00524F74">
        <w:rPr>
          <w:rFonts w:ascii="Arial" w:hAnsi="Arial" w:cs="Arial"/>
          <w:sz w:val="22"/>
          <w:szCs w:val="22"/>
        </w:rPr>
        <w:t>provides</w:t>
      </w:r>
      <w:r w:rsidR="00063498">
        <w:rPr>
          <w:rFonts w:ascii="Arial" w:hAnsi="Arial" w:cs="Arial"/>
          <w:sz w:val="22"/>
          <w:szCs w:val="22"/>
        </w:rPr>
        <w:t xml:space="preserve"> that the period within which the ACMA must make a decision on an application for surrender of numbers (10 business days) does not include any period of time starting when the ACMA asks the CSP for further information and ending when the ACMA receives the information. Subsection 89(2C) </w:t>
      </w:r>
      <w:r w:rsidR="00524F74">
        <w:rPr>
          <w:rFonts w:ascii="Arial" w:hAnsi="Arial" w:cs="Arial"/>
          <w:sz w:val="22"/>
          <w:szCs w:val="22"/>
        </w:rPr>
        <w:t>provides</w:t>
      </w:r>
      <w:r w:rsidR="00063498">
        <w:rPr>
          <w:rFonts w:ascii="Arial" w:hAnsi="Arial" w:cs="Arial"/>
          <w:sz w:val="22"/>
          <w:szCs w:val="22"/>
        </w:rPr>
        <w:t xml:space="preserve"> that if an applicant does not give the ACMA requested further information wi</w:t>
      </w:r>
      <w:r w:rsidR="00524F74">
        <w:rPr>
          <w:rFonts w:ascii="Arial" w:hAnsi="Arial" w:cs="Arial"/>
          <w:sz w:val="22"/>
          <w:szCs w:val="22"/>
        </w:rPr>
        <w:t>t</w:t>
      </w:r>
      <w:r w:rsidR="00063498">
        <w:rPr>
          <w:rFonts w:ascii="Arial" w:hAnsi="Arial" w:cs="Arial"/>
          <w:sz w:val="22"/>
          <w:szCs w:val="22"/>
        </w:rPr>
        <w:t xml:space="preserve">hin a period </w:t>
      </w:r>
      <w:r>
        <w:rPr>
          <w:rFonts w:ascii="Arial" w:hAnsi="Arial" w:cs="Arial"/>
          <w:sz w:val="22"/>
          <w:szCs w:val="22"/>
        </w:rPr>
        <w:t>of</w:t>
      </w:r>
      <w:r w:rsidR="00063498">
        <w:rPr>
          <w:rFonts w:ascii="Arial" w:hAnsi="Arial" w:cs="Arial"/>
          <w:sz w:val="22"/>
          <w:szCs w:val="22"/>
        </w:rPr>
        <w:t xml:space="preserve"> 30 </w:t>
      </w:r>
      <w:r>
        <w:rPr>
          <w:rFonts w:ascii="Arial" w:hAnsi="Arial" w:cs="Arial"/>
          <w:sz w:val="22"/>
          <w:szCs w:val="22"/>
        </w:rPr>
        <w:t xml:space="preserve">business </w:t>
      </w:r>
      <w:r w:rsidR="00063498">
        <w:rPr>
          <w:rFonts w:ascii="Arial" w:hAnsi="Arial" w:cs="Arial"/>
          <w:sz w:val="22"/>
          <w:szCs w:val="22"/>
        </w:rPr>
        <w:t xml:space="preserve">days, their application is taken to be withdrawn. </w:t>
      </w:r>
    </w:p>
    <w:p w14:paraId="70350D64" w14:textId="0BAD0E8C" w:rsidR="0061231E" w:rsidRDefault="00071EB0" w:rsidP="00C64CC7">
      <w:pPr>
        <w:spacing w:before="240" w:after="120"/>
        <w:rPr>
          <w:rFonts w:ascii="Arial" w:hAnsi="Arial" w:cs="Arial"/>
          <w:sz w:val="22"/>
          <w:szCs w:val="22"/>
        </w:rPr>
      </w:pPr>
      <w:r>
        <w:rPr>
          <w:rFonts w:ascii="Arial" w:hAnsi="Arial" w:cs="Arial"/>
          <w:b/>
          <w:sz w:val="22"/>
          <w:szCs w:val="22"/>
        </w:rPr>
        <w:t xml:space="preserve">Items 18 and 19 </w:t>
      </w:r>
      <w:r w:rsidRPr="004C5148">
        <w:rPr>
          <w:rFonts w:ascii="Arial" w:hAnsi="Arial" w:cs="Arial"/>
          <w:sz w:val="22"/>
          <w:szCs w:val="22"/>
        </w:rPr>
        <w:t>amend</w:t>
      </w:r>
      <w:r>
        <w:rPr>
          <w:rFonts w:ascii="Arial" w:hAnsi="Arial" w:cs="Arial"/>
          <w:b/>
          <w:sz w:val="22"/>
          <w:szCs w:val="22"/>
        </w:rPr>
        <w:t xml:space="preserve"> </w:t>
      </w:r>
      <w:r>
        <w:rPr>
          <w:rFonts w:ascii="Arial" w:hAnsi="Arial" w:cs="Arial"/>
          <w:sz w:val="22"/>
          <w:szCs w:val="22"/>
        </w:rPr>
        <w:t>s</w:t>
      </w:r>
      <w:r w:rsidR="0061231E">
        <w:rPr>
          <w:rFonts w:ascii="Arial" w:hAnsi="Arial" w:cs="Arial"/>
          <w:sz w:val="22"/>
          <w:szCs w:val="22"/>
        </w:rPr>
        <w:t>ection 114</w:t>
      </w:r>
      <w:r>
        <w:rPr>
          <w:rFonts w:ascii="Arial" w:hAnsi="Arial" w:cs="Arial"/>
          <w:sz w:val="22"/>
          <w:szCs w:val="22"/>
        </w:rPr>
        <w:t xml:space="preserve"> of the Numbering Plan</w:t>
      </w:r>
      <w:r w:rsidR="00524F74">
        <w:rPr>
          <w:rFonts w:ascii="Arial" w:hAnsi="Arial" w:cs="Arial"/>
          <w:sz w:val="22"/>
          <w:szCs w:val="22"/>
        </w:rPr>
        <w:t>,</w:t>
      </w:r>
      <w:r>
        <w:rPr>
          <w:rFonts w:ascii="Arial" w:hAnsi="Arial" w:cs="Arial"/>
          <w:sz w:val="22"/>
          <w:szCs w:val="22"/>
        </w:rPr>
        <w:t xml:space="preserve"> which</w:t>
      </w:r>
      <w:r w:rsidR="0061231E">
        <w:rPr>
          <w:rFonts w:ascii="Arial" w:hAnsi="Arial" w:cs="Arial"/>
          <w:sz w:val="22"/>
          <w:szCs w:val="22"/>
        </w:rPr>
        <w:t xml:space="preserve"> sets out the </w:t>
      </w:r>
      <w:r>
        <w:rPr>
          <w:rFonts w:ascii="Arial" w:hAnsi="Arial" w:cs="Arial"/>
          <w:sz w:val="22"/>
          <w:szCs w:val="22"/>
        </w:rPr>
        <w:t xml:space="preserve">requirements </w:t>
      </w:r>
      <w:r w:rsidR="0061231E">
        <w:rPr>
          <w:rFonts w:ascii="Arial" w:hAnsi="Arial" w:cs="Arial"/>
          <w:sz w:val="22"/>
          <w:szCs w:val="22"/>
        </w:rPr>
        <w:t xml:space="preserve">for a CSP </w:t>
      </w:r>
      <w:r>
        <w:rPr>
          <w:rFonts w:ascii="Arial" w:hAnsi="Arial" w:cs="Arial"/>
          <w:sz w:val="22"/>
          <w:szCs w:val="22"/>
        </w:rPr>
        <w:t>who ha</w:t>
      </w:r>
      <w:r w:rsidR="00381942">
        <w:rPr>
          <w:rFonts w:ascii="Arial" w:hAnsi="Arial" w:cs="Arial"/>
          <w:sz w:val="22"/>
          <w:szCs w:val="22"/>
        </w:rPr>
        <w:t>s</w:t>
      </w:r>
      <w:r>
        <w:rPr>
          <w:rFonts w:ascii="Arial" w:hAnsi="Arial" w:cs="Arial"/>
          <w:sz w:val="22"/>
          <w:szCs w:val="22"/>
        </w:rPr>
        <w:t xml:space="preserve"> been ported numbers </w:t>
      </w:r>
      <w:r w:rsidR="0061231E">
        <w:rPr>
          <w:rFonts w:ascii="Arial" w:hAnsi="Arial" w:cs="Arial"/>
          <w:sz w:val="22"/>
          <w:szCs w:val="22"/>
        </w:rPr>
        <w:t xml:space="preserve">to </w:t>
      </w:r>
      <w:r>
        <w:rPr>
          <w:rFonts w:ascii="Arial" w:hAnsi="Arial" w:cs="Arial"/>
          <w:sz w:val="22"/>
          <w:szCs w:val="22"/>
        </w:rPr>
        <w:t xml:space="preserve">ensure the surrender of that number occurs when the customer cancels the service.  </w:t>
      </w:r>
    </w:p>
    <w:p w14:paraId="08FD53B7" w14:textId="56D2E3BD" w:rsidR="00247844" w:rsidRDefault="00381942" w:rsidP="00C64CC7">
      <w:pPr>
        <w:spacing w:before="240" w:after="120"/>
        <w:rPr>
          <w:rFonts w:ascii="Arial" w:hAnsi="Arial" w:cs="Arial"/>
          <w:sz w:val="22"/>
          <w:szCs w:val="22"/>
        </w:rPr>
      </w:pPr>
      <w:r>
        <w:rPr>
          <w:rFonts w:ascii="Arial" w:hAnsi="Arial" w:cs="Arial"/>
          <w:sz w:val="22"/>
          <w:szCs w:val="22"/>
        </w:rPr>
        <w:t>New p</w:t>
      </w:r>
      <w:r w:rsidR="00071EB0">
        <w:rPr>
          <w:rFonts w:ascii="Arial" w:hAnsi="Arial" w:cs="Arial"/>
          <w:sz w:val="22"/>
          <w:szCs w:val="22"/>
        </w:rPr>
        <w:t xml:space="preserve">aragraph </w:t>
      </w:r>
      <w:r w:rsidR="0061231E">
        <w:rPr>
          <w:rFonts w:ascii="Arial" w:hAnsi="Arial" w:cs="Arial"/>
          <w:sz w:val="22"/>
          <w:szCs w:val="22"/>
        </w:rPr>
        <w:t>114(2</w:t>
      </w:r>
      <w:proofErr w:type="gramStart"/>
      <w:r w:rsidR="0061231E">
        <w:rPr>
          <w:rFonts w:ascii="Arial" w:hAnsi="Arial" w:cs="Arial"/>
          <w:sz w:val="22"/>
          <w:szCs w:val="22"/>
        </w:rPr>
        <w:t>)(</w:t>
      </w:r>
      <w:proofErr w:type="gramEnd"/>
      <w:r w:rsidR="0061231E">
        <w:rPr>
          <w:rFonts w:ascii="Arial" w:hAnsi="Arial" w:cs="Arial"/>
          <w:sz w:val="22"/>
          <w:szCs w:val="22"/>
        </w:rPr>
        <w:t xml:space="preserve">a) </w:t>
      </w:r>
      <w:r w:rsidR="00071EB0">
        <w:rPr>
          <w:rFonts w:ascii="Arial" w:hAnsi="Arial" w:cs="Arial"/>
          <w:sz w:val="22"/>
          <w:szCs w:val="22"/>
        </w:rPr>
        <w:t xml:space="preserve">requires a CSP to which a </w:t>
      </w:r>
      <w:proofErr w:type="spellStart"/>
      <w:r w:rsidR="00071EB0">
        <w:rPr>
          <w:rFonts w:ascii="Arial" w:hAnsi="Arial" w:cs="Arial"/>
          <w:sz w:val="22"/>
          <w:szCs w:val="22"/>
        </w:rPr>
        <w:t>freephone</w:t>
      </w:r>
      <w:proofErr w:type="spellEnd"/>
      <w:r w:rsidR="00071EB0">
        <w:rPr>
          <w:rFonts w:ascii="Arial" w:hAnsi="Arial" w:cs="Arial"/>
          <w:sz w:val="22"/>
          <w:szCs w:val="22"/>
        </w:rPr>
        <w:t xml:space="preserve"> number or local rate number has been ported to advise the ACMA if the service to which the ported number relates has been cancelled. Under the Numbering Plan, only the CSP that has been allocated or transferred the number can surrender the number. In order to allow the effective return of such ported numbers in relation to cancelled services to be put back into the available number pool, </w:t>
      </w:r>
      <w:r w:rsidR="00524F74">
        <w:rPr>
          <w:rFonts w:ascii="Arial" w:hAnsi="Arial" w:cs="Arial"/>
          <w:sz w:val="22"/>
          <w:szCs w:val="22"/>
        </w:rPr>
        <w:t>n</w:t>
      </w:r>
      <w:r w:rsidR="00071EB0">
        <w:rPr>
          <w:rFonts w:ascii="Arial" w:hAnsi="Arial" w:cs="Arial"/>
          <w:sz w:val="22"/>
          <w:szCs w:val="22"/>
        </w:rPr>
        <w:t>ew s</w:t>
      </w:r>
      <w:r w:rsidR="00247844">
        <w:rPr>
          <w:rFonts w:ascii="Arial" w:hAnsi="Arial" w:cs="Arial"/>
          <w:sz w:val="22"/>
          <w:szCs w:val="22"/>
        </w:rPr>
        <w:t xml:space="preserve">ubsection 114(4) provides </w:t>
      </w:r>
      <w:r w:rsidR="00071EB0">
        <w:rPr>
          <w:rFonts w:ascii="Arial" w:hAnsi="Arial" w:cs="Arial"/>
          <w:sz w:val="22"/>
          <w:szCs w:val="22"/>
        </w:rPr>
        <w:t>that</w:t>
      </w:r>
      <w:r w:rsidR="00CF4F00">
        <w:rPr>
          <w:rFonts w:ascii="Arial" w:hAnsi="Arial" w:cs="Arial"/>
          <w:sz w:val="22"/>
          <w:szCs w:val="22"/>
        </w:rPr>
        <w:t>,</w:t>
      </w:r>
      <w:r w:rsidR="00071EB0">
        <w:rPr>
          <w:rFonts w:ascii="Arial" w:hAnsi="Arial" w:cs="Arial"/>
          <w:sz w:val="22"/>
          <w:szCs w:val="22"/>
        </w:rPr>
        <w:t xml:space="preserve"> if such notification is given by </w:t>
      </w:r>
      <w:r w:rsidR="00247844">
        <w:rPr>
          <w:rFonts w:ascii="Arial" w:hAnsi="Arial" w:cs="Arial"/>
          <w:sz w:val="22"/>
          <w:szCs w:val="22"/>
        </w:rPr>
        <w:t xml:space="preserve">the gaining CSP </w:t>
      </w:r>
      <w:r w:rsidR="00071EB0">
        <w:rPr>
          <w:rFonts w:ascii="Arial" w:hAnsi="Arial" w:cs="Arial"/>
          <w:sz w:val="22"/>
          <w:szCs w:val="22"/>
        </w:rPr>
        <w:t>under paragraph 114(2</w:t>
      </w:r>
      <w:proofErr w:type="gramStart"/>
      <w:r w:rsidR="00071EB0">
        <w:rPr>
          <w:rFonts w:ascii="Arial" w:hAnsi="Arial" w:cs="Arial"/>
          <w:sz w:val="22"/>
          <w:szCs w:val="22"/>
        </w:rPr>
        <w:t>)(</w:t>
      </w:r>
      <w:proofErr w:type="gramEnd"/>
      <w:r w:rsidR="00071EB0">
        <w:rPr>
          <w:rFonts w:ascii="Arial" w:hAnsi="Arial" w:cs="Arial"/>
          <w:sz w:val="22"/>
          <w:szCs w:val="22"/>
        </w:rPr>
        <w:t xml:space="preserve">a) </w:t>
      </w:r>
      <w:r w:rsidR="00247844">
        <w:rPr>
          <w:rFonts w:ascii="Arial" w:hAnsi="Arial" w:cs="Arial"/>
          <w:sz w:val="22"/>
          <w:szCs w:val="22"/>
        </w:rPr>
        <w:t>to the ACMA</w:t>
      </w:r>
      <w:r w:rsidR="00CF4F00">
        <w:rPr>
          <w:rFonts w:ascii="Arial" w:hAnsi="Arial" w:cs="Arial"/>
          <w:sz w:val="22"/>
          <w:szCs w:val="22"/>
        </w:rPr>
        <w:t>, the number is taken to be surrendered by the holder of the number.</w:t>
      </w:r>
    </w:p>
    <w:p w14:paraId="371FF932" w14:textId="2C8A149E" w:rsidR="004B42AA" w:rsidRDefault="00CF4F00" w:rsidP="00C64CC7">
      <w:pPr>
        <w:spacing w:before="240" w:after="120"/>
        <w:rPr>
          <w:rFonts w:ascii="Arial" w:hAnsi="Arial" w:cs="Arial"/>
          <w:sz w:val="22"/>
          <w:szCs w:val="22"/>
        </w:rPr>
      </w:pPr>
      <w:r w:rsidRPr="004C5148">
        <w:rPr>
          <w:rFonts w:ascii="Arial" w:hAnsi="Arial" w:cs="Arial"/>
          <w:b/>
          <w:sz w:val="22"/>
          <w:szCs w:val="22"/>
        </w:rPr>
        <w:t>Item 21</w:t>
      </w:r>
      <w:r>
        <w:rPr>
          <w:rFonts w:ascii="Arial" w:hAnsi="Arial" w:cs="Arial"/>
          <w:sz w:val="22"/>
          <w:szCs w:val="22"/>
        </w:rPr>
        <w:t xml:space="preserve"> amends s</w:t>
      </w:r>
      <w:r w:rsidR="009B3905">
        <w:rPr>
          <w:rFonts w:ascii="Arial" w:hAnsi="Arial" w:cs="Arial"/>
          <w:sz w:val="22"/>
          <w:szCs w:val="22"/>
        </w:rPr>
        <w:t>ection 125</w:t>
      </w:r>
      <w:r w:rsidR="00285CD0">
        <w:rPr>
          <w:rFonts w:ascii="Arial" w:hAnsi="Arial" w:cs="Arial"/>
          <w:sz w:val="22"/>
          <w:szCs w:val="22"/>
        </w:rPr>
        <w:t>,</w:t>
      </w:r>
      <w:r w:rsidR="009B3905">
        <w:rPr>
          <w:rFonts w:ascii="Arial" w:hAnsi="Arial" w:cs="Arial"/>
          <w:sz w:val="22"/>
          <w:szCs w:val="22"/>
        </w:rPr>
        <w:t xml:space="preserve"> </w:t>
      </w:r>
      <w:r w:rsidR="00DA1F5F">
        <w:rPr>
          <w:rFonts w:ascii="Arial" w:hAnsi="Arial" w:cs="Arial"/>
          <w:sz w:val="22"/>
          <w:szCs w:val="22"/>
        </w:rPr>
        <w:t xml:space="preserve">which requires </w:t>
      </w:r>
      <w:r w:rsidR="009B3905">
        <w:rPr>
          <w:rFonts w:ascii="Arial" w:hAnsi="Arial" w:cs="Arial"/>
          <w:sz w:val="22"/>
          <w:szCs w:val="22"/>
        </w:rPr>
        <w:t xml:space="preserve">CSP to report to the ACMA on </w:t>
      </w:r>
      <w:r w:rsidR="00DA1F5F">
        <w:rPr>
          <w:rFonts w:ascii="Arial" w:hAnsi="Arial" w:cs="Arial"/>
          <w:sz w:val="22"/>
          <w:szCs w:val="22"/>
        </w:rPr>
        <w:t xml:space="preserve">their holdings of digital mobile numbers for the </w:t>
      </w:r>
      <w:r w:rsidR="009B3905">
        <w:rPr>
          <w:rFonts w:ascii="Arial" w:hAnsi="Arial" w:cs="Arial"/>
          <w:sz w:val="22"/>
          <w:szCs w:val="22"/>
        </w:rPr>
        <w:t xml:space="preserve">purposes of </w:t>
      </w:r>
      <w:r w:rsidR="00DA1F5F">
        <w:rPr>
          <w:rFonts w:ascii="Arial" w:hAnsi="Arial" w:cs="Arial"/>
          <w:sz w:val="22"/>
          <w:szCs w:val="22"/>
        </w:rPr>
        <w:t xml:space="preserve">allowing the ACMA to calculate the </w:t>
      </w:r>
      <w:r w:rsidR="009B3905">
        <w:rPr>
          <w:rFonts w:ascii="Arial" w:hAnsi="Arial" w:cs="Arial"/>
          <w:sz w:val="22"/>
          <w:szCs w:val="22"/>
        </w:rPr>
        <w:t>annual numbering charges.</w:t>
      </w:r>
      <w:r w:rsidR="00DA1F5F">
        <w:rPr>
          <w:rFonts w:ascii="Arial" w:hAnsi="Arial" w:cs="Arial"/>
          <w:sz w:val="22"/>
          <w:szCs w:val="22"/>
        </w:rPr>
        <w:t xml:space="preserve"> </w:t>
      </w:r>
    </w:p>
    <w:p w14:paraId="389779EA" w14:textId="624A2977" w:rsidR="009B3905" w:rsidRDefault="00DA1F5F" w:rsidP="00C64CC7">
      <w:pPr>
        <w:spacing w:before="240" w:after="120"/>
        <w:rPr>
          <w:rFonts w:ascii="Arial" w:hAnsi="Arial" w:cs="Arial"/>
          <w:sz w:val="22"/>
          <w:szCs w:val="22"/>
        </w:rPr>
      </w:pPr>
      <w:r>
        <w:rPr>
          <w:rFonts w:ascii="Arial" w:hAnsi="Arial" w:cs="Arial"/>
          <w:sz w:val="22"/>
          <w:szCs w:val="22"/>
        </w:rPr>
        <w:t xml:space="preserve">Previously, only CSPs that held digital mobile numbers and were also carriers in relation to the digital mobile services were required to report. This reflected the fact that most digital mobile numbers were held by carriers. However, any CSP who holds a digital mobile number, whether a carrier or not, is required to pay annual numbering charges on those numbers so it is necessary for the ACMA to receive reports from all CSPs who hold digital mobile numbers in order to accurately calculate these charges. </w:t>
      </w:r>
    </w:p>
    <w:p w14:paraId="4A4E1F9B" w14:textId="5225B76F" w:rsidR="00D1680B" w:rsidRDefault="00DA1F5F" w:rsidP="00C64CC7">
      <w:pPr>
        <w:spacing w:before="240" w:after="120"/>
        <w:rPr>
          <w:rFonts w:ascii="Arial" w:hAnsi="Arial" w:cs="Arial"/>
          <w:sz w:val="22"/>
          <w:szCs w:val="22"/>
        </w:rPr>
      </w:pPr>
      <w:r w:rsidRPr="004C5148">
        <w:rPr>
          <w:rFonts w:ascii="Arial" w:hAnsi="Arial" w:cs="Arial"/>
          <w:b/>
          <w:sz w:val="22"/>
          <w:szCs w:val="22"/>
        </w:rPr>
        <w:t xml:space="preserve">Item 22 </w:t>
      </w:r>
      <w:r>
        <w:rPr>
          <w:rFonts w:ascii="Arial" w:hAnsi="Arial" w:cs="Arial"/>
          <w:sz w:val="22"/>
          <w:szCs w:val="22"/>
        </w:rPr>
        <w:t>amends s</w:t>
      </w:r>
      <w:r w:rsidR="00D1680B">
        <w:rPr>
          <w:rFonts w:ascii="Arial" w:hAnsi="Arial" w:cs="Arial"/>
          <w:sz w:val="22"/>
          <w:szCs w:val="22"/>
        </w:rPr>
        <w:t xml:space="preserve">ection 127 </w:t>
      </w:r>
      <w:r>
        <w:rPr>
          <w:rFonts w:ascii="Arial" w:hAnsi="Arial" w:cs="Arial"/>
          <w:sz w:val="22"/>
          <w:szCs w:val="22"/>
        </w:rPr>
        <w:t xml:space="preserve">which </w:t>
      </w:r>
      <w:r w:rsidR="00D1680B">
        <w:rPr>
          <w:rFonts w:ascii="Arial" w:hAnsi="Arial" w:cs="Arial"/>
          <w:sz w:val="22"/>
          <w:szCs w:val="22"/>
        </w:rPr>
        <w:t xml:space="preserve">sets out administrative decisions which are subject to </w:t>
      </w:r>
      <w:r>
        <w:rPr>
          <w:rFonts w:ascii="Arial" w:hAnsi="Arial" w:cs="Arial"/>
          <w:sz w:val="22"/>
          <w:szCs w:val="22"/>
        </w:rPr>
        <w:t xml:space="preserve">merits </w:t>
      </w:r>
      <w:r w:rsidR="00D1680B">
        <w:rPr>
          <w:rFonts w:ascii="Arial" w:hAnsi="Arial" w:cs="Arial"/>
          <w:sz w:val="22"/>
          <w:szCs w:val="22"/>
        </w:rPr>
        <w:t>review.</w:t>
      </w:r>
    </w:p>
    <w:p w14:paraId="7819F611" w14:textId="44210FA8" w:rsidR="00D1680B" w:rsidRPr="005D1C7C" w:rsidRDefault="00DA1F5F" w:rsidP="00C64CC7">
      <w:pPr>
        <w:spacing w:before="240" w:after="120"/>
        <w:rPr>
          <w:rFonts w:ascii="Arial" w:hAnsi="Arial" w:cs="Arial"/>
          <w:sz w:val="22"/>
          <w:szCs w:val="22"/>
        </w:rPr>
      </w:pPr>
      <w:r>
        <w:rPr>
          <w:rFonts w:ascii="Arial" w:hAnsi="Arial" w:cs="Arial"/>
          <w:sz w:val="22"/>
          <w:szCs w:val="22"/>
        </w:rPr>
        <w:t xml:space="preserve">Item 22 removes paragraph </w:t>
      </w:r>
      <w:r w:rsidR="00D1680B">
        <w:rPr>
          <w:rFonts w:ascii="Arial" w:hAnsi="Arial" w:cs="Arial"/>
          <w:sz w:val="22"/>
          <w:szCs w:val="22"/>
        </w:rPr>
        <w:t xml:space="preserve">127(n) from the list of </w:t>
      </w:r>
      <w:r w:rsidR="00D1680B" w:rsidRPr="00D1680B">
        <w:rPr>
          <w:rFonts w:ascii="Arial" w:hAnsi="Arial" w:cs="Arial"/>
          <w:sz w:val="22"/>
          <w:szCs w:val="22"/>
        </w:rPr>
        <w:t>reviewable decisions a</w:t>
      </w:r>
      <w:r w:rsidR="00D1680B">
        <w:rPr>
          <w:rFonts w:ascii="Arial" w:hAnsi="Arial" w:cs="Arial"/>
          <w:sz w:val="22"/>
          <w:szCs w:val="22"/>
        </w:rPr>
        <w:t>s a</w:t>
      </w:r>
      <w:r w:rsidR="00D1680B" w:rsidRPr="00D1680B">
        <w:rPr>
          <w:rFonts w:ascii="Arial" w:hAnsi="Arial" w:cs="Arial"/>
          <w:sz w:val="22"/>
          <w:szCs w:val="22"/>
        </w:rPr>
        <w:t xml:space="preserve"> decision to cancel the enhanced rights of use when the number has not been allocated for three years, is not a decision that the ACMA has any discretion in making (if there has been no </w:t>
      </w:r>
      <w:r>
        <w:rPr>
          <w:rFonts w:ascii="Arial" w:hAnsi="Arial" w:cs="Arial"/>
          <w:sz w:val="22"/>
          <w:szCs w:val="22"/>
        </w:rPr>
        <w:t xml:space="preserve">allocation for </w:t>
      </w:r>
      <w:r w:rsidR="00D1680B">
        <w:rPr>
          <w:rFonts w:ascii="Arial" w:hAnsi="Arial" w:cs="Arial"/>
          <w:sz w:val="22"/>
          <w:szCs w:val="22"/>
        </w:rPr>
        <w:t>three</w:t>
      </w:r>
      <w:r w:rsidR="00D1680B" w:rsidRPr="00D1680B">
        <w:rPr>
          <w:rFonts w:ascii="Arial" w:hAnsi="Arial" w:cs="Arial"/>
          <w:sz w:val="22"/>
          <w:szCs w:val="22"/>
        </w:rPr>
        <w:t xml:space="preserve"> years, the ACMA must cancel the enhanced rights of use</w:t>
      </w:r>
      <w:r w:rsidR="00D1680B">
        <w:rPr>
          <w:rFonts w:ascii="Arial" w:hAnsi="Arial" w:cs="Arial"/>
          <w:sz w:val="22"/>
          <w:szCs w:val="22"/>
        </w:rPr>
        <w:t>).</w:t>
      </w:r>
    </w:p>
    <w:sectPr w:rsidR="00D1680B" w:rsidRPr="005D1C7C" w:rsidSect="000434C9">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0CC43" w14:textId="77777777" w:rsidR="00BB1A19" w:rsidRDefault="00BB1A19" w:rsidP="00E030CF">
      <w:r>
        <w:separator/>
      </w:r>
    </w:p>
  </w:endnote>
  <w:endnote w:type="continuationSeparator" w:id="0">
    <w:p w14:paraId="2A304CAF" w14:textId="77777777" w:rsidR="00BB1A19" w:rsidRDefault="00BB1A19" w:rsidP="00E0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7694" w14:textId="77777777" w:rsidR="000434C9" w:rsidRPr="000434C9" w:rsidRDefault="000434C9">
    <w:pPr>
      <w:pStyle w:val="Footer"/>
      <w:jc w:val="center"/>
      <w:rPr>
        <w:rFonts w:ascii="Arial" w:hAnsi="Arial" w:cs="Arial"/>
        <w:sz w:val="20"/>
      </w:rPr>
    </w:pPr>
    <w:r w:rsidRPr="000434C9">
      <w:rPr>
        <w:rFonts w:ascii="Arial" w:hAnsi="Arial" w:cs="Arial"/>
        <w:sz w:val="20"/>
      </w:rPr>
      <w:t xml:space="preserve">Page </w:t>
    </w:r>
    <w:r w:rsidRPr="000434C9">
      <w:rPr>
        <w:rFonts w:ascii="Arial" w:hAnsi="Arial" w:cs="Arial"/>
        <w:sz w:val="20"/>
      </w:rPr>
      <w:fldChar w:fldCharType="begin"/>
    </w:r>
    <w:r w:rsidRPr="000434C9">
      <w:rPr>
        <w:rFonts w:ascii="Arial" w:hAnsi="Arial" w:cs="Arial"/>
        <w:sz w:val="20"/>
      </w:rPr>
      <w:instrText xml:space="preserve"> PAGE  \* Arabic  \* MERGEFORMAT </w:instrText>
    </w:r>
    <w:r w:rsidRPr="000434C9">
      <w:rPr>
        <w:rFonts w:ascii="Arial" w:hAnsi="Arial" w:cs="Arial"/>
        <w:sz w:val="20"/>
      </w:rPr>
      <w:fldChar w:fldCharType="separate"/>
    </w:r>
    <w:r w:rsidR="00513ADB">
      <w:rPr>
        <w:rFonts w:ascii="Arial" w:hAnsi="Arial" w:cs="Arial"/>
        <w:noProof/>
        <w:sz w:val="20"/>
      </w:rPr>
      <w:t>5</w:t>
    </w:r>
    <w:r w:rsidRPr="000434C9">
      <w:rPr>
        <w:rFonts w:ascii="Arial" w:hAnsi="Arial" w:cs="Arial"/>
        <w:sz w:val="20"/>
      </w:rPr>
      <w:fldChar w:fldCharType="end"/>
    </w:r>
    <w:r w:rsidRPr="000434C9">
      <w:rPr>
        <w:rFonts w:ascii="Arial" w:hAnsi="Arial" w:cs="Arial"/>
        <w:sz w:val="20"/>
      </w:rPr>
      <w:t xml:space="preserve"> of </w:t>
    </w:r>
    <w:r w:rsidRPr="000434C9">
      <w:rPr>
        <w:rFonts w:ascii="Arial" w:hAnsi="Arial" w:cs="Arial"/>
        <w:sz w:val="20"/>
      </w:rPr>
      <w:fldChar w:fldCharType="begin"/>
    </w:r>
    <w:r w:rsidRPr="000434C9">
      <w:rPr>
        <w:rFonts w:ascii="Arial" w:hAnsi="Arial" w:cs="Arial"/>
        <w:sz w:val="20"/>
      </w:rPr>
      <w:instrText xml:space="preserve"> NUMPAGES  \* Arabic  \* MERGEFORMAT </w:instrText>
    </w:r>
    <w:r w:rsidRPr="000434C9">
      <w:rPr>
        <w:rFonts w:ascii="Arial" w:hAnsi="Arial" w:cs="Arial"/>
        <w:sz w:val="20"/>
      </w:rPr>
      <w:fldChar w:fldCharType="separate"/>
    </w:r>
    <w:r w:rsidR="00513ADB">
      <w:rPr>
        <w:rFonts w:ascii="Arial" w:hAnsi="Arial" w:cs="Arial"/>
        <w:noProof/>
        <w:sz w:val="20"/>
      </w:rPr>
      <w:t>5</w:t>
    </w:r>
    <w:r w:rsidRPr="000434C9">
      <w:rPr>
        <w:rFonts w:ascii="Arial" w:hAnsi="Arial" w:cs="Arial"/>
        <w:sz w:val="20"/>
      </w:rPr>
      <w:fldChar w:fldCharType="end"/>
    </w:r>
  </w:p>
  <w:p w14:paraId="582DC5C7" w14:textId="77777777" w:rsidR="00AD3546" w:rsidRDefault="00AD3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56DB" w14:textId="77777777" w:rsidR="00BB1A19" w:rsidRDefault="00BB1A19" w:rsidP="00E030CF">
      <w:r>
        <w:separator/>
      </w:r>
    </w:p>
  </w:footnote>
  <w:footnote w:type="continuationSeparator" w:id="0">
    <w:p w14:paraId="07B85206" w14:textId="77777777" w:rsidR="00BB1A19" w:rsidRDefault="00BB1A19" w:rsidP="00E03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A26AEC"/>
    <w:lvl w:ilvl="0">
      <w:numFmt w:val="bullet"/>
      <w:lvlText w:val="*"/>
      <w:lvlJc w:val="left"/>
    </w:lvl>
  </w:abstractNum>
  <w:abstractNum w:abstractNumId="1">
    <w:nsid w:val="00CB255F"/>
    <w:multiLevelType w:val="hybridMultilevel"/>
    <w:tmpl w:val="CCF08E7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
    <w:nsid w:val="119F37F3"/>
    <w:multiLevelType w:val="hybridMultilevel"/>
    <w:tmpl w:val="C758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F93A0B"/>
    <w:multiLevelType w:val="hybridMultilevel"/>
    <w:tmpl w:val="DAC2D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693958"/>
    <w:multiLevelType w:val="hybridMultilevel"/>
    <w:tmpl w:val="5F5E12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251F7F"/>
    <w:multiLevelType w:val="hybridMultilevel"/>
    <w:tmpl w:val="E9FAAF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D3B526B"/>
    <w:multiLevelType w:val="hybridMultilevel"/>
    <w:tmpl w:val="251AA0A6"/>
    <w:lvl w:ilvl="0" w:tplc="7F9CF1C8">
      <w:start w:val="1"/>
      <w:numFmt w:val="decimal"/>
      <w:lvlText w:val="%1."/>
      <w:lvlJc w:val="left"/>
      <w:pPr>
        <w:tabs>
          <w:tab w:val="num" w:pos="540"/>
        </w:tabs>
        <w:ind w:left="540" w:hanging="360"/>
      </w:pPr>
      <w:rPr>
        <w:rFonts w:ascii="Arial" w:hAnsi="Arial" w:cs="Aria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6"/>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CF"/>
    <w:rsid w:val="00002537"/>
    <w:rsid w:val="000270E5"/>
    <w:rsid w:val="00035F1B"/>
    <w:rsid w:val="000434C9"/>
    <w:rsid w:val="000467F4"/>
    <w:rsid w:val="000540B9"/>
    <w:rsid w:val="00063498"/>
    <w:rsid w:val="000657F0"/>
    <w:rsid w:val="00071EB0"/>
    <w:rsid w:val="00082F8F"/>
    <w:rsid w:val="00084861"/>
    <w:rsid w:val="00085732"/>
    <w:rsid w:val="0009626B"/>
    <w:rsid w:val="000A1946"/>
    <w:rsid w:val="000B007E"/>
    <w:rsid w:val="000E1A98"/>
    <w:rsid w:val="00102ABF"/>
    <w:rsid w:val="00121DFD"/>
    <w:rsid w:val="00171D14"/>
    <w:rsid w:val="001B7B69"/>
    <w:rsid w:val="001F6120"/>
    <w:rsid w:val="00217DC0"/>
    <w:rsid w:val="00233F90"/>
    <w:rsid w:val="002345E2"/>
    <w:rsid w:val="00246EB0"/>
    <w:rsid w:val="00247844"/>
    <w:rsid w:val="00257F6F"/>
    <w:rsid w:val="0027348A"/>
    <w:rsid w:val="0027680D"/>
    <w:rsid w:val="00285CD0"/>
    <w:rsid w:val="002C6740"/>
    <w:rsid w:val="002D3935"/>
    <w:rsid w:val="003502A4"/>
    <w:rsid w:val="00365111"/>
    <w:rsid w:val="0036743F"/>
    <w:rsid w:val="00381942"/>
    <w:rsid w:val="003B45F7"/>
    <w:rsid w:val="003C19CC"/>
    <w:rsid w:val="003D0E3B"/>
    <w:rsid w:val="003E00ED"/>
    <w:rsid w:val="003F3FD8"/>
    <w:rsid w:val="00427A9B"/>
    <w:rsid w:val="00430447"/>
    <w:rsid w:val="0043055A"/>
    <w:rsid w:val="004514F6"/>
    <w:rsid w:val="00455583"/>
    <w:rsid w:val="00463EBC"/>
    <w:rsid w:val="004641CF"/>
    <w:rsid w:val="00465943"/>
    <w:rsid w:val="004721A4"/>
    <w:rsid w:val="004923E6"/>
    <w:rsid w:val="004B42AA"/>
    <w:rsid w:val="004B56A0"/>
    <w:rsid w:val="004C5148"/>
    <w:rsid w:val="004F702B"/>
    <w:rsid w:val="004F7E50"/>
    <w:rsid w:val="00513ADB"/>
    <w:rsid w:val="00524F74"/>
    <w:rsid w:val="0056477A"/>
    <w:rsid w:val="005818DF"/>
    <w:rsid w:val="005C0455"/>
    <w:rsid w:val="005D1C7C"/>
    <w:rsid w:val="0061231E"/>
    <w:rsid w:val="00626BCF"/>
    <w:rsid w:val="00650C2C"/>
    <w:rsid w:val="006847DF"/>
    <w:rsid w:val="006C244C"/>
    <w:rsid w:val="006E686C"/>
    <w:rsid w:val="00742CA8"/>
    <w:rsid w:val="00766E04"/>
    <w:rsid w:val="00793DB9"/>
    <w:rsid w:val="007A3A0F"/>
    <w:rsid w:val="007A5F9D"/>
    <w:rsid w:val="007E0BF3"/>
    <w:rsid w:val="00871023"/>
    <w:rsid w:val="0087363E"/>
    <w:rsid w:val="0087484C"/>
    <w:rsid w:val="00877181"/>
    <w:rsid w:val="008B47FE"/>
    <w:rsid w:val="008D109D"/>
    <w:rsid w:val="008F75C2"/>
    <w:rsid w:val="00924245"/>
    <w:rsid w:val="0096578E"/>
    <w:rsid w:val="0099112F"/>
    <w:rsid w:val="009A725C"/>
    <w:rsid w:val="009B3905"/>
    <w:rsid w:val="00A16124"/>
    <w:rsid w:val="00A1615A"/>
    <w:rsid w:val="00A20764"/>
    <w:rsid w:val="00A43B26"/>
    <w:rsid w:val="00A67757"/>
    <w:rsid w:val="00A85101"/>
    <w:rsid w:val="00A862CC"/>
    <w:rsid w:val="00A954BC"/>
    <w:rsid w:val="00AB00B5"/>
    <w:rsid w:val="00AD3546"/>
    <w:rsid w:val="00AF08D8"/>
    <w:rsid w:val="00B43430"/>
    <w:rsid w:val="00B512B3"/>
    <w:rsid w:val="00B84254"/>
    <w:rsid w:val="00BB1A19"/>
    <w:rsid w:val="00BD2AA3"/>
    <w:rsid w:val="00C53501"/>
    <w:rsid w:val="00C63F7D"/>
    <w:rsid w:val="00C64CC7"/>
    <w:rsid w:val="00C92DC7"/>
    <w:rsid w:val="00CA1283"/>
    <w:rsid w:val="00CD231A"/>
    <w:rsid w:val="00CF4F00"/>
    <w:rsid w:val="00D1680B"/>
    <w:rsid w:val="00D30B45"/>
    <w:rsid w:val="00D40EAF"/>
    <w:rsid w:val="00D41060"/>
    <w:rsid w:val="00DA1693"/>
    <w:rsid w:val="00DA1F5F"/>
    <w:rsid w:val="00DE356D"/>
    <w:rsid w:val="00DF6C4A"/>
    <w:rsid w:val="00E030CF"/>
    <w:rsid w:val="00E2176D"/>
    <w:rsid w:val="00E52BDC"/>
    <w:rsid w:val="00EC2303"/>
    <w:rsid w:val="00EC638D"/>
    <w:rsid w:val="00F04E89"/>
    <w:rsid w:val="00F10F24"/>
    <w:rsid w:val="00F2079B"/>
    <w:rsid w:val="00F312D9"/>
    <w:rsid w:val="00F50419"/>
    <w:rsid w:val="00F56628"/>
    <w:rsid w:val="00F816F3"/>
    <w:rsid w:val="00F904B3"/>
    <w:rsid w:val="00FB41E1"/>
    <w:rsid w:val="00FC50EA"/>
    <w:rsid w:val="00FF5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30D8"/>
  <w15:chartTrackingRefBased/>
  <w15:docId w15:val="{7A79A131-C96E-4749-BDFA-F3636613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30CF"/>
    <w:rPr>
      <w:color w:val="0563C1"/>
      <w:u w:val="single"/>
    </w:rPr>
  </w:style>
  <w:style w:type="paragraph" w:customStyle="1" w:styleId="ACMABodyText">
    <w:name w:val="ACMA Body Text"/>
    <w:link w:val="ACMABodyTextChar"/>
    <w:rsid w:val="00E030C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link w:val="ACMABodyText"/>
    <w:locked/>
    <w:rsid w:val="00E030CF"/>
    <w:rPr>
      <w:rFonts w:ascii="Times New Roman" w:eastAsia="Times New Roman" w:hAnsi="Times New Roman" w:cs="Times New Roman"/>
      <w:snapToGrid w:val="0"/>
      <w:sz w:val="24"/>
      <w:szCs w:val="20"/>
    </w:rPr>
  </w:style>
  <w:style w:type="paragraph" w:styleId="FootnoteText">
    <w:name w:val="footnote text"/>
    <w:aliases w:val="ACMA Footnote Text"/>
    <w:basedOn w:val="Normal"/>
    <w:link w:val="FootnoteTextChar"/>
    <w:unhideWhenUsed/>
    <w:rsid w:val="00E030CF"/>
    <w:rPr>
      <w:sz w:val="20"/>
    </w:rPr>
  </w:style>
  <w:style w:type="character" w:customStyle="1" w:styleId="FootnoteTextChar">
    <w:name w:val="Footnote Text Char"/>
    <w:aliases w:val="ACMA Footnote Text Char"/>
    <w:basedOn w:val="DefaultParagraphFont"/>
    <w:link w:val="FootnoteText"/>
    <w:uiPriority w:val="99"/>
    <w:semiHidden/>
    <w:rsid w:val="00E030CF"/>
    <w:rPr>
      <w:rFonts w:ascii="Times New Roman" w:eastAsia="Times New Roman" w:hAnsi="Times New Roman" w:cs="Times New Roman"/>
      <w:sz w:val="20"/>
      <w:szCs w:val="20"/>
      <w:lang w:eastAsia="en-AU"/>
    </w:rPr>
  </w:style>
  <w:style w:type="character" w:styleId="FootnoteReference">
    <w:name w:val="footnote reference"/>
    <w:semiHidden/>
    <w:unhideWhenUsed/>
    <w:rsid w:val="00E030CF"/>
    <w:rPr>
      <w:vertAlign w:val="superscript"/>
    </w:rPr>
  </w:style>
  <w:style w:type="character" w:styleId="CommentReference">
    <w:name w:val="annotation reference"/>
    <w:basedOn w:val="DefaultParagraphFont"/>
    <w:uiPriority w:val="99"/>
    <w:semiHidden/>
    <w:unhideWhenUsed/>
    <w:rsid w:val="004B56A0"/>
    <w:rPr>
      <w:sz w:val="16"/>
      <w:szCs w:val="16"/>
    </w:rPr>
  </w:style>
  <w:style w:type="paragraph" w:styleId="CommentText">
    <w:name w:val="annotation text"/>
    <w:basedOn w:val="Normal"/>
    <w:link w:val="CommentTextChar"/>
    <w:uiPriority w:val="99"/>
    <w:semiHidden/>
    <w:unhideWhenUsed/>
    <w:rsid w:val="004B56A0"/>
    <w:rPr>
      <w:sz w:val="20"/>
    </w:rPr>
  </w:style>
  <w:style w:type="character" w:customStyle="1" w:styleId="CommentTextChar">
    <w:name w:val="Comment Text Char"/>
    <w:basedOn w:val="DefaultParagraphFont"/>
    <w:link w:val="CommentText"/>
    <w:uiPriority w:val="99"/>
    <w:semiHidden/>
    <w:rsid w:val="004B56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B56A0"/>
    <w:rPr>
      <w:b/>
      <w:bCs/>
    </w:rPr>
  </w:style>
  <w:style w:type="character" w:customStyle="1" w:styleId="CommentSubjectChar">
    <w:name w:val="Comment Subject Char"/>
    <w:basedOn w:val="CommentTextChar"/>
    <w:link w:val="CommentSubject"/>
    <w:uiPriority w:val="99"/>
    <w:semiHidden/>
    <w:rsid w:val="004B56A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B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6A0"/>
    <w:rPr>
      <w:rFonts w:ascii="Segoe UI" w:eastAsia="Times New Roman" w:hAnsi="Segoe UI" w:cs="Segoe UI"/>
      <w:sz w:val="18"/>
      <w:szCs w:val="18"/>
      <w:lang w:eastAsia="en-AU"/>
    </w:rPr>
  </w:style>
  <w:style w:type="paragraph" w:customStyle="1" w:styleId="ACMANumberedList">
    <w:name w:val="ACMA Numbered List"/>
    <w:rsid w:val="006847DF"/>
    <w:pPr>
      <w:numPr>
        <w:numId w:val="4"/>
      </w:numPr>
      <w:spacing w:before="20" w:after="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D3546"/>
    <w:pPr>
      <w:tabs>
        <w:tab w:val="center" w:pos="4513"/>
        <w:tab w:val="right" w:pos="9026"/>
      </w:tabs>
    </w:pPr>
  </w:style>
  <w:style w:type="character" w:customStyle="1" w:styleId="HeaderChar">
    <w:name w:val="Header Char"/>
    <w:basedOn w:val="DefaultParagraphFont"/>
    <w:link w:val="Header"/>
    <w:uiPriority w:val="99"/>
    <w:rsid w:val="00AD3546"/>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D3546"/>
    <w:pPr>
      <w:tabs>
        <w:tab w:val="center" w:pos="4513"/>
        <w:tab w:val="right" w:pos="9026"/>
      </w:tabs>
    </w:pPr>
  </w:style>
  <w:style w:type="character" w:customStyle="1" w:styleId="FooterChar">
    <w:name w:val="Footer Char"/>
    <w:basedOn w:val="DefaultParagraphFont"/>
    <w:link w:val="Footer"/>
    <w:uiPriority w:val="99"/>
    <w:rsid w:val="00AD3546"/>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F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Smith</dc:creator>
  <cp:keywords/>
  <dc:description/>
  <cp:lastModifiedBy>Helen Turnbull</cp:lastModifiedBy>
  <cp:revision>3</cp:revision>
  <dcterms:created xsi:type="dcterms:W3CDTF">2016-03-18T00:15:00Z</dcterms:created>
  <dcterms:modified xsi:type="dcterms:W3CDTF">2016-03-18T00:31:00Z</dcterms:modified>
</cp:coreProperties>
</file>