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4B681B" w14:textId="77777777" w:rsidR="00EC31FB" w:rsidRDefault="00A96855" w:rsidP="00EC31FB">
      <w:pPr>
        <w:ind w:right="91"/>
        <w:jc w:val="center"/>
      </w:pPr>
      <w:r>
        <w:rPr>
          <w:b/>
          <w:u w:val="single"/>
        </w:rPr>
        <w:t>REPLACEMENT EXPLANATORY STATEMENT</w:t>
      </w:r>
    </w:p>
    <w:p w14:paraId="084B681C" w14:textId="77777777" w:rsidR="00EC31FB" w:rsidRDefault="00A96855" w:rsidP="00EC31FB">
      <w:pPr>
        <w:ind w:right="91"/>
        <w:jc w:val="center"/>
      </w:pPr>
    </w:p>
    <w:p w14:paraId="084B681D" w14:textId="77777777" w:rsidR="00EE7A27" w:rsidRDefault="00A96855" w:rsidP="00EC31FB">
      <w:pPr>
        <w:ind w:right="91"/>
        <w:jc w:val="center"/>
      </w:pPr>
      <w:r>
        <w:t>Issued by the authority of the Attorney-General</w:t>
      </w:r>
    </w:p>
    <w:p w14:paraId="084B681E" w14:textId="77777777" w:rsidR="00EC31FB" w:rsidRDefault="00A96855" w:rsidP="00EC31FB">
      <w:pPr>
        <w:ind w:right="91"/>
      </w:pPr>
    </w:p>
    <w:p w14:paraId="084B681F" w14:textId="77777777" w:rsidR="00EC31FB" w:rsidRDefault="00A96855" w:rsidP="00EE7A27">
      <w:pPr>
        <w:ind w:right="91"/>
        <w:jc w:val="center"/>
        <w:rPr>
          <w:i/>
        </w:rPr>
      </w:pPr>
      <w:r>
        <w:rPr>
          <w:i/>
        </w:rPr>
        <w:t>Marriage Act 1961</w:t>
      </w:r>
    </w:p>
    <w:p w14:paraId="084B6820" w14:textId="77777777" w:rsidR="00EC31FB" w:rsidRDefault="00A96855" w:rsidP="00EE7A27">
      <w:pPr>
        <w:ind w:right="91"/>
        <w:jc w:val="center"/>
      </w:pPr>
    </w:p>
    <w:p w14:paraId="084B6821" w14:textId="77777777" w:rsidR="00EC31FB" w:rsidRDefault="00A96855" w:rsidP="00EE7A27">
      <w:pPr>
        <w:ind w:right="91"/>
        <w:jc w:val="center"/>
        <w:rPr>
          <w:i/>
        </w:rPr>
      </w:pPr>
      <w:r>
        <w:rPr>
          <w:i/>
        </w:rPr>
        <w:t>Marriage Amendment Regulation 2016 (No. 1)</w:t>
      </w:r>
    </w:p>
    <w:p w14:paraId="084B6822" w14:textId="77777777" w:rsidR="00807206" w:rsidRDefault="00A96855" w:rsidP="00EC31FB">
      <w:pPr>
        <w:ind w:right="91"/>
      </w:pPr>
    </w:p>
    <w:p w14:paraId="084B6823" w14:textId="77777777" w:rsidR="00B2466E" w:rsidRDefault="00A96855" w:rsidP="00EC31FB">
      <w:pPr>
        <w:ind w:right="91"/>
      </w:pPr>
      <w:r>
        <w:t xml:space="preserve">The </w:t>
      </w:r>
      <w:r w:rsidRPr="00686A6B">
        <w:rPr>
          <w:i/>
        </w:rPr>
        <w:t>Marriage Act 1961</w:t>
      </w:r>
      <w:r>
        <w:t xml:space="preserve"> (the Act) establishes the Marriage Celebrants Programme.</w:t>
      </w:r>
    </w:p>
    <w:p w14:paraId="084B6824" w14:textId="77777777" w:rsidR="00686A6B" w:rsidRDefault="00A96855" w:rsidP="00EC31FB">
      <w:pPr>
        <w:ind w:right="91"/>
      </w:pPr>
    </w:p>
    <w:p w14:paraId="084B6825" w14:textId="77777777" w:rsidR="00F03D7A" w:rsidRDefault="00A96855" w:rsidP="00F03D7A">
      <w:pPr>
        <w:pStyle w:val="Paragraph"/>
        <w:spacing w:before="0"/>
        <w:rPr>
          <w:szCs w:val="24"/>
        </w:rPr>
      </w:pPr>
      <w:r>
        <w:rPr>
          <w:szCs w:val="24"/>
        </w:rPr>
        <w:t xml:space="preserve">Section 120 of the Act </w:t>
      </w:r>
      <w:r>
        <w:rPr>
          <w:szCs w:val="24"/>
        </w:rPr>
        <w:t>provides that the Governor</w:t>
      </w:r>
      <w:r>
        <w:rPr>
          <w:szCs w:val="24"/>
        </w:rPr>
        <w:noBreakHyphen/>
        <w:t>General may make regulations, not inconsistent with the Act, prescribing all matters that the Act requires or permits to be prescribed or are necessary or convenient to be prescribed for carrying out and giving effect to the Act.</w:t>
      </w:r>
      <w:r>
        <w:rPr>
          <w:szCs w:val="24"/>
        </w:rPr>
        <w:t xml:space="preserve">  </w:t>
      </w:r>
    </w:p>
    <w:p w14:paraId="084B6826" w14:textId="77777777" w:rsidR="00F03D7A" w:rsidRDefault="00A96855" w:rsidP="00F03D7A">
      <w:pPr>
        <w:pStyle w:val="Paragraph"/>
        <w:spacing w:before="0"/>
        <w:rPr>
          <w:szCs w:val="24"/>
        </w:rPr>
      </w:pPr>
    </w:p>
    <w:p w14:paraId="084B6827" w14:textId="77777777" w:rsidR="00EC31FB" w:rsidRDefault="00A96855" w:rsidP="00F03D7A">
      <w:pPr>
        <w:tabs>
          <w:tab w:val="left" w:pos="6521"/>
        </w:tabs>
        <w:ind w:right="91"/>
      </w:pPr>
      <w:r w:rsidRPr="00A270FE">
        <w:t>The purpose of the</w:t>
      </w:r>
      <w:r>
        <w:t xml:space="preserve"> </w:t>
      </w:r>
      <w:r w:rsidRPr="00A270FE">
        <w:t>Regulation is to</w:t>
      </w:r>
      <w:r>
        <w:t xml:space="preserve"> amend the </w:t>
      </w:r>
      <w:r w:rsidRPr="00600F34">
        <w:rPr>
          <w:i/>
        </w:rPr>
        <w:t>Marriage Regulations 1963</w:t>
      </w:r>
      <w:r>
        <w:t xml:space="preserve">, to update the definition of the Certificate IV in Celebrancy qualification arising from the release of a revised Certificate IV in Celebrancy in December 2015. The Certificate IV </w:t>
      </w:r>
      <w:r>
        <w:t>in Celebrancy is part of a broader training package developed by the former Community Services and Health Industry Skills Council (Skills Council).</w:t>
      </w:r>
    </w:p>
    <w:p w14:paraId="084B6828" w14:textId="77777777" w:rsidR="00807206" w:rsidRDefault="00A96855" w:rsidP="00F03D7A">
      <w:pPr>
        <w:tabs>
          <w:tab w:val="left" w:pos="6521"/>
        </w:tabs>
        <w:ind w:right="91"/>
      </w:pPr>
    </w:p>
    <w:p w14:paraId="084B6829" w14:textId="77777777" w:rsidR="00807206" w:rsidRDefault="00A96855" w:rsidP="00F03D7A">
      <w:pPr>
        <w:tabs>
          <w:tab w:val="left" w:pos="6521"/>
        </w:tabs>
        <w:ind w:right="91"/>
      </w:pPr>
      <w:r>
        <w:t xml:space="preserve">The definition of </w:t>
      </w:r>
      <w:r w:rsidRPr="00807206">
        <w:rPr>
          <w:i/>
        </w:rPr>
        <w:t>Certificate IV in Celebrancy</w:t>
      </w:r>
      <w:r>
        <w:t xml:space="preserve"> in regulation 37F is amended by removing the reference to th</w:t>
      </w:r>
      <w:r>
        <w:t xml:space="preserve">e qualification’s release date and the reference to the Skills Council which was abolished at the end of 2015. To ensure the definition remains current, the reference to the </w:t>
      </w:r>
      <w:r w:rsidRPr="0091763D">
        <w:rPr>
          <w:i/>
        </w:rPr>
        <w:t>Marriage (Celebrancy qualification or skills) Determination</w:t>
      </w:r>
      <w:r>
        <w:rPr>
          <w:i/>
        </w:rPr>
        <w:t xml:space="preserve"> 2009 </w:t>
      </w:r>
      <w:r>
        <w:t>is</w:t>
      </w:r>
      <w:r w:rsidRPr="0091763D">
        <w:t xml:space="preserve"> also removed</w:t>
      </w:r>
      <w:r>
        <w:t>.</w:t>
      </w:r>
    </w:p>
    <w:p w14:paraId="084B682A" w14:textId="77777777" w:rsidR="00C359A1" w:rsidRDefault="00A96855" w:rsidP="00F03D7A">
      <w:pPr>
        <w:tabs>
          <w:tab w:val="left" w:pos="6521"/>
        </w:tabs>
        <w:ind w:right="91"/>
      </w:pPr>
    </w:p>
    <w:p w14:paraId="084B682B" w14:textId="77777777" w:rsidR="00807206" w:rsidRDefault="00A96855" w:rsidP="00EC31FB">
      <w:pPr>
        <w:tabs>
          <w:tab w:val="left" w:pos="6521"/>
        </w:tabs>
        <w:ind w:right="91"/>
      </w:pPr>
      <w:r>
        <w:t xml:space="preserve">Consequential amendments to </w:t>
      </w:r>
      <w:r w:rsidRPr="00B03D4A">
        <w:t xml:space="preserve">subparagraph </w:t>
      </w:r>
      <w:proofErr w:type="gramStart"/>
      <w:r w:rsidRPr="00B03D4A">
        <w:t>37G(</w:t>
      </w:r>
      <w:proofErr w:type="gramEnd"/>
      <w:r w:rsidRPr="00B03D4A">
        <w:t>1)(a)(ii)</w:t>
      </w:r>
      <w:r>
        <w:t xml:space="preserve"> remove the reference to the </w:t>
      </w:r>
      <w:r w:rsidRPr="0091763D">
        <w:rPr>
          <w:i/>
        </w:rPr>
        <w:t>Marriage (Celebrancy qualification or skills) Determination</w:t>
      </w:r>
      <w:r>
        <w:rPr>
          <w:i/>
        </w:rPr>
        <w:t xml:space="preserve"> 2009 </w:t>
      </w:r>
      <w:r w:rsidRPr="00B03D4A">
        <w:t>from the definition of Certificate IV in Celebrancy. The</w:t>
      </w:r>
      <w:r>
        <w:t xml:space="preserve"> amendment to subparagraph </w:t>
      </w:r>
      <w:proofErr w:type="gramStart"/>
      <w:r w:rsidRPr="00B03D4A">
        <w:t>37G(</w:t>
      </w:r>
      <w:proofErr w:type="gramEnd"/>
      <w:r w:rsidRPr="00B03D4A">
        <w:t>1)(a)(ii)</w:t>
      </w:r>
      <w:r>
        <w:t xml:space="preserve"> continues </w:t>
      </w:r>
      <w:r>
        <w:t xml:space="preserve">the requirement </w:t>
      </w:r>
      <w:r w:rsidRPr="00B03D4A">
        <w:t>that the Certificate IV in Celebrancy includes all the units the Registrar of Marriage Celebrants determines to be necessary for registration as a marriage celebrant</w:t>
      </w:r>
      <w:r>
        <w:t>.</w:t>
      </w:r>
    </w:p>
    <w:p w14:paraId="084B682C" w14:textId="77777777" w:rsidR="00807206" w:rsidRDefault="00A96855" w:rsidP="00EC31FB">
      <w:pPr>
        <w:tabs>
          <w:tab w:val="left" w:pos="6521"/>
        </w:tabs>
        <w:ind w:right="91"/>
      </w:pPr>
    </w:p>
    <w:p w14:paraId="084B682D" w14:textId="77777777" w:rsidR="00D21235" w:rsidRDefault="00A96855" w:rsidP="00D21235">
      <w:pPr>
        <w:ind w:right="91"/>
      </w:pPr>
      <w:r w:rsidRPr="00A32F94">
        <w:t>The Office of Best Practice Regulation was consulted about the Regulatio</w:t>
      </w:r>
      <w:r w:rsidRPr="00A32F94">
        <w:t xml:space="preserve">n and advised that a Regulatory Impact Statement is not necessary, as the amendments are </w:t>
      </w:r>
      <w:r>
        <w:t xml:space="preserve">minor and </w:t>
      </w:r>
      <w:r w:rsidRPr="00A32F94">
        <w:t>machinery in n</w:t>
      </w:r>
      <w:bookmarkStart w:id="0" w:name="_GoBack"/>
      <w:bookmarkEnd w:id="0"/>
      <w:r w:rsidRPr="00A32F94">
        <w:t>ature.</w:t>
      </w:r>
      <w:r>
        <w:t xml:space="preserve"> The former Community Services and Health Industry Skills Council undertook significant consultation in the development of a revised qual</w:t>
      </w:r>
      <w:r>
        <w:t>ification, including with subject matter experts such as celebrant organisations, registered training organisations and the department. The department regularly discussed the progress of the qualification review and the need for consequential amendments wi</w:t>
      </w:r>
      <w:r>
        <w:t xml:space="preserve">th marriage celebrant associations, registrars of births, deaths and marriages and registered training organisations. </w:t>
      </w:r>
    </w:p>
    <w:p w14:paraId="084B682E" w14:textId="77777777" w:rsidR="00A32F94" w:rsidRDefault="00A96855" w:rsidP="00EC31FB">
      <w:pPr>
        <w:tabs>
          <w:tab w:val="left" w:pos="6521"/>
        </w:tabs>
        <w:ind w:right="91"/>
      </w:pPr>
    </w:p>
    <w:p w14:paraId="084B682F" w14:textId="77777777" w:rsidR="00EE7A27" w:rsidRPr="00FE77E1" w:rsidRDefault="00A96855" w:rsidP="00EE7A27">
      <w:pPr>
        <w:autoSpaceDE w:val="0"/>
        <w:autoSpaceDN w:val="0"/>
        <w:adjustRightInd w:val="0"/>
      </w:pPr>
      <w:r w:rsidRPr="00FE77E1">
        <w:rPr>
          <w:lang w:eastAsia="en-AU"/>
        </w:rPr>
        <w:t xml:space="preserve">The Regulation is compatible with the human rights and freedoms recognised or declared in the international instruments listed in section 3 of the </w:t>
      </w:r>
      <w:r w:rsidRPr="00FE77E1">
        <w:rPr>
          <w:i/>
          <w:iCs/>
          <w:lang w:eastAsia="en-AU"/>
        </w:rPr>
        <w:t>Human Rights (Parliamentary Scrutiny) Act 2011</w:t>
      </w:r>
      <w:r>
        <w:rPr>
          <w:lang w:eastAsia="en-AU"/>
        </w:rPr>
        <w:t>.</w:t>
      </w:r>
    </w:p>
    <w:p w14:paraId="084B6830" w14:textId="77777777" w:rsidR="00EE7A27" w:rsidRDefault="00A96855" w:rsidP="00EC31FB">
      <w:pPr>
        <w:tabs>
          <w:tab w:val="left" w:pos="6521"/>
        </w:tabs>
        <w:ind w:right="91"/>
      </w:pPr>
    </w:p>
    <w:p w14:paraId="084B6831" w14:textId="77777777" w:rsidR="00EC31FB" w:rsidRDefault="00A96855" w:rsidP="00EC31FB">
      <w:pPr>
        <w:tabs>
          <w:tab w:val="left" w:pos="6521"/>
        </w:tabs>
        <w:ind w:right="91"/>
      </w:pPr>
      <w:r>
        <w:t xml:space="preserve">The Regulation is a legislative instrument for the purposes </w:t>
      </w:r>
      <w:r>
        <w:t xml:space="preserve">of the </w:t>
      </w:r>
      <w:r>
        <w:rPr>
          <w:i/>
        </w:rPr>
        <w:t>Legislative Instruments Act 2003</w:t>
      </w:r>
      <w:r>
        <w:t>.</w:t>
      </w:r>
    </w:p>
    <w:p w14:paraId="084B6832" w14:textId="77777777" w:rsidR="00EC31FB" w:rsidRDefault="00A96855" w:rsidP="00EC31FB">
      <w:pPr>
        <w:tabs>
          <w:tab w:val="left" w:pos="6521"/>
        </w:tabs>
        <w:ind w:right="91"/>
      </w:pPr>
    </w:p>
    <w:p w14:paraId="084B6833" w14:textId="77777777" w:rsidR="00EC31FB" w:rsidRDefault="00A96855" w:rsidP="00EC31FB">
      <w:pPr>
        <w:tabs>
          <w:tab w:val="left" w:pos="6521"/>
        </w:tabs>
        <w:ind w:right="91"/>
      </w:pPr>
      <w:r>
        <w:t xml:space="preserve">The Regulation will </w:t>
      </w:r>
      <w:r w:rsidRPr="00EA6ABD">
        <w:t>commence the day after the instrument i</w:t>
      </w:r>
      <w:r>
        <w:t>s</w:t>
      </w:r>
      <w:r w:rsidRPr="00EA6ABD">
        <w:t xml:space="preserve"> registered on</w:t>
      </w:r>
      <w:r>
        <w:t xml:space="preserve"> the Federal Register of Legislative Instruments.</w:t>
      </w:r>
    </w:p>
    <w:p w14:paraId="084B6834" w14:textId="77777777" w:rsidR="00EC31FB" w:rsidRDefault="00A96855" w:rsidP="00EC31FB">
      <w:pPr>
        <w:tabs>
          <w:tab w:val="left" w:pos="6521"/>
        </w:tabs>
        <w:ind w:right="91"/>
      </w:pPr>
    </w:p>
    <w:p w14:paraId="084B6835" w14:textId="77777777" w:rsidR="00EE7A27" w:rsidRPr="00FE77E1" w:rsidRDefault="00A96855" w:rsidP="00EE7A27">
      <w:pPr>
        <w:pStyle w:val="Paragraph"/>
        <w:spacing w:before="0"/>
        <w:ind w:left="1440" w:hanging="1440"/>
        <w:rPr>
          <w:i/>
        </w:rPr>
      </w:pPr>
      <w:r w:rsidRPr="00FE77E1">
        <w:rPr>
          <w:szCs w:val="24"/>
          <w:u w:val="single"/>
        </w:rPr>
        <w:t>Authority:</w:t>
      </w:r>
      <w:r>
        <w:rPr>
          <w:szCs w:val="24"/>
        </w:rPr>
        <w:t xml:space="preserve"> </w:t>
      </w:r>
      <w:r>
        <w:rPr>
          <w:szCs w:val="24"/>
        </w:rPr>
        <w:tab/>
        <w:t>S</w:t>
      </w:r>
      <w:r w:rsidRPr="00FE77E1">
        <w:rPr>
          <w:szCs w:val="24"/>
        </w:rPr>
        <w:t xml:space="preserve">ection </w:t>
      </w:r>
      <w:r>
        <w:rPr>
          <w:szCs w:val="24"/>
        </w:rPr>
        <w:t xml:space="preserve">120 </w:t>
      </w:r>
      <w:r w:rsidRPr="00FE77E1">
        <w:rPr>
          <w:szCs w:val="24"/>
        </w:rPr>
        <w:t xml:space="preserve">of the </w:t>
      </w:r>
      <w:r>
        <w:rPr>
          <w:i/>
          <w:szCs w:val="24"/>
        </w:rPr>
        <w:t>Marriage Act 1961</w:t>
      </w:r>
      <w:r w:rsidRPr="00FE77E1">
        <w:rPr>
          <w:i/>
          <w:szCs w:val="24"/>
        </w:rPr>
        <w:t>.</w:t>
      </w:r>
    </w:p>
    <w:p w14:paraId="084B6836" w14:textId="77777777" w:rsidR="00A448B8" w:rsidRDefault="00A96855" w:rsidP="00022D6D">
      <w:pPr>
        <w:spacing w:after="200" w:line="276" w:lineRule="auto"/>
        <w:rPr>
          <w:b/>
          <w:szCs w:val="20"/>
          <w:lang w:eastAsia="en-AU"/>
        </w:rPr>
      </w:pPr>
      <w:r>
        <w:rPr>
          <w:b/>
          <w:szCs w:val="20"/>
          <w:lang w:eastAsia="en-AU"/>
        </w:rPr>
        <w:br w:type="page"/>
      </w:r>
      <w:r>
        <w:rPr>
          <w:b/>
          <w:szCs w:val="20"/>
          <w:lang w:eastAsia="en-AU"/>
        </w:rPr>
        <w:lastRenderedPageBreak/>
        <w:t xml:space="preserve">Statement of Compatibility with Human </w:t>
      </w:r>
      <w:r>
        <w:rPr>
          <w:b/>
          <w:szCs w:val="20"/>
          <w:lang w:eastAsia="en-AU"/>
        </w:rPr>
        <w:t>Rights</w:t>
      </w:r>
    </w:p>
    <w:p w14:paraId="084B6837" w14:textId="77777777" w:rsidR="00A448B8" w:rsidRDefault="00A96855" w:rsidP="00022D6D">
      <w:pPr>
        <w:spacing w:before="240"/>
        <w:rPr>
          <w:i/>
          <w:szCs w:val="20"/>
          <w:lang w:eastAsia="en-AU"/>
        </w:rPr>
      </w:pPr>
      <w:r>
        <w:rPr>
          <w:i/>
          <w:szCs w:val="20"/>
          <w:lang w:eastAsia="en-AU"/>
        </w:rPr>
        <w:t>Prepared in accordance with Part 3 of the Human Rights (Parliamentary Scrutiny) Act 2011</w:t>
      </w:r>
    </w:p>
    <w:p w14:paraId="084B6838" w14:textId="77777777" w:rsidR="00A448B8" w:rsidRDefault="00A96855" w:rsidP="00A448B8">
      <w:pPr>
        <w:spacing w:before="120" w:after="120"/>
        <w:jc w:val="center"/>
        <w:rPr>
          <w:b/>
          <w:szCs w:val="20"/>
          <w:lang w:eastAsia="en-AU"/>
        </w:rPr>
      </w:pPr>
      <w:r>
        <w:rPr>
          <w:b/>
          <w:szCs w:val="20"/>
          <w:lang w:eastAsia="en-AU"/>
        </w:rPr>
        <w:t>Marriage Amendment Regulation 2016 (No. 1)</w:t>
      </w:r>
    </w:p>
    <w:p w14:paraId="084B6839" w14:textId="77777777" w:rsidR="00A448B8" w:rsidRDefault="00A96855" w:rsidP="00A448B8">
      <w:pPr>
        <w:spacing w:before="120" w:after="120"/>
        <w:jc w:val="center"/>
        <w:rPr>
          <w:rFonts w:eastAsia="Calibri"/>
        </w:rPr>
      </w:pPr>
      <w:r>
        <w:t>This Legislative Instrument is compatible with the human rights and freedoms recognised or declared in the internatio</w:t>
      </w:r>
      <w:r>
        <w:t xml:space="preserve">nal instruments listed in section 3 of the </w:t>
      </w:r>
      <w:r>
        <w:rPr>
          <w:i/>
        </w:rPr>
        <w:t>Human Rights (Parliamentary Scrutiny) Act 2011</w:t>
      </w:r>
      <w:r>
        <w:t>.</w:t>
      </w:r>
    </w:p>
    <w:p w14:paraId="084B683A" w14:textId="77777777" w:rsidR="00A448B8" w:rsidRDefault="00A96855" w:rsidP="00A448B8">
      <w:pPr>
        <w:spacing w:before="240"/>
        <w:rPr>
          <w:b/>
          <w:szCs w:val="20"/>
          <w:lang w:eastAsia="en-AU"/>
        </w:rPr>
      </w:pPr>
      <w:r>
        <w:rPr>
          <w:b/>
          <w:szCs w:val="20"/>
          <w:lang w:eastAsia="en-AU"/>
        </w:rPr>
        <w:t>Overview of the Regulation</w:t>
      </w:r>
    </w:p>
    <w:p w14:paraId="084B683B" w14:textId="77777777" w:rsidR="00A448B8" w:rsidRDefault="00A96855" w:rsidP="00A448B8">
      <w:pPr>
        <w:spacing w:before="240"/>
        <w:rPr>
          <w:szCs w:val="20"/>
          <w:lang w:eastAsia="en-AU"/>
        </w:rPr>
      </w:pPr>
      <w:r>
        <w:rPr>
          <w:szCs w:val="20"/>
          <w:lang w:eastAsia="en-AU"/>
        </w:rPr>
        <w:t xml:space="preserve">The Regulation amends the </w:t>
      </w:r>
      <w:r>
        <w:rPr>
          <w:i/>
          <w:szCs w:val="20"/>
          <w:lang w:eastAsia="en-AU"/>
        </w:rPr>
        <w:t>Marriage Regulations 1963</w:t>
      </w:r>
      <w:r>
        <w:rPr>
          <w:szCs w:val="20"/>
          <w:lang w:eastAsia="en-AU"/>
        </w:rPr>
        <w:t xml:space="preserve"> (the Principal Regulations) </w:t>
      </w:r>
      <w:r>
        <w:t>to update the definition of the Certificate IV in Celebran</w:t>
      </w:r>
      <w:r>
        <w:t>cy qualification by removing the reference to the qualification’s release date and the reference to the Community Services and Health Industry Skills Council which was abolished at the end of 2015. To ensure the definition remains current, the reference to</w:t>
      </w:r>
      <w:r>
        <w:t xml:space="preserve"> the </w:t>
      </w:r>
      <w:r w:rsidRPr="0091763D">
        <w:rPr>
          <w:i/>
        </w:rPr>
        <w:t>Marriage (Celebrancy qualification or skills) Determination</w:t>
      </w:r>
      <w:r>
        <w:rPr>
          <w:i/>
        </w:rPr>
        <w:t xml:space="preserve"> 2009 </w:t>
      </w:r>
      <w:r>
        <w:t>is also</w:t>
      </w:r>
      <w:r w:rsidRPr="0091763D">
        <w:t xml:space="preserve"> removed</w:t>
      </w:r>
      <w:r>
        <w:t xml:space="preserve">. </w:t>
      </w:r>
    </w:p>
    <w:p w14:paraId="084B683C" w14:textId="77777777" w:rsidR="00A448B8" w:rsidRDefault="00A96855" w:rsidP="00A448B8">
      <w:pPr>
        <w:spacing w:before="240"/>
        <w:rPr>
          <w:b/>
          <w:szCs w:val="20"/>
          <w:lang w:eastAsia="en-AU"/>
        </w:rPr>
      </w:pPr>
      <w:r>
        <w:rPr>
          <w:b/>
          <w:szCs w:val="20"/>
          <w:lang w:eastAsia="en-AU"/>
        </w:rPr>
        <w:t>Human rights implications</w:t>
      </w:r>
    </w:p>
    <w:p w14:paraId="084B683D" w14:textId="77777777" w:rsidR="00A448B8" w:rsidRDefault="00A96855" w:rsidP="00A448B8">
      <w:pPr>
        <w:spacing w:before="240"/>
        <w:rPr>
          <w:rFonts w:eastAsia="Calibri"/>
          <w:lang w:eastAsia="en-AU"/>
        </w:rPr>
      </w:pPr>
      <w:r>
        <w:rPr>
          <w:lang w:eastAsia="en-AU"/>
        </w:rPr>
        <w:t>The Regulation does not engage any of the applicable rights or freedoms.</w:t>
      </w:r>
    </w:p>
    <w:p w14:paraId="084B683E" w14:textId="77777777" w:rsidR="00A448B8" w:rsidRDefault="00A96855" w:rsidP="00A448B8">
      <w:pPr>
        <w:spacing w:before="240"/>
        <w:rPr>
          <w:b/>
          <w:szCs w:val="20"/>
          <w:lang w:eastAsia="en-AU"/>
        </w:rPr>
      </w:pPr>
      <w:r>
        <w:rPr>
          <w:b/>
          <w:szCs w:val="20"/>
          <w:lang w:eastAsia="en-AU"/>
        </w:rPr>
        <w:t>Conclusion</w:t>
      </w:r>
    </w:p>
    <w:p w14:paraId="084B683F" w14:textId="77777777" w:rsidR="00A448B8" w:rsidRDefault="00A96855" w:rsidP="00A448B8">
      <w:pPr>
        <w:spacing w:before="240"/>
        <w:rPr>
          <w:b/>
          <w:szCs w:val="20"/>
          <w:lang w:eastAsia="en-AU"/>
        </w:rPr>
      </w:pPr>
      <w:r>
        <w:rPr>
          <w:lang w:eastAsia="en-AU"/>
        </w:rPr>
        <w:t>This Regulation is compatible with human rights as it does</w:t>
      </w:r>
      <w:r>
        <w:rPr>
          <w:lang w:eastAsia="en-AU"/>
        </w:rPr>
        <w:t xml:space="preserve"> not raise any human rights issues.</w:t>
      </w:r>
    </w:p>
    <w:p w14:paraId="084B6840" w14:textId="77777777" w:rsidR="00A448B8" w:rsidRDefault="00A96855" w:rsidP="00A448B8">
      <w:pPr>
        <w:spacing w:before="120" w:after="120"/>
        <w:rPr>
          <w:b/>
          <w:lang w:eastAsia="en-AU"/>
        </w:rPr>
      </w:pPr>
    </w:p>
    <w:p w14:paraId="084B6841" w14:textId="77777777" w:rsidR="00A448B8" w:rsidRDefault="00A96855" w:rsidP="00A448B8">
      <w:pPr>
        <w:spacing w:before="120" w:after="120"/>
        <w:jc w:val="center"/>
        <w:rPr>
          <w:rFonts w:ascii="Cambria" w:eastAsia="Calibri" w:hAnsi="Cambria"/>
        </w:rPr>
      </w:pPr>
      <w:r>
        <w:rPr>
          <w:b/>
        </w:rPr>
        <w:t>Attorney</w:t>
      </w:r>
      <w:r>
        <w:rPr>
          <w:b/>
        </w:rPr>
        <w:noBreakHyphen/>
        <w:t xml:space="preserve">General Senator the </w:t>
      </w:r>
      <w:proofErr w:type="spellStart"/>
      <w:r>
        <w:rPr>
          <w:b/>
        </w:rPr>
        <w:t>Hon</w:t>
      </w:r>
      <w:proofErr w:type="spellEnd"/>
      <w:r>
        <w:rPr>
          <w:b/>
        </w:rPr>
        <w:t xml:space="preserve"> George Brandis QC </w:t>
      </w:r>
    </w:p>
    <w:p w14:paraId="084B6842" w14:textId="77777777" w:rsidR="0028265E" w:rsidRPr="00B03D4A" w:rsidRDefault="00A96855" w:rsidP="00807206">
      <w:pPr>
        <w:ind w:right="91"/>
      </w:pPr>
    </w:p>
    <w:sectPr w:rsidR="0028265E" w:rsidRPr="00B03D4A" w:rsidSect="00D21235">
      <w:footerReference w:type="first" r:id="rId11"/>
      <w:pgSz w:w="11906" w:h="16838"/>
      <w:pgMar w:top="993" w:right="1440" w:bottom="1440" w:left="1440" w:header="426"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4B6848" w14:textId="77777777" w:rsidR="00000000" w:rsidRDefault="00A96855">
      <w:r>
        <w:separator/>
      </w:r>
    </w:p>
  </w:endnote>
  <w:endnote w:type="continuationSeparator" w:id="0">
    <w:p w14:paraId="084B684A" w14:textId="77777777" w:rsidR="00000000" w:rsidRDefault="00A9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627481"/>
      <w:docPartObj>
        <w:docPartGallery w:val="Page Numbers (Bottom of Page)"/>
        <w:docPartUnique/>
      </w:docPartObj>
    </w:sdtPr>
    <w:sdtEndPr>
      <w:rPr>
        <w:noProof/>
      </w:rPr>
    </w:sdtEndPr>
    <w:sdtContent>
      <w:p w14:paraId="084B6843" w14:textId="77777777" w:rsidR="00ED54E6" w:rsidRDefault="00A968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B6844" w14:textId="77777777" w:rsidR="00000000" w:rsidRDefault="00A96855">
      <w:r>
        <w:separator/>
      </w:r>
    </w:p>
  </w:footnote>
  <w:footnote w:type="continuationSeparator" w:id="0">
    <w:p w14:paraId="084B6846" w14:textId="77777777" w:rsidR="00000000" w:rsidRDefault="00A96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
    <w:nsid w:val="6B8F1125"/>
    <w:multiLevelType w:val="singleLevel"/>
    <w:tmpl w:val="0C090001"/>
    <w:lvl w:ilvl="0">
      <w:start w:val="1"/>
      <w:numFmt w:val="bullet"/>
      <w:lvlText w:val=""/>
      <w:lvlJc w:val="left"/>
      <w:pPr>
        <w:tabs>
          <w:tab w:val="num" w:pos="720"/>
        </w:tabs>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855"/>
    <w:rsid w:val="00A968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F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EC31FB"/>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C31FB"/>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EC31FB"/>
    <w:rPr>
      <w:b/>
      <w:sz w:val="24"/>
    </w:rPr>
  </w:style>
  <w:style w:type="paragraph" w:customStyle="1" w:styleId="Appendix">
    <w:name w:val="Appendix"/>
    <w:basedOn w:val="Normal"/>
    <w:link w:val="AppendixCharChar"/>
    <w:rsid w:val="00EC31FB"/>
    <w:pPr>
      <w:jc w:val="right"/>
    </w:pPr>
    <w:rPr>
      <w:rFonts w:asciiTheme="minorHAnsi" w:eastAsiaTheme="minorHAnsi" w:hAnsiTheme="minorHAnsi" w:cstheme="minorBidi"/>
      <w:b/>
      <w:szCs w:val="22"/>
    </w:rPr>
  </w:style>
  <w:style w:type="paragraph" w:customStyle="1" w:styleId="HB-dotpoint">
    <w:name w:val="HB - dotpoint"/>
    <w:basedOn w:val="Normal"/>
    <w:rsid w:val="00EC31FB"/>
    <w:pPr>
      <w:numPr>
        <w:numId w:val="1"/>
      </w:numPr>
      <w:spacing w:before="180"/>
    </w:pPr>
    <w:rPr>
      <w:szCs w:val="20"/>
      <w:lang w:eastAsia="en-AU"/>
    </w:rPr>
  </w:style>
  <w:style w:type="paragraph" w:customStyle="1" w:styleId="Paragraph">
    <w:name w:val="Paragraph"/>
    <w:basedOn w:val="Normal"/>
    <w:rsid w:val="00F03D7A"/>
    <w:pPr>
      <w:numPr>
        <w:ilvl w:val="12"/>
      </w:numPr>
      <w:spacing w:before="240"/>
    </w:pPr>
    <w:rPr>
      <w:szCs w:val="20"/>
      <w:lang w:eastAsia="en-AU"/>
    </w:rPr>
  </w:style>
  <w:style w:type="paragraph" w:styleId="Header">
    <w:name w:val="header"/>
    <w:basedOn w:val="Normal"/>
    <w:link w:val="HeaderChar"/>
    <w:uiPriority w:val="99"/>
    <w:unhideWhenUsed/>
    <w:rsid w:val="00C359A1"/>
    <w:pPr>
      <w:tabs>
        <w:tab w:val="center" w:pos="4513"/>
        <w:tab w:val="right" w:pos="9026"/>
      </w:tabs>
    </w:pPr>
  </w:style>
  <w:style w:type="character" w:customStyle="1" w:styleId="HeaderChar">
    <w:name w:val="Header Char"/>
    <w:basedOn w:val="DefaultParagraphFont"/>
    <w:link w:val="Header"/>
    <w:uiPriority w:val="99"/>
    <w:rsid w:val="00C359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9A1"/>
    <w:pPr>
      <w:tabs>
        <w:tab w:val="center" w:pos="4513"/>
        <w:tab w:val="right" w:pos="9026"/>
      </w:tabs>
    </w:pPr>
  </w:style>
  <w:style w:type="character" w:customStyle="1" w:styleId="FooterChar">
    <w:name w:val="Footer Char"/>
    <w:basedOn w:val="DefaultParagraphFont"/>
    <w:link w:val="Footer"/>
    <w:uiPriority w:val="99"/>
    <w:rsid w:val="00C359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0693"/>
    <w:rPr>
      <w:sz w:val="16"/>
      <w:szCs w:val="16"/>
    </w:rPr>
  </w:style>
  <w:style w:type="paragraph" w:styleId="CommentText">
    <w:name w:val="annotation text"/>
    <w:basedOn w:val="Normal"/>
    <w:link w:val="CommentTextChar"/>
    <w:uiPriority w:val="99"/>
    <w:semiHidden/>
    <w:unhideWhenUsed/>
    <w:rsid w:val="00FD0693"/>
    <w:rPr>
      <w:sz w:val="20"/>
      <w:szCs w:val="20"/>
    </w:rPr>
  </w:style>
  <w:style w:type="character" w:customStyle="1" w:styleId="CommentTextChar">
    <w:name w:val="Comment Text Char"/>
    <w:basedOn w:val="DefaultParagraphFont"/>
    <w:link w:val="CommentText"/>
    <w:uiPriority w:val="99"/>
    <w:semiHidden/>
    <w:rsid w:val="00FD06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693"/>
    <w:rPr>
      <w:b/>
      <w:bCs/>
    </w:rPr>
  </w:style>
  <w:style w:type="character" w:customStyle="1" w:styleId="CommentSubjectChar">
    <w:name w:val="Comment Subject Char"/>
    <w:basedOn w:val="CommentTextChar"/>
    <w:link w:val="CommentSubject"/>
    <w:uiPriority w:val="99"/>
    <w:semiHidden/>
    <w:rsid w:val="00FD06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693"/>
    <w:rPr>
      <w:rFonts w:ascii="Tahoma" w:hAnsi="Tahoma" w:cs="Tahoma"/>
      <w:sz w:val="16"/>
      <w:szCs w:val="16"/>
    </w:rPr>
  </w:style>
  <w:style w:type="character" w:customStyle="1" w:styleId="BalloonTextChar">
    <w:name w:val="Balloon Text Char"/>
    <w:basedOn w:val="DefaultParagraphFont"/>
    <w:link w:val="BalloonText"/>
    <w:uiPriority w:val="99"/>
    <w:semiHidden/>
    <w:rsid w:val="00FD06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1FB"/>
    <w:pPr>
      <w:spacing w:after="0" w:line="240" w:lineRule="auto"/>
    </w:pPr>
    <w:rPr>
      <w:rFonts w:ascii="Times New Roman" w:eastAsia="Times New Roman" w:hAnsi="Times New Roman" w:cs="Times New Roman"/>
      <w:sz w:val="24"/>
      <w:szCs w:val="24"/>
    </w:rPr>
  </w:style>
  <w:style w:type="paragraph" w:styleId="Heading6">
    <w:name w:val="heading 6"/>
    <w:basedOn w:val="Normal"/>
    <w:next w:val="Normal"/>
    <w:link w:val="Heading6Char"/>
    <w:semiHidden/>
    <w:unhideWhenUsed/>
    <w:qFormat/>
    <w:rsid w:val="00EC31FB"/>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semiHidden/>
    <w:rsid w:val="00EC31FB"/>
    <w:rPr>
      <w:rFonts w:ascii="Times New Roman" w:eastAsia="Times New Roman" w:hAnsi="Times New Roman" w:cs="Times New Roman"/>
      <w:sz w:val="24"/>
      <w:szCs w:val="20"/>
      <w:u w:val="single"/>
      <w:lang w:eastAsia="en-AU"/>
    </w:rPr>
  </w:style>
  <w:style w:type="character" w:customStyle="1" w:styleId="AppendixCharChar">
    <w:name w:val="Appendix Char Char"/>
    <w:link w:val="Appendix"/>
    <w:locked/>
    <w:rsid w:val="00EC31FB"/>
    <w:rPr>
      <w:b/>
      <w:sz w:val="24"/>
    </w:rPr>
  </w:style>
  <w:style w:type="paragraph" w:customStyle="1" w:styleId="Appendix">
    <w:name w:val="Appendix"/>
    <w:basedOn w:val="Normal"/>
    <w:link w:val="AppendixCharChar"/>
    <w:rsid w:val="00EC31FB"/>
    <w:pPr>
      <w:jc w:val="right"/>
    </w:pPr>
    <w:rPr>
      <w:rFonts w:asciiTheme="minorHAnsi" w:eastAsiaTheme="minorHAnsi" w:hAnsiTheme="minorHAnsi" w:cstheme="minorBidi"/>
      <w:b/>
      <w:szCs w:val="22"/>
    </w:rPr>
  </w:style>
  <w:style w:type="paragraph" w:customStyle="1" w:styleId="HB-dotpoint">
    <w:name w:val="HB - dotpoint"/>
    <w:basedOn w:val="Normal"/>
    <w:rsid w:val="00EC31FB"/>
    <w:pPr>
      <w:numPr>
        <w:numId w:val="1"/>
      </w:numPr>
      <w:spacing w:before="180"/>
    </w:pPr>
    <w:rPr>
      <w:szCs w:val="20"/>
      <w:lang w:eastAsia="en-AU"/>
    </w:rPr>
  </w:style>
  <w:style w:type="paragraph" w:customStyle="1" w:styleId="Paragraph">
    <w:name w:val="Paragraph"/>
    <w:basedOn w:val="Normal"/>
    <w:rsid w:val="00F03D7A"/>
    <w:pPr>
      <w:numPr>
        <w:ilvl w:val="12"/>
      </w:numPr>
      <w:spacing w:before="240"/>
    </w:pPr>
    <w:rPr>
      <w:szCs w:val="20"/>
      <w:lang w:eastAsia="en-AU"/>
    </w:rPr>
  </w:style>
  <w:style w:type="paragraph" w:styleId="Header">
    <w:name w:val="header"/>
    <w:basedOn w:val="Normal"/>
    <w:link w:val="HeaderChar"/>
    <w:uiPriority w:val="99"/>
    <w:unhideWhenUsed/>
    <w:rsid w:val="00C359A1"/>
    <w:pPr>
      <w:tabs>
        <w:tab w:val="center" w:pos="4513"/>
        <w:tab w:val="right" w:pos="9026"/>
      </w:tabs>
    </w:pPr>
  </w:style>
  <w:style w:type="character" w:customStyle="1" w:styleId="HeaderChar">
    <w:name w:val="Header Char"/>
    <w:basedOn w:val="DefaultParagraphFont"/>
    <w:link w:val="Header"/>
    <w:uiPriority w:val="99"/>
    <w:rsid w:val="00C359A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9A1"/>
    <w:pPr>
      <w:tabs>
        <w:tab w:val="center" w:pos="4513"/>
        <w:tab w:val="right" w:pos="9026"/>
      </w:tabs>
    </w:pPr>
  </w:style>
  <w:style w:type="character" w:customStyle="1" w:styleId="FooterChar">
    <w:name w:val="Footer Char"/>
    <w:basedOn w:val="DefaultParagraphFont"/>
    <w:link w:val="Footer"/>
    <w:uiPriority w:val="99"/>
    <w:rsid w:val="00C359A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D0693"/>
    <w:rPr>
      <w:sz w:val="16"/>
      <w:szCs w:val="16"/>
    </w:rPr>
  </w:style>
  <w:style w:type="paragraph" w:styleId="CommentText">
    <w:name w:val="annotation text"/>
    <w:basedOn w:val="Normal"/>
    <w:link w:val="CommentTextChar"/>
    <w:uiPriority w:val="99"/>
    <w:semiHidden/>
    <w:unhideWhenUsed/>
    <w:rsid w:val="00FD0693"/>
    <w:rPr>
      <w:sz w:val="20"/>
      <w:szCs w:val="20"/>
    </w:rPr>
  </w:style>
  <w:style w:type="character" w:customStyle="1" w:styleId="CommentTextChar">
    <w:name w:val="Comment Text Char"/>
    <w:basedOn w:val="DefaultParagraphFont"/>
    <w:link w:val="CommentText"/>
    <w:uiPriority w:val="99"/>
    <w:semiHidden/>
    <w:rsid w:val="00FD06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D0693"/>
    <w:rPr>
      <w:b/>
      <w:bCs/>
    </w:rPr>
  </w:style>
  <w:style w:type="character" w:customStyle="1" w:styleId="CommentSubjectChar">
    <w:name w:val="Comment Subject Char"/>
    <w:basedOn w:val="CommentTextChar"/>
    <w:link w:val="CommentSubject"/>
    <w:uiPriority w:val="99"/>
    <w:semiHidden/>
    <w:rsid w:val="00FD06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D0693"/>
    <w:rPr>
      <w:rFonts w:ascii="Tahoma" w:hAnsi="Tahoma" w:cs="Tahoma"/>
      <w:sz w:val="16"/>
      <w:szCs w:val="16"/>
    </w:rPr>
  </w:style>
  <w:style w:type="character" w:customStyle="1" w:styleId="BalloonTextChar">
    <w:name w:val="Balloon Text Char"/>
    <w:basedOn w:val="DefaultParagraphFont"/>
    <w:link w:val="BalloonText"/>
    <w:uiPriority w:val="99"/>
    <w:semiHidden/>
    <w:rsid w:val="00FD06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A224880CAE57E4DA3A3ED54C00F7B68" ma:contentTypeVersion="" ma:contentTypeDescription="PDMS Document Site Content Type" ma:contentTypeScope="" ma:versionID="6b9dec221cf61d750694ce30e5445d2d">
  <xsd:schema xmlns:xsd="http://www.w3.org/2001/XMLSchema" xmlns:xs="http://www.w3.org/2001/XMLSchema" xmlns:p="http://schemas.microsoft.com/office/2006/metadata/properties" xmlns:ns2="A02A7DC1-2E60-4847-8809-B9486E243952" targetNamespace="http://schemas.microsoft.com/office/2006/metadata/properties" ma:root="true" ma:fieldsID="8acd4f5cde2d7c72bf7766b6197c2701" ns2:_="">
    <xsd:import namespace="A02A7DC1-2E60-4847-8809-B9486E24395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7DC1-2E60-4847-8809-B9486E24395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A02A7DC1-2E60-4847-8809-B9486E2439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58D40B-2713-45B4-B989-9D906AD14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7DC1-2E60-4847-8809-B9486E243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816254-AE27-4FEC-8C57-DD447BD506FB}">
  <ds:schemaRef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A02A7DC1-2E60-4847-8809-B9486E24395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B72768E-62E9-414E-8CDE-0DB97D03AC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585</Words>
  <Characters>3437</Characters>
  <Application>Microsoft Office Word</Application>
  <DocSecurity>4</DocSecurity>
  <Lines>72</Lines>
  <Paragraphs>25</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ledlid</dc:creator>
  <cp:lastModifiedBy>tsonga</cp:lastModifiedBy>
  <cp:revision>2</cp:revision>
  <dcterms:created xsi:type="dcterms:W3CDTF">2016-09-15T05:00:00Z</dcterms:created>
  <dcterms:modified xsi:type="dcterms:W3CDTF">2016-09-15T05:00:00Z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BulkCorrespondenceReceived">
    <vt:lpwstr>0</vt:lpwstr>
  </property>
  <property fmtid="{D5CDD505-2E9C-101B-9397-08002B2CF9AE}" pid="4" name="CampaignName">
    <vt:lpwstr/>
  </property>
  <property fmtid="{D5CDD505-2E9C-101B-9397-08002B2CF9AE}" pid="5" name="ClearanceActualDate">
    <vt:lpwstr>18 August 2016</vt:lpwstr>
  </property>
  <property fmtid="{D5CDD505-2E9C-101B-9397-08002B2CF9AE}" pid="6" name="ClearanceDueDate">
    <vt:lpwstr>16 May 2016</vt:lpwstr>
  </property>
  <property fmtid="{D5CDD505-2E9C-101B-9397-08002B2CF9AE}" pid="7" name="ContentTypeId">
    <vt:lpwstr>0x010100266966F133664895A6EE3632470D45F50100A5948F73F1D8EA43B882348FC4014B93</vt:lpwstr>
  </property>
  <property fmtid="{D5CDD505-2E9C-101B-9397-08002B2CF9AE}" pid="8" name="CorrespondenceDate">
    <vt:lpwstr>04 May 2016</vt:lpwstr>
  </property>
  <property fmtid="{D5CDD505-2E9C-101B-9397-08002B2CF9AE}" pid="9" name="CorrespondenceMethod">
    <vt:lpwstr>Letter</vt:lpwstr>
  </property>
  <property fmtid="{D5CDD505-2E9C-101B-9397-08002B2CF9AE}" pid="10" name="Electorates">
    <vt:lpwstr/>
  </property>
  <property fmtid="{D5CDD505-2E9C-101B-9397-08002B2CF9AE}" pid="11" name="GroupResponsible">
    <vt:lpwstr>BRCH-CJCG-CJPPD-Family Law Branch</vt:lpwstr>
  </property>
  <property fmtid="{D5CDD505-2E9C-101B-9397-08002B2CF9AE}" pid="12" name="HandlingProtocol">
    <vt:lpwstr>Standard</vt:lpwstr>
  </property>
  <property fmtid="{D5CDD505-2E9C-101B-9397-08002B2CF9AE}" pid="13" name="InformationMinister">
    <vt:lpwstr> </vt:lpwstr>
  </property>
  <property fmtid="{D5CDD505-2E9C-101B-9397-08002B2CF9AE}" pid="14" name="InitiatorAddressLine1">
    <vt:lpwstr>Room S.111</vt:lpwstr>
  </property>
  <property fmtid="{D5CDD505-2E9C-101B-9397-08002B2CF9AE}" pid="15" name="InitiatorAddressLine1And2">
    <vt:lpwstr>Room S.111
Parliament House</vt:lpwstr>
  </property>
  <property fmtid="{D5CDD505-2E9C-101B-9397-08002B2CF9AE}" pid="16" name="InitiatorAddressLine2">
    <vt:lpwstr>Parliament House</vt:lpwstr>
  </property>
  <property fmtid="{D5CDD505-2E9C-101B-9397-08002B2CF9AE}" pid="17" name="InitiatorContactName">
    <vt:lpwstr/>
  </property>
  <property fmtid="{D5CDD505-2E9C-101B-9397-08002B2CF9AE}" pid="18" name="InitiatorContactPosition">
    <vt:lpwstr>Chair</vt:lpwstr>
  </property>
  <property fmtid="{D5CDD505-2E9C-101B-9397-08002B2CF9AE}" pid="19" name="InitiatorCountry">
    <vt:lpwstr/>
  </property>
  <property fmtid="{D5CDD505-2E9C-101B-9397-08002B2CF9AE}" pid="20" name="InitiatorEmail">
    <vt:lpwstr/>
  </property>
  <property fmtid="{D5CDD505-2E9C-101B-9397-08002B2CF9AE}" pid="21" name="InitiatorFax">
    <vt:lpwstr/>
  </property>
  <property fmtid="{D5CDD505-2E9C-101B-9397-08002B2CF9AE}" pid="22" name="InitiatorFirstName">
    <vt:lpwstr/>
  </property>
  <property fmtid="{D5CDD505-2E9C-101B-9397-08002B2CF9AE}" pid="23" name="InitiatorFormalTitle">
    <vt:lpwstr/>
  </property>
  <property fmtid="{D5CDD505-2E9C-101B-9397-08002B2CF9AE}" pid="24" name="InitiatorFullName">
    <vt:lpwstr/>
  </property>
  <property fmtid="{D5CDD505-2E9C-101B-9397-08002B2CF9AE}" pid="25" name="InitiatorLastName">
    <vt:lpwstr/>
  </property>
  <property fmtid="{D5CDD505-2E9C-101B-9397-08002B2CF9AE}" pid="26" name="InitiatorMobile">
    <vt:lpwstr/>
  </property>
  <property fmtid="{D5CDD505-2E9C-101B-9397-08002B2CF9AE}" pid="27" name="InitiatorMPElectorate">
    <vt:lpwstr/>
  </property>
  <property fmtid="{D5CDD505-2E9C-101B-9397-08002B2CF9AE}" pid="28" name="InitiatorMPState">
    <vt:lpwstr/>
  </property>
  <property fmtid="{D5CDD505-2E9C-101B-9397-08002B2CF9AE}" pid="29" name="InitiatorName">
    <vt:lpwstr/>
  </property>
  <property fmtid="{D5CDD505-2E9C-101B-9397-08002B2CF9AE}" pid="30" name="InitiatorOnBehalfVia">
    <vt:lpwstr/>
  </property>
  <property fmtid="{D5CDD505-2E9C-101B-9397-08002B2CF9AE}" pid="31" name="InitiatorOrganisation">
    <vt:lpwstr>Senate Standing Committee on Regulations and Ordinances</vt:lpwstr>
  </property>
  <property fmtid="{D5CDD505-2E9C-101B-9397-08002B2CF9AE}" pid="32" name="InitiatorOrganisationContactInformation">
    <vt:lpwstr/>
  </property>
  <property fmtid="{D5CDD505-2E9C-101B-9397-08002B2CF9AE}" pid="33" name="InitiatorOrganisationType">
    <vt:lpwstr/>
  </property>
  <property fmtid="{D5CDD505-2E9C-101B-9397-08002B2CF9AE}" pid="34" name="InitiatorOrganisationWebsite">
    <vt:lpwstr/>
  </property>
  <property fmtid="{D5CDD505-2E9C-101B-9397-08002B2CF9AE}" pid="35" name="InitiatorParliamentaryTitle">
    <vt:lpwstr/>
  </property>
  <property fmtid="{D5CDD505-2E9C-101B-9397-08002B2CF9AE}" pid="36" name="InitiatorPhone">
    <vt:lpwstr/>
  </property>
  <property fmtid="{D5CDD505-2E9C-101B-9397-08002B2CF9AE}" pid="37" name="InitiatorPostCode">
    <vt:lpwstr>2600</vt:lpwstr>
  </property>
  <property fmtid="{D5CDD505-2E9C-101B-9397-08002B2CF9AE}" pid="38" name="InitiatorPostNominal">
    <vt:lpwstr/>
  </property>
  <property fmtid="{D5CDD505-2E9C-101B-9397-08002B2CF9AE}" pid="39" name="InitiatorState">
    <vt:lpwstr>ACT</vt:lpwstr>
  </property>
  <property fmtid="{D5CDD505-2E9C-101B-9397-08002B2CF9AE}" pid="40" name="InitiatorSuburbOrCity">
    <vt:lpwstr>CANBERRA</vt:lpwstr>
  </property>
  <property fmtid="{D5CDD505-2E9C-101B-9397-08002B2CF9AE}" pid="41" name="InitiatorSuburbStatePostcode">
    <vt:lpwstr>CANBERRA ACT 2600</vt:lpwstr>
  </property>
  <property fmtid="{D5CDD505-2E9C-101B-9397-08002B2CF9AE}" pid="42" name="InitiatorTitle">
    <vt:lpwstr/>
  </property>
  <property fmtid="{D5CDD505-2E9C-101B-9397-08002B2CF9AE}" pid="43" name="InitiatorTitledFullName">
    <vt:lpwstr/>
  </property>
  <property fmtid="{D5CDD505-2E9C-101B-9397-08002B2CF9AE}" pid="44" name="LastClearingOfficer">
    <vt:lpwstr>Stephen Still</vt:lpwstr>
  </property>
  <property fmtid="{D5CDD505-2E9C-101B-9397-08002B2CF9AE}" pid="45" name="Ministers">
    <vt:lpwstr>AG - George Brandis</vt:lpwstr>
  </property>
  <property fmtid="{D5CDD505-2E9C-101B-9397-08002B2CF9AE}" pid="46" name="PdrId">
    <vt:lpwstr>MC16-005645</vt:lpwstr>
  </property>
  <property fmtid="{D5CDD505-2E9C-101B-9397-08002B2CF9AE}" pid="47" name="Principal">
    <vt:lpwstr>Minister Reply</vt:lpwstr>
  </property>
  <property fmtid="{D5CDD505-2E9C-101B-9397-08002B2CF9AE}" pid="48" name="Priority">
    <vt:lpwstr>Standard</vt:lpwstr>
  </property>
  <property fmtid="{D5CDD505-2E9C-101B-9397-08002B2CF9AE}" pid="49" name="ReasonForSensitivity">
    <vt:lpwstr/>
  </property>
  <property fmtid="{D5CDD505-2E9C-101B-9397-08002B2CF9AE}" pid="50" name="RegisteredDate">
    <vt:lpwstr>04 May 2016</vt:lpwstr>
  </property>
  <property fmtid="{D5CDD505-2E9C-101B-9397-08002B2CF9AE}" pid="51" name="RequestedAction">
    <vt:lpwstr>Priority C</vt:lpwstr>
  </property>
  <property fmtid="{D5CDD505-2E9C-101B-9397-08002B2CF9AE}" pid="52" name="ResponsibleMinister">
    <vt:lpwstr>AG - George Brandis</vt:lpwstr>
  </property>
  <property fmtid="{D5CDD505-2E9C-101B-9397-08002B2CF9AE}" pid="53" name="SecurityClassification">
    <vt:lpwstr>UNCLASSIFIED  </vt:lpwstr>
  </property>
  <property fmtid="{D5CDD505-2E9C-101B-9397-08002B2CF9AE}" pid="54" name="Subject">
    <vt:lpwstr>PRIORTIY C - Senate Committee on Regulations and Ordinances - request for response to issues regarding Marriage Amendment Regulation 2016 (No. 1) [F2016L00303]</vt:lpwstr>
  </property>
  <property fmtid="{D5CDD505-2E9C-101B-9397-08002B2CF9AE}" pid="55" name="TaskSeqNo">
    <vt:lpwstr>0</vt:lpwstr>
  </property>
  <property fmtid="{D5CDD505-2E9C-101B-9397-08002B2CF9AE}" pid="56" name="TemplateSubType">
    <vt:lpwstr>George Brandis</vt:lpwstr>
  </property>
  <property fmtid="{D5CDD505-2E9C-101B-9397-08002B2CF9AE}" pid="57" name="TemplateType">
    <vt:lpwstr>AG-MinRep</vt:lpwstr>
  </property>
  <property fmtid="{D5CDD505-2E9C-101B-9397-08002B2CF9AE}" pid="58" name="TrustedGroups">
    <vt:lpwstr>Parliamentary Coordinator MC, DLO, Ministerial Staff - Coalition 2013, Business Administrator, Limited Distribution MC</vt:lpwstr>
  </property>
  <property fmtid="{D5CDD505-2E9C-101B-9397-08002B2CF9AE}" pid="59" name="_dlc_DocIdItemGuid">
    <vt:lpwstr>3b22c576-069e-40ba-9544-6e7ea26fb3a6</vt:lpwstr>
  </property>
</Properties>
</file>