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9D4" w:rsidRPr="00503E44" w:rsidRDefault="00F109D4" w:rsidP="00E457F3">
      <w:pPr>
        <w:pStyle w:val="Heading1"/>
        <w:jc w:val="left"/>
      </w:pPr>
      <w:r w:rsidRPr="00503E44">
        <w:t>EXPLANATORY STATEMENT</w:t>
      </w:r>
    </w:p>
    <w:p w:rsidR="005833BE" w:rsidRPr="00503E44" w:rsidRDefault="005833BE" w:rsidP="005833BE">
      <w:pPr>
        <w:pStyle w:val="base-text-paragraph"/>
        <w:tabs>
          <w:tab w:val="clear" w:pos="1987"/>
        </w:tabs>
        <w:ind w:left="0"/>
        <w:rPr>
          <w:b/>
          <w:u w:val="single"/>
        </w:rPr>
      </w:pPr>
    </w:p>
    <w:p w:rsidR="00F109D4" w:rsidRPr="00503E44" w:rsidRDefault="00F109D4" w:rsidP="00A12209">
      <w:pPr>
        <w:pStyle w:val="Heading2"/>
      </w:pPr>
      <w:r w:rsidRPr="00503E44">
        <w:t xml:space="preserve">Issued by authority of the </w:t>
      </w:r>
      <w:r w:rsidR="005833BE" w:rsidRPr="00503E44">
        <w:t xml:space="preserve">Minister for </w:t>
      </w:r>
      <w:r w:rsidR="001925E7">
        <w:t>Small Business</w:t>
      </w:r>
    </w:p>
    <w:p w:rsidR="001925E7" w:rsidRDefault="001925E7">
      <w:pPr>
        <w:tabs>
          <w:tab w:val="left" w:pos="1418"/>
        </w:tabs>
        <w:spacing w:after="240"/>
        <w:jc w:val="center"/>
      </w:pPr>
      <w:r w:rsidRPr="00E6111B">
        <w:rPr>
          <w:i/>
        </w:rPr>
        <w:t>Australian Small Business and Family Enterprise Ombudsman Act 2015</w:t>
      </w:r>
      <w:r w:rsidRPr="00E6111B">
        <w:t xml:space="preserve"> </w:t>
      </w:r>
    </w:p>
    <w:p w:rsidR="00F109D4" w:rsidRPr="00503E44" w:rsidRDefault="001925E7">
      <w:pPr>
        <w:tabs>
          <w:tab w:val="left" w:pos="1418"/>
        </w:tabs>
        <w:spacing w:after="240"/>
        <w:jc w:val="center"/>
        <w:rPr>
          <w:i/>
        </w:rPr>
      </w:pPr>
      <w:r w:rsidRPr="00E6111B">
        <w:rPr>
          <w:i/>
        </w:rPr>
        <w:t>Australian Small Business and Family Enterprise Ombudsman</w:t>
      </w:r>
      <w:r>
        <w:rPr>
          <w:i/>
        </w:rPr>
        <w:t xml:space="preserve"> Rules 2016</w:t>
      </w:r>
    </w:p>
    <w:p w:rsidR="00F109D4" w:rsidRDefault="00C55D29" w:rsidP="001925E7">
      <w:pPr>
        <w:tabs>
          <w:tab w:val="left" w:pos="1418"/>
        </w:tabs>
        <w:spacing w:after="240"/>
        <w:jc w:val="center"/>
      </w:pPr>
      <w:r w:rsidRPr="00503E44">
        <w:t xml:space="preserve">Section </w:t>
      </w:r>
      <w:r w:rsidR="001925E7">
        <w:t>96</w:t>
      </w:r>
      <w:r w:rsidR="00F109D4" w:rsidRPr="00503E44">
        <w:t xml:space="preserve"> of the </w:t>
      </w:r>
      <w:r w:rsidR="001925E7" w:rsidRPr="00E6111B">
        <w:rPr>
          <w:i/>
        </w:rPr>
        <w:t>Australian Small Business and Family Enterprise Ombudsman Act 2015</w:t>
      </w:r>
      <w:r w:rsidR="00F109D4" w:rsidRPr="00503E44">
        <w:t xml:space="preserve"> (the Act) provides that the </w:t>
      </w:r>
      <w:r w:rsidR="001925E7">
        <w:t>Minister</w:t>
      </w:r>
      <w:r w:rsidR="00F109D4" w:rsidRPr="00503E44">
        <w:t xml:space="preserve"> may make </w:t>
      </w:r>
      <w:r w:rsidR="001925E7">
        <w:t>rules</w:t>
      </w:r>
      <w:r w:rsidR="00F109D4" w:rsidRPr="00503E44">
        <w:t xml:space="preserve"> prescribing matters required or permitted by the Act or necessary or convenient </w:t>
      </w:r>
      <w:r w:rsidR="001925E7">
        <w:t>to its operation</w:t>
      </w:r>
      <w:r w:rsidR="00F109D4" w:rsidRPr="00503E44">
        <w:t>.</w:t>
      </w:r>
    </w:p>
    <w:p w:rsidR="00F109D4" w:rsidRPr="001925E7" w:rsidRDefault="001925E7" w:rsidP="001925E7">
      <w:pPr>
        <w:pStyle w:val="base-text-paragraph"/>
        <w:ind w:left="0"/>
        <w:rPr>
          <w:sz w:val="22"/>
        </w:rPr>
      </w:pPr>
      <w:r>
        <w:t xml:space="preserve">The Australian Small Business and Family Enterprise Ombudsman Rules 2016 (the Rules) prescribe the remuneration to be paid to witnesses who attend a hearing in accordance with a summons under the </w:t>
      </w:r>
      <w:r>
        <w:rPr>
          <w:i/>
        </w:rPr>
        <w:t>Australian Small Business and Family Enterprise Act 2015</w:t>
      </w:r>
      <w:r>
        <w:t xml:space="preserve"> (the Act), the entities to be recognised as agencies under the Act, and the entities to which the Australian Small Business and Family Enterprise Ombudsman (the Ombudsman) </w:t>
      </w:r>
      <w:r w:rsidR="008C3370">
        <w:t xml:space="preserve">may </w:t>
      </w:r>
      <w:r>
        <w:t>disclose information.</w:t>
      </w:r>
      <w:r w:rsidRPr="00251B35">
        <w:t xml:space="preserve"> </w:t>
      </w:r>
    </w:p>
    <w:p w:rsidR="00F109D4" w:rsidRDefault="001925E7">
      <w:r>
        <w:t>The Act establishes the Ombudsman, who will provide Commonwealth-wide assistance and advocacy for Australian small businesses and family enterprises.</w:t>
      </w:r>
    </w:p>
    <w:p w:rsidR="001925E7" w:rsidRDefault="002A37B1" w:rsidP="002A37B1">
      <w:pPr>
        <w:pStyle w:val="base-text-paragraph"/>
        <w:tabs>
          <w:tab w:val="clear" w:pos="1987"/>
          <w:tab w:val="left" w:pos="1155"/>
        </w:tabs>
        <w:ind w:left="0"/>
      </w:pPr>
      <w:r>
        <w:t>The bodies prescribed under subsections 8(1</w:t>
      </w:r>
      <w:proofErr w:type="gramStart"/>
      <w:r>
        <w:t>)(</w:t>
      </w:r>
      <w:proofErr w:type="gramEnd"/>
      <w:r>
        <w:t>d), 8(</w:t>
      </w:r>
      <w:r w:rsidR="00840224">
        <w:t>2</w:t>
      </w:r>
      <w:r>
        <w:t xml:space="preserve">)(e), 86(1)(g) and 86(1)(h) of the Act will be able to receive matters and information from the Ombudsman.  </w:t>
      </w:r>
    </w:p>
    <w:p w:rsidR="002A37B1" w:rsidRPr="008C3370" w:rsidRDefault="002A37B1" w:rsidP="002A37B1">
      <w:pPr>
        <w:pStyle w:val="base-text-paragraph"/>
        <w:tabs>
          <w:tab w:val="clear" w:pos="1987"/>
          <w:tab w:val="left" w:pos="1155"/>
        </w:tabs>
        <w:ind w:left="0"/>
      </w:pPr>
      <w:r w:rsidRPr="008C3370">
        <w:t>Witnesses who appear at a hearing in accordance with a summons under section 48(1) of the Act will be remunerated $50 per day.</w:t>
      </w:r>
    </w:p>
    <w:p w:rsidR="001925E7" w:rsidRPr="008C3370" w:rsidRDefault="001925E7" w:rsidP="008C3370">
      <w:pPr>
        <w:pStyle w:val="base-text-paragraph"/>
        <w:tabs>
          <w:tab w:val="clear" w:pos="1987"/>
          <w:tab w:val="left" w:pos="1155"/>
        </w:tabs>
        <w:ind w:left="0"/>
      </w:pPr>
      <w:r w:rsidRPr="008C3370">
        <w:t>The Act does not specify any conditions that need to be met before the power to make the Rules may be exercised.</w:t>
      </w:r>
    </w:p>
    <w:p w:rsidR="009A2786" w:rsidRPr="008C3370" w:rsidRDefault="001925E7" w:rsidP="008C3370">
      <w:pPr>
        <w:pStyle w:val="base-text-paragraph"/>
        <w:tabs>
          <w:tab w:val="clear" w:pos="1987"/>
          <w:tab w:val="left" w:pos="1155"/>
        </w:tabs>
        <w:ind w:left="0"/>
      </w:pPr>
      <w:r w:rsidRPr="008C3370">
        <w:t xml:space="preserve">The </w:t>
      </w:r>
      <w:r w:rsidR="009A2786" w:rsidRPr="008C3370">
        <w:t xml:space="preserve">lists of agencies </w:t>
      </w:r>
      <w:r w:rsidRPr="008C3370">
        <w:t xml:space="preserve">were developed in consultation with relevant Commonwealth, state and territory stakeholders. </w:t>
      </w:r>
    </w:p>
    <w:p w:rsidR="001925E7" w:rsidRPr="008C3370" w:rsidRDefault="001925E7" w:rsidP="008C3370">
      <w:pPr>
        <w:pStyle w:val="base-text-paragraph"/>
        <w:tabs>
          <w:tab w:val="clear" w:pos="1987"/>
          <w:tab w:val="left" w:pos="1155"/>
        </w:tabs>
        <w:ind w:left="0"/>
      </w:pPr>
      <w:r w:rsidRPr="008C3370">
        <w:t xml:space="preserve">A public consultation period </w:t>
      </w:r>
      <w:r w:rsidR="009A2786" w:rsidRPr="008C3370">
        <w:t xml:space="preserve">on the Rules </w:t>
      </w:r>
      <w:r w:rsidRPr="008C3370">
        <w:t>was hel</w:t>
      </w:r>
      <w:bookmarkStart w:id="0" w:name="_GoBack"/>
      <w:bookmarkEnd w:id="0"/>
      <w:r w:rsidRPr="008C3370">
        <w:t>d from 9 February 2016 to 24 February 2016. No submissions were received.</w:t>
      </w:r>
    </w:p>
    <w:p w:rsidR="00F109D4" w:rsidRPr="008C3370" w:rsidRDefault="00F109D4" w:rsidP="008C3370">
      <w:pPr>
        <w:pStyle w:val="base-text-paragraph"/>
        <w:tabs>
          <w:tab w:val="clear" w:pos="1987"/>
          <w:tab w:val="left" w:pos="1155"/>
        </w:tabs>
        <w:ind w:left="0"/>
      </w:pPr>
      <w:r w:rsidRPr="008C3370">
        <w:t xml:space="preserve">The </w:t>
      </w:r>
      <w:r w:rsidR="001925E7" w:rsidRPr="008C3370">
        <w:t>Rules</w:t>
      </w:r>
      <w:r w:rsidRPr="008C3370">
        <w:t xml:space="preserve"> </w:t>
      </w:r>
      <w:r w:rsidR="001925E7" w:rsidRPr="008C3370">
        <w:t>will commence on the day that the Act commences.</w:t>
      </w:r>
    </w:p>
    <w:p w:rsidR="001925E7" w:rsidRDefault="001925E7">
      <w:pPr>
        <w:spacing w:before="0" w:after="0"/>
        <w:rPr>
          <w:rFonts w:ascii="Helvetica" w:hAnsi="Helvetica"/>
          <w:b/>
          <w:kern w:val="28"/>
        </w:rPr>
      </w:pPr>
      <w:r>
        <w:br w:type="page"/>
      </w:r>
    </w:p>
    <w:p w:rsidR="00E4438C" w:rsidRDefault="00E4438C" w:rsidP="00E4438C">
      <w:pPr>
        <w:pStyle w:val="Heading3"/>
        <w:jc w:val="center"/>
      </w:pPr>
      <w:r>
        <w:lastRenderedPageBreak/>
        <w:t>Statement of Compatibility with Human Rights</w:t>
      </w:r>
    </w:p>
    <w:p w:rsidR="00E4438C" w:rsidRDefault="00E4438C" w:rsidP="001925E7">
      <w:pPr>
        <w:jc w:val="center"/>
        <w:rPr>
          <w:i/>
        </w:rPr>
      </w:pPr>
      <w:r w:rsidRPr="00E4438C">
        <w:rPr>
          <w:i/>
        </w:rPr>
        <w:t>Prepared in accordance with Part 3 of the Human Rights (Parliamentary Scrutiny) Act 2011</w:t>
      </w:r>
    </w:p>
    <w:p w:rsidR="00402657" w:rsidRPr="00503E44" w:rsidRDefault="00402657" w:rsidP="00402657">
      <w:pPr>
        <w:tabs>
          <w:tab w:val="left" w:pos="1418"/>
        </w:tabs>
        <w:spacing w:after="240"/>
        <w:jc w:val="center"/>
        <w:rPr>
          <w:i/>
        </w:rPr>
      </w:pPr>
      <w:r w:rsidRPr="00E6111B">
        <w:rPr>
          <w:i/>
        </w:rPr>
        <w:t>Australian Small Business and Family Enterprise Ombudsman</w:t>
      </w:r>
      <w:r>
        <w:rPr>
          <w:i/>
        </w:rPr>
        <w:t xml:space="preserve"> Rules 2016</w:t>
      </w:r>
    </w:p>
    <w:p w:rsidR="00402657" w:rsidRPr="00402657" w:rsidRDefault="00402657" w:rsidP="001A23B4">
      <w:pPr>
        <w:rPr>
          <w:i/>
        </w:rPr>
      </w:pPr>
      <w:r>
        <w:t xml:space="preserve">This Legislative Instrument is compatible with the human rights and freedoms recognised or declared in the international instruments listed in section 3 of the </w:t>
      </w:r>
      <w:r>
        <w:rPr>
          <w:i/>
        </w:rPr>
        <w:t>Human Rights (Parliamentary Scrutiny) Act 2011.</w:t>
      </w:r>
    </w:p>
    <w:p w:rsidR="00402657" w:rsidRPr="001925E7" w:rsidRDefault="00402657" w:rsidP="001925E7">
      <w:pPr>
        <w:jc w:val="center"/>
        <w:rPr>
          <w:i/>
        </w:rPr>
      </w:pPr>
    </w:p>
    <w:p w:rsidR="00E4438C" w:rsidRDefault="00E4438C" w:rsidP="00E4438C">
      <w:pPr>
        <w:pStyle w:val="Heading4"/>
      </w:pPr>
      <w:r>
        <w:t xml:space="preserve">Overview of the </w:t>
      </w:r>
      <w:r w:rsidRPr="00E4438C">
        <w:t>Legislative</w:t>
      </w:r>
      <w:r>
        <w:t xml:space="preserve"> Instrument</w:t>
      </w:r>
    </w:p>
    <w:p w:rsidR="001925E7" w:rsidRPr="00251B35" w:rsidRDefault="001925E7" w:rsidP="001925E7">
      <w:pPr>
        <w:pStyle w:val="base-text-paragraph"/>
        <w:ind w:left="0"/>
        <w:rPr>
          <w:sz w:val="22"/>
        </w:rPr>
      </w:pPr>
      <w:r>
        <w:t xml:space="preserve">The Rules prescribe the remuneration to be paid to witnesses who attend a hearing in accordance with a summons under the </w:t>
      </w:r>
      <w:r w:rsidRPr="00251B35">
        <w:t>Act</w:t>
      </w:r>
      <w:r>
        <w:t xml:space="preserve"> and the entities to which the Ombudsman may refer matters and disclose information.</w:t>
      </w:r>
    </w:p>
    <w:p w:rsidR="00E4438C" w:rsidRDefault="00E4438C" w:rsidP="00E4438C">
      <w:pPr>
        <w:pStyle w:val="Heading4"/>
      </w:pPr>
      <w:r>
        <w:t>Human rights implications</w:t>
      </w:r>
    </w:p>
    <w:p w:rsidR="001925E7" w:rsidRDefault="001925E7" w:rsidP="001925E7">
      <w:pPr>
        <w:pStyle w:val="base-text-paragraph"/>
        <w:ind w:left="0"/>
      </w:pPr>
      <w:r>
        <w:t xml:space="preserve">This Legislative Instrument does not engage any of the applicable rights or freedoms recognised or declared in the international instruments listed in section 3 of the </w:t>
      </w:r>
      <w:r>
        <w:rPr>
          <w:i/>
        </w:rPr>
        <w:t xml:space="preserve">Human Rights </w:t>
      </w:r>
      <w:r w:rsidRPr="009B3F66">
        <w:rPr>
          <w:i/>
        </w:rPr>
        <w:t>(Parliamentary Scrutiny) Act 2011</w:t>
      </w:r>
      <w:r>
        <w:t>.</w:t>
      </w:r>
    </w:p>
    <w:p w:rsidR="00E4438C" w:rsidRDefault="00E4438C" w:rsidP="00E4438C">
      <w:pPr>
        <w:pStyle w:val="Heading4"/>
      </w:pPr>
      <w:r>
        <w:t>Conclusion</w:t>
      </w:r>
    </w:p>
    <w:p w:rsidR="00E4438C" w:rsidRDefault="00E4438C" w:rsidP="00E4438C">
      <w:r>
        <w:t>This Legislative Instrument is compatible with human rights as it does not raise any human rights issues.</w:t>
      </w:r>
    </w:p>
    <w:sectPr w:rsidR="00E4438C" w:rsidSect="00392BB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">
    <w:nsid w:val="3D714D4B"/>
    <w:multiLevelType w:val="multilevel"/>
    <w:tmpl w:val="A316FE50"/>
    <w:styleLink w:val="ChapterList"/>
    <w:lvl w:ilvl="0">
      <w:start w:val="1"/>
      <w:numFmt w:val="decimal"/>
      <w:lvlText w:val="Chapter %1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5"/>
        </w:tabs>
        <w:ind w:left="1134" w:firstLine="0"/>
      </w:pPr>
      <w:rPr>
        <w:rFonts w:hint="default"/>
      </w:rPr>
    </w:lvl>
    <w:lvl w:ilvl="2">
      <w:start w:val="1"/>
      <w:numFmt w:val="decimal"/>
      <w:lvlRestart w:val="1"/>
      <w:suff w:val="nothing"/>
      <w:lvlText w:val="Diagram %1.%3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lvlRestart w:val="1"/>
      <w:suff w:val="nothing"/>
      <w:lvlText w:val="Example %1.%4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lvlRestart w:val="1"/>
      <w:suff w:val="nothing"/>
      <w:lvlText w:val="Table %1.%5"/>
      <w:lvlJc w:val="left"/>
      <w:pPr>
        <w:ind w:left="113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65DF6494"/>
    <w:multiLevelType w:val="multilevel"/>
    <w:tmpl w:val="A316FE50"/>
    <w:lvl w:ilvl="0">
      <w:start w:val="1"/>
      <w:numFmt w:val="decimal"/>
      <w:lvlText w:val="Chapter %1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5"/>
        </w:tabs>
        <w:ind w:left="1134" w:firstLine="0"/>
      </w:pPr>
      <w:rPr>
        <w:rFonts w:hint="default"/>
      </w:rPr>
    </w:lvl>
    <w:lvl w:ilvl="2">
      <w:start w:val="1"/>
      <w:numFmt w:val="decimal"/>
      <w:lvlRestart w:val="1"/>
      <w:suff w:val="nothing"/>
      <w:lvlText w:val="Diagram %1.%3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lvlRestart w:val="1"/>
      <w:suff w:val="nothing"/>
      <w:lvlText w:val="Example %1.%4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lvlRestart w:val="1"/>
      <w:suff w:val="nothing"/>
      <w:lvlText w:val="Table %1.%5"/>
      <w:lvlJc w:val="left"/>
      <w:pPr>
        <w:ind w:left="113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67A43C0B"/>
    <w:multiLevelType w:val="multilevel"/>
    <w:tmpl w:val="045CA2A8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lvl w:ilvl="0">
        <w:start w:val="1"/>
        <w:numFmt w:val="decimal"/>
        <w:lvlText w:val="Chapter %1"/>
        <w:lvlJc w:val="left"/>
        <w:pPr>
          <w:tabs>
            <w:tab w:val="num" w:pos="1134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985"/>
          </w:tabs>
          <w:ind w:left="1134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suff w:val="nothing"/>
        <w:lvlText w:val="Diagram %1.%3"/>
        <w:lvlJc w:val="left"/>
        <w:pPr>
          <w:ind w:left="1134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suff w:val="nothing"/>
        <w:lvlText w:val="Example %1.%4"/>
        <w:lvlJc w:val="left"/>
        <w:pPr>
          <w:ind w:left="1134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Restart w:val="1"/>
        <w:suff w:val="nothing"/>
        <w:lvlText w:val="Table %1.%5"/>
        <w:lvlJc w:val="left"/>
        <w:pPr>
          <w:ind w:left="1134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5E7"/>
    <w:rsid w:val="00016EA2"/>
    <w:rsid w:val="00095211"/>
    <w:rsid w:val="000C10DF"/>
    <w:rsid w:val="00113B45"/>
    <w:rsid w:val="001925E7"/>
    <w:rsid w:val="001A23B4"/>
    <w:rsid w:val="001E6A74"/>
    <w:rsid w:val="001F41D0"/>
    <w:rsid w:val="00220F16"/>
    <w:rsid w:val="00254C5B"/>
    <w:rsid w:val="002A37B1"/>
    <w:rsid w:val="003342CD"/>
    <w:rsid w:val="00335042"/>
    <w:rsid w:val="00392BBA"/>
    <w:rsid w:val="00402657"/>
    <w:rsid w:val="004E39E1"/>
    <w:rsid w:val="00503E44"/>
    <w:rsid w:val="00515283"/>
    <w:rsid w:val="0055675D"/>
    <w:rsid w:val="005833BE"/>
    <w:rsid w:val="005D7D5A"/>
    <w:rsid w:val="0060130D"/>
    <w:rsid w:val="0064129F"/>
    <w:rsid w:val="007E018D"/>
    <w:rsid w:val="00807E7D"/>
    <w:rsid w:val="00815C02"/>
    <w:rsid w:val="00831675"/>
    <w:rsid w:val="00840224"/>
    <w:rsid w:val="0088467C"/>
    <w:rsid w:val="008C3370"/>
    <w:rsid w:val="008D16F7"/>
    <w:rsid w:val="009A2786"/>
    <w:rsid w:val="009E2F86"/>
    <w:rsid w:val="00A12209"/>
    <w:rsid w:val="00A36DF3"/>
    <w:rsid w:val="00A532DD"/>
    <w:rsid w:val="00A80BCF"/>
    <w:rsid w:val="00B07B0C"/>
    <w:rsid w:val="00BD61A2"/>
    <w:rsid w:val="00BE484D"/>
    <w:rsid w:val="00C37E05"/>
    <w:rsid w:val="00C55D29"/>
    <w:rsid w:val="00D34626"/>
    <w:rsid w:val="00D4257A"/>
    <w:rsid w:val="00DC0CDE"/>
    <w:rsid w:val="00E0624D"/>
    <w:rsid w:val="00E4438C"/>
    <w:rsid w:val="00E457F3"/>
    <w:rsid w:val="00EB7E71"/>
    <w:rsid w:val="00F109D4"/>
    <w:rsid w:val="00FF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92BBA"/>
    <w:pPr>
      <w:tabs>
        <w:tab w:val="left" w:pos="1987"/>
      </w:tabs>
      <w:spacing w:after="120"/>
      <w:outlineLvl w:val="2"/>
    </w:pPr>
    <w:rPr>
      <w:rFonts w:ascii="Helvetica" w:hAnsi="Helvetica"/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link w:val="base-text-paragraphChar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E457F3"/>
    <w:rPr>
      <w:rFonts w:ascii="Helvetica" w:hAnsi="Helvetica"/>
      <w:b/>
      <w:kern w:val="28"/>
      <w:sz w:val="24"/>
    </w:rPr>
  </w:style>
  <w:style w:type="paragraph" w:customStyle="1" w:styleId="ChapterHeading">
    <w:name w:val="Chapter Heading"/>
    <w:next w:val="Heading2"/>
    <w:rsid w:val="001925E7"/>
    <w:pPr>
      <w:pBdr>
        <w:top w:val="single" w:sz="4" w:space="1" w:color="auto"/>
        <w:bottom w:val="single" w:sz="4" w:space="1" w:color="auto"/>
      </w:pBdr>
      <w:tabs>
        <w:tab w:val="num" w:pos="1134"/>
      </w:tabs>
      <w:spacing w:before="240" w:line="260" w:lineRule="atLeast"/>
    </w:pPr>
    <w:rPr>
      <w:rFonts w:ascii="Helvetica" w:hAnsi="Helvetica"/>
      <w:b/>
      <w:i/>
      <w:sz w:val="38"/>
    </w:rPr>
  </w:style>
  <w:style w:type="paragraph" w:customStyle="1" w:styleId="TableHeadingoutsidetable">
    <w:name w:val="Table Heading (outside table)"/>
    <w:basedOn w:val="Heading4"/>
    <w:rsid w:val="001925E7"/>
    <w:pPr>
      <w:tabs>
        <w:tab w:val="clear" w:pos="1987"/>
        <w:tab w:val="num" w:pos="360"/>
      </w:tabs>
    </w:pPr>
    <w:rPr>
      <w:kern w:val="0"/>
      <w:sz w:val="22"/>
    </w:rPr>
  </w:style>
  <w:style w:type="paragraph" w:customStyle="1" w:styleId="ExampleHeading">
    <w:name w:val="Example Heading"/>
    <w:basedOn w:val="Normal"/>
    <w:next w:val="Normal"/>
    <w:rsid w:val="001925E7"/>
    <w:pPr>
      <w:keepNext/>
      <w:tabs>
        <w:tab w:val="num" w:pos="360"/>
      </w:tabs>
    </w:pPr>
    <w:rPr>
      <w:b/>
      <w:sz w:val="22"/>
    </w:rPr>
  </w:style>
  <w:style w:type="paragraph" w:customStyle="1" w:styleId="Diagram">
    <w:name w:val="Diagram"/>
    <w:basedOn w:val="Normal"/>
    <w:next w:val="Normal"/>
    <w:rsid w:val="001925E7"/>
    <w:pPr>
      <w:keepNext/>
      <w:tabs>
        <w:tab w:val="num" w:pos="360"/>
      </w:tabs>
      <w:spacing w:before="0" w:after="0"/>
    </w:pPr>
    <w:rPr>
      <w:b/>
      <w:sz w:val="22"/>
    </w:rPr>
  </w:style>
  <w:style w:type="character" w:customStyle="1" w:styleId="base-text-paragraphChar">
    <w:name w:val="base-text-paragraph Char"/>
    <w:basedOn w:val="DefaultParagraphFont"/>
    <w:link w:val="base-text-paragraph"/>
    <w:rsid w:val="001925E7"/>
    <w:rPr>
      <w:sz w:val="24"/>
    </w:rPr>
  </w:style>
  <w:style w:type="numbering" w:customStyle="1" w:styleId="ChapterList">
    <w:name w:val="ChapterList"/>
    <w:uiPriority w:val="99"/>
    <w:rsid w:val="001925E7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92BBA"/>
    <w:pPr>
      <w:tabs>
        <w:tab w:val="left" w:pos="1987"/>
      </w:tabs>
      <w:spacing w:after="120"/>
      <w:outlineLvl w:val="2"/>
    </w:pPr>
    <w:rPr>
      <w:rFonts w:ascii="Helvetica" w:hAnsi="Helvetica"/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link w:val="base-text-paragraphChar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E457F3"/>
    <w:rPr>
      <w:rFonts w:ascii="Helvetica" w:hAnsi="Helvetica"/>
      <w:b/>
      <w:kern w:val="28"/>
      <w:sz w:val="24"/>
    </w:rPr>
  </w:style>
  <w:style w:type="paragraph" w:customStyle="1" w:styleId="ChapterHeading">
    <w:name w:val="Chapter Heading"/>
    <w:next w:val="Heading2"/>
    <w:rsid w:val="001925E7"/>
    <w:pPr>
      <w:pBdr>
        <w:top w:val="single" w:sz="4" w:space="1" w:color="auto"/>
        <w:bottom w:val="single" w:sz="4" w:space="1" w:color="auto"/>
      </w:pBdr>
      <w:tabs>
        <w:tab w:val="num" w:pos="1134"/>
      </w:tabs>
      <w:spacing w:before="240" w:line="260" w:lineRule="atLeast"/>
    </w:pPr>
    <w:rPr>
      <w:rFonts w:ascii="Helvetica" w:hAnsi="Helvetica"/>
      <w:b/>
      <w:i/>
      <w:sz w:val="38"/>
    </w:rPr>
  </w:style>
  <w:style w:type="paragraph" w:customStyle="1" w:styleId="TableHeadingoutsidetable">
    <w:name w:val="Table Heading (outside table)"/>
    <w:basedOn w:val="Heading4"/>
    <w:rsid w:val="001925E7"/>
    <w:pPr>
      <w:tabs>
        <w:tab w:val="clear" w:pos="1987"/>
        <w:tab w:val="num" w:pos="360"/>
      </w:tabs>
    </w:pPr>
    <w:rPr>
      <w:kern w:val="0"/>
      <w:sz w:val="22"/>
    </w:rPr>
  </w:style>
  <w:style w:type="paragraph" w:customStyle="1" w:styleId="ExampleHeading">
    <w:name w:val="Example Heading"/>
    <w:basedOn w:val="Normal"/>
    <w:next w:val="Normal"/>
    <w:rsid w:val="001925E7"/>
    <w:pPr>
      <w:keepNext/>
      <w:tabs>
        <w:tab w:val="num" w:pos="360"/>
      </w:tabs>
    </w:pPr>
    <w:rPr>
      <w:b/>
      <w:sz w:val="22"/>
    </w:rPr>
  </w:style>
  <w:style w:type="paragraph" w:customStyle="1" w:styleId="Diagram">
    <w:name w:val="Diagram"/>
    <w:basedOn w:val="Normal"/>
    <w:next w:val="Normal"/>
    <w:rsid w:val="001925E7"/>
    <w:pPr>
      <w:keepNext/>
      <w:tabs>
        <w:tab w:val="num" w:pos="360"/>
      </w:tabs>
      <w:spacing w:before="0" w:after="0"/>
    </w:pPr>
    <w:rPr>
      <w:b/>
      <w:sz w:val="22"/>
    </w:rPr>
  </w:style>
  <w:style w:type="character" w:customStyle="1" w:styleId="base-text-paragraphChar">
    <w:name w:val="base-text-paragraph Char"/>
    <w:basedOn w:val="DefaultParagraphFont"/>
    <w:link w:val="base-text-paragraph"/>
    <w:rsid w:val="001925E7"/>
    <w:rPr>
      <w:sz w:val="24"/>
    </w:rPr>
  </w:style>
  <w:style w:type="numbering" w:customStyle="1" w:styleId="ChapterList">
    <w:name w:val="ChapterList"/>
    <w:uiPriority w:val="99"/>
    <w:rsid w:val="001925E7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6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ExCo-Explanatory%20Statem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A0A840AFAB52624689FA9AA81E9EF0D1" ma:contentTypeVersion="21" ma:contentTypeDescription=" " ma:contentTypeScope="" ma:versionID="fc53f4eae6d7a637556b75822d443a45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c6e96ee77066bd5557fbaaddbe36586c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069e7114-c113-40ac-b5d9-743a6101772e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_dlc_DocId xmlns="9f7bc583-7cbe-45b9-a2bd-8bbb6543b37e">2015RG-86-19161</_dlc_DocId>
    <TaxCatchAll xmlns="9f7bc583-7cbe-45b9-a2bd-8bbb6543b37e">
      <Value>11</Value>
    </TaxCatchAll>
    <_dlc_DocIdUrl xmlns="9f7bc583-7cbe-45b9-a2bd-8bbb6543b37e">
      <Url>http://tweb/sites/rg/ldp/lmu/_layouts/15/DocIdRedir.aspx?ID=2015RG-86-19161</Url>
      <Description>2015RG-86-19161</Description>
    </_dlc_DocIdUrl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224C0478-3ABD-4F64-B3EE-8DCFF5D5FAA5}"/>
</file>

<file path=customXml/itemProps2.xml><?xml version="1.0" encoding="utf-8"?>
<ds:datastoreItem xmlns:ds="http://schemas.openxmlformats.org/officeDocument/2006/customXml" ds:itemID="{7374E450-5590-46CA-877A-594809B06E33}"/>
</file>

<file path=customXml/itemProps3.xml><?xml version="1.0" encoding="utf-8"?>
<ds:datastoreItem xmlns:ds="http://schemas.openxmlformats.org/officeDocument/2006/customXml" ds:itemID="{7DFB07AB-8E55-4978-A4E4-9200130BCAAF}"/>
</file>

<file path=customXml/itemProps4.xml><?xml version="1.0" encoding="utf-8"?>
<ds:datastoreItem xmlns:ds="http://schemas.openxmlformats.org/officeDocument/2006/customXml" ds:itemID="{43CD05F0-D752-4B72-811A-22B9D3E9377F}"/>
</file>

<file path=customXml/itemProps5.xml><?xml version="1.0" encoding="utf-8"?>
<ds:datastoreItem xmlns:ds="http://schemas.openxmlformats.org/officeDocument/2006/customXml" ds:itemID="{B6FC0B76-8C3B-4A2B-82DD-8941728578AB}"/>
</file>

<file path=customXml/itemProps6.xml><?xml version="1.0" encoding="utf-8"?>
<ds:datastoreItem xmlns:ds="http://schemas.openxmlformats.org/officeDocument/2006/customXml" ds:itemID="{1F108610-D696-462D-9902-611107051239}"/>
</file>

<file path=docProps/app.xml><?xml version="1.0" encoding="utf-8"?>
<Properties xmlns="http://schemas.openxmlformats.org/officeDocument/2006/extended-properties" xmlns:vt="http://schemas.openxmlformats.org/officeDocument/2006/docPropsVTypes">
  <Template>ExCo-Explanatory Statement.dotm</Template>
  <TotalTime>3973</TotalTime>
  <Pages>2</Pages>
  <Words>422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MEMORANDUM</vt:lpstr>
    </vt:vector>
  </TitlesOfParts>
  <Company>ATO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MEMORANDUM</dc:title>
  <dc:creator>Edwards, Chiara</dc:creator>
  <cp:lastModifiedBy>Edwards, Chiara</cp:lastModifiedBy>
  <cp:revision>5</cp:revision>
  <cp:lastPrinted>2016-02-26T05:40:00Z</cp:lastPrinted>
  <dcterms:created xsi:type="dcterms:W3CDTF">2016-02-26T04:55:00Z</dcterms:created>
  <dcterms:modified xsi:type="dcterms:W3CDTF">2016-03-07T00:43:00Z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1234198331</vt:i4>
  </property>
  <property fmtid="{D5CDD505-2E9C-101B-9397-08002B2CF9AE}" pid="3" name="_NewReviewCycle">
    <vt:lpwstr/>
  </property>
  <property fmtid="{D5CDD505-2E9C-101B-9397-08002B2CF9AE}" pid="4" name="_EmailSubject">
    <vt:lpwstr>Ministerial rules under the Australian Small Business and Family Enterprise Ombudsman Act  2015</vt:lpwstr>
  </property>
  <property fmtid="{D5CDD505-2E9C-101B-9397-08002B2CF9AE}" pid="5" name="_AuthorEmail">
    <vt:lpwstr>Chiara.Edwards@treasury.gov.au</vt:lpwstr>
  </property>
  <property fmtid="{D5CDD505-2E9C-101B-9397-08002B2CF9AE}" pid="6" name="_AuthorEmailDisplayName">
    <vt:lpwstr>Edwards, Chiara</vt:lpwstr>
  </property>
  <property fmtid="{D5CDD505-2E9C-101B-9397-08002B2CF9AE}" pid="7" name="_PreviousAdHocReviewCycleID">
    <vt:i4>1041414488</vt:i4>
  </property>
  <property fmtid="{D5CDD505-2E9C-101B-9397-08002B2CF9AE}" pid="8" name="ContentTypeId">
    <vt:lpwstr>0x01010036BB8DE7EC542E42A8B2E98CC20CB69700A0A840AFAB52624689FA9AA81E9EF0D1</vt:lpwstr>
  </property>
  <property fmtid="{D5CDD505-2E9C-101B-9397-08002B2CF9AE}" pid="9" name="TSYRecordClass">
    <vt:lpwstr>11;#TSY RA-9237 - Destroy 5 years after action completed|9f1a030e-81bf-44c5-98eb-4d5d869a40d5</vt:lpwstr>
  </property>
  <property fmtid="{D5CDD505-2E9C-101B-9397-08002B2CF9AE}" pid="10" name="_dlc_DocIdItemGuid">
    <vt:lpwstr>d6377124-5222-4b11-a5f9-1d93292cea56</vt:lpwstr>
  </property>
</Properties>
</file>