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9B" w:rsidRPr="0007214C" w:rsidRDefault="001D139B" w:rsidP="001D139B">
      <w:pPr>
        <w:jc w:val="center"/>
        <w:rPr>
          <w:rFonts w:ascii="Times New Roman" w:hAnsi="Times New Roman"/>
          <w:b/>
          <w:i/>
          <w:sz w:val="28"/>
        </w:rPr>
      </w:pPr>
      <w:r w:rsidRPr="0007214C">
        <w:rPr>
          <w:rFonts w:ascii="Times New Roman" w:hAnsi="Times New Roman"/>
          <w:b/>
          <w:sz w:val="28"/>
          <w:u w:val="single"/>
        </w:rPr>
        <w:t>EXPLANATORY STATEMENT</w:t>
      </w:r>
      <w:r w:rsidRPr="0007214C">
        <w:rPr>
          <w:rFonts w:ascii="Times New Roman" w:hAnsi="Times New Roman"/>
          <w:b/>
          <w:sz w:val="28"/>
          <w:u w:val="single"/>
        </w:rPr>
        <w:br/>
      </w:r>
      <w:r w:rsidRPr="0007214C">
        <w:rPr>
          <w:rFonts w:ascii="Times New Roman" w:hAnsi="Times New Roman"/>
          <w:b/>
          <w:sz w:val="28"/>
          <w:u w:val="single"/>
        </w:rPr>
        <w:br/>
      </w:r>
      <w:r w:rsidRPr="0007214C">
        <w:rPr>
          <w:rFonts w:ascii="Times New Roman" w:hAnsi="Times New Roman"/>
          <w:b/>
          <w:i/>
          <w:sz w:val="28"/>
        </w:rPr>
        <w:t>Telecommunications (Carrier Licence Charges) Act 1997</w:t>
      </w:r>
    </w:p>
    <w:p w:rsidR="001D139B" w:rsidRPr="0007214C" w:rsidRDefault="001D139B" w:rsidP="001D139B">
      <w:pPr>
        <w:spacing w:before="240"/>
        <w:jc w:val="center"/>
        <w:rPr>
          <w:rFonts w:ascii="Times New Roman" w:hAnsi="Times New Roman"/>
          <w:b/>
          <w:sz w:val="28"/>
        </w:rPr>
      </w:pPr>
      <w:r w:rsidRPr="0007214C">
        <w:rPr>
          <w:rFonts w:ascii="Times New Roman" w:hAnsi="Times New Roman"/>
          <w:b/>
          <w:sz w:val="28"/>
        </w:rPr>
        <w:t>Determination under Paragraph 15(1</w:t>
      </w:r>
      <w:proofErr w:type="gramStart"/>
      <w:r w:rsidRPr="0007214C">
        <w:rPr>
          <w:rFonts w:ascii="Times New Roman" w:hAnsi="Times New Roman"/>
          <w:b/>
          <w:sz w:val="28"/>
        </w:rPr>
        <w:t>)(</w:t>
      </w:r>
      <w:proofErr w:type="gramEnd"/>
      <w:r w:rsidRPr="0007214C">
        <w:rPr>
          <w:rFonts w:ascii="Times New Roman" w:hAnsi="Times New Roman"/>
          <w:b/>
          <w:sz w:val="28"/>
        </w:rPr>
        <w:t xml:space="preserve">b) No. </w:t>
      </w:r>
      <w:r w:rsidR="003F31F9" w:rsidRPr="0007214C">
        <w:rPr>
          <w:rFonts w:ascii="Times New Roman" w:hAnsi="Times New Roman"/>
          <w:b/>
          <w:sz w:val="28"/>
        </w:rPr>
        <w:t>1</w:t>
      </w:r>
      <w:r w:rsidRPr="0007214C">
        <w:rPr>
          <w:rFonts w:ascii="Times New Roman" w:hAnsi="Times New Roman"/>
          <w:b/>
          <w:sz w:val="28"/>
        </w:rPr>
        <w:t xml:space="preserve"> of 201</w:t>
      </w:r>
      <w:r w:rsidR="00675EFA" w:rsidRPr="0007214C">
        <w:rPr>
          <w:rFonts w:ascii="Times New Roman" w:hAnsi="Times New Roman"/>
          <w:b/>
          <w:sz w:val="28"/>
        </w:rPr>
        <w:t>6</w:t>
      </w:r>
      <w:r w:rsidRPr="0007214C">
        <w:rPr>
          <w:rFonts w:ascii="Times New Roman" w:hAnsi="Times New Roman"/>
          <w:b/>
          <w:sz w:val="28"/>
        </w:rPr>
        <w:t xml:space="preserve"> </w:t>
      </w:r>
    </w:p>
    <w:p w:rsidR="001D139B" w:rsidRPr="001D139B" w:rsidRDefault="001D139B" w:rsidP="001D139B">
      <w:pPr>
        <w:spacing w:before="240"/>
        <w:jc w:val="center"/>
        <w:rPr>
          <w:rFonts w:ascii="Times New Roman" w:hAnsi="Times New Roman"/>
          <w:b/>
          <w:sz w:val="24"/>
        </w:rPr>
      </w:pPr>
      <w:r w:rsidRPr="0007214C">
        <w:rPr>
          <w:rFonts w:ascii="Times New Roman" w:hAnsi="Times New Roman"/>
          <w:b/>
          <w:sz w:val="24"/>
        </w:rPr>
        <w:t>Issued by the Australian Competition &amp; Consumer Commission</w:t>
      </w:r>
      <w:r>
        <w:rPr>
          <w:rFonts w:ascii="Times New Roman" w:hAnsi="Times New Roman"/>
          <w:b/>
          <w:sz w:val="24"/>
        </w:rPr>
        <w:br/>
      </w:r>
    </w:p>
    <w:p w:rsidR="00833922" w:rsidRPr="00833922" w:rsidRDefault="001D139B" w:rsidP="001D139B">
      <w:pPr>
        <w:rPr>
          <w:rFonts w:ascii="Times New Roman" w:hAnsi="Times New Roman"/>
          <w:sz w:val="24"/>
        </w:rPr>
      </w:pPr>
      <w:r w:rsidRPr="001D139B">
        <w:rPr>
          <w:rFonts w:ascii="Times New Roman" w:hAnsi="Times New Roman"/>
          <w:b/>
          <w:sz w:val="24"/>
        </w:rPr>
        <w:t>Legislative Provisions</w:t>
      </w:r>
      <w:r>
        <w:rPr>
          <w:rFonts w:ascii="Times New Roman" w:hAnsi="Times New Roman"/>
          <w:b/>
          <w:sz w:val="24"/>
        </w:rPr>
        <w:br/>
      </w:r>
      <w:r>
        <w:rPr>
          <w:rFonts w:ascii="Times New Roman" w:hAnsi="Times New Roman"/>
          <w:b/>
          <w:sz w:val="24"/>
        </w:rPr>
        <w:br/>
      </w:r>
      <w:r w:rsidRPr="001D139B">
        <w:rPr>
          <w:rFonts w:ascii="Times New Roman" w:hAnsi="Times New Roman"/>
          <w:sz w:val="24"/>
        </w:rPr>
        <w:t xml:space="preserve">The </w:t>
      </w:r>
      <w:r w:rsidRPr="001D139B">
        <w:rPr>
          <w:rFonts w:ascii="Times New Roman" w:hAnsi="Times New Roman"/>
          <w:i/>
          <w:sz w:val="24"/>
        </w:rPr>
        <w:t>Telecommunications (Carrier Licence Charges) Act 1997</w:t>
      </w:r>
      <w:r w:rsidRPr="001D139B">
        <w:rPr>
          <w:rFonts w:ascii="Times New Roman" w:hAnsi="Times New Roman"/>
          <w:sz w:val="24"/>
        </w:rPr>
        <w:t xml:space="preserve"> (the Act) sets out the method of calculating annual charges that apply to the carrier licences held by telecommunications carriers.  </w:t>
      </w:r>
      <w:r w:rsidRPr="00833922">
        <w:rPr>
          <w:rFonts w:ascii="Times New Roman" w:hAnsi="Times New Roman"/>
          <w:sz w:val="24"/>
        </w:rPr>
        <w:t>Subsection 15(1) of the Act provides that the total of charges that are imposed on carrier licences in force at the beginning of a financial year must not exceed the sum of:</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ACMA's costs for the immediately preceding financial year that is attributable to the ACMA's telecommunications functions and powers;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ACCC, to be the proportion of the ACCC's costs for the immediately preceding financial year that is attributable to the ACCC's telecommunications functions and powers;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rsidR="00833922" w:rsidRPr="00833922" w:rsidRDefault="00833922" w:rsidP="00833922">
      <w:pPr>
        <w:tabs>
          <w:tab w:val="left" w:pos="1080"/>
        </w:tabs>
        <w:ind w:left="1080" w:hanging="643"/>
        <w:jc w:val="both"/>
        <w:rPr>
          <w:rFonts w:ascii="Times New Roman" w:hAnsi="Times New Roman"/>
          <w:sz w:val="24"/>
        </w:rPr>
      </w:pPr>
      <w:r w:rsidRPr="00833922">
        <w:rPr>
          <w:rFonts w:ascii="Times New Roman" w:hAnsi="Times New Roman"/>
          <w:sz w:val="24"/>
        </w:rPr>
        <w:t>(ca)</w:t>
      </w:r>
      <w:r w:rsidRPr="00833922">
        <w:rPr>
          <w:rFonts w:ascii="Times New Roman" w:hAnsi="Times New Roman"/>
          <w:sz w:val="24"/>
        </w:rPr>
        <w:tab/>
        <w:t xml:space="preserve">the amount determined, by a written instrument made by the ACMA, to be the sum of the amounts paid under section 136C of the </w:t>
      </w:r>
      <w:r w:rsidRPr="00833922">
        <w:rPr>
          <w:rFonts w:ascii="Times New Roman" w:hAnsi="Times New Roman"/>
          <w:i/>
          <w:sz w:val="24"/>
        </w:rPr>
        <w:t>Telecommunications Act 1997</w:t>
      </w:r>
      <w:r w:rsidRPr="00833922">
        <w:rPr>
          <w:rFonts w:ascii="Times New Roman" w:hAnsi="Times New Roman"/>
          <w:sz w:val="24"/>
        </w:rPr>
        <w:t xml:space="preserve"> during the immediately preceding financial year;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in a written instrument made by the Minister, to be the estimated total amount of grants likely to be made during the financial year under section 593 of the </w:t>
      </w:r>
      <w:r w:rsidRPr="00833922">
        <w:rPr>
          <w:rFonts w:ascii="Times New Roman" w:hAnsi="Times New Roman"/>
          <w:i/>
          <w:sz w:val="24"/>
        </w:rPr>
        <w:t>Telecommunications Act 1997</w:t>
      </w:r>
      <w:r w:rsidRPr="00833922">
        <w:rPr>
          <w:rFonts w:ascii="Times New Roman" w:hAnsi="Times New Roman"/>
          <w:sz w:val="24"/>
        </w:rPr>
        <w:t>.</w:t>
      </w:r>
    </w:p>
    <w:p w:rsidR="00E06D38" w:rsidRDefault="00833922" w:rsidP="00833922">
      <w:pPr>
        <w:spacing w:before="0" w:after="0"/>
        <w:rPr>
          <w:rFonts w:ascii="Times New Roman" w:hAnsi="Times New Roman"/>
          <w:sz w:val="24"/>
        </w:rPr>
      </w:pPr>
      <w:r>
        <w:rPr>
          <w:rFonts w:ascii="Times New Roman" w:hAnsi="Times New Roman"/>
          <w:sz w:val="24"/>
        </w:rPr>
        <w:br/>
      </w:r>
      <w:r w:rsidR="001D139B" w:rsidRPr="00833922">
        <w:rPr>
          <w:rFonts w:ascii="Times New Roman" w:hAnsi="Times New Roman"/>
          <w:sz w:val="24"/>
        </w:rPr>
        <w:t>Paragraph 15(4)(b) of the Act defines “costs” and provides that in relation to the ACCC, costs means an amount that, in accordance with accrual-based accounting principles, is treated as a cost of the ACCC.  This amount has been calculated in accordance with those principles.</w:t>
      </w:r>
      <w:r w:rsidR="001D139B" w:rsidRPr="00833922">
        <w:rPr>
          <w:rFonts w:ascii="Times New Roman" w:hAnsi="Times New Roman"/>
          <w:sz w:val="24"/>
        </w:rPr>
        <w:br/>
      </w:r>
      <w:r w:rsidR="001D139B">
        <w:rPr>
          <w:rFonts w:ascii="Times New Roman" w:hAnsi="Times New Roman"/>
          <w:sz w:val="24"/>
        </w:rPr>
        <w:br/>
      </w:r>
      <w:r w:rsidR="001D139B" w:rsidRPr="001D139B">
        <w:rPr>
          <w:rFonts w:ascii="Times New Roman" w:hAnsi="Times New Roman"/>
          <w:sz w:val="24"/>
        </w:rPr>
        <w:t xml:space="preserve">A Determination made under subsection 15(1) of the Act is a legislative instrument for the purposes of the </w:t>
      </w:r>
      <w:r w:rsidR="001D139B" w:rsidRPr="001D139B">
        <w:rPr>
          <w:rFonts w:ascii="Times New Roman" w:hAnsi="Times New Roman"/>
          <w:i/>
          <w:sz w:val="24"/>
        </w:rPr>
        <w:t>Legislative Instruments Act 2003</w:t>
      </w:r>
      <w:r w:rsidR="001D139B">
        <w:rPr>
          <w:rFonts w:ascii="Times New Roman" w:hAnsi="Times New Roman"/>
          <w:sz w:val="24"/>
        </w:rPr>
        <w:t>.</w:t>
      </w:r>
      <w:r w:rsidR="001D139B">
        <w:rPr>
          <w:rFonts w:ascii="Times New Roman" w:hAnsi="Times New Roman"/>
          <w:sz w:val="24"/>
        </w:rPr>
        <w:br/>
      </w:r>
      <w:r w:rsidR="001D139B">
        <w:rPr>
          <w:rFonts w:ascii="Times New Roman" w:hAnsi="Times New Roman"/>
          <w:sz w:val="24"/>
        </w:rPr>
        <w:br/>
      </w:r>
      <w:r w:rsidR="001D139B" w:rsidRPr="001D139B">
        <w:rPr>
          <w:rFonts w:ascii="Times New Roman" w:hAnsi="Times New Roman"/>
          <w:b/>
          <w:sz w:val="24"/>
        </w:rPr>
        <w:t>Purpose</w:t>
      </w:r>
      <w:r w:rsidR="001D139B">
        <w:rPr>
          <w:rFonts w:ascii="Times New Roman" w:hAnsi="Times New Roman"/>
          <w:b/>
          <w:sz w:val="24"/>
        </w:rPr>
        <w:br/>
      </w:r>
      <w:r w:rsidR="001D139B">
        <w:rPr>
          <w:rFonts w:ascii="Times New Roman" w:hAnsi="Times New Roman"/>
          <w:b/>
          <w:sz w:val="24"/>
        </w:rPr>
        <w:br/>
      </w:r>
      <w:r w:rsidR="001D139B" w:rsidRPr="001D139B">
        <w:rPr>
          <w:rFonts w:ascii="Times New Roman" w:hAnsi="Times New Roman"/>
          <w:sz w:val="24"/>
        </w:rPr>
        <w:t>The Determination has been made for the purposes of paragraph 15(1)(b) of the Act. The determi</w:t>
      </w:r>
      <w:r w:rsidR="00BE3FC3">
        <w:rPr>
          <w:rFonts w:ascii="Times New Roman" w:hAnsi="Times New Roman"/>
          <w:sz w:val="24"/>
        </w:rPr>
        <w:t>nation provides that $</w:t>
      </w:r>
      <w:r w:rsidR="004A748A">
        <w:rPr>
          <w:rFonts w:ascii="Times New Roman" w:hAnsi="Times New Roman"/>
          <w:sz w:val="24"/>
        </w:rPr>
        <w:t>15,106,662</w:t>
      </w:r>
      <w:r w:rsidR="001D139B" w:rsidRPr="001D139B">
        <w:rPr>
          <w:rFonts w:ascii="Times New Roman" w:hAnsi="Times New Roman"/>
          <w:sz w:val="24"/>
        </w:rPr>
        <w:t xml:space="preserve"> is the amount determined to be the proportion of ACCC’s cost for the 201</w:t>
      </w:r>
      <w:r w:rsidR="004A748A">
        <w:rPr>
          <w:rFonts w:ascii="Times New Roman" w:hAnsi="Times New Roman"/>
          <w:sz w:val="24"/>
        </w:rPr>
        <w:t>4-15</w:t>
      </w:r>
      <w:r w:rsidR="001D139B" w:rsidRPr="001D139B">
        <w:rPr>
          <w:rFonts w:ascii="Times New Roman" w:hAnsi="Times New Roman"/>
          <w:sz w:val="24"/>
        </w:rPr>
        <w:t xml:space="preserve"> financial year that is attributable to the ACCC’s telecommunications functions and powers.</w:t>
      </w:r>
      <w:r w:rsidR="001D139B">
        <w:rPr>
          <w:rFonts w:ascii="Times New Roman" w:hAnsi="Times New Roman"/>
          <w:sz w:val="24"/>
        </w:rPr>
        <w:br/>
      </w:r>
      <w:r w:rsidR="001D139B">
        <w:rPr>
          <w:rFonts w:ascii="Times New Roman" w:hAnsi="Times New Roman"/>
          <w:b/>
          <w:sz w:val="24"/>
        </w:rPr>
        <w:br/>
      </w:r>
      <w:r w:rsidR="001D139B" w:rsidRPr="001D139B">
        <w:rPr>
          <w:rFonts w:ascii="Times New Roman" w:hAnsi="Times New Roman"/>
          <w:b/>
          <w:sz w:val="24"/>
        </w:rPr>
        <w:t>Consultation</w:t>
      </w:r>
      <w:r w:rsidR="001D139B">
        <w:rPr>
          <w:rFonts w:ascii="Times New Roman" w:hAnsi="Times New Roman"/>
          <w:b/>
          <w:sz w:val="24"/>
        </w:rPr>
        <w:br/>
      </w:r>
      <w:r w:rsidR="001D139B">
        <w:rPr>
          <w:rFonts w:ascii="Times New Roman" w:hAnsi="Times New Roman"/>
          <w:b/>
          <w:sz w:val="24"/>
        </w:rPr>
        <w:br/>
      </w:r>
      <w:r w:rsidR="001D139B" w:rsidRPr="001D139B">
        <w:rPr>
          <w:rFonts w:ascii="Times New Roman" w:hAnsi="Times New Roman"/>
          <w:sz w:val="24"/>
        </w:rPr>
        <w:t>The ACCC did not consult in the calculation of the costs that are attributable to the ACCC’s telecommunications functions and powers under paragraph 15(1</w:t>
      </w:r>
      <w:proofErr w:type="gramStart"/>
      <w:r w:rsidR="001D139B" w:rsidRPr="001D139B">
        <w:rPr>
          <w:rFonts w:ascii="Times New Roman" w:hAnsi="Times New Roman"/>
          <w:sz w:val="24"/>
        </w:rPr>
        <w:t>)(</w:t>
      </w:r>
      <w:proofErr w:type="gramEnd"/>
      <w:r w:rsidR="001D139B" w:rsidRPr="001D139B">
        <w:rPr>
          <w:rFonts w:ascii="Times New Roman" w:hAnsi="Times New Roman"/>
          <w:sz w:val="24"/>
        </w:rPr>
        <w:t>b) of the Act.  Consultation was not undertaken as the calculation of costs is based on actual costs incurred directly by the ACCC in undertaking its regulatory role.  This methodology is the same as in prior years.</w:t>
      </w:r>
      <w:r>
        <w:rPr>
          <w:rFonts w:ascii="Times New Roman" w:hAnsi="Times New Roman"/>
          <w:sz w:val="24"/>
        </w:rPr>
        <w:br/>
      </w:r>
    </w:p>
    <w:p w:rsidR="00E06D38" w:rsidRDefault="00E06D38">
      <w:pPr>
        <w:spacing w:before="0" w:after="0"/>
        <w:rPr>
          <w:rFonts w:ascii="Times New Roman" w:hAnsi="Times New Roman"/>
          <w:sz w:val="24"/>
        </w:rPr>
      </w:pPr>
      <w:r>
        <w:rPr>
          <w:rFonts w:ascii="Times New Roman" w:hAnsi="Times New Roman"/>
          <w:sz w:val="24"/>
        </w:rPr>
        <w:br w:type="page"/>
      </w:r>
    </w:p>
    <w:p w:rsidR="00E06D38" w:rsidRPr="00596327" w:rsidRDefault="00E06D38" w:rsidP="00E06D38">
      <w:pPr>
        <w:pStyle w:val="Heading1"/>
        <w:ind w:left="1701" w:hanging="1701"/>
        <w:rPr>
          <w:rFonts w:ascii="Arial" w:hAnsi="Arial" w:cs="Arial"/>
          <w:sz w:val="24"/>
          <w:szCs w:val="24"/>
        </w:rPr>
      </w:pPr>
      <w:bookmarkStart w:id="0" w:name="_Toc290210739"/>
      <w:r w:rsidRPr="00596327">
        <w:rPr>
          <w:rFonts w:ascii="Arial" w:hAnsi="Arial" w:cs="Arial"/>
          <w:sz w:val="24"/>
          <w:szCs w:val="24"/>
        </w:rPr>
        <w:lastRenderedPageBreak/>
        <w:t xml:space="preserve">STATEMENT OF COMPATIBILITY FOR A BILL OR LEGISLATIVE INSTRUMENT THAT </w:t>
      </w:r>
      <w:r w:rsidRPr="00596327">
        <w:rPr>
          <w:rFonts w:ascii="Arial" w:hAnsi="Arial" w:cs="Arial"/>
          <w:sz w:val="24"/>
          <w:szCs w:val="24"/>
          <w:u w:val="single"/>
        </w:rPr>
        <w:t>DOES NOT</w:t>
      </w:r>
      <w:r w:rsidRPr="00596327">
        <w:rPr>
          <w:rFonts w:ascii="Arial" w:hAnsi="Arial" w:cs="Arial"/>
          <w:sz w:val="24"/>
          <w:szCs w:val="24"/>
        </w:rPr>
        <w:t xml:space="preserve"> RAISE ANY HUMAN RIGHTS ISSUES</w:t>
      </w:r>
    </w:p>
    <w:p w:rsidR="00E06D38" w:rsidRPr="00596327" w:rsidRDefault="00E06D38" w:rsidP="00E06D38">
      <w:pPr>
        <w:ind w:left="720" w:hanging="720"/>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5D54C47A" wp14:editId="18025783">
                <wp:simplePos x="0" y="0"/>
                <wp:positionH relativeFrom="column">
                  <wp:posOffset>10795</wp:posOffset>
                </wp:positionH>
                <wp:positionV relativeFrom="paragraph">
                  <wp:posOffset>179070</wp:posOffset>
                </wp:positionV>
                <wp:extent cx="6118860" cy="6865620"/>
                <wp:effectExtent l="46990" t="43815" r="44450" b="438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rsidR="00E06D38" w:rsidRPr="00E4135E" w:rsidRDefault="00E06D38" w:rsidP="00E06D38">
                            <w:pPr>
                              <w:spacing w:before="360"/>
                              <w:jc w:val="center"/>
                              <w:rPr>
                                <w:b/>
                                <w:sz w:val="28"/>
                                <w:szCs w:val="28"/>
                              </w:rPr>
                            </w:pPr>
                            <w:r w:rsidRPr="00E4135E">
                              <w:rPr>
                                <w:b/>
                                <w:sz w:val="28"/>
                                <w:szCs w:val="28"/>
                              </w:rPr>
                              <w:t>Statement of Compatibility with Human Rights</w:t>
                            </w:r>
                          </w:p>
                          <w:p w:rsidR="00E06D38" w:rsidRPr="00E4135E" w:rsidRDefault="00E06D38" w:rsidP="00E06D38">
                            <w:pPr>
                              <w:jc w:val="center"/>
                            </w:pPr>
                            <w:r w:rsidRPr="00E4135E">
                              <w:rPr>
                                <w:i/>
                              </w:rPr>
                              <w:t>Prepared in accordance with Part 3 of the Human Rights (Parliamentary Scrutiny) Act 2011</w:t>
                            </w:r>
                          </w:p>
                          <w:p w:rsidR="00E06D38" w:rsidRPr="00E4135E" w:rsidRDefault="00E06D38" w:rsidP="00E06D38">
                            <w:pPr>
                              <w:jc w:val="center"/>
                            </w:pPr>
                          </w:p>
                          <w:p w:rsidR="00E06D38" w:rsidRPr="00CE7868" w:rsidRDefault="00E06D38" w:rsidP="00E06D38">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SECTION</w:t>
                            </w:r>
                            <w:r w:rsidRPr="00CE7868">
                              <w:rPr>
                                <w:rFonts w:ascii="Times New Roman" w:hAnsi="Times New Roman"/>
                                <w:sz w:val="24"/>
                                <w:szCs w:val="24"/>
                              </w:rPr>
                              <w:t xml:space="preserve"> 15(1</w:t>
                            </w:r>
                            <w:proofErr w:type="gramStart"/>
                            <w:r w:rsidRPr="00CE7868">
                              <w:rPr>
                                <w:rFonts w:ascii="Times New Roman" w:hAnsi="Times New Roman"/>
                                <w:sz w:val="24"/>
                                <w:szCs w:val="24"/>
                              </w:rPr>
                              <w:t>)(</w:t>
                            </w:r>
                            <w:proofErr w:type="gramEnd"/>
                            <w:r w:rsidRPr="00CE7868">
                              <w:rPr>
                                <w:rFonts w:ascii="Times New Roman" w:hAnsi="Times New Roman"/>
                                <w:sz w:val="24"/>
                                <w:szCs w:val="24"/>
                              </w:rPr>
                              <w:t>b) No. 1 of 201</w:t>
                            </w:r>
                            <w:r>
                              <w:rPr>
                                <w:rFonts w:ascii="Times New Roman" w:hAnsi="Times New Roman"/>
                                <w:sz w:val="24"/>
                                <w:szCs w:val="24"/>
                              </w:rPr>
                              <w:t xml:space="preserve">6 </w:t>
                            </w:r>
                            <w:r w:rsidRPr="006B3CF4">
                              <w:rPr>
                                <w:rFonts w:ascii="Times New Roman" w:hAnsi="Times New Roman"/>
                                <w:sz w:val="24"/>
                                <w:szCs w:val="24"/>
                              </w:rPr>
                              <w:t xml:space="preserve">– </w:t>
                            </w:r>
                            <w:r w:rsidR="00001902">
                              <w:rPr>
                                <w:rFonts w:ascii="Times New Roman" w:hAnsi="Times New Roman"/>
                                <w:sz w:val="24"/>
                                <w:szCs w:val="24"/>
                              </w:rPr>
                              <w:t>29</w:t>
                            </w:r>
                            <w:r w:rsidRPr="006B3CF4">
                              <w:rPr>
                                <w:rFonts w:ascii="Times New Roman" w:hAnsi="Times New Roman"/>
                                <w:sz w:val="24"/>
                                <w:szCs w:val="24"/>
                              </w:rPr>
                              <w:t xml:space="preserve"> FEBRUARY 201</w:t>
                            </w:r>
                            <w:r w:rsidR="002166E3">
                              <w:rPr>
                                <w:rFonts w:ascii="Times New Roman" w:hAnsi="Times New Roman"/>
                                <w:sz w:val="24"/>
                                <w:szCs w:val="24"/>
                              </w:rPr>
                              <w:t>6</w:t>
                            </w:r>
                          </w:p>
                          <w:p w:rsidR="00E06D38" w:rsidRPr="00E4135E" w:rsidRDefault="00E06D38" w:rsidP="00E06D38">
                            <w:pPr>
                              <w:jc w:val="center"/>
                              <w:rPr>
                                <w:b/>
                              </w:rPr>
                            </w:pPr>
                            <w:r w:rsidRPr="00E4135E">
                              <w:rPr>
                                <w:b/>
                              </w:rPr>
                              <w:t xml:space="preserve"> </w:t>
                            </w:r>
                          </w:p>
                          <w:p w:rsidR="00E06D38" w:rsidRPr="00E4135E" w:rsidRDefault="00E06D38" w:rsidP="00E06D38">
                            <w:pPr>
                              <w:jc w:val="center"/>
                            </w:pPr>
                          </w:p>
                          <w:p w:rsidR="00E06D38" w:rsidRPr="00E4135E" w:rsidRDefault="00E06D38" w:rsidP="00E06D38">
                            <w:pPr>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bookmarkStart w:id="1" w:name="_GoBack"/>
                            <w:bookmarkEnd w:id="1"/>
                          </w:p>
                          <w:p w:rsidR="00E06D38" w:rsidRPr="00E4135E" w:rsidRDefault="00E06D38" w:rsidP="00E06D38">
                            <w:pPr>
                              <w:jc w:val="center"/>
                            </w:pPr>
                          </w:p>
                          <w:p w:rsidR="00E06D38" w:rsidRPr="00E4135E" w:rsidRDefault="00E06D38" w:rsidP="00E06D38">
                            <w:pPr>
                              <w:jc w:val="center"/>
                            </w:pPr>
                          </w:p>
                          <w:p w:rsidR="00E06D38" w:rsidRPr="00E4135E" w:rsidRDefault="00E06D38" w:rsidP="00E06D38">
                            <w:pPr>
                              <w:jc w:val="both"/>
                              <w:rPr>
                                <w:b/>
                              </w:rPr>
                            </w:pPr>
                            <w:r w:rsidRPr="00E4135E">
                              <w:rPr>
                                <w:b/>
                              </w:rPr>
                              <w:t>Overview of the Legislative Instrument</w:t>
                            </w:r>
                          </w:p>
                          <w:p w:rsidR="00E06D38" w:rsidRPr="00E4135E" w:rsidRDefault="00E06D38" w:rsidP="00E06D38">
                            <w:r>
                              <w:t xml:space="preserve">This Determination sets out the Australian Competition &amp; Consumer Commission’s relevant costs used in the calculation </w:t>
                            </w:r>
                            <w:proofErr w:type="gramStart"/>
                            <w:r>
                              <w:t xml:space="preserve">of the </w:t>
                            </w:r>
                            <w:r w:rsidRPr="00703FBC">
                              <w:t>201</w:t>
                            </w:r>
                            <w:r>
                              <w:t>4-15 Australian Carrier Licence Charge</w:t>
                            </w:r>
                            <w:proofErr w:type="gramEnd"/>
                            <w:r>
                              <w:t>.</w:t>
                            </w:r>
                          </w:p>
                          <w:p w:rsidR="00E06D38" w:rsidRPr="00E4135E" w:rsidRDefault="00E06D38" w:rsidP="00E06D38"/>
                          <w:p w:rsidR="00E06D38" w:rsidRPr="00E4135E" w:rsidRDefault="00E06D38" w:rsidP="00E06D38">
                            <w:pPr>
                              <w:rPr>
                                <w:b/>
                              </w:rPr>
                            </w:pPr>
                            <w:r w:rsidRPr="00E4135E">
                              <w:rPr>
                                <w:b/>
                              </w:rPr>
                              <w:t>Human rights implications</w:t>
                            </w:r>
                          </w:p>
                          <w:p w:rsidR="00E06D38" w:rsidRPr="00E4135E" w:rsidRDefault="00E06D38" w:rsidP="00E06D38">
                            <w:r>
                              <w:t xml:space="preserve">This </w:t>
                            </w:r>
                            <w:r w:rsidRPr="00E4135E">
                              <w:t>Legislative Instrument does not engage any of the applicable rights or freedoms.</w:t>
                            </w:r>
                          </w:p>
                          <w:p w:rsidR="00E06D38" w:rsidRPr="00E4135E" w:rsidRDefault="00E06D38" w:rsidP="00E06D38"/>
                          <w:p w:rsidR="00E06D38" w:rsidRPr="00E4135E" w:rsidRDefault="00E06D38" w:rsidP="00E06D38">
                            <w:pPr>
                              <w:rPr>
                                <w:b/>
                              </w:rPr>
                            </w:pPr>
                            <w:r w:rsidRPr="00E4135E">
                              <w:rPr>
                                <w:b/>
                              </w:rPr>
                              <w:t>Conclusion</w:t>
                            </w:r>
                          </w:p>
                          <w:p w:rsidR="00E06D38" w:rsidRPr="00E4135E" w:rsidRDefault="00E06D38" w:rsidP="00E06D38">
                            <w:r>
                              <w:t xml:space="preserve">This </w:t>
                            </w:r>
                            <w:r w:rsidRPr="00E4135E">
                              <w:t>Legislative Instrument is compatible with human rights as it does not raise any human rights issues.</w:t>
                            </w:r>
                          </w:p>
                          <w:p w:rsidR="00E06D38" w:rsidRPr="00E4135E" w:rsidRDefault="00E06D38" w:rsidP="00E06D38">
                            <w:pPr>
                              <w:jc w:val="center"/>
                            </w:pPr>
                          </w:p>
                          <w:p w:rsidR="00E06D38" w:rsidRPr="004B3E2D" w:rsidRDefault="00E06D38" w:rsidP="00E06D38">
                            <w:pPr>
                              <w:jc w:val="center"/>
                              <w:rPr>
                                <w:i/>
                              </w:rPr>
                            </w:pPr>
                            <w:r>
                              <w:rPr>
                                <w:i/>
                              </w:rPr>
                              <w:t>Rodney Graham Sims, Chairman, Australian Competition and Consumer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85pt;margin-top:14.1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" strokeweight="6pt">
                <v:stroke linestyle="thickBetweenThin"/>
                <v:textbox inset="5mm,,5mm">
                  <w:txbxContent>
                    <w:p w:rsidR="00E06D38" w:rsidRPr="00E4135E" w:rsidRDefault="00E06D38" w:rsidP="00E06D38">
                      <w:pPr>
                        <w:spacing w:before="360"/>
                        <w:jc w:val="center"/>
                        <w:rPr>
                          <w:b/>
                          <w:sz w:val="28"/>
                          <w:szCs w:val="28"/>
                        </w:rPr>
                      </w:pPr>
                      <w:r w:rsidRPr="00E4135E">
                        <w:rPr>
                          <w:b/>
                          <w:sz w:val="28"/>
                          <w:szCs w:val="28"/>
                        </w:rPr>
                        <w:t>Statement of Compatibility with Human Rights</w:t>
                      </w:r>
                    </w:p>
                    <w:p w:rsidR="00E06D38" w:rsidRPr="00E4135E" w:rsidRDefault="00E06D38" w:rsidP="00E06D38">
                      <w:pPr>
                        <w:jc w:val="center"/>
                      </w:pPr>
                      <w:r w:rsidRPr="00E4135E">
                        <w:rPr>
                          <w:i/>
                        </w:rPr>
                        <w:t>Prepared in accordance with Part 3 of the Human Rights (Parliamentary Scrutiny) Act 2011</w:t>
                      </w:r>
                    </w:p>
                    <w:p w:rsidR="00E06D38" w:rsidRPr="00E4135E" w:rsidRDefault="00E06D38" w:rsidP="00E06D38">
                      <w:pPr>
                        <w:jc w:val="center"/>
                      </w:pPr>
                    </w:p>
                    <w:p w:rsidR="00E06D38" w:rsidRPr="00CE7868" w:rsidRDefault="00E06D38" w:rsidP="00E06D38">
                      <w:pPr>
                        <w:pStyle w:val="Heading6"/>
                        <w:jc w:val="center"/>
                        <w:rPr>
                          <w:rFonts w:ascii="Times New Roman" w:hAnsi="Times New Roman"/>
                          <w:sz w:val="24"/>
                          <w:szCs w:val="24"/>
                        </w:rPr>
                      </w:pPr>
                      <w:r w:rsidRPr="00CE7868">
                        <w:rPr>
                          <w:rFonts w:ascii="Times New Roman" w:hAnsi="Times New Roman"/>
                          <w:sz w:val="24"/>
                          <w:szCs w:val="24"/>
                        </w:rPr>
                        <w:t>DETERMINATION UNDER</w:t>
                      </w:r>
                      <w:r>
                        <w:rPr>
                          <w:rFonts w:ascii="Times New Roman" w:hAnsi="Times New Roman"/>
                          <w:sz w:val="24"/>
                          <w:szCs w:val="24"/>
                        </w:rPr>
                        <w:t xml:space="preserve"> SECTION</w:t>
                      </w:r>
                      <w:r w:rsidRPr="00CE7868">
                        <w:rPr>
                          <w:rFonts w:ascii="Times New Roman" w:hAnsi="Times New Roman"/>
                          <w:sz w:val="24"/>
                          <w:szCs w:val="24"/>
                        </w:rPr>
                        <w:t xml:space="preserve"> 15(1</w:t>
                      </w:r>
                      <w:proofErr w:type="gramStart"/>
                      <w:r w:rsidRPr="00CE7868">
                        <w:rPr>
                          <w:rFonts w:ascii="Times New Roman" w:hAnsi="Times New Roman"/>
                          <w:sz w:val="24"/>
                          <w:szCs w:val="24"/>
                        </w:rPr>
                        <w:t>)(</w:t>
                      </w:r>
                      <w:proofErr w:type="gramEnd"/>
                      <w:r w:rsidRPr="00CE7868">
                        <w:rPr>
                          <w:rFonts w:ascii="Times New Roman" w:hAnsi="Times New Roman"/>
                          <w:sz w:val="24"/>
                          <w:szCs w:val="24"/>
                        </w:rPr>
                        <w:t>b) No. 1 of 201</w:t>
                      </w:r>
                      <w:r>
                        <w:rPr>
                          <w:rFonts w:ascii="Times New Roman" w:hAnsi="Times New Roman"/>
                          <w:sz w:val="24"/>
                          <w:szCs w:val="24"/>
                        </w:rPr>
                        <w:t xml:space="preserve">6 </w:t>
                      </w:r>
                      <w:r w:rsidRPr="006B3CF4">
                        <w:rPr>
                          <w:rFonts w:ascii="Times New Roman" w:hAnsi="Times New Roman"/>
                          <w:sz w:val="24"/>
                          <w:szCs w:val="24"/>
                        </w:rPr>
                        <w:t xml:space="preserve">– </w:t>
                      </w:r>
                      <w:r w:rsidR="00001902">
                        <w:rPr>
                          <w:rFonts w:ascii="Times New Roman" w:hAnsi="Times New Roman"/>
                          <w:sz w:val="24"/>
                          <w:szCs w:val="24"/>
                        </w:rPr>
                        <w:t>29</w:t>
                      </w:r>
                      <w:r w:rsidRPr="006B3CF4">
                        <w:rPr>
                          <w:rFonts w:ascii="Times New Roman" w:hAnsi="Times New Roman"/>
                          <w:sz w:val="24"/>
                          <w:szCs w:val="24"/>
                        </w:rPr>
                        <w:t xml:space="preserve"> FEBRUARY 201</w:t>
                      </w:r>
                      <w:r w:rsidR="002166E3">
                        <w:rPr>
                          <w:rFonts w:ascii="Times New Roman" w:hAnsi="Times New Roman"/>
                          <w:sz w:val="24"/>
                          <w:szCs w:val="24"/>
                        </w:rPr>
                        <w:t>6</w:t>
                      </w:r>
                    </w:p>
                    <w:p w:rsidR="00E06D38" w:rsidRPr="00E4135E" w:rsidRDefault="00E06D38" w:rsidP="00E06D38">
                      <w:pPr>
                        <w:jc w:val="center"/>
                        <w:rPr>
                          <w:b/>
                        </w:rPr>
                      </w:pPr>
                      <w:r w:rsidRPr="00E4135E">
                        <w:rPr>
                          <w:b/>
                        </w:rPr>
                        <w:t xml:space="preserve"> </w:t>
                      </w:r>
                    </w:p>
                    <w:p w:rsidR="00E06D38" w:rsidRPr="00E4135E" w:rsidRDefault="00E06D38" w:rsidP="00E06D38">
                      <w:pPr>
                        <w:jc w:val="center"/>
                      </w:pPr>
                    </w:p>
                    <w:p w:rsidR="00E06D38" w:rsidRPr="00E4135E" w:rsidRDefault="00E06D38" w:rsidP="00E06D38">
                      <w:pPr>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bookmarkStart w:id="2" w:name="_GoBack"/>
                      <w:bookmarkEnd w:id="2"/>
                    </w:p>
                    <w:p w:rsidR="00E06D38" w:rsidRPr="00E4135E" w:rsidRDefault="00E06D38" w:rsidP="00E06D38">
                      <w:pPr>
                        <w:jc w:val="center"/>
                      </w:pPr>
                    </w:p>
                    <w:p w:rsidR="00E06D38" w:rsidRPr="00E4135E" w:rsidRDefault="00E06D38" w:rsidP="00E06D38">
                      <w:pPr>
                        <w:jc w:val="center"/>
                      </w:pPr>
                    </w:p>
                    <w:p w:rsidR="00E06D38" w:rsidRPr="00E4135E" w:rsidRDefault="00E06D38" w:rsidP="00E06D38">
                      <w:pPr>
                        <w:jc w:val="both"/>
                        <w:rPr>
                          <w:b/>
                        </w:rPr>
                      </w:pPr>
                      <w:r w:rsidRPr="00E4135E">
                        <w:rPr>
                          <w:b/>
                        </w:rPr>
                        <w:t>Overview of the Legislative Instrument</w:t>
                      </w:r>
                    </w:p>
                    <w:p w:rsidR="00E06D38" w:rsidRPr="00E4135E" w:rsidRDefault="00E06D38" w:rsidP="00E06D38">
                      <w:r>
                        <w:t xml:space="preserve">This Determination sets out the Australian Competition &amp; Consumer Commission’s relevant costs used in the calculation </w:t>
                      </w:r>
                      <w:proofErr w:type="gramStart"/>
                      <w:r>
                        <w:t xml:space="preserve">of the </w:t>
                      </w:r>
                      <w:r w:rsidRPr="00703FBC">
                        <w:t>201</w:t>
                      </w:r>
                      <w:r>
                        <w:t>4-15 Australian Carrier Licence Charge</w:t>
                      </w:r>
                      <w:proofErr w:type="gramEnd"/>
                      <w:r>
                        <w:t>.</w:t>
                      </w:r>
                    </w:p>
                    <w:p w:rsidR="00E06D38" w:rsidRPr="00E4135E" w:rsidRDefault="00E06D38" w:rsidP="00E06D38"/>
                    <w:p w:rsidR="00E06D38" w:rsidRPr="00E4135E" w:rsidRDefault="00E06D38" w:rsidP="00E06D38">
                      <w:pPr>
                        <w:rPr>
                          <w:b/>
                        </w:rPr>
                      </w:pPr>
                      <w:r w:rsidRPr="00E4135E">
                        <w:rPr>
                          <w:b/>
                        </w:rPr>
                        <w:t>Human rights implications</w:t>
                      </w:r>
                    </w:p>
                    <w:p w:rsidR="00E06D38" w:rsidRPr="00E4135E" w:rsidRDefault="00E06D38" w:rsidP="00E06D38">
                      <w:r>
                        <w:t xml:space="preserve">This </w:t>
                      </w:r>
                      <w:r w:rsidRPr="00E4135E">
                        <w:t>Legislative Instrument does not engage any of the applicable rights or freedoms.</w:t>
                      </w:r>
                    </w:p>
                    <w:p w:rsidR="00E06D38" w:rsidRPr="00E4135E" w:rsidRDefault="00E06D38" w:rsidP="00E06D38"/>
                    <w:p w:rsidR="00E06D38" w:rsidRPr="00E4135E" w:rsidRDefault="00E06D38" w:rsidP="00E06D38">
                      <w:pPr>
                        <w:rPr>
                          <w:b/>
                        </w:rPr>
                      </w:pPr>
                      <w:r w:rsidRPr="00E4135E">
                        <w:rPr>
                          <w:b/>
                        </w:rPr>
                        <w:t>Conclusion</w:t>
                      </w:r>
                    </w:p>
                    <w:p w:rsidR="00E06D38" w:rsidRPr="00E4135E" w:rsidRDefault="00E06D38" w:rsidP="00E06D38">
                      <w:r>
                        <w:t xml:space="preserve">This </w:t>
                      </w:r>
                      <w:r w:rsidRPr="00E4135E">
                        <w:t>Legislative Instrument is compatible with human rights as it does not raise any human rights issues.</w:t>
                      </w:r>
                    </w:p>
                    <w:p w:rsidR="00E06D38" w:rsidRPr="00E4135E" w:rsidRDefault="00E06D38" w:rsidP="00E06D38">
                      <w:pPr>
                        <w:jc w:val="center"/>
                      </w:pPr>
                    </w:p>
                    <w:p w:rsidR="00E06D38" w:rsidRPr="004B3E2D" w:rsidRDefault="00E06D38" w:rsidP="00E06D38">
                      <w:pPr>
                        <w:jc w:val="center"/>
                        <w:rPr>
                          <w:i/>
                        </w:rPr>
                      </w:pPr>
                      <w:r>
                        <w:rPr>
                          <w:i/>
                        </w:rPr>
                        <w:t>Rodney Graham Sims, Chairman, Australian Competition and Consumer Commission</w:t>
                      </w:r>
                    </w:p>
                  </w:txbxContent>
                </v:textbox>
              </v:rect>
            </w:pict>
          </mc:Fallback>
        </mc:AlternateContent>
      </w: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p w:rsidR="00E06D38" w:rsidRPr="00596327" w:rsidRDefault="00E06D38" w:rsidP="00E06D38">
      <w:pPr>
        <w:ind w:left="720" w:hanging="720"/>
        <w:rPr>
          <w:rFonts w:cs="Arial"/>
        </w:rPr>
      </w:pPr>
    </w:p>
    <w:bookmarkEnd w:id="0"/>
    <w:p w:rsidR="00E06D38" w:rsidRPr="00596327" w:rsidRDefault="00E06D38" w:rsidP="00E06D38">
      <w:pPr>
        <w:pStyle w:val="Header"/>
        <w:pBdr>
          <w:top w:val="single" w:sz="4" w:space="1" w:color="auto"/>
          <w:left w:val="single" w:sz="4" w:space="0" w:color="auto"/>
          <w:bottom w:val="single" w:sz="4" w:space="1" w:color="auto"/>
          <w:right w:val="single" w:sz="4" w:space="4" w:color="auto"/>
        </w:pBdr>
        <w:jc w:val="both"/>
        <w:rPr>
          <w:rFonts w:cs="Arial"/>
          <w:sz w:val="24"/>
        </w:rPr>
      </w:pPr>
      <w:r w:rsidRPr="00596327">
        <w:rPr>
          <w:rFonts w:cs="Arial"/>
          <w:sz w:val="24"/>
        </w:rPr>
        <w:t xml:space="preserve">This material is provided to persons who have a role in Commonwealth legislation, policy and programs as general guidance only and is not to be relied upon as legal advice.  Commonwealth agencies subject to the </w:t>
      </w:r>
      <w:r w:rsidRPr="00596327">
        <w:rPr>
          <w:rFonts w:cs="Arial"/>
          <w:i/>
          <w:iCs/>
          <w:sz w:val="24"/>
        </w:rPr>
        <w:t>Legal Services Directions 2005</w:t>
      </w:r>
      <w:r w:rsidRPr="00596327">
        <w:rPr>
          <w:rFonts w:cs="Arial"/>
          <w:iCs/>
          <w:sz w:val="24"/>
        </w:rPr>
        <w:t> </w:t>
      </w:r>
      <w:r w:rsidRPr="00596327">
        <w:rPr>
          <w:rFonts w:cs="Arial"/>
          <w:sz w:val="24"/>
        </w:rPr>
        <w:t xml:space="preserve">requiring legal advice in relation to matters raised in connection with this template must seek that advice in accordance with the </w:t>
      </w:r>
      <w:r w:rsidRPr="00596327">
        <w:rPr>
          <w:rFonts w:cs="Arial"/>
          <w:i/>
          <w:iCs/>
          <w:sz w:val="24"/>
        </w:rPr>
        <w:t>Directions</w:t>
      </w:r>
      <w:r w:rsidRPr="00596327">
        <w:rPr>
          <w:rFonts w:cs="Arial"/>
          <w:sz w:val="24"/>
        </w:rPr>
        <w:t>.</w:t>
      </w:r>
    </w:p>
    <w:p w:rsidR="001D139B" w:rsidRPr="001D139B" w:rsidRDefault="00833922" w:rsidP="00833922">
      <w:pPr>
        <w:spacing w:before="0" w:after="0"/>
        <w:rPr>
          <w:rFonts w:ascii="Times New Roman" w:hAnsi="Times New Roman"/>
          <w:sz w:val="24"/>
        </w:rPr>
      </w:pPr>
      <w:r>
        <w:rPr>
          <w:rFonts w:ascii="Times New Roman" w:hAnsi="Times New Roman"/>
          <w:sz w:val="24"/>
        </w:rPr>
        <w:br/>
      </w:r>
    </w:p>
    <w:sectPr w:rsidR="001D139B" w:rsidRPr="001D139B" w:rsidSect="001D139B">
      <w:headerReference w:type="default" r:id="rId9"/>
      <w:footerReference w:type="default" r:id="rId10"/>
      <w:pgSz w:w="11907" w:h="16839" w:code="9"/>
      <w:pgMar w:top="851" w:right="1077" w:bottom="340" w:left="107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F9" w:rsidRDefault="003F31F9" w:rsidP="002C08F7">
      <w:r>
        <w:separator/>
      </w:r>
    </w:p>
    <w:p w:rsidR="003F31F9" w:rsidRDefault="003F31F9" w:rsidP="002C08F7"/>
  </w:endnote>
  <w:endnote w:type="continuationSeparator" w:id="0">
    <w:p w:rsidR="003F31F9" w:rsidRDefault="003F31F9" w:rsidP="002C08F7">
      <w:r>
        <w:continuationSeparator/>
      </w:r>
    </w:p>
    <w:p w:rsidR="003F31F9" w:rsidRDefault="003F31F9" w:rsidP="002C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F9" w:rsidRPr="001D139B" w:rsidRDefault="003F31F9" w:rsidP="001D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F9" w:rsidRDefault="003F31F9" w:rsidP="002C08F7">
      <w:r>
        <w:separator/>
      </w:r>
    </w:p>
    <w:p w:rsidR="003F31F9" w:rsidRDefault="003F31F9" w:rsidP="002C08F7"/>
  </w:footnote>
  <w:footnote w:type="continuationSeparator" w:id="0">
    <w:p w:rsidR="003F31F9" w:rsidRDefault="003F31F9" w:rsidP="002C08F7">
      <w:r>
        <w:continuationSeparator/>
      </w:r>
    </w:p>
    <w:p w:rsidR="003F31F9" w:rsidRDefault="003F31F9" w:rsidP="002C08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F9" w:rsidRPr="00833922" w:rsidRDefault="003F31F9" w:rsidP="00833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8006C654"/>
    <w:lvl w:ilvl="0">
      <w:start w:val="1"/>
      <w:numFmt w:val="decimal"/>
      <w:lvlText w:val="%1."/>
      <w:lvlJc w:val="left"/>
      <w:pPr>
        <w:tabs>
          <w:tab w:val="num" w:pos="360"/>
        </w:tabs>
        <w:ind w:left="360" w:hanging="360"/>
      </w:pPr>
    </w:lvl>
    <w:lvl w:ilvl="1">
      <w:start w:val="1"/>
      <w:numFmt w:val="decimal"/>
      <w:isLgl/>
      <w:lvlText w:val="%1.%2"/>
      <w:lvlJc w:val="left"/>
      <w:pPr>
        <w:ind w:left="1997" w:hanging="720"/>
      </w:pPr>
      <w:rPr>
        <w:rFonts w:hint="default"/>
        <w:b w:val="0"/>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
    <w:nsid w:val="FFFFFF89"/>
    <w:multiLevelType w:val="singleLevel"/>
    <w:tmpl w:val="201E6050"/>
    <w:lvl w:ilvl="0">
      <w:start w:val="1"/>
      <w:numFmt w:val="bullet"/>
      <w:lvlText w:val=""/>
      <w:lvlJc w:val="left"/>
      <w:pPr>
        <w:tabs>
          <w:tab w:val="num" w:pos="360"/>
        </w:tabs>
        <w:ind w:left="360" w:hanging="360"/>
      </w:pPr>
      <w:rPr>
        <w:rFonts w:ascii="Symbol" w:hAnsi="Symbol" w:hint="default"/>
      </w:rPr>
    </w:lvl>
  </w:abstractNum>
  <w:abstractNum w:abstractNumId="2">
    <w:nsid w:val="063D703A"/>
    <w:multiLevelType w:val="hybridMultilevel"/>
    <w:tmpl w:val="B58A01DC"/>
    <w:lvl w:ilvl="0" w:tplc="B87C24C6">
      <w:start w:val="1"/>
      <w:numFmt w:val="decimal"/>
      <w:pStyle w:val="NormalNumbered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ED6A09"/>
    <w:multiLevelType w:val="hybridMultilevel"/>
    <w:tmpl w:val="EBF80DEA"/>
    <w:lvl w:ilvl="0" w:tplc="2B0E1F8E">
      <w:start w:val="1"/>
      <w:numFmt w:val="decimal"/>
      <w:pStyle w:val="NormalNumbered3"/>
      <w:lvlText w:val="3.%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C647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1038C8"/>
    <w:multiLevelType w:val="hybridMultilevel"/>
    <w:tmpl w:val="4DF4F448"/>
    <w:lvl w:ilvl="0" w:tplc="FB80F9C2">
      <w:start w:val="1"/>
      <w:numFmt w:val="decimal"/>
      <w:pStyle w:val="NormalNumbered2"/>
      <w:lvlText w:val="2.%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13F5B72"/>
    <w:multiLevelType w:val="multilevel"/>
    <w:tmpl w:val="02DABE02"/>
    <w:lvl w:ilvl="0">
      <w:start w:val="1"/>
      <w:numFmt w:val="decimal"/>
      <w:pStyle w:val="Heading3Number"/>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9">
    <w:nsid w:val="203141BE"/>
    <w:multiLevelType w:val="hybridMultilevel"/>
    <w:tmpl w:val="795E7A98"/>
    <w:lvl w:ilvl="0" w:tplc="88FCAF20">
      <w:start w:val="1"/>
      <w:numFmt w:val="decimal"/>
      <w:pStyle w:val="NormalNumbe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7337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9D53E4"/>
    <w:multiLevelType w:val="hybridMultilevel"/>
    <w:tmpl w:val="4C76D9C2"/>
    <w:lvl w:ilvl="0" w:tplc="6B5622AE">
      <w:start w:val="1"/>
      <w:numFmt w:val="decimal"/>
      <w:pStyle w:val="NormalNumbered6"/>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55D6ECB"/>
    <w:multiLevelType w:val="multilevel"/>
    <w:tmpl w:val="85628FC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3">
    <w:nsid w:val="38D206AE"/>
    <w:multiLevelType w:val="hybridMultilevel"/>
    <w:tmpl w:val="76AC165E"/>
    <w:lvl w:ilvl="0" w:tplc="6FEC261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DF5351"/>
    <w:multiLevelType w:val="hybridMultilevel"/>
    <w:tmpl w:val="08DE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DF282D"/>
    <w:multiLevelType w:val="hybridMultilevel"/>
    <w:tmpl w:val="A8D6C870"/>
    <w:lvl w:ilvl="0" w:tplc="08BC7FC6">
      <w:start w:val="1"/>
      <w:numFmt w:val="decimal"/>
      <w:pStyle w:val="NormalNumbered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1432C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1E70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4D4B1C"/>
    <w:multiLevelType w:val="hybridMultilevel"/>
    <w:tmpl w:val="5638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9F0909"/>
    <w:multiLevelType w:val="multilevel"/>
    <w:tmpl w:val="7F00C51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bullet"/>
      <w:lvlText w:val=""/>
      <w:lvlJc w:val="left"/>
      <w:pPr>
        <w:tabs>
          <w:tab w:val="num" w:pos="1209"/>
        </w:tabs>
        <w:ind w:left="1209" w:hanging="360"/>
      </w:pPr>
      <w:rPr>
        <w:rFonts w:ascii="Symbol" w:hAnsi="Symbol" w:hint="default"/>
        <w:color w:val="auto"/>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20">
    <w:nsid w:val="7E2053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2"/>
  </w:num>
  <w:num w:numId="4">
    <w:abstractNumId w:val="19"/>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8"/>
  </w:num>
  <w:num w:numId="19">
    <w:abstractNumId w:val="7"/>
  </w:num>
  <w:num w:numId="20">
    <w:abstractNumId w:val="4"/>
  </w:num>
  <w:num w:numId="21">
    <w:abstractNumId w:val="13"/>
  </w:num>
  <w:num w:numId="22">
    <w:abstractNumId w:val="2"/>
  </w:num>
  <w:num w:numId="23">
    <w:abstractNumId w:val="17"/>
  </w:num>
  <w:num w:numId="24">
    <w:abstractNumId w:val="16"/>
  </w:num>
  <w:num w:numId="25">
    <w:abstractNumId w:val="20"/>
  </w:num>
  <w:num w:numId="26">
    <w:abstractNumId w:val="10"/>
  </w:num>
  <w:num w:numId="27">
    <w:abstractNumId w:val="6"/>
  </w:num>
  <w:num w:numId="28">
    <w:abstractNumId w:val="9"/>
  </w:num>
  <w:num w:numId="29">
    <w:abstractNumId w:val="5"/>
  </w:num>
  <w:num w:numId="30">
    <w:abstractNumId w:val="3"/>
  </w:num>
  <w:num w:numId="31">
    <w:abstractNumId w:val="15"/>
  </w:num>
  <w:num w:numId="32">
    <w:abstractNumId w:val="11"/>
  </w:num>
  <w:num w:numId="33">
    <w:abstractNumId w:val="9"/>
  </w:num>
  <w:num w:numId="34">
    <w:abstractNumId w:val="9"/>
  </w:num>
  <w:num w:numId="35">
    <w:abstractNumId w:val="5"/>
  </w:num>
  <w:num w:numId="36">
    <w:abstractNumId w:val="5"/>
  </w:num>
  <w:num w:numId="37">
    <w:abstractNumId w:val="3"/>
  </w:num>
  <w:num w:numId="38">
    <w:abstractNumId w:val="15"/>
  </w:num>
  <w:num w:numId="39">
    <w:abstractNumId w:val="15"/>
  </w:num>
  <w:num w:numId="40">
    <w:abstractNumId w:val="15"/>
  </w:num>
  <w:num w:numId="41">
    <w:abstractNumId w:val="2"/>
  </w:num>
  <w:num w:numId="42">
    <w:abstractNumId w:val="2"/>
  </w:num>
  <w:num w:numId="43">
    <w:abstractNumId w:val="2"/>
  </w:num>
  <w:num w:numId="44">
    <w:abstractNumId w:val="2"/>
  </w:num>
  <w:num w:numId="45">
    <w:abstractNumId w:val="2"/>
  </w:num>
  <w:num w:numId="46">
    <w:abstractNumId w:val="3"/>
  </w:num>
  <w:num w:numId="47">
    <w:abstractNumId w:val="3"/>
  </w:num>
  <w:num w:numId="4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MSS\Finance Section 14-15\Cost Recoveries\determination.docx"/>
  </w:docVars>
  <w:rsids>
    <w:rsidRoot w:val="001302BE"/>
    <w:rsid w:val="00001902"/>
    <w:rsid w:val="00015C7E"/>
    <w:rsid w:val="00020CF5"/>
    <w:rsid w:val="000223E3"/>
    <w:rsid w:val="00025E58"/>
    <w:rsid w:val="00030D00"/>
    <w:rsid w:val="00033225"/>
    <w:rsid w:val="00037B11"/>
    <w:rsid w:val="000605A3"/>
    <w:rsid w:val="0007214C"/>
    <w:rsid w:val="00083294"/>
    <w:rsid w:val="00083525"/>
    <w:rsid w:val="000836C3"/>
    <w:rsid w:val="00085787"/>
    <w:rsid w:val="000A0936"/>
    <w:rsid w:val="000A3DF0"/>
    <w:rsid w:val="000B3AD9"/>
    <w:rsid w:val="000C3FBB"/>
    <w:rsid w:val="000D4E89"/>
    <w:rsid w:val="000E1137"/>
    <w:rsid w:val="000E44F3"/>
    <w:rsid w:val="000E5C85"/>
    <w:rsid w:val="000F5A9D"/>
    <w:rsid w:val="00100089"/>
    <w:rsid w:val="001302BE"/>
    <w:rsid w:val="00137FBC"/>
    <w:rsid w:val="00140760"/>
    <w:rsid w:val="00144678"/>
    <w:rsid w:val="00151272"/>
    <w:rsid w:val="0015283D"/>
    <w:rsid w:val="001562E2"/>
    <w:rsid w:val="0015631D"/>
    <w:rsid w:val="00156942"/>
    <w:rsid w:val="00165F4A"/>
    <w:rsid w:val="00177731"/>
    <w:rsid w:val="001829A3"/>
    <w:rsid w:val="00191073"/>
    <w:rsid w:val="00192DC0"/>
    <w:rsid w:val="0019334E"/>
    <w:rsid w:val="001A10AB"/>
    <w:rsid w:val="001A30E7"/>
    <w:rsid w:val="001A4A93"/>
    <w:rsid w:val="001A7E7B"/>
    <w:rsid w:val="001B3EFC"/>
    <w:rsid w:val="001B4A48"/>
    <w:rsid w:val="001B51F6"/>
    <w:rsid w:val="001B7B06"/>
    <w:rsid w:val="001C38B7"/>
    <w:rsid w:val="001C7124"/>
    <w:rsid w:val="001D139B"/>
    <w:rsid w:val="001D3588"/>
    <w:rsid w:val="001D642A"/>
    <w:rsid w:val="001E28B7"/>
    <w:rsid w:val="001E56DE"/>
    <w:rsid w:val="001E7980"/>
    <w:rsid w:val="001F6F0F"/>
    <w:rsid w:val="00202E6A"/>
    <w:rsid w:val="002101DB"/>
    <w:rsid w:val="0021182C"/>
    <w:rsid w:val="002166E3"/>
    <w:rsid w:val="00216D5B"/>
    <w:rsid w:val="00220846"/>
    <w:rsid w:val="00221724"/>
    <w:rsid w:val="00223C3D"/>
    <w:rsid w:val="002252FB"/>
    <w:rsid w:val="002315C1"/>
    <w:rsid w:val="00242F0F"/>
    <w:rsid w:val="002538D0"/>
    <w:rsid w:val="002541EF"/>
    <w:rsid w:val="00262298"/>
    <w:rsid w:val="00263332"/>
    <w:rsid w:val="00267281"/>
    <w:rsid w:val="00276B8A"/>
    <w:rsid w:val="002842C4"/>
    <w:rsid w:val="00285657"/>
    <w:rsid w:val="00287CEB"/>
    <w:rsid w:val="00294F8A"/>
    <w:rsid w:val="002A4D02"/>
    <w:rsid w:val="002A71D0"/>
    <w:rsid w:val="002B075E"/>
    <w:rsid w:val="002B4E4A"/>
    <w:rsid w:val="002C08F7"/>
    <w:rsid w:val="002C7524"/>
    <w:rsid w:val="002D6718"/>
    <w:rsid w:val="002E34E2"/>
    <w:rsid w:val="002E4AAB"/>
    <w:rsid w:val="002F43ED"/>
    <w:rsid w:val="002F5B74"/>
    <w:rsid w:val="00303805"/>
    <w:rsid w:val="003137A3"/>
    <w:rsid w:val="00316276"/>
    <w:rsid w:val="003255CC"/>
    <w:rsid w:val="003258D1"/>
    <w:rsid w:val="00327B75"/>
    <w:rsid w:val="00334F0C"/>
    <w:rsid w:val="00337170"/>
    <w:rsid w:val="003438FC"/>
    <w:rsid w:val="0034469E"/>
    <w:rsid w:val="0034481A"/>
    <w:rsid w:val="00344D4B"/>
    <w:rsid w:val="00346938"/>
    <w:rsid w:val="00353A41"/>
    <w:rsid w:val="00360125"/>
    <w:rsid w:val="003805CA"/>
    <w:rsid w:val="00383CEE"/>
    <w:rsid w:val="00386C11"/>
    <w:rsid w:val="003905E6"/>
    <w:rsid w:val="003918C6"/>
    <w:rsid w:val="00394C4D"/>
    <w:rsid w:val="00394CF0"/>
    <w:rsid w:val="00396A14"/>
    <w:rsid w:val="003B3188"/>
    <w:rsid w:val="003B4731"/>
    <w:rsid w:val="003B720E"/>
    <w:rsid w:val="003C00A4"/>
    <w:rsid w:val="003C12C3"/>
    <w:rsid w:val="003C1675"/>
    <w:rsid w:val="003D0B28"/>
    <w:rsid w:val="003E791A"/>
    <w:rsid w:val="003F23F6"/>
    <w:rsid w:val="003F31F9"/>
    <w:rsid w:val="00403358"/>
    <w:rsid w:val="00406509"/>
    <w:rsid w:val="004154A5"/>
    <w:rsid w:val="00424CE1"/>
    <w:rsid w:val="0042607E"/>
    <w:rsid w:val="0043452C"/>
    <w:rsid w:val="004408A5"/>
    <w:rsid w:val="00443CC4"/>
    <w:rsid w:val="00453186"/>
    <w:rsid w:val="00464EBD"/>
    <w:rsid w:val="00467479"/>
    <w:rsid w:val="004A6FD5"/>
    <w:rsid w:val="004A748A"/>
    <w:rsid w:val="004C2594"/>
    <w:rsid w:val="004C766E"/>
    <w:rsid w:val="004D13A7"/>
    <w:rsid w:val="004D704F"/>
    <w:rsid w:val="004E0AC4"/>
    <w:rsid w:val="004E15DC"/>
    <w:rsid w:val="004F43A0"/>
    <w:rsid w:val="00514F45"/>
    <w:rsid w:val="00526EE3"/>
    <w:rsid w:val="00530550"/>
    <w:rsid w:val="00532C49"/>
    <w:rsid w:val="005553A1"/>
    <w:rsid w:val="0055577A"/>
    <w:rsid w:val="00560292"/>
    <w:rsid w:val="00560CD2"/>
    <w:rsid w:val="00561A7D"/>
    <w:rsid w:val="00575B28"/>
    <w:rsid w:val="00582A9A"/>
    <w:rsid w:val="005834E2"/>
    <w:rsid w:val="00583BC0"/>
    <w:rsid w:val="0059034D"/>
    <w:rsid w:val="005A5455"/>
    <w:rsid w:val="005B1373"/>
    <w:rsid w:val="005B34F6"/>
    <w:rsid w:val="005B45FA"/>
    <w:rsid w:val="005C3F91"/>
    <w:rsid w:val="005D1EB1"/>
    <w:rsid w:val="005D5293"/>
    <w:rsid w:val="005E43ED"/>
    <w:rsid w:val="005F17A4"/>
    <w:rsid w:val="005F24AF"/>
    <w:rsid w:val="005F59A7"/>
    <w:rsid w:val="0060611C"/>
    <w:rsid w:val="0061347F"/>
    <w:rsid w:val="00625F95"/>
    <w:rsid w:val="00650DBB"/>
    <w:rsid w:val="006564B5"/>
    <w:rsid w:val="006579B0"/>
    <w:rsid w:val="00661058"/>
    <w:rsid w:val="00663077"/>
    <w:rsid w:val="00675BC4"/>
    <w:rsid w:val="00675EFA"/>
    <w:rsid w:val="00681274"/>
    <w:rsid w:val="006B4624"/>
    <w:rsid w:val="006C23F8"/>
    <w:rsid w:val="006C475F"/>
    <w:rsid w:val="006C487F"/>
    <w:rsid w:val="006D01B1"/>
    <w:rsid w:val="006D591C"/>
    <w:rsid w:val="006E23AF"/>
    <w:rsid w:val="007001AF"/>
    <w:rsid w:val="00700F21"/>
    <w:rsid w:val="007034E9"/>
    <w:rsid w:val="00714BE2"/>
    <w:rsid w:val="00723D33"/>
    <w:rsid w:val="007251E0"/>
    <w:rsid w:val="007309B5"/>
    <w:rsid w:val="0073500E"/>
    <w:rsid w:val="00742C9F"/>
    <w:rsid w:val="00743E14"/>
    <w:rsid w:val="00744566"/>
    <w:rsid w:val="00752DA9"/>
    <w:rsid w:val="0075396A"/>
    <w:rsid w:val="00754A75"/>
    <w:rsid w:val="0077137D"/>
    <w:rsid w:val="00780203"/>
    <w:rsid w:val="00782F04"/>
    <w:rsid w:val="0078354D"/>
    <w:rsid w:val="00785D6D"/>
    <w:rsid w:val="007912D1"/>
    <w:rsid w:val="00795C3F"/>
    <w:rsid w:val="007A6A50"/>
    <w:rsid w:val="007A7BEC"/>
    <w:rsid w:val="007C7F75"/>
    <w:rsid w:val="007E5CC5"/>
    <w:rsid w:val="007F3C2D"/>
    <w:rsid w:val="007F51AC"/>
    <w:rsid w:val="00803563"/>
    <w:rsid w:val="008254F9"/>
    <w:rsid w:val="0083102B"/>
    <w:rsid w:val="00833922"/>
    <w:rsid w:val="00833A67"/>
    <w:rsid w:val="00842237"/>
    <w:rsid w:val="0085113E"/>
    <w:rsid w:val="008629BD"/>
    <w:rsid w:val="00870A22"/>
    <w:rsid w:val="00875230"/>
    <w:rsid w:val="0087593E"/>
    <w:rsid w:val="00875A38"/>
    <w:rsid w:val="0087628F"/>
    <w:rsid w:val="0087799D"/>
    <w:rsid w:val="0088739D"/>
    <w:rsid w:val="00891F7F"/>
    <w:rsid w:val="008928E1"/>
    <w:rsid w:val="008A1084"/>
    <w:rsid w:val="008B55B9"/>
    <w:rsid w:val="008C2DB5"/>
    <w:rsid w:val="008C4A3E"/>
    <w:rsid w:val="008C6533"/>
    <w:rsid w:val="008C757C"/>
    <w:rsid w:val="008D39C1"/>
    <w:rsid w:val="008E4D8D"/>
    <w:rsid w:val="008E4E12"/>
    <w:rsid w:val="00904E2F"/>
    <w:rsid w:val="009119E3"/>
    <w:rsid w:val="00914AB2"/>
    <w:rsid w:val="00916A3E"/>
    <w:rsid w:val="009202E7"/>
    <w:rsid w:val="009276A2"/>
    <w:rsid w:val="00927722"/>
    <w:rsid w:val="009277EA"/>
    <w:rsid w:val="009356AC"/>
    <w:rsid w:val="00941E18"/>
    <w:rsid w:val="0095024E"/>
    <w:rsid w:val="0095198F"/>
    <w:rsid w:val="00953B22"/>
    <w:rsid w:val="00962906"/>
    <w:rsid w:val="0096401B"/>
    <w:rsid w:val="009647DD"/>
    <w:rsid w:val="009721BF"/>
    <w:rsid w:val="00972B8D"/>
    <w:rsid w:val="00977F1F"/>
    <w:rsid w:val="00984A6D"/>
    <w:rsid w:val="00985247"/>
    <w:rsid w:val="009A7B7B"/>
    <w:rsid w:val="009B1D9C"/>
    <w:rsid w:val="009B5461"/>
    <w:rsid w:val="009C5F68"/>
    <w:rsid w:val="009D0ECB"/>
    <w:rsid w:val="009D74C0"/>
    <w:rsid w:val="009E0EDF"/>
    <w:rsid w:val="00A13AD2"/>
    <w:rsid w:val="00A1404B"/>
    <w:rsid w:val="00A16630"/>
    <w:rsid w:val="00A17949"/>
    <w:rsid w:val="00A21337"/>
    <w:rsid w:val="00A230A1"/>
    <w:rsid w:val="00A24676"/>
    <w:rsid w:val="00A251B4"/>
    <w:rsid w:val="00A27C4D"/>
    <w:rsid w:val="00A3373B"/>
    <w:rsid w:val="00A33FDA"/>
    <w:rsid w:val="00A34348"/>
    <w:rsid w:val="00A379EF"/>
    <w:rsid w:val="00A42359"/>
    <w:rsid w:val="00A5686F"/>
    <w:rsid w:val="00A72645"/>
    <w:rsid w:val="00A8671E"/>
    <w:rsid w:val="00A8768D"/>
    <w:rsid w:val="00A92556"/>
    <w:rsid w:val="00A93D8D"/>
    <w:rsid w:val="00A9510F"/>
    <w:rsid w:val="00A963D7"/>
    <w:rsid w:val="00AA0555"/>
    <w:rsid w:val="00AA084D"/>
    <w:rsid w:val="00AA54D3"/>
    <w:rsid w:val="00AB0B79"/>
    <w:rsid w:val="00AB50F8"/>
    <w:rsid w:val="00AC72E5"/>
    <w:rsid w:val="00AC768B"/>
    <w:rsid w:val="00AD4FC8"/>
    <w:rsid w:val="00AD6D95"/>
    <w:rsid w:val="00AE23C9"/>
    <w:rsid w:val="00AE4CAF"/>
    <w:rsid w:val="00AF1073"/>
    <w:rsid w:val="00AF2652"/>
    <w:rsid w:val="00AF553D"/>
    <w:rsid w:val="00B079CB"/>
    <w:rsid w:val="00B12858"/>
    <w:rsid w:val="00B1670C"/>
    <w:rsid w:val="00B2091E"/>
    <w:rsid w:val="00B3436B"/>
    <w:rsid w:val="00B42F9F"/>
    <w:rsid w:val="00B50248"/>
    <w:rsid w:val="00B5313F"/>
    <w:rsid w:val="00B56B47"/>
    <w:rsid w:val="00B70720"/>
    <w:rsid w:val="00B77D0B"/>
    <w:rsid w:val="00B80092"/>
    <w:rsid w:val="00B93088"/>
    <w:rsid w:val="00B9400A"/>
    <w:rsid w:val="00B941C7"/>
    <w:rsid w:val="00B95220"/>
    <w:rsid w:val="00BA06A5"/>
    <w:rsid w:val="00BA2C75"/>
    <w:rsid w:val="00BB0A7D"/>
    <w:rsid w:val="00BD187B"/>
    <w:rsid w:val="00BE3FC3"/>
    <w:rsid w:val="00BF6DBA"/>
    <w:rsid w:val="00C076B4"/>
    <w:rsid w:val="00C10FE7"/>
    <w:rsid w:val="00C202BB"/>
    <w:rsid w:val="00C24A4B"/>
    <w:rsid w:val="00C257E8"/>
    <w:rsid w:val="00C26AE3"/>
    <w:rsid w:val="00C26B47"/>
    <w:rsid w:val="00C30A66"/>
    <w:rsid w:val="00C35198"/>
    <w:rsid w:val="00C365FB"/>
    <w:rsid w:val="00C42CA5"/>
    <w:rsid w:val="00C50859"/>
    <w:rsid w:val="00C57660"/>
    <w:rsid w:val="00C60D66"/>
    <w:rsid w:val="00C61E13"/>
    <w:rsid w:val="00C64E12"/>
    <w:rsid w:val="00C6527F"/>
    <w:rsid w:val="00C86B6D"/>
    <w:rsid w:val="00CA422D"/>
    <w:rsid w:val="00CC681B"/>
    <w:rsid w:val="00CE1FB7"/>
    <w:rsid w:val="00CF2868"/>
    <w:rsid w:val="00CF568F"/>
    <w:rsid w:val="00D005AE"/>
    <w:rsid w:val="00D0662B"/>
    <w:rsid w:val="00D15DAB"/>
    <w:rsid w:val="00D17539"/>
    <w:rsid w:val="00D23A3A"/>
    <w:rsid w:val="00D24129"/>
    <w:rsid w:val="00D26C0F"/>
    <w:rsid w:val="00D340C8"/>
    <w:rsid w:val="00D41EAD"/>
    <w:rsid w:val="00D46A35"/>
    <w:rsid w:val="00D46D3A"/>
    <w:rsid w:val="00D501EA"/>
    <w:rsid w:val="00D525B2"/>
    <w:rsid w:val="00D636AE"/>
    <w:rsid w:val="00D66FE7"/>
    <w:rsid w:val="00D7149C"/>
    <w:rsid w:val="00D73E57"/>
    <w:rsid w:val="00D76011"/>
    <w:rsid w:val="00D76F6A"/>
    <w:rsid w:val="00D839F4"/>
    <w:rsid w:val="00D91E9C"/>
    <w:rsid w:val="00DA176D"/>
    <w:rsid w:val="00DA7411"/>
    <w:rsid w:val="00DB3C8D"/>
    <w:rsid w:val="00DC4985"/>
    <w:rsid w:val="00DC6AD9"/>
    <w:rsid w:val="00DF15F7"/>
    <w:rsid w:val="00E00928"/>
    <w:rsid w:val="00E018F6"/>
    <w:rsid w:val="00E06D38"/>
    <w:rsid w:val="00E10E5C"/>
    <w:rsid w:val="00E13916"/>
    <w:rsid w:val="00E27867"/>
    <w:rsid w:val="00E36502"/>
    <w:rsid w:val="00E570E2"/>
    <w:rsid w:val="00E67199"/>
    <w:rsid w:val="00E7462F"/>
    <w:rsid w:val="00E765A1"/>
    <w:rsid w:val="00E7672D"/>
    <w:rsid w:val="00E8479E"/>
    <w:rsid w:val="00EA4292"/>
    <w:rsid w:val="00EA6C50"/>
    <w:rsid w:val="00EB05C9"/>
    <w:rsid w:val="00EB1870"/>
    <w:rsid w:val="00EC73BD"/>
    <w:rsid w:val="00EC7735"/>
    <w:rsid w:val="00EE0D5A"/>
    <w:rsid w:val="00EE1FA4"/>
    <w:rsid w:val="00EE53DE"/>
    <w:rsid w:val="00EF11FD"/>
    <w:rsid w:val="00EF20AB"/>
    <w:rsid w:val="00EF29A4"/>
    <w:rsid w:val="00EF3B3A"/>
    <w:rsid w:val="00EF3C4B"/>
    <w:rsid w:val="00F00AFA"/>
    <w:rsid w:val="00F059EC"/>
    <w:rsid w:val="00F05B7F"/>
    <w:rsid w:val="00F06C03"/>
    <w:rsid w:val="00F107DA"/>
    <w:rsid w:val="00F1349F"/>
    <w:rsid w:val="00F22196"/>
    <w:rsid w:val="00F23052"/>
    <w:rsid w:val="00F258F9"/>
    <w:rsid w:val="00F35E65"/>
    <w:rsid w:val="00F36CE1"/>
    <w:rsid w:val="00F41A61"/>
    <w:rsid w:val="00F61BB6"/>
    <w:rsid w:val="00F643D1"/>
    <w:rsid w:val="00F74370"/>
    <w:rsid w:val="00F81104"/>
    <w:rsid w:val="00F965C8"/>
    <w:rsid w:val="00F97A1C"/>
    <w:rsid w:val="00F97B3B"/>
    <w:rsid w:val="00FA4F8A"/>
    <w:rsid w:val="00FA6899"/>
    <w:rsid w:val="00FB0F3E"/>
    <w:rsid w:val="00FB446A"/>
    <w:rsid w:val="00FB5060"/>
    <w:rsid w:val="00FC2438"/>
    <w:rsid w:val="00FC32DD"/>
    <w:rsid w:val="00FC63FC"/>
    <w:rsid w:val="00FD380D"/>
    <w:rsid w:val="00FE1A73"/>
    <w:rsid w:val="00FF26BF"/>
    <w:rsid w:val="00FF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paragraph" w:styleId="Heading6">
    <w:name w:val="heading 6"/>
    <w:basedOn w:val="Normal"/>
    <w:next w:val="Normal"/>
    <w:link w:val="Heading6Char"/>
    <w:semiHidden/>
    <w:unhideWhenUsed/>
    <w:qFormat/>
    <w:rsid w:val="001D139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D139B"/>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9"/>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2"/>
      </w:numPr>
    </w:pPr>
  </w:style>
  <w:style w:type="paragraph" w:customStyle="1" w:styleId="Heading3Number">
    <w:name w:val="Heading 3 Number"/>
    <w:basedOn w:val="Heading1"/>
    <w:link w:val="Heading3NumberChar"/>
    <w:qFormat/>
    <w:rsid w:val="00A1404B"/>
    <w:pPr>
      <w:numPr>
        <w:numId w:val="27"/>
      </w:numPr>
    </w:pPr>
    <w:rPr>
      <w:rFonts w:ascii="Arial" w:hAnsi="Arial"/>
      <w:sz w:val="20"/>
    </w:rPr>
  </w:style>
  <w:style w:type="paragraph" w:customStyle="1" w:styleId="NormalNumbered">
    <w:name w:val="Normal Numbered"/>
    <w:basedOn w:val="Normal"/>
    <w:qFormat/>
    <w:rsid w:val="00A1404B"/>
    <w:pPr>
      <w:numPr>
        <w:numId w:val="28"/>
      </w:numPr>
      <w:ind w:left="1080"/>
    </w:pPr>
  </w:style>
  <w:style w:type="paragraph" w:customStyle="1" w:styleId="NormalNumbered2">
    <w:name w:val="Normal Numbered 2"/>
    <w:basedOn w:val="NormalNumbered"/>
    <w:qFormat/>
    <w:rsid w:val="00A1404B"/>
    <w:pPr>
      <w:numPr>
        <w:numId w:val="29"/>
      </w:numPr>
    </w:pPr>
  </w:style>
  <w:style w:type="paragraph" w:customStyle="1" w:styleId="NormalNumbered3">
    <w:name w:val="Normal Numbered 3"/>
    <w:basedOn w:val="NormalNumbered5"/>
    <w:qFormat/>
    <w:rsid w:val="00A1404B"/>
    <w:pPr>
      <w:numPr>
        <w:numId w:val="30"/>
      </w:numPr>
      <w:ind w:left="1080"/>
    </w:pPr>
  </w:style>
  <w:style w:type="paragraph" w:customStyle="1" w:styleId="NormalNumbered4">
    <w:name w:val="Normal Numbered 4"/>
    <w:basedOn w:val="Normal"/>
    <w:qFormat/>
    <w:rsid w:val="00EE53DE"/>
    <w:pPr>
      <w:numPr>
        <w:numId w:val="31"/>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32"/>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pPr>
      <w:ind w:left="1440"/>
    </w:pPr>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val="0"/>
      <w:bCs w:val="0"/>
      <w:color w:val="FF0000"/>
      <w:sz w:val="36"/>
      <w:szCs w:val="28"/>
      <w:lang w:val="en-AU" w:eastAsia="en-AU" w:bidi="ar-SA"/>
    </w:rPr>
  </w:style>
  <w:style w:type="paragraph" w:styleId="ListParagraph">
    <w:name w:val="List Paragraph"/>
    <w:basedOn w:val="Normal"/>
    <w:uiPriority w:val="34"/>
    <w:qFormat/>
    <w:rsid w:val="001D139B"/>
    <w:pPr>
      <w:ind w:left="720"/>
    </w:pPr>
  </w:style>
  <w:style w:type="character" w:customStyle="1" w:styleId="Heading6Char">
    <w:name w:val="Heading 6 Char"/>
    <w:basedOn w:val="DefaultParagraphFont"/>
    <w:link w:val="Heading6"/>
    <w:semiHidden/>
    <w:rsid w:val="001D139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semiHidden/>
    <w:rsid w:val="001D139B"/>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rsid w:val="00833922"/>
    <w:rPr>
      <w:rFonts w:ascii="Arial" w:hAnsi="Arial"/>
      <w:color w:val="7F7F7F"/>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paragraph" w:styleId="Heading6">
    <w:name w:val="heading 6"/>
    <w:basedOn w:val="Normal"/>
    <w:next w:val="Normal"/>
    <w:link w:val="Heading6Char"/>
    <w:semiHidden/>
    <w:unhideWhenUsed/>
    <w:qFormat/>
    <w:rsid w:val="001D139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D139B"/>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9"/>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2"/>
      </w:numPr>
    </w:pPr>
  </w:style>
  <w:style w:type="paragraph" w:customStyle="1" w:styleId="Heading3Number">
    <w:name w:val="Heading 3 Number"/>
    <w:basedOn w:val="Heading1"/>
    <w:link w:val="Heading3NumberChar"/>
    <w:qFormat/>
    <w:rsid w:val="00A1404B"/>
    <w:pPr>
      <w:numPr>
        <w:numId w:val="27"/>
      </w:numPr>
    </w:pPr>
    <w:rPr>
      <w:rFonts w:ascii="Arial" w:hAnsi="Arial"/>
      <w:sz w:val="20"/>
    </w:rPr>
  </w:style>
  <w:style w:type="paragraph" w:customStyle="1" w:styleId="NormalNumbered">
    <w:name w:val="Normal Numbered"/>
    <w:basedOn w:val="Normal"/>
    <w:qFormat/>
    <w:rsid w:val="00A1404B"/>
    <w:pPr>
      <w:numPr>
        <w:numId w:val="28"/>
      </w:numPr>
      <w:ind w:left="1080"/>
    </w:pPr>
  </w:style>
  <w:style w:type="paragraph" w:customStyle="1" w:styleId="NormalNumbered2">
    <w:name w:val="Normal Numbered 2"/>
    <w:basedOn w:val="NormalNumbered"/>
    <w:qFormat/>
    <w:rsid w:val="00A1404B"/>
    <w:pPr>
      <w:numPr>
        <w:numId w:val="29"/>
      </w:numPr>
    </w:pPr>
  </w:style>
  <w:style w:type="paragraph" w:customStyle="1" w:styleId="NormalNumbered3">
    <w:name w:val="Normal Numbered 3"/>
    <w:basedOn w:val="NormalNumbered5"/>
    <w:qFormat/>
    <w:rsid w:val="00A1404B"/>
    <w:pPr>
      <w:numPr>
        <w:numId w:val="30"/>
      </w:numPr>
      <w:ind w:left="1080"/>
    </w:pPr>
  </w:style>
  <w:style w:type="paragraph" w:customStyle="1" w:styleId="NormalNumbered4">
    <w:name w:val="Normal Numbered 4"/>
    <w:basedOn w:val="Normal"/>
    <w:qFormat/>
    <w:rsid w:val="00EE53DE"/>
    <w:pPr>
      <w:numPr>
        <w:numId w:val="31"/>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32"/>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pPr>
      <w:ind w:left="1440"/>
    </w:pPr>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val="0"/>
      <w:bCs w:val="0"/>
      <w:color w:val="FF0000"/>
      <w:sz w:val="36"/>
      <w:szCs w:val="28"/>
      <w:lang w:val="en-AU" w:eastAsia="en-AU" w:bidi="ar-SA"/>
    </w:rPr>
  </w:style>
  <w:style w:type="paragraph" w:styleId="ListParagraph">
    <w:name w:val="List Paragraph"/>
    <w:basedOn w:val="Normal"/>
    <w:uiPriority w:val="34"/>
    <w:qFormat/>
    <w:rsid w:val="001D139B"/>
    <w:pPr>
      <w:ind w:left="720"/>
    </w:pPr>
  </w:style>
  <w:style w:type="character" w:customStyle="1" w:styleId="Heading6Char">
    <w:name w:val="Heading 6 Char"/>
    <w:basedOn w:val="DefaultParagraphFont"/>
    <w:link w:val="Heading6"/>
    <w:semiHidden/>
    <w:rsid w:val="001D139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semiHidden/>
    <w:rsid w:val="001D139B"/>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rsid w:val="00833922"/>
    <w:rPr>
      <w:rFonts w:ascii="Arial" w:hAnsi="Arial"/>
      <w:color w:val="7F7F7F"/>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8293">
      <w:bodyDiv w:val="1"/>
      <w:marLeft w:val="0"/>
      <w:marRight w:val="0"/>
      <w:marTop w:val="0"/>
      <w:marBottom w:val="0"/>
      <w:divBdr>
        <w:top w:val="none" w:sz="0" w:space="0" w:color="auto"/>
        <w:left w:val="none" w:sz="0" w:space="0" w:color="auto"/>
        <w:bottom w:val="none" w:sz="0" w:space="0" w:color="auto"/>
        <w:right w:val="none" w:sz="0" w:space="0" w:color="auto"/>
      </w:divBdr>
      <w:divsChild>
        <w:div w:id="1422221873">
          <w:marLeft w:val="0"/>
          <w:marRight w:val="0"/>
          <w:marTop w:val="0"/>
          <w:marBottom w:val="0"/>
          <w:divBdr>
            <w:top w:val="none" w:sz="0" w:space="0" w:color="auto"/>
            <w:left w:val="none" w:sz="0" w:space="0" w:color="auto"/>
            <w:bottom w:val="none" w:sz="0" w:space="0" w:color="auto"/>
            <w:right w:val="none" w:sz="0" w:space="0" w:color="auto"/>
          </w:divBdr>
        </w:div>
      </w:divsChild>
    </w:div>
    <w:div w:id="1240097841">
      <w:bodyDiv w:val="1"/>
      <w:marLeft w:val="0"/>
      <w:marRight w:val="0"/>
      <w:marTop w:val="0"/>
      <w:marBottom w:val="0"/>
      <w:divBdr>
        <w:top w:val="none" w:sz="0" w:space="0" w:color="auto"/>
        <w:left w:val="none" w:sz="0" w:space="0" w:color="auto"/>
        <w:bottom w:val="none" w:sz="0" w:space="0" w:color="auto"/>
        <w:right w:val="none" w:sz="0" w:space="0" w:color="auto"/>
      </w:divBdr>
      <w:divsChild>
        <w:div w:id="949894624">
          <w:marLeft w:val="0"/>
          <w:marRight w:val="0"/>
          <w:marTop w:val="0"/>
          <w:marBottom w:val="0"/>
          <w:divBdr>
            <w:top w:val="none" w:sz="0" w:space="0" w:color="auto"/>
            <w:left w:val="none" w:sz="0" w:space="0" w:color="auto"/>
            <w:bottom w:val="none" w:sz="0" w:space="0" w:color="auto"/>
            <w:right w:val="none" w:sz="0" w:space="0" w:color="auto"/>
          </w:divBdr>
        </w:div>
      </w:divsChild>
    </w:div>
    <w:div w:id="18192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73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n\Local%20Settings\Temporary%20Internet%20Files\Content.Outlook\TSQ5ERSX\Submission%20for%20Commission%20TEMPLATE_D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7ABEE-0AD8-4CE1-BDF1-56ACE8EE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for Commission TEMPLATE_D04</Template>
  <TotalTime>67</TotalTime>
  <Pages>2</Pages>
  <Words>530</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sclan</dc:creator>
  <cp:lastModifiedBy>Wen, Chang</cp:lastModifiedBy>
  <cp:revision>17</cp:revision>
  <cp:lastPrinted>2014-01-30T00:05:00Z</cp:lastPrinted>
  <dcterms:created xsi:type="dcterms:W3CDTF">2014-12-10T02:30:00Z</dcterms:created>
  <dcterms:modified xsi:type="dcterms:W3CDTF">2016-03-08T00:02:00Z</dcterms:modified>
</cp:coreProperties>
</file>