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585" w:rsidRPr="00AE4585" w:rsidRDefault="00AE4585" w:rsidP="00AE4585">
      <w:pPr>
        <w:pStyle w:val="Heading1"/>
        <w:ind w:left="284"/>
        <w:jc w:val="center"/>
        <w:rPr>
          <w:rStyle w:val="IntenseReference"/>
          <w:b/>
          <w:bCs/>
          <w:i w:val="0"/>
          <w:smallCaps w:val="0"/>
          <w:color w:val="auto"/>
          <w:spacing w:val="0"/>
          <w:szCs w:val="24"/>
          <w:u w:val="single"/>
        </w:rPr>
      </w:pPr>
      <w:bookmarkStart w:id="0" w:name="_GoBack"/>
      <w:bookmarkEnd w:id="0"/>
      <w:r w:rsidRPr="00AE4585">
        <w:rPr>
          <w:szCs w:val="24"/>
          <w:u w:val="single"/>
        </w:rPr>
        <w:t>EXPLANATORY STATEMENT</w:t>
      </w:r>
    </w:p>
    <w:p w:rsidR="00AE4585" w:rsidRDefault="00AE4585" w:rsidP="00AE4585">
      <w:pPr>
        <w:rPr>
          <w:rStyle w:val="IntenseReference"/>
          <w:b w:val="0"/>
          <w:bCs w:val="0"/>
          <w:i w:val="0"/>
          <w:smallCaps w:val="0"/>
        </w:rPr>
      </w:pPr>
    </w:p>
    <w:p w:rsidR="00AE4585" w:rsidRDefault="00AE4585" w:rsidP="00AE4585">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outlineLvl w:val="0"/>
      </w:pPr>
      <w:r>
        <w:t>Issued by the Authority of the Minister for Health</w:t>
      </w:r>
    </w:p>
    <w:p w:rsidR="00AE4585" w:rsidRDefault="00AE4585" w:rsidP="00AE4585">
      <w:pPr>
        <w:rPr>
          <w:rStyle w:val="IntenseReference"/>
          <w:b w:val="0"/>
          <w:bCs w:val="0"/>
          <w:i w:val="0"/>
          <w:smallCaps w:val="0"/>
        </w:rPr>
      </w:pPr>
    </w:p>
    <w:p w:rsidR="00AE4585" w:rsidRDefault="00AE4585" w:rsidP="00AE4585">
      <w:pPr>
        <w:jc w:val="center"/>
        <w:rPr>
          <w:rStyle w:val="IntenseReference"/>
          <w:b w:val="0"/>
          <w:bCs w:val="0"/>
          <w:i w:val="0"/>
          <w:smallCaps w:val="0"/>
        </w:rPr>
      </w:pPr>
      <w:r w:rsidRPr="00A96CFE">
        <w:rPr>
          <w:i/>
          <w:szCs w:val="24"/>
        </w:rPr>
        <w:t>Health Insurance Act 1973</w:t>
      </w:r>
    </w:p>
    <w:p w:rsidR="00AE4585" w:rsidRPr="00890361" w:rsidRDefault="00AE4585" w:rsidP="00890361">
      <w:pPr>
        <w:jc w:val="center"/>
        <w:rPr>
          <w:rStyle w:val="IntenseReference"/>
          <w:b w:val="0"/>
          <w:bCs w:val="0"/>
          <w:i w:val="0"/>
          <w:smallCaps w:val="0"/>
        </w:rPr>
      </w:pPr>
    </w:p>
    <w:p w:rsidR="00890361" w:rsidRPr="00890361" w:rsidRDefault="00890361" w:rsidP="00890361">
      <w:pPr>
        <w:jc w:val="center"/>
        <w:rPr>
          <w:bCs/>
          <w:i/>
          <w:szCs w:val="24"/>
        </w:rPr>
      </w:pPr>
      <w:bookmarkStart w:id="1" w:name="DocName"/>
      <w:r w:rsidRPr="00890361">
        <w:rPr>
          <w:bCs/>
          <w:i/>
          <w:szCs w:val="24"/>
        </w:rPr>
        <w:t>Health Insurance (Optometric services) Determination 2</w:t>
      </w:r>
      <w:bookmarkEnd w:id="1"/>
      <w:r w:rsidR="00E97547">
        <w:rPr>
          <w:bCs/>
          <w:i/>
          <w:szCs w:val="24"/>
        </w:rPr>
        <w:t>016</w:t>
      </w:r>
    </w:p>
    <w:p w:rsidR="00AE4585" w:rsidRPr="007B40A7" w:rsidRDefault="00AE4585" w:rsidP="00AE4585">
      <w:pPr>
        <w:rPr>
          <w:szCs w:val="24"/>
          <w:highlight w:val="yellow"/>
        </w:rPr>
      </w:pPr>
    </w:p>
    <w:p w:rsidR="002220DD" w:rsidRDefault="00D958FF" w:rsidP="004131EE">
      <w:r w:rsidRPr="00D958FF">
        <w:t xml:space="preserve">Subsection 3C(1) of the </w:t>
      </w:r>
      <w:r w:rsidRPr="00D958FF">
        <w:rPr>
          <w:i/>
        </w:rPr>
        <w:t>Health Insurance Act 1973</w:t>
      </w:r>
      <w:r w:rsidRPr="00D958FF">
        <w:t xml:space="preserve"> (the Act) provides that the Minister may determine in writing that a health service n</w:t>
      </w:r>
      <w:r w:rsidR="006C293E">
        <w:t>ot specified in an item in the general medical services t</w:t>
      </w:r>
      <w:r w:rsidRPr="00D958FF">
        <w:t xml:space="preserve">able (the Table) shall, in specified circumstances and for the purpose of specified statutory provisions, be treated as if it were specified in the Table.  This Table is set out in the </w:t>
      </w:r>
      <w:r w:rsidRPr="00D958FF">
        <w:rPr>
          <w:i/>
        </w:rPr>
        <w:t>Health Insurance (General Medical Services Table) Regulation</w:t>
      </w:r>
      <w:r w:rsidRPr="00D958FF">
        <w:t>, which is re-made each year.</w:t>
      </w:r>
    </w:p>
    <w:p w:rsidR="002220DD" w:rsidRDefault="002220DD" w:rsidP="004131EE">
      <w:pPr>
        <w:rPr>
          <w:highlight w:val="yellow"/>
        </w:rPr>
      </w:pPr>
    </w:p>
    <w:p w:rsidR="006C293E" w:rsidRDefault="006C293E" w:rsidP="00721712">
      <w:pPr>
        <w:tabs>
          <w:tab w:val="left" w:pos="5869"/>
        </w:tabs>
        <w:rPr>
          <w:b/>
          <w:szCs w:val="24"/>
        </w:rPr>
      </w:pPr>
      <w:r w:rsidRPr="006C293E">
        <w:rPr>
          <w:b/>
          <w:szCs w:val="24"/>
        </w:rPr>
        <w:t>Purpose</w:t>
      </w:r>
      <w:r w:rsidR="00721712">
        <w:rPr>
          <w:b/>
          <w:szCs w:val="24"/>
        </w:rPr>
        <w:tab/>
      </w:r>
    </w:p>
    <w:p w:rsidR="006C293E" w:rsidRDefault="006C293E" w:rsidP="004131EE">
      <w:pPr>
        <w:rPr>
          <w:highlight w:val="yellow"/>
        </w:rPr>
      </w:pPr>
      <w:r>
        <w:t>T</w:t>
      </w:r>
      <w:r w:rsidRPr="004131EE">
        <w:t xml:space="preserve">he </w:t>
      </w:r>
      <w:r>
        <w:t xml:space="preserve">purpose of the </w:t>
      </w:r>
      <w:r w:rsidRPr="004131EE">
        <w:rPr>
          <w:bCs/>
          <w:i/>
          <w:szCs w:val="24"/>
        </w:rPr>
        <w:t>Health</w:t>
      </w:r>
      <w:r w:rsidRPr="00890361">
        <w:rPr>
          <w:bCs/>
          <w:i/>
          <w:szCs w:val="24"/>
        </w:rPr>
        <w:t xml:space="preserve"> Insurance (Optometric services) Determination 2</w:t>
      </w:r>
      <w:r w:rsidR="00E97547">
        <w:rPr>
          <w:bCs/>
          <w:i/>
          <w:szCs w:val="24"/>
        </w:rPr>
        <w:t>016</w:t>
      </w:r>
      <w:r>
        <w:rPr>
          <w:bCs/>
          <w:i/>
          <w:szCs w:val="24"/>
        </w:rPr>
        <w:t xml:space="preserve"> </w:t>
      </w:r>
      <w:r w:rsidRPr="006C293E">
        <w:rPr>
          <w:bCs/>
          <w:szCs w:val="24"/>
        </w:rPr>
        <w:t xml:space="preserve">(the Determination) </w:t>
      </w:r>
      <w:r>
        <w:rPr>
          <w:bCs/>
          <w:szCs w:val="24"/>
        </w:rPr>
        <w:t xml:space="preserve">is to </w:t>
      </w:r>
      <w:r w:rsidR="00352FD5">
        <w:t>prescribe</w:t>
      </w:r>
      <w:r w:rsidR="00352FD5" w:rsidRPr="006C293E">
        <w:t xml:space="preserve"> </w:t>
      </w:r>
      <w:r w:rsidR="00352FD5">
        <w:t xml:space="preserve">a table of </w:t>
      </w:r>
      <w:r w:rsidR="003F7ECC">
        <w:t>health</w:t>
      </w:r>
      <w:r w:rsidR="00352FD5">
        <w:t xml:space="preserve"> services</w:t>
      </w:r>
      <w:r>
        <w:t xml:space="preserve"> that may be provided as </w:t>
      </w:r>
      <w:r w:rsidR="003F7ECC">
        <w:br/>
      </w:r>
      <w:r>
        <w:t>Medicare-eligible services by appropriately qualified optometrists.</w:t>
      </w:r>
      <w:r w:rsidRPr="007B40A7">
        <w:rPr>
          <w:highlight w:val="yellow"/>
        </w:rPr>
        <w:t xml:space="preserve"> </w:t>
      </w:r>
    </w:p>
    <w:p w:rsidR="006C293E" w:rsidRDefault="006C293E" w:rsidP="004131EE">
      <w:pPr>
        <w:rPr>
          <w:b/>
          <w:szCs w:val="24"/>
        </w:rPr>
      </w:pPr>
    </w:p>
    <w:p w:rsidR="004919FA" w:rsidRDefault="006C293E" w:rsidP="004919FA">
      <w:pPr>
        <w:rPr>
          <w:b/>
          <w:szCs w:val="24"/>
        </w:rPr>
      </w:pPr>
      <w:r>
        <w:rPr>
          <w:b/>
          <w:szCs w:val="24"/>
        </w:rPr>
        <w:t>Background</w:t>
      </w:r>
    </w:p>
    <w:p w:rsidR="00AC2C63" w:rsidRDefault="00AC2C63" w:rsidP="00AC2C63">
      <w:r>
        <w:t xml:space="preserve">The </w:t>
      </w:r>
      <w:r w:rsidRPr="00E11B4B">
        <w:rPr>
          <w:szCs w:val="24"/>
        </w:rPr>
        <w:t>Common Form of</w:t>
      </w:r>
      <w:r>
        <w:t xml:space="preserve"> Undertaking </w:t>
      </w:r>
      <w:r w:rsidR="0067123F">
        <w:t xml:space="preserve">(the Undertaking) </w:t>
      </w:r>
      <w:r>
        <w:t xml:space="preserve">is an agreement between the Commonwealth and an optometrist (or a person who employs optometrists, to provide services in the course of their practice), which enables them to participate in Medicare by becoming </w:t>
      </w:r>
      <w:r w:rsidR="0036077B">
        <w:t xml:space="preserve">a ‘participating optometrist’.  </w:t>
      </w:r>
      <w:r>
        <w:t>A participating optometrist is a practising optometrist who has entered into an arrangement by signing the Undertaking.</w:t>
      </w:r>
    </w:p>
    <w:p w:rsidR="00AC2C63" w:rsidRDefault="00AC2C63" w:rsidP="00AC2C63">
      <w:pPr>
        <w:autoSpaceDE w:val="0"/>
        <w:autoSpaceDN w:val="0"/>
        <w:adjustRightInd w:val="0"/>
        <w:rPr>
          <w:szCs w:val="24"/>
        </w:rPr>
      </w:pPr>
    </w:p>
    <w:p w:rsidR="00AC2C63" w:rsidRDefault="00FD69B1" w:rsidP="00AC2C63">
      <w:pPr>
        <w:autoSpaceDE w:val="0"/>
        <w:autoSpaceDN w:val="0"/>
        <w:adjustRightInd w:val="0"/>
        <w:rPr>
          <w:szCs w:val="24"/>
        </w:rPr>
      </w:pPr>
      <w:r w:rsidRPr="00E11B4B">
        <w:rPr>
          <w:szCs w:val="24"/>
        </w:rPr>
        <w:t xml:space="preserve">On 1 January 2015, the Undertaking was varied </w:t>
      </w:r>
      <w:r w:rsidR="00E11B4B">
        <w:rPr>
          <w:szCs w:val="24"/>
        </w:rPr>
        <w:t xml:space="preserve">due to </w:t>
      </w:r>
      <w:r w:rsidR="00E11B4B">
        <w:t xml:space="preserve">changes to the optometry arrangements announced in the 2014-15 Budget.  </w:t>
      </w:r>
      <w:r w:rsidR="00AC2C63">
        <w:t xml:space="preserve">The change removed the </w:t>
      </w:r>
      <w:r w:rsidR="00AC2C63" w:rsidRPr="00E11B4B">
        <w:rPr>
          <w:szCs w:val="24"/>
        </w:rPr>
        <w:t>charging c</w:t>
      </w:r>
      <w:r w:rsidR="00AC2C63">
        <w:rPr>
          <w:szCs w:val="24"/>
        </w:rPr>
        <w:t>ap that had applied</w:t>
      </w:r>
      <w:r w:rsidR="00AC2C63" w:rsidRPr="00E11B4B">
        <w:rPr>
          <w:szCs w:val="24"/>
        </w:rPr>
        <w:t xml:space="preserve"> to optometrists </w:t>
      </w:r>
      <w:r w:rsidR="00AC2C63">
        <w:rPr>
          <w:szCs w:val="24"/>
        </w:rPr>
        <w:t>providing services under</w:t>
      </w:r>
      <w:r w:rsidR="00AC2C63" w:rsidRPr="00E11B4B">
        <w:rPr>
          <w:szCs w:val="24"/>
        </w:rPr>
        <w:t xml:space="preserve"> the Medicare Benefits Schedule</w:t>
      </w:r>
      <w:r w:rsidR="00AC2C63">
        <w:rPr>
          <w:szCs w:val="24"/>
        </w:rPr>
        <w:t>,</w:t>
      </w:r>
      <w:r w:rsidR="00AC2C63" w:rsidRPr="00E11B4B">
        <w:rPr>
          <w:szCs w:val="24"/>
        </w:rPr>
        <w:t xml:space="preserve"> enabling optometrists to set their own fees in a similar manner to other health pr</w:t>
      </w:r>
      <w:r w:rsidR="009A31DE">
        <w:rPr>
          <w:szCs w:val="24"/>
        </w:rPr>
        <w:t>actitioners</w:t>
      </w:r>
      <w:r w:rsidR="00AC2C63" w:rsidRPr="00E11B4B">
        <w:rPr>
          <w:szCs w:val="24"/>
        </w:rPr>
        <w:t>.</w:t>
      </w:r>
      <w:r w:rsidR="00AC2C63">
        <w:rPr>
          <w:szCs w:val="24"/>
        </w:rPr>
        <w:t xml:space="preserve"> </w:t>
      </w:r>
    </w:p>
    <w:p w:rsidR="00E2080E" w:rsidRDefault="00E2080E" w:rsidP="00AC2C63">
      <w:pPr>
        <w:autoSpaceDE w:val="0"/>
        <w:autoSpaceDN w:val="0"/>
        <w:adjustRightInd w:val="0"/>
        <w:rPr>
          <w:szCs w:val="24"/>
        </w:rPr>
      </w:pPr>
    </w:p>
    <w:p w:rsidR="00E2080E" w:rsidRDefault="00E2080E" w:rsidP="00AC2C63">
      <w:pPr>
        <w:autoSpaceDE w:val="0"/>
        <w:autoSpaceDN w:val="0"/>
        <w:adjustRightInd w:val="0"/>
        <w:rPr>
          <w:szCs w:val="24"/>
        </w:rPr>
      </w:pPr>
      <w:r>
        <w:rPr>
          <w:szCs w:val="24"/>
        </w:rPr>
        <w:t>For the purposes of Medicare, the Undertaking is redundant and</w:t>
      </w:r>
      <w:r w:rsidR="008C443E">
        <w:rPr>
          <w:szCs w:val="24"/>
        </w:rPr>
        <w:t xml:space="preserve"> duplicative </w:t>
      </w:r>
      <w:r>
        <w:rPr>
          <w:szCs w:val="24"/>
        </w:rPr>
        <w:t xml:space="preserve">given practitioner requirements for Medicare are already contained within the Act. </w:t>
      </w:r>
    </w:p>
    <w:p w:rsidR="007364DD" w:rsidRDefault="007364DD" w:rsidP="00E11B4B">
      <w:pPr>
        <w:autoSpaceDE w:val="0"/>
        <w:autoSpaceDN w:val="0"/>
        <w:adjustRightInd w:val="0"/>
        <w:rPr>
          <w:szCs w:val="24"/>
        </w:rPr>
      </w:pPr>
    </w:p>
    <w:p w:rsidR="000976B3" w:rsidRDefault="000976B3" w:rsidP="00AE4585">
      <w:r>
        <w:t xml:space="preserve">This Determination will allow </w:t>
      </w:r>
      <w:r w:rsidR="00E2080E">
        <w:t>all</w:t>
      </w:r>
      <w:r w:rsidR="008C443E">
        <w:t xml:space="preserve"> optometrists, defined</w:t>
      </w:r>
      <w:r w:rsidR="009A31DE">
        <w:t xml:space="preserve"> under subsection 3(1) of the Act</w:t>
      </w:r>
      <w:r w:rsidR="008C443E">
        <w:t xml:space="preserve"> as persons</w:t>
      </w:r>
      <w:r>
        <w:t xml:space="preserve"> </w:t>
      </w:r>
      <w:r w:rsidR="00E2080E">
        <w:t>registered or licensed as an optometrist or optician under a law of a State or an internal Territory</w:t>
      </w:r>
      <w:r w:rsidR="008C443E">
        <w:t xml:space="preserve"> that provides for the registration or licensing of optometrists or opticians</w:t>
      </w:r>
      <w:r w:rsidR="00E2080E">
        <w:t xml:space="preserve">, </w:t>
      </w:r>
      <w:r>
        <w:t xml:space="preserve">to provide services under Medicare. </w:t>
      </w:r>
      <w:r w:rsidR="008C443E">
        <w:t>This will mean p</w:t>
      </w:r>
      <w:r>
        <w:t>ractising optometrists</w:t>
      </w:r>
      <w:r w:rsidR="008C443E">
        <w:t xml:space="preserve"> will be allowed</w:t>
      </w:r>
      <w:r>
        <w:t xml:space="preserve"> to provide services under Medicare</w:t>
      </w:r>
      <w:r w:rsidR="0036077B">
        <w:t>, without the requirement to sign the Undertaking</w:t>
      </w:r>
      <w:r>
        <w:t>. This aligns Medicare arrangements</w:t>
      </w:r>
      <w:r w:rsidR="008C443E">
        <w:t xml:space="preserve"> for optometrists</w:t>
      </w:r>
      <w:r>
        <w:t xml:space="preserve"> with that of other health pr</w:t>
      </w:r>
      <w:r w:rsidR="009A31DE">
        <w:t>actitioners</w:t>
      </w:r>
      <w:r>
        <w:t xml:space="preserve">, which require providers to </w:t>
      </w:r>
      <w:r w:rsidR="009A31DE">
        <w:t xml:space="preserve">meet State and Territory registration standards. Optometrists will continue to be required to meet all requirements under the Act, in line with all other health practitioners under Medicare. </w:t>
      </w:r>
    </w:p>
    <w:p w:rsidR="0034513E" w:rsidRPr="007B40A7" w:rsidRDefault="0034513E" w:rsidP="00AE4585">
      <w:pPr>
        <w:rPr>
          <w:szCs w:val="24"/>
          <w:highlight w:val="yellow"/>
        </w:rPr>
      </w:pPr>
    </w:p>
    <w:p w:rsidR="00AE4585" w:rsidRPr="004131EE" w:rsidRDefault="00AE4585" w:rsidP="00AE4585">
      <w:pPr>
        <w:rPr>
          <w:szCs w:val="24"/>
        </w:rPr>
      </w:pPr>
      <w:r w:rsidRPr="004131EE">
        <w:rPr>
          <w:szCs w:val="24"/>
        </w:rPr>
        <w:t xml:space="preserve">Details of the </w:t>
      </w:r>
      <w:r w:rsidR="00AC2C63">
        <w:rPr>
          <w:szCs w:val="24"/>
        </w:rPr>
        <w:t>Determination</w:t>
      </w:r>
      <w:r w:rsidRPr="004131EE">
        <w:rPr>
          <w:i/>
          <w:szCs w:val="24"/>
        </w:rPr>
        <w:t xml:space="preserve"> </w:t>
      </w:r>
      <w:r w:rsidRPr="004131EE">
        <w:rPr>
          <w:szCs w:val="24"/>
        </w:rPr>
        <w:t xml:space="preserve">are set out in the </w:t>
      </w:r>
      <w:r w:rsidRPr="004131EE">
        <w:rPr>
          <w:szCs w:val="24"/>
          <w:u w:val="single"/>
        </w:rPr>
        <w:t>Attachment</w:t>
      </w:r>
      <w:r w:rsidRPr="004131EE">
        <w:rPr>
          <w:szCs w:val="24"/>
        </w:rPr>
        <w:t>.</w:t>
      </w:r>
    </w:p>
    <w:p w:rsidR="00AE4585" w:rsidRPr="004131EE" w:rsidRDefault="00AE4585" w:rsidP="00AE4585">
      <w:pPr>
        <w:rPr>
          <w:sz w:val="16"/>
          <w:szCs w:val="16"/>
        </w:rPr>
      </w:pPr>
    </w:p>
    <w:p w:rsidR="00AE4585" w:rsidRPr="004131EE" w:rsidRDefault="003C72EB" w:rsidP="00AE4585">
      <w:pPr>
        <w:rPr>
          <w:szCs w:val="24"/>
        </w:rPr>
      </w:pPr>
      <w:r w:rsidRPr="004131EE">
        <w:rPr>
          <w:szCs w:val="24"/>
        </w:rPr>
        <w:t xml:space="preserve">This Determination </w:t>
      </w:r>
      <w:r w:rsidR="00AE4585" w:rsidRPr="004131EE">
        <w:rPr>
          <w:szCs w:val="24"/>
        </w:rPr>
        <w:t xml:space="preserve">is a legislative instrument for the purposes of the </w:t>
      </w:r>
      <w:r w:rsidR="00CA1F98">
        <w:rPr>
          <w:i/>
          <w:iCs/>
        </w:rPr>
        <w:t>Legislation Act 2003</w:t>
      </w:r>
      <w:r w:rsidR="00AE4585" w:rsidRPr="004131EE">
        <w:rPr>
          <w:szCs w:val="24"/>
        </w:rPr>
        <w:t xml:space="preserve">.  </w:t>
      </w:r>
    </w:p>
    <w:p w:rsidR="00AE4585" w:rsidRPr="007B40A7" w:rsidRDefault="0033144D" w:rsidP="00AE4585">
      <w:pPr>
        <w:tabs>
          <w:tab w:val="left" w:pos="567"/>
        </w:tabs>
        <w:spacing w:before="240"/>
        <w:rPr>
          <w:szCs w:val="24"/>
          <w:highlight w:val="yellow"/>
        </w:rPr>
      </w:pPr>
      <w:r w:rsidRPr="004131EE">
        <w:rPr>
          <w:szCs w:val="24"/>
        </w:rPr>
        <w:t>Th</w:t>
      </w:r>
      <w:r w:rsidR="00670D54" w:rsidRPr="004131EE">
        <w:rPr>
          <w:szCs w:val="24"/>
        </w:rPr>
        <w:t>is Determination</w:t>
      </w:r>
      <w:r w:rsidRPr="004131EE">
        <w:rPr>
          <w:szCs w:val="24"/>
        </w:rPr>
        <w:t xml:space="preserve"> </w:t>
      </w:r>
      <w:r w:rsidR="00AE4585" w:rsidRPr="004131EE">
        <w:rPr>
          <w:szCs w:val="24"/>
        </w:rPr>
        <w:t xml:space="preserve">commences </w:t>
      </w:r>
      <w:r w:rsidR="00AE4585" w:rsidRPr="006C293E">
        <w:rPr>
          <w:szCs w:val="24"/>
        </w:rPr>
        <w:t xml:space="preserve">on </w:t>
      </w:r>
      <w:r w:rsidR="006C293E" w:rsidRPr="006C293E">
        <w:rPr>
          <w:szCs w:val="24"/>
        </w:rPr>
        <w:t>1 April 2016</w:t>
      </w:r>
      <w:r w:rsidR="00724B0F">
        <w:rPr>
          <w:szCs w:val="24"/>
        </w:rPr>
        <w:t>.</w:t>
      </w:r>
    </w:p>
    <w:p w:rsidR="006C293E" w:rsidRDefault="006C293E" w:rsidP="006C293E">
      <w:pPr>
        <w:rPr>
          <w:b/>
          <w:highlight w:val="yellow"/>
        </w:rPr>
      </w:pPr>
    </w:p>
    <w:p w:rsidR="006C293E" w:rsidRPr="006C293E" w:rsidRDefault="006C293E" w:rsidP="006C293E">
      <w:pPr>
        <w:rPr>
          <w:b/>
        </w:rPr>
      </w:pPr>
      <w:r w:rsidRPr="006C293E">
        <w:rPr>
          <w:b/>
        </w:rPr>
        <w:t xml:space="preserve">Consultation </w:t>
      </w:r>
    </w:p>
    <w:p w:rsidR="00E97547" w:rsidRDefault="00E97547" w:rsidP="00AE4585">
      <w:r w:rsidRPr="00E97547">
        <w:t>General consultation has occurred with Optometry Australia in relation to optometry services, which has indicated its support to remove the need to sign the outdated Common Form of Undertaking for the purpose of Medicare benefits.</w:t>
      </w:r>
    </w:p>
    <w:p w:rsidR="00E97547" w:rsidRDefault="00E97547" w:rsidP="00AE4585"/>
    <w:p w:rsidR="000866C4" w:rsidRDefault="000866C4">
      <w:pPr>
        <w:rPr>
          <w:b/>
          <w:szCs w:val="24"/>
        </w:rPr>
      </w:pPr>
      <w:r>
        <w:rPr>
          <w:b/>
          <w:szCs w:val="24"/>
        </w:rPr>
        <w:br w:type="page"/>
      </w:r>
    </w:p>
    <w:p w:rsidR="00AE4585" w:rsidRPr="00955F5B" w:rsidRDefault="00AE4585" w:rsidP="00AE4585">
      <w:pPr>
        <w:tabs>
          <w:tab w:val="left" w:pos="4536"/>
        </w:tabs>
        <w:rPr>
          <w:b/>
          <w:szCs w:val="24"/>
        </w:rPr>
      </w:pPr>
    </w:p>
    <w:p w:rsidR="00AE4585" w:rsidRPr="00955F5B" w:rsidRDefault="00AE4585" w:rsidP="00AE4585">
      <w:pPr>
        <w:pStyle w:val="BodyText"/>
        <w:jc w:val="right"/>
        <w:rPr>
          <w:szCs w:val="24"/>
        </w:rPr>
      </w:pPr>
      <w:r w:rsidRPr="00955F5B">
        <w:rPr>
          <w:szCs w:val="24"/>
        </w:rPr>
        <w:t>ATTACHMENT</w:t>
      </w:r>
    </w:p>
    <w:p w:rsidR="00AE4585" w:rsidRPr="00955F5B" w:rsidRDefault="00AE4585" w:rsidP="00AE4585">
      <w:pPr>
        <w:pStyle w:val="BodyText"/>
        <w:rPr>
          <w:szCs w:val="24"/>
          <w:u w:val="single"/>
        </w:rPr>
      </w:pPr>
    </w:p>
    <w:p w:rsidR="00AE4585" w:rsidRPr="00955F5B" w:rsidRDefault="00AE4585" w:rsidP="0053531C">
      <w:pPr>
        <w:pStyle w:val="ShortT"/>
        <w:spacing w:before="240"/>
        <w:rPr>
          <w:sz w:val="24"/>
          <w:szCs w:val="24"/>
        </w:rPr>
      </w:pPr>
      <w:r w:rsidRPr="00955F5B">
        <w:rPr>
          <w:sz w:val="24"/>
          <w:szCs w:val="24"/>
        </w:rPr>
        <w:t xml:space="preserve">Details of the </w:t>
      </w:r>
      <w:r w:rsidR="004131EE" w:rsidRPr="00955F5B">
        <w:rPr>
          <w:i/>
          <w:sz w:val="24"/>
          <w:szCs w:val="24"/>
        </w:rPr>
        <w:t>Health Insurance (Optometric services) Determination 201</w:t>
      </w:r>
      <w:r w:rsidR="00E97547">
        <w:rPr>
          <w:i/>
          <w:sz w:val="24"/>
          <w:szCs w:val="24"/>
        </w:rPr>
        <w:t>6</w:t>
      </w:r>
    </w:p>
    <w:p w:rsidR="00AE4585" w:rsidRPr="00955F5B" w:rsidRDefault="00AE4585" w:rsidP="00AE4585">
      <w:pPr>
        <w:pStyle w:val="BodyText"/>
        <w:rPr>
          <w:b w:val="0"/>
          <w:i/>
          <w:szCs w:val="24"/>
        </w:rPr>
      </w:pPr>
    </w:p>
    <w:p w:rsidR="00AE4585" w:rsidRPr="00955F5B" w:rsidRDefault="00AE4585" w:rsidP="0033144D">
      <w:pPr>
        <w:pStyle w:val="BodyText"/>
        <w:rPr>
          <w:b w:val="0"/>
          <w:szCs w:val="24"/>
          <w:u w:val="single"/>
        </w:rPr>
      </w:pPr>
      <w:r w:rsidRPr="00955F5B">
        <w:rPr>
          <w:b w:val="0"/>
          <w:szCs w:val="24"/>
          <w:u w:val="single"/>
        </w:rPr>
        <w:t xml:space="preserve">Section 1 – Name of </w:t>
      </w:r>
      <w:r w:rsidR="00194186" w:rsidRPr="00955F5B">
        <w:rPr>
          <w:b w:val="0"/>
          <w:szCs w:val="24"/>
          <w:u w:val="single"/>
        </w:rPr>
        <w:t>D</w:t>
      </w:r>
      <w:r w:rsidR="0053531C" w:rsidRPr="00955F5B">
        <w:rPr>
          <w:b w:val="0"/>
          <w:szCs w:val="24"/>
          <w:u w:val="single"/>
        </w:rPr>
        <w:t>etermination</w:t>
      </w:r>
    </w:p>
    <w:p w:rsidR="00AE4585" w:rsidRPr="00955F5B" w:rsidRDefault="00AE4585" w:rsidP="00A058BA">
      <w:pPr>
        <w:pStyle w:val="BodyText"/>
        <w:spacing w:before="240"/>
        <w:rPr>
          <w:b w:val="0"/>
          <w:szCs w:val="24"/>
        </w:rPr>
      </w:pPr>
      <w:r w:rsidRPr="00955F5B">
        <w:rPr>
          <w:b w:val="0"/>
          <w:szCs w:val="24"/>
        </w:rPr>
        <w:t xml:space="preserve">This section provides for the </w:t>
      </w:r>
      <w:r w:rsidR="00194186" w:rsidRPr="00955F5B">
        <w:rPr>
          <w:b w:val="0"/>
          <w:szCs w:val="24"/>
        </w:rPr>
        <w:t>D</w:t>
      </w:r>
      <w:r w:rsidR="0053531C" w:rsidRPr="00955F5B">
        <w:rPr>
          <w:b w:val="0"/>
          <w:szCs w:val="24"/>
        </w:rPr>
        <w:t>etermination</w:t>
      </w:r>
      <w:r w:rsidRPr="00955F5B">
        <w:rPr>
          <w:b w:val="0"/>
          <w:szCs w:val="24"/>
        </w:rPr>
        <w:t xml:space="preserve"> to be referred to as the </w:t>
      </w:r>
      <w:r w:rsidR="004131EE" w:rsidRPr="00A058BA">
        <w:rPr>
          <w:b w:val="0"/>
          <w:i/>
          <w:szCs w:val="24"/>
        </w:rPr>
        <w:t>Health Insurance (Optometric services) Determination 201</w:t>
      </w:r>
      <w:r w:rsidR="00955F5B" w:rsidRPr="00A058BA">
        <w:rPr>
          <w:b w:val="0"/>
          <w:i/>
          <w:szCs w:val="24"/>
        </w:rPr>
        <w:t>6</w:t>
      </w:r>
      <w:r w:rsidR="004131EE" w:rsidRPr="00955F5B">
        <w:rPr>
          <w:b w:val="0"/>
          <w:szCs w:val="24"/>
        </w:rPr>
        <w:t>.</w:t>
      </w:r>
    </w:p>
    <w:p w:rsidR="004131EE" w:rsidRPr="00955F5B" w:rsidRDefault="004131EE" w:rsidP="004131EE"/>
    <w:p w:rsidR="00AE4585" w:rsidRPr="00A058BA" w:rsidRDefault="00AE4585" w:rsidP="00A058BA">
      <w:pPr>
        <w:pStyle w:val="BodyText"/>
        <w:rPr>
          <w:b w:val="0"/>
          <w:szCs w:val="24"/>
          <w:u w:val="single"/>
        </w:rPr>
      </w:pPr>
      <w:r w:rsidRPr="00955F5B">
        <w:rPr>
          <w:b w:val="0"/>
          <w:szCs w:val="24"/>
          <w:u w:val="single"/>
        </w:rPr>
        <w:t xml:space="preserve">Section 2 – Commencement </w:t>
      </w:r>
    </w:p>
    <w:p w:rsidR="00AE4585" w:rsidRPr="00A058BA" w:rsidRDefault="00AE4585" w:rsidP="00A058BA">
      <w:pPr>
        <w:pStyle w:val="BodyText"/>
        <w:spacing w:before="240"/>
        <w:rPr>
          <w:b w:val="0"/>
          <w:szCs w:val="24"/>
        </w:rPr>
      </w:pPr>
      <w:r w:rsidRPr="00A058BA">
        <w:rPr>
          <w:b w:val="0"/>
          <w:szCs w:val="24"/>
        </w:rPr>
        <w:t xml:space="preserve">This section provides for the </w:t>
      </w:r>
      <w:r w:rsidR="00194186" w:rsidRPr="00A058BA">
        <w:rPr>
          <w:b w:val="0"/>
          <w:szCs w:val="24"/>
        </w:rPr>
        <w:t>D</w:t>
      </w:r>
      <w:r w:rsidR="0053531C" w:rsidRPr="00A058BA">
        <w:rPr>
          <w:b w:val="0"/>
          <w:szCs w:val="24"/>
        </w:rPr>
        <w:t>etermination</w:t>
      </w:r>
      <w:r w:rsidRPr="00A058BA">
        <w:rPr>
          <w:b w:val="0"/>
          <w:szCs w:val="24"/>
        </w:rPr>
        <w:t xml:space="preserve"> to commence </w:t>
      </w:r>
      <w:r w:rsidR="00955F5B" w:rsidRPr="00A058BA">
        <w:rPr>
          <w:b w:val="0"/>
          <w:szCs w:val="24"/>
        </w:rPr>
        <w:t>on 1 April 2016</w:t>
      </w:r>
      <w:r w:rsidRPr="00A058BA">
        <w:rPr>
          <w:b w:val="0"/>
          <w:szCs w:val="24"/>
        </w:rPr>
        <w:t>.</w:t>
      </w:r>
    </w:p>
    <w:p w:rsidR="00AE4585" w:rsidRPr="007B40A7" w:rsidRDefault="00AE4585" w:rsidP="00AE4585">
      <w:pPr>
        <w:pStyle w:val="BodyText"/>
        <w:rPr>
          <w:b w:val="0"/>
          <w:szCs w:val="24"/>
          <w:highlight w:val="yellow"/>
        </w:rPr>
      </w:pPr>
    </w:p>
    <w:p w:rsidR="00C3013B" w:rsidRPr="00B16917" w:rsidRDefault="00AE4585" w:rsidP="00C3013B">
      <w:pPr>
        <w:pStyle w:val="BodyText"/>
        <w:rPr>
          <w:b w:val="0"/>
          <w:szCs w:val="24"/>
          <w:u w:val="single"/>
        </w:rPr>
      </w:pPr>
      <w:r w:rsidRPr="00B16917">
        <w:rPr>
          <w:b w:val="0"/>
          <w:szCs w:val="24"/>
          <w:u w:val="single"/>
        </w:rPr>
        <w:t xml:space="preserve">Section 3 – </w:t>
      </w:r>
      <w:r w:rsidR="00955F5B" w:rsidRPr="00B16917">
        <w:rPr>
          <w:b w:val="0"/>
          <w:szCs w:val="24"/>
          <w:u w:val="single"/>
        </w:rPr>
        <w:t>Authority</w:t>
      </w:r>
    </w:p>
    <w:p w:rsidR="00AE4585" w:rsidRPr="00B16917" w:rsidRDefault="00B16917" w:rsidP="00B16917">
      <w:pPr>
        <w:pStyle w:val="BodyText"/>
        <w:spacing w:before="240"/>
        <w:rPr>
          <w:b w:val="0"/>
          <w:szCs w:val="24"/>
          <w:u w:val="single"/>
        </w:rPr>
      </w:pPr>
      <w:r w:rsidRPr="00B16917">
        <w:rPr>
          <w:b w:val="0"/>
        </w:rPr>
        <w:t xml:space="preserve">This section provides that the Determination is made under the </w:t>
      </w:r>
      <w:r w:rsidRPr="00B16917">
        <w:rPr>
          <w:b w:val="0"/>
          <w:i/>
        </w:rPr>
        <w:t>Health Insurance Act 1973</w:t>
      </w:r>
      <w:r w:rsidRPr="00B16917">
        <w:rPr>
          <w:b w:val="0"/>
        </w:rPr>
        <w:t>.</w:t>
      </w:r>
      <w:r w:rsidR="00A42C2D" w:rsidRPr="00B16917">
        <w:rPr>
          <w:b w:val="0"/>
        </w:rPr>
        <w:tab/>
      </w:r>
    </w:p>
    <w:p w:rsidR="00A42C2D" w:rsidRPr="00B16917" w:rsidRDefault="00A42C2D" w:rsidP="00A42C2D">
      <w:pPr>
        <w:ind w:left="719" w:hanging="719"/>
        <w:rPr>
          <w:szCs w:val="24"/>
          <w:u w:val="single"/>
        </w:rPr>
      </w:pPr>
      <w:r w:rsidRPr="00B16917">
        <w:rPr>
          <w:szCs w:val="24"/>
          <w:u w:val="single"/>
        </w:rPr>
        <w:t xml:space="preserve">Section </w:t>
      </w:r>
      <w:r w:rsidR="00955F5B" w:rsidRPr="00B16917">
        <w:rPr>
          <w:szCs w:val="24"/>
          <w:u w:val="single"/>
        </w:rPr>
        <w:t>4</w:t>
      </w:r>
      <w:r w:rsidRPr="00B16917">
        <w:rPr>
          <w:szCs w:val="24"/>
          <w:u w:val="single"/>
        </w:rPr>
        <w:t xml:space="preserve"> – </w:t>
      </w:r>
      <w:r w:rsidR="00955F5B" w:rsidRPr="00B16917">
        <w:rPr>
          <w:szCs w:val="24"/>
          <w:u w:val="single"/>
        </w:rPr>
        <w:t>Definitions</w:t>
      </w:r>
    </w:p>
    <w:p w:rsidR="00A058BA" w:rsidRPr="00B16917" w:rsidRDefault="00A058BA" w:rsidP="00B16917">
      <w:pPr>
        <w:pStyle w:val="PFParaNumLevel1"/>
        <w:numPr>
          <w:ilvl w:val="0"/>
          <w:numId w:val="0"/>
        </w:numPr>
        <w:spacing w:after="0"/>
        <w:ind w:left="924" w:hanging="924"/>
        <w:rPr>
          <w:rFonts w:ascii="Times New Roman" w:hAnsi="Times New Roman"/>
          <w:color w:val="auto"/>
          <w:sz w:val="24"/>
          <w:lang w:eastAsia="en-AU"/>
        </w:rPr>
      </w:pPr>
      <w:r w:rsidRPr="00B16917">
        <w:rPr>
          <w:rFonts w:ascii="Times New Roman" w:hAnsi="Times New Roman"/>
          <w:color w:val="auto"/>
          <w:sz w:val="24"/>
          <w:lang w:eastAsia="en-AU"/>
        </w:rPr>
        <w:t>This section</w:t>
      </w:r>
      <w:r w:rsidR="00B16917" w:rsidRPr="00B16917">
        <w:rPr>
          <w:rFonts w:ascii="Times New Roman" w:hAnsi="Times New Roman"/>
          <w:color w:val="auto"/>
          <w:sz w:val="24"/>
          <w:lang w:eastAsia="en-AU"/>
        </w:rPr>
        <w:t xml:space="preserve"> defines terms used in the Determination.  </w:t>
      </w:r>
    </w:p>
    <w:p w:rsidR="00441816" w:rsidRPr="005D206F" w:rsidRDefault="00441816" w:rsidP="00A42C2D">
      <w:pPr>
        <w:pStyle w:val="Header"/>
        <w:tabs>
          <w:tab w:val="clear" w:pos="4153"/>
          <w:tab w:val="clear" w:pos="8306"/>
          <w:tab w:val="num" w:pos="1080"/>
        </w:tabs>
        <w:rPr>
          <w:szCs w:val="24"/>
          <w:highlight w:val="yellow"/>
          <w:u w:val="single"/>
        </w:rPr>
      </w:pPr>
    </w:p>
    <w:p w:rsidR="00A42C2D" w:rsidRPr="00B43894" w:rsidRDefault="00A058BA" w:rsidP="00A42C2D">
      <w:pPr>
        <w:ind w:left="719" w:hanging="719"/>
        <w:rPr>
          <w:szCs w:val="24"/>
          <w:u w:val="single"/>
        </w:rPr>
      </w:pPr>
      <w:r w:rsidRPr="00B43894">
        <w:rPr>
          <w:szCs w:val="24"/>
          <w:u w:val="single"/>
        </w:rPr>
        <w:t>Section 5</w:t>
      </w:r>
      <w:r w:rsidR="00A42C2D" w:rsidRPr="00B43894">
        <w:rPr>
          <w:szCs w:val="24"/>
          <w:u w:val="single"/>
        </w:rPr>
        <w:t xml:space="preserve"> </w:t>
      </w:r>
      <w:r w:rsidR="00C3013B" w:rsidRPr="00B43894">
        <w:rPr>
          <w:szCs w:val="24"/>
          <w:u w:val="single"/>
        </w:rPr>
        <w:t>–</w:t>
      </w:r>
      <w:r w:rsidR="00A42C2D" w:rsidRPr="00B43894">
        <w:rPr>
          <w:szCs w:val="24"/>
          <w:u w:val="single"/>
        </w:rPr>
        <w:t xml:space="preserve"> </w:t>
      </w:r>
      <w:r w:rsidRPr="00B43894">
        <w:rPr>
          <w:szCs w:val="24"/>
          <w:u w:val="single"/>
        </w:rPr>
        <w:t>Treatment of relevant services</w:t>
      </w:r>
    </w:p>
    <w:p w:rsidR="00B2708A" w:rsidRPr="00132572" w:rsidRDefault="00B2708A" w:rsidP="00E55D9C">
      <w:pPr>
        <w:pStyle w:val="pfparanumlevel10"/>
        <w:spacing w:before="120" w:beforeAutospacing="0" w:after="0" w:afterAutospacing="0"/>
      </w:pPr>
      <w:r>
        <w:t xml:space="preserve">This section provides that a relevant service described in the Schedule to the Determination </w:t>
      </w:r>
      <w:r w:rsidRPr="00132572">
        <w:t>shall be treated as if it were both a professional service and a medical service</w:t>
      </w:r>
      <w:r>
        <w:t xml:space="preserve"> as</w:t>
      </w:r>
      <w:r w:rsidRPr="00132572">
        <w:t xml:space="preserve"> if it were specified in the </w:t>
      </w:r>
      <w:r>
        <w:t>general medical services table</w:t>
      </w:r>
      <w:r w:rsidRPr="00132572">
        <w:t xml:space="preserve"> for the relevant provisions of the Act</w:t>
      </w:r>
      <w:r>
        <w:t>,</w:t>
      </w:r>
      <w:r w:rsidRPr="00132572">
        <w:t xml:space="preserve"> other than subsection 3(5)</w:t>
      </w:r>
      <w:r>
        <w:t xml:space="preserve"> of the Act for item 10944.</w:t>
      </w:r>
    </w:p>
    <w:p w:rsidR="00441816" w:rsidRPr="00B43894" w:rsidRDefault="00441816" w:rsidP="00441816"/>
    <w:p w:rsidR="00C3013B" w:rsidRPr="00B43894" w:rsidRDefault="00A058BA" w:rsidP="00C3013B">
      <w:pPr>
        <w:ind w:left="719" w:hanging="719"/>
        <w:rPr>
          <w:szCs w:val="24"/>
          <w:u w:val="single"/>
        </w:rPr>
      </w:pPr>
      <w:r w:rsidRPr="00B43894">
        <w:rPr>
          <w:szCs w:val="24"/>
          <w:u w:val="single"/>
        </w:rPr>
        <w:t>Section 6</w:t>
      </w:r>
      <w:r w:rsidR="00C3013B" w:rsidRPr="00B43894">
        <w:rPr>
          <w:szCs w:val="24"/>
          <w:u w:val="single"/>
        </w:rPr>
        <w:t xml:space="preserve"> – </w:t>
      </w:r>
      <w:r w:rsidRPr="00B43894">
        <w:rPr>
          <w:szCs w:val="24"/>
          <w:u w:val="single"/>
        </w:rPr>
        <w:t>Application of item 10929</w:t>
      </w:r>
    </w:p>
    <w:p w:rsidR="00B43894" w:rsidRPr="00B43894" w:rsidRDefault="00A058BA" w:rsidP="00B43894">
      <w:pPr>
        <w:pStyle w:val="BodyText"/>
        <w:spacing w:before="240" w:after="240"/>
        <w:rPr>
          <w:b w:val="0"/>
          <w:szCs w:val="24"/>
        </w:rPr>
      </w:pPr>
      <w:r w:rsidRPr="00B43894">
        <w:rPr>
          <w:b w:val="0"/>
          <w:szCs w:val="24"/>
        </w:rPr>
        <w:t>This section</w:t>
      </w:r>
      <w:r w:rsidR="00B47BF7" w:rsidRPr="00B43894">
        <w:rPr>
          <w:b w:val="0"/>
          <w:szCs w:val="24"/>
        </w:rPr>
        <w:t xml:space="preserve"> </w:t>
      </w:r>
      <w:r w:rsidR="00B43894" w:rsidRPr="00B43894">
        <w:rPr>
          <w:b w:val="0"/>
          <w:szCs w:val="24"/>
        </w:rPr>
        <w:t xml:space="preserve">outlines the restrictions on the </w:t>
      </w:r>
      <w:r w:rsidR="00B2708A">
        <w:rPr>
          <w:b w:val="0"/>
          <w:szCs w:val="24"/>
        </w:rPr>
        <w:t>claiming</w:t>
      </w:r>
      <w:r w:rsidR="00B43894" w:rsidRPr="00B43894">
        <w:rPr>
          <w:b w:val="0"/>
          <w:szCs w:val="24"/>
        </w:rPr>
        <w:t xml:space="preserve"> of item 10929.</w:t>
      </w:r>
    </w:p>
    <w:p w:rsidR="00A058BA" w:rsidRPr="00A333BD" w:rsidRDefault="00A058BA" w:rsidP="00C3013B">
      <w:pPr>
        <w:ind w:left="719" w:hanging="719"/>
        <w:rPr>
          <w:szCs w:val="24"/>
          <w:u w:val="single"/>
        </w:rPr>
      </w:pPr>
      <w:r w:rsidRPr="00A333BD">
        <w:rPr>
          <w:szCs w:val="24"/>
          <w:u w:val="single"/>
        </w:rPr>
        <w:t xml:space="preserve">Section 7 – Application of items 10931, 10932 and 10933 </w:t>
      </w:r>
    </w:p>
    <w:p w:rsidR="00A058BA" w:rsidRPr="00A333BD" w:rsidRDefault="00A058BA" w:rsidP="00A058BA">
      <w:pPr>
        <w:pStyle w:val="BodyText"/>
        <w:spacing w:before="240"/>
        <w:rPr>
          <w:b w:val="0"/>
          <w:szCs w:val="24"/>
        </w:rPr>
      </w:pPr>
      <w:r w:rsidRPr="00A333BD">
        <w:rPr>
          <w:b w:val="0"/>
          <w:szCs w:val="24"/>
        </w:rPr>
        <w:t>This section</w:t>
      </w:r>
      <w:r w:rsidR="00A333BD" w:rsidRPr="00A333BD">
        <w:rPr>
          <w:b w:val="0"/>
          <w:szCs w:val="24"/>
        </w:rPr>
        <w:t xml:space="preserve"> provides that items 10931, 10932 </w:t>
      </w:r>
      <w:r w:rsidR="00B2708A">
        <w:rPr>
          <w:b w:val="0"/>
          <w:szCs w:val="24"/>
        </w:rPr>
        <w:t xml:space="preserve">or </w:t>
      </w:r>
      <w:r w:rsidR="00A333BD" w:rsidRPr="00A333BD">
        <w:rPr>
          <w:b w:val="0"/>
          <w:szCs w:val="24"/>
        </w:rPr>
        <w:t xml:space="preserve">10933 can be </w:t>
      </w:r>
      <w:r w:rsidR="00B2708A">
        <w:rPr>
          <w:b w:val="0"/>
          <w:szCs w:val="24"/>
        </w:rPr>
        <w:t>claimed</w:t>
      </w:r>
      <w:r w:rsidR="00A333BD" w:rsidRPr="00A333BD">
        <w:rPr>
          <w:b w:val="0"/>
          <w:szCs w:val="24"/>
        </w:rPr>
        <w:t xml:space="preserve"> with another item in Subgroup 1 of Group A10 if both items apply.</w:t>
      </w:r>
    </w:p>
    <w:p w:rsidR="00A058BA" w:rsidRPr="005D206F" w:rsidRDefault="00A058BA" w:rsidP="00C3013B">
      <w:pPr>
        <w:ind w:left="719" w:hanging="719"/>
        <w:rPr>
          <w:szCs w:val="24"/>
          <w:highlight w:val="yellow"/>
          <w:u w:val="single"/>
        </w:rPr>
      </w:pPr>
    </w:p>
    <w:p w:rsidR="00A058BA" w:rsidRPr="00917B9C" w:rsidRDefault="00A058BA" w:rsidP="00C3013B">
      <w:pPr>
        <w:ind w:left="719" w:hanging="719"/>
        <w:rPr>
          <w:szCs w:val="24"/>
          <w:u w:val="single"/>
        </w:rPr>
      </w:pPr>
      <w:r w:rsidRPr="00917B9C">
        <w:rPr>
          <w:szCs w:val="24"/>
          <w:u w:val="single"/>
        </w:rPr>
        <w:t xml:space="preserve">Section 8 </w:t>
      </w:r>
      <w:r w:rsidR="00520724" w:rsidRPr="00917B9C">
        <w:rPr>
          <w:szCs w:val="24"/>
          <w:u w:val="single"/>
        </w:rPr>
        <w:t>–</w:t>
      </w:r>
      <w:r w:rsidRPr="00917B9C">
        <w:rPr>
          <w:szCs w:val="24"/>
          <w:u w:val="single"/>
        </w:rPr>
        <w:t xml:space="preserve"> </w:t>
      </w:r>
      <w:r w:rsidR="00520724" w:rsidRPr="00917B9C">
        <w:rPr>
          <w:szCs w:val="24"/>
          <w:u w:val="single"/>
        </w:rPr>
        <w:t>Application of items 10940 and 10941</w:t>
      </w:r>
    </w:p>
    <w:p w:rsidR="005D206F" w:rsidRPr="00917B9C" w:rsidRDefault="005D206F" w:rsidP="005D206F">
      <w:pPr>
        <w:pStyle w:val="BodyText"/>
        <w:spacing w:before="240"/>
        <w:rPr>
          <w:b w:val="0"/>
          <w:szCs w:val="24"/>
        </w:rPr>
      </w:pPr>
      <w:r w:rsidRPr="00917B9C">
        <w:rPr>
          <w:b w:val="0"/>
          <w:szCs w:val="24"/>
        </w:rPr>
        <w:t>This section</w:t>
      </w:r>
      <w:r w:rsidR="00917B9C" w:rsidRPr="00917B9C">
        <w:rPr>
          <w:b w:val="0"/>
          <w:szCs w:val="24"/>
        </w:rPr>
        <w:t xml:space="preserve"> provides that items 10940 and 10941 are </w:t>
      </w:r>
      <w:proofErr w:type="spellStart"/>
      <w:r w:rsidR="00917B9C" w:rsidRPr="00917B9C">
        <w:rPr>
          <w:b w:val="0"/>
          <w:szCs w:val="24"/>
        </w:rPr>
        <w:t>perimetry</w:t>
      </w:r>
      <w:proofErr w:type="spellEnd"/>
      <w:r w:rsidR="00917B9C" w:rsidRPr="00917B9C">
        <w:rPr>
          <w:b w:val="0"/>
          <w:szCs w:val="24"/>
        </w:rPr>
        <w:t xml:space="preserve"> services</w:t>
      </w:r>
      <w:r w:rsidR="005072E7">
        <w:rPr>
          <w:b w:val="0"/>
          <w:szCs w:val="24"/>
        </w:rPr>
        <w:t>,</w:t>
      </w:r>
      <w:r w:rsidR="00473B59">
        <w:rPr>
          <w:b w:val="0"/>
          <w:szCs w:val="24"/>
        </w:rPr>
        <w:t xml:space="preserve"> </w:t>
      </w:r>
      <w:r w:rsidR="00917B9C" w:rsidRPr="00917B9C">
        <w:rPr>
          <w:b w:val="0"/>
          <w:szCs w:val="24"/>
        </w:rPr>
        <w:t>and</w:t>
      </w:r>
      <w:r w:rsidR="005072E7">
        <w:rPr>
          <w:b w:val="0"/>
          <w:szCs w:val="24"/>
        </w:rPr>
        <w:t xml:space="preserve"> a maximum of two perimetry services can be claimed</w:t>
      </w:r>
      <w:r w:rsidR="00917B9C" w:rsidRPr="00917B9C">
        <w:rPr>
          <w:b w:val="0"/>
          <w:szCs w:val="24"/>
        </w:rPr>
        <w:t xml:space="preserve"> per patient in a 12 month period.</w:t>
      </w:r>
    </w:p>
    <w:p w:rsidR="002A5AA7" w:rsidRDefault="002A5AA7">
      <w:pPr>
        <w:rPr>
          <w:szCs w:val="24"/>
          <w:highlight w:val="yellow"/>
          <w:u w:val="single"/>
        </w:rPr>
      </w:pPr>
      <w:r>
        <w:rPr>
          <w:szCs w:val="24"/>
          <w:highlight w:val="yellow"/>
          <w:u w:val="single"/>
        </w:rPr>
        <w:br w:type="page"/>
      </w:r>
    </w:p>
    <w:p w:rsidR="00520724" w:rsidRPr="005D206F" w:rsidRDefault="00520724" w:rsidP="00C3013B">
      <w:pPr>
        <w:ind w:left="719" w:hanging="719"/>
        <w:rPr>
          <w:szCs w:val="24"/>
          <w:highlight w:val="yellow"/>
          <w:u w:val="single"/>
        </w:rPr>
      </w:pPr>
    </w:p>
    <w:p w:rsidR="00520724" w:rsidRPr="00BB0514" w:rsidRDefault="00520724" w:rsidP="00C3013B">
      <w:pPr>
        <w:ind w:left="719" w:hanging="719"/>
        <w:rPr>
          <w:szCs w:val="24"/>
          <w:u w:val="single"/>
        </w:rPr>
      </w:pPr>
      <w:r w:rsidRPr="00BB0514">
        <w:rPr>
          <w:szCs w:val="24"/>
          <w:u w:val="single"/>
        </w:rPr>
        <w:t xml:space="preserve">Section 9 – Limitation on item 10943 </w:t>
      </w:r>
    </w:p>
    <w:p w:rsidR="005D206F" w:rsidRPr="00BB0514" w:rsidRDefault="005D206F" w:rsidP="005D206F">
      <w:pPr>
        <w:pStyle w:val="BodyText"/>
        <w:spacing w:before="240"/>
        <w:rPr>
          <w:b w:val="0"/>
          <w:szCs w:val="24"/>
        </w:rPr>
      </w:pPr>
      <w:r w:rsidRPr="00BB0514">
        <w:rPr>
          <w:b w:val="0"/>
          <w:szCs w:val="24"/>
        </w:rPr>
        <w:t>This section</w:t>
      </w:r>
      <w:r w:rsidR="00BB0514">
        <w:rPr>
          <w:b w:val="0"/>
          <w:szCs w:val="24"/>
        </w:rPr>
        <w:t xml:space="preserve"> provides that 10943 can</w:t>
      </w:r>
      <w:r w:rsidR="00BB0514" w:rsidRPr="00BB0514">
        <w:rPr>
          <w:b w:val="0"/>
          <w:szCs w:val="24"/>
        </w:rPr>
        <w:t>not be used to assess learning difficulties or learning disabilities.</w:t>
      </w:r>
    </w:p>
    <w:p w:rsidR="00520724" w:rsidRPr="005D206F" w:rsidRDefault="00520724" w:rsidP="00C3013B">
      <w:pPr>
        <w:ind w:left="719" w:hanging="719"/>
        <w:rPr>
          <w:szCs w:val="24"/>
          <w:highlight w:val="yellow"/>
          <w:u w:val="single"/>
        </w:rPr>
      </w:pPr>
    </w:p>
    <w:p w:rsidR="00520724" w:rsidRPr="004C0134" w:rsidRDefault="00520724" w:rsidP="00C3013B">
      <w:pPr>
        <w:ind w:left="719" w:hanging="719"/>
        <w:rPr>
          <w:szCs w:val="24"/>
          <w:u w:val="single"/>
        </w:rPr>
      </w:pPr>
      <w:r w:rsidRPr="004C0134">
        <w:rPr>
          <w:szCs w:val="24"/>
          <w:u w:val="single"/>
        </w:rPr>
        <w:t xml:space="preserve">Section 10 – Limitation on items </w:t>
      </w:r>
    </w:p>
    <w:p w:rsidR="005D206F" w:rsidRPr="004C0134" w:rsidRDefault="005D206F" w:rsidP="005D206F">
      <w:pPr>
        <w:pStyle w:val="BodyText"/>
        <w:spacing w:before="240"/>
        <w:rPr>
          <w:b w:val="0"/>
          <w:szCs w:val="24"/>
        </w:rPr>
      </w:pPr>
      <w:r w:rsidRPr="004C0134">
        <w:rPr>
          <w:b w:val="0"/>
          <w:szCs w:val="24"/>
        </w:rPr>
        <w:t>This section</w:t>
      </w:r>
      <w:r w:rsidR="00BB0514" w:rsidRPr="004C0134">
        <w:rPr>
          <w:b w:val="0"/>
          <w:szCs w:val="24"/>
        </w:rPr>
        <w:t xml:space="preserve"> provides that</w:t>
      </w:r>
      <w:r w:rsidR="005072E7">
        <w:rPr>
          <w:b w:val="0"/>
          <w:szCs w:val="24"/>
        </w:rPr>
        <w:t xml:space="preserve"> item 10943 may</w:t>
      </w:r>
      <w:r w:rsidR="004C0134" w:rsidRPr="004C0134">
        <w:rPr>
          <w:b w:val="0"/>
          <w:szCs w:val="24"/>
        </w:rPr>
        <w:t xml:space="preserve"> only be </w:t>
      </w:r>
      <w:r w:rsidR="005072E7">
        <w:rPr>
          <w:b w:val="0"/>
          <w:szCs w:val="24"/>
        </w:rPr>
        <w:t>claimed</w:t>
      </w:r>
      <w:r w:rsidR="004C0134" w:rsidRPr="004C0134">
        <w:rPr>
          <w:b w:val="0"/>
          <w:szCs w:val="24"/>
        </w:rPr>
        <w:t xml:space="preserve"> once per patient in a 12 month period, item 10942</w:t>
      </w:r>
      <w:r w:rsidR="005072E7">
        <w:rPr>
          <w:b w:val="0"/>
          <w:szCs w:val="24"/>
        </w:rPr>
        <w:t xml:space="preserve"> may only be claimed</w:t>
      </w:r>
      <w:r w:rsidR="004C0134" w:rsidRPr="004C0134">
        <w:rPr>
          <w:b w:val="0"/>
          <w:szCs w:val="24"/>
        </w:rPr>
        <w:t xml:space="preserve"> twice</w:t>
      </w:r>
      <w:r w:rsidR="005072E7">
        <w:rPr>
          <w:b w:val="0"/>
          <w:szCs w:val="24"/>
        </w:rPr>
        <w:t xml:space="preserve"> per patient</w:t>
      </w:r>
      <w:r w:rsidR="004C0134" w:rsidRPr="004C0134">
        <w:rPr>
          <w:b w:val="0"/>
          <w:szCs w:val="24"/>
        </w:rPr>
        <w:t xml:space="preserve"> in a 12 month period</w:t>
      </w:r>
      <w:r w:rsidR="005072E7">
        <w:rPr>
          <w:b w:val="0"/>
          <w:szCs w:val="24"/>
        </w:rPr>
        <w:t>,</w:t>
      </w:r>
      <w:r w:rsidR="004C0134" w:rsidRPr="004C0134">
        <w:rPr>
          <w:b w:val="0"/>
          <w:szCs w:val="24"/>
        </w:rPr>
        <w:t xml:space="preserve"> and items 10921 </w:t>
      </w:r>
      <w:r w:rsidR="005072E7">
        <w:rPr>
          <w:b w:val="0"/>
          <w:szCs w:val="24"/>
        </w:rPr>
        <w:t>to</w:t>
      </w:r>
      <w:r w:rsidR="004C0134" w:rsidRPr="004C0134">
        <w:rPr>
          <w:b w:val="0"/>
          <w:szCs w:val="24"/>
        </w:rPr>
        <w:t xml:space="preserve"> 10929</w:t>
      </w:r>
      <w:r w:rsidR="005072E7">
        <w:rPr>
          <w:b w:val="0"/>
          <w:szCs w:val="24"/>
        </w:rPr>
        <w:t xml:space="preserve"> may</w:t>
      </w:r>
      <w:r w:rsidR="00F11BFD">
        <w:rPr>
          <w:b w:val="0"/>
          <w:szCs w:val="24"/>
        </w:rPr>
        <w:t xml:space="preserve"> </w:t>
      </w:r>
      <w:r w:rsidR="00F11BFD" w:rsidRPr="00F11BFD">
        <w:rPr>
          <w:b w:val="0"/>
          <w:szCs w:val="24"/>
        </w:rPr>
        <w:t>only apply to a service</w:t>
      </w:r>
      <w:r w:rsidR="005072E7">
        <w:rPr>
          <w:b w:val="0"/>
          <w:szCs w:val="24"/>
        </w:rPr>
        <w:t xml:space="preserve"> once per patient</w:t>
      </w:r>
      <w:r w:rsidR="004C0134" w:rsidRPr="004C0134">
        <w:rPr>
          <w:b w:val="0"/>
          <w:szCs w:val="24"/>
        </w:rPr>
        <w:t xml:space="preserve"> once in a 36 month period.</w:t>
      </w:r>
    </w:p>
    <w:p w:rsidR="00520724" w:rsidRPr="004C0134" w:rsidRDefault="00520724" w:rsidP="00C3013B">
      <w:pPr>
        <w:ind w:left="719" w:hanging="719"/>
        <w:rPr>
          <w:szCs w:val="24"/>
          <w:u w:val="single"/>
        </w:rPr>
      </w:pPr>
    </w:p>
    <w:p w:rsidR="00520724" w:rsidRPr="004C0134" w:rsidRDefault="00520724" w:rsidP="00C3013B">
      <w:pPr>
        <w:ind w:left="719" w:hanging="719"/>
        <w:rPr>
          <w:szCs w:val="24"/>
          <w:u w:val="single"/>
        </w:rPr>
      </w:pPr>
      <w:r w:rsidRPr="004C0134">
        <w:rPr>
          <w:szCs w:val="24"/>
          <w:u w:val="single"/>
        </w:rPr>
        <w:t>Section 11 – Limitation on item 10944</w:t>
      </w:r>
    </w:p>
    <w:p w:rsidR="005D206F" w:rsidRPr="004C0134" w:rsidRDefault="005D206F" w:rsidP="005D206F">
      <w:pPr>
        <w:pStyle w:val="BodyText"/>
        <w:spacing w:before="240"/>
        <w:rPr>
          <w:b w:val="0"/>
          <w:szCs w:val="24"/>
        </w:rPr>
      </w:pPr>
      <w:r w:rsidRPr="004C0134">
        <w:rPr>
          <w:b w:val="0"/>
          <w:szCs w:val="24"/>
        </w:rPr>
        <w:t>This section</w:t>
      </w:r>
      <w:r w:rsidR="004C0134" w:rsidRPr="004C0134">
        <w:rPr>
          <w:b w:val="0"/>
          <w:szCs w:val="24"/>
        </w:rPr>
        <w:t xml:space="preserve"> provides the list of items that cannot be </w:t>
      </w:r>
      <w:r w:rsidR="002D10C9">
        <w:rPr>
          <w:b w:val="0"/>
          <w:szCs w:val="24"/>
        </w:rPr>
        <w:t xml:space="preserve">claimed </w:t>
      </w:r>
      <w:r w:rsidR="004C0134" w:rsidRPr="004C0134">
        <w:rPr>
          <w:b w:val="0"/>
          <w:szCs w:val="24"/>
        </w:rPr>
        <w:t>on the same occasion as 10944.</w:t>
      </w:r>
    </w:p>
    <w:p w:rsidR="00520724" w:rsidRPr="004C0134" w:rsidRDefault="00520724" w:rsidP="00C3013B">
      <w:pPr>
        <w:ind w:left="719" w:hanging="719"/>
        <w:rPr>
          <w:szCs w:val="24"/>
          <w:u w:val="single"/>
        </w:rPr>
      </w:pPr>
    </w:p>
    <w:p w:rsidR="00520724" w:rsidRPr="004C0134" w:rsidRDefault="00520724" w:rsidP="00C3013B">
      <w:pPr>
        <w:ind w:left="719" w:hanging="719"/>
        <w:rPr>
          <w:szCs w:val="24"/>
          <w:u w:val="single"/>
        </w:rPr>
      </w:pPr>
      <w:r w:rsidRPr="004C0134">
        <w:rPr>
          <w:szCs w:val="24"/>
          <w:u w:val="single"/>
        </w:rPr>
        <w:t>Section 12 – Application of items 10945 and 10946</w:t>
      </w:r>
    </w:p>
    <w:p w:rsidR="005D206F" w:rsidRPr="004C0134" w:rsidRDefault="005D206F" w:rsidP="005D206F">
      <w:pPr>
        <w:pStyle w:val="BodyText"/>
        <w:spacing w:before="240"/>
        <w:rPr>
          <w:b w:val="0"/>
          <w:szCs w:val="24"/>
        </w:rPr>
      </w:pPr>
      <w:r w:rsidRPr="004C0134">
        <w:rPr>
          <w:b w:val="0"/>
          <w:szCs w:val="24"/>
        </w:rPr>
        <w:t>This section</w:t>
      </w:r>
      <w:r w:rsidR="004C0134" w:rsidRPr="004C0134">
        <w:rPr>
          <w:b w:val="0"/>
          <w:szCs w:val="24"/>
        </w:rPr>
        <w:t xml:space="preserve"> provides that items 10945 and 10946 do not apply if the patient or specialist travels to a location (at least 15 kilometres away) to satisfy the </w:t>
      </w:r>
      <w:r w:rsidR="002D10C9">
        <w:rPr>
          <w:b w:val="0"/>
          <w:szCs w:val="24"/>
        </w:rPr>
        <w:t xml:space="preserve">distance </w:t>
      </w:r>
      <w:r w:rsidR="004C0134" w:rsidRPr="004C0134">
        <w:rPr>
          <w:b w:val="0"/>
          <w:szCs w:val="24"/>
        </w:rPr>
        <w:t xml:space="preserve">requirements of the items. </w:t>
      </w:r>
    </w:p>
    <w:p w:rsidR="005D206F" w:rsidRPr="00A00B41" w:rsidRDefault="005D206F" w:rsidP="00C3013B">
      <w:pPr>
        <w:ind w:left="719" w:hanging="719"/>
        <w:rPr>
          <w:szCs w:val="24"/>
          <w:u w:val="single"/>
        </w:rPr>
      </w:pPr>
    </w:p>
    <w:p w:rsidR="00520724" w:rsidRPr="00A00B41" w:rsidRDefault="00520724" w:rsidP="00C3013B">
      <w:pPr>
        <w:ind w:left="719" w:hanging="719"/>
        <w:rPr>
          <w:szCs w:val="24"/>
          <w:u w:val="single"/>
        </w:rPr>
      </w:pPr>
      <w:r w:rsidRPr="00A00B41">
        <w:rPr>
          <w:szCs w:val="24"/>
          <w:u w:val="single"/>
        </w:rPr>
        <w:t>Section 13 – Application of items 10945 to 10948</w:t>
      </w:r>
    </w:p>
    <w:p w:rsidR="005D206F" w:rsidRPr="00A00B41" w:rsidRDefault="005D206F" w:rsidP="005D206F">
      <w:pPr>
        <w:pStyle w:val="BodyText"/>
        <w:spacing w:before="240"/>
        <w:rPr>
          <w:b w:val="0"/>
          <w:szCs w:val="24"/>
        </w:rPr>
      </w:pPr>
      <w:r w:rsidRPr="00A00B41">
        <w:rPr>
          <w:b w:val="0"/>
          <w:szCs w:val="24"/>
        </w:rPr>
        <w:t>This section</w:t>
      </w:r>
      <w:r w:rsidR="00472C33" w:rsidRPr="00A00B41">
        <w:rPr>
          <w:b w:val="0"/>
          <w:szCs w:val="24"/>
        </w:rPr>
        <w:t xml:space="preserve"> provides that items 10945 to 10948 </w:t>
      </w:r>
      <w:r w:rsidR="00A00B41" w:rsidRPr="00A00B41">
        <w:rPr>
          <w:b w:val="0"/>
          <w:szCs w:val="24"/>
        </w:rPr>
        <w:t>only apply if the video conference in which the patient is participating is a service for which there is an item in the general medical services table or treated as being in the table because of subsection 3C(1) of the Act.</w:t>
      </w:r>
    </w:p>
    <w:p w:rsidR="005D206F" w:rsidRPr="005D206F" w:rsidRDefault="005D206F" w:rsidP="00C3013B">
      <w:pPr>
        <w:ind w:left="719" w:hanging="719"/>
        <w:rPr>
          <w:szCs w:val="24"/>
          <w:highlight w:val="yellow"/>
          <w:u w:val="single"/>
        </w:rPr>
      </w:pPr>
    </w:p>
    <w:p w:rsidR="00520724" w:rsidRPr="00A00B41" w:rsidRDefault="00520724" w:rsidP="005D206F">
      <w:pPr>
        <w:rPr>
          <w:szCs w:val="24"/>
          <w:u w:val="single"/>
        </w:rPr>
      </w:pPr>
      <w:r w:rsidRPr="00A00B41">
        <w:rPr>
          <w:szCs w:val="24"/>
          <w:u w:val="single"/>
        </w:rPr>
        <w:t>Section 14 – Professional attendance items and services provided with non-medicare services or autologous injections of blood or blood products</w:t>
      </w:r>
    </w:p>
    <w:p w:rsidR="002D10C9" w:rsidRDefault="002D10C9" w:rsidP="00A00B41">
      <w:pPr>
        <w:pStyle w:val="BodyText"/>
        <w:spacing w:before="240"/>
        <w:rPr>
          <w:b w:val="0"/>
          <w:szCs w:val="24"/>
        </w:rPr>
      </w:pPr>
      <w:r>
        <w:rPr>
          <w:b w:val="0"/>
          <w:szCs w:val="24"/>
        </w:rPr>
        <w:t xml:space="preserve">This section provides </w:t>
      </w:r>
      <w:r w:rsidR="00E87142">
        <w:rPr>
          <w:b w:val="0"/>
          <w:szCs w:val="24"/>
        </w:rPr>
        <w:t>that items</w:t>
      </w:r>
      <w:r w:rsidR="006215F2">
        <w:rPr>
          <w:b w:val="0"/>
          <w:szCs w:val="24"/>
        </w:rPr>
        <w:t xml:space="preserve"> </w:t>
      </w:r>
      <w:r w:rsidR="00E87142">
        <w:rPr>
          <w:b w:val="0"/>
          <w:szCs w:val="24"/>
        </w:rPr>
        <w:t xml:space="preserve">10905 to </w:t>
      </w:r>
      <w:r w:rsidR="00E87142" w:rsidRPr="00A00B41">
        <w:rPr>
          <w:b w:val="0"/>
          <w:szCs w:val="24"/>
        </w:rPr>
        <w:t>10929</w:t>
      </w:r>
      <w:r w:rsidR="00E87142">
        <w:rPr>
          <w:b w:val="0"/>
          <w:szCs w:val="24"/>
        </w:rPr>
        <w:t xml:space="preserve"> in the Determination are professional attendances, per 1.2.3 of the </w:t>
      </w:r>
      <w:r w:rsidR="00E87142" w:rsidRPr="00A00B41">
        <w:rPr>
          <w:b w:val="0"/>
          <w:szCs w:val="24"/>
        </w:rPr>
        <w:t>general medical services</w:t>
      </w:r>
      <w:r w:rsidR="00E87142">
        <w:rPr>
          <w:b w:val="0"/>
          <w:szCs w:val="24"/>
        </w:rPr>
        <w:t xml:space="preserve"> table. Items 10905 to </w:t>
      </w:r>
      <w:r w:rsidR="00E87142" w:rsidRPr="00A00B41">
        <w:rPr>
          <w:b w:val="0"/>
          <w:szCs w:val="24"/>
        </w:rPr>
        <w:t>10948</w:t>
      </w:r>
      <w:r w:rsidR="00E87142">
        <w:rPr>
          <w:b w:val="0"/>
          <w:szCs w:val="24"/>
        </w:rPr>
        <w:t xml:space="preserve"> in the Determination should not be provided with non-medicare services or</w:t>
      </w:r>
      <w:r w:rsidR="00E87142" w:rsidRPr="00E87142">
        <w:rPr>
          <w:b w:val="0"/>
          <w:szCs w:val="24"/>
        </w:rPr>
        <w:t xml:space="preserve"> autologous injections of blood or blood products</w:t>
      </w:r>
      <w:r w:rsidR="00E87142">
        <w:rPr>
          <w:b w:val="0"/>
          <w:szCs w:val="24"/>
        </w:rPr>
        <w:t>, per 1</w:t>
      </w:r>
      <w:r w:rsidR="00E87142" w:rsidRPr="00A00B41">
        <w:rPr>
          <w:b w:val="0"/>
          <w:szCs w:val="24"/>
        </w:rPr>
        <w:t>.2.7 and 1.2.7A</w:t>
      </w:r>
      <w:r w:rsidR="00E87142">
        <w:rPr>
          <w:b w:val="0"/>
          <w:szCs w:val="24"/>
        </w:rPr>
        <w:t xml:space="preserve"> of the </w:t>
      </w:r>
      <w:r w:rsidR="00E87142" w:rsidRPr="00A00B41">
        <w:rPr>
          <w:b w:val="0"/>
          <w:szCs w:val="24"/>
        </w:rPr>
        <w:t>general medical services</w:t>
      </w:r>
      <w:r w:rsidR="00E87142">
        <w:rPr>
          <w:b w:val="0"/>
          <w:szCs w:val="24"/>
        </w:rPr>
        <w:t xml:space="preserve"> table.</w:t>
      </w:r>
    </w:p>
    <w:p w:rsidR="00C3013B" w:rsidRPr="007B40A7" w:rsidRDefault="00C3013B" w:rsidP="00441816">
      <w:pPr>
        <w:rPr>
          <w:highlight w:val="yellow"/>
        </w:rPr>
      </w:pPr>
    </w:p>
    <w:p w:rsidR="00A42C2D" w:rsidRPr="00557496" w:rsidRDefault="00A42C2D" w:rsidP="00A42C2D">
      <w:pPr>
        <w:rPr>
          <w:szCs w:val="24"/>
          <w:u w:val="single"/>
        </w:rPr>
      </w:pPr>
      <w:r w:rsidRPr="00557496">
        <w:rPr>
          <w:szCs w:val="24"/>
          <w:u w:val="single"/>
        </w:rPr>
        <w:t xml:space="preserve">Schedule </w:t>
      </w:r>
      <w:r w:rsidR="005D206F" w:rsidRPr="00557496">
        <w:rPr>
          <w:szCs w:val="24"/>
          <w:u w:val="single"/>
        </w:rPr>
        <w:t>– relevant services</w:t>
      </w:r>
    </w:p>
    <w:p w:rsidR="005D206F" w:rsidRPr="00557496" w:rsidRDefault="005D206F" w:rsidP="00A42C2D">
      <w:pPr>
        <w:rPr>
          <w:szCs w:val="24"/>
          <w:u w:val="single"/>
        </w:rPr>
      </w:pPr>
    </w:p>
    <w:p w:rsidR="005D206F" w:rsidRPr="00E87142" w:rsidRDefault="00E87142" w:rsidP="00A42C2D">
      <w:pPr>
        <w:rPr>
          <w:szCs w:val="24"/>
        </w:rPr>
      </w:pPr>
      <w:r>
        <w:rPr>
          <w:szCs w:val="24"/>
        </w:rPr>
        <w:t xml:space="preserve">Prescribes a table of relevant services under </w:t>
      </w:r>
      <w:r w:rsidR="00557496" w:rsidRPr="00E87142">
        <w:rPr>
          <w:szCs w:val="24"/>
        </w:rPr>
        <w:t>items</w:t>
      </w:r>
      <w:r>
        <w:rPr>
          <w:szCs w:val="24"/>
        </w:rPr>
        <w:t xml:space="preserve"> 10905 to </w:t>
      </w:r>
      <w:r w:rsidRPr="00E87142">
        <w:rPr>
          <w:szCs w:val="24"/>
        </w:rPr>
        <w:t>10948</w:t>
      </w:r>
      <w:r>
        <w:rPr>
          <w:szCs w:val="24"/>
        </w:rPr>
        <w:t>.</w:t>
      </w:r>
      <w:r w:rsidR="00557496" w:rsidRPr="00E87142">
        <w:rPr>
          <w:szCs w:val="24"/>
        </w:rPr>
        <w:t xml:space="preserve"> </w:t>
      </w:r>
    </w:p>
    <w:p w:rsidR="00AE4585" w:rsidRPr="00557496" w:rsidRDefault="00AE4585" w:rsidP="00AE4585">
      <w:pPr>
        <w:spacing w:after="200" w:line="276" w:lineRule="auto"/>
        <w:rPr>
          <w:b/>
        </w:rPr>
      </w:pPr>
      <w:r w:rsidRPr="00557496">
        <w:rPr>
          <w:b/>
        </w:rPr>
        <w:br w:type="page"/>
      </w:r>
    </w:p>
    <w:p w:rsidR="00ED3D0B" w:rsidRPr="00C3013B" w:rsidRDefault="00ED3D0B" w:rsidP="00ED3D0B">
      <w:pPr>
        <w:spacing w:before="360" w:after="120"/>
        <w:jc w:val="center"/>
        <w:rPr>
          <w:b/>
          <w:sz w:val="28"/>
          <w:szCs w:val="28"/>
        </w:rPr>
      </w:pPr>
      <w:r w:rsidRPr="00C3013B">
        <w:rPr>
          <w:b/>
          <w:sz w:val="28"/>
          <w:szCs w:val="28"/>
        </w:rPr>
        <w:lastRenderedPageBreak/>
        <w:t>Statement of Compatibility with Human Rights</w:t>
      </w:r>
    </w:p>
    <w:p w:rsidR="00ED3D0B" w:rsidRPr="00C3013B" w:rsidRDefault="00ED3D0B" w:rsidP="00ED3D0B">
      <w:pPr>
        <w:spacing w:before="120" w:after="120"/>
        <w:jc w:val="center"/>
        <w:rPr>
          <w:szCs w:val="24"/>
        </w:rPr>
      </w:pPr>
      <w:r w:rsidRPr="00C3013B">
        <w:rPr>
          <w:i/>
          <w:szCs w:val="24"/>
        </w:rPr>
        <w:t>Prepared in accordance with Part 3 of the Human Rights (Parliamentary Scrutiny) Act 2011</w:t>
      </w:r>
    </w:p>
    <w:p w:rsidR="00ED3D0B" w:rsidRPr="00C3013B" w:rsidRDefault="00ED3D0B" w:rsidP="00ED3D0B">
      <w:pPr>
        <w:spacing w:before="120" w:after="120"/>
        <w:jc w:val="center"/>
        <w:rPr>
          <w:szCs w:val="24"/>
        </w:rPr>
      </w:pPr>
    </w:p>
    <w:p w:rsidR="00ED3D0B" w:rsidRPr="00C3013B" w:rsidRDefault="00ED3D0B" w:rsidP="00ED3D0B">
      <w:pPr>
        <w:tabs>
          <w:tab w:val="left" w:pos="1418"/>
        </w:tabs>
        <w:ind w:left="851"/>
        <w:jc w:val="center"/>
        <w:rPr>
          <w:b/>
          <w:i/>
          <w:szCs w:val="24"/>
        </w:rPr>
      </w:pPr>
      <w:r w:rsidRPr="00C3013B">
        <w:rPr>
          <w:b/>
          <w:i/>
          <w:szCs w:val="24"/>
        </w:rPr>
        <w:t>Health Insurance (Optomet</w:t>
      </w:r>
      <w:r>
        <w:rPr>
          <w:b/>
          <w:i/>
          <w:szCs w:val="24"/>
        </w:rPr>
        <w:t>ric services) Determination 2016</w:t>
      </w:r>
    </w:p>
    <w:p w:rsidR="00ED3D0B" w:rsidRPr="00C3013B" w:rsidRDefault="00ED3D0B" w:rsidP="00ED3D0B">
      <w:pPr>
        <w:tabs>
          <w:tab w:val="left" w:pos="1418"/>
        </w:tabs>
        <w:ind w:left="851"/>
        <w:jc w:val="center"/>
        <w:rPr>
          <w:b/>
          <w:i/>
          <w:szCs w:val="24"/>
        </w:rPr>
      </w:pPr>
    </w:p>
    <w:p w:rsidR="00ED3D0B" w:rsidRPr="00C3013B" w:rsidRDefault="00ED3D0B" w:rsidP="00ED3D0B">
      <w:pPr>
        <w:jc w:val="center"/>
        <w:rPr>
          <w:szCs w:val="24"/>
        </w:rPr>
      </w:pPr>
      <w:r w:rsidRPr="00C3013B">
        <w:rPr>
          <w:szCs w:val="24"/>
        </w:rPr>
        <w:t xml:space="preserve">This Legislative Instrument is compatible with the human rights and freedoms recognised or declared in the international instruments listed in section 3 of the </w:t>
      </w:r>
      <w:r w:rsidRPr="00C3013B">
        <w:rPr>
          <w:i/>
          <w:szCs w:val="24"/>
        </w:rPr>
        <w:t>Human Rights (Parliamentary Scrutiny) Act 2011</w:t>
      </w:r>
      <w:r w:rsidRPr="00C3013B">
        <w:rPr>
          <w:szCs w:val="24"/>
        </w:rPr>
        <w:t>.</w:t>
      </w:r>
    </w:p>
    <w:p w:rsidR="00ED3D0B" w:rsidRPr="007B40A7" w:rsidRDefault="00ED3D0B" w:rsidP="00ED3D0B">
      <w:pPr>
        <w:jc w:val="center"/>
        <w:rPr>
          <w:szCs w:val="24"/>
          <w:highlight w:val="yellow"/>
        </w:rPr>
      </w:pPr>
    </w:p>
    <w:p w:rsidR="00ED3D0B" w:rsidRPr="007B40A7" w:rsidRDefault="00ED3D0B" w:rsidP="00ED3D0B">
      <w:pPr>
        <w:jc w:val="both"/>
        <w:rPr>
          <w:szCs w:val="24"/>
          <w:highlight w:val="yellow"/>
        </w:rPr>
      </w:pPr>
    </w:p>
    <w:p w:rsidR="00ED3D0B" w:rsidRPr="00B400B2" w:rsidRDefault="00ED3D0B" w:rsidP="00ED3D0B">
      <w:pPr>
        <w:spacing w:after="240"/>
        <w:jc w:val="both"/>
        <w:rPr>
          <w:b/>
          <w:szCs w:val="24"/>
        </w:rPr>
      </w:pPr>
      <w:r w:rsidRPr="00B400B2">
        <w:rPr>
          <w:b/>
          <w:szCs w:val="24"/>
        </w:rPr>
        <w:t>Overview of the Legislative Instrument</w:t>
      </w:r>
    </w:p>
    <w:p w:rsidR="00261EEC" w:rsidRDefault="00261EEC" w:rsidP="00261EEC">
      <w:pPr>
        <w:rPr>
          <w:highlight w:val="yellow"/>
        </w:rPr>
      </w:pPr>
      <w:r>
        <w:t>T</w:t>
      </w:r>
      <w:r w:rsidRPr="004131EE">
        <w:t xml:space="preserve">he </w:t>
      </w:r>
      <w:r>
        <w:t xml:space="preserve">purpose of the </w:t>
      </w:r>
      <w:r w:rsidRPr="004131EE">
        <w:rPr>
          <w:bCs/>
          <w:i/>
          <w:szCs w:val="24"/>
        </w:rPr>
        <w:t>Health</w:t>
      </w:r>
      <w:r w:rsidRPr="00890361">
        <w:rPr>
          <w:bCs/>
          <w:i/>
          <w:szCs w:val="24"/>
        </w:rPr>
        <w:t xml:space="preserve"> Insurance (Optometric services) Determination 2</w:t>
      </w:r>
      <w:r w:rsidR="00E97547">
        <w:rPr>
          <w:bCs/>
          <w:i/>
          <w:szCs w:val="24"/>
        </w:rPr>
        <w:t>016</w:t>
      </w:r>
      <w:r>
        <w:rPr>
          <w:bCs/>
          <w:i/>
          <w:szCs w:val="24"/>
        </w:rPr>
        <w:t xml:space="preserve"> </w:t>
      </w:r>
      <w:r w:rsidRPr="006C293E">
        <w:rPr>
          <w:bCs/>
          <w:szCs w:val="24"/>
        </w:rPr>
        <w:t xml:space="preserve">(the Determination) </w:t>
      </w:r>
      <w:r>
        <w:rPr>
          <w:bCs/>
          <w:szCs w:val="24"/>
        </w:rPr>
        <w:t xml:space="preserve">is to </w:t>
      </w:r>
      <w:r>
        <w:t>prescribe</w:t>
      </w:r>
      <w:r w:rsidRPr="006C293E">
        <w:t xml:space="preserve"> </w:t>
      </w:r>
      <w:r>
        <w:t xml:space="preserve">a table of health services that may be provided as </w:t>
      </w:r>
      <w:r>
        <w:br/>
        <w:t>Medicare-eligible services by appropriately qualified optometrists.</w:t>
      </w:r>
      <w:r w:rsidRPr="007B40A7">
        <w:rPr>
          <w:highlight w:val="yellow"/>
        </w:rPr>
        <w:t xml:space="preserve"> </w:t>
      </w:r>
    </w:p>
    <w:p w:rsidR="00261EEC" w:rsidRDefault="00261EEC" w:rsidP="00261EEC">
      <w:pPr>
        <w:rPr>
          <w:b/>
          <w:szCs w:val="24"/>
        </w:rPr>
      </w:pPr>
    </w:p>
    <w:p w:rsidR="00261EEC" w:rsidRDefault="00261EEC" w:rsidP="00261EEC">
      <w:r>
        <w:t xml:space="preserve">The </w:t>
      </w:r>
      <w:r w:rsidRPr="00E11B4B">
        <w:rPr>
          <w:szCs w:val="24"/>
        </w:rPr>
        <w:t>Common Form of</w:t>
      </w:r>
      <w:r>
        <w:t xml:space="preserve"> Undertaking is an agreement between the Commonwealth and an optometrist (or a person who employs optometrists, to provide services in the course of their practice), which enables them to participate in Medicare by becoming a ‘participating optometrist’.  A participating optometrist is a practising optometrist who has entered into an arrangement by signing the Undertaking.</w:t>
      </w:r>
    </w:p>
    <w:p w:rsidR="00261EEC" w:rsidRDefault="00261EEC" w:rsidP="00261EEC">
      <w:pPr>
        <w:autoSpaceDE w:val="0"/>
        <w:autoSpaceDN w:val="0"/>
        <w:adjustRightInd w:val="0"/>
        <w:rPr>
          <w:szCs w:val="24"/>
        </w:rPr>
      </w:pPr>
    </w:p>
    <w:p w:rsidR="00261EEC" w:rsidRDefault="00261EEC" w:rsidP="00261EEC">
      <w:pPr>
        <w:autoSpaceDE w:val="0"/>
        <w:autoSpaceDN w:val="0"/>
        <w:adjustRightInd w:val="0"/>
        <w:rPr>
          <w:szCs w:val="24"/>
        </w:rPr>
      </w:pPr>
      <w:r w:rsidRPr="00E11B4B">
        <w:rPr>
          <w:szCs w:val="24"/>
        </w:rPr>
        <w:t xml:space="preserve">On 1 January 2015, the Undertaking was varied </w:t>
      </w:r>
      <w:r>
        <w:rPr>
          <w:szCs w:val="24"/>
        </w:rPr>
        <w:t xml:space="preserve">due to </w:t>
      </w:r>
      <w:r>
        <w:t xml:space="preserve">changes to the optometry arrangements announced in the 2014-15 Budget.  The change removed the </w:t>
      </w:r>
      <w:r w:rsidRPr="00E11B4B">
        <w:rPr>
          <w:szCs w:val="24"/>
        </w:rPr>
        <w:t>charging c</w:t>
      </w:r>
      <w:r>
        <w:rPr>
          <w:szCs w:val="24"/>
        </w:rPr>
        <w:t>ap that had applied</w:t>
      </w:r>
      <w:r w:rsidRPr="00E11B4B">
        <w:rPr>
          <w:szCs w:val="24"/>
        </w:rPr>
        <w:t xml:space="preserve"> to optometrists </w:t>
      </w:r>
      <w:r>
        <w:rPr>
          <w:szCs w:val="24"/>
        </w:rPr>
        <w:t>providing services under</w:t>
      </w:r>
      <w:r w:rsidRPr="00E11B4B">
        <w:rPr>
          <w:szCs w:val="24"/>
        </w:rPr>
        <w:t xml:space="preserve"> the Medicare Benefits Schedule</w:t>
      </w:r>
      <w:r>
        <w:rPr>
          <w:szCs w:val="24"/>
        </w:rPr>
        <w:t>,</w:t>
      </w:r>
      <w:r w:rsidRPr="00E11B4B">
        <w:rPr>
          <w:szCs w:val="24"/>
        </w:rPr>
        <w:t xml:space="preserve"> enabling optometrists to set their own fees in a similar manner to other health pr</w:t>
      </w:r>
      <w:r>
        <w:rPr>
          <w:szCs w:val="24"/>
        </w:rPr>
        <w:t>actitioners</w:t>
      </w:r>
      <w:r w:rsidRPr="00E11B4B">
        <w:rPr>
          <w:szCs w:val="24"/>
        </w:rPr>
        <w:t>.</w:t>
      </w:r>
      <w:r>
        <w:rPr>
          <w:szCs w:val="24"/>
        </w:rPr>
        <w:t xml:space="preserve"> </w:t>
      </w:r>
    </w:p>
    <w:p w:rsidR="00261EEC" w:rsidRDefault="00261EEC" w:rsidP="00261EEC">
      <w:pPr>
        <w:autoSpaceDE w:val="0"/>
        <w:autoSpaceDN w:val="0"/>
        <w:adjustRightInd w:val="0"/>
        <w:rPr>
          <w:szCs w:val="24"/>
        </w:rPr>
      </w:pPr>
    </w:p>
    <w:p w:rsidR="00261EEC" w:rsidRDefault="00261EEC" w:rsidP="00261EEC">
      <w:pPr>
        <w:autoSpaceDE w:val="0"/>
        <w:autoSpaceDN w:val="0"/>
        <w:adjustRightInd w:val="0"/>
        <w:rPr>
          <w:szCs w:val="24"/>
        </w:rPr>
      </w:pPr>
      <w:r>
        <w:rPr>
          <w:szCs w:val="24"/>
        </w:rPr>
        <w:t xml:space="preserve">For the purposes of Medicare, the Undertaking is redundant and duplicative given practitioner requirements for Medicare are already contained within the Act. </w:t>
      </w:r>
    </w:p>
    <w:p w:rsidR="00261EEC" w:rsidRDefault="00261EEC" w:rsidP="00261EEC">
      <w:pPr>
        <w:autoSpaceDE w:val="0"/>
        <w:autoSpaceDN w:val="0"/>
        <w:adjustRightInd w:val="0"/>
        <w:rPr>
          <w:szCs w:val="24"/>
        </w:rPr>
      </w:pPr>
    </w:p>
    <w:p w:rsidR="00261EEC" w:rsidRDefault="00261EEC" w:rsidP="00261EEC">
      <w:r>
        <w:t xml:space="preserve">This Determination will allow all optometrists, defined under subsection 3(1) of the Act as persons registered or licensed as an optometrist or optician under a law of a State or an internal Territory that provides for the registration or licensing of optometrists or opticians, to provide services under Medicare. This will mean practising optometrists will be allowed to provide services under Medicare, without the requirement to sign the Undertaking. This aligns Medicare arrangements for optometrists with that of other health practitioners, which require providers to meet State and Territory registration standards. Optometrists will continue to be required to meet all requirements under the Act, in line with all other health practitioners under Medicare. </w:t>
      </w:r>
    </w:p>
    <w:p w:rsidR="002A5AA7" w:rsidRPr="007B40A7" w:rsidRDefault="002A5AA7" w:rsidP="00ED3D0B">
      <w:pPr>
        <w:autoSpaceDE w:val="0"/>
        <w:autoSpaceDN w:val="0"/>
        <w:adjustRightInd w:val="0"/>
        <w:rPr>
          <w:szCs w:val="24"/>
          <w:highlight w:val="yellow"/>
        </w:rPr>
      </w:pPr>
    </w:p>
    <w:p w:rsidR="00ED3D0B" w:rsidRPr="001F32D2" w:rsidRDefault="00ED3D0B" w:rsidP="00ED3D0B">
      <w:pPr>
        <w:rPr>
          <w:b/>
          <w:szCs w:val="24"/>
        </w:rPr>
      </w:pPr>
      <w:r w:rsidRPr="001F32D2">
        <w:rPr>
          <w:b/>
          <w:szCs w:val="24"/>
        </w:rPr>
        <w:t>Human rights implications</w:t>
      </w:r>
    </w:p>
    <w:p w:rsidR="00ED3D0B" w:rsidRPr="001F32D2" w:rsidRDefault="00ED3D0B" w:rsidP="00ED3D0B">
      <w:pPr>
        <w:spacing w:before="120" w:after="120"/>
        <w:rPr>
          <w:szCs w:val="24"/>
        </w:rPr>
      </w:pPr>
      <w:r w:rsidRPr="001F32D2">
        <w:rPr>
          <w:szCs w:val="24"/>
        </w:rPr>
        <w:t>T</w:t>
      </w:r>
      <w:r w:rsidR="001F32D2" w:rsidRPr="001F32D2">
        <w:rPr>
          <w:szCs w:val="24"/>
        </w:rPr>
        <w:t xml:space="preserve">he regulations engage Articles </w:t>
      </w:r>
      <w:r w:rsidR="000866C4">
        <w:rPr>
          <w:szCs w:val="24"/>
        </w:rPr>
        <w:t>9</w:t>
      </w:r>
      <w:r w:rsidRPr="001F32D2">
        <w:rPr>
          <w:szCs w:val="24"/>
        </w:rPr>
        <w:t xml:space="preserve"> and 12 of the International Covenant on Economic Social and Cultural Rights (ICESCR), specifically the rights to health and social security. </w:t>
      </w:r>
    </w:p>
    <w:p w:rsidR="00ED3D0B" w:rsidRPr="001F32D2" w:rsidRDefault="00ED3D0B" w:rsidP="00ED3D0B">
      <w:pPr>
        <w:spacing w:before="120" w:after="120"/>
        <w:rPr>
          <w:i/>
          <w:szCs w:val="24"/>
        </w:rPr>
      </w:pPr>
      <w:r w:rsidRPr="001F32D2">
        <w:rPr>
          <w:i/>
          <w:szCs w:val="24"/>
        </w:rPr>
        <w:t>The Right to Health</w:t>
      </w:r>
    </w:p>
    <w:p w:rsidR="00ED3D0B" w:rsidRPr="001F32D2" w:rsidRDefault="00ED3D0B" w:rsidP="00ED3D0B">
      <w:pPr>
        <w:spacing w:before="120" w:after="120"/>
        <w:rPr>
          <w:szCs w:val="24"/>
        </w:rPr>
      </w:pPr>
      <w:r w:rsidRPr="001F32D2">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w:t>
      </w:r>
      <w:r w:rsidRPr="001F32D2">
        <w:rPr>
          <w:szCs w:val="24"/>
        </w:rPr>
        <w:lastRenderedPageBreak/>
        <w:t xml:space="preserve">individual to be healthy, but is a right to a system of health protection which provides equality of opportunity for people to enjoy the highest attainable level of health. </w:t>
      </w:r>
    </w:p>
    <w:p w:rsidR="00ED3D0B" w:rsidRPr="001F32D2" w:rsidRDefault="00ED3D0B" w:rsidP="00ED3D0B">
      <w:pPr>
        <w:spacing w:before="120" w:after="120"/>
        <w:rPr>
          <w:szCs w:val="24"/>
        </w:rPr>
      </w:pPr>
      <w:r w:rsidRPr="001F32D2">
        <w:rPr>
          <w:szCs w:val="24"/>
        </w:rPr>
        <w:t xml:space="preserve">The Committee reports that the </w:t>
      </w:r>
      <w:r w:rsidRPr="001F32D2">
        <w:rPr>
          <w:i/>
          <w:szCs w:val="24"/>
        </w:rPr>
        <w:t>‘highest attainable standard of health’</w:t>
      </w:r>
      <w:r w:rsidRPr="001F32D2">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rsidR="00ED3D0B" w:rsidRPr="001F32D2" w:rsidRDefault="00ED3D0B" w:rsidP="00ED3D0B">
      <w:pPr>
        <w:spacing w:before="120" w:after="120"/>
        <w:rPr>
          <w:i/>
          <w:szCs w:val="24"/>
        </w:rPr>
      </w:pPr>
      <w:r w:rsidRPr="001F32D2">
        <w:rPr>
          <w:i/>
          <w:szCs w:val="24"/>
        </w:rPr>
        <w:t xml:space="preserve">The Right to Social Security </w:t>
      </w:r>
    </w:p>
    <w:p w:rsidR="00ED3D0B" w:rsidRPr="001F32D2" w:rsidRDefault="00ED3D0B" w:rsidP="00ED3D0B">
      <w:pPr>
        <w:rPr>
          <w:szCs w:val="24"/>
        </w:rPr>
      </w:pPr>
      <w:r w:rsidRPr="001F32D2">
        <w:rPr>
          <w:szCs w:val="24"/>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rsidR="00ED3D0B" w:rsidRPr="001F32D2" w:rsidRDefault="00ED3D0B" w:rsidP="00ED3D0B">
      <w:pPr>
        <w:autoSpaceDE w:val="0"/>
        <w:autoSpaceDN w:val="0"/>
        <w:adjustRightInd w:val="0"/>
        <w:rPr>
          <w:szCs w:val="24"/>
        </w:rPr>
      </w:pPr>
    </w:p>
    <w:p w:rsidR="00ED3D0B" w:rsidRPr="001F32D2" w:rsidRDefault="00ED3D0B" w:rsidP="00ED3D0B">
      <w:pPr>
        <w:spacing w:after="120"/>
        <w:rPr>
          <w:szCs w:val="24"/>
          <w:u w:val="single"/>
        </w:rPr>
      </w:pPr>
      <w:r w:rsidRPr="001F32D2">
        <w:rPr>
          <w:szCs w:val="24"/>
          <w:u w:val="single"/>
        </w:rPr>
        <w:t xml:space="preserve">Analysis </w:t>
      </w:r>
    </w:p>
    <w:p w:rsidR="00ED3D0B" w:rsidRPr="001F32D2" w:rsidRDefault="00ED3D0B" w:rsidP="00ED3D0B">
      <w:pPr>
        <w:rPr>
          <w:szCs w:val="24"/>
        </w:rPr>
      </w:pPr>
      <w:r w:rsidRPr="001F32D2">
        <w:t xml:space="preserve">This Determination will advance rights to health and social security by ensuring </w:t>
      </w:r>
      <w:r w:rsidR="0005495E">
        <w:t xml:space="preserve">continued </w:t>
      </w:r>
      <w:r w:rsidRPr="001F32D2">
        <w:rPr>
          <w:szCs w:val="24"/>
        </w:rPr>
        <w:t xml:space="preserve">access to publicly subsidised </w:t>
      </w:r>
      <w:r w:rsidR="0005495E">
        <w:rPr>
          <w:szCs w:val="24"/>
        </w:rPr>
        <w:t>optometry</w:t>
      </w:r>
      <w:r w:rsidRPr="001F32D2">
        <w:rPr>
          <w:szCs w:val="24"/>
        </w:rPr>
        <w:t xml:space="preserve"> services which are clinically effective and cost-effective.</w:t>
      </w:r>
    </w:p>
    <w:p w:rsidR="00ED3D0B" w:rsidRPr="001F32D2" w:rsidRDefault="00ED3D0B" w:rsidP="00ED3D0B">
      <w:pPr>
        <w:spacing w:line="276" w:lineRule="auto"/>
        <w:rPr>
          <w:rFonts w:eastAsia="Calibri"/>
          <w:b/>
          <w:szCs w:val="24"/>
          <w:lang w:eastAsia="en-US"/>
        </w:rPr>
      </w:pPr>
    </w:p>
    <w:p w:rsidR="00ED3D0B" w:rsidRPr="001F32D2" w:rsidRDefault="00ED3D0B" w:rsidP="00ED3D0B">
      <w:pPr>
        <w:spacing w:after="120" w:line="276" w:lineRule="auto"/>
        <w:rPr>
          <w:rFonts w:eastAsia="Calibri"/>
          <w:b/>
          <w:szCs w:val="24"/>
          <w:lang w:eastAsia="en-US"/>
        </w:rPr>
      </w:pPr>
      <w:r w:rsidRPr="001F32D2">
        <w:rPr>
          <w:rFonts w:eastAsia="Calibri"/>
          <w:b/>
          <w:szCs w:val="24"/>
          <w:lang w:eastAsia="en-US"/>
        </w:rPr>
        <w:t xml:space="preserve">Conclusion </w:t>
      </w:r>
    </w:p>
    <w:p w:rsidR="00ED3D0B" w:rsidRPr="001F32D2" w:rsidRDefault="00ED3D0B" w:rsidP="00ED3D0B">
      <w:pPr>
        <w:spacing w:before="120" w:after="120"/>
        <w:rPr>
          <w:szCs w:val="24"/>
        </w:rPr>
      </w:pPr>
      <w:r w:rsidRPr="001F32D2">
        <w:rPr>
          <w:szCs w:val="24"/>
        </w:rPr>
        <w:t>The Legislative Instrument is compatible with human rights because it maintains existing arrangements and the protection of human rights.</w:t>
      </w:r>
    </w:p>
    <w:p w:rsidR="00ED3D0B" w:rsidRPr="001F32D2" w:rsidRDefault="00ED3D0B" w:rsidP="00ED3D0B">
      <w:pPr>
        <w:rPr>
          <w:rFonts w:eastAsia="Calibri"/>
          <w:szCs w:val="24"/>
          <w:lang w:eastAsia="en-US"/>
        </w:rPr>
      </w:pPr>
    </w:p>
    <w:p w:rsidR="00ED3D0B" w:rsidRPr="001F32D2" w:rsidRDefault="005E2C1D" w:rsidP="00ED3D0B">
      <w:pPr>
        <w:spacing w:before="120" w:after="120" w:line="276" w:lineRule="auto"/>
        <w:jc w:val="center"/>
        <w:rPr>
          <w:rFonts w:eastAsia="Calibri"/>
          <w:b/>
          <w:bCs/>
          <w:szCs w:val="24"/>
          <w:lang w:eastAsia="en-US"/>
        </w:rPr>
      </w:pPr>
      <w:r w:rsidRPr="001F32D2">
        <w:rPr>
          <w:rFonts w:eastAsia="Calibri"/>
          <w:b/>
          <w:bCs/>
          <w:szCs w:val="24"/>
          <w:lang w:eastAsia="en-US"/>
        </w:rPr>
        <w:t>Maria Jolly</w:t>
      </w:r>
    </w:p>
    <w:p w:rsidR="00ED3D0B" w:rsidRPr="001F32D2" w:rsidRDefault="00ED3D0B" w:rsidP="00ED3D0B">
      <w:pPr>
        <w:spacing w:before="120" w:after="120" w:line="276" w:lineRule="auto"/>
        <w:jc w:val="center"/>
        <w:rPr>
          <w:rFonts w:eastAsia="Calibri"/>
          <w:szCs w:val="24"/>
          <w:lang w:eastAsia="en-US"/>
        </w:rPr>
      </w:pPr>
      <w:r w:rsidRPr="001F32D2">
        <w:rPr>
          <w:rFonts w:eastAsia="Calibri"/>
          <w:b/>
          <w:bCs/>
          <w:szCs w:val="24"/>
          <w:lang w:eastAsia="en-US"/>
        </w:rPr>
        <w:t>First Assistant Secretary</w:t>
      </w:r>
    </w:p>
    <w:p w:rsidR="00ED3D0B" w:rsidRPr="001F32D2" w:rsidRDefault="00ED3D0B" w:rsidP="00ED3D0B">
      <w:pPr>
        <w:spacing w:before="120" w:after="120"/>
        <w:jc w:val="center"/>
        <w:rPr>
          <w:b/>
          <w:szCs w:val="24"/>
        </w:rPr>
      </w:pPr>
      <w:r w:rsidRPr="001F32D2">
        <w:rPr>
          <w:b/>
          <w:szCs w:val="24"/>
        </w:rPr>
        <w:t>Medical Benefits Division</w:t>
      </w:r>
    </w:p>
    <w:p w:rsidR="00ED3D0B" w:rsidRPr="00C5724B" w:rsidRDefault="00ED3D0B" w:rsidP="00ED3D0B">
      <w:pPr>
        <w:spacing w:before="120" w:after="120"/>
        <w:jc w:val="center"/>
        <w:rPr>
          <w:b/>
          <w:szCs w:val="24"/>
        </w:rPr>
      </w:pPr>
      <w:r w:rsidRPr="001F32D2">
        <w:rPr>
          <w:b/>
          <w:szCs w:val="24"/>
        </w:rPr>
        <w:t>Department of Health</w:t>
      </w:r>
    </w:p>
    <w:p w:rsidR="00AE4585" w:rsidRPr="007B40A7" w:rsidRDefault="00AE4585" w:rsidP="00AE4585">
      <w:pPr>
        <w:ind w:left="360"/>
        <w:rPr>
          <w:b/>
          <w:highlight w:val="yellow"/>
        </w:rPr>
      </w:pPr>
    </w:p>
    <w:p w:rsidR="00AE4585" w:rsidRPr="007B40A7" w:rsidRDefault="00AE4585" w:rsidP="00AE4585">
      <w:pPr>
        <w:tabs>
          <w:tab w:val="left" w:pos="4536"/>
        </w:tabs>
        <w:rPr>
          <w:szCs w:val="24"/>
          <w:highlight w:val="yellow"/>
        </w:rPr>
      </w:pPr>
    </w:p>
    <w:p w:rsidR="00AE4585" w:rsidRPr="007B40A7" w:rsidRDefault="00AE4585" w:rsidP="00AE4585">
      <w:pPr>
        <w:tabs>
          <w:tab w:val="left" w:pos="4536"/>
        </w:tabs>
        <w:rPr>
          <w:szCs w:val="24"/>
          <w:highlight w:val="yellow"/>
        </w:rPr>
      </w:pPr>
    </w:p>
    <w:p w:rsidR="00AE4585" w:rsidRPr="007B40A7" w:rsidRDefault="00AE4585" w:rsidP="00AE4585">
      <w:pPr>
        <w:tabs>
          <w:tab w:val="left" w:pos="4536"/>
        </w:tabs>
        <w:rPr>
          <w:szCs w:val="24"/>
          <w:highlight w:val="yellow"/>
        </w:rPr>
      </w:pPr>
    </w:p>
    <w:p w:rsidR="00AE4585" w:rsidRPr="007B40A7" w:rsidRDefault="00AE4585" w:rsidP="00AE4585">
      <w:pPr>
        <w:tabs>
          <w:tab w:val="left" w:pos="4536"/>
        </w:tabs>
        <w:rPr>
          <w:szCs w:val="24"/>
          <w:highlight w:val="yellow"/>
        </w:rPr>
      </w:pPr>
    </w:p>
    <w:p w:rsidR="00AE4585" w:rsidRPr="007B40A7" w:rsidRDefault="00AE4585" w:rsidP="00AE4585">
      <w:pPr>
        <w:tabs>
          <w:tab w:val="left" w:pos="4536"/>
        </w:tabs>
        <w:rPr>
          <w:szCs w:val="24"/>
          <w:highlight w:val="yellow"/>
        </w:rPr>
      </w:pPr>
    </w:p>
    <w:p w:rsidR="00AE4585" w:rsidRPr="007B40A7" w:rsidRDefault="00AE4585" w:rsidP="00AE4585">
      <w:pPr>
        <w:tabs>
          <w:tab w:val="left" w:pos="4536"/>
        </w:tabs>
        <w:rPr>
          <w:szCs w:val="24"/>
          <w:highlight w:val="yellow"/>
        </w:rPr>
      </w:pPr>
    </w:p>
    <w:p w:rsidR="00AE4585" w:rsidRPr="007B40A7" w:rsidRDefault="00AE4585" w:rsidP="00AE4585">
      <w:pPr>
        <w:tabs>
          <w:tab w:val="left" w:pos="4536"/>
        </w:tabs>
        <w:rPr>
          <w:szCs w:val="24"/>
          <w:highlight w:val="yellow"/>
        </w:rPr>
      </w:pPr>
    </w:p>
    <w:p w:rsidR="00AE4585" w:rsidRPr="007B40A7" w:rsidRDefault="00AE4585" w:rsidP="00AE4585">
      <w:pPr>
        <w:tabs>
          <w:tab w:val="left" w:pos="4536"/>
        </w:tabs>
        <w:rPr>
          <w:szCs w:val="24"/>
          <w:highlight w:val="yellow"/>
        </w:rPr>
      </w:pPr>
    </w:p>
    <w:p w:rsidR="00AE4585" w:rsidRPr="007B40A7" w:rsidRDefault="00AE4585" w:rsidP="00AE4585">
      <w:pPr>
        <w:tabs>
          <w:tab w:val="left" w:pos="4536"/>
        </w:tabs>
        <w:rPr>
          <w:szCs w:val="24"/>
          <w:highlight w:val="yellow"/>
        </w:rPr>
      </w:pPr>
    </w:p>
    <w:p w:rsidR="00AE4585" w:rsidRPr="007B40A7" w:rsidRDefault="00AE4585" w:rsidP="00AE4585">
      <w:pPr>
        <w:tabs>
          <w:tab w:val="left" w:pos="4536"/>
        </w:tabs>
        <w:rPr>
          <w:szCs w:val="24"/>
          <w:highlight w:val="yellow"/>
        </w:rPr>
      </w:pPr>
    </w:p>
    <w:p w:rsidR="00AE4585" w:rsidRPr="007B40A7" w:rsidRDefault="00AE4585" w:rsidP="00AE4585">
      <w:pPr>
        <w:tabs>
          <w:tab w:val="left" w:pos="4536"/>
        </w:tabs>
        <w:rPr>
          <w:szCs w:val="24"/>
          <w:highlight w:val="yellow"/>
        </w:rPr>
      </w:pPr>
    </w:p>
    <w:p w:rsidR="00AE4585" w:rsidRPr="007B40A7" w:rsidRDefault="00AE4585" w:rsidP="00AE4585">
      <w:pPr>
        <w:tabs>
          <w:tab w:val="left" w:pos="4536"/>
        </w:tabs>
        <w:rPr>
          <w:szCs w:val="24"/>
          <w:highlight w:val="yellow"/>
        </w:rPr>
      </w:pPr>
    </w:p>
    <w:p w:rsidR="00AE4585" w:rsidRPr="007B40A7" w:rsidRDefault="00AE4585" w:rsidP="00AE4585">
      <w:pPr>
        <w:tabs>
          <w:tab w:val="left" w:pos="4536"/>
        </w:tabs>
        <w:rPr>
          <w:b/>
          <w:sz w:val="28"/>
          <w:szCs w:val="28"/>
          <w:highlight w:val="yellow"/>
        </w:rPr>
      </w:pPr>
    </w:p>
    <w:p w:rsidR="00AE4585" w:rsidRPr="007B40A7" w:rsidRDefault="00AE4585" w:rsidP="00AE4585">
      <w:pPr>
        <w:tabs>
          <w:tab w:val="left" w:pos="4536"/>
        </w:tabs>
        <w:rPr>
          <w:b/>
          <w:sz w:val="28"/>
          <w:szCs w:val="28"/>
          <w:highlight w:val="yellow"/>
        </w:rPr>
      </w:pPr>
    </w:p>
    <w:p w:rsidR="00AE4585" w:rsidRPr="007B40A7" w:rsidRDefault="00AE4585" w:rsidP="00AE4585">
      <w:pPr>
        <w:tabs>
          <w:tab w:val="left" w:pos="4536"/>
        </w:tabs>
        <w:rPr>
          <w:b/>
          <w:sz w:val="28"/>
          <w:szCs w:val="28"/>
          <w:highlight w:val="yellow"/>
        </w:rPr>
      </w:pPr>
    </w:p>
    <w:p w:rsidR="00AE4585" w:rsidRPr="007B40A7" w:rsidRDefault="00AE4585" w:rsidP="00AE4585">
      <w:pPr>
        <w:tabs>
          <w:tab w:val="left" w:pos="4536"/>
        </w:tabs>
        <w:rPr>
          <w:b/>
          <w:sz w:val="28"/>
          <w:szCs w:val="28"/>
          <w:highlight w:val="yellow"/>
        </w:rPr>
      </w:pPr>
    </w:p>
    <w:sectPr w:rsidR="00AE4585" w:rsidRPr="007B40A7" w:rsidSect="000866C4">
      <w:headerReference w:type="even" r:id="rId9"/>
      <w:headerReference w:type="default" r:id="rId10"/>
      <w:headerReference w:type="first" r:id="rId11"/>
      <w:pgSz w:w="11906" w:h="16838"/>
      <w:pgMar w:top="1440" w:right="1440" w:bottom="1440" w:left="1440" w:header="720" w:footer="720" w:gutter="0"/>
      <w:paperSrc w:first="7" w:other="7"/>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3EF" w:rsidRDefault="008703EF">
      <w:r>
        <w:separator/>
      </w:r>
    </w:p>
  </w:endnote>
  <w:endnote w:type="continuationSeparator" w:id="0">
    <w:p w:rsidR="008703EF" w:rsidRDefault="0087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3EF" w:rsidRDefault="008703EF">
      <w:r>
        <w:separator/>
      </w:r>
    </w:p>
  </w:footnote>
  <w:footnote w:type="continuationSeparator" w:id="0">
    <w:p w:rsidR="008703EF" w:rsidRDefault="00870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C" w:rsidRDefault="0031575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C35BC" w:rsidRDefault="009514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A7" w:rsidRDefault="002A5AA7">
    <w:pPr>
      <w:pStyle w:val="Header"/>
      <w:jc w:val="center"/>
    </w:pPr>
  </w:p>
  <w:p w:rsidR="001C35BC" w:rsidRDefault="009514E2" w:rsidP="00E23B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A7" w:rsidRDefault="002A5AA7">
    <w:pPr>
      <w:pStyle w:val="Header"/>
      <w:jc w:val="center"/>
    </w:pPr>
  </w:p>
  <w:p w:rsidR="002A5AA7" w:rsidRDefault="009514E2" w:rsidP="002A5AA7">
    <w:pPr>
      <w:pStyle w:val="Header"/>
      <w:jc w:val="center"/>
    </w:pPr>
    <w:sdt>
      <w:sdtPr>
        <w:id w:val="2474450"/>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47C0"/>
    <w:multiLevelType w:val="hybridMultilevel"/>
    <w:tmpl w:val="3E280544"/>
    <w:lvl w:ilvl="0" w:tplc="52E48E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0F15DE"/>
    <w:multiLevelType w:val="hybridMultilevel"/>
    <w:tmpl w:val="1D165880"/>
    <w:lvl w:ilvl="0" w:tplc="01DA443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81736B"/>
    <w:multiLevelType w:val="hybridMultilevel"/>
    <w:tmpl w:val="56AA2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172181"/>
    <w:multiLevelType w:val="hybridMultilevel"/>
    <w:tmpl w:val="17C40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4B5AF9"/>
    <w:multiLevelType w:val="hybridMultilevel"/>
    <w:tmpl w:val="8DFA5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5C62ED"/>
    <w:multiLevelType w:val="hybridMultilevel"/>
    <w:tmpl w:val="0D14FEAC"/>
    <w:lvl w:ilvl="0" w:tplc="CFE663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7CE6388"/>
    <w:multiLevelType w:val="hybridMultilevel"/>
    <w:tmpl w:val="480C76D2"/>
    <w:lvl w:ilvl="0" w:tplc="0C090017">
      <w:start w:val="1"/>
      <w:numFmt w:val="lowerLetter"/>
      <w:lvlText w:val="%1)"/>
      <w:lvlJc w:val="left"/>
      <w:pPr>
        <w:ind w:left="720" w:hanging="360"/>
      </w:pPr>
      <w:rPr>
        <w:rFonts w:eastAsia="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9B0324C"/>
    <w:multiLevelType w:val="hybridMultilevel"/>
    <w:tmpl w:val="CB701AE6"/>
    <w:lvl w:ilvl="0" w:tplc="FA54F4F4">
      <w:start w:val="1"/>
      <w:numFmt w:val="bullet"/>
      <w:lvlText w:val="-"/>
      <w:lvlJc w:val="left"/>
      <w:pPr>
        <w:ind w:left="720" w:hanging="360"/>
      </w:pPr>
      <w:rPr>
        <w:rFonts w:ascii="Times New Roman" w:eastAsia="Times New Roman" w:hAnsi="Times New Roman" w:cs="Times New Roman" w:hint="default"/>
        <w:b/>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BBE06CF"/>
    <w:multiLevelType w:val="hybridMultilevel"/>
    <w:tmpl w:val="A6FEFBA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E002126"/>
    <w:multiLevelType w:val="multilevel"/>
    <w:tmpl w:val="194CC966"/>
    <w:lvl w:ilvl="0">
      <w:start w:val="1"/>
      <w:numFmt w:val="bullet"/>
      <w:pStyle w:val="PFBulletMargin"/>
      <w:lvlText w:val=""/>
      <w:lvlJc w:val="left"/>
      <w:pPr>
        <w:tabs>
          <w:tab w:val="num" w:pos="924"/>
        </w:tabs>
        <w:ind w:left="924" w:hanging="924"/>
      </w:pPr>
      <w:rPr>
        <w:rFonts w:ascii="Symbol" w:hAnsi="Symbol" w:hint="default"/>
        <w:b w:val="0"/>
        <w:i w:val="0"/>
        <w:color w:val="auto"/>
        <w:sz w:val="16"/>
      </w:rPr>
    </w:lvl>
    <w:lvl w:ilvl="1">
      <w:start w:val="1"/>
      <w:numFmt w:val="bullet"/>
      <w:pStyle w:val="PFBulletLevel1"/>
      <w:lvlText w:val=""/>
      <w:lvlJc w:val="left"/>
      <w:pPr>
        <w:tabs>
          <w:tab w:val="num" w:pos="1848"/>
        </w:tabs>
        <w:ind w:left="1848" w:hanging="924"/>
      </w:pPr>
      <w:rPr>
        <w:rFonts w:ascii="Symbol" w:hAnsi="Symbol" w:hint="default"/>
        <w:b w:val="0"/>
        <w:i w:val="0"/>
        <w:color w:val="auto"/>
        <w:sz w:val="16"/>
      </w:rPr>
    </w:lvl>
    <w:lvl w:ilvl="2">
      <w:start w:val="1"/>
      <w:numFmt w:val="bullet"/>
      <w:pStyle w:val="PFBulletLevel2"/>
      <w:lvlText w:val=""/>
      <w:lvlJc w:val="left"/>
      <w:pPr>
        <w:tabs>
          <w:tab w:val="num" w:pos="2773"/>
        </w:tabs>
        <w:ind w:left="2773" w:hanging="925"/>
      </w:pPr>
      <w:rPr>
        <w:rFonts w:ascii="Symbol" w:hAnsi="Symbol" w:hint="default"/>
        <w:b w:val="0"/>
        <w:i w:val="0"/>
        <w:color w:val="auto"/>
        <w:sz w:val="16"/>
      </w:rPr>
    </w:lvl>
    <w:lvl w:ilvl="3">
      <w:start w:val="1"/>
      <w:numFmt w:val="bullet"/>
      <w:pStyle w:val="PFBulletLevel3"/>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lvlText w:val="%7."/>
      <w:lvlJc w:val="left"/>
      <w:pPr>
        <w:tabs>
          <w:tab w:val="num" w:pos="4788"/>
        </w:tabs>
        <w:ind w:left="4788" w:hanging="360"/>
      </w:pPr>
      <w:rPr>
        <w:rFonts w:hint="default"/>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10">
    <w:nsid w:val="1E8E5F34"/>
    <w:multiLevelType w:val="hybridMultilevel"/>
    <w:tmpl w:val="520AD47E"/>
    <w:lvl w:ilvl="0" w:tplc="307685D2">
      <w:start w:val="2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EC47F72"/>
    <w:multiLevelType w:val="hybridMultilevel"/>
    <w:tmpl w:val="4776F6D4"/>
    <w:lvl w:ilvl="0" w:tplc="978A0A7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FC21021"/>
    <w:multiLevelType w:val="hybridMultilevel"/>
    <w:tmpl w:val="0726B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16167E"/>
    <w:multiLevelType w:val="hybridMultilevel"/>
    <w:tmpl w:val="0D98C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FD81EF9"/>
    <w:multiLevelType w:val="hybridMultilevel"/>
    <w:tmpl w:val="BE1E191E"/>
    <w:lvl w:ilvl="0" w:tplc="93FA76D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5721B43"/>
    <w:multiLevelType w:val="hybridMultilevel"/>
    <w:tmpl w:val="9BA6B7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D2A29FC"/>
    <w:multiLevelType w:val="hybridMultilevel"/>
    <w:tmpl w:val="D28CE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EA4F50"/>
    <w:multiLevelType w:val="hybridMultilevel"/>
    <w:tmpl w:val="6CBCEC82"/>
    <w:lvl w:ilvl="0" w:tplc="B958F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F805223"/>
    <w:multiLevelType w:val="hybridMultilevel"/>
    <w:tmpl w:val="A19A0EC0"/>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9">
    <w:nsid w:val="461971BB"/>
    <w:multiLevelType w:val="hybridMultilevel"/>
    <w:tmpl w:val="DA0C8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B96716D"/>
    <w:multiLevelType w:val="hybridMultilevel"/>
    <w:tmpl w:val="402EA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E6834F6"/>
    <w:multiLevelType w:val="multilevel"/>
    <w:tmpl w:val="389E678C"/>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5DC3352"/>
    <w:multiLevelType w:val="hybridMultilevel"/>
    <w:tmpl w:val="2EB2EA58"/>
    <w:lvl w:ilvl="0" w:tplc="A05EE8F8">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8C66F4B"/>
    <w:multiLevelType w:val="hybridMultilevel"/>
    <w:tmpl w:val="04A0F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AA95A55"/>
    <w:multiLevelType w:val="hybridMultilevel"/>
    <w:tmpl w:val="4A8C3666"/>
    <w:lvl w:ilvl="0" w:tplc="EC6A2B9C">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25063DB"/>
    <w:multiLevelType w:val="hybridMultilevel"/>
    <w:tmpl w:val="3F38B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6801C3D"/>
    <w:multiLevelType w:val="hybridMultilevel"/>
    <w:tmpl w:val="80E67CC2"/>
    <w:lvl w:ilvl="0" w:tplc="BFC0C860">
      <w:start w:val="6"/>
      <w:numFmt w:val="bullet"/>
      <w:lvlText w:val="-"/>
      <w:lvlJc w:val="left"/>
      <w:pPr>
        <w:ind w:left="420" w:hanging="360"/>
      </w:pPr>
      <w:rPr>
        <w:rFonts w:ascii="Times New Roman" w:eastAsia="Times New Roman" w:hAnsi="Times New Roman" w:cs="Times New Roman" w:hint="default"/>
        <w:b w:val="0"/>
        <w:sz w:val="23"/>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8">
    <w:nsid w:val="66E778BC"/>
    <w:multiLevelType w:val="hybridMultilevel"/>
    <w:tmpl w:val="45C62E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nsid w:val="6B6E2B2B"/>
    <w:multiLevelType w:val="hybridMultilevel"/>
    <w:tmpl w:val="7AAA4C9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B9B6017"/>
    <w:multiLevelType w:val="hybridMultilevel"/>
    <w:tmpl w:val="DF2E81E6"/>
    <w:lvl w:ilvl="0" w:tplc="3D0205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316731C"/>
    <w:multiLevelType w:val="hybridMultilevel"/>
    <w:tmpl w:val="BF582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4D13FE5"/>
    <w:multiLevelType w:val="hybridMultilevel"/>
    <w:tmpl w:val="0744F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7C75FCF"/>
    <w:multiLevelType w:val="hybridMultilevel"/>
    <w:tmpl w:val="AAB43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869147E"/>
    <w:multiLevelType w:val="hybridMultilevel"/>
    <w:tmpl w:val="D18E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17"/>
  </w:num>
  <w:num w:numId="4">
    <w:abstractNumId w:val="3"/>
  </w:num>
  <w:num w:numId="5">
    <w:abstractNumId w:val="31"/>
  </w:num>
  <w:num w:numId="6">
    <w:abstractNumId w:val="2"/>
  </w:num>
  <w:num w:numId="7">
    <w:abstractNumId w:val="19"/>
  </w:num>
  <w:num w:numId="8">
    <w:abstractNumId w:val="16"/>
  </w:num>
  <w:num w:numId="9">
    <w:abstractNumId w:val="10"/>
  </w:num>
  <w:num w:numId="10">
    <w:abstractNumId w:val="34"/>
  </w:num>
  <w:num w:numId="11">
    <w:abstractNumId w:val="24"/>
  </w:num>
  <w:num w:numId="12">
    <w:abstractNumId w:val="30"/>
  </w:num>
  <w:num w:numId="13">
    <w:abstractNumId w:val="11"/>
  </w:num>
  <w:num w:numId="14">
    <w:abstractNumId w:val="18"/>
  </w:num>
  <w:num w:numId="15">
    <w:abstractNumId w:val="28"/>
  </w:num>
  <w:num w:numId="16">
    <w:abstractNumId w:val="6"/>
  </w:num>
  <w:num w:numId="17">
    <w:abstractNumId w:val="14"/>
  </w:num>
  <w:num w:numId="18">
    <w:abstractNumId w:val="4"/>
  </w:num>
  <w:num w:numId="19">
    <w:abstractNumId w:val="25"/>
  </w:num>
  <w:num w:numId="20">
    <w:abstractNumId w:val="1"/>
  </w:num>
  <w:num w:numId="21">
    <w:abstractNumId w:val="5"/>
  </w:num>
  <w:num w:numId="22">
    <w:abstractNumId w:val="0"/>
  </w:num>
  <w:num w:numId="23">
    <w:abstractNumId w:val="23"/>
  </w:num>
  <w:num w:numId="24">
    <w:abstractNumId w:val="26"/>
  </w:num>
  <w:num w:numId="25">
    <w:abstractNumId w:val="33"/>
  </w:num>
  <w:num w:numId="26">
    <w:abstractNumId w:val="32"/>
  </w:num>
  <w:num w:numId="27">
    <w:abstractNumId w:val="13"/>
  </w:num>
  <w:num w:numId="28">
    <w:abstractNumId w:val="22"/>
  </w:num>
  <w:num w:numId="29">
    <w:abstractNumId w:val="12"/>
  </w:num>
  <w:num w:numId="30">
    <w:abstractNumId w:val="8"/>
  </w:num>
  <w:num w:numId="31">
    <w:abstractNumId w:val="29"/>
  </w:num>
  <w:num w:numId="32">
    <w:abstractNumId w:val="15"/>
  </w:num>
  <w:num w:numId="33">
    <w:abstractNumId w:val="20"/>
  </w:num>
  <w:num w:numId="34">
    <w:abstractNumId w:val="2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7A6"/>
    <w:rsid w:val="00012913"/>
    <w:rsid w:val="0005495E"/>
    <w:rsid w:val="00055028"/>
    <w:rsid w:val="00072B67"/>
    <w:rsid w:val="0008594D"/>
    <w:rsid w:val="000866C4"/>
    <w:rsid w:val="000976B3"/>
    <w:rsid w:val="000A363C"/>
    <w:rsid w:val="000F0799"/>
    <w:rsid w:val="000F3710"/>
    <w:rsid w:val="001041EF"/>
    <w:rsid w:val="00114059"/>
    <w:rsid w:val="00132572"/>
    <w:rsid w:val="00141EC1"/>
    <w:rsid w:val="00152275"/>
    <w:rsid w:val="001546D7"/>
    <w:rsid w:val="00194186"/>
    <w:rsid w:val="001B3443"/>
    <w:rsid w:val="001C124D"/>
    <w:rsid w:val="001C783C"/>
    <w:rsid w:val="001D5BD5"/>
    <w:rsid w:val="001E3F81"/>
    <w:rsid w:val="001F32D2"/>
    <w:rsid w:val="001F6AE1"/>
    <w:rsid w:val="0022191B"/>
    <w:rsid w:val="002220DD"/>
    <w:rsid w:val="00243B99"/>
    <w:rsid w:val="00261EEC"/>
    <w:rsid w:val="002A5AA7"/>
    <w:rsid w:val="002A7EEC"/>
    <w:rsid w:val="002B14FC"/>
    <w:rsid w:val="002B196B"/>
    <w:rsid w:val="002D10C9"/>
    <w:rsid w:val="002E2607"/>
    <w:rsid w:val="002E6439"/>
    <w:rsid w:val="002F22AE"/>
    <w:rsid w:val="002F276F"/>
    <w:rsid w:val="0030524A"/>
    <w:rsid w:val="0030786C"/>
    <w:rsid w:val="0031575C"/>
    <w:rsid w:val="0033144D"/>
    <w:rsid w:val="00341285"/>
    <w:rsid w:val="0034513E"/>
    <w:rsid w:val="00352FD5"/>
    <w:rsid w:val="0036077B"/>
    <w:rsid w:val="003A3B17"/>
    <w:rsid w:val="003B19A6"/>
    <w:rsid w:val="003B4C1B"/>
    <w:rsid w:val="003C18B5"/>
    <w:rsid w:val="003C72EB"/>
    <w:rsid w:val="003D6F83"/>
    <w:rsid w:val="003E6BFF"/>
    <w:rsid w:val="003F7ECC"/>
    <w:rsid w:val="004131EE"/>
    <w:rsid w:val="00441816"/>
    <w:rsid w:val="00472C33"/>
    <w:rsid w:val="00473B59"/>
    <w:rsid w:val="004867E2"/>
    <w:rsid w:val="004919FA"/>
    <w:rsid w:val="004C0134"/>
    <w:rsid w:val="004F1FED"/>
    <w:rsid w:val="005072E7"/>
    <w:rsid w:val="00520724"/>
    <w:rsid w:val="0053531C"/>
    <w:rsid w:val="00536D01"/>
    <w:rsid w:val="00552342"/>
    <w:rsid w:val="00557496"/>
    <w:rsid w:val="00595D1C"/>
    <w:rsid w:val="005B4E22"/>
    <w:rsid w:val="005B5FAA"/>
    <w:rsid w:val="005D206F"/>
    <w:rsid w:val="005E2C1D"/>
    <w:rsid w:val="005E3284"/>
    <w:rsid w:val="005F5319"/>
    <w:rsid w:val="006111F0"/>
    <w:rsid w:val="006215F2"/>
    <w:rsid w:val="00627D44"/>
    <w:rsid w:val="00640A82"/>
    <w:rsid w:val="006529D9"/>
    <w:rsid w:val="00670D54"/>
    <w:rsid w:val="0067123F"/>
    <w:rsid w:val="006763AE"/>
    <w:rsid w:val="006933B4"/>
    <w:rsid w:val="006B7B28"/>
    <w:rsid w:val="006C293E"/>
    <w:rsid w:val="00721712"/>
    <w:rsid w:val="00724B0F"/>
    <w:rsid w:val="00724DBB"/>
    <w:rsid w:val="00725805"/>
    <w:rsid w:val="00732047"/>
    <w:rsid w:val="007364DD"/>
    <w:rsid w:val="007646BA"/>
    <w:rsid w:val="00774063"/>
    <w:rsid w:val="00787684"/>
    <w:rsid w:val="007949F1"/>
    <w:rsid w:val="007A5433"/>
    <w:rsid w:val="007B40A7"/>
    <w:rsid w:val="007C0F36"/>
    <w:rsid w:val="00812C8D"/>
    <w:rsid w:val="008264EB"/>
    <w:rsid w:val="00845F7E"/>
    <w:rsid w:val="00856228"/>
    <w:rsid w:val="00856969"/>
    <w:rsid w:val="008703EF"/>
    <w:rsid w:val="00880CD4"/>
    <w:rsid w:val="00890361"/>
    <w:rsid w:val="008935AA"/>
    <w:rsid w:val="008A35F9"/>
    <w:rsid w:val="008C443E"/>
    <w:rsid w:val="008F06F1"/>
    <w:rsid w:val="00917B9C"/>
    <w:rsid w:val="009250A5"/>
    <w:rsid w:val="009321C3"/>
    <w:rsid w:val="009514E2"/>
    <w:rsid w:val="00955F5B"/>
    <w:rsid w:val="009A31DE"/>
    <w:rsid w:val="009C26EC"/>
    <w:rsid w:val="009C2FC9"/>
    <w:rsid w:val="009C6621"/>
    <w:rsid w:val="00A00B41"/>
    <w:rsid w:val="00A022D9"/>
    <w:rsid w:val="00A058BA"/>
    <w:rsid w:val="00A14269"/>
    <w:rsid w:val="00A32986"/>
    <w:rsid w:val="00A333BD"/>
    <w:rsid w:val="00A42C2D"/>
    <w:rsid w:val="00A54335"/>
    <w:rsid w:val="00A54F4F"/>
    <w:rsid w:val="00A83A41"/>
    <w:rsid w:val="00A9580F"/>
    <w:rsid w:val="00AA378D"/>
    <w:rsid w:val="00AC0F5D"/>
    <w:rsid w:val="00AC2C63"/>
    <w:rsid w:val="00AD6150"/>
    <w:rsid w:val="00AE07A6"/>
    <w:rsid w:val="00AE121F"/>
    <w:rsid w:val="00AE4585"/>
    <w:rsid w:val="00AE46DB"/>
    <w:rsid w:val="00B16917"/>
    <w:rsid w:val="00B2708A"/>
    <w:rsid w:val="00B27A20"/>
    <w:rsid w:val="00B400B2"/>
    <w:rsid w:val="00B42851"/>
    <w:rsid w:val="00B43894"/>
    <w:rsid w:val="00B47BF7"/>
    <w:rsid w:val="00BB0514"/>
    <w:rsid w:val="00BB3A74"/>
    <w:rsid w:val="00BB74B3"/>
    <w:rsid w:val="00C12997"/>
    <w:rsid w:val="00C174FE"/>
    <w:rsid w:val="00C3013B"/>
    <w:rsid w:val="00C37665"/>
    <w:rsid w:val="00C47DCB"/>
    <w:rsid w:val="00C5724B"/>
    <w:rsid w:val="00C904B4"/>
    <w:rsid w:val="00CA1F98"/>
    <w:rsid w:val="00CB5B1A"/>
    <w:rsid w:val="00CE030B"/>
    <w:rsid w:val="00CE03A3"/>
    <w:rsid w:val="00CE1062"/>
    <w:rsid w:val="00D11303"/>
    <w:rsid w:val="00D17C32"/>
    <w:rsid w:val="00D2115F"/>
    <w:rsid w:val="00D81F0B"/>
    <w:rsid w:val="00D825BC"/>
    <w:rsid w:val="00D958FF"/>
    <w:rsid w:val="00DC5949"/>
    <w:rsid w:val="00DD797A"/>
    <w:rsid w:val="00E11B4B"/>
    <w:rsid w:val="00E20581"/>
    <w:rsid w:val="00E2080E"/>
    <w:rsid w:val="00E22FB6"/>
    <w:rsid w:val="00E30E23"/>
    <w:rsid w:val="00E55D9C"/>
    <w:rsid w:val="00E61BC8"/>
    <w:rsid w:val="00E7525A"/>
    <w:rsid w:val="00E87142"/>
    <w:rsid w:val="00E97547"/>
    <w:rsid w:val="00EB508E"/>
    <w:rsid w:val="00ED3D0B"/>
    <w:rsid w:val="00EE2E15"/>
    <w:rsid w:val="00F054C0"/>
    <w:rsid w:val="00F11BFD"/>
    <w:rsid w:val="00F41DFD"/>
    <w:rsid w:val="00F57F82"/>
    <w:rsid w:val="00F776AB"/>
    <w:rsid w:val="00F97D3C"/>
    <w:rsid w:val="00FA7D15"/>
    <w:rsid w:val="00FC652E"/>
    <w:rsid w:val="00FD69B1"/>
    <w:rsid w:val="00FD7332"/>
    <w:rsid w:val="00FE1F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4585"/>
    <w:rPr>
      <w:sz w:val="24"/>
    </w:rPr>
  </w:style>
  <w:style w:type="paragraph" w:styleId="Heading1">
    <w:name w:val="heading 1"/>
    <w:basedOn w:val="Normal"/>
    <w:next w:val="Normal"/>
    <w:link w:val="Heading1Char"/>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ectno">
    <w:name w:val="CharSectno"/>
    <w:basedOn w:val="DefaultParagraphFont"/>
    <w:rsid w:val="00DD797A"/>
  </w:style>
  <w:style w:type="paragraph" w:customStyle="1" w:styleId="HR">
    <w:name w:val="HR"/>
    <w:aliases w:val="Regulation Heading"/>
    <w:basedOn w:val="Normal"/>
    <w:next w:val="Normal"/>
    <w:link w:val="HRChar"/>
    <w:rsid w:val="00DD797A"/>
    <w:pPr>
      <w:keepNext/>
      <w:spacing w:before="360"/>
      <w:ind w:left="964" w:hanging="964"/>
    </w:pPr>
    <w:rPr>
      <w:rFonts w:ascii="Arial" w:hAnsi="Arial"/>
      <w:b/>
    </w:rPr>
  </w:style>
  <w:style w:type="paragraph" w:customStyle="1" w:styleId="P1">
    <w:name w:val="P1"/>
    <w:aliases w:val="(a)"/>
    <w:basedOn w:val="Normal"/>
    <w:link w:val="P1Char"/>
    <w:rsid w:val="00DD797A"/>
    <w:pPr>
      <w:tabs>
        <w:tab w:val="right" w:pos="1191"/>
      </w:tabs>
      <w:spacing w:before="60" w:line="260" w:lineRule="exact"/>
      <w:ind w:left="1418" w:hanging="1418"/>
      <w:jc w:val="both"/>
    </w:pPr>
  </w:style>
  <w:style w:type="paragraph" w:customStyle="1" w:styleId="R1">
    <w:name w:val="R1"/>
    <w:aliases w:val="1. or 1.(1)"/>
    <w:basedOn w:val="Normal"/>
    <w:next w:val="Normal"/>
    <w:rsid w:val="00DD797A"/>
    <w:pPr>
      <w:keepLines/>
      <w:tabs>
        <w:tab w:val="right" w:pos="794"/>
      </w:tabs>
      <w:spacing w:before="120" w:line="260" w:lineRule="exact"/>
      <w:ind w:left="964" w:hanging="964"/>
      <w:jc w:val="both"/>
    </w:pPr>
  </w:style>
  <w:style w:type="paragraph" w:customStyle="1" w:styleId="R2">
    <w:name w:val="R2"/>
    <w:aliases w:val="(2)"/>
    <w:basedOn w:val="Normal"/>
    <w:link w:val="R2Char"/>
    <w:rsid w:val="00DD797A"/>
    <w:pPr>
      <w:keepLines/>
      <w:tabs>
        <w:tab w:val="right" w:pos="794"/>
      </w:tabs>
      <w:spacing w:before="180" w:line="260" w:lineRule="exact"/>
      <w:ind w:left="964" w:hanging="964"/>
      <w:jc w:val="both"/>
    </w:pPr>
  </w:style>
  <w:style w:type="character" w:customStyle="1" w:styleId="P1Char">
    <w:name w:val="P1 Char"/>
    <w:aliases w:val="(a) Char"/>
    <w:link w:val="P1"/>
    <w:locked/>
    <w:rsid w:val="00DD797A"/>
    <w:rPr>
      <w:sz w:val="24"/>
      <w:szCs w:val="24"/>
      <w:lang w:eastAsia="en-US"/>
    </w:rPr>
  </w:style>
  <w:style w:type="character" w:customStyle="1" w:styleId="R2Char">
    <w:name w:val="R2 Char"/>
    <w:aliases w:val="(2) Char"/>
    <w:link w:val="R2"/>
    <w:rsid w:val="00DD797A"/>
    <w:rPr>
      <w:sz w:val="24"/>
      <w:szCs w:val="24"/>
      <w:lang w:eastAsia="en-US"/>
    </w:rPr>
  </w:style>
  <w:style w:type="character" w:customStyle="1" w:styleId="HRChar">
    <w:name w:val="HR Char"/>
    <w:aliases w:val="Regulation Heading Char"/>
    <w:link w:val="HR"/>
    <w:rsid w:val="00DD797A"/>
    <w:rPr>
      <w:rFonts w:ascii="Arial" w:hAnsi="Arial"/>
      <w:b/>
      <w:sz w:val="24"/>
      <w:szCs w:val="24"/>
      <w:lang w:eastAsia="en-US"/>
    </w:rPr>
  </w:style>
  <w:style w:type="character" w:customStyle="1" w:styleId="Heading1Char">
    <w:name w:val="Heading 1 Char"/>
    <w:basedOn w:val="DefaultParagraphFont"/>
    <w:link w:val="Heading1"/>
    <w:rsid w:val="00AE4585"/>
    <w:rPr>
      <w:rFonts w:cs="Arial"/>
      <w:b/>
      <w:bCs/>
      <w:kern w:val="32"/>
      <w:sz w:val="32"/>
      <w:szCs w:val="32"/>
      <w:lang w:val="en-US" w:eastAsia="en-US"/>
    </w:rPr>
  </w:style>
  <w:style w:type="paragraph" w:styleId="Subtitle">
    <w:name w:val="Subtitle"/>
    <w:basedOn w:val="Normal"/>
    <w:link w:val="SubtitleChar"/>
    <w:qFormat/>
    <w:rsid w:val="00AE4585"/>
    <w:rPr>
      <w:u w:val="single"/>
    </w:rPr>
  </w:style>
  <w:style w:type="character" w:customStyle="1" w:styleId="SubtitleChar">
    <w:name w:val="Subtitle Char"/>
    <w:basedOn w:val="DefaultParagraphFont"/>
    <w:link w:val="Subtitle"/>
    <w:rsid w:val="00AE4585"/>
    <w:rPr>
      <w:sz w:val="24"/>
      <w:u w:val="single"/>
    </w:rPr>
  </w:style>
  <w:style w:type="paragraph" w:styleId="BodyText">
    <w:name w:val="Body Text"/>
    <w:basedOn w:val="Normal"/>
    <w:link w:val="BodyTextChar"/>
    <w:rsid w:val="00AE4585"/>
    <w:rPr>
      <w:b/>
    </w:rPr>
  </w:style>
  <w:style w:type="character" w:customStyle="1" w:styleId="BodyTextChar">
    <w:name w:val="Body Text Char"/>
    <w:basedOn w:val="DefaultParagraphFont"/>
    <w:link w:val="BodyText"/>
    <w:rsid w:val="00AE4585"/>
    <w:rPr>
      <w:b/>
      <w:sz w:val="24"/>
    </w:rPr>
  </w:style>
  <w:style w:type="paragraph" w:styleId="Header">
    <w:name w:val="header"/>
    <w:basedOn w:val="Normal"/>
    <w:link w:val="HeaderChar"/>
    <w:uiPriority w:val="99"/>
    <w:rsid w:val="00AE4585"/>
    <w:pPr>
      <w:tabs>
        <w:tab w:val="center" w:pos="4153"/>
        <w:tab w:val="right" w:pos="8306"/>
      </w:tabs>
    </w:pPr>
  </w:style>
  <w:style w:type="character" w:customStyle="1" w:styleId="HeaderChar">
    <w:name w:val="Header Char"/>
    <w:basedOn w:val="DefaultParagraphFont"/>
    <w:link w:val="Header"/>
    <w:uiPriority w:val="99"/>
    <w:rsid w:val="00AE4585"/>
    <w:rPr>
      <w:sz w:val="24"/>
    </w:rPr>
  </w:style>
  <w:style w:type="character" w:styleId="PageNumber">
    <w:name w:val="page number"/>
    <w:basedOn w:val="DefaultParagraphFont"/>
    <w:rsid w:val="00AE4585"/>
  </w:style>
  <w:style w:type="paragraph" w:customStyle="1" w:styleId="CharCharChar">
    <w:name w:val="Char Char Char"/>
    <w:basedOn w:val="Normal"/>
    <w:rsid w:val="00AE4585"/>
    <w:rPr>
      <w:rFonts w:ascii="Arial" w:hAnsi="Arial" w:cs="Arial"/>
      <w:sz w:val="22"/>
      <w:szCs w:val="22"/>
      <w:lang w:eastAsia="en-US"/>
    </w:rPr>
  </w:style>
  <w:style w:type="paragraph" w:styleId="ListParagraph">
    <w:name w:val="List Paragraph"/>
    <w:basedOn w:val="Normal"/>
    <w:uiPriority w:val="34"/>
    <w:qFormat/>
    <w:rsid w:val="00AE4585"/>
    <w:pPr>
      <w:ind w:left="720"/>
      <w:contextualSpacing/>
    </w:pPr>
  </w:style>
  <w:style w:type="character" w:styleId="Hyperlink">
    <w:name w:val="Hyperlink"/>
    <w:basedOn w:val="DefaultParagraphFont"/>
    <w:uiPriority w:val="99"/>
    <w:unhideWhenUsed/>
    <w:rsid w:val="00AE4585"/>
    <w:rPr>
      <w:color w:val="0000FF" w:themeColor="hyperlink"/>
      <w:u w:val="single"/>
    </w:rPr>
  </w:style>
  <w:style w:type="paragraph" w:customStyle="1" w:styleId="Default">
    <w:name w:val="Default"/>
    <w:rsid w:val="00AE4585"/>
    <w:pPr>
      <w:autoSpaceDE w:val="0"/>
      <w:autoSpaceDN w:val="0"/>
      <w:adjustRightInd w:val="0"/>
    </w:pPr>
    <w:rPr>
      <w:rFonts w:eastAsiaTheme="minorHAnsi"/>
      <w:color w:val="000000"/>
      <w:sz w:val="24"/>
      <w:szCs w:val="24"/>
      <w:lang w:eastAsia="en-US"/>
    </w:rPr>
  </w:style>
  <w:style w:type="paragraph" w:styleId="BalloonText">
    <w:name w:val="Balloon Text"/>
    <w:basedOn w:val="Normal"/>
    <w:link w:val="BalloonTextChar"/>
    <w:uiPriority w:val="99"/>
    <w:unhideWhenUsed/>
    <w:rsid w:val="00AE4585"/>
    <w:rPr>
      <w:rFonts w:ascii="Tahoma" w:hAnsi="Tahoma" w:cs="Tahoma"/>
      <w:sz w:val="16"/>
      <w:szCs w:val="16"/>
    </w:rPr>
  </w:style>
  <w:style w:type="character" w:customStyle="1" w:styleId="BalloonTextChar">
    <w:name w:val="Balloon Text Char"/>
    <w:basedOn w:val="DefaultParagraphFont"/>
    <w:link w:val="BalloonText"/>
    <w:uiPriority w:val="99"/>
    <w:rsid w:val="00AE4585"/>
    <w:rPr>
      <w:rFonts w:ascii="Tahoma" w:hAnsi="Tahoma" w:cs="Tahoma"/>
      <w:sz w:val="16"/>
      <w:szCs w:val="16"/>
    </w:rPr>
  </w:style>
  <w:style w:type="character" w:styleId="CommentReference">
    <w:name w:val="annotation reference"/>
    <w:basedOn w:val="DefaultParagraphFont"/>
    <w:unhideWhenUsed/>
    <w:rsid w:val="00AE4585"/>
    <w:rPr>
      <w:sz w:val="16"/>
      <w:szCs w:val="16"/>
    </w:rPr>
  </w:style>
  <w:style w:type="paragraph" w:styleId="CommentText">
    <w:name w:val="annotation text"/>
    <w:basedOn w:val="Normal"/>
    <w:link w:val="CommentTextChar"/>
    <w:unhideWhenUsed/>
    <w:rsid w:val="00AE4585"/>
    <w:rPr>
      <w:sz w:val="20"/>
    </w:rPr>
  </w:style>
  <w:style w:type="character" w:customStyle="1" w:styleId="CommentTextChar">
    <w:name w:val="Comment Text Char"/>
    <w:basedOn w:val="DefaultParagraphFont"/>
    <w:link w:val="CommentText"/>
    <w:rsid w:val="00AE4585"/>
  </w:style>
  <w:style w:type="paragraph" w:styleId="CommentSubject">
    <w:name w:val="annotation subject"/>
    <w:basedOn w:val="CommentText"/>
    <w:next w:val="CommentText"/>
    <w:link w:val="CommentSubjectChar"/>
    <w:uiPriority w:val="99"/>
    <w:unhideWhenUsed/>
    <w:rsid w:val="00AE4585"/>
    <w:rPr>
      <w:b/>
      <w:bCs/>
    </w:rPr>
  </w:style>
  <w:style w:type="character" w:customStyle="1" w:styleId="CommentSubjectChar">
    <w:name w:val="Comment Subject Char"/>
    <w:basedOn w:val="CommentTextChar"/>
    <w:link w:val="CommentSubject"/>
    <w:uiPriority w:val="99"/>
    <w:rsid w:val="00AE4585"/>
    <w:rPr>
      <w:b/>
      <w:bCs/>
    </w:rPr>
  </w:style>
  <w:style w:type="paragraph" w:styleId="Revision">
    <w:name w:val="Revision"/>
    <w:hidden/>
    <w:uiPriority w:val="99"/>
    <w:semiHidden/>
    <w:rsid w:val="00AE4585"/>
    <w:rPr>
      <w:sz w:val="24"/>
    </w:rPr>
  </w:style>
  <w:style w:type="paragraph" w:styleId="Footer">
    <w:name w:val="footer"/>
    <w:basedOn w:val="Normal"/>
    <w:link w:val="FooterChar"/>
    <w:uiPriority w:val="99"/>
    <w:unhideWhenUsed/>
    <w:rsid w:val="00AE4585"/>
    <w:pPr>
      <w:tabs>
        <w:tab w:val="center" w:pos="4513"/>
        <w:tab w:val="right" w:pos="9026"/>
      </w:tabs>
    </w:pPr>
  </w:style>
  <w:style w:type="character" w:customStyle="1" w:styleId="FooterChar">
    <w:name w:val="Footer Char"/>
    <w:basedOn w:val="DefaultParagraphFont"/>
    <w:link w:val="Footer"/>
    <w:uiPriority w:val="99"/>
    <w:rsid w:val="00AE4585"/>
    <w:rPr>
      <w:sz w:val="24"/>
    </w:rPr>
  </w:style>
  <w:style w:type="character" w:styleId="IntenseReference">
    <w:name w:val="Intense Reference"/>
    <w:basedOn w:val="DefaultParagraphFont"/>
    <w:uiPriority w:val="32"/>
    <w:qFormat/>
    <w:rsid w:val="00AE4585"/>
    <w:rPr>
      <w:b/>
      <w:bCs/>
      <w:i/>
      <w:smallCaps/>
      <w:color w:val="C0504D" w:themeColor="accent2"/>
      <w:spacing w:val="5"/>
      <w:u w:val="none"/>
    </w:rPr>
  </w:style>
  <w:style w:type="paragraph" w:customStyle="1" w:styleId="ActHead9">
    <w:name w:val="ActHead 9"/>
    <w:aliases w:val="aat"/>
    <w:basedOn w:val="Normal"/>
    <w:next w:val="Normal"/>
    <w:qFormat/>
    <w:rsid w:val="00AE4585"/>
    <w:pPr>
      <w:keepNext/>
      <w:keepLines/>
      <w:spacing w:before="280"/>
      <w:ind w:left="1134" w:hanging="1134"/>
      <w:outlineLvl w:val="8"/>
    </w:pPr>
    <w:rPr>
      <w:b/>
      <w:i/>
      <w:kern w:val="28"/>
      <w:sz w:val="28"/>
    </w:rPr>
  </w:style>
  <w:style w:type="paragraph" w:customStyle="1" w:styleId="ShortT">
    <w:name w:val="ShortT"/>
    <w:basedOn w:val="Normal"/>
    <w:next w:val="Normal"/>
    <w:qFormat/>
    <w:rsid w:val="00AE4585"/>
    <w:rPr>
      <w:b/>
      <w:sz w:val="40"/>
    </w:rPr>
  </w:style>
  <w:style w:type="paragraph" w:customStyle="1" w:styleId="PFParaNumLevel1">
    <w:name w:val="PF (ParaNum) Level 1"/>
    <w:basedOn w:val="Normal"/>
    <w:rsid w:val="00A42C2D"/>
    <w:pPr>
      <w:numPr>
        <w:numId w:val="34"/>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2">
    <w:name w:val="PF (ParaNum) Level 2"/>
    <w:basedOn w:val="Normal"/>
    <w:rsid w:val="00A42C2D"/>
    <w:pPr>
      <w:numPr>
        <w:ilvl w:val="1"/>
        <w:numId w:val="34"/>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3">
    <w:name w:val="PF (ParaNum) Level 3"/>
    <w:basedOn w:val="Normal"/>
    <w:rsid w:val="00A42C2D"/>
    <w:pPr>
      <w:numPr>
        <w:ilvl w:val="2"/>
        <w:numId w:val="34"/>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4">
    <w:name w:val="PF (ParaNum) Level 4"/>
    <w:basedOn w:val="Normal"/>
    <w:rsid w:val="00A42C2D"/>
    <w:pPr>
      <w:numPr>
        <w:ilvl w:val="3"/>
        <w:numId w:val="34"/>
      </w:numPr>
      <w:tabs>
        <w:tab w:val="left" w:pos="1848"/>
        <w:tab w:val="left" w:pos="2773"/>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5">
    <w:name w:val="PF (ParaNum) Level 5"/>
    <w:basedOn w:val="Normal"/>
    <w:rsid w:val="00A42C2D"/>
    <w:pPr>
      <w:numPr>
        <w:ilvl w:val="4"/>
        <w:numId w:val="34"/>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BulletMargin">
    <w:name w:val="PF Bullet Margin"/>
    <w:basedOn w:val="Normal"/>
    <w:rsid w:val="00441816"/>
    <w:pPr>
      <w:numPr>
        <w:numId w:val="35"/>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BulletLevel1">
    <w:name w:val="PF Bullet Level 1"/>
    <w:basedOn w:val="Normal"/>
    <w:rsid w:val="00441816"/>
    <w:pPr>
      <w:numPr>
        <w:ilvl w:val="1"/>
        <w:numId w:val="35"/>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BulletLevel2">
    <w:name w:val="PF Bullet Level 2"/>
    <w:basedOn w:val="Normal"/>
    <w:rsid w:val="00441816"/>
    <w:pPr>
      <w:numPr>
        <w:ilvl w:val="2"/>
        <w:numId w:val="35"/>
      </w:numPr>
      <w:tabs>
        <w:tab w:val="left" w:pos="1848"/>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BulletLevel3">
    <w:name w:val="PF Bullet Level 3"/>
    <w:basedOn w:val="Normal"/>
    <w:rsid w:val="00441816"/>
    <w:pPr>
      <w:numPr>
        <w:ilvl w:val="3"/>
        <w:numId w:val="35"/>
      </w:numPr>
      <w:tabs>
        <w:tab w:val="left" w:pos="1848"/>
        <w:tab w:val="left" w:pos="2773"/>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character" w:styleId="PlaceholderText">
    <w:name w:val="Placeholder Text"/>
    <w:basedOn w:val="DefaultParagraphFont"/>
    <w:rsid w:val="000F3710"/>
    <w:rPr>
      <w:color w:val="808080"/>
    </w:rPr>
  </w:style>
  <w:style w:type="paragraph" w:customStyle="1" w:styleId="pfparanumlevel10">
    <w:name w:val="pfparanumlevel1"/>
    <w:basedOn w:val="Normal"/>
    <w:rsid w:val="00B16917"/>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4585"/>
    <w:rPr>
      <w:sz w:val="24"/>
    </w:rPr>
  </w:style>
  <w:style w:type="paragraph" w:styleId="Heading1">
    <w:name w:val="heading 1"/>
    <w:basedOn w:val="Normal"/>
    <w:next w:val="Normal"/>
    <w:link w:val="Heading1Char"/>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ectno">
    <w:name w:val="CharSectno"/>
    <w:basedOn w:val="DefaultParagraphFont"/>
    <w:rsid w:val="00DD797A"/>
  </w:style>
  <w:style w:type="paragraph" w:customStyle="1" w:styleId="HR">
    <w:name w:val="HR"/>
    <w:aliases w:val="Regulation Heading"/>
    <w:basedOn w:val="Normal"/>
    <w:next w:val="Normal"/>
    <w:link w:val="HRChar"/>
    <w:rsid w:val="00DD797A"/>
    <w:pPr>
      <w:keepNext/>
      <w:spacing w:before="360"/>
      <w:ind w:left="964" w:hanging="964"/>
    </w:pPr>
    <w:rPr>
      <w:rFonts w:ascii="Arial" w:hAnsi="Arial"/>
      <w:b/>
    </w:rPr>
  </w:style>
  <w:style w:type="paragraph" w:customStyle="1" w:styleId="P1">
    <w:name w:val="P1"/>
    <w:aliases w:val="(a)"/>
    <w:basedOn w:val="Normal"/>
    <w:link w:val="P1Char"/>
    <w:rsid w:val="00DD797A"/>
    <w:pPr>
      <w:tabs>
        <w:tab w:val="right" w:pos="1191"/>
      </w:tabs>
      <w:spacing w:before="60" w:line="260" w:lineRule="exact"/>
      <w:ind w:left="1418" w:hanging="1418"/>
      <w:jc w:val="both"/>
    </w:pPr>
  </w:style>
  <w:style w:type="paragraph" w:customStyle="1" w:styleId="R1">
    <w:name w:val="R1"/>
    <w:aliases w:val="1. or 1.(1)"/>
    <w:basedOn w:val="Normal"/>
    <w:next w:val="Normal"/>
    <w:rsid w:val="00DD797A"/>
    <w:pPr>
      <w:keepLines/>
      <w:tabs>
        <w:tab w:val="right" w:pos="794"/>
      </w:tabs>
      <w:spacing w:before="120" w:line="260" w:lineRule="exact"/>
      <w:ind w:left="964" w:hanging="964"/>
      <w:jc w:val="both"/>
    </w:pPr>
  </w:style>
  <w:style w:type="paragraph" w:customStyle="1" w:styleId="R2">
    <w:name w:val="R2"/>
    <w:aliases w:val="(2)"/>
    <w:basedOn w:val="Normal"/>
    <w:link w:val="R2Char"/>
    <w:rsid w:val="00DD797A"/>
    <w:pPr>
      <w:keepLines/>
      <w:tabs>
        <w:tab w:val="right" w:pos="794"/>
      </w:tabs>
      <w:spacing w:before="180" w:line="260" w:lineRule="exact"/>
      <w:ind w:left="964" w:hanging="964"/>
      <w:jc w:val="both"/>
    </w:pPr>
  </w:style>
  <w:style w:type="character" w:customStyle="1" w:styleId="P1Char">
    <w:name w:val="P1 Char"/>
    <w:aliases w:val="(a) Char"/>
    <w:link w:val="P1"/>
    <w:locked/>
    <w:rsid w:val="00DD797A"/>
    <w:rPr>
      <w:sz w:val="24"/>
      <w:szCs w:val="24"/>
      <w:lang w:eastAsia="en-US"/>
    </w:rPr>
  </w:style>
  <w:style w:type="character" w:customStyle="1" w:styleId="R2Char">
    <w:name w:val="R2 Char"/>
    <w:aliases w:val="(2) Char"/>
    <w:link w:val="R2"/>
    <w:rsid w:val="00DD797A"/>
    <w:rPr>
      <w:sz w:val="24"/>
      <w:szCs w:val="24"/>
      <w:lang w:eastAsia="en-US"/>
    </w:rPr>
  </w:style>
  <w:style w:type="character" w:customStyle="1" w:styleId="HRChar">
    <w:name w:val="HR Char"/>
    <w:aliases w:val="Regulation Heading Char"/>
    <w:link w:val="HR"/>
    <w:rsid w:val="00DD797A"/>
    <w:rPr>
      <w:rFonts w:ascii="Arial" w:hAnsi="Arial"/>
      <w:b/>
      <w:sz w:val="24"/>
      <w:szCs w:val="24"/>
      <w:lang w:eastAsia="en-US"/>
    </w:rPr>
  </w:style>
  <w:style w:type="character" w:customStyle="1" w:styleId="Heading1Char">
    <w:name w:val="Heading 1 Char"/>
    <w:basedOn w:val="DefaultParagraphFont"/>
    <w:link w:val="Heading1"/>
    <w:rsid w:val="00AE4585"/>
    <w:rPr>
      <w:rFonts w:cs="Arial"/>
      <w:b/>
      <w:bCs/>
      <w:kern w:val="32"/>
      <w:sz w:val="32"/>
      <w:szCs w:val="32"/>
      <w:lang w:val="en-US" w:eastAsia="en-US"/>
    </w:rPr>
  </w:style>
  <w:style w:type="paragraph" w:styleId="Subtitle">
    <w:name w:val="Subtitle"/>
    <w:basedOn w:val="Normal"/>
    <w:link w:val="SubtitleChar"/>
    <w:qFormat/>
    <w:rsid w:val="00AE4585"/>
    <w:rPr>
      <w:u w:val="single"/>
    </w:rPr>
  </w:style>
  <w:style w:type="character" w:customStyle="1" w:styleId="SubtitleChar">
    <w:name w:val="Subtitle Char"/>
    <w:basedOn w:val="DefaultParagraphFont"/>
    <w:link w:val="Subtitle"/>
    <w:rsid w:val="00AE4585"/>
    <w:rPr>
      <w:sz w:val="24"/>
      <w:u w:val="single"/>
    </w:rPr>
  </w:style>
  <w:style w:type="paragraph" w:styleId="BodyText">
    <w:name w:val="Body Text"/>
    <w:basedOn w:val="Normal"/>
    <w:link w:val="BodyTextChar"/>
    <w:rsid w:val="00AE4585"/>
    <w:rPr>
      <w:b/>
    </w:rPr>
  </w:style>
  <w:style w:type="character" w:customStyle="1" w:styleId="BodyTextChar">
    <w:name w:val="Body Text Char"/>
    <w:basedOn w:val="DefaultParagraphFont"/>
    <w:link w:val="BodyText"/>
    <w:rsid w:val="00AE4585"/>
    <w:rPr>
      <w:b/>
      <w:sz w:val="24"/>
    </w:rPr>
  </w:style>
  <w:style w:type="paragraph" w:styleId="Header">
    <w:name w:val="header"/>
    <w:basedOn w:val="Normal"/>
    <w:link w:val="HeaderChar"/>
    <w:uiPriority w:val="99"/>
    <w:rsid w:val="00AE4585"/>
    <w:pPr>
      <w:tabs>
        <w:tab w:val="center" w:pos="4153"/>
        <w:tab w:val="right" w:pos="8306"/>
      </w:tabs>
    </w:pPr>
  </w:style>
  <w:style w:type="character" w:customStyle="1" w:styleId="HeaderChar">
    <w:name w:val="Header Char"/>
    <w:basedOn w:val="DefaultParagraphFont"/>
    <w:link w:val="Header"/>
    <w:uiPriority w:val="99"/>
    <w:rsid w:val="00AE4585"/>
    <w:rPr>
      <w:sz w:val="24"/>
    </w:rPr>
  </w:style>
  <w:style w:type="character" w:styleId="PageNumber">
    <w:name w:val="page number"/>
    <w:basedOn w:val="DefaultParagraphFont"/>
    <w:rsid w:val="00AE4585"/>
  </w:style>
  <w:style w:type="paragraph" w:customStyle="1" w:styleId="CharCharChar">
    <w:name w:val="Char Char Char"/>
    <w:basedOn w:val="Normal"/>
    <w:rsid w:val="00AE4585"/>
    <w:rPr>
      <w:rFonts w:ascii="Arial" w:hAnsi="Arial" w:cs="Arial"/>
      <w:sz w:val="22"/>
      <w:szCs w:val="22"/>
      <w:lang w:eastAsia="en-US"/>
    </w:rPr>
  </w:style>
  <w:style w:type="paragraph" w:styleId="ListParagraph">
    <w:name w:val="List Paragraph"/>
    <w:basedOn w:val="Normal"/>
    <w:uiPriority w:val="34"/>
    <w:qFormat/>
    <w:rsid w:val="00AE4585"/>
    <w:pPr>
      <w:ind w:left="720"/>
      <w:contextualSpacing/>
    </w:pPr>
  </w:style>
  <w:style w:type="character" w:styleId="Hyperlink">
    <w:name w:val="Hyperlink"/>
    <w:basedOn w:val="DefaultParagraphFont"/>
    <w:uiPriority w:val="99"/>
    <w:unhideWhenUsed/>
    <w:rsid w:val="00AE4585"/>
    <w:rPr>
      <w:color w:val="0000FF" w:themeColor="hyperlink"/>
      <w:u w:val="single"/>
    </w:rPr>
  </w:style>
  <w:style w:type="paragraph" w:customStyle="1" w:styleId="Default">
    <w:name w:val="Default"/>
    <w:rsid w:val="00AE4585"/>
    <w:pPr>
      <w:autoSpaceDE w:val="0"/>
      <w:autoSpaceDN w:val="0"/>
      <w:adjustRightInd w:val="0"/>
    </w:pPr>
    <w:rPr>
      <w:rFonts w:eastAsiaTheme="minorHAnsi"/>
      <w:color w:val="000000"/>
      <w:sz w:val="24"/>
      <w:szCs w:val="24"/>
      <w:lang w:eastAsia="en-US"/>
    </w:rPr>
  </w:style>
  <w:style w:type="paragraph" w:styleId="BalloonText">
    <w:name w:val="Balloon Text"/>
    <w:basedOn w:val="Normal"/>
    <w:link w:val="BalloonTextChar"/>
    <w:uiPriority w:val="99"/>
    <w:unhideWhenUsed/>
    <w:rsid w:val="00AE4585"/>
    <w:rPr>
      <w:rFonts w:ascii="Tahoma" w:hAnsi="Tahoma" w:cs="Tahoma"/>
      <w:sz w:val="16"/>
      <w:szCs w:val="16"/>
    </w:rPr>
  </w:style>
  <w:style w:type="character" w:customStyle="1" w:styleId="BalloonTextChar">
    <w:name w:val="Balloon Text Char"/>
    <w:basedOn w:val="DefaultParagraphFont"/>
    <w:link w:val="BalloonText"/>
    <w:uiPriority w:val="99"/>
    <w:rsid w:val="00AE4585"/>
    <w:rPr>
      <w:rFonts w:ascii="Tahoma" w:hAnsi="Tahoma" w:cs="Tahoma"/>
      <w:sz w:val="16"/>
      <w:szCs w:val="16"/>
    </w:rPr>
  </w:style>
  <w:style w:type="character" w:styleId="CommentReference">
    <w:name w:val="annotation reference"/>
    <w:basedOn w:val="DefaultParagraphFont"/>
    <w:unhideWhenUsed/>
    <w:rsid w:val="00AE4585"/>
    <w:rPr>
      <w:sz w:val="16"/>
      <w:szCs w:val="16"/>
    </w:rPr>
  </w:style>
  <w:style w:type="paragraph" w:styleId="CommentText">
    <w:name w:val="annotation text"/>
    <w:basedOn w:val="Normal"/>
    <w:link w:val="CommentTextChar"/>
    <w:unhideWhenUsed/>
    <w:rsid w:val="00AE4585"/>
    <w:rPr>
      <w:sz w:val="20"/>
    </w:rPr>
  </w:style>
  <w:style w:type="character" w:customStyle="1" w:styleId="CommentTextChar">
    <w:name w:val="Comment Text Char"/>
    <w:basedOn w:val="DefaultParagraphFont"/>
    <w:link w:val="CommentText"/>
    <w:rsid w:val="00AE4585"/>
  </w:style>
  <w:style w:type="paragraph" w:styleId="CommentSubject">
    <w:name w:val="annotation subject"/>
    <w:basedOn w:val="CommentText"/>
    <w:next w:val="CommentText"/>
    <w:link w:val="CommentSubjectChar"/>
    <w:uiPriority w:val="99"/>
    <w:unhideWhenUsed/>
    <w:rsid w:val="00AE4585"/>
    <w:rPr>
      <w:b/>
      <w:bCs/>
    </w:rPr>
  </w:style>
  <w:style w:type="character" w:customStyle="1" w:styleId="CommentSubjectChar">
    <w:name w:val="Comment Subject Char"/>
    <w:basedOn w:val="CommentTextChar"/>
    <w:link w:val="CommentSubject"/>
    <w:uiPriority w:val="99"/>
    <w:rsid w:val="00AE4585"/>
    <w:rPr>
      <w:b/>
      <w:bCs/>
    </w:rPr>
  </w:style>
  <w:style w:type="paragraph" w:styleId="Revision">
    <w:name w:val="Revision"/>
    <w:hidden/>
    <w:uiPriority w:val="99"/>
    <w:semiHidden/>
    <w:rsid w:val="00AE4585"/>
    <w:rPr>
      <w:sz w:val="24"/>
    </w:rPr>
  </w:style>
  <w:style w:type="paragraph" w:styleId="Footer">
    <w:name w:val="footer"/>
    <w:basedOn w:val="Normal"/>
    <w:link w:val="FooterChar"/>
    <w:uiPriority w:val="99"/>
    <w:unhideWhenUsed/>
    <w:rsid w:val="00AE4585"/>
    <w:pPr>
      <w:tabs>
        <w:tab w:val="center" w:pos="4513"/>
        <w:tab w:val="right" w:pos="9026"/>
      </w:tabs>
    </w:pPr>
  </w:style>
  <w:style w:type="character" w:customStyle="1" w:styleId="FooterChar">
    <w:name w:val="Footer Char"/>
    <w:basedOn w:val="DefaultParagraphFont"/>
    <w:link w:val="Footer"/>
    <w:uiPriority w:val="99"/>
    <w:rsid w:val="00AE4585"/>
    <w:rPr>
      <w:sz w:val="24"/>
    </w:rPr>
  </w:style>
  <w:style w:type="character" w:styleId="IntenseReference">
    <w:name w:val="Intense Reference"/>
    <w:basedOn w:val="DefaultParagraphFont"/>
    <w:uiPriority w:val="32"/>
    <w:qFormat/>
    <w:rsid w:val="00AE4585"/>
    <w:rPr>
      <w:b/>
      <w:bCs/>
      <w:i/>
      <w:smallCaps/>
      <w:color w:val="C0504D" w:themeColor="accent2"/>
      <w:spacing w:val="5"/>
      <w:u w:val="none"/>
    </w:rPr>
  </w:style>
  <w:style w:type="paragraph" w:customStyle="1" w:styleId="ActHead9">
    <w:name w:val="ActHead 9"/>
    <w:aliases w:val="aat"/>
    <w:basedOn w:val="Normal"/>
    <w:next w:val="Normal"/>
    <w:qFormat/>
    <w:rsid w:val="00AE4585"/>
    <w:pPr>
      <w:keepNext/>
      <w:keepLines/>
      <w:spacing w:before="280"/>
      <w:ind w:left="1134" w:hanging="1134"/>
      <w:outlineLvl w:val="8"/>
    </w:pPr>
    <w:rPr>
      <w:b/>
      <w:i/>
      <w:kern w:val="28"/>
      <w:sz w:val="28"/>
    </w:rPr>
  </w:style>
  <w:style w:type="paragraph" w:customStyle="1" w:styleId="ShortT">
    <w:name w:val="ShortT"/>
    <w:basedOn w:val="Normal"/>
    <w:next w:val="Normal"/>
    <w:qFormat/>
    <w:rsid w:val="00AE4585"/>
    <w:rPr>
      <w:b/>
      <w:sz w:val="40"/>
    </w:rPr>
  </w:style>
  <w:style w:type="paragraph" w:customStyle="1" w:styleId="PFParaNumLevel1">
    <w:name w:val="PF (ParaNum) Level 1"/>
    <w:basedOn w:val="Normal"/>
    <w:rsid w:val="00A42C2D"/>
    <w:pPr>
      <w:numPr>
        <w:numId w:val="34"/>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2">
    <w:name w:val="PF (ParaNum) Level 2"/>
    <w:basedOn w:val="Normal"/>
    <w:rsid w:val="00A42C2D"/>
    <w:pPr>
      <w:numPr>
        <w:ilvl w:val="1"/>
        <w:numId w:val="34"/>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3">
    <w:name w:val="PF (ParaNum) Level 3"/>
    <w:basedOn w:val="Normal"/>
    <w:rsid w:val="00A42C2D"/>
    <w:pPr>
      <w:numPr>
        <w:ilvl w:val="2"/>
        <w:numId w:val="34"/>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4">
    <w:name w:val="PF (ParaNum) Level 4"/>
    <w:basedOn w:val="Normal"/>
    <w:rsid w:val="00A42C2D"/>
    <w:pPr>
      <w:numPr>
        <w:ilvl w:val="3"/>
        <w:numId w:val="34"/>
      </w:numPr>
      <w:tabs>
        <w:tab w:val="left" w:pos="1848"/>
        <w:tab w:val="left" w:pos="2773"/>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5">
    <w:name w:val="PF (ParaNum) Level 5"/>
    <w:basedOn w:val="Normal"/>
    <w:rsid w:val="00A42C2D"/>
    <w:pPr>
      <w:numPr>
        <w:ilvl w:val="4"/>
        <w:numId w:val="34"/>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BulletMargin">
    <w:name w:val="PF Bullet Margin"/>
    <w:basedOn w:val="Normal"/>
    <w:rsid w:val="00441816"/>
    <w:pPr>
      <w:numPr>
        <w:numId w:val="35"/>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BulletLevel1">
    <w:name w:val="PF Bullet Level 1"/>
    <w:basedOn w:val="Normal"/>
    <w:rsid w:val="00441816"/>
    <w:pPr>
      <w:numPr>
        <w:ilvl w:val="1"/>
        <w:numId w:val="35"/>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BulletLevel2">
    <w:name w:val="PF Bullet Level 2"/>
    <w:basedOn w:val="Normal"/>
    <w:rsid w:val="00441816"/>
    <w:pPr>
      <w:numPr>
        <w:ilvl w:val="2"/>
        <w:numId w:val="35"/>
      </w:numPr>
      <w:tabs>
        <w:tab w:val="left" w:pos="1848"/>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BulletLevel3">
    <w:name w:val="PF Bullet Level 3"/>
    <w:basedOn w:val="Normal"/>
    <w:rsid w:val="00441816"/>
    <w:pPr>
      <w:numPr>
        <w:ilvl w:val="3"/>
        <w:numId w:val="35"/>
      </w:numPr>
      <w:tabs>
        <w:tab w:val="left" w:pos="1848"/>
        <w:tab w:val="left" w:pos="2773"/>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character" w:styleId="PlaceholderText">
    <w:name w:val="Placeholder Text"/>
    <w:basedOn w:val="DefaultParagraphFont"/>
    <w:rsid w:val="000F3710"/>
    <w:rPr>
      <w:color w:val="808080"/>
    </w:rPr>
  </w:style>
  <w:style w:type="paragraph" w:customStyle="1" w:styleId="pfparanumlevel10">
    <w:name w:val="pfparanumlevel1"/>
    <w:basedOn w:val="Normal"/>
    <w:rsid w:val="00B16917"/>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55368">
      <w:bodyDiv w:val="1"/>
      <w:marLeft w:val="0"/>
      <w:marRight w:val="0"/>
      <w:marTop w:val="0"/>
      <w:marBottom w:val="0"/>
      <w:divBdr>
        <w:top w:val="none" w:sz="0" w:space="0" w:color="auto"/>
        <w:left w:val="none" w:sz="0" w:space="0" w:color="auto"/>
        <w:bottom w:val="none" w:sz="0" w:space="0" w:color="auto"/>
        <w:right w:val="none" w:sz="0" w:space="0" w:color="auto"/>
      </w:divBdr>
      <w:divsChild>
        <w:div w:id="892035467">
          <w:marLeft w:val="0"/>
          <w:marRight w:val="0"/>
          <w:marTop w:val="0"/>
          <w:marBottom w:val="0"/>
          <w:divBdr>
            <w:top w:val="none" w:sz="0" w:space="0" w:color="auto"/>
            <w:left w:val="none" w:sz="0" w:space="0" w:color="auto"/>
            <w:bottom w:val="none" w:sz="0" w:space="0" w:color="auto"/>
            <w:right w:val="none" w:sz="0" w:space="0" w:color="auto"/>
          </w:divBdr>
          <w:divsChild>
            <w:div w:id="1104687496">
              <w:marLeft w:val="0"/>
              <w:marRight w:val="0"/>
              <w:marTop w:val="0"/>
              <w:marBottom w:val="0"/>
              <w:divBdr>
                <w:top w:val="none" w:sz="0" w:space="0" w:color="auto"/>
                <w:left w:val="none" w:sz="0" w:space="0" w:color="auto"/>
                <w:bottom w:val="none" w:sz="0" w:space="0" w:color="auto"/>
                <w:right w:val="none" w:sz="0" w:space="0" w:color="auto"/>
              </w:divBdr>
              <w:divsChild>
                <w:div w:id="2061202292">
                  <w:marLeft w:val="0"/>
                  <w:marRight w:val="0"/>
                  <w:marTop w:val="0"/>
                  <w:marBottom w:val="0"/>
                  <w:divBdr>
                    <w:top w:val="none" w:sz="0" w:space="0" w:color="auto"/>
                    <w:left w:val="none" w:sz="0" w:space="0" w:color="auto"/>
                    <w:bottom w:val="none" w:sz="0" w:space="0" w:color="auto"/>
                    <w:right w:val="none" w:sz="0" w:space="0" w:color="auto"/>
                  </w:divBdr>
                  <w:divsChild>
                    <w:div w:id="119417225">
                      <w:marLeft w:val="0"/>
                      <w:marRight w:val="0"/>
                      <w:marTop w:val="0"/>
                      <w:marBottom w:val="0"/>
                      <w:divBdr>
                        <w:top w:val="none" w:sz="0" w:space="0" w:color="auto"/>
                        <w:left w:val="none" w:sz="0" w:space="0" w:color="auto"/>
                        <w:bottom w:val="none" w:sz="0" w:space="0" w:color="auto"/>
                        <w:right w:val="none" w:sz="0" w:space="0" w:color="auto"/>
                      </w:divBdr>
                      <w:divsChild>
                        <w:div w:id="167017914">
                          <w:marLeft w:val="0"/>
                          <w:marRight w:val="0"/>
                          <w:marTop w:val="0"/>
                          <w:marBottom w:val="0"/>
                          <w:divBdr>
                            <w:top w:val="none" w:sz="0" w:space="0" w:color="auto"/>
                            <w:left w:val="none" w:sz="0" w:space="0" w:color="auto"/>
                            <w:bottom w:val="none" w:sz="0" w:space="0" w:color="auto"/>
                            <w:right w:val="none" w:sz="0" w:space="0" w:color="auto"/>
                          </w:divBdr>
                          <w:divsChild>
                            <w:div w:id="1004358641">
                              <w:marLeft w:val="0"/>
                              <w:marRight w:val="0"/>
                              <w:marTop w:val="0"/>
                              <w:marBottom w:val="0"/>
                              <w:divBdr>
                                <w:top w:val="single" w:sz="6" w:space="0" w:color="828282"/>
                                <w:left w:val="single" w:sz="6" w:space="0" w:color="828282"/>
                                <w:bottom w:val="single" w:sz="6" w:space="0" w:color="828282"/>
                                <w:right w:val="single" w:sz="6" w:space="0" w:color="828282"/>
                              </w:divBdr>
                              <w:divsChild>
                                <w:div w:id="623971163">
                                  <w:marLeft w:val="0"/>
                                  <w:marRight w:val="0"/>
                                  <w:marTop w:val="0"/>
                                  <w:marBottom w:val="0"/>
                                  <w:divBdr>
                                    <w:top w:val="none" w:sz="0" w:space="0" w:color="auto"/>
                                    <w:left w:val="none" w:sz="0" w:space="0" w:color="auto"/>
                                    <w:bottom w:val="none" w:sz="0" w:space="0" w:color="auto"/>
                                    <w:right w:val="none" w:sz="0" w:space="0" w:color="auto"/>
                                  </w:divBdr>
                                  <w:divsChild>
                                    <w:div w:id="1681811421">
                                      <w:marLeft w:val="0"/>
                                      <w:marRight w:val="0"/>
                                      <w:marTop w:val="0"/>
                                      <w:marBottom w:val="0"/>
                                      <w:divBdr>
                                        <w:top w:val="none" w:sz="0" w:space="0" w:color="auto"/>
                                        <w:left w:val="none" w:sz="0" w:space="0" w:color="auto"/>
                                        <w:bottom w:val="none" w:sz="0" w:space="0" w:color="auto"/>
                                        <w:right w:val="none" w:sz="0" w:space="0" w:color="auto"/>
                                      </w:divBdr>
                                      <w:divsChild>
                                        <w:div w:id="1121192671">
                                          <w:marLeft w:val="0"/>
                                          <w:marRight w:val="0"/>
                                          <w:marTop w:val="0"/>
                                          <w:marBottom w:val="0"/>
                                          <w:divBdr>
                                            <w:top w:val="none" w:sz="0" w:space="0" w:color="auto"/>
                                            <w:left w:val="none" w:sz="0" w:space="0" w:color="auto"/>
                                            <w:bottom w:val="none" w:sz="0" w:space="0" w:color="auto"/>
                                            <w:right w:val="none" w:sz="0" w:space="0" w:color="auto"/>
                                          </w:divBdr>
                                          <w:divsChild>
                                            <w:div w:id="1246958081">
                                              <w:marLeft w:val="0"/>
                                              <w:marRight w:val="0"/>
                                              <w:marTop w:val="0"/>
                                              <w:marBottom w:val="0"/>
                                              <w:divBdr>
                                                <w:top w:val="none" w:sz="0" w:space="0" w:color="auto"/>
                                                <w:left w:val="none" w:sz="0" w:space="0" w:color="auto"/>
                                                <w:bottom w:val="none" w:sz="0" w:space="0" w:color="auto"/>
                                                <w:right w:val="none" w:sz="0" w:space="0" w:color="auto"/>
                                              </w:divBdr>
                                              <w:divsChild>
                                                <w:div w:id="427427318">
                                                  <w:marLeft w:val="0"/>
                                                  <w:marRight w:val="0"/>
                                                  <w:marTop w:val="0"/>
                                                  <w:marBottom w:val="0"/>
                                                  <w:divBdr>
                                                    <w:top w:val="none" w:sz="0" w:space="0" w:color="auto"/>
                                                    <w:left w:val="none" w:sz="0" w:space="0" w:color="auto"/>
                                                    <w:bottom w:val="none" w:sz="0" w:space="0" w:color="auto"/>
                                                    <w:right w:val="none" w:sz="0" w:space="0" w:color="auto"/>
                                                  </w:divBdr>
                                                  <w:divsChild>
                                                    <w:div w:id="5200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720170">
      <w:bodyDiv w:val="1"/>
      <w:marLeft w:val="0"/>
      <w:marRight w:val="0"/>
      <w:marTop w:val="0"/>
      <w:marBottom w:val="0"/>
      <w:divBdr>
        <w:top w:val="none" w:sz="0" w:space="0" w:color="auto"/>
        <w:left w:val="none" w:sz="0" w:space="0" w:color="auto"/>
        <w:bottom w:val="none" w:sz="0" w:space="0" w:color="auto"/>
        <w:right w:val="none" w:sz="0" w:space="0" w:color="auto"/>
      </w:divBdr>
      <w:divsChild>
        <w:div w:id="68967325">
          <w:marLeft w:val="0"/>
          <w:marRight w:val="0"/>
          <w:marTop w:val="0"/>
          <w:marBottom w:val="0"/>
          <w:divBdr>
            <w:top w:val="none" w:sz="0" w:space="0" w:color="auto"/>
            <w:left w:val="none" w:sz="0" w:space="0" w:color="auto"/>
            <w:bottom w:val="none" w:sz="0" w:space="0" w:color="auto"/>
            <w:right w:val="none" w:sz="0" w:space="0" w:color="auto"/>
          </w:divBdr>
          <w:divsChild>
            <w:div w:id="698700075">
              <w:marLeft w:val="0"/>
              <w:marRight w:val="0"/>
              <w:marTop w:val="0"/>
              <w:marBottom w:val="0"/>
              <w:divBdr>
                <w:top w:val="none" w:sz="0" w:space="0" w:color="auto"/>
                <w:left w:val="none" w:sz="0" w:space="0" w:color="auto"/>
                <w:bottom w:val="none" w:sz="0" w:space="0" w:color="auto"/>
                <w:right w:val="none" w:sz="0" w:space="0" w:color="auto"/>
              </w:divBdr>
              <w:divsChild>
                <w:div w:id="2089375007">
                  <w:marLeft w:val="0"/>
                  <w:marRight w:val="0"/>
                  <w:marTop w:val="0"/>
                  <w:marBottom w:val="0"/>
                  <w:divBdr>
                    <w:top w:val="none" w:sz="0" w:space="0" w:color="auto"/>
                    <w:left w:val="none" w:sz="0" w:space="0" w:color="auto"/>
                    <w:bottom w:val="none" w:sz="0" w:space="0" w:color="auto"/>
                    <w:right w:val="none" w:sz="0" w:space="0" w:color="auto"/>
                  </w:divBdr>
                  <w:divsChild>
                    <w:div w:id="871187367">
                      <w:marLeft w:val="0"/>
                      <w:marRight w:val="0"/>
                      <w:marTop w:val="0"/>
                      <w:marBottom w:val="0"/>
                      <w:divBdr>
                        <w:top w:val="none" w:sz="0" w:space="0" w:color="auto"/>
                        <w:left w:val="none" w:sz="0" w:space="0" w:color="auto"/>
                        <w:bottom w:val="none" w:sz="0" w:space="0" w:color="auto"/>
                        <w:right w:val="none" w:sz="0" w:space="0" w:color="auto"/>
                      </w:divBdr>
                      <w:divsChild>
                        <w:div w:id="1827240226">
                          <w:marLeft w:val="0"/>
                          <w:marRight w:val="0"/>
                          <w:marTop w:val="0"/>
                          <w:marBottom w:val="0"/>
                          <w:divBdr>
                            <w:top w:val="none" w:sz="0" w:space="0" w:color="auto"/>
                            <w:left w:val="none" w:sz="0" w:space="0" w:color="auto"/>
                            <w:bottom w:val="none" w:sz="0" w:space="0" w:color="auto"/>
                            <w:right w:val="none" w:sz="0" w:space="0" w:color="auto"/>
                          </w:divBdr>
                          <w:divsChild>
                            <w:div w:id="660885158">
                              <w:marLeft w:val="0"/>
                              <w:marRight w:val="0"/>
                              <w:marTop w:val="0"/>
                              <w:marBottom w:val="0"/>
                              <w:divBdr>
                                <w:top w:val="none" w:sz="0" w:space="0" w:color="auto"/>
                                <w:left w:val="none" w:sz="0" w:space="0" w:color="auto"/>
                                <w:bottom w:val="none" w:sz="0" w:space="0" w:color="auto"/>
                                <w:right w:val="none" w:sz="0" w:space="0" w:color="auto"/>
                              </w:divBdr>
                              <w:divsChild>
                                <w:div w:id="24734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D39E6-6F6A-4568-9FE1-7B9371D80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1579</Words>
  <Characters>9004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Carlton Tracey</dc:creator>
  <cp:lastModifiedBy>Lewis Eleanor</cp:lastModifiedBy>
  <cp:revision>2</cp:revision>
  <cp:lastPrinted>2015-07-16T01:38:00Z</cp:lastPrinted>
  <dcterms:created xsi:type="dcterms:W3CDTF">2016-03-08T01:02:00Z</dcterms:created>
  <dcterms:modified xsi:type="dcterms:W3CDTF">2016-03-08T01:02:00Z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