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282AEE" w:rsidTr="00903A1A">
        <w:trPr>
          <w:tblHeader/>
        </w:trPr>
        <w:tc>
          <w:tcPr>
            <w:tcW w:w="4508" w:type="dxa"/>
          </w:tcPr>
          <w:p w:rsidR="00282AEE" w:rsidRPr="0000292B" w:rsidRDefault="00282AEE" w:rsidP="00B47841">
            <w:pPr>
              <w:pStyle w:val="CoverStandard"/>
            </w:pPr>
            <w:bookmarkStart w:id="0" w:name="_GoBack"/>
            <w:bookmarkEnd w:id="0"/>
            <w:r>
              <w:t>AASB Standard</w:t>
            </w:r>
          </w:p>
        </w:tc>
        <w:tc>
          <w:tcPr>
            <w:tcW w:w="4509" w:type="dxa"/>
          </w:tcPr>
          <w:p w:rsidR="00282AEE" w:rsidRPr="0000292B" w:rsidRDefault="00282AEE" w:rsidP="00B47841">
            <w:pPr>
              <w:pStyle w:val="CoverNumber"/>
            </w:pPr>
            <w:r>
              <w:t>AASB</w:t>
            </w:r>
            <w:r w:rsidRPr="0000292B">
              <w:t xml:space="preserve"> </w:t>
            </w:r>
            <w:r w:rsidR="00A05799">
              <w:t>2016-1</w:t>
            </w:r>
          </w:p>
          <w:p w:rsidR="00282AEE" w:rsidRPr="0000292B" w:rsidRDefault="00A05799" w:rsidP="00B47841">
            <w:pPr>
              <w:pStyle w:val="CoverDate"/>
            </w:pPr>
            <w:bookmarkStart w:id="1" w:name="DocDate"/>
            <w:r>
              <w:t xml:space="preserve">February </w:t>
            </w:r>
            <w:r w:rsidR="00282AEE">
              <w:t>2016</w:t>
            </w:r>
            <w:bookmarkEnd w:id="1"/>
          </w:p>
        </w:tc>
      </w:tr>
    </w:tbl>
    <w:p w:rsidR="00282AEE" w:rsidRDefault="00282AEE" w:rsidP="00282AEE">
      <w:pPr>
        <w:pStyle w:val="CoverTitle"/>
      </w:pPr>
      <w:r>
        <w:t xml:space="preserve">Amendments to Australian Accounting Standards </w:t>
      </w:r>
      <w:bookmarkStart w:id="2" w:name="ArisingNo"/>
      <w:r>
        <w:t>–</w:t>
      </w:r>
      <w:r w:rsidR="00541686">
        <w:t xml:space="preserve"> </w:t>
      </w:r>
      <w:bookmarkEnd w:id="2"/>
      <w:r w:rsidR="00115601">
        <w:t xml:space="preserve">Recognition of Deferred Tax Assets for Unrealised Losses </w:t>
      </w:r>
    </w:p>
    <w:p w:rsidR="00115601" w:rsidRPr="00A15C34" w:rsidRDefault="00115601" w:rsidP="00A15C34">
      <w:pPr>
        <w:pStyle w:val="CoverSubtitle"/>
      </w:pPr>
      <w:r w:rsidRPr="00A15C34">
        <w:t>[AASB 112]</w:t>
      </w:r>
    </w:p>
    <w:p w:rsidR="00336710" w:rsidRDefault="00336710" w:rsidP="00FC071C">
      <w:pPr>
        <w:pStyle w:val="AASBBase"/>
      </w:pPr>
      <w:r w:rsidRPr="0024411C">
        <w:rPr>
          <w:noProof/>
          <w:lang w:eastAsia="en-AU"/>
        </w:rPr>
        <w:drawing>
          <wp:anchor distT="0" distB="0" distL="114300" distR="114300" simplePos="0" relativeHeight="251659264" behindDoc="0" locked="1" layoutInCell="1" allowOverlap="1" wp14:anchorId="2C1ECFBA" wp14:editId="3513D44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AEE" w:rsidRDefault="00282AEE" w:rsidP="00282AEE"/>
    <w:p w:rsidR="00282AEE" w:rsidRDefault="00282AEE" w:rsidP="00282AEE"/>
    <w:p w:rsidR="00336710" w:rsidRPr="00282AEE" w:rsidRDefault="00336710" w:rsidP="00282AEE">
      <w:pPr>
        <w:sectPr w:rsidR="00336710" w:rsidRPr="00282AEE" w:rsidSect="00C100EE">
          <w:headerReference w:type="even" r:id="rId10"/>
          <w:headerReference w:type="default" r:id="rId11"/>
          <w:headerReference w:type="first" r:id="rId12"/>
          <w:pgSz w:w="11907" w:h="16839" w:code="9"/>
          <w:pgMar w:top="1440" w:right="1440" w:bottom="1440" w:left="1440" w:header="709" w:footer="709" w:gutter="0"/>
          <w:cols w:space="708"/>
          <w:docGrid w:linePitch="360"/>
        </w:sectPr>
      </w:pPr>
    </w:p>
    <w:p w:rsidR="00336710" w:rsidRDefault="00336710" w:rsidP="00FC071C">
      <w:pPr>
        <w:pStyle w:val="IASBSectionTitle2NonInd"/>
      </w:pPr>
      <w:r>
        <w:lastRenderedPageBreak/>
        <w:t xml:space="preserve">Obtaining a </w:t>
      </w:r>
      <w:r w:rsidR="006021DA">
        <w:t>c</w:t>
      </w:r>
      <w:r>
        <w:t xml:space="preserve">opy of this Accounting </w:t>
      </w:r>
      <w:r w:rsidR="001B3814">
        <w:fldChar w:fldCharType="begin" w:fldLock="1"/>
      </w:r>
      <w:r w:rsidR="001B3814">
        <w:instrText xml:space="preserve"> REF DocType </w:instrText>
      </w:r>
      <w:r w:rsidR="001B3814">
        <w:fldChar w:fldCharType="separate"/>
      </w:r>
      <w:r w:rsidR="007D4A2A" w:rsidRPr="00CB4C3F">
        <w:t>Standard</w:t>
      </w:r>
      <w:r w:rsidR="001B3814">
        <w:fldChar w:fldCharType="end"/>
      </w:r>
    </w:p>
    <w:p w:rsidR="00336710" w:rsidRDefault="00336710" w:rsidP="009948E0">
      <w:pPr>
        <w:pStyle w:val="AASBBase"/>
        <w:spacing w:after="200"/>
      </w:pPr>
      <w:r>
        <w:t xml:space="preserve">This </w:t>
      </w:r>
      <w:r w:rsidR="001B3814">
        <w:fldChar w:fldCharType="begin" w:fldLock="1"/>
      </w:r>
      <w:r w:rsidR="001B3814">
        <w:instrText xml:space="preserve"> REF DocType </w:instrText>
      </w:r>
      <w:r w:rsidR="001B3814">
        <w:fldChar w:fldCharType="separate"/>
      </w:r>
      <w:r w:rsidR="007D4A2A" w:rsidRPr="00CB4C3F">
        <w:t>Standard</w:t>
      </w:r>
      <w:r w:rsidR="001B3814">
        <w:fldChar w:fldCharType="end"/>
      </w:r>
      <w:r>
        <w:t xml:space="preserve"> is available on the AASB website: www.aasb.gov.au.</w:t>
      </w:r>
    </w:p>
    <w:p w:rsidR="00336710" w:rsidRDefault="00336710" w:rsidP="00FC071C">
      <w:pPr>
        <w:pStyle w:val="AASBBase"/>
      </w:pPr>
      <w:r>
        <w:t>Australian Accounting Standards Board</w:t>
      </w:r>
    </w:p>
    <w:p w:rsidR="00336710" w:rsidRDefault="00336710" w:rsidP="00FC071C">
      <w:pPr>
        <w:pStyle w:val="AASBBase"/>
      </w:pPr>
      <w:r>
        <w:t>PO Box 204</w:t>
      </w:r>
    </w:p>
    <w:p w:rsidR="00336710" w:rsidRDefault="00336710" w:rsidP="00FC071C">
      <w:pPr>
        <w:pStyle w:val="AASBBase"/>
      </w:pPr>
      <w:r>
        <w:t>Collins Street West</w:t>
      </w:r>
    </w:p>
    <w:p w:rsidR="00336710" w:rsidRDefault="00336710" w:rsidP="00FC071C">
      <w:pPr>
        <w:pStyle w:val="AASBBase"/>
      </w:pPr>
      <w:r>
        <w:t>Victoria   8007</w:t>
      </w:r>
    </w:p>
    <w:p w:rsidR="00336710" w:rsidRDefault="00336710" w:rsidP="00FC071C">
      <w:pPr>
        <w:pStyle w:val="AASBPara"/>
      </w:pPr>
      <w:r>
        <w:t>AUSTRALIA</w:t>
      </w:r>
    </w:p>
    <w:p w:rsidR="00336710" w:rsidRDefault="00336710" w:rsidP="006D6F0E">
      <w:pPr>
        <w:pStyle w:val="AASBBase"/>
        <w:tabs>
          <w:tab w:val="left" w:pos="907"/>
        </w:tabs>
      </w:pPr>
      <w:r>
        <w:t>Phone:</w:t>
      </w:r>
      <w:r>
        <w:tab/>
        <w:t>(03) 9617 7637</w:t>
      </w:r>
    </w:p>
    <w:p w:rsidR="00336710" w:rsidRDefault="00336710" w:rsidP="006D6F0E">
      <w:pPr>
        <w:pStyle w:val="AASBBase"/>
        <w:tabs>
          <w:tab w:val="left" w:pos="907"/>
        </w:tabs>
      </w:pPr>
      <w:r>
        <w:t>E-mail:</w:t>
      </w:r>
      <w:r>
        <w:tab/>
        <w:t>publications@aasb.gov.au</w:t>
      </w:r>
    </w:p>
    <w:p w:rsidR="00336710" w:rsidRDefault="00336710" w:rsidP="006D6F0E">
      <w:pPr>
        <w:pStyle w:val="AASBPara"/>
        <w:tabs>
          <w:tab w:val="left" w:pos="907"/>
        </w:tabs>
      </w:pPr>
      <w:r>
        <w:t>Website:</w:t>
      </w:r>
      <w:r>
        <w:tab/>
        <w:t>www.aasb.gov.au</w:t>
      </w:r>
    </w:p>
    <w:p w:rsidR="00336710" w:rsidRDefault="00336710" w:rsidP="00FC071C">
      <w:pPr>
        <w:pStyle w:val="IASBSectionTitle2NonInd"/>
      </w:pPr>
      <w:r>
        <w:t xml:space="preserve">Other </w:t>
      </w:r>
      <w:r w:rsidR="006021DA">
        <w:t>e</w:t>
      </w:r>
      <w:r>
        <w:t>nquiries</w:t>
      </w:r>
    </w:p>
    <w:p w:rsidR="00336710" w:rsidRDefault="00336710" w:rsidP="006D6F0E">
      <w:pPr>
        <w:pStyle w:val="AASBBase"/>
        <w:tabs>
          <w:tab w:val="left" w:pos="907"/>
        </w:tabs>
      </w:pPr>
      <w:r>
        <w:t>Phone:</w:t>
      </w:r>
      <w:r>
        <w:tab/>
        <w:t>(03) 9617 7600</w:t>
      </w:r>
    </w:p>
    <w:p w:rsidR="00336710" w:rsidRDefault="00336710" w:rsidP="006D6F0E">
      <w:pPr>
        <w:pStyle w:val="AASBBase"/>
        <w:tabs>
          <w:tab w:val="left" w:pos="907"/>
        </w:tabs>
      </w:pPr>
      <w:r>
        <w:t>E-mail:</w:t>
      </w:r>
      <w:r>
        <w:tab/>
        <w:t>standard@aasb.gov.au</w:t>
      </w:r>
    </w:p>
    <w:p w:rsidR="00336710" w:rsidRDefault="00336710" w:rsidP="009948E0">
      <w:pPr>
        <w:pStyle w:val="AASBPara"/>
        <w:spacing w:before="6120"/>
      </w:pPr>
      <w:r>
        <w:t>COPYRIGHT</w:t>
      </w:r>
    </w:p>
    <w:p w:rsidR="00336710" w:rsidRDefault="00336710" w:rsidP="00FC071C">
      <w:pPr>
        <w:pStyle w:val="AASBPara"/>
      </w:pPr>
      <w:r>
        <w:t xml:space="preserve">© Commonwealth of Australia </w:t>
      </w:r>
      <w:bookmarkStart w:id="3" w:name="Year"/>
      <w:r w:rsidR="007D4A2A">
        <w:t>201</w:t>
      </w:r>
      <w:bookmarkEnd w:id="3"/>
      <w:r w:rsidR="003F5C4E">
        <w:t>6</w:t>
      </w:r>
    </w:p>
    <w:p w:rsidR="00336710" w:rsidRDefault="00336710" w:rsidP="00FC071C">
      <w:pPr>
        <w:pStyle w:val="AASBPara"/>
      </w:pPr>
      <w:r>
        <w:t xml:space="preserve">This AASB </w:t>
      </w:r>
      <w:r w:rsidR="001B3814">
        <w:fldChar w:fldCharType="begin" w:fldLock="1"/>
      </w:r>
      <w:r w:rsidR="001B3814">
        <w:instrText xml:space="preserve"> REF DocType </w:instrText>
      </w:r>
      <w:r w:rsidR="001B3814">
        <w:fldChar w:fldCharType="separate"/>
      </w:r>
      <w:r w:rsidR="007D4A2A" w:rsidRPr="00CB4C3F">
        <w:t>Standard</w:t>
      </w:r>
      <w:r w:rsidR="001B3814">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336710" w:rsidRDefault="00336710" w:rsidP="00FC071C">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336710" w:rsidRDefault="00336710" w:rsidP="00FC071C">
      <w:pPr>
        <w:pStyle w:val="AASBBase"/>
      </w:pPr>
      <w:r>
        <w:t xml:space="preserve">ISSN </w:t>
      </w:r>
      <w:bookmarkStart w:id="4" w:name="ISSN"/>
      <w:r>
        <w:t>1036-4803</w:t>
      </w:r>
      <w:bookmarkEnd w:id="4"/>
    </w:p>
    <w:p w:rsidR="00336710" w:rsidRDefault="00336710" w:rsidP="00FC071C">
      <w:pPr>
        <w:pStyle w:val="AASBBase"/>
        <w:sectPr w:rsidR="00336710" w:rsidSect="006F69EB">
          <w:headerReference w:type="even" r:id="rId13"/>
          <w:headerReference w:type="default" r:id="rId14"/>
          <w:footerReference w:type="even" r:id="rId15"/>
          <w:footerReference w:type="default" r:id="rId16"/>
          <w:pgSz w:w="11907" w:h="16839" w:code="9"/>
          <w:pgMar w:top="1440" w:right="1440" w:bottom="1440" w:left="1440" w:header="709" w:footer="709" w:gutter="0"/>
          <w:pgNumType w:start="2"/>
          <w:cols w:space="708"/>
          <w:docGrid w:linePitch="360"/>
        </w:sectPr>
      </w:pPr>
    </w:p>
    <w:p w:rsidR="00336710" w:rsidRDefault="00336710" w:rsidP="00FC071C">
      <w:pPr>
        <w:pStyle w:val="ConvSectionTitle"/>
      </w:pPr>
      <w:r>
        <w:lastRenderedPageBreak/>
        <w:t>Contents</w:t>
      </w:r>
    </w:p>
    <w:p w:rsidR="00063009" w:rsidRDefault="00063009" w:rsidP="00FC071C">
      <w:pPr>
        <w:pStyle w:val="AASBBase"/>
      </w:pPr>
      <w:bookmarkStart w:id="5" w:name="TOCTopStandard"/>
      <w:r>
        <w:t xml:space="preserve">PREFACE </w:t>
      </w:r>
    </w:p>
    <w:p w:rsidR="00063009" w:rsidRPr="00063009" w:rsidRDefault="00063009" w:rsidP="00FC071C">
      <w:pPr>
        <w:pStyle w:val="AASBBase"/>
      </w:pPr>
    </w:p>
    <w:p w:rsidR="00336710" w:rsidRPr="000C31B3" w:rsidRDefault="00336710" w:rsidP="00FC071C">
      <w:pPr>
        <w:pStyle w:val="AASBBase"/>
        <w:rPr>
          <w:b/>
        </w:rPr>
      </w:pPr>
      <w:r w:rsidRPr="000C31B3">
        <w:rPr>
          <w:b/>
        </w:rPr>
        <w:t>ACCOUNTING STANDARD</w:t>
      </w:r>
    </w:p>
    <w:p w:rsidR="00336710" w:rsidRPr="003F5C4E" w:rsidRDefault="003F5C4E" w:rsidP="00541686">
      <w:pPr>
        <w:pStyle w:val="AASBPara"/>
        <w:jc w:val="left"/>
        <w:rPr>
          <w:b/>
          <w:i/>
        </w:rPr>
      </w:pPr>
      <w:r>
        <w:rPr>
          <w:b/>
        </w:rPr>
        <w:t xml:space="preserve">AASB </w:t>
      </w:r>
      <w:r w:rsidR="00A05799">
        <w:rPr>
          <w:b/>
        </w:rPr>
        <w:t>2016-1</w:t>
      </w:r>
      <w:r>
        <w:rPr>
          <w:b/>
        </w:rPr>
        <w:t xml:space="preserve"> </w:t>
      </w:r>
      <w:r>
        <w:rPr>
          <w:b/>
          <w:i/>
        </w:rPr>
        <w:t xml:space="preserve">AMENDMENTS TO AUSTRALIAN ACCOUNTING STANDARDS </w:t>
      </w:r>
      <w:r w:rsidR="00115601">
        <w:rPr>
          <w:b/>
          <w:i/>
        </w:rPr>
        <w:t xml:space="preserve">– RECOGNITION OF DEFERRED TAX ASSETS FOR UNREALISED LOSSES  </w:t>
      </w:r>
    </w:p>
    <w:bookmarkEnd w:id="5"/>
    <w:p w:rsidR="00336710" w:rsidRDefault="00336710" w:rsidP="00FC071C">
      <w:pPr>
        <w:pStyle w:val="ContentsHeading"/>
      </w:pPr>
      <w:proofErr w:type="gramStart"/>
      <w:r>
        <w:t>from</w:t>
      </w:r>
      <w:proofErr w:type="gramEnd"/>
      <w:r>
        <w:t xml:space="preserve"> </w:t>
      </w:r>
      <w:r w:rsidR="003F5C4E">
        <w:t>page</w:t>
      </w:r>
    </w:p>
    <w:p w:rsidR="0017431A" w:rsidRPr="009948E0" w:rsidRDefault="0017431A" w:rsidP="00282AEE">
      <w:pPr>
        <w:pStyle w:val="ContentsLevel1"/>
        <w:jc w:val="left"/>
      </w:pPr>
      <w:bookmarkStart w:id="6" w:name="TOCRange"/>
      <w:bookmarkStart w:id="7" w:name="TOCBottomStandard"/>
      <w:r w:rsidRPr="009948E0">
        <w:t>OBJECTIVE</w:t>
      </w:r>
      <w:r w:rsidRPr="009948E0">
        <w:tab/>
        <w:t>5</w:t>
      </w:r>
    </w:p>
    <w:p w:rsidR="00115601" w:rsidRPr="009948E0" w:rsidRDefault="00115601" w:rsidP="00282AEE">
      <w:pPr>
        <w:pStyle w:val="ContentsLevel1"/>
        <w:jc w:val="left"/>
      </w:pPr>
      <w:r w:rsidRPr="009948E0">
        <w:t>application</w:t>
      </w:r>
      <w:r w:rsidR="0017431A" w:rsidRPr="009948E0">
        <w:tab/>
        <w:t>5</w:t>
      </w:r>
    </w:p>
    <w:p w:rsidR="00DB56F2" w:rsidRPr="009948E0" w:rsidRDefault="003F5C4E" w:rsidP="00282AEE">
      <w:pPr>
        <w:pStyle w:val="ContentsLevel1"/>
        <w:jc w:val="left"/>
      </w:pPr>
      <w:r w:rsidRPr="009948E0">
        <w:t xml:space="preserve">Amendments to </w:t>
      </w:r>
      <w:r w:rsidR="00115601" w:rsidRPr="009948E0">
        <w:t xml:space="preserve">AASB 112 </w:t>
      </w:r>
      <w:r w:rsidR="00115601" w:rsidRPr="009948E0">
        <w:rPr>
          <w:i/>
        </w:rPr>
        <w:t xml:space="preserve">Income Taxes </w:t>
      </w:r>
      <w:r w:rsidR="00DB56F2" w:rsidRPr="009948E0">
        <w:tab/>
      </w:r>
      <w:r w:rsidR="0017431A" w:rsidRPr="009948E0">
        <w:t>5</w:t>
      </w:r>
    </w:p>
    <w:p w:rsidR="00DB56F2" w:rsidRPr="009948E0" w:rsidRDefault="003F5C4E" w:rsidP="00282AEE">
      <w:pPr>
        <w:pStyle w:val="ContentsLevel1"/>
        <w:jc w:val="left"/>
      </w:pPr>
      <w:r w:rsidRPr="009948E0">
        <w:t xml:space="preserve">Amendments to the illustrative examples </w:t>
      </w:r>
      <w:r w:rsidR="00115601" w:rsidRPr="009948E0">
        <w:t>On</w:t>
      </w:r>
      <w:r w:rsidRPr="009948E0">
        <w:t xml:space="preserve"> AASB </w:t>
      </w:r>
      <w:r w:rsidR="00115601" w:rsidRPr="009948E0">
        <w:t>112</w:t>
      </w:r>
      <w:r w:rsidRPr="009948E0">
        <w:t xml:space="preserve"> </w:t>
      </w:r>
      <w:r w:rsidR="00115601" w:rsidRPr="009948E0">
        <w:rPr>
          <w:i/>
        </w:rPr>
        <w:t xml:space="preserve">Income Taxes </w:t>
      </w:r>
      <w:r w:rsidR="00DB56F2" w:rsidRPr="009948E0">
        <w:tab/>
      </w:r>
      <w:r w:rsidR="0017431A" w:rsidRPr="009948E0">
        <w:t>8</w:t>
      </w:r>
    </w:p>
    <w:p w:rsidR="00282AEE" w:rsidRPr="009948E0" w:rsidRDefault="00282AEE" w:rsidP="00282AEE">
      <w:pPr>
        <w:pStyle w:val="ContentsLevel1"/>
        <w:jc w:val="left"/>
      </w:pPr>
      <w:r w:rsidRPr="009948E0">
        <w:t>Commencement of the Legislative Instrument</w:t>
      </w:r>
      <w:r w:rsidRPr="009948E0">
        <w:tab/>
      </w:r>
      <w:r w:rsidR="0017431A" w:rsidRPr="009948E0">
        <w:t>11</w:t>
      </w:r>
    </w:p>
    <w:bookmarkEnd w:id="6"/>
    <w:p w:rsidR="003F5C4E" w:rsidRDefault="003F5C4E" w:rsidP="00DB56F2">
      <w:pPr>
        <w:pStyle w:val="ContentsLevel1"/>
      </w:pPr>
    </w:p>
    <w:p w:rsidR="00DB56F2" w:rsidRDefault="00DB56F2" w:rsidP="00DB56F2">
      <w:pPr>
        <w:pStyle w:val="ContentsLevel1"/>
      </w:pPr>
      <w:r>
        <w:t>available on the AASB website</w:t>
      </w:r>
    </w:p>
    <w:p w:rsidR="004D70C0" w:rsidRPr="009948E0" w:rsidRDefault="009948E0" w:rsidP="009948E0">
      <w:pPr>
        <w:pStyle w:val="ContentsLevel2"/>
        <w:rPr>
          <w:caps/>
        </w:rPr>
      </w:pPr>
      <w:r w:rsidRPr="009948E0">
        <w:t xml:space="preserve">Basis </w:t>
      </w:r>
      <w:r>
        <w:t>for Conclusions o</w:t>
      </w:r>
      <w:r w:rsidRPr="009948E0">
        <w:t xml:space="preserve">n </w:t>
      </w:r>
      <w:r>
        <w:t>IAS</w:t>
      </w:r>
      <w:r w:rsidRPr="009948E0">
        <w:t xml:space="preserve"> 12 – Amendments</w:t>
      </w:r>
    </w:p>
    <w:p w:rsidR="00DB56F2" w:rsidRPr="00282AEE" w:rsidRDefault="00DB56F2" w:rsidP="00FC071C">
      <w:pPr>
        <w:pStyle w:val="ContentsLevel1"/>
        <w:rPr>
          <w:b w:val="0"/>
        </w:rPr>
      </w:pPr>
    </w:p>
    <w:p w:rsidR="00E627C7" w:rsidRDefault="00E627C7" w:rsidP="00FC071C">
      <w:pPr>
        <w:pStyle w:val="ContentsLevel1"/>
      </w:pPr>
    </w:p>
    <w:p w:rsidR="00541686" w:rsidRDefault="00336710" w:rsidP="00374663">
      <w:pPr>
        <w:pStyle w:val="AASBBase"/>
        <w:pBdr>
          <w:top w:val="single" w:sz="4" w:space="1" w:color="auto"/>
          <w:left w:val="single" w:sz="4" w:space="4" w:color="auto"/>
          <w:bottom w:val="single" w:sz="4" w:space="1" w:color="auto"/>
          <w:right w:val="single" w:sz="4" w:space="4" w:color="auto"/>
        </w:pBdr>
      </w:pPr>
      <w:r>
        <w:t xml:space="preserve">Australian Accounting Standard AASB </w:t>
      </w:r>
      <w:r w:rsidR="00A05799">
        <w:t>2016-1</w:t>
      </w:r>
      <w:r w:rsidR="003F5C4E">
        <w:t xml:space="preserve"> </w:t>
      </w:r>
      <w:r w:rsidR="003F5C4E">
        <w:rPr>
          <w:i/>
        </w:rPr>
        <w:t xml:space="preserve">Amendments to Australian Accounting Standards – </w:t>
      </w:r>
      <w:r w:rsidR="00115601">
        <w:rPr>
          <w:i/>
        </w:rPr>
        <w:t>Recognition of Deferred Tax Assets for Unrealised Losses</w:t>
      </w:r>
      <w:r>
        <w:t xml:space="preserve"> is set out </w:t>
      </w:r>
      <w:r w:rsidR="003F5C4E">
        <w:t xml:space="preserve">on pages </w:t>
      </w:r>
      <w:r w:rsidR="0017431A">
        <w:t>5</w:t>
      </w:r>
      <w:r w:rsidR="003F5C4E">
        <w:t xml:space="preserve"> </w:t>
      </w:r>
      <w:r w:rsidR="009948E0">
        <w:t>–</w:t>
      </w:r>
      <w:r w:rsidR="003F5C4E">
        <w:t xml:space="preserve"> </w:t>
      </w:r>
      <w:r w:rsidR="00E550D8">
        <w:t>1</w:t>
      </w:r>
      <w:r w:rsidR="0017431A">
        <w:t>1</w:t>
      </w:r>
      <w:r w:rsidR="003F5C4E">
        <w:t xml:space="preserve">. </w:t>
      </w:r>
      <w:r w:rsidR="0017431A">
        <w:t xml:space="preserve"> </w:t>
      </w:r>
      <w:r>
        <w:t>All the pa</w:t>
      </w:r>
      <w:r w:rsidR="003F5C4E">
        <w:t>ragraphs have equal authority.</w:t>
      </w:r>
      <w:bookmarkEnd w:id="7"/>
      <w:r w:rsidR="00374663">
        <w:t xml:space="preserve"> </w:t>
      </w:r>
    </w:p>
    <w:p w:rsidR="00541686" w:rsidRDefault="00541686" w:rsidP="00FC071C">
      <w:pPr>
        <w:pStyle w:val="AASBBase"/>
        <w:sectPr w:rsidR="00541686" w:rsidSect="00FC071C">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7B5B0D" w:rsidRDefault="007B5B0D" w:rsidP="00FC071C">
      <w:pPr>
        <w:pStyle w:val="ConvSectionTitle"/>
      </w:pPr>
      <w:r>
        <w:lastRenderedPageBreak/>
        <w:t>Preface</w:t>
      </w:r>
    </w:p>
    <w:p w:rsidR="007B5B0D" w:rsidRPr="0000292B" w:rsidRDefault="007B5B0D" w:rsidP="00CF5182">
      <w:pPr>
        <w:pStyle w:val="IASBSectionTitle1NonInd"/>
      </w:pPr>
      <w:r>
        <w:t xml:space="preserve">Standards amended by AASB </w:t>
      </w:r>
      <w:r w:rsidR="00A05799">
        <w:t>2016-1</w:t>
      </w:r>
    </w:p>
    <w:p w:rsidR="007B5B0D" w:rsidRDefault="007B5B0D" w:rsidP="007B5B0D">
      <w:pPr>
        <w:pStyle w:val="IASBNormal"/>
      </w:pPr>
      <w:r>
        <w:t>This Standard makes amendments to AASB </w:t>
      </w:r>
      <w:r w:rsidRPr="007B5B0D">
        <w:t>112</w:t>
      </w:r>
      <w:r>
        <w:t xml:space="preserve"> </w:t>
      </w:r>
      <w:r w:rsidRPr="007B5B0D">
        <w:rPr>
          <w:i/>
        </w:rPr>
        <w:t>Income Taxes</w:t>
      </w:r>
      <w:r>
        <w:rPr>
          <w:i/>
        </w:rPr>
        <w:t xml:space="preserve"> </w:t>
      </w:r>
      <w:r>
        <w:t xml:space="preserve">(July 2004) and AASB 112 </w:t>
      </w:r>
      <w:r>
        <w:rPr>
          <w:i/>
        </w:rPr>
        <w:t xml:space="preserve">Income Taxes </w:t>
      </w:r>
      <w:r>
        <w:t>(August 2015).</w:t>
      </w:r>
    </w:p>
    <w:p w:rsidR="007B5B0D" w:rsidRPr="00756804" w:rsidRDefault="007B5B0D" w:rsidP="007B5B0D">
      <w:pPr>
        <w:pStyle w:val="IASBNormal"/>
      </w:pPr>
      <w:r>
        <w:t xml:space="preserve">These amendments arise from the issuance of International Financial Reporting Standard </w:t>
      </w:r>
      <w:r>
        <w:rPr>
          <w:i/>
        </w:rPr>
        <w:t>Recognition of Deferred Tax Assets for Unrealised Losses</w:t>
      </w:r>
      <w:r w:rsidRPr="0000292B">
        <w:fldChar w:fldCharType="begin" w:fldLock="1"/>
      </w:r>
      <w:r w:rsidRPr="0000292B">
        <w:instrText xml:space="preserve"> REF </w:instrText>
      </w:r>
      <w:r>
        <w:instrText>ArisingNo</w:instrText>
      </w:r>
      <w:r w:rsidRPr="0000292B">
        <w:instrText xml:space="preserve">  \* charformat </w:instrText>
      </w:r>
      <w:r>
        <w:instrText xml:space="preserve"> \* MERGEFORMAT </w:instrText>
      </w:r>
      <w:r w:rsidRPr="0000292B">
        <w:fldChar w:fldCharType="end"/>
      </w:r>
      <w:r w:rsidRPr="007B5B0D">
        <w:t xml:space="preserve"> </w:t>
      </w:r>
      <w:r>
        <w:t>by the International Accounting Standards Board (IASB) in January 2016.</w:t>
      </w:r>
    </w:p>
    <w:p w:rsidR="007B5B0D" w:rsidRPr="003F0206" w:rsidRDefault="007B5B0D" w:rsidP="00CF5182">
      <w:pPr>
        <w:pStyle w:val="IASBSectionTitle1NonInd"/>
      </w:pPr>
      <w:r w:rsidRPr="003F0206">
        <w:t xml:space="preserve">Main </w:t>
      </w:r>
      <w:r>
        <w:t>f</w:t>
      </w:r>
      <w:r w:rsidRPr="003F0206">
        <w:t>eatures of this Standard</w:t>
      </w:r>
    </w:p>
    <w:p w:rsidR="007B5B0D" w:rsidRPr="003F0206" w:rsidRDefault="007B5B0D" w:rsidP="00CF5182">
      <w:pPr>
        <w:pStyle w:val="IASBSectionTitle2Ind"/>
      </w:pPr>
      <w:r w:rsidRPr="003F0206">
        <w:t xml:space="preserve">Main </w:t>
      </w:r>
      <w:r w:rsidR="002E3EB4">
        <w:t>r</w:t>
      </w:r>
      <w:r w:rsidRPr="003F0206">
        <w:t>equirements</w:t>
      </w:r>
    </w:p>
    <w:p w:rsidR="007B5B0D" w:rsidRDefault="007B5B0D" w:rsidP="007B5B0D">
      <w:pPr>
        <w:pStyle w:val="IASBNormal"/>
      </w:pPr>
      <w:r>
        <w:t>This Standard</w:t>
      </w:r>
      <w:r w:rsidR="002E3EB4">
        <w:t xml:space="preserve"> amends AASB 112 </w:t>
      </w:r>
      <w:r w:rsidR="002E3EB4" w:rsidRPr="007B5B0D">
        <w:rPr>
          <w:i/>
        </w:rPr>
        <w:t>Income Taxes</w:t>
      </w:r>
      <w:r w:rsidR="002E3EB4">
        <w:rPr>
          <w:i/>
        </w:rPr>
        <w:t xml:space="preserve"> </w:t>
      </w:r>
      <w:r w:rsidR="002E3EB4">
        <w:t xml:space="preserve">(July 2004) and AASB 112 </w:t>
      </w:r>
      <w:r w:rsidR="002E3EB4">
        <w:rPr>
          <w:i/>
        </w:rPr>
        <w:t xml:space="preserve">Income Taxes </w:t>
      </w:r>
      <w:r w:rsidR="002E3EB4">
        <w:t>(August 2015) to clarify the requirements on recognition of deferred tax assets for unrealised losses on debt instruments measured at fair value.</w:t>
      </w:r>
    </w:p>
    <w:p w:rsidR="007B5B0D" w:rsidRPr="003F0206" w:rsidRDefault="007B5B0D" w:rsidP="00CF5182">
      <w:pPr>
        <w:pStyle w:val="IASBSectionTitle2Ind"/>
      </w:pPr>
      <w:r w:rsidRPr="003F0206">
        <w:t>Application date</w:t>
      </w:r>
    </w:p>
    <w:p w:rsidR="007B5B0D" w:rsidRPr="00E60CA8" w:rsidRDefault="007B5B0D" w:rsidP="007B5B0D">
      <w:pPr>
        <w:pStyle w:val="IASBNormal"/>
      </w:pPr>
      <w:r>
        <w:t>This Standard applies to annual periods beginning on or after 1 January 2017</w:t>
      </w:r>
      <w:r w:rsidR="0017431A">
        <w:t>. Earl</w:t>
      </w:r>
      <w:r w:rsidR="009948E0">
        <w:t>ier</w:t>
      </w:r>
      <w:r>
        <w:t xml:space="preserve"> application is permitted.</w:t>
      </w:r>
    </w:p>
    <w:p w:rsidR="007B5B0D" w:rsidRDefault="007B5B0D" w:rsidP="007B5B0D">
      <w:pPr>
        <w:pStyle w:val="IASBNormal"/>
      </w:pPr>
    </w:p>
    <w:p w:rsidR="0017431A" w:rsidRDefault="0017431A" w:rsidP="009948E0">
      <w:pPr>
        <w:pStyle w:val="ConvSectionTitle"/>
        <w:spacing w:after="0"/>
        <w:sectPr w:rsidR="0017431A" w:rsidSect="00DB56F2">
          <w:footerReference w:type="default" r:id="rId20"/>
          <w:headerReference w:type="first" r:id="rId21"/>
          <w:footerReference w:type="first" r:id="rId22"/>
          <w:pgSz w:w="11907" w:h="16839"/>
          <w:pgMar w:top="1440" w:right="1440" w:bottom="1440" w:left="1440" w:header="709" w:footer="709" w:gutter="0"/>
          <w:cols w:space="708"/>
          <w:docGrid w:linePitch="360"/>
        </w:sectPr>
      </w:pPr>
    </w:p>
    <w:p w:rsidR="00336710" w:rsidRDefault="00336710" w:rsidP="00FC071C">
      <w:pPr>
        <w:pStyle w:val="ConvSectionTitle"/>
      </w:pPr>
      <w:r>
        <w:lastRenderedPageBreak/>
        <w:t xml:space="preserve">Accounting Standard AASB </w:t>
      </w:r>
      <w:r w:rsidR="00A05799">
        <w:t>2016-1</w:t>
      </w:r>
    </w:p>
    <w:p w:rsidR="00336710" w:rsidRDefault="00336710" w:rsidP="00FC071C">
      <w:pPr>
        <w:pStyle w:val="IASBNormal"/>
      </w:pPr>
      <w:r>
        <w:t xml:space="preserve">The Australian Accounting Standards Board makes Accounting Standard AASB </w:t>
      </w:r>
      <w:r w:rsidR="00A05799">
        <w:t>2016-1</w:t>
      </w:r>
      <w:r>
        <w:t xml:space="preserve"> </w:t>
      </w:r>
      <w:r w:rsidR="00E9244D">
        <w:rPr>
          <w:i/>
        </w:rPr>
        <w:t xml:space="preserve">Amendments to Australian Accounting Standards – </w:t>
      </w:r>
      <w:r w:rsidR="00115601">
        <w:rPr>
          <w:i/>
        </w:rPr>
        <w:t>Recognition of Deferred Tax Assets for Unrealised Losses</w:t>
      </w:r>
      <w:r w:rsidR="00E9244D" w:rsidRPr="00E9244D">
        <w:t xml:space="preserve"> </w:t>
      </w:r>
      <w:r w:rsidRPr="00E9244D">
        <w:t>under</w:t>
      </w:r>
      <w:r>
        <w:t xml:space="preserve">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336710" w:rsidTr="00903A1A">
        <w:trPr>
          <w:tblHeader/>
        </w:trPr>
        <w:tc>
          <w:tcPr>
            <w:tcW w:w="4508" w:type="dxa"/>
          </w:tcPr>
          <w:p w:rsidR="00336710" w:rsidRDefault="00336710" w:rsidP="00FC071C">
            <w:pPr>
              <w:pStyle w:val="AASBBase"/>
            </w:pPr>
          </w:p>
        </w:tc>
        <w:tc>
          <w:tcPr>
            <w:tcW w:w="4509" w:type="dxa"/>
          </w:tcPr>
          <w:p w:rsidR="00336710" w:rsidRDefault="00336710" w:rsidP="00FC071C">
            <w:pPr>
              <w:pStyle w:val="AASBBase"/>
              <w:jc w:val="right"/>
            </w:pPr>
            <w:r>
              <w:t>Kris Peach</w:t>
            </w:r>
          </w:p>
        </w:tc>
      </w:tr>
      <w:tr w:rsidR="00336710" w:rsidTr="00FC071C">
        <w:tc>
          <w:tcPr>
            <w:tcW w:w="4508" w:type="dxa"/>
          </w:tcPr>
          <w:p w:rsidR="00336710" w:rsidRDefault="00336710" w:rsidP="00A05799">
            <w:pPr>
              <w:pStyle w:val="AASBBase"/>
            </w:pPr>
            <w:r>
              <w:t xml:space="preserve">Dated </w:t>
            </w:r>
            <w:bookmarkStart w:id="8" w:name="MakeDate"/>
            <w:r w:rsidR="00A05799">
              <w:t>24</w:t>
            </w:r>
            <w:r w:rsidR="00E627C7">
              <w:t xml:space="preserve"> </w:t>
            </w:r>
            <w:r w:rsidR="00A05799">
              <w:t xml:space="preserve">February </w:t>
            </w:r>
            <w:r w:rsidR="007D4A2A">
              <w:t>201</w:t>
            </w:r>
            <w:bookmarkEnd w:id="8"/>
            <w:r w:rsidR="00E9244D">
              <w:t>6</w:t>
            </w:r>
          </w:p>
        </w:tc>
        <w:tc>
          <w:tcPr>
            <w:tcW w:w="4509" w:type="dxa"/>
          </w:tcPr>
          <w:p w:rsidR="00336710" w:rsidRDefault="00336710" w:rsidP="00FC071C">
            <w:pPr>
              <w:pStyle w:val="AASBBase"/>
              <w:jc w:val="right"/>
            </w:pPr>
            <w:r>
              <w:t>Chair – AASB</w:t>
            </w:r>
          </w:p>
        </w:tc>
      </w:tr>
    </w:tbl>
    <w:p w:rsidR="00336710" w:rsidRDefault="00336710" w:rsidP="00FC071C">
      <w:pPr>
        <w:pStyle w:val="ConvStandardTitle1"/>
      </w:pPr>
      <w:r>
        <w:t xml:space="preserve">Accounting Standard AASB </w:t>
      </w:r>
      <w:r w:rsidR="00A05799">
        <w:t>2016-1</w:t>
      </w:r>
    </w:p>
    <w:p w:rsidR="00336710" w:rsidRPr="00844AB3" w:rsidRDefault="00E9244D" w:rsidP="00FC071C">
      <w:pPr>
        <w:pStyle w:val="ConvStandardTitle2"/>
      </w:pPr>
      <w:r>
        <w:t xml:space="preserve">Amendments to Australian Accounting Standards – </w:t>
      </w:r>
      <w:r w:rsidR="00115601">
        <w:t>Recognition of Deferred Tax Assets for Unrealised Losses</w:t>
      </w:r>
    </w:p>
    <w:p w:rsidR="00063009" w:rsidRDefault="00063009" w:rsidP="00063009">
      <w:pPr>
        <w:pStyle w:val="IASBSectionTitle1NonInd"/>
        <w:spacing w:before="600"/>
      </w:pPr>
      <w:bookmarkStart w:id="9" w:name="F46911028"/>
      <w:bookmarkStart w:id="10" w:name="F46971097"/>
      <w:r>
        <w:t>Objective</w:t>
      </w:r>
    </w:p>
    <w:p w:rsidR="00063009" w:rsidRDefault="00063009" w:rsidP="00063009">
      <w:pPr>
        <w:pStyle w:val="IASBNormal"/>
        <w:spacing w:after="0"/>
      </w:pPr>
      <w:r>
        <w:t xml:space="preserve">This Standard amends: </w:t>
      </w:r>
    </w:p>
    <w:p w:rsidR="00063009" w:rsidRDefault="0017431A" w:rsidP="00063009">
      <w:pPr>
        <w:pStyle w:val="IASBNormal"/>
        <w:spacing w:after="0"/>
        <w:ind w:left="782" w:hanging="782"/>
      </w:pPr>
      <w:r>
        <w:t>(a)</w:t>
      </w:r>
      <w:r>
        <w:tab/>
        <w:t>AASB </w:t>
      </w:r>
      <w:r w:rsidR="00063009">
        <w:t xml:space="preserve">112 </w:t>
      </w:r>
      <w:r w:rsidR="00063009">
        <w:rPr>
          <w:i/>
        </w:rPr>
        <w:t xml:space="preserve">Income </w:t>
      </w:r>
      <w:r w:rsidR="00063009" w:rsidRPr="00EE1924">
        <w:rPr>
          <w:i/>
        </w:rPr>
        <w:t>Taxes</w:t>
      </w:r>
      <w:r w:rsidR="00063009">
        <w:rPr>
          <w:i/>
        </w:rPr>
        <w:t xml:space="preserve"> </w:t>
      </w:r>
      <w:r w:rsidR="00063009">
        <w:t>(July 2004); and</w:t>
      </w:r>
    </w:p>
    <w:p w:rsidR="00063009" w:rsidRDefault="0017431A" w:rsidP="00063009">
      <w:pPr>
        <w:pStyle w:val="IASBNormal"/>
        <w:spacing w:after="0"/>
        <w:ind w:left="782" w:hanging="782"/>
      </w:pPr>
      <w:r>
        <w:t>(b)</w:t>
      </w:r>
      <w:r>
        <w:tab/>
        <w:t>AASB </w:t>
      </w:r>
      <w:r w:rsidR="00063009">
        <w:t xml:space="preserve">112 </w:t>
      </w:r>
      <w:r w:rsidR="00063009">
        <w:rPr>
          <w:i/>
        </w:rPr>
        <w:t xml:space="preserve">Income Taxes </w:t>
      </w:r>
      <w:r w:rsidR="00063009">
        <w:t>(August 2015)</w:t>
      </w:r>
      <w:r w:rsidR="00CF5182">
        <w:t>;</w:t>
      </w:r>
    </w:p>
    <w:p w:rsidR="00063009" w:rsidRDefault="00A15C34" w:rsidP="00063009">
      <w:pPr>
        <w:pStyle w:val="IASBNormal"/>
        <w:spacing w:after="0"/>
      </w:pPr>
      <w:r>
        <w:t>a</w:t>
      </w:r>
      <w:bookmarkStart w:id="11" w:name="StndObj"/>
      <w:bookmarkEnd w:id="11"/>
      <w:r>
        <w:t>s a consequence of the issuance of International Financial Reporting Standard</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r>
        <w:t xml:space="preserve"> </w:t>
      </w:r>
      <w:bookmarkStart w:id="12" w:name="ArisingTitle"/>
      <w:r w:rsidRPr="00126240">
        <w:rPr>
          <w:i/>
        </w:rPr>
        <w:t>Recognition of Deferred Tax Assets for Unrealised Losses</w:t>
      </w:r>
      <w:bookmarkEnd w:id="12"/>
      <w:r>
        <w:t xml:space="preserve"> by the International Accounting Standards Board in</w:t>
      </w:r>
      <w:bookmarkStart w:id="13" w:name="ArisingDate"/>
      <w:r>
        <w:t xml:space="preserve"> January 2016</w:t>
      </w:r>
      <w:bookmarkEnd w:id="13"/>
      <w:r>
        <w:t>.</w:t>
      </w:r>
    </w:p>
    <w:p w:rsidR="00115601" w:rsidRDefault="00115601" w:rsidP="00063009">
      <w:pPr>
        <w:pStyle w:val="IASBSectionTitle1NonInd"/>
        <w:spacing w:before="600"/>
      </w:pPr>
      <w:r>
        <w:t>Application</w:t>
      </w:r>
    </w:p>
    <w:p w:rsidR="00E92F4B" w:rsidRPr="001F1828" w:rsidRDefault="00E92F4B" w:rsidP="00E92F4B">
      <w:pPr>
        <w:pStyle w:val="IASBNormal"/>
      </w:pPr>
      <w:r>
        <w:t xml:space="preserve">The amendments set out in this Standard apply to entities and financial statements in accordance with the application of the other Standards and Interpretations set out in AASB 1057 </w:t>
      </w:r>
      <w:r>
        <w:rPr>
          <w:i/>
        </w:rPr>
        <w:t xml:space="preserve">Application of Australian Accounting Standards </w:t>
      </w:r>
      <w:r>
        <w:t>(as amended).</w:t>
      </w:r>
    </w:p>
    <w:p w:rsidR="00E550D8" w:rsidRDefault="00E550D8" w:rsidP="00E550D8">
      <w:pPr>
        <w:pStyle w:val="IASBNormal"/>
        <w:spacing w:after="0"/>
      </w:pPr>
      <w:r w:rsidRPr="00027E8B">
        <w:t xml:space="preserve">This Standard applies to annual periods </w:t>
      </w:r>
      <w:bookmarkStart w:id="14" w:name="ApplyText"/>
      <w:r w:rsidRPr="00027E8B">
        <w:t>beginning</w:t>
      </w:r>
      <w:bookmarkEnd w:id="14"/>
      <w:r w:rsidRPr="00027E8B">
        <w:t xml:space="preserve"> on or after </w:t>
      </w:r>
      <w:bookmarkStart w:id="15" w:name="ApplyDate"/>
      <w:r>
        <w:t>1 January 201</w:t>
      </w:r>
      <w:bookmarkEnd w:id="15"/>
      <w:r>
        <w:t>7</w:t>
      </w:r>
      <w:r w:rsidRPr="00027E8B">
        <w:t>.</w:t>
      </w:r>
      <w:r>
        <w:t xml:space="preserve"> </w:t>
      </w:r>
      <w:r w:rsidRPr="0000292B">
        <w:t xml:space="preserve">This Standard may be applied to annual periods </w:t>
      </w:r>
      <w:bookmarkStart w:id="16" w:name="EarlyText"/>
      <w:r w:rsidRPr="0000292B">
        <w:t>beginning</w:t>
      </w:r>
      <w:bookmarkEnd w:id="16"/>
      <w:r w:rsidRPr="0000292B">
        <w:t xml:space="preserve"> </w:t>
      </w:r>
      <w:r>
        <w:t>before</w:t>
      </w:r>
      <w:r w:rsidRPr="0000292B">
        <w:t xml:space="preserve"> </w:t>
      </w:r>
      <w:r w:rsidR="001B3814">
        <w:fldChar w:fldCharType="begin" w:fldLock="1"/>
      </w:r>
      <w:r w:rsidR="001B3814">
        <w:instrText xml:space="preserve"> REF ApplyDate  \* charformat   \* MERGEFORMAT </w:instrText>
      </w:r>
      <w:r w:rsidR="001B3814">
        <w:fldChar w:fldCharType="separate"/>
      </w:r>
      <w:r>
        <w:t>1 January 201</w:t>
      </w:r>
      <w:r w:rsidR="001B3814">
        <w:fldChar w:fldCharType="end"/>
      </w:r>
      <w:r>
        <w:t>7.</w:t>
      </w:r>
      <w:r w:rsidRPr="0000292B">
        <w:t xml:space="preserve"> When an entity applies this Standard to </w:t>
      </w:r>
      <w:r>
        <w:t xml:space="preserve">such </w:t>
      </w:r>
      <w:r w:rsidRPr="0000292B">
        <w:t>an annual period</w:t>
      </w:r>
      <w:r>
        <w:t>,</w:t>
      </w:r>
      <w:r w:rsidRPr="0000292B">
        <w:t xml:space="preserve"> it shall disclose that fact.</w:t>
      </w:r>
    </w:p>
    <w:p w:rsidR="00EE1924" w:rsidRDefault="00E550D8" w:rsidP="00E550D8">
      <w:pPr>
        <w:pStyle w:val="IASBNormal"/>
        <w:spacing w:after="0"/>
      </w:pPr>
      <w:r>
        <w:t>This Standard uses underlining, striking out and other typographical material to identify some of the amendments to a Standard, in order to make the a</w:t>
      </w:r>
      <w:r w:rsidR="00B47223">
        <w:t xml:space="preserve">mendments more understandable. </w:t>
      </w:r>
      <w:r>
        <w:t>However, the amendments made by this Standard do not include that underlining, striking out or other typographical material.</w:t>
      </w:r>
    </w:p>
    <w:p w:rsidR="00115601" w:rsidRPr="00A273EC" w:rsidRDefault="00115601" w:rsidP="00063009">
      <w:pPr>
        <w:pStyle w:val="IASBSectionTitle1NonInd"/>
        <w:spacing w:before="600"/>
      </w:pPr>
      <w:r>
        <w:t xml:space="preserve">Amendments to AASB 112 </w:t>
      </w:r>
      <w:r>
        <w:rPr>
          <w:i/>
        </w:rPr>
        <w:t>Income Taxes</w:t>
      </w:r>
      <w:bookmarkEnd w:id="9"/>
      <w:r w:rsidR="00A273EC">
        <w:rPr>
          <w:i/>
        </w:rPr>
        <w:t xml:space="preserve"> </w:t>
      </w:r>
      <w:r w:rsidR="00A273EC">
        <w:t>(July 2004 and August 2015)</w:t>
      </w:r>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115601" w:rsidTr="00A05799">
        <w:trPr>
          <w:cantSplit/>
          <w:tblHeader/>
        </w:trPr>
        <w:tc>
          <w:tcPr>
            <w:tcW w:w="9208" w:type="dxa"/>
            <w:tcBorders>
              <w:top w:val="single" w:sz="4" w:space="0" w:color="auto"/>
              <w:left w:val="single" w:sz="4" w:space="0" w:color="auto"/>
              <w:bottom w:val="single" w:sz="4" w:space="0" w:color="auto"/>
              <w:right w:val="single" w:sz="4" w:space="0" w:color="auto"/>
            </w:tcBorders>
            <w:vAlign w:val="bottom"/>
          </w:tcPr>
          <w:p w:rsidR="00115601" w:rsidRDefault="00115601" w:rsidP="00F8028E">
            <w:pPr>
              <w:pStyle w:val="IASBTableArial"/>
            </w:pPr>
            <w:r>
              <w:t>Paragraph 29 is amended and paragraphs 27A, 29A and 98</w:t>
            </w:r>
            <w:r w:rsidR="00F8028E">
              <w:t>H</w:t>
            </w:r>
            <w:r>
              <w:t xml:space="preserve"> are added. An example following paragraph 26 is also added. New text is underlined</w:t>
            </w:r>
            <w:r w:rsidR="001E4C7A">
              <w:t xml:space="preserve"> </w:t>
            </w:r>
            <w:r w:rsidR="001E4C7A" w:rsidRPr="00102467">
              <w:t>and deleted text is struck through</w:t>
            </w:r>
            <w:r>
              <w:t>. Paragraphs 24, 26(d), 27 and 28 have not been amended but are included for ease of reference.</w:t>
            </w:r>
          </w:p>
        </w:tc>
      </w:tr>
    </w:tbl>
    <w:p w:rsidR="00115601" w:rsidRDefault="00115601" w:rsidP="00115601">
      <w:pPr>
        <w:pStyle w:val="IASBSectionTitle2Ind"/>
      </w:pPr>
      <w:bookmarkStart w:id="17" w:name="F46911035"/>
      <w:r>
        <w:t>Deductible temporary differences</w:t>
      </w:r>
      <w:bookmarkEnd w:id="17"/>
    </w:p>
    <w:p w:rsidR="00115601" w:rsidRDefault="00115601" w:rsidP="00115601">
      <w:pPr>
        <w:pStyle w:val="IASBNormalnpara"/>
        <w:rPr>
          <w:b/>
        </w:rPr>
      </w:pPr>
      <w:r>
        <w:rPr>
          <w:b/>
        </w:rPr>
        <w:t>24</w:t>
      </w:r>
      <w:r>
        <w:rPr>
          <w:b/>
        </w:rPr>
        <w:tab/>
      </w:r>
      <w:bookmarkStart w:id="18" w:name="F46911036"/>
      <w:r>
        <w:rPr>
          <w:b/>
        </w:rPr>
        <w:t xml:space="preserve">A deferred tax asset shall be recognised for all deductible temporary differences to the extent that it is probable that taxable profit will be available against which the deductible temporary difference can be utilised, unless the deferred tax asset arises from the initial recognition of an asset or liability in a transaction that: </w:t>
      </w:r>
      <w:bookmarkEnd w:id="18"/>
    </w:p>
    <w:p w:rsidR="00115601" w:rsidRDefault="00115601" w:rsidP="00115601">
      <w:pPr>
        <w:pStyle w:val="IASBNormalnparaL1"/>
        <w:rPr>
          <w:b/>
        </w:rPr>
      </w:pPr>
      <w:r>
        <w:rPr>
          <w:b/>
        </w:rPr>
        <w:t>(a)</w:t>
      </w:r>
      <w:r>
        <w:rPr>
          <w:b/>
        </w:rPr>
        <w:tab/>
      </w:r>
      <w:bookmarkStart w:id="19" w:name="F46911039"/>
      <w:r>
        <w:rPr>
          <w:b/>
        </w:rPr>
        <w:t>is not a business combination; and</w:t>
      </w:r>
      <w:bookmarkEnd w:id="19"/>
    </w:p>
    <w:p w:rsidR="00115601" w:rsidRDefault="00115601" w:rsidP="00115601">
      <w:pPr>
        <w:pStyle w:val="IASBNormalnparaL1"/>
        <w:rPr>
          <w:b/>
        </w:rPr>
      </w:pPr>
      <w:r>
        <w:rPr>
          <w:b/>
        </w:rPr>
        <w:t>(b)</w:t>
      </w:r>
      <w:r>
        <w:rPr>
          <w:b/>
        </w:rPr>
        <w:tab/>
      </w:r>
      <w:bookmarkStart w:id="20" w:name="F46911041"/>
      <w:r>
        <w:rPr>
          <w:b/>
        </w:rPr>
        <w:t>at the time of the transaction, affects neither accounting profit nor taxable profit (tax loss).</w:t>
      </w:r>
      <w:bookmarkEnd w:id="20"/>
    </w:p>
    <w:p w:rsidR="00115601" w:rsidRDefault="00115601" w:rsidP="00115601">
      <w:pPr>
        <w:pStyle w:val="IASBNormalnparaP"/>
        <w:rPr>
          <w:b/>
        </w:rPr>
      </w:pPr>
      <w:bookmarkStart w:id="21" w:name="F46911042"/>
      <w:r>
        <w:rPr>
          <w:b/>
        </w:rPr>
        <w:lastRenderedPageBreak/>
        <w:t>However, for deductible temporary differences associated with investments in subsidiaries, branches and associates, and interests in joint arrangements, a deferred tax asset shall be recognised in accordance with paragraph 44.</w:t>
      </w:r>
      <w:bookmarkEnd w:id="21"/>
    </w:p>
    <w:p w:rsidR="00115601" w:rsidRDefault="00115601" w:rsidP="00115601">
      <w:pPr>
        <w:pStyle w:val="IASBNormalnpara"/>
      </w:pPr>
      <w:r>
        <w:tab/>
      </w:r>
      <w:bookmarkStart w:id="22" w:name="F46911043"/>
      <w:r>
        <w:t>…</w:t>
      </w:r>
      <w:bookmarkEnd w:id="22"/>
    </w:p>
    <w:p w:rsidR="00115601" w:rsidRDefault="00115601" w:rsidP="00115601">
      <w:pPr>
        <w:pStyle w:val="IASBNormalnpara"/>
      </w:pPr>
      <w:r>
        <w:t>26</w:t>
      </w:r>
      <w:r>
        <w:tab/>
      </w:r>
      <w:bookmarkStart w:id="23" w:name="F46911044"/>
      <w:r>
        <w:t>The following are examples of deductible temporary differences that result in deferred tax assets:</w:t>
      </w:r>
      <w:bookmarkEnd w:id="23"/>
    </w:p>
    <w:p w:rsidR="00115601" w:rsidRDefault="00115601" w:rsidP="00115601">
      <w:pPr>
        <w:pStyle w:val="IASBNormalnparaL1"/>
      </w:pPr>
      <w:r>
        <w:t>(a)</w:t>
      </w:r>
      <w:r>
        <w:tab/>
      </w:r>
      <w:bookmarkStart w:id="24" w:name="F46969847"/>
      <w:r>
        <w:t>…</w:t>
      </w:r>
      <w:bookmarkEnd w:id="24"/>
    </w:p>
    <w:p w:rsidR="00115601" w:rsidRDefault="00115601" w:rsidP="00115601">
      <w:pPr>
        <w:pStyle w:val="IASBNormalnparaL1"/>
      </w:pPr>
      <w:r>
        <w:t>(d)</w:t>
      </w:r>
      <w:r>
        <w:tab/>
      </w:r>
      <w:bookmarkStart w:id="25" w:name="F46911048"/>
      <w:r>
        <w:t>certain assets may be carried at fair value, or may be revalued, without an equivalent adjustment being made for tax purposes (see paragraph 20). A deductible temporary difference arises if the tax base of the asset exceeds its carrying amount.</w:t>
      </w:r>
      <w:bookmarkEnd w:id="25"/>
    </w:p>
    <w:p w:rsidR="00115601" w:rsidRDefault="00115601" w:rsidP="00115601">
      <w:pPr>
        <w:pStyle w:val="IASBNormalnpara"/>
      </w:pPr>
    </w:p>
    <w:tbl>
      <w:tblPr>
        <w:tblW w:w="0" w:type="auto"/>
        <w:tblInd w:w="964" w:type="dxa"/>
        <w:tblLayout w:type="fixed"/>
        <w:tblCellMar>
          <w:bottom w:w="85" w:type="dxa"/>
        </w:tblCellMar>
        <w:tblLook w:val="0000" w:firstRow="0" w:lastRow="0" w:firstColumn="0" w:lastColumn="0" w:noHBand="0" w:noVBand="0"/>
        <w:tblCaption w:val="Amendment to AASB 112"/>
      </w:tblPr>
      <w:tblGrid>
        <w:gridCol w:w="8244"/>
      </w:tblGrid>
      <w:tr w:rsidR="00115601" w:rsidTr="00B47841">
        <w:trPr>
          <w:cantSplit/>
          <w:tblHeader/>
        </w:trPr>
        <w:tc>
          <w:tcPr>
            <w:tcW w:w="8244" w:type="dxa"/>
            <w:tcBorders>
              <w:top w:val="single" w:sz="4" w:space="0" w:color="auto"/>
              <w:left w:val="single" w:sz="4" w:space="0" w:color="auto"/>
              <w:bottom w:val="single" w:sz="4" w:space="0" w:color="auto"/>
              <w:right w:val="single" w:sz="4" w:space="0" w:color="auto"/>
            </w:tcBorders>
            <w:vAlign w:val="bottom"/>
          </w:tcPr>
          <w:p w:rsidR="00115601" w:rsidRDefault="00115601" w:rsidP="00B47841">
            <w:pPr>
              <w:pStyle w:val="IASBTableHeaderArial"/>
              <w:spacing w:after="0"/>
            </w:pPr>
            <w:r>
              <w:rPr>
                <w:b/>
                <w:u w:val="single"/>
              </w:rPr>
              <w:t>Example illustrating paragraph 26(d)</w:t>
            </w:r>
          </w:p>
        </w:tc>
      </w:tr>
      <w:tr w:rsidR="00115601" w:rsidTr="00B47841">
        <w:trPr>
          <w:cantSplit/>
        </w:trPr>
        <w:tc>
          <w:tcPr>
            <w:tcW w:w="8244" w:type="dxa"/>
            <w:tcBorders>
              <w:top w:val="nil"/>
              <w:left w:val="single" w:sz="4" w:space="0" w:color="auto"/>
              <w:right w:val="single" w:sz="4" w:space="0" w:color="auto"/>
            </w:tcBorders>
            <w:vAlign w:val="bottom"/>
          </w:tcPr>
          <w:p w:rsidR="00115601" w:rsidRDefault="00115601" w:rsidP="00B47841">
            <w:pPr>
              <w:pStyle w:val="IASBTableTNR"/>
            </w:pPr>
            <w:r>
              <w:rPr>
                <w:u w:val="single"/>
              </w:rPr>
              <w:t>Identification of a deductible temporary difference at the end of Year 2:</w:t>
            </w:r>
          </w:p>
          <w:p w:rsidR="00115601" w:rsidRDefault="00115601" w:rsidP="00B47841">
            <w:pPr>
              <w:pStyle w:val="IASBTableTNR"/>
            </w:pPr>
            <w:r>
              <w:rPr>
                <w:u w:val="single"/>
              </w:rPr>
              <w:t>Entity A purchases for CU1,000, at the beginning of Year 1, a debt instrument with a nominal value of CU1,000 payable on maturity in 5 years with an interest rate of 2% payable at the end of each year. The effective interest rate is 2%. The debt instrument is measured at fair value.</w:t>
            </w:r>
          </w:p>
        </w:tc>
      </w:tr>
      <w:tr w:rsidR="00115601" w:rsidTr="00B47841">
        <w:trPr>
          <w:cantSplit/>
        </w:trPr>
        <w:tc>
          <w:tcPr>
            <w:tcW w:w="8244" w:type="dxa"/>
            <w:tcBorders>
              <w:top w:val="nil"/>
              <w:left w:val="single" w:sz="4" w:space="0" w:color="auto"/>
              <w:right w:val="single" w:sz="4" w:space="0" w:color="auto"/>
            </w:tcBorders>
            <w:vAlign w:val="bottom"/>
          </w:tcPr>
          <w:p w:rsidR="00115601" w:rsidRDefault="00115601" w:rsidP="00B47841">
            <w:pPr>
              <w:pStyle w:val="IASBTableTNR"/>
            </w:pPr>
            <w:r>
              <w:rPr>
                <w:u w:val="single"/>
              </w:rPr>
              <w:t>At the end of Year 2, the fair value of the debt instrument has decreased to CU918 as a result of an increase in market interest rates to 5%. It is probable that Entity A will collect all the contractual cash flows if it continues to hold the debt instrument.</w:t>
            </w:r>
          </w:p>
        </w:tc>
      </w:tr>
      <w:tr w:rsidR="00115601" w:rsidTr="00B47841">
        <w:trPr>
          <w:cantSplit/>
        </w:trPr>
        <w:tc>
          <w:tcPr>
            <w:tcW w:w="8244" w:type="dxa"/>
            <w:tcBorders>
              <w:top w:val="nil"/>
              <w:left w:val="single" w:sz="4" w:space="0" w:color="auto"/>
              <w:right w:val="single" w:sz="4" w:space="0" w:color="auto"/>
            </w:tcBorders>
            <w:vAlign w:val="bottom"/>
          </w:tcPr>
          <w:p w:rsidR="00115601" w:rsidRDefault="00115601" w:rsidP="00B47841">
            <w:pPr>
              <w:pStyle w:val="IASBTableTNR"/>
            </w:pPr>
            <w:r>
              <w:rPr>
                <w:u w:val="single"/>
              </w:rPr>
              <w:t>Any gains (losses) on the debt instrument are taxable (deductible) only when realised. The gains (losses) arising on the sale or maturity of the debt instrument are calculated for tax purposes as the difference between the amount collected and the original cost of the debt instrument.</w:t>
            </w:r>
          </w:p>
        </w:tc>
      </w:tr>
      <w:tr w:rsidR="00115601" w:rsidTr="00B47841">
        <w:trPr>
          <w:cantSplit/>
        </w:trPr>
        <w:tc>
          <w:tcPr>
            <w:tcW w:w="8244" w:type="dxa"/>
            <w:tcBorders>
              <w:top w:val="nil"/>
              <w:left w:val="single" w:sz="4" w:space="0" w:color="auto"/>
              <w:right w:val="single" w:sz="4" w:space="0" w:color="auto"/>
            </w:tcBorders>
            <w:vAlign w:val="bottom"/>
          </w:tcPr>
          <w:p w:rsidR="00115601" w:rsidRDefault="00115601" w:rsidP="00B47841">
            <w:pPr>
              <w:pStyle w:val="IASBTableTNR"/>
            </w:pPr>
            <w:r>
              <w:rPr>
                <w:u w:val="single"/>
              </w:rPr>
              <w:t>Accordingly, the tax base of the debt instrument is its original cost.</w:t>
            </w:r>
          </w:p>
          <w:p w:rsidR="00115601" w:rsidRDefault="00115601" w:rsidP="00B47841">
            <w:pPr>
              <w:pStyle w:val="IASBTableTNR"/>
            </w:pPr>
            <w:r>
              <w:rPr>
                <w:i/>
                <w:u w:val="single"/>
              </w:rPr>
              <w:t>The difference between the carrying amount of the debt instrument in Entity A’s statement of financial position of CU918 and its tax base of CU1,000 gives rise to a deductible temporary difference of CU82 at the end of Year 2 (see paragraphs 20 and 26(d)), irrespective of whether Entity A expects to recover the carrying amount of the debt instrument by sale or by use, ie by holding it and collecting contractual cash flows, or a combination of both.</w:t>
            </w:r>
          </w:p>
        </w:tc>
      </w:tr>
      <w:tr w:rsidR="00115601" w:rsidTr="00B47841">
        <w:trPr>
          <w:cantSplit/>
        </w:trPr>
        <w:tc>
          <w:tcPr>
            <w:tcW w:w="8244" w:type="dxa"/>
            <w:tcBorders>
              <w:top w:val="nil"/>
              <w:left w:val="single" w:sz="4" w:space="0" w:color="auto"/>
              <w:bottom w:val="single" w:sz="4" w:space="0" w:color="auto"/>
              <w:right w:val="single" w:sz="4" w:space="0" w:color="auto"/>
            </w:tcBorders>
            <w:vAlign w:val="bottom"/>
          </w:tcPr>
          <w:p w:rsidR="00115601" w:rsidRDefault="00115601" w:rsidP="00B47841">
            <w:pPr>
              <w:pStyle w:val="IASBTableTNR"/>
            </w:pPr>
            <w:r>
              <w:rPr>
                <w:i/>
                <w:u w:val="single"/>
              </w:rPr>
              <w:t>This is because deductible temporary differences are differences between the carrying amount of an asset or liability in the statement of financial position and its tax base that will result in amounts that are deductible in determining taxable profit (tax loss) of future periods, when the carrying amount of the asset or liability is recovered or settled (see paragraph 5). Entity A obtains a deduction equivalent to the tax base of the asset of CU1,000 in determining taxable profit (tax loss) either on sale or on maturity.</w:t>
            </w:r>
          </w:p>
        </w:tc>
      </w:tr>
    </w:tbl>
    <w:p w:rsidR="00115601" w:rsidRDefault="00115601" w:rsidP="00115601">
      <w:pPr>
        <w:pStyle w:val="IASBNormalnpara"/>
      </w:pPr>
    </w:p>
    <w:p w:rsidR="00115601" w:rsidRDefault="00115601" w:rsidP="00115601">
      <w:pPr>
        <w:pStyle w:val="IASBNormalnpara"/>
      </w:pPr>
      <w:r>
        <w:t>27</w:t>
      </w:r>
      <w:r>
        <w:tab/>
      </w:r>
      <w:bookmarkStart w:id="26" w:name="F46911064"/>
      <w:r>
        <w:t>The reversal of deductible temporary differences results in deductions in determining taxable profits of future periods. However, economic benefits in the form of reductions in tax payments will flow to the entity only if it earns sufficient taxable profits against which the deductions can be offset. Therefore, an entity recognises deferred tax assets only when it is probable that taxable profits will be available against which the deductible temporary differences can be utilised.</w:t>
      </w:r>
      <w:bookmarkEnd w:id="26"/>
    </w:p>
    <w:p w:rsidR="00115601" w:rsidRDefault="00115601" w:rsidP="00115601">
      <w:pPr>
        <w:pStyle w:val="IASBNormalnpara"/>
      </w:pPr>
      <w:r>
        <w:rPr>
          <w:u w:val="single"/>
        </w:rPr>
        <w:t>27A</w:t>
      </w:r>
      <w:r w:rsidRPr="00D01F7D">
        <w:tab/>
      </w:r>
      <w:bookmarkStart w:id="27" w:name="F46911065"/>
      <w:r>
        <w:rPr>
          <w:u w:val="single"/>
        </w:rPr>
        <w:t>When an entity assesses whether taxable profits will be available against which it can utilise a deductible temporary difference, it considers whether tax law restricts the sources of taxable profits against which it may make deductions on the reversal of that deductible temporary difference. If tax law imposes no such restrictions, an entity assesses a deductible temporary difference in combination with all of its other deductible temporary differences. However, if tax law restricts the utilisation of losses to deduction against income of a specific type, a deductible temporary difference is assessed in combination only with other deductible temporary differences of the appropriate type.</w:t>
      </w:r>
      <w:bookmarkEnd w:id="27"/>
    </w:p>
    <w:p w:rsidR="00115601" w:rsidRDefault="00115601" w:rsidP="00115601">
      <w:pPr>
        <w:pStyle w:val="IASBNormalnpara"/>
      </w:pPr>
      <w:r>
        <w:t>28</w:t>
      </w:r>
      <w:r>
        <w:tab/>
      </w:r>
      <w:bookmarkStart w:id="28" w:name="F46911066"/>
      <w:r>
        <w:t xml:space="preserve">It is probable that taxable profit will be available against which a deductible temporary difference can be utilised when there are sufficient taxable temporary differences relating to the same taxation authority and the same taxable entity which are expected to reverse: </w:t>
      </w:r>
      <w:bookmarkEnd w:id="28"/>
    </w:p>
    <w:p w:rsidR="00115601" w:rsidRDefault="00115601" w:rsidP="00115601">
      <w:pPr>
        <w:pStyle w:val="IASBNormalnparaL1"/>
      </w:pPr>
      <w:r>
        <w:t>(a)</w:t>
      </w:r>
      <w:r>
        <w:tab/>
      </w:r>
      <w:bookmarkStart w:id="29" w:name="F46911069"/>
      <w:r>
        <w:t>in the same period as the expected reversal of the deductible temporary difference; or</w:t>
      </w:r>
      <w:bookmarkEnd w:id="29"/>
    </w:p>
    <w:p w:rsidR="00115601" w:rsidRDefault="00115601" w:rsidP="00115601">
      <w:pPr>
        <w:pStyle w:val="IASBNormalnparaL1"/>
      </w:pPr>
      <w:r>
        <w:t>(b)</w:t>
      </w:r>
      <w:r>
        <w:tab/>
      </w:r>
      <w:bookmarkStart w:id="30" w:name="F46911071"/>
      <w:r>
        <w:t>in periods into which a tax loss arising from the deferred tax asset can be carried back or forward.</w:t>
      </w:r>
      <w:bookmarkEnd w:id="30"/>
    </w:p>
    <w:p w:rsidR="00115601" w:rsidRDefault="00115601" w:rsidP="00115601">
      <w:pPr>
        <w:pStyle w:val="IASBNormalnparaP"/>
      </w:pPr>
      <w:bookmarkStart w:id="31" w:name="F46911072"/>
      <w:r>
        <w:lastRenderedPageBreak/>
        <w:t>In such circumstances, the deferred tax asset is recognised in the period in which the deductible temporary differences arise.</w:t>
      </w:r>
      <w:bookmarkEnd w:id="31"/>
    </w:p>
    <w:p w:rsidR="00115601" w:rsidRDefault="00115601" w:rsidP="00115601">
      <w:pPr>
        <w:pStyle w:val="IASBNormalnpara"/>
      </w:pPr>
      <w:r>
        <w:t>29</w:t>
      </w:r>
      <w:r>
        <w:tab/>
      </w:r>
      <w:bookmarkStart w:id="32" w:name="F46911073"/>
      <w:r>
        <w:t xml:space="preserve">When there are insufficient taxable temporary differences relating to the same taxation authority and the same taxable entity, the deferred tax asset is recognised to the extent that: </w:t>
      </w:r>
      <w:bookmarkEnd w:id="32"/>
    </w:p>
    <w:p w:rsidR="00115601" w:rsidRDefault="00115601" w:rsidP="00115601">
      <w:pPr>
        <w:pStyle w:val="IASBNormalnparaL1"/>
      </w:pPr>
      <w:r>
        <w:t>(a)</w:t>
      </w:r>
      <w:r>
        <w:tab/>
      </w:r>
      <w:bookmarkStart w:id="33" w:name="F46911076"/>
      <w:r>
        <w:t>it is probable that the entity will have sufficient taxable profit relating to the same taxation authority and the same taxable entity in the same period as the reversal of the deductible temporary difference (or in the periods into which a tax loss arising from the deferred tax asset can be carried back or forward). In evaluating whether it will have sufficient taxable profit in future periods, an entity</w:t>
      </w:r>
      <w:r>
        <w:rPr>
          <w:u w:val="single"/>
        </w:rPr>
        <w:t>:</w:t>
      </w:r>
      <w:r>
        <w:t xml:space="preserve"> </w:t>
      </w:r>
      <w:bookmarkEnd w:id="33"/>
    </w:p>
    <w:p w:rsidR="00115601" w:rsidRDefault="00115601" w:rsidP="00115601">
      <w:pPr>
        <w:pStyle w:val="IASBNormalnparaL2"/>
      </w:pPr>
      <w:r w:rsidRPr="009948E0">
        <w:rPr>
          <w:u w:val="single"/>
        </w:rPr>
        <w:t>(i)</w:t>
      </w:r>
      <w:r>
        <w:tab/>
      </w:r>
      <w:bookmarkStart w:id="34" w:name="F46911082"/>
      <w:r>
        <w:rPr>
          <w:u w:val="single"/>
        </w:rPr>
        <w:t>compares the deductible temporary differences with future taxable profit that excludes tax deductions resulting from the reversal of those deductible temporary differences. This comparison shows the extent to which the future taxable profit is sufficient for the entity to deduct the amounts resulting from the reversal of those deductible temporary differences</w:t>
      </w:r>
      <w:bookmarkEnd w:id="34"/>
      <w:r w:rsidR="00102467">
        <w:rPr>
          <w:u w:val="single"/>
        </w:rPr>
        <w:t>; and</w:t>
      </w:r>
    </w:p>
    <w:p w:rsidR="00115601" w:rsidRPr="00102467" w:rsidRDefault="00115601" w:rsidP="00115601">
      <w:pPr>
        <w:pStyle w:val="IASBNormalnparaL2"/>
      </w:pPr>
      <w:r w:rsidRPr="009948E0">
        <w:rPr>
          <w:u w:val="single"/>
        </w:rPr>
        <w:t>(ii)</w:t>
      </w:r>
      <w:r>
        <w:tab/>
      </w:r>
      <w:bookmarkStart w:id="35" w:name="F46911084"/>
      <w:r>
        <w:t>ignores taxable amounts arising from deductible temporary differences that are expected to originate in future periods, because the deferred tax asset arising from these deductible temporary differences will itself require future taxable profit in order to be utilised</w:t>
      </w:r>
      <w:bookmarkEnd w:id="35"/>
      <w:r w:rsidR="0017431A" w:rsidRPr="00102467">
        <w:t xml:space="preserve">; </w:t>
      </w:r>
      <w:r w:rsidR="00C32992" w:rsidRPr="00102467">
        <w:t>or</w:t>
      </w:r>
    </w:p>
    <w:p w:rsidR="00115601" w:rsidRDefault="00115601" w:rsidP="00115601">
      <w:pPr>
        <w:pStyle w:val="IASBNormalnparaL1"/>
      </w:pPr>
      <w:r>
        <w:t>(b)</w:t>
      </w:r>
      <w:r>
        <w:tab/>
      </w:r>
      <w:bookmarkStart w:id="36" w:name="F46911079"/>
      <w:r>
        <w:t>tax planning opportunities are available to the entity that will create taxable profit in appropriate periods.</w:t>
      </w:r>
      <w:bookmarkEnd w:id="36"/>
    </w:p>
    <w:p w:rsidR="00115601" w:rsidRDefault="00115601" w:rsidP="00115601">
      <w:pPr>
        <w:pStyle w:val="IASBNormalnpara"/>
      </w:pPr>
      <w:r>
        <w:rPr>
          <w:u w:val="single"/>
        </w:rPr>
        <w:t>29A</w:t>
      </w:r>
      <w:r w:rsidRPr="00D01F7D">
        <w:tab/>
      </w:r>
      <w:bookmarkStart w:id="37" w:name="F46911085"/>
      <w:r>
        <w:rPr>
          <w:u w:val="single"/>
        </w:rPr>
        <w:t>The estimate of probable future taxable profit may include the recovery of some of an entity’s assets for more than their carrying amount if there is sufficient evidence that it is probable that the entity will achieve this. For example, when an asset is measured at fair value, the entity shall consider whether there is sufficient evidence to conclude that it is probable that the entity will recover the asset for more than its carrying amount. This may be the case, for example, when an entity expects to hold a fixed-rate debt instrument and collect the contractual cash flows.</w:t>
      </w:r>
      <w:bookmarkEnd w:id="37"/>
    </w:p>
    <w:p w:rsidR="00115601" w:rsidRDefault="00115601" w:rsidP="00115601">
      <w:pPr>
        <w:pStyle w:val="IASBNormalnpara"/>
      </w:pPr>
      <w:r>
        <w:tab/>
      </w:r>
      <w:bookmarkStart w:id="38" w:name="F46911086"/>
      <w:r>
        <w:t>... </w:t>
      </w:r>
      <w:bookmarkEnd w:id="38"/>
    </w:p>
    <w:p w:rsidR="00115601" w:rsidRDefault="00115601" w:rsidP="009948E0">
      <w:pPr>
        <w:pStyle w:val="IASBSectionTitle1NonInd"/>
        <w:spacing w:before="100"/>
      </w:pPr>
      <w:bookmarkStart w:id="39" w:name="F46911088"/>
      <w:r>
        <w:t>Effective date</w:t>
      </w:r>
      <w:bookmarkEnd w:id="39"/>
    </w:p>
    <w:p w:rsidR="00115601" w:rsidRDefault="00115601" w:rsidP="00115601">
      <w:pPr>
        <w:pStyle w:val="IASBNormalnpara"/>
      </w:pPr>
      <w:r>
        <w:tab/>
      </w:r>
      <w:bookmarkStart w:id="40" w:name="F46911089"/>
      <w:r>
        <w:t>…</w:t>
      </w:r>
      <w:bookmarkEnd w:id="40"/>
    </w:p>
    <w:p w:rsidR="00115601" w:rsidRDefault="00115601" w:rsidP="00115601">
      <w:pPr>
        <w:pStyle w:val="IASBNormalnpara"/>
      </w:pPr>
      <w:r>
        <w:rPr>
          <w:u w:val="single"/>
        </w:rPr>
        <w:t>98</w:t>
      </w:r>
      <w:r w:rsidR="00102467">
        <w:rPr>
          <w:u w:val="single"/>
        </w:rPr>
        <w:t>H</w:t>
      </w:r>
      <w:r w:rsidRPr="00D01F7D">
        <w:tab/>
      </w:r>
      <w:bookmarkStart w:id="41" w:name="F46911090"/>
      <w:r w:rsidR="0017431A">
        <w:rPr>
          <w:u w:val="single"/>
        </w:rPr>
        <w:t>AASB </w:t>
      </w:r>
      <w:r w:rsidR="00A05799">
        <w:rPr>
          <w:u w:val="single"/>
        </w:rPr>
        <w:t>2016-1</w:t>
      </w:r>
      <w:r>
        <w:rPr>
          <w:u w:val="single"/>
        </w:rPr>
        <w:t xml:space="preserve"> </w:t>
      </w:r>
      <w:r>
        <w:rPr>
          <w:i/>
          <w:u w:val="single"/>
        </w:rPr>
        <w:t>Amendments to Australian Accounting Standards – Recognition of Deferred Tax Assets for Unrealised Losses</w:t>
      </w:r>
      <w:r>
        <w:rPr>
          <w:u w:val="single"/>
        </w:rPr>
        <w:t xml:space="preserve">, issued in </w:t>
      </w:r>
      <w:r w:rsidR="00A05799">
        <w:rPr>
          <w:u w:val="single"/>
        </w:rPr>
        <w:t xml:space="preserve">February </w:t>
      </w:r>
      <w:r>
        <w:rPr>
          <w:u w:val="single"/>
        </w:rPr>
        <w:t>2016, amended paragraph 29 and added paragraphs 27A, 29A and the example following paragraph 26. An entity shall apply those amendments for annual periods beginning on or after 1 January 2017. Earlier application is permitted. If an entity applies those amendments for an earlier period, it shall disclose that fact. An entity shall apply those amendments retrospectively in accordance wit</w:t>
      </w:r>
      <w:r w:rsidR="0017431A">
        <w:rPr>
          <w:u w:val="single"/>
        </w:rPr>
        <w:t>h AASB </w:t>
      </w:r>
      <w:r>
        <w:rPr>
          <w:u w:val="single"/>
        </w:rPr>
        <w:t xml:space="preserve">108 </w:t>
      </w:r>
      <w:r>
        <w:rPr>
          <w:i/>
          <w:u w:val="single"/>
        </w:rPr>
        <w:t>Accounting Policies, Changes in Accounting Estimates and Errors</w:t>
      </w:r>
      <w:r>
        <w:rPr>
          <w:u w:val="single"/>
        </w:rPr>
        <w:t>. However, on initial application of the amendment, the change in the opening equity of the earliest comparative period may be recognised in opening retained earnings (or in another component of equity, as appropriate), without allocating the change between opening retained earnings and other components of equity. If an entity applies this relief, it shall disclose that fact.</w:t>
      </w:r>
      <w:bookmarkEnd w:id="41"/>
    </w:p>
    <w:p w:rsidR="00E92F4B" w:rsidRDefault="00E92F4B">
      <w:pPr>
        <w:rPr>
          <w:rFonts w:ascii="Arial" w:hAnsi="Arial" w:cs="Arial"/>
          <w:b/>
          <w:sz w:val="26"/>
          <w:szCs w:val="20"/>
        </w:rPr>
      </w:pPr>
      <w:bookmarkStart w:id="42" w:name="F46911203"/>
      <w:r>
        <w:br w:type="page"/>
      </w:r>
    </w:p>
    <w:p w:rsidR="00115601" w:rsidRDefault="00115601" w:rsidP="00063009">
      <w:pPr>
        <w:pStyle w:val="IASBSectionTitle1NonInd"/>
        <w:spacing w:before="600"/>
      </w:pPr>
      <w:r>
        <w:lastRenderedPageBreak/>
        <w:t xml:space="preserve">Amendments to the Illustrative examples on AASB 112 </w:t>
      </w:r>
      <w:r>
        <w:rPr>
          <w:i/>
        </w:rPr>
        <w:t>Income Taxes</w:t>
      </w:r>
      <w:bookmarkEnd w:id="42"/>
    </w:p>
    <w:tbl>
      <w:tblPr>
        <w:tblW w:w="0" w:type="auto"/>
        <w:tblLayout w:type="fixed"/>
        <w:tblCellMar>
          <w:bottom w:w="85" w:type="dxa"/>
        </w:tblCellMar>
        <w:tblLook w:val="0000" w:firstRow="0" w:lastRow="0" w:firstColumn="0" w:lastColumn="0" w:noHBand="0" w:noVBand="0"/>
        <w:tblCaption w:val="Amendment instructions "/>
      </w:tblPr>
      <w:tblGrid>
        <w:gridCol w:w="9208"/>
      </w:tblGrid>
      <w:tr w:rsidR="00115601" w:rsidTr="00374663">
        <w:trPr>
          <w:cantSplit/>
          <w:tblHeader/>
        </w:trPr>
        <w:tc>
          <w:tcPr>
            <w:tcW w:w="9208" w:type="dxa"/>
            <w:tcBorders>
              <w:top w:val="single" w:sz="4" w:space="0" w:color="auto"/>
              <w:left w:val="single" w:sz="4" w:space="0" w:color="auto"/>
              <w:bottom w:val="single" w:sz="4" w:space="0" w:color="auto"/>
              <w:right w:val="single" w:sz="4" w:space="0" w:color="auto"/>
            </w:tcBorders>
            <w:vAlign w:val="bottom"/>
          </w:tcPr>
          <w:p w:rsidR="00115601" w:rsidRDefault="00115601" w:rsidP="00063009">
            <w:pPr>
              <w:pStyle w:val="IASBTableArial"/>
              <w:keepNext/>
            </w:pPr>
            <w:r>
              <w:t>Example 7—Debt instruments measured at fair value is added. New text is underlined.</w:t>
            </w:r>
          </w:p>
        </w:tc>
      </w:tr>
    </w:tbl>
    <w:p w:rsidR="00115601" w:rsidRDefault="00115601" w:rsidP="00063009">
      <w:pPr>
        <w:pStyle w:val="IASBSectionTitle1NonInd"/>
      </w:pPr>
      <w:bookmarkStart w:id="43" w:name="F46911209"/>
      <w:r>
        <w:rPr>
          <w:u w:val="single"/>
        </w:rPr>
        <w:t>Example 7—Debt instruments measured at fair value</w:t>
      </w:r>
      <w:bookmarkEnd w:id="43"/>
    </w:p>
    <w:p w:rsidR="00115601" w:rsidRDefault="00115601" w:rsidP="00063009">
      <w:pPr>
        <w:pStyle w:val="IASBSectionTitle2NonInd"/>
      </w:pPr>
      <w:bookmarkStart w:id="44" w:name="F46911211"/>
      <w:r>
        <w:rPr>
          <w:u w:val="single"/>
        </w:rPr>
        <w:t>Debt instruments</w:t>
      </w:r>
      <w:bookmarkEnd w:id="44"/>
    </w:p>
    <w:p w:rsidR="00115601" w:rsidRDefault="00115601" w:rsidP="00063009">
      <w:pPr>
        <w:pStyle w:val="IASBNormal"/>
        <w:keepNext/>
      </w:pPr>
      <w:bookmarkStart w:id="45" w:name="F46911212"/>
      <w:r>
        <w:rPr>
          <w:u w:val="single"/>
        </w:rPr>
        <w:t>At 31 December 20X1, Entity Z holds a portfolio of three debt instruments:</w:t>
      </w:r>
      <w:bookmarkEnd w:id="45"/>
    </w:p>
    <w:p w:rsidR="00115601" w:rsidRDefault="00115601" w:rsidP="00063009">
      <w:pPr>
        <w:pStyle w:val="IASBNormalnpara"/>
        <w:keepNext/>
      </w:pPr>
    </w:p>
    <w:tbl>
      <w:tblPr>
        <w:tblW w:w="0" w:type="auto"/>
        <w:tblLayout w:type="fixed"/>
        <w:tblCellMar>
          <w:bottom w:w="85" w:type="dxa"/>
        </w:tblCellMar>
        <w:tblLook w:val="0000" w:firstRow="0" w:lastRow="0" w:firstColumn="0" w:lastColumn="0" w:noHBand="0" w:noVBand="0"/>
        <w:tblCaption w:val="Table in Example 7"/>
      </w:tblPr>
      <w:tblGrid>
        <w:gridCol w:w="1928"/>
        <w:gridCol w:w="2366"/>
        <w:gridCol w:w="236"/>
        <w:gridCol w:w="2332"/>
        <w:gridCol w:w="236"/>
        <w:gridCol w:w="2150"/>
      </w:tblGrid>
      <w:tr w:rsidR="00115601" w:rsidTr="00B47841">
        <w:trPr>
          <w:cantSplit/>
          <w:tblHeader/>
        </w:trPr>
        <w:tc>
          <w:tcPr>
            <w:tcW w:w="1928" w:type="dxa"/>
          </w:tcPr>
          <w:p w:rsidR="00115601" w:rsidRDefault="00115601" w:rsidP="00B47841">
            <w:pPr>
              <w:pStyle w:val="IASBTableHeaderArial"/>
              <w:spacing w:after="0"/>
            </w:pPr>
            <w:r>
              <w:rPr>
                <w:b/>
                <w:u w:val="single"/>
              </w:rPr>
              <w:t>Debt Instrument</w:t>
            </w:r>
          </w:p>
        </w:tc>
        <w:tc>
          <w:tcPr>
            <w:tcW w:w="2366" w:type="dxa"/>
            <w:tcBorders>
              <w:left w:val="nil"/>
            </w:tcBorders>
          </w:tcPr>
          <w:p w:rsidR="00115601" w:rsidRDefault="00115601" w:rsidP="00B47841">
            <w:pPr>
              <w:pStyle w:val="IASBTableHeaderArial"/>
              <w:spacing w:after="0"/>
              <w:jc w:val="right"/>
            </w:pPr>
            <w:r>
              <w:rPr>
                <w:b/>
                <w:u w:val="single"/>
              </w:rPr>
              <w:t>Cost (CU)</w:t>
            </w:r>
          </w:p>
        </w:tc>
        <w:tc>
          <w:tcPr>
            <w:tcW w:w="216" w:type="dxa"/>
            <w:tcBorders>
              <w:left w:val="nil"/>
            </w:tcBorders>
            <w:vAlign w:val="bottom"/>
          </w:tcPr>
          <w:p w:rsidR="00115601" w:rsidRDefault="00115601" w:rsidP="00B47841">
            <w:pPr>
              <w:pStyle w:val="IASBTableHeaderArial"/>
              <w:spacing w:after="0"/>
            </w:pPr>
          </w:p>
        </w:tc>
        <w:tc>
          <w:tcPr>
            <w:tcW w:w="2332" w:type="dxa"/>
            <w:tcBorders>
              <w:left w:val="nil"/>
            </w:tcBorders>
          </w:tcPr>
          <w:p w:rsidR="00115601" w:rsidRDefault="00115601" w:rsidP="00B47841">
            <w:pPr>
              <w:pStyle w:val="IASBTableHeaderArial"/>
              <w:spacing w:after="0"/>
              <w:jc w:val="right"/>
            </w:pPr>
            <w:r>
              <w:rPr>
                <w:b/>
                <w:u w:val="single"/>
              </w:rPr>
              <w:t>Fair value (CU)</w:t>
            </w:r>
          </w:p>
        </w:tc>
        <w:tc>
          <w:tcPr>
            <w:tcW w:w="216" w:type="dxa"/>
            <w:tcBorders>
              <w:left w:val="nil"/>
            </w:tcBorders>
            <w:vAlign w:val="bottom"/>
          </w:tcPr>
          <w:p w:rsidR="00115601" w:rsidRDefault="00115601" w:rsidP="00B47841">
            <w:pPr>
              <w:pStyle w:val="IASBTableHeaderArial"/>
              <w:spacing w:after="0"/>
            </w:pPr>
          </w:p>
        </w:tc>
        <w:tc>
          <w:tcPr>
            <w:tcW w:w="2150" w:type="dxa"/>
            <w:tcBorders>
              <w:left w:val="nil"/>
            </w:tcBorders>
          </w:tcPr>
          <w:p w:rsidR="00115601" w:rsidRDefault="00115601" w:rsidP="00B47841">
            <w:pPr>
              <w:pStyle w:val="IASBTableHeaderArial"/>
              <w:spacing w:after="0"/>
              <w:jc w:val="right"/>
            </w:pPr>
            <w:r>
              <w:rPr>
                <w:b/>
                <w:u w:val="single"/>
              </w:rPr>
              <w:t>Contractual interest rate</w:t>
            </w:r>
          </w:p>
        </w:tc>
      </w:tr>
      <w:tr w:rsidR="00115601" w:rsidTr="00B47841">
        <w:trPr>
          <w:cantSplit/>
        </w:trPr>
        <w:tc>
          <w:tcPr>
            <w:tcW w:w="1928" w:type="dxa"/>
            <w:tcBorders>
              <w:top w:val="nil"/>
            </w:tcBorders>
            <w:vAlign w:val="bottom"/>
          </w:tcPr>
          <w:p w:rsidR="00115601" w:rsidRDefault="00115601" w:rsidP="00B47841">
            <w:pPr>
              <w:pStyle w:val="IASBTableArial"/>
              <w:jc w:val="center"/>
            </w:pPr>
            <w:r>
              <w:rPr>
                <w:b/>
                <w:u w:val="single"/>
              </w:rPr>
              <w:t>A</w:t>
            </w:r>
          </w:p>
        </w:tc>
        <w:tc>
          <w:tcPr>
            <w:tcW w:w="2366" w:type="dxa"/>
            <w:tcBorders>
              <w:top w:val="nil"/>
              <w:left w:val="nil"/>
            </w:tcBorders>
            <w:vAlign w:val="bottom"/>
          </w:tcPr>
          <w:p w:rsidR="00115601" w:rsidRDefault="00115601" w:rsidP="00B47841">
            <w:pPr>
              <w:pStyle w:val="IASBTableArial"/>
              <w:jc w:val="right"/>
            </w:pPr>
            <w:r>
              <w:rPr>
                <w:u w:val="single"/>
              </w:rPr>
              <w:t>2,000,000</w:t>
            </w:r>
          </w:p>
        </w:tc>
        <w:tc>
          <w:tcPr>
            <w:tcW w:w="216" w:type="dxa"/>
            <w:tcBorders>
              <w:top w:val="nil"/>
              <w:left w:val="nil"/>
            </w:tcBorders>
            <w:vAlign w:val="bottom"/>
          </w:tcPr>
          <w:p w:rsidR="00115601" w:rsidRDefault="00115601" w:rsidP="00B47841">
            <w:pPr>
              <w:pStyle w:val="IASBTableArial"/>
            </w:pPr>
          </w:p>
        </w:tc>
        <w:tc>
          <w:tcPr>
            <w:tcW w:w="2332" w:type="dxa"/>
            <w:tcBorders>
              <w:top w:val="nil"/>
              <w:left w:val="nil"/>
            </w:tcBorders>
            <w:vAlign w:val="bottom"/>
          </w:tcPr>
          <w:p w:rsidR="00115601" w:rsidRDefault="00115601" w:rsidP="00B47841">
            <w:pPr>
              <w:pStyle w:val="IASBTableArial"/>
              <w:jc w:val="right"/>
            </w:pPr>
            <w:r>
              <w:rPr>
                <w:u w:val="single"/>
              </w:rPr>
              <w:t>1,942,857</w:t>
            </w:r>
          </w:p>
        </w:tc>
        <w:tc>
          <w:tcPr>
            <w:tcW w:w="216" w:type="dxa"/>
            <w:tcBorders>
              <w:top w:val="nil"/>
              <w:left w:val="nil"/>
            </w:tcBorders>
            <w:vAlign w:val="bottom"/>
          </w:tcPr>
          <w:p w:rsidR="00115601" w:rsidRDefault="00115601" w:rsidP="00B47841">
            <w:pPr>
              <w:pStyle w:val="IASBTableArial"/>
            </w:pPr>
          </w:p>
        </w:tc>
        <w:tc>
          <w:tcPr>
            <w:tcW w:w="2150" w:type="dxa"/>
            <w:tcBorders>
              <w:top w:val="nil"/>
              <w:left w:val="nil"/>
            </w:tcBorders>
            <w:vAlign w:val="bottom"/>
          </w:tcPr>
          <w:p w:rsidR="00115601" w:rsidRDefault="00115601" w:rsidP="00B47841">
            <w:pPr>
              <w:pStyle w:val="IASBTableArial"/>
              <w:jc w:val="right"/>
            </w:pPr>
            <w:r>
              <w:rPr>
                <w:u w:val="single"/>
              </w:rPr>
              <w:t>2.00%</w:t>
            </w:r>
          </w:p>
        </w:tc>
      </w:tr>
      <w:tr w:rsidR="00115601" w:rsidTr="00B47841">
        <w:trPr>
          <w:cantSplit/>
        </w:trPr>
        <w:tc>
          <w:tcPr>
            <w:tcW w:w="1928" w:type="dxa"/>
            <w:tcBorders>
              <w:top w:val="nil"/>
            </w:tcBorders>
            <w:vAlign w:val="bottom"/>
          </w:tcPr>
          <w:p w:rsidR="00115601" w:rsidRDefault="00115601" w:rsidP="00B47841">
            <w:pPr>
              <w:pStyle w:val="IASBTableArial"/>
              <w:jc w:val="center"/>
            </w:pPr>
            <w:r>
              <w:rPr>
                <w:b/>
                <w:u w:val="single"/>
              </w:rPr>
              <w:t>B</w:t>
            </w:r>
          </w:p>
        </w:tc>
        <w:tc>
          <w:tcPr>
            <w:tcW w:w="2366" w:type="dxa"/>
            <w:tcBorders>
              <w:top w:val="nil"/>
              <w:left w:val="nil"/>
            </w:tcBorders>
            <w:vAlign w:val="bottom"/>
          </w:tcPr>
          <w:p w:rsidR="00115601" w:rsidRDefault="00115601" w:rsidP="00B47841">
            <w:pPr>
              <w:pStyle w:val="IASBTableArial"/>
              <w:jc w:val="right"/>
            </w:pPr>
            <w:r>
              <w:rPr>
                <w:u w:val="single"/>
              </w:rPr>
              <w:t>750,000</w:t>
            </w:r>
          </w:p>
        </w:tc>
        <w:tc>
          <w:tcPr>
            <w:tcW w:w="216" w:type="dxa"/>
            <w:tcBorders>
              <w:top w:val="nil"/>
              <w:left w:val="nil"/>
            </w:tcBorders>
            <w:vAlign w:val="bottom"/>
          </w:tcPr>
          <w:p w:rsidR="00115601" w:rsidRDefault="00115601" w:rsidP="00B47841">
            <w:pPr>
              <w:pStyle w:val="IASBTableArial"/>
            </w:pPr>
          </w:p>
        </w:tc>
        <w:tc>
          <w:tcPr>
            <w:tcW w:w="2332" w:type="dxa"/>
            <w:tcBorders>
              <w:top w:val="nil"/>
              <w:left w:val="nil"/>
            </w:tcBorders>
            <w:vAlign w:val="bottom"/>
          </w:tcPr>
          <w:p w:rsidR="00115601" w:rsidRDefault="00115601" w:rsidP="00B47841">
            <w:pPr>
              <w:pStyle w:val="IASBTableArial"/>
              <w:jc w:val="right"/>
            </w:pPr>
            <w:r>
              <w:rPr>
                <w:u w:val="single"/>
              </w:rPr>
              <w:t>778,571</w:t>
            </w:r>
          </w:p>
        </w:tc>
        <w:tc>
          <w:tcPr>
            <w:tcW w:w="216" w:type="dxa"/>
            <w:tcBorders>
              <w:top w:val="nil"/>
              <w:left w:val="nil"/>
            </w:tcBorders>
            <w:vAlign w:val="bottom"/>
          </w:tcPr>
          <w:p w:rsidR="00115601" w:rsidRDefault="00115601" w:rsidP="00B47841">
            <w:pPr>
              <w:pStyle w:val="IASBTableArial"/>
            </w:pPr>
          </w:p>
        </w:tc>
        <w:tc>
          <w:tcPr>
            <w:tcW w:w="2150" w:type="dxa"/>
            <w:tcBorders>
              <w:top w:val="nil"/>
              <w:left w:val="nil"/>
            </w:tcBorders>
            <w:vAlign w:val="bottom"/>
          </w:tcPr>
          <w:p w:rsidR="00115601" w:rsidRDefault="00115601" w:rsidP="00B47841">
            <w:pPr>
              <w:pStyle w:val="IASBTableArial"/>
              <w:jc w:val="right"/>
            </w:pPr>
            <w:r>
              <w:rPr>
                <w:u w:val="single"/>
              </w:rPr>
              <w:t>9.00%</w:t>
            </w:r>
          </w:p>
        </w:tc>
      </w:tr>
      <w:tr w:rsidR="00115601" w:rsidTr="00B47841">
        <w:trPr>
          <w:cantSplit/>
        </w:trPr>
        <w:tc>
          <w:tcPr>
            <w:tcW w:w="1928" w:type="dxa"/>
            <w:tcBorders>
              <w:top w:val="nil"/>
            </w:tcBorders>
            <w:vAlign w:val="bottom"/>
          </w:tcPr>
          <w:p w:rsidR="00115601" w:rsidRDefault="00115601" w:rsidP="00B47841">
            <w:pPr>
              <w:pStyle w:val="IASBTableArial"/>
              <w:jc w:val="center"/>
            </w:pPr>
            <w:r>
              <w:rPr>
                <w:b/>
                <w:u w:val="single"/>
              </w:rPr>
              <w:t>C</w:t>
            </w:r>
          </w:p>
        </w:tc>
        <w:tc>
          <w:tcPr>
            <w:tcW w:w="2366" w:type="dxa"/>
            <w:tcBorders>
              <w:top w:val="nil"/>
              <w:left w:val="nil"/>
            </w:tcBorders>
            <w:vAlign w:val="bottom"/>
          </w:tcPr>
          <w:p w:rsidR="00115601" w:rsidRDefault="00115601" w:rsidP="00B47841">
            <w:pPr>
              <w:pStyle w:val="IASBTableArial"/>
              <w:jc w:val="right"/>
            </w:pPr>
            <w:r>
              <w:rPr>
                <w:u w:val="single"/>
              </w:rPr>
              <w:t>2,000,000</w:t>
            </w:r>
          </w:p>
        </w:tc>
        <w:tc>
          <w:tcPr>
            <w:tcW w:w="216" w:type="dxa"/>
            <w:tcBorders>
              <w:top w:val="nil"/>
              <w:left w:val="nil"/>
            </w:tcBorders>
            <w:vAlign w:val="bottom"/>
          </w:tcPr>
          <w:p w:rsidR="00115601" w:rsidRDefault="00115601" w:rsidP="00B47841">
            <w:pPr>
              <w:pStyle w:val="IASBTableArial"/>
            </w:pPr>
          </w:p>
        </w:tc>
        <w:tc>
          <w:tcPr>
            <w:tcW w:w="2332" w:type="dxa"/>
            <w:tcBorders>
              <w:top w:val="nil"/>
              <w:left w:val="nil"/>
            </w:tcBorders>
            <w:vAlign w:val="bottom"/>
          </w:tcPr>
          <w:p w:rsidR="00115601" w:rsidRDefault="00115601" w:rsidP="00B47841">
            <w:pPr>
              <w:pStyle w:val="IASBTableArial"/>
              <w:jc w:val="right"/>
            </w:pPr>
            <w:r>
              <w:rPr>
                <w:u w:val="single"/>
              </w:rPr>
              <w:t>1,961,905</w:t>
            </w:r>
          </w:p>
        </w:tc>
        <w:tc>
          <w:tcPr>
            <w:tcW w:w="216" w:type="dxa"/>
            <w:tcBorders>
              <w:top w:val="nil"/>
              <w:left w:val="nil"/>
            </w:tcBorders>
            <w:vAlign w:val="bottom"/>
          </w:tcPr>
          <w:p w:rsidR="00115601" w:rsidRDefault="00115601" w:rsidP="00B47841">
            <w:pPr>
              <w:pStyle w:val="IASBTableArial"/>
            </w:pPr>
          </w:p>
        </w:tc>
        <w:tc>
          <w:tcPr>
            <w:tcW w:w="2150" w:type="dxa"/>
            <w:tcBorders>
              <w:top w:val="nil"/>
              <w:left w:val="nil"/>
            </w:tcBorders>
            <w:vAlign w:val="bottom"/>
          </w:tcPr>
          <w:p w:rsidR="00115601" w:rsidRDefault="00115601" w:rsidP="00B47841">
            <w:pPr>
              <w:pStyle w:val="IASBTableArial"/>
              <w:jc w:val="right"/>
            </w:pPr>
            <w:r>
              <w:rPr>
                <w:u w:val="single"/>
              </w:rPr>
              <w:t>3.00%</w:t>
            </w:r>
          </w:p>
        </w:tc>
      </w:tr>
    </w:tbl>
    <w:p w:rsidR="00115601" w:rsidRDefault="00115601" w:rsidP="00115601">
      <w:pPr>
        <w:pStyle w:val="IASBNormalnpara"/>
      </w:pPr>
    </w:p>
    <w:p w:rsidR="00115601" w:rsidRDefault="00115601" w:rsidP="00115601">
      <w:pPr>
        <w:pStyle w:val="IASBNormal"/>
      </w:pPr>
      <w:bookmarkStart w:id="46" w:name="F46911237"/>
      <w:r>
        <w:rPr>
          <w:u w:val="single"/>
        </w:rPr>
        <w:t>Entity Z acquired all the debt instruments on issuance for their nominal value. The terms of the debt instruments require the issuer to pay the nominal value of the debt instruments on their maturity on 31 December 20X2.</w:t>
      </w:r>
      <w:bookmarkEnd w:id="46"/>
    </w:p>
    <w:p w:rsidR="00115601" w:rsidRDefault="00115601" w:rsidP="00115601">
      <w:pPr>
        <w:pStyle w:val="IASBNormal"/>
      </w:pPr>
      <w:bookmarkStart w:id="47" w:name="F46911238"/>
      <w:r>
        <w:rPr>
          <w:u w:val="single"/>
        </w:rPr>
        <w:t>Interest is paid at the end of each year at the contractually fixed rate, which equalled the market interest rate when the debt instruments were acquired. At the end of 20X1, the market interest rate is 5 per cent, which has caused the fair value of Debt Instruments A and C to fall below their cost and the fair value of Debt Instrument B to rise above its cost. It is probable that Entity Z will receive all the contractual cash flows if it continues to hold the debt instruments.</w:t>
      </w:r>
      <w:bookmarkEnd w:id="47"/>
    </w:p>
    <w:p w:rsidR="00115601" w:rsidRDefault="00115601" w:rsidP="00115601">
      <w:pPr>
        <w:pStyle w:val="IASBNormal"/>
      </w:pPr>
      <w:bookmarkStart w:id="48" w:name="F46911239"/>
      <w:r>
        <w:rPr>
          <w:u w:val="single"/>
        </w:rPr>
        <w:t xml:space="preserve">At the end of 20X1, Entity Z expects that it will recover the carrying amounts of Debt Instruments A and B through use, </w:t>
      </w:r>
      <w:proofErr w:type="spellStart"/>
      <w:r>
        <w:rPr>
          <w:u w:val="single"/>
        </w:rPr>
        <w:t>ie</w:t>
      </w:r>
      <w:proofErr w:type="spellEnd"/>
      <w:r>
        <w:rPr>
          <w:u w:val="single"/>
        </w:rPr>
        <w:t xml:space="preserve"> by continuing to hold them and collecting contractual cash </w:t>
      </w:r>
      <w:proofErr w:type="gramStart"/>
      <w:r>
        <w:rPr>
          <w:u w:val="single"/>
        </w:rPr>
        <w:t>flows,</w:t>
      </w:r>
      <w:proofErr w:type="gramEnd"/>
      <w:r>
        <w:rPr>
          <w:u w:val="single"/>
        </w:rPr>
        <w:t xml:space="preserve"> and Debt Instrument C by sale at the beginning of 20X2 for its fair value on 31 December 20X1. It is assumed that no other tax planning opportunity is available to Entity Z that would enable it to sell Debt Instrument B to generate a capital gain against which it could offset the capital loss arising from selling Debt Instrument C.</w:t>
      </w:r>
      <w:bookmarkEnd w:id="48"/>
    </w:p>
    <w:p w:rsidR="00115601" w:rsidRDefault="00115601" w:rsidP="00115601">
      <w:pPr>
        <w:pStyle w:val="IASBNormal"/>
      </w:pPr>
      <w:bookmarkStart w:id="49" w:name="F46911241"/>
      <w:r>
        <w:rPr>
          <w:u w:val="single"/>
        </w:rPr>
        <w:t>The debt instruments are measured at fair value through other comprehensive</w:t>
      </w:r>
      <w:r w:rsidR="0017431A">
        <w:rPr>
          <w:u w:val="single"/>
        </w:rPr>
        <w:t xml:space="preserve"> income in accordance with AASB </w:t>
      </w:r>
      <w:r>
        <w:rPr>
          <w:u w:val="single"/>
        </w:rPr>
        <w:t xml:space="preserve">9 </w:t>
      </w:r>
      <w:r>
        <w:rPr>
          <w:i/>
          <w:u w:val="single"/>
        </w:rPr>
        <w:t>Financial Instruments</w:t>
      </w:r>
      <w:r w:rsidR="0017431A">
        <w:rPr>
          <w:u w:val="single"/>
        </w:rPr>
        <w:t xml:space="preserve"> (or AASB </w:t>
      </w:r>
      <w:r>
        <w:rPr>
          <w:u w:val="single"/>
        </w:rPr>
        <w:t xml:space="preserve">139 </w:t>
      </w:r>
      <w:r>
        <w:rPr>
          <w:i/>
          <w:u w:val="single"/>
        </w:rPr>
        <w:t>Financial Instruments: Recognition and Measurement</w:t>
      </w:r>
      <w:r w:rsidRPr="00CF5182">
        <w:rPr>
          <w:rStyle w:val="FootnoteReference"/>
          <w:u w:val="single"/>
        </w:rPr>
        <w:footnoteReference w:id="1"/>
      </w:r>
      <w:r>
        <w:rPr>
          <w:u w:val="single"/>
        </w:rPr>
        <w:t>).</w:t>
      </w:r>
      <w:bookmarkEnd w:id="49"/>
    </w:p>
    <w:p w:rsidR="00115601" w:rsidRDefault="00115601" w:rsidP="00115601">
      <w:pPr>
        <w:pStyle w:val="IASBSectionTitle2NonInd"/>
      </w:pPr>
      <w:bookmarkStart w:id="50" w:name="F46911245"/>
      <w:r>
        <w:rPr>
          <w:u w:val="single"/>
        </w:rPr>
        <w:t>Tax law</w:t>
      </w:r>
      <w:bookmarkEnd w:id="50"/>
    </w:p>
    <w:p w:rsidR="00115601" w:rsidRDefault="00115601" w:rsidP="00115601">
      <w:pPr>
        <w:pStyle w:val="IASBNormal"/>
      </w:pPr>
      <w:bookmarkStart w:id="51" w:name="F46911246"/>
      <w:r>
        <w:rPr>
          <w:u w:val="single"/>
        </w:rPr>
        <w:t>The tax base of the debt instruments is cost, which tax law allows to be offset either on maturity when principal is paid or against the sale proceeds when the debt instruments are sold. Tax law specifies that gains (losses) on the debt instruments are taxable (deductible) only when realised.</w:t>
      </w:r>
      <w:bookmarkEnd w:id="51"/>
    </w:p>
    <w:p w:rsidR="00115601" w:rsidRDefault="00115601" w:rsidP="00115601">
      <w:pPr>
        <w:pStyle w:val="IASBNormal"/>
      </w:pPr>
      <w:bookmarkStart w:id="52" w:name="F46911247"/>
      <w:r>
        <w:rPr>
          <w:u w:val="single"/>
        </w:rPr>
        <w:t>Tax law distinguishes ordinary gains and losses from capital gains and losses. Ordinary losses can be offset against both ordinary gains and capital gains. Capital losses can only be offset against capital gains. Capital losses can be carried forward for 5 years and ordinary losses can be carried forward for 20 years.</w:t>
      </w:r>
      <w:bookmarkEnd w:id="52"/>
    </w:p>
    <w:p w:rsidR="00115601" w:rsidRDefault="00115601" w:rsidP="00115601">
      <w:pPr>
        <w:pStyle w:val="IASBNormal"/>
      </w:pPr>
      <w:bookmarkStart w:id="53" w:name="F46911248"/>
      <w:r>
        <w:rPr>
          <w:u w:val="single"/>
        </w:rPr>
        <w:t>Ordinary gains are taxed at 30 per cent and capital gains are taxed at 10 per cent.</w:t>
      </w:r>
      <w:bookmarkEnd w:id="53"/>
    </w:p>
    <w:p w:rsidR="00115601" w:rsidRDefault="00115601" w:rsidP="00115601">
      <w:pPr>
        <w:pStyle w:val="IASBNormal"/>
      </w:pPr>
      <w:bookmarkStart w:id="54" w:name="F46911249"/>
      <w:r>
        <w:rPr>
          <w:u w:val="single"/>
        </w:rPr>
        <w:t>Tax law classifies interest income from the debt instruments as ‘ordinary’ and gains and losses arising on the sale of the debt instruments as ‘capital’. Losses that arise if the issuer of the debt instrument fails to pay the principal on maturity are classified as ordinary by tax law.</w:t>
      </w:r>
      <w:bookmarkEnd w:id="54"/>
    </w:p>
    <w:p w:rsidR="00115601" w:rsidRDefault="00115601" w:rsidP="00115601">
      <w:pPr>
        <w:pStyle w:val="IASBSectionTitle2NonInd"/>
      </w:pPr>
      <w:bookmarkStart w:id="55" w:name="F46911251"/>
      <w:r>
        <w:rPr>
          <w:u w:val="single"/>
        </w:rPr>
        <w:t>General</w:t>
      </w:r>
      <w:bookmarkEnd w:id="55"/>
    </w:p>
    <w:p w:rsidR="00115601" w:rsidRDefault="00115601" w:rsidP="00115601">
      <w:pPr>
        <w:pStyle w:val="IASBNormal"/>
      </w:pPr>
      <w:bookmarkStart w:id="56" w:name="F46911252"/>
      <w:r>
        <w:rPr>
          <w:u w:val="single"/>
        </w:rPr>
        <w:t>On 31 December 20X1, Entity Z has, from other sources, taxable temporary differences of CU50</w:t>
      </w:r>
      <w:proofErr w:type="gramStart"/>
      <w:r>
        <w:rPr>
          <w:u w:val="single"/>
        </w:rPr>
        <w:t>,000</w:t>
      </w:r>
      <w:proofErr w:type="gramEnd"/>
      <w:r>
        <w:rPr>
          <w:u w:val="single"/>
        </w:rPr>
        <w:t xml:space="preserve"> and deductible temporary differences of CU430,000, which will reverse in ordinary taxable profit (or ordinary tax loss) in 20X2.</w:t>
      </w:r>
      <w:bookmarkEnd w:id="56"/>
    </w:p>
    <w:p w:rsidR="00115601" w:rsidRDefault="00115601" w:rsidP="00115601">
      <w:pPr>
        <w:pStyle w:val="IASBNormal"/>
      </w:pPr>
      <w:bookmarkStart w:id="57" w:name="F46911253"/>
      <w:r>
        <w:rPr>
          <w:u w:val="single"/>
        </w:rPr>
        <w:t>At the end of 20X1, it is probable that Entity Z will report to the tax authorities an ordinary tax loss of CU200</w:t>
      </w:r>
      <w:proofErr w:type="gramStart"/>
      <w:r>
        <w:rPr>
          <w:u w:val="single"/>
        </w:rPr>
        <w:t>,000</w:t>
      </w:r>
      <w:proofErr w:type="gramEnd"/>
      <w:r>
        <w:rPr>
          <w:u w:val="single"/>
        </w:rPr>
        <w:t xml:space="preserve"> for the year 20X2. This tax loss includes all taxable economic benefits and tax deductions for which temporary </w:t>
      </w:r>
      <w:r>
        <w:rPr>
          <w:u w:val="single"/>
        </w:rPr>
        <w:lastRenderedPageBreak/>
        <w:t>differences exist on 31 December 20X1 and that are classified as ordinary by tax law. These amounts contribute equally to the loss for the period according to tax law.</w:t>
      </w:r>
      <w:bookmarkEnd w:id="57"/>
    </w:p>
    <w:p w:rsidR="00115601" w:rsidRDefault="00115601" w:rsidP="00115601">
      <w:pPr>
        <w:pStyle w:val="IASBNormal"/>
      </w:pPr>
      <w:bookmarkStart w:id="58" w:name="F46911254"/>
      <w:r>
        <w:rPr>
          <w:u w:val="single"/>
        </w:rPr>
        <w:t xml:space="preserve">Entity Z has no capital gains against which it can utilise capital losses arising in the </w:t>
      </w:r>
      <w:proofErr w:type="gramStart"/>
      <w:r>
        <w:rPr>
          <w:u w:val="single"/>
        </w:rPr>
        <w:t>years</w:t>
      </w:r>
      <w:proofErr w:type="gramEnd"/>
      <w:r>
        <w:rPr>
          <w:u w:val="single"/>
        </w:rPr>
        <w:t xml:space="preserve"> 20X1–20X2.</w:t>
      </w:r>
      <w:bookmarkEnd w:id="58"/>
    </w:p>
    <w:p w:rsidR="00115601" w:rsidRDefault="00115601" w:rsidP="00115601">
      <w:pPr>
        <w:pStyle w:val="IASBNormal"/>
      </w:pPr>
      <w:bookmarkStart w:id="59" w:name="F46911255"/>
      <w:r>
        <w:rPr>
          <w:u w:val="single"/>
        </w:rPr>
        <w:t>Except for the information given in the previous paragraphs, there is no further information that is relevant to Entity Z’s accounting for deferred taxes in the period 20X1–20X2.</w:t>
      </w:r>
      <w:bookmarkEnd w:id="59"/>
    </w:p>
    <w:p w:rsidR="00115601" w:rsidRDefault="00115601" w:rsidP="00115601">
      <w:pPr>
        <w:pStyle w:val="IASBSectionTitle2NonInd"/>
      </w:pPr>
      <w:bookmarkStart w:id="60" w:name="F46911258"/>
      <w:r>
        <w:rPr>
          <w:u w:val="single"/>
        </w:rPr>
        <w:t>Temporary differences</w:t>
      </w:r>
      <w:bookmarkEnd w:id="60"/>
    </w:p>
    <w:p w:rsidR="00115601" w:rsidRDefault="00115601" w:rsidP="00115601">
      <w:pPr>
        <w:pStyle w:val="IASBNormal"/>
      </w:pPr>
      <w:bookmarkStart w:id="61" w:name="F46911259"/>
      <w:r>
        <w:rPr>
          <w:u w:val="single"/>
        </w:rPr>
        <w:t>At the end of 20X1, Entity Z identifies the following temporary differences:</w:t>
      </w:r>
      <w:bookmarkEnd w:id="61"/>
    </w:p>
    <w:p w:rsidR="00115601" w:rsidRDefault="00115601" w:rsidP="00115601">
      <w:pPr>
        <w:pStyle w:val="IASBNormalnpara"/>
      </w:pPr>
    </w:p>
    <w:tbl>
      <w:tblPr>
        <w:tblW w:w="0" w:type="auto"/>
        <w:tblLayout w:type="fixed"/>
        <w:tblCellMar>
          <w:bottom w:w="85" w:type="dxa"/>
        </w:tblCellMar>
        <w:tblLook w:val="0000" w:firstRow="0" w:lastRow="0" w:firstColumn="0" w:lastColumn="0" w:noHBand="0" w:noVBand="0"/>
        <w:tblCaption w:val="Table in Example 7"/>
      </w:tblPr>
      <w:tblGrid>
        <w:gridCol w:w="2292"/>
        <w:gridCol w:w="1820"/>
        <w:gridCol w:w="236"/>
        <w:gridCol w:w="1513"/>
        <w:gridCol w:w="236"/>
        <w:gridCol w:w="1604"/>
        <w:gridCol w:w="236"/>
        <w:gridCol w:w="1331"/>
      </w:tblGrid>
      <w:tr w:rsidR="00115601" w:rsidTr="00B47841">
        <w:trPr>
          <w:cantSplit/>
          <w:tblHeader/>
        </w:trPr>
        <w:tc>
          <w:tcPr>
            <w:tcW w:w="2292" w:type="dxa"/>
            <w:vAlign w:val="bottom"/>
          </w:tcPr>
          <w:p w:rsidR="00115601" w:rsidRDefault="00115601" w:rsidP="00B47841">
            <w:pPr>
              <w:pStyle w:val="IASBTableHeaderArial"/>
              <w:spacing w:after="0"/>
            </w:pPr>
          </w:p>
        </w:tc>
        <w:tc>
          <w:tcPr>
            <w:tcW w:w="1820" w:type="dxa"/>
            <w:tcBorders>
              <w:left w:val="nil"/>
            </w:tcBorders>
          </w:tcPr>
          <w:p w:rsidR="00115601" w:rsidRDefault="00115601" w:rsidP="00B47841">
            <w:pPr>
              <w:pStyle w:val="IASBTableHeaderArial"/>
              <w:spacing w:after="0"/>
              <w:jc w:val="right"/>
            </w:pPr>
            <w:r>
              <w:rPr>
                <w:b/>
                <w:u w:val="single"/>
              </w:rPr>
              <w:t>Carrying amount (CU)</w:t>
            </w:r>
          </w:p>
        </w:tc>
        <w:tc>
          <w:tcPr>
            <w:tcW w:w="216" w:type="dxa"/>
            <w:tcBorders>
              <w:left w:val="nil"/>
            </w:tcBorders>
            <w:vAlign w:val="bottom"/>
          </w:tcPr>
          <w:p w:rsidR="00115601" w:rsidRDefault="00115601" w:rsidP="00B47841">
            <w:pPr>
              <w:pStyle w:val="IASBTableHeaderArial"/>
              <w:spacing w:after="0"/>
            </w:pPr>
          </w:p>
        </w:tc>
        <w:tc>
          <w:tcPr>
            <w:tcW w:w="1513" w:type="dxa"/>
            <w:tcBorders>
              <w:left w:val="nil"/>
            </w:tcBorders>
          </w:tcPr>
          <w:p w:rsidR="00115601" w:rsidRDefault="00115601" w:rsidP="00B47841">
            <w:pPr>
              <w:pStyle w:val="IASBTableHeaderArial"/>
              <w:spacing w:after="0"/>
              <w:jc w:val="right"/>
            </w:pPr>
            <w:r>
              <w:rPr>
                <w:b/>
                <w:u w:val="single"/>
              </w:rPr>
              <w:t>Tax base (CU)</w:t>
            </w:r>
          </w:p>
        </w:tc>
        <w:tc>
          <w:tcPr>
            <w:tcW w:w="216" w:type="dxa"/>
            <w:tcBorders>
              <w:left w:val="nil"/>
            </w:tcBorders>
            <w:vAlign w:val="bottom"/>
          </w:tcPr>
          <w:p w:rsidR="00115601" w:rsidRDefault="00115601" w:rsidP="00B47841">
            <w:pPr>
              <w:pStyle w:val="IASBTableHeaderArial"/>
              <w:spacing w:after="0"/>
            </w:pPr>
          </w:p>
        </w:tc>
        <w:tc>
          <w:tcPr>
            <w:tcW w:w="1604" w:type="dxa"/>
            <w:tcBorders>
              <w:left w:val="nil"/>
            </w:tcBorders>
          </w:tcPr>
          <w:p w:rsidR="00115601" w:rsidRDefault="00115601" w:rsidP="00B47841">
            <w:pPr>
              <w:pStyle w:val="IASBTableHeaderArial"/>
              <w:spacing w:after="0"/>
              <w:jc w:val="right"/>
            </w:pPr>
            <w:r>
              <w:rPr>
                <w:b/>
                <w:u w:val="single"/>
              </w:rPr>
              <w:t>Taxable temporary differences (CU)</w:t>
            </w:r>
          </w:p>
        </w:tc>
        <w:tc>
          <w:tcPr>
            <w:tcW w:w="216" w:type="dxa"/>
            <w:tcBorders>
              <w:left w:val="nil"/>
            </w:tcBorders>
            <w:vAlign w:val="bottom"/>
          </w:tcPr>
          <w:p w:rsidR="00115601" w:rsidRDefault="00115601" w:rsidP="00B47841">
            <w:pPr>
              <w:pStyle w:val="IASBTableHeaderArial"/>
              <w:spacing w:after="0"/>
            </w:pPr>
          </w:p>
        </w:tc>
        <w:tc>
          <w:tcPr>
            <w:tcW w:w="1331" w:type="dxa"/>
            <w:tcBorders>
              <w:left w:val="nil"/>
            </w:tcBorders>
          </w:tcPr>
          <w:p w:rsidR="00115601" w:rsidRDefault="00115601" w:rsidP="00B47841">
            <w:pPr>
              <w:pStyle w:val="IASBTableHeaderArial"/>
              <w:spacing w:after="0"/>
              <w:jc w:val="right"/>
            </w:pPr>
            <w:r>
              <w:rPr>
                <w:b/>
                <w:u w:val="single"/>
              </w:rPr>
              <w:t>Deductible temporary differences (CU)</w:t>
            </w:r>
          </w:p>
        </w:tc>
      </w:tr>
      <w:tr w:rsidR="00115601" w:rsidTr="00B47841">
        <w:trPr>
          <w:cantSplit/>
        </w:trPr>
        <w:tc>
          <w:tcPr>
            <w:tcW w:w="2292" w:type="dxa"/>
            <w:tcBorders>
              <w:top w:val="nil"/>
            </w:tcBorders>
            <w:vAlign w:val="bottom"/>
          </w:tcPr>
          <w:p w:rsidR="00115601" w:rsidRDefault="00115601" w:rsidP="00B47841">
            <w:pPr>
              <w:pStyle w:val="IASBTableArial"/>
            </w:pPr>
            <w:r>
              <w:rPr>
                <w:u w:val="single"/>
              </w:rPr>
              <w:t>Debt Instrument A</w:t>
            </w:r>
          </w:p>
        </w:tc>
        <w:tc>
          <w:tcPr>
            <w:tcW w:w="1820" w:type="dxa"/>
            <w:tcBorders>
              <w:top w:val="nil"/>
              <w:left w:val="nil"/>
            </w:tcBorders>
            <w:vAlign w:val="bottom"/>
          </w:tcPr>
          <w:p w:rsidR="00115601" w:rsidRDefault="00115601" w:rsidP="00B47841">
            <w:pPr>
              <w:pStyle w:val="IASBTableArial"/>
              <w:jc w:val="right"/>
            </w:pPr>
            <w:r>
              <w:rPr>
                <w:u w:val="single"/>
              </w:rPr>
              <w:t>1,942,857</w:t>
            </w:r>
          </w:p>
        </w:tc>
        <w:tc>
          <w:tcPr>
            <w:tcW w:w="216" w:type="dxa"/>
            <w:tcBorders>
              <w:top w:val="nil"/>
              <w:left w:val="nil"/>
            </w:tcBorders>
            <w:vAlign w:val="bottom"/>
          </w:tcPr>
          <w:p w:rsidR="00115601" w:rsidRDefault="00115601" w:rsidP="00B47841">
            <w:pPr>
              <w:pStyle w:val="IASBTableArial"/>
            </w:pPr>
          </w:p>
        </w:tc>
        <w:tc>
          <w:tcPr>
            <w:tcW w:w="1513" w:type="dxa"/>
            <w:tcBorders>
              <w:top w:val="nil"/>
              <w:left w:val="nil"/>
            </w:tcBorders>
            <w:vAlign w:val="bottom"/>
          </w:tcPr>
          <w:p w:rsidR="00115601" w:rsidRDefault="00115601" w:rsidP="00B47841">
            <w:pPr>
              <w:pStyle w:val="IASBTableArial"/>
              <w:jc w:val="right"/>
            </w:pPr>
            <w:r>
              <w:rPr>
                <w:u w:val="single"/>
              </w:rPr>
              <w:t>2,000,000</w:t>
            </w:r>
          </w:p>
        </w:tc>
        <w:tc>
          <w:tcPr>
            <w:tcW w:w="216" w:type="dxa"/>
            <w:tcBorders>
              <w:top w:val="nil"/>
              <w:left w:val="nil"/>
            </w:tcBorders>
            <w:vAlign w:val="bottom"/>
          </w:tcPr>
          <w:p w:rsidR="00115601" w:rsidRDefault="00115601" w:rsidP="00B47841">
            <w:pPr>
              <w:pStyle w:val="IASBTableArial"/>
            </w:pPr>
          </w:p>
        </w:tc>
        <w:tc>
          <w:tcPr>
            <w:tcW w:w="1604" w:type="dxa"/>
            <w:tcBorders>
              <w:top w:val="nil"/>
              <w:left w:val="nil"/>
            </w:tcBorders>
            <w:vAlign w:val="bottom"/>
          </w:tcPr>
          <w:p w:rsidR="00115601" w:rsidRDefault="00115601" w:rsidP="00B47841">
            <w:pPr>
              <w:pStyle w:val="IASBTableArial"/>
              <w:jc w:val="right"/>
            </w:pP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57,143</w:t>
            </w:r>
          </w:p>
        </w:tc>
      </w:tr>
      <w:tr w:rsidR="00115601" w:rsidTr="00B47841">
        <w:trPr>
          <w:cantSplit/>
        </w:trPr>
        <w:tc>
          <w:tcPr>
            <w:tcW w:w="2292" w:type="dxa"/>
            <w:tcBorders>
              <w:top w:val="nil"/>
            </w:tcBorders>
            <w:vAlign w:val="bottom"/>
          </w:tcPr>
          <w:p w:rsidR="00115601" w:rsidRDefault="00115601" w:rsidP="00B47841">
            <w:pPr>
              <w:pStyle w:val="IASBTableArial"/>
            </w:pPr>
            <w:r>
              <w:rPr>
                <w:u w:val="single"/>
              </w:rPr>
              <w:t>Debt Instrument B</w:t>
            </w:r>
          </w:p>
        </w:tc>
        <w:tc>
          <w:tcPr>
            <w:tcW w:w="1820" w:type="dxa"/>
            <w:tcBorders>
              <w:top w:val="nil"/>
              <w:left w:val="nil"/>
            </w:tcBorders>
            <w:vAlign w:val="bottom"/>
          </w:tcPr>
          <w:p w:rsidR="00115601" w:rsidRDefault="00115601" w:rsidP="00B47841">
            <w:pPr>
              <w:pStyle w:val="IASBTableArial"/>
              <w:jc w:val="right"/>
            </w:pPr>
            <w:r>
              <w:rPr>
                <w:u w:val="single"/>
              </w:rPr>
              <w:t>778,571</w:t>
            </w:r>
          </w:p>
        </w:tc>
        <w:tc>
          <w:tcPr>
            <w:tcW w:w="216" w:type="dxa"/>
            <w:tcBorders>
              <w:top w:val="nil"/>
              <w:left w:val="nil"/>
            </w:tcBorders>
            <w:vAlign w:val="bottom"/>
          </w:tcPr>
          <w:p w:rsidR="00115601" w:rsidRDefault="00115601" w:rsidP="00B47841">
            <w:pPr>
              <w:pStyle w:val="IASBTableArial"/>
            </w:pPr>
          </w:p>
        </w:tc>
        <w:tc>
          <w:tcPr>
            <w:tcW w:w="1513" w:type="dxa"/>
            <w:tcBorders>
              <w:top w:val="nil"/>
              <w:left w:val="nil"/>
            </w:tcBorders>
            <w:vAlign w:val="bottom"/>
          </w:tcPr>
          <w:p w:rsidR="00115601" w:rsidRDefault="00115601" w:rsidP="00B47841">
            <w:pPr>
              <w:pStyle w:val="IASBTableArial"/>
              <w:jc w:val="right"/>
            </w:pPr>
            <w:r>
              <w:rPr>
                <w:u w:val="single"/>
              </w:rPr>
              <w:t>750,000</w:t>
            </w:r>
          </w:p>
        </w:tc>
        <w:tc>
          <w:tcPr>
            <w:tcW w:w="216" w:type="dxa"/>
            <w:tcBorders>
              <w:top w:val="nil"/>
              <w:left w:val="nil"/>
            </w:tcBorders>
            <w:vAlign w:val="bottom"/>
          </w:tcPr>
          <w:p w:rsidR="00115601" w:rsidRDefault="00115601" w:rsidP="00B47841">
            <w:pPr>
              <w:pStyle w:val="IASBTableArial"/>
            </w:pPr>
          </w:p>
        </w:tc>
        <w:tc>
          <w:tcPr>
            <w:tcW w:w="1604" w:type="dxa"/>
            <w:tcBorders>
              <w:top w:val="nil"/>
              <w:left w:val="nil"/>
            </w:tcBorders>
            <w:vAlign w:val="bottom"/>
          </w:tcPr>
          <w:p w:rsidR="00115601" w:rsidRDefault="00115601" w:rsidP="00B47841">
            <w:pPr>
              <w:pStyle w:val="IASBTableArial"/>
              <w:jc w:val="right"/>
            </w:pPr>
            <w:r>
              <w:rPr>
                <w:u w:val="single"/>
              </w:rPr>
              <w:t>28,571</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p>
        </w:tc>
      </w:tr>
      <w:tr w:rsidR="00115601" w:rsidTr="00B47841">
        <w:trPr>
          <w:cantSplit/>
        </w:trPr>
        <w:tc>
          <w:tcPr>
            <w:tcW w:w="2292" w:type="dxa"/>
            <w:tcBorders>
              <w:top w:val="nil"/>
            </w:tcBorders>
            <w:vAlign w:val="bottom"/>
          </w:tcPr>
          <w:p w:rsidR="00115601" w:rsidRDefault="00115601" w:rsidP="00B47841">
            <w:pPr>
              <w:pStyle w:val="IASBTableArial"/>
            </w:pPr>
            <w:r>
              <w:rPr>
                <w:u w:val="single"/>
              </w:rPr>
              <w:t>Debt Instrument C</w:t>
            </w:r>
          </w:p>
        </w:tc>
        <w:tc>
          <w:tcPr>
            <w:tcW w:w="1820" w:type="dxa"/>
            <w:tcBorders>
              <w:top w:val="nil"/>
              <w:left w:val="nil"/>
            </w:tcBorders>
            <w:vAlign w:val="bottom"/>
          </w:tcPr>
          <w:p w:rsidR="00115601" w:rsidRDefault="00115601" w:rsidP="00B47841">
            <w:pPr>
              <w:pStyle w:val="IASBTableArial"/>
              <w:jc w:val="right"/>
            </w:pPr>
            <w:r>
              <w:rPr>
                <w:u w:val="single"/>
              </w:rPr>
              <w:t>1,961,905</w:t>
            </w:r>
          </w:p>
        </w:tc>
        <w:tc>
          <w:tcPr>
            <w:tcW w:w="216" w:type="dxa"/>
            <w:tcBorders>
              <w:top w:val="nil"/>
              <w:left w:val="nil"/>
            </w:tcBorders>
            <w:vAlign w:val="bottom"/>
          </w:tcPr>
          <w:p w:rsidR="00115601" w:rsidRDefault="00115601" w:rsidP="00B47841">
            <w:pPr>
              <w:pStyle w:val="IASBTableArial"/>
            </w:pPr>
          </w:p>
        </w:tc>
        <w:tc>
          <w:tcPr>
            <w:tcW w:w="1513" w:type="dxa"/>
            <w:tcBorders>
              <w:top w:val="nil"/>
              <w:left w:val="nil"/>
            </w:tcBorders>
            <w:vAlign w:val="bottom"/>
          </w:tcPr>
          <w:p w:rsidR="00115601" w:rsidRDefault="00115601" w:rsidP="00B47841">
            <w:pPr>
              <w:pStyle w:val="IASBTableArial"/>
              <w:jc w:val="right"/>
            </w:pPr>
            <w:r>
              <w:rPr>
                <w:u w:val="single"/>
              </w:rPr>
              <w:t>2,000,000</w:t>
            </w:r>
          </w:p>
        </w:tc>
        <w:tc>
          <w:tcPr>
            <w:tcW w:w="216" w:type="dxa"/>
            <w:tcBorders>
              <w:top w:val="nil"/>
              <w:left w:val="nil"/>
            </w:tcBorders>
            <w:vAlign w:val="bottom"/>
          </w:tcPr>
          <w:p w:rsidR="00115601" w:rsidRDefault="00115601" w:rsidP="00B47841">
            <w:pPr>
              <w:pStyle w:val="IASBTableArial"/>
            </w:pPr>
          </w:p>
        </w:tc>
        <w:tc>
          <w:tcPr>
            <w:tcW w:w="1604" w:type="dxa"/>
            <w:tcBorders>
              <w:top w:val="nil"/>
              <w:left w:val="nil"/>
            </w:tcBorders>
            <w:vAlign w:val="bottom"/>
          </w:tcPr>
          <w:p w:rsidR="00115601" w:rsidRDefault="00115601" w:rsidP="00B47841">
            <w:pPr>
              <w:pStyle w:val="IASBTableArial"/>
              <w:jc w:val="right"/>
            </w:pP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38,095</w:t>
            </w:r>
          </w:p>
        </w:tc>
      </w:tr>
      <w:tr w:rsidR="00115601" w:rsidTr="00B47841">
        <w:trPr>
          <w:cantSplit/>
        </w:trPr>
        <w:tc>
          <w:tcPr>
            <w:tcW w:w="2292" w:type="dxa"/>
            <w:tcBorders>
              <w:top w:val="nil"/>
            </w:tcBorders>
            <w:vAlign w:val="bottom"/>
          </w:tcPr>
          <w:p w:rsidR="00115601" w:rsidRDefault="00115601" w:rsidP="00B47841">
            <w:pPr>
              <w:pStyle w:val="IASBTableArial"/>
            </w:pPr>
            <w:r>
              <w:rPr>
                <w:u w:val="single"/>
              </w:rPr>
              <w:t>Other sources</w:t>
            </w:r>
          </w:p>
        </w:tc>
        <w:tc>
          <w:tcPr>
            <w:tcW w:w="3549" w:type="dxa"/>
            <w:gridSpan w:val="3"/>
            <w:tcBorders>
              <w:top w:val="nil"/>
              <w:left w:val="nil"/>
            </w:tcBorders>
            <w:vAlign w:val="bottom"/>
          </w:tcPr>
          <w:p w:rsidR="00115601" w:rsidRDefault="00115601" w:rsidP="00B47841">
            <w:pPr>
              <w:pStyle w:val="IASBTableArial"/>
              <w:jc w:val="center"/>
            </w:pPr>
            <w:r>
              <w:rPr>
                <w:u w:val="single"/>
              </w:rPr>
              <w:t>Not specified</w:t>
            </w:r>
          </w:p>
        </w:tc>
        <w:tc>
          <w:tcPr>
            <w:tcW w:w="216" w:type="dxa"/>
            <w:tcBorders>
              <w:top w:val="nil"/>
              <w:left w:val="nil"/>
            </w:tcBorders>
            <w:vAlign w:val="bottom"/>
          </w:tcPr>
          <w:p w:rsidR="00115601" w:rsidRDefault="00115601" w:rsidP="00B47841">
            <w:pPr>
              <w:pStyle w:val="IASBTableArial"/>
            </w:pPr>
          </w:p>
        </w:tc>
        <w:tc>
          <w:tcPr>
            <w:tcW w:w="1604" w:type="dxa"/>
            <w:tcBorders>
              <w:top w:val="nil"/>
              <w:left w:val="nil"/>
            </w:tcBorders>
            <w:vAlign w:val="bottom"/>
          </w:tcPr>
          <w:p w:rsidR="00115601" w:rsidRDefault="00115601" w:rsidP="00B47841">
            <w:pPr>
              <w:pStyle w:val="IASBTableArial"/>
              <w:jc w:val="right"/>
            </w:pPr>
            <w:r>
              <w:rPr>
                <w:u w:val="single"/>
              </w:rPr>
              <w:t>50,000</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430,000</w:t>
            </w:r>
          </w:p>
        </w:tc>
      </w:tr>
    </w:tbl>
    <w:p w:rsidR="00115601" w:rsidRDefault="00115601" w:rsidP="00115601">
      <w:pPr>
        <w:pStyle w:val="IASBNormalnpara"/>
      </w:pPr>
    </w:p>
    <w:p w:rsidR="00115601" w:rsidRDefault="00115601" w:rsidP="00115601">
      <w:pPr>
        <w:pStyle w:val="IASBNormal"/>
      </w:pPr>
      <w:bookmarkStart w:id="62" w:name="F46911278"/>
      <w:r>
        <w:rPr>
          <w:u w:val="single"/>
        </w:rPr>
        <w:t>The difference between the carrying amount of an asset or liability and its tax base gives rise to a deductible (taxable) temporary difference (see paragraphs 20 and 26(d) of the Standard). This is because deductible (taxable) temporary differences are differences between the carrying amount of an asset or liability in the statement of financial position and its tax base, which will result in amounts that are deductible (taxable) in determining taxable profit (tax loss) of future periods when the carrying amount of the asset or liability is recovered or settled (see paragraph 5 of the Standard).</w:t>
      </w:r>
      <w:bookmarkEnd w:id="62"/>
    </w:p>
    <w:p w:rsidR="00115601" w:rsidRDefault="00115601" w:rsidP="00115601">
      <w:pPr>
        <w:pStyle w:val="IASBSectionTitle2NonInd"/>
      </w:pPr>
      <w:bookmarkStart w:id="63" w:name="F46911280"/>
      <w:r>
        <w:rPr>
          <w:u w:val="single"/>
        </w:rPr>
        <w:t>Utilisation of deductible temporary differences</w:t>
      </w:r>
      <w:bookmarkEnd w:id="63"/>
    </w:p>
    <w:p w:rsidR="00115601" w:rsidRDefault="00115601" w:rsidP="00115601">
      <w:pPr>
        <w:pStyle w:val="IASBNormal"/>
      </w:pPr>
      <w:bookmarkStart w:id="64" w:name="F46911281"/>
      <w:r>
        <w:rPr>
          <w:u w:val="single"/>
        </w:rPr>
        <w:t>With some exceptions, deferred tax assets arising from deductible temporary differences are recognised to the extent that sufficient future taxable profit will be available against which the deductible temporary differences are utilised (see paragraph 24 of the Standard).</w:t>
      </w:r>
      <w:bookmarkEnd w:id="64"/>
    </w:p>
    <w:p w:rsidR="00115601" w:rsidRDefault="00115601" w:rsidP="00115601">
      <w:pPr>
        <w:pStyle w:val="IASBNormal"/>
      </w:pPr>
      <w:bookmarkStart w:id="65" w:name="F46911282"/>
      <w:r>
        <w:rPr>
          <w:u w:val="single"/>
        </w:rPr>
        <w:t>Paragraphs 28–29 of AASB 112 identify the sources of taxable profits against which an entity can utilise deductible temporary differences. They include:</w:t>
      </w:r>
      <w:bookmarkEnd w:id="65"/>
    </w:p>
    <w:p w:rsidR="00115601" w:rsidRDefault="00115601" w:rsidP="00115601">
      <w:pPr>
        <w:pStyle w:val="IASBNormalL1"/>
      </w:pPr>
      <w:r w:rsidRPr="00A2348D">
        <w:rPr>
          <w:u w:val="single"/>
        </w:rPr>
        <w:t>(a)</w:t>
      </w:r>
      <w:r>
        <w:tab/>
      </w:r>
      <w:bookmarkStart w:id="66" w:name="F46911287"/>
      <w:proofErr w:type="gramStart"/>
      <w:r>
        <w:rPr>
          <w:u w:val="single"/>
        </w:rPr>
        <w:t>future</w:t>
      </w:r>
      <w:proofErr w:type="gramEnd"/>
      <w:r>
        <w:rPr>
          <w:u w:val="single"/>
        </w:rPr>
        <w:t xml:space="preserve"> reversal of existing taxable temporary differences;</w:t>
      </w:r>
      <w:bookmarkEnd w:id="66"/>
    </w:p>
    <w:p w:rsidR="00115601" w:rsidRDefault="00115601" w:rsidP="00115601">
      <w:pPr>
        <w:pStyle w:val="IASBNormalL1"/>
      </w:pPr>
      <w:r w:rsidRPr="00A2348D">
        <w:rPr>
          <w:u w:val="single"/>
        </w:rPr>
        <w:t>(b)</w:t>
      </w:r>
      <w:r>
        <w:tab/>
      </w:r>
      <w:bookmarkStart w:id="67" w:name="F46911288"/>
      <w:proofErr w:type="gramStart"/>
      <w:r>
        <w:rPr>
          <w:u w:val="single"/>
        </w:rPr>
        <w:t>taxable</w:t>
      </w:r>
      <w:proofErr w:type="gramEnd"/>
      <w:r>
        <w:rPr>
          <w:u w:val="single"/>
        </w:rPr>
        <w:t xml:space="preserve"> profit in future periods; and</w:t>
      </w:r>
      <w:bookmarkEnd w:id="67"/>
    </w:p>
    <w:p w:rsidR="00115601" w:rsidRDefault="00115601" w:rsidP="00115601">
      <w:pPr>
        <w:pStyle w:val="IASBNormalL1"/>
      </w:pPr>
      <w:r w:rsidRPr="00A2348D">
        <w:rPr>
          <w:u w:val="single"/>
        </w:rPr>
        <w:t>(c)</w:t>
      </w:r>
      <w:r>
        <w:tab/>
      </w:r>
      <w:bookmarkStart w:id="68" w:name="F46911290"/>
      <w:proofErr w:type="gramStart"/>
      <w:r>
        <w:rPr>
          <w:u w:val="single"/>
        </w:rPr>
        <w:t>tax</w:t>
      </w:r>
      <w:proofErr w:type="gramEnd"/>
      <w:r>
        <w:rPr>
          <w:u w:val="single"/>
        </w:rPr>
        <w:t xml:space="preserve"> planning opportunities.</w:t>
      </w:r>
      <w:bookmarkEnd w:id="68"/>
    </w:p>
    <w:p w:rsidR="00115601" w:rsidRDefault="00115601" w:rsidP="00115601">
      <w:pPr>
        <w:pStyle w:val="IASBNormal"/>
      </w:pPr>
      <w:bookmarkStart w:id="69" w:name="F46911291"/>
      <w:r>
        <w:rPr>
          <w:u w:val="single"/>
        </w:rPr>
        <w:t>The deductible temporary difference that arises from Debt Instrument C is assessed separately for utilisation. This is because tax law classifies the loss resulting from recovering the carrying amount of Debt Instrument C by sale as capital and allows capital losses to be offset only against capital gains (see paragraph 27A of the Standard).</w:t>
      </w:r>
      <w:bookmarkEnd w:id="69"/>
    </w:p>
    <w:p w:rsidR="00115601" w:rsidRDefault="00115601" w:rsidP="00115601">
      <w:pPr>
        <w:pStyle w:val="IASBNormal"/>
      </w:pPr>
      <w:bookmarkStart w:id="70" w:name="F46911292"/>
      <w:r>
        <w:rPr>
          <w:u w:val="single"/>
        </w:rPr>
        <w:t>The separate assessment results in not recognising a deferred tax asset for the deductible temporary difference that arises from Debt Instrument C because Entity Z has no source of taxable profit available that tax law classifies as capital.</w:t>
      </w:r>
      <w:bookmarkEnd w:id="70"/>
    </w:p>
    <w:p w:rsidR="00115601" w:rsidRDefault="00115601" w:rsidP="00115601">
      <w:pPr>
        <w:pStyle w:val="IASBNormal"/>
      </w:pPr>
      <w:bookmarkStart w:id="71" w:name="F46911293"/>
      <w:r>
        <w:rPr>
          <w:u w:val="single"/>
        </w:rPr>
        <w:t>In contrast, the deductible temporary difference that arises from Debt Instrument A and other sources are assessed for utilisation in combination with one another. This is because their related tax deductions would be classified as ordinary by tax law.</w:t>
      </w:r>
      <w:bookmarkEnd w:id="71"/>
    </w:p>
    <w:p w:rsidR="00115601" w:rsidRDefault="00115601" w:rsidP="00115601">
      <w:pPr>
        <w:pStyle w:val="IASBNormal"/>
      </w:pPr>
      <w:bookmarkStart w:id="72" w:name="F46911294"/>
      <w:r>
        <w:rPr>
          <w:u w:val="single"/>
        </w:rPr>
        <w:t xml:space="preserve">The tax deductions represented by the deductible temporary differences related to Debt Instrument </w:t>
      </w:r>
      <w:proofErr w:type="gramStart"/>
      <w:r>
        <w:rPr>
          <w:u w:val="single"/>
        </w:rPr>
        <w:t>A</w:t>
      </w:r>
      <w:proofErr w:type="gramEnd"/>
      <w:r>
        <w:rPr>
          <w:u w:val="single"/>
        </w:rPr>
        <w:t xml:space="preserve"> are classified as ordinary because the tax law classifies the effect on taxable profit (tax loss) from deducting the tax base on maturity as ordinary.</w:t>
      </w:r>
      <w:bookmarkEnd w:id="72"/>
    </w:p>
    <w:p w:rsidR="00115601" w:rsidRDefault="00115601" w:rsidP="00115601">
      <w:pPr>
        <w:pStyle w:val="IASBNormal"/>
      </w:pPr>
      <w:bookmarkStart w:id="73" w:name="F46911295"/>
      <w:r>
        <w:rPr>
          <w:u w:val="single"/>
        </w:rPr>
        <w:t>In assessing the utilisation of deductible temporary differences on 31 December 20X1, the following two steps are performed by Entity Z.</w:t>
      </w:r>
      <w:bookmarkEnd w:id="73"/>
    </w:p>
    <w:p w:rsidR="00115601" w:rsidRDefault="00115601" w:rsidP="00115601">
      <w:pPr>
        <w:pStyle w:val="IASBSectionTitle2NonInd"/>
      </w:pPr>
      <w:bookmarkStart w:id="74" w:name="F46911298"/>
      <w:r>
        <w:rPr>
          <w:u w:val="single"/>
        </w:rPr>
        <w:lastRenderedPageBreak/>
        <w:t>Step 1: Utilisation of deductible temporary differences because of the reversal of taxable temporary differences (see paragraph 28 of the Standard)</w:t>
      </w:r>
      <w:bookmarkEnd w:id="74"/>
    </w:p>
    <w:p w:rsidR="00115601" w:rsidRDefault="00115601" w:rsidP="00115601">
      <w:pPr>
        <w:pStyle w:val="IASBNormal"/>
      </w:pPr>
      <w:bookmarkStart w:id="75" w:name="F46911299"/>
      <w:r>
        <w:rPr>
          <w:u w:val="single"/>
        </w:rPr>
        <w:t>Entity Z first assesses the availability of taxable temporary differences as follows:</w:t>
      </w:r>
      <w:bookmarkEnd w:id="75"/>
    </w:p>
    <w:p w:rsidR="00115601" w:rsidRDefault="00115601" w:rsidP="00115601">
      <w:pPr>
        <w:pStyle w:val="IASBNormalnpara"/>
      </w:pPr>
    </w:p>
    <w:tbl>
      <w:tblPr>
        <w:tblW w:w="0" w:type="auto"/>
        <w:tblLayout w:type="fixed"/>
        <w:tblCellMar>
          <w:bottom w:w="85" w:type="dxa"/>
        </w:tblCellMar>
        <w:tblLook w:val="0000" w:firstRow="0" w:lastRow="0" w:firstColumn="0" w:lastColumn="0" w:noHBand="0" w:noVBand="0"/>
        <w:tblCaption w:val="Table in Example 7"/>
      </w:tblPr>
      <w:tblGrid>
        <w:gridCol w:w="1018"/>
        <w:gridCol w:w="6734"/>
        <w:gridCol w:w="236"/>
        <w:gridCol w:w="1240"/>
      </w:tblGrid>
      <w:tr w:rsidR="00115601" w:rsidTr="00374663">
        <w:trPr>
          <w:cantSplit/>
          <w:tblHeader/>
        </w:trPr>
        <w:tc>
          <w:tcPr>
            <w:tcW w:w="1018" w:type="dxa"/>
            <w:vAlign w:val="bottom"/>
          </w:tcPr>
          <w:p w:rsidR="00115601" w:rsidRDefault="00115601" w:rsidP="00B47841">
            <w:pPr>
              <w:pStyle w:val="IASBTableArial"/>
            </w:pPr>
          </w:p>
        </w:tc>
        <w:tc>
          <w:tcPr>
            <w:tcW w:w="6734" w:type="dxa"/>
            <w:tcBorders>
              <w:left w:val="nil"/>
            </w:tcBorders>
            <w:vAlign w:val="bottom"/>
          </w:tcPr>
          <w:p w:rsidR="00115601" w:rsidRDefault="00115601" w:rsidP="00B47841">
            <w:pPr>
              <w:pStyle w:val="IASBTableArial"/>
            </w:pPr>
          </w:p>
        </w:tc>
        <w:tc>
          <w:tcPr>
            <w:tcW w:w="216" w:type="dxa"/>
            <w:tcBorders>
              <w:left w:val="nil"/>
            </w:tcBorders>
            <w:vAlign w:val="bottom"/>
          </w:tcPr>
          <w:p w:rsidR="00115601" w:rsidRDefault="00115601" w:rsidP="00B47841">
            <w:pPr>
              <w:pStyle w:val="IASBTableArial"/>
            </w:pPr>
          </w:p>
        </w:tc>
        <w:tc>
          <w:tcPr>
            <w:tcW w:w="1240" w:type="dxa"/>
            <w:tcBorders>
              <w:left w:val="nil"/>
            </w:tcBorders>
            <w:vAlign w:val="bottom"/>
          </w:tcPr>
          <w:p w:rsidR="00115601" w:rsidRDefault="00115601" w:rsidP="00B47841">
            <w:pPr>
              <w:pStyle w:val="IASBTableArial"/>
              <w:jc w:val="right"/>
            </w:pPr>
            <w:r>
              <w:rPr>
                <w:u w:val="single"/>
              </w:rPr>
              <w:t>(CU)</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Expected reversal of deductible temporary differences in 20X2</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pPr>
          </w:p>
        </w:tc>
      </w:tr>
      <w:tr w:rsidR="00115601" w:rsidTr="00B47841">
        <w:trPr>
          <w:cantSplit/>
        </w:trPr>
        <w:tc>
          <w:tcPr>
            <w:tcW w:w="1018" w:type="dxa"/>
            <w:tcBorders>
              <w:top w:val="nil"/>
            </w:tcBorders>
            <w:vAlign w:val="bottom"/>
          </w:tcPr>
          <w:p w:rsidR="00115601" w:rsidRDefault="00115601" w:rsidP="00B47841">
            <w:pPr>
              <w:pStyle w:val="IASBTableArial"/>
            </w:pPr>
          </w:p>
        </w:tc>
        <w:tc>
          <w:tcPr>
            <w:tcW w:w="6734" w:type="dxa"/>
            <w:tcBorders>
              <w:top w:val="nil"/>
              <w:left w:val="nil"/>
            </w:tcBorders>
            <w:vAlign w:val="bottom"/>
          </w:tcPr>
          <w:p w:rsidR="00115601" w:rsidRDefault="00115601" w:rsidP="00B47841">
            <w:pPr>
              <w:pStyle w:val="IASBTableArial"/>
            </w:pPr>
            <w:r>
              <w:rPr>
                <w:u w:val="single"/>
              </w:rPr>
              <w:t>From Debt Instrument A</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57,143</w:t>
            </w:r>
          </w:p>
        </w:tc>
      </w:tr>
      <w:tr w:rsidR="00115601" w:rsidTr="00B47841">
        <w:trPr>
          <w:cantSplit/>
        </w:trPr>
        <w:tc>
          <w:tcPr>
            <w:tcW w:w="1018" w:type="dxa"/>
            <w:tcBorders>
              <w:top w:val="nil"/>
            </w:tcBorders>
            <w:vAlign w:val="bottom"/>
          </w:tcPr>
          <w:p w:rsidR="00115601" w:rsidRDefault="00115601" w:rsidP="00B47841">
            <w:pPr>
              <w:pStyle w:val="IASBTableArial"/>
            </w:pPr>
          </w:p>
        </w:tc>
        <w:tc>
          <w:tcPr>
            <w:tcW w:w="6734" w:type="dxa"/>
            <w:tcBorders>
              <w:top w:val="nil"/>
              <w:left w:val="nil"/>
            </w:tcBorders>
            <w:vAlign w:val="bottom"/>
          </w:tcPr>
          <w:p w:rsidR="00115601" w:rsidRDefault="00115601" w:rsidP="00B47841">
            <w:pPr>
              <w:pStyle w:val="IASBTableArial"/>
            </w:pPr>
            <w:r>
              <w:rPr>
                <w:u w:val="single"/>
              </w:rPr>
              <w:t>From other sources</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430,000</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Total reversal of deductible temporary differences</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487,143</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Expected reversal of taxable temporary differences in 20X2</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pPr>
          </w:p>
        </w:tc>
      </w:tr>
      <w:tr w:rsidR="00115601" w:rsidTr="00B47841">
        <w:trPr>
          <w:cantSplit/>
        </w:trPr>
        <w:tc>
          <w:tcPr>
            <w:tcW w:w="1018" w:type="dxa"/>
            <w:tcBorders>
              <w:top w:val="nil"/>
            </w:tcBorders>
            <w:vAlign w:val="bottom"/>
          </w:tcPr>
          <w:p w:rsidR="00115601" w:rsidRDefault="00115601" w:rsidP="00B47841">
            <w:pPr>
              <w:pStyle w:val="IASBTableArial"/>
            </w:pPr>
          </w:p>
        </w:tc>
        <w:tc>
          <w:tcPr>
            <w:tcW w:w="6734" w:type="dxa"/>
            <w:tcBorders>
              <w:top w:val="nil"/>
              <w:left w:val="nil"/>
            </w:tcBorders>
            <w:vAlign w:val="bottom"/>
          </w:tcPr>
          <w:p w:rsidR="00115601" w:rsidRDefault="00115601" w:rsidP="00B47841">
            <w:pPr>
              <w:pStyle w:val="IASBTableArial"/>
            </w:pPr>
            <w:r>
              <w:rPr>
                <w:u w:val="single"/>
              </w:rPr>
              <w:t>From Debt Instrument B</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(28,571)</w:t>
            </w:r>
          </w:p>
        </w:tc>
      </w:tr>
      <w:tr w:rsidR="00115601" w:rsidTr="00B47841">
        <w:trPr>
          <w:cantSplit/>
        </w:trPr>
        <w:tc>
          <w:tcPr>
            <w:tcW w:w="1018" w:type="dxa"/>
            <w:tcBorders>
              <w:top w:val="nil"/>
            </w:tcBorders>
            <w:vAlign w:val="bottom"/>
          </w:tcPr>
          <w:p w:rsidR="00115601" w:rsidRDefault="00115601" w:rsidP="00B47841">
            <w:pPr>
              <w:pStyle w:val="IASBTableArial"/>
            </w:pPr>
          </w:p>
        </w:tc>
        <w:tc>
          <w:tcPr>
            <w:tcW w:w="6734" w:type="dxa"/>
            <w:tcBorders>
              <w:top w:val="nil"/>
              <w:left w:val="nil"/>
            </w:tcBorders>
            <w:vAlign w:val="bottom"/>
          </w:tcPr>
          <w:p w:rsidR="00115601" w:rsidRDefault="00115601" w:rsidP="00B47841">
            <w:pPr>
              <w:pStyle w:val="IASBTableArial"/>
            </w:pPr>
            <w:r>
              <w:rPr>
                <w:u w:val="single"/>
              </w:rPr>
              <w:t>From other sources</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(50,000)</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Total reversal of taxable temporary differences</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(78,571)</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Utilisation because of the reversal of taxable temporary differences (Step 1)</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78,571</w:t>
            </w:r>
          </w:p>
        </w:tc>
      </w:tr>
      <w:tr w:rsidR="00115601" w:rsidTr="00B47841">
        <w:trPr>
          <w:cantSplit/>
        </w:trPr>
        <w:tc>
          <w:tcPr>
            <w:tcW w:w="7752" w:type="dxa"/>
            <w:gridSpan w:val="2"/>
            <w:tcBorders>
              <w:top w:val="nil"/>
            </w:tcBorders>
            <w:vAlign w:val="bottom"/>
          </w:tcPr>
          <w:p w:rsidR="00115601" w:rsidRDefault="00115601" w:rsidP="00B47841">
            <w:pPr>
              <w:pStyle w:val="IASBTableArial"/>
            </w:pPr>
            <w:r>
              <w:rPr>
                <w:u w:val="single"/>
              </w:rPr>
              <w:t>Remaining deductible temporary differences to be assessed for utilisation in Step 2 (487,143 – 78,571)</w:t>
            </w:r>
          </w:p>
        </w:tc>
        <w:tc>
          <w:tcPr>
            <w:tcW w:w="216" w:type="dxa"/>
            <w:tcBorders>
              <w:top w:val="nil"/>
              <w:left w:val="nil"/>
            </w:tcBorders>
            <w:vAlign w:val="bottom"/>
          </w:tcPr>
          <w:p w:rsidR="00115601" w:rsidRDefault="00115601" w:rsidP="00B47841">
            <w:pPr>
              <w:pStyle w:val="IASBTableArial"/>
            </w:pPr>
          </w:p>
        </w:tc>
        <w:tc>
          <w:tcPr>
            <w:tcW w:w="1240" w:type="dxa"/>
            <w:tcBorders>
              <w:top w:val="nil"/>
              <w:left w:val="nil"/>
            </w:tcBorders>
            <w:vAlign w:val="bottom"/>
          </w:tcPr>
          <w:p w:rsidR="00115601" w:rsidRDefault="00115601" w:rsidP="00B47841">
            <w:pPr>
              <w:pStyle w:val="IASBTableArial"/>
              <w:jc w:val="right"/>
            </w:pPr>
            <w:r>
              <w:rPr>
                <w:u w:val="single"/>
              </w:rPr>
              <w:t>408,572</w:t>
            </w:r>
          </w:p>
        </w:tc>
      </w:tr>
    </w:tbl>
    <w:p w:rsidR="00115601" w:rsidRDefault="00115601" w:rsidP="00115601">
      <w:pPr>
        <w:pStyle w:val="IASBNormalnpara"/>
      </w:pPr>
    </w:p>
    <w:p w:rsidR="00115601" w:rsidRDefault="00115601" w:rsidP="00115601">
      <w:pPr>
        <w:pStyle w:val="IASBNormal"/>
      </w:pPr>
      <w:bookmarkStart w:id="76" w:name="F46911350"/>
      <w:r>
        <w:rPr>
          <w:u w:val="single"/>
        </w:rPr>
        <w:t>In Step 1, Entity Z can recognise a deferred tax asset in relation to a deductible temporary difference of CU78</w:t>
      </w:r>
      <w:proofErr w:type="gramStart"/>
      <w:r>
        <w:rPr>
          <w:u w:val="single"/>
        </w:rPr>
        <w:t>,571</w:t>
      </w:r>
      <w:proofErr w:type="gramEnd"/>
      <w:r>
        <w:rPr>
          <w:u w:val="single"/>
        </w:rPr>
        <w:t>.</w:t>
      </w:r>
      <w:bookmarkEnd w:id="76"/>
    </w:p>
    <w:p w:rsidR="00115601" w:rsidRDefault="00115601" w:rsidP="00115601">
      <w:pPr>
        <w:pStyle w:val="IASBSectionTitle2NonInd"/>
      </w:pPr>
      <w:bookmarkStart w:id="77" w:name="F46911352"/>
      <w:r>
        <w:rPr>
          <w:u w:val="single"/>
        </w:rPr>
        <w:t>Step 2: Utilisation of deductible temporary differences because of future taxable profit (see paragraph 29(a) of the Standard)</w:t>
      </w:r>
      <w:bookmarkEnd w:id="77"/>
    </w:p>
    <w:p w:rsidR="00115601" w:rsidRDefault="00115601" w:rsidP="00115601">
      <w:pPr>
        <w:pStyle w:val="IASBNormal"/>
      </w:pPr>
      <w:bookmarkStart w:id="78" w:name="F46911353"/>
      <w:r>
        <w:rPr>
          <w:u w:val="single"/>
        </w:rPr>
        <w:t>In this step, Entity Z assesses the availability of future taxable profit as follows:</w:t>
      </w:r>
      <w:bookmarkEnd w:id="78"/>
    </w:p>
    <w:p w:rsidR="00115601" w:rsidRDefault="00115601" w:rsidP="00115601">
      <w:pPr>
        <w:pStyle w:val="IASBNormalnpara"/>
      </w:pPr>
    </w:p>
    <w:tbl>
      <w:tblPr>
        <w:tblW w:w="0" w:type="auto"/>
        <w:tblLayout w:type="fixed"/>
        <w:tblCellMar>
          <w:bottom w:w="85" w:type="dxa"/>
        </w:tblCellMar>
        <w:tblLook w:val="0000" w:firstRow="0" w:lastRow="0" w:firstColumn="0" w:lastColumn="0" w:noHBand="0" w:noVBand="0"/>
        <w:tblCaption w:val="Table in Example 7"/>
      </w:tblPr>
      <w:tblGrid>
        <w:gridCol w:w="7661"/>
        <w:gridCol w:w="236"/>
        <w:gridCol w:w="1331"/>
      </w:tblGrid>
      <w:tr w:rsidR="00115601" w:rsidTr="00374663">
        <w:trPr>
          <w:cantSplit/>
          <w:tblHeader/>
        </w:trPr>
        <w:tc>
          <w:tcPr>
            <w:tcW w:w="7661" w:type="dxa"/>
            <w:vAlign w:val="bottom"/>
          </w:tcPr>
          <w:p w:rsidR="00115601" w:rsidRDefault="00115601" w:rsidP="00B47841">
            <w:pPr>
              <w:pStyle w:val="IASBTableArial"/>
            </w:pPr>
          </w:p>
        </w:tc>
        <w:tc>
          <w:tcPr>
            <w:tcW w:w="216" w:type="dxa"/>
            <w:tcBorders>
              <w:left w:val="nil"/>
            </w:tcBorders>
            <w:vAlign w:val="bottom"/>
          </w:tcPr>
          <w:p w:rsidR="00115601" w:rsidRDefault="00115601" w:rsidP="00B47841">
            <w:pPr>
              <w:pStyle w:val="IASBTableArial"/>
            </w:pPr>
          </w:p>
        </w:tc>
        <w:tc>
          <w:tcPr>
            <w:tcW w:w="1331" w:type="dxa"/>
            <w:tcBorders>
              <w:left w:val="nil"/>
            </w:tcBorders>
            <w:vAlign w:val="bottom"/>
          </w:tcPr>
          <w:p w:rsidR="00115601" w:rsidRDefault="00115601" w:rsidP="00B47841">
            <w:pPr>
              <w:pStyle w:val="IASBTableArial"/>
              <w:jc w:val="right"/>
            </w:pPr>
            <w:r>
              <w:rPr>
                <w:u w:val="single"/>
              </w:rPr>
              <w:t>(CU)</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Probable future tax profit (loss) in 20X2 (upon which income taxes are payable (recoverable))</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(200,000)</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Add back: reversal of deductible temporary differences expected to reverse in 20X2</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487,143</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Less: reversal of taxable temporary differences (utilised in Step 1)</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single" w:sz="4" w:space="0" w:color="auto"/>
            </w:tcBorders>
            <w:vAlign w:val="bottom"/>
          </w:tcPr>
          <w:p w:rsidR="00115601" w:rsidRDefault="00115601" w:rsidP="00B47841">
            <w:pPr>
              <w:pStyle w:val="IASBTableArial"/>
              <w:jc w:val="right"/>
            </w:pPr>
            <w:r>
              <w:rPr>
                <w:u w:val="single"/>
              </w:rPr>
              <w:t>(78,571)</w:t>
            </w:r>
          </w:p>
        </w:tc>
      </w:tr>
      <w:tr w:rsidR="00115601" w:rsidTr="00B47841">
        <w:trPr>
          <w:cantSplit/>
        </w:trPr>
        <w:tc>
          <w:tcPr>
            <w:tcW w:w="7661" w:type="dxa"/>
            <w:tcBorders>
              <w:top w:val="nil"/>
            </w:tcBorders>
            <w:vAlign w:val="bottom"/>
          </w:tcPr>
          <w:p w:rsidR="00115601" w:rsidRDefault="00115601" w:rsidP="00B47841">
            <w:pPr>
              <w:pStyle w:val="IASBTableArial"/>
            </w:pPr>
            <w:r>
              <w:rPr>
                <w:b/>
                <w:u w:val="single"/>
              </w:rPr>
              <w:t>Probable taxable profit excluding tax deductions for assessing utilisation of deductible temporary differences in 20X2</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single" w:sz="4" w:space="0" w:color="auto"/>
            </w:tcBorders>
            <w:vAlign w:val="bottom"/>
          </w:tcPr>
          <w:p w:rsidR="00115601" w:rsidRDefault="00115601" w:rsidP="00B47841">
            <w:pPr>
              <w:pStyle w:val="IASBTableArial"/>
              <w:jc w:val="right"/>
            </w:pPr>
            <w:r>
              <w:rPr>
                <w:u w:val="single"/>
              </w:rPr>
              <w:t>208,572</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Remaining deductible temporary differences to be assessed for utilisation from Step 1</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single" w:sz="4" w:space="0" w:color="auto"/>
            </w:tcBorders>
            <w:vAlign w:val="bottom"/>
          </w:tcPr>
          <w:p w:rsidR="00115601" w:rsidRDefault="00115601" w:rsidP="00B47841">
            <w:pPr>
              <w:pStyle w:val="IASBTableArial"/>
              <w:jc w:val="right"/>
            </w:pPr>
            <w:r>
              <w:rPr>
                <w:u w:val="single"/>
              </w:rPr>
              <w:t>408,572</w:t>
            </w:r>
          </w:p>
        </w:tc>
      </w:tr>
      <w:tr w:rsidR="00115601" w:rsidTr="00B47841">
        <w:trPr>
          <w:cantSplit/>
        </w:trPr>
        <w:tc>
          <w:tcPr>
            <w:tcW w:w="7661" w:type="dxa"/>
            <w:tcBorders>
              <w:top w:val="nil"/>
            </w:tcBorders>
            <w:vAlign w:val="bottom"/>
          </w:tcPr>
          <w:p w:rsidR="00115601" w:rsidRDefault="00115601" w:rsidP="00B47841">
            <w:pPr>
              <w:pStyle w:val="IASBTableArial"/>
            </w:pPr>
            <w:r>
              <w:rPr>
                <w:b/>
                <w:u w:val="single"/>
              </w:rPr>
              <w:t>Utilisation because of future taxable profit (Step 2)</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double" w:sz="4" w:space="0" w:color="auto"/>
            </w:tcBorders>
            <w:vAlign w:val="bottom"/>
          </w:tcPr>
          <w:p w:rsidR="00115601" w:rsidRDefault="00115601" w:rsidP="00B47841">
            <w:pPr>
              <w:pStyle w:val="IASBTableArial"/>
              <w:jc w:val="right"/>
            </w:pPr>
            <w:r>
              <w:rPr>
                <w:u w:val="single"/>
              </w:rPr>
              <w:t>208,572</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Utilisation because of the reversal of taxable temporary differences (Step 1)</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single" w:sz="4" w:space="0" w:color="auto"/>
            </w:tcBorders>
            <w:vAlign w:val="bottom"/>
          </w:tcPr>
          <w:p w:rsidR="00115601" w:rsidRDefault="00115601" w:rsidP="00B47841">
            <w:pPr>
              <w:pStyle w:val="IASBTableArial"/>
              <w:jc w:val="right"/>
            </w:pPr>
            <w:r>
              <w:rPr>
                <w:u w:val="single"/>
              </w:rPr>
              <w:t>78,571</w:t>
            </w:r>
          </w:p>
        </w:tc>
      </w:tr>
      <w:tr w:rsidR="00115601" w:rsidTr="00B47841">
        <w:trPr>
          <w:cantSplit/>
        </w:trPr>
        <w:tc>
          <w:tcPr>
            <w:tcW w:w="7661" w:type="dxa"/>
            <w:tcBorders>
              <w:top w:val="nil"/>
            </w:tcBorders>
            <w:vAlign w:val="bottom"/>
          </w:tcPr>
          <w:p w:rsidR="00115601" w:rsidRDefault="00115601" w:rsidP="00B47841">
            <w:pPr>
              <w:pStyle w:val="IASBTableArial"/>
            </w:pPr>
            <w:r>
              <w:rPr>
                <w:b/>
                <w:u w:val="single"/>
              </w:rPr>
              <w:t>Total utilisation of deductible temporary differences</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bottom w:val="double" w:sz="4" w:space="0" w:color="auto"/>
            </w:tcBorders>
            <w:vAlign w:val="bottom"/>
          </w:tcPr>
          <w:p w:rsidR="00115601" w:rsidRDefault="00115601" w:rsidP="00B47841">
            <w:pPr>
              <w:pStyle w:val="IASBTableArial"/>
              <w:jc w:val="right"/>
            </w:pPr>
            <w:r>
              <w:rPr>
                <w:u w:val="single"/>
              </w:rPr>
              <w:t>287,143</w:t>
            </w:r>
          </w:p>
        </w:tc>
      </w:tr>
    </w:tbl>
    <w:p w:rsidR="00115601" w:rsidRDefault="00115601" w:rsidP="00115601">
      <w:pPr>
        <w:pStyle w:val="IASBNormalnpara"/>
      </w:pPr>
    </w:p>
    <w:p w:rsidR="00115601" w:rsidRDefault="00115601" w:rsidP="00115601">
      <w:pPr>
        <w:pStyle w:val="IASBNormal"/>
      </w:pPr>
      <w:bookmarkStart w:id="79" w:name="F46911359"/>
      <w:r>
        <w:rPr>
          <w:u w:val="single"/>
        </w:rPr>
        <w:t>The tax loss of CU200,000 includes the taxable economic benefit of CU2 million from the collection of the principal of Debt Instrument A and the equivalent tax deduction, because it is probable that Entity Z will recover the debt instrument for more than its carrying amount (see paragraph 29A of the Standard).</w:t>
      </w:r>
      <w:bookmarkEnd w:id="79"/>
    </w:p>
    <w:p w:rsidR="00115601" w:rsidRDefault="00115601" w:rsidP="00115601">
      <w:pPr>
        <w:pStyle w:val="IASBNormal"/>
      </w:pPr>
      <w:bookmarkStart w:id="80" w:name="F46911360"/>
      <w:r>
        <w:rPr>
          <w:u w:val="single"/>
        </w:rPr>
        <w:lastRenderedPageBreak/>
        <w:t>The utilisation of deductible temporary differences is not, however, assessed against probable future taxable profit for a period upon which income taxes are payable (see paragraph 5 of the Standard). Instead, the utilisation of deductible temporary differences is assessed against probable future taxable profit that excludes tax deductions resulting from the reversal of deductible temporary differences (see paragraph 29(a) of the Standard). Assessing the utilisation of deductible temporary differences against probable future taxable profits without excluding those deductions would lead to double counting the deductible temporary differences in that assessment.</w:t>
      </w:r>
      <w:bookmarkEnd w:id="80"/>
    </w:p>
    <w:p w:rsidR="00115601" w:rsidRDefault="00115601" w:rsidP="00115601">
      <w:pPr>
        <w:pStyle w:val="IASBNormal"/>
      </w:pPr>
      <w:bookmarkStart w:id="81" w:name="F46911361"/>
      <w:r>
        <w:rPr>
          <w:u w:val="single"/>
        </w:rPr>
        <w:t>In Step 2, Entity Z determines that it can recognise a deferred tax asset in relation to a future taxable profit, excluding tax deductions resulting from the reversal of deductible temporary differences, of CU208</w:t>
      </w:r>
      <w:proofErr w:type="gramStart"/>
      <w:r>
        <w:rPr>
          <w:u w:val="single"/>
        </w:rPr>
        <w:t>,572</w:t>
      </w:r>
      <w:proofErr w:type="gramEnd"/>
      <w:r>
        <w:rPr>
          <w:u w:val="single"/>
        </w:rPr>
        <w:t>. Consequently, the total utilisation of deductible temporary differences amounts to CU287</w:t>
      </w:r>
      <w:proofErr w:type="gramStart"/>
      <w:r>
        <w:rPr>
          <w:u w:val="single"/>
        </w:rPr>
        <w:t>,143</w:t>
      </w:r>
      <w:proofErr w:type="gramEnd"/>
      <w:r>
        <w:rPr>
          <w:u w:val="single"/>
        </w:rPr>
        <w:t xml:space="preserve"> (CU78,571 (Step 1) + CU208,572 (Step 2)).</w:t>
      </w:r>
      <w:bookmarkEnd w:id="81"/>
    </w:p>
    <w:p w:rsidR="00115601" w:rsidRDefault="00115601" w:rsidP="00115601">
      <w:pPr>
        <w:pStyle w:val="IASBSectionTitle2NonInd"/>
      </w:pPr>
      <w:bookmarkStart w:id="82" w:name="F46911363"/>
      <w:r>
        <w:rPr>
          <w:u w:val="single"/>
        </w:rPr>
        <w:t>Measurement of deferred tax assets and deferred tax liabilities</w:t>
      </w:r>
      <w:bookmarkEnd w:id="82"/>
    </w:p>
    <w:p w:rsidR="00115601" w:rsidRDefault="00115601" w:rsidP="00115601">
      <w:pPr>
        <w:pStyle w:val="IASBNormal"/>
      </w:pPr>
      <w:bookmarkStart w:id="83" w:name="F46911364"/>
      <w:r>
        <w:rPr>
          <w:u w:val="single"/>
        </w:rPr>
        <w:t>Entity Z presents the following deferred tax assets and deferred tax liabilities in its financial statements on 31 December 20X1:</w:t>
      </w:r>
      <w:bookmarkEnd w:id="83"/>
    </w:p>
    <w:p w:rsidR="00115601" w:rsidRDefault="00115601" w:rsidP="00115601">
      <w:pPr>
        <w:pStyle w:val="IASBNormalnpara"/>
      </w:pPr>
    </w:p>
    <w:tbl>
      <w:tblPr>
        <w:tblW w:w="0" w:type="auto"/>
        <w:tblLayout w:type="fixed"/>
        <w:tblCellMar>
          <w:bottom w:w="85" w:type="dxa"/>
        </w:tblCellMar>
        <w:tblLook w:val="0000" w:firstRow="0" w:lastRow="0" w:firstColumn="0" w:lastColumn="0" w:noHBand="0" w:noVBand="0"/>
        <w:tblCaption w:val="Table in Example 7"/>
      </w:tblPr>
      <w:tblGrid>
        <w:gridCol w:w="7661"/>
        <w:gridCol w:w="236"/>
        <w:gridCol w:w="1331"/>
      </w:tblGrid>
      <w:tr w:rsidR="00115601" w:rsidTr="00374663">
        <w:trPr>
          <w:cantSplit/>
          <w:tblHeader/>
        </w:trPr>
        <w:tc>
          <w:tcPr>
            <w:tcW w:w="7661" w:type="dxa"/>
            <w:vAlign w:val="bottom"/>
          </w:tcPr>
          <w:p w:rsidR="00115601" w:rsidRDefault="00115601" w:rsidP="00B47841">
            <w:pPr>
              <w:pStyle w:val="IASBTableArial"/>
            </w:pPr>
          </w:p>
        </w:tc>
        <w:tc>
          <w:tcPr>
            <w:tcW w:w="216" w:type="dxa"/>
            <w:tcBorders>
              <w:left w:val="nil"/>
            </w:tcBorders>
            <w:vAlign w:val="bottom"/>
          </w:tcPr>
          <w:p w:rsidR="00115601" w:rsidRDefault="00115601" w:rsidP="00B47841">
            <w:pPr>
              <w:pStyle w:val="IASBTableArial"/>
            </w:pPr>
          </w:p>
        </w:tc>
        <w:tc>
          <w:tcPr>
            <w:tcW w:w="1331" w:type="dxa"/>
            <w:tcBorders>
              <w:left w:val="nil"/>
            </w:tcBorders>
            <w:vAlign w:val="bottom"/>
          </w:tcPr>
          <w:p w:rsidR="00115601" w:rsidRDefault="00115601" w:rsidP="00B47841">
            <w:pPr>
              <w:pStyle w:val="IASBTableArial"/>
              <w:jc w:val="right"/>
            </w:pPr>
            <w:r>
              <w:rPr>
                <w:u w:val="single"/>
              </w:rPr>
              <w:t>(CU)</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Total taxable temporary differences</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78,571</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Total utilisation of deductible temporary differences</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287,143</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Deferred tax liabilities (78,571 at 30%)</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23,571</w:t>
            </w:r>
          </w:p>
        </w:tc>
      </w:tr>
      <w:tr w:rsidR="00115601" w:rsidTr="00B47841">
        <w:trPr>
          <w:cantSplit/>
        </w:trPr>
        <w:tc>
          <w:tcPr>
            <w:tcW w:w="7661" w:type="dxa"/>
            <w:tcBorders>
              <w:top w:val="nil"/>
            </w:tcBorders>
            <w:vAlign w:val="bottom"/>
          </w:tcPr>
          <w:p w:rsidR="00115601" w:rsidRDefault="00115601" w:rsidP="00B47841">
            <w:pPr>
              <w:pStyle w:val="IASBTableArial"/>
            </w:pPr>
            <w:r>
              <w:rPr>
                <w:u w:val="single"/>
              </w:rPr>
              <w:t>Deferred tax assets (287,143 at 30%)</w:t>
            </w:r>
          </w:p>
        </w:tc>
        <w:tc>
          <w:tcPr>
            <w:tcW w:w="216" w:type="dxa"/>
            <w:tcBorders>
              <w:top w:val="nil"/>
              <w:left w:val="nil"/>
            </w:tcBorders>
            <w:vAlign w:val="bottom"/>
          </w:tcPr>
          <w:p w:rsidR="00115601" w:rsidRDefault="00115601" w:rsidP="00B47841">
            <w:pPr>
              <w:pStyle w:val="IASBTableArial"/>
            </w:pPr>
          </w:p>
        </w:tc>
        <w:tc>
          <w:tcPr>
            <w:tcW w:w="1331" w:type="dxa"/>
            <w:tcBorders>
              <w:top w:val="nil"/>
              <w:left w:val="nil"/>
            </w:tcBorders>
            <w:vAlign w:val="bottom"/>
          </w:tcPr>
          <w:p w:rsidR="00115601" w:rsidRDefault="00115601" w:rsidP="00B47841">
            <w:pPr>
              <w:pStyle w:val="IASBTableArial"/>
              <w:jc w:val="right"/>
            </w:pPr>
            <w:r>
              <w:rPr>
                <w:u w:val="single"/>
              </w:rPr>
              <w:t>86,143</w:t>
            </w:r>
          </w:p>
        </w:tc>
      </w:tr>
    </w:tbl>
    <w:p w:rsidR="00115601" w:rsidRDefault="00115601" w:rsidP="00115601">
      <w:pPr>
        <w:pStyle w:val="IASBNormalnpara"/>
      </w:pPr>
    </w:p>
    <w:p w:rsidR="00115601" w:rsidRDefault="00115601" w:rsidP="00115601">
      <w:pPr>
        <w:pStyle w:val="IASBNormal"/>
      </w:pPr>
      <w:bookmarkStart w:id="84" w:name="F46911369"/>
      <w:r>
        <w:rPr>
          <w:u w:val="single"/>
        </w:rPr>
        <w:t>The deferred tax assets and the deferred tax liabilities are measured using the tax rate for ordinary gains of 30 per cent, in accordance with the expected manner of recovery (settlement) of the underlying assets (liabilities) (see paragraph 51 of the Standard).</w:t>
      </w:r>
      <w:bookmarkEnd w:id="84"/>
    </w:p>
    <w:p w:rsidR="00115601" w:rsidRDefault="00115601" w:rsidP="00115601">
      <w:pPr>
        <w:pStyle w:val="IASBSectionTitle2NonInd"/>
      </w:pPr>
      <w:bookmarkStart w:id="85" w:name="F46911371"/>
      <w:r>
        <w:rPr>
          <w:u w:val="single"/>
        </w:rPr>
        <w:t>Allocation of changes in deferred tax assets between profit or loss and other comprehensive income</w:t>
      </w:r>
      <w:bookmarkEnd w:id="85"/>
    </w:p>
    <w:p w:rsidR="00115601" w:rsidRDefault="00115601" w:rsidP="00115601">
      <w:pPr>
        <w:pStyle w:val="IASBNormal"/>
      </w:pPr>
      <w:bookmarkStart w:id="86" w:name="F46911372"/>
      <w:r>
        <w:rPr>
          <w:u w:val="single"/>
        </w:rPr>
        <w:t>Changes in deferred tax that arise from items that are recognised in profit or loss are recognised in profit or loss (see paragraph 58 of the Standard). Changes in deferred tax that arise from items that are recognised in other comprehensive income are recognised in other comprehensive income (see paragraph 61A of the Standard).</w:t>
      </w:r>
      <w:bookmarkEnd w:id="86"/>
    </w:p>
    <w:p w:rsidR="00115601" w:rsidRDefault="00115601" w:rsidP="00115601">
      <w:pPr>
        <w:pStyle w:val="IASBNormal"/>
      </w:pPr>
      <w:bookmarkStart w:id="87" w:name="F46911373"/>
      <w:r>
        <w:rPr>
          <w:u w:val="single"/>
        </w:rPr>
        <w:t>Entity Z did not recognise deferred tax assets for all of its deductible temporary differences at 31 December 20X1, and according to tax law all the tax deductions represented by the deductible temporary differences contribute equally to the tax loss for the period. Consequently, the assessment of the utilisation of deductible temporary differences does not specify whether the taxable profits are utilised for deferred tax items that are recognised in profit or loss (</w:t>
      </w:r>
      <w:proofErr w:type="spellStart"/>
      <w:r>
        <w:rPr>
          <w:u w:val="single"/>
        </w:rPr>
        <w:t>ie</w:t>
      </w:r>
      <w:proofErr w:type="spellEnd"/>
      <w:r>
        <w:rPr>
          <w:u w:val="single"/>
        </w:rPr>
        <w:t xml:space="preserve"> the deductible temporary differences from other sources) or whether instead the taxable profits are utilised for deferred tax items that are recognised in other comprehensive income (</w:t>
      </w:r>
      <w:proofErr w:type="spellStart"/>
      <w:r>
        <w:rPr>
          <w:u w:val="single"/>
        </w:rPr>
        <w:t>ie</w:t>
      </w:r>
      <w:proofErr w:type="spellEnd"/>
      <w:r>
        <w:rPr>
          <w:u w:val="single"/>
        </w:rPr>
        <w:t xml:space="preserve"> the deductible temporary differences related to debt instruments classified as fair value through other comprehensive income).</w:t>
      </w:r>
      <w:bookmarkEnd w:id="87"/>
    </w:p>
    <w:p w:rsidR="00115601" w:rsidRDefault="00115601" w:rsidP="00115601">
      <w:pPr>
        <w:pStyle w:val="IASBNormal"/>
      </w:pPr>
      <w:bookmarkStart w:id="88" w:name="F46911374"/>
      <w:r>
        <w:rPr>
          <w:u w:val="single"/>
        </w:rPr>
        <w:t>For such situations, paragraph 63 of the Standard requires the changes in deferred taxes to be allocated to profit or loss and other comprehensive income on a reasonable pro rata basis or by another method that achieves a more appropriate allocation in the circumstances.</w:t>
      </w:r>
      <w:bookmarkEnd w:id="88"/>
    </w:p>
    <w:bookmarkEnd w:id="10"/>
    <w:p w:rsidR="00E83B88" w:rsidRDefault="00E83B88" w:rsidP="00063009">
      <w:pPr>
        <w:pStyle w:val="IASBSectionTitle1NonInd"/>
        <w:spacing w:before="600"/>
      </w:pPr>
      <w:r>
        <w:t xml:space="preserve">Commencement of the </w:t>
      </w:r>
      <w:r w:rsidR="00BC0392">
        <w:t>l</w:t>
      </w:r>
      <w:r>
        <w:t xml:space="preserve">egislative </w:t>
      </w:r>
      <w:r w:rsidR="00BC0392">
        <w:t>i</w:t>
      </w:r>
      <w:r>
        <w:t>nstrument</w:t>
      </w:r>
    </w:p>
    <w:p w:rsidR="00E9244D" w:rsidRDefault="00E83B88" w:rsidP="00282AEE">
      <w:pPr>
        <w:pStyle w:val="IASBNormal"/>
      </w:pPr>
      <w:r>
        <w:t>For legal purposes, this legislative instrument commences on 31 December 2016.</w:t>
      </w:r>
    </w:p>
    <w:sectPr w:rsidR="00E9244D" w:rsidSect="00DB56F2">
      <w:footerReference w:type="default" r:id="rId23"/>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1A" w:rsidRDefault="0030641A">
      <w:r>
        <w:separator/>
      </w:r>
    </w:p>
  </w:endnote>
  <w:endnote w:type="continuationSeparator" w:id="0">
    <w:p w:rsidR="0030641A" w:rsidRDefault="0030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sidR="00A05799">
      <w:rPr>
        <w:b/>
      </w:rPr>
      <w:t>2016-1</w:t>
    </w:r>
    <w:r w:rsidRPr="00705552">
      <w:rPr>
        <w:b/>
      </w:rPr>
      <w:fldChar w:fldCharType="begin" w:fldLock="1"/>
    </w:r>
    <w:r w:rsidRPr="00705552">
      <w:rPr>
        <w:b/>
      </w:rPr>
      <w:instrText xml:space="preserve"> REF DocNo \* charformat</w:instrText>
    </w:r>
    <w:r w:rsidRPr="00705552">
      <w:rPr>
        <w:b/>
      </w:rPr>
      <w:fldChar w:fldCharType="end"/>
    </w:r>
    <w:r>
      <w:tab/>
    </w:r>
    <w:r>
      <w:fldChar w:fldCharType="begin"/>
    </w:r>
    <w:r>
      <w:instrText xml:space="preserve"> page </w:instrText>
    </w:r>
    <w:r>
      <w:fldChar w:fldCharType="separate"/>
    </w:r>
    <w:r w:rsidR="001B3814">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Pr="00705552" w:rsidRDefault="005010BA"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sidR="00A05799">
      <w:rPr>
        <w:b/>
      </w:rPr>
      <w:t>2016-1</w:t>
    </w:r>
    <w:r>
      <w:tab/>
    </w:r>
    <w:r>
      <w:fldChar w:fldCharType="begin"/>
    </w:r>
    <w:r>
      <w:instrText xml:space="preserve"> page </w:instrText>
    </w:r>
    <w:r>
      <w:fldChar w:fldCharType="separate"/>
    </w:r>
    <w:r w:rsidR="001B3814">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0D" w:rsidRPr="00705552" w:rsidRDefault="007B5B0D"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sidR="00A05799">
      <w:rPr>
        <w:b/>
      </w:rPr>
      <w:t>2016-1</w:t>
    </w:r>
    <w:r>
      <w:tab/>
    </w:r>
    <w:r>
      <w:fldChar w:fldCharType="begin"/>
    </w:r>
    <w:r>
      <w:instrText xml:space="preserve"> page </w:instrText>
    </w:r>
    <w:r>
      <w:fldChar w:fldCharType="separate"/>
    </w:r>
    <w:r w:rsidR="001B3814">
      <w:rPr>
        <w:noProof/>
      </w:rPr>
      <w:t>4</w:t>
    </w:r>
    <w:r>
      <w:fldChar w:fldCharType="end"/>
    </w:r>
    <w:r>
      <w:tab/>
    </w:r>
    <w:r w:rsidR="00CF5182">
      <w:rPr>
        <w:b/>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Pr="00336710" w:rsidRDefault="005010BA" w:rsidP="003367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82" w:rsidRPr="00705552" w:rsidRDefault="00CF5182" w:rsidP="00FC071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7D4A2A">
      <w:rPr>
        <w:b/>
      </w:rPr>
      <w:t>AASB</w:t>
    </w:r>
    <w:r w:rsidRPr="00705552">
      <w:rPr>
        <w:b/>
      </w:rPr>
      <w:fldChar w:fldCharType="end"/>
    </w:r>
    <w:r w:rsidRPr="00705552">
      <w:rPr>
        <w:b/>
      </w:rPr>
      <w:t xml:space="preserve"> </w:t>
    </w:r>
    <w:r w:rsidR="00A05799">
      <w:rPr>
        <w:b/>
      </w:rPr>
      <w:t>2016-1</w:t>
    </w:r>
    <w:r>
      <w:tab/>
    </w:r>
    <w:r>
      <w:fldChar w:fldCharType="begin"/>
    </w:r>
    <w:r>
      <w:instrText xml:space="preserve"> page </w:instrText>
    </w:r>
    <w:r>
      <w:fldChar w:fldCharType="separate"/>
    </w:r>
    <w:r w:rsidR="001B3814">
      <w:rPr>
        <w:noProof/>
      </w:rPr>
      <w:t>11</w:t>
    </w:r>
    <w:r>
      <w:fldChar w:fldCharType="end"/>
    </w:r>
    <w:r>
      <w:tab/>
    </w:r>
    <w:r>
      <w:rPr>
        <w:b/>
      </w:rPr>
      <w:t>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1A" w:rsidRDefault="0030641A">
      <w:r>
        <w:separator/>
      </w:r>
    </w:p>
  </w:footnote>
  <w:footnote w:type="continuationSeparator" w:id="0">
    <w:p w:rsidR="0030641A" w:rsidRDefault="0030641A">
      <w:r>
        <w:continuationSeparator/>
      </w:r>
    </w:p>
  </w:footnote>
  <w:footnote w:id="1">
    <w:p w:rsidR="00115601" w:rsidRPr="00CF5182" w:rsidRDefault="00115601" w:rsidP="00CF5182">
      <w:pPr>
        <w:pStyle w:val="FootnoteText"/>
        <w:rPr>
          <w:rStyle w:val="FootnoteReference"/>
          <w:u w:val="single"/>
          <w:vertAlign w:val="baseline"/>
          <w:lang w:val="en-US"/>
        </w:rPr>
      </w:pPr>
      <w:r w:rsidRPr="00CF5182">
        <w:rPr>
          <w:rStyle w:val="FootnoteReference"/>
          <w:u w:val="single"/>
          <w:vertAlign w:val="baseline"/>
        </w:rPr>
        <w:footnoteRef/>
      </w:r>
      <w:r w:rsidRPr="00CF5182">
        <w:rPr>
          <w:rStyle w:val="FootnoteReference"/>
          <w:u w:val="single"/>
          <w:vertAlign w:val="baseline"/>
        </w:rPr>
        <w:tab/>
        <w:t>A</w:t>
      </w:r>
      <w:r w:rsidRPr="00CF5182">
        <w:rPr>
          <w:u w:val="single"/>
        </w:rPr>
        <w:t>ASB</w:t>
      </w:r>
      <w:r w:rsidR="0017431A" w:rsidRPr="00CF5182">
        <w:rPr>
          <w:rStyle w:val="FootnoteReference"/>
          <w:u w:val="single"/>
          <w:vertAlign w:val="baseline"/>
        </w:rPr>
        <w:t> </w:t>
      </w:r>
      <w:r w:rsidRPr="00CF5182">
        <w:rPr>
          <w:rStyle w:val="FootnoteReference"/>
          <w:u w:val="single"/>
          <w:vertAlign w:val="baseline"/>
        </w:rPr>
        <w:t xml:space="preserve">9 replaced </w:t>
      </w:r>
      <w:r w:rsidRPr="00CF5182">
        <w:rPr>
          <w:u w:val="single"/>
        </w:rPr>
        <w:t>AASB</w:t>
      </w:r>
      <w:r w:rsidR="0017431A" w:rsidRPr="00CF5182">
        <w:rPr>
          <w:rStyle w:val="FootnoteReference"/>
          <w:u w:val="single"/>
          <w:vertAlign w:val="baseline"/>
        </w:rPr>
        <w:t> </w:t>
      </w:r>
      <w:r w:rsidRPr="00CF5182">
        <w:rPr>
          <w:rStyle w:val="FootnoteReference"/>
          <w:u w:val="single"/>
          <w:vertAlign w:val="baseline"/>
        </w:rPr>
        <w:t>139. A</w:t>
      </w:r>
      <w:r w:rsidRPr="00CF5182">
        <w:rPr>
          <w:u w:val="single"/>
        </w:rPr>
        <w:t>ASB</w:t>
      </w:r>
      <w:r w:rsidR="0017431A" w:rsidRPr="00CF5182">
        <w:rPr>
          <w:rStyle w:val="FootnoteReference"/>
          <w:u w:val="single"/>
          <w:vertAlign w:val="baseline"/>
        </w:rPr>
        <w:t> </w:t>
      </w:r>
      <w:r w:rsidRPr="00CF5182">
        <w:rPr>
          <w:rStyle w:val="FootnoteReference"/>
          <w:u w:val="single"/>
          <w:vertAlign w:val="baseline"/>
        </w:rPr>
        <w:t>9 applies to all items that were previously within the scope of A</w:t>
      </w:r>
      <w:r w:rsidRPr="00CF5182">
        <w:rPr>
          <w:u w:val="single"/>
        </w:rPr>
        <w:t>ASB</w:t>
      </w:r>
      <w:r w:rsidR="0017431A" w:rsidRPr="00CF5182">
        <w:rPr>
          <w:u w:val="single"/>
        </w:rPr>
        <w:t> </w:t>
      </w:r>
      <w:r w:rsidRPr="00CF5182">
        <w:rPr>
          <w:rStyle w:val="FootnoteReference"/>
          <w:u w:val="single"/>
          <w:vertAlign w:val="baseline"/>
        </w:rPr>
        <w:t>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13" w:rsidRDefault="00173813">
    <w:pPr>
      <w:pStyle w:val="Header"/>
    </w:pPr>
  </w:p>
  <w:p w:rsidR="00173813" w:rsidRPr="00173813" w:rsidRDefault="001B381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39"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13" w:rsidRPr="00173813" w:rsidRDefault="00173813" w:rsidP="00697F10">
    <w:pPr>
      <w:pStyle w:val="Header"/>
      <w:jc w:val="center"/>
      <w:rPr>
        <w:b/>
        <w:sz w:val="1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13" w:rsidRDefault="00173813">
    <w:pPr>
      <w:pStyle w:val="Header"/>
    </w:pPr>
  </w:p>
  <w:p w:rsidR="00173813" w:rsidRPr="00173813" w:rsidRDefault="001B381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38"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pPr>
      <w:pStyle w:val="Header"/>
    </w:pPr>
  </w:p>
  <w:p w:rsidR="00173813" w:rsidRPr="00173813" w:rsidRDefault="001B381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41" type="#_x0000_t172" alt="Draft watermark" style="position:absolute;margin-left:141.75pt;margin-top:226.8pt;width:311.8pt;height:256.8pt;z-index:-251649024;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13" w:rsidRPr="00173813" w:rsidRDefault="00173813" w:rsidP="007B5B0D">
    <w:pPr>
      <w:pStyle w:val="Header"/>
      <w:jc w:val="center"/>
      <w:rPr>
        <w:b/>
        <w:sz w:val="1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pPr>
      <w:pStyle w:val="Header"/>
    </w:pPr>
  </w:p>
  <w:p w:rsidR="00173813" w:rsidRPr="00173813" w:rsidRDefault="001B381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42" type="#_x0000_t172" alt="Draft watermark" style="position:absolute;margin-left:141.75pt;margin-top:226.8pt;width:311.8pt;height:256.8pt;z-index:-251646976;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BA" w:rsidRDefault="005010BA" w:rsidP="00336710">
    <w:pPr>
      <w:pStyle w:val="Header"/>
    </w:pPr>
  </w:p>
  <w:p w:rsidR="00173813" w:rsidRPr="00173813" w:rsidRDefault="001B3814" w:rsidP="00336710">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43" type="#_x0000_t172" alt="Draft watermark" style="position:absolute;margin-left:141.75pt;margin-top:226.8pt;width:311.8pt;height:256.8pt;z-index:-251644928;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C6F24"/>
    <w:lvl w:ilvl="0">
      <w:start w:val="1"/>
      <w:numFmt w:val="decimal"/>
      <w:lvlText w:val="%1."/>
      <w:lvlJc w:val="left"/>
      <w:pPr>
        <w:tabs>
          <w:tab w:val="num" w:pos="1492"/>
        </w:tabs>
        <w:ind w:left="1492" w:hanging="360"/>
      </w:pPr>
    </w:lvl>
  </w:abstractNum>
  <w:abstractNum w:abstractNumId="1">
    <w:nsid w:val="FFFFFF7D"/>
    <w:multiLevelType w:val="singleLevel"/>
    <w:tmpl w:val="C06A4C32"/>
    <w:lvl w:ilvl="0">
      <w:start w:val="1"/>
      <w:numFmt w:val="decimal"/>
      <w:lvlText w:val="%1."/>
      <w:lvlJc w:val="left"/>
      <w:pPr>
        <w:tabs>
          <w:tab w:val="num" w:pos="1209"/>
        </w:tabs>
        <w:ind w:left="1209" w:hanging="360"/>
      </w:pPr>
    </w:lvl>
  </w:abstractNum>
  <w:abstractNum w:abstractNumId="2">
    <w:nsid w:val="FFFFFF7E"/>
    <w:multiLevelType w:val="singleLevel"/>
    <w:tmpl w:val="A25A039C"/>
    <w:lvl w:ilvl="0">
      <w:start w:val="1"/>
      <w:numFmt w:val="decimal"/>
      <w:lvlText w:val="%1."/>
      <w:lvlJc w:val="left"/>
      <w:pPr>
        <w:tabs>
          <w:tab w:val="num" w:pos="926"/>
        </w:tabs>
        <w:ind w:left="926" w:hanging="360"/>
      </w:pPr>
    </w:lvl>
  </w:abstractNum>
  <w:abstractNum w:abstractNumId="3">
    <w:nsid w:val="FFFFFF7F"/>
    <w:multiLevelType w:val="singleLevel"/>
    <w:tmpl w:val="E9A4E80C"/>
    <w:lvl w:ilvl="0">
      <w:start w:val="1"/>
      <w:numFmt w:val="decimal"/>
      <w:lvlText w:val="%1."/>
      <w:lvlJc w:val="left"/>
      <w:pPr>
        <w:tabs>
          <w:tab w:val="num" w:pos="643"/>
        </w:tabs>
        <w:ind w:left="643" w:hanging="360"/>
      </w:pPr>
    </w:lvl>
  </w:abstractNum>
  <w:abstractNum w:abstractNumId="4">
    <w:nsid w:val="FFFFFF80"/>
    <w:multiLevelType w:val="singleLevel"/>
    <w:tmpl w:val="17769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DEA9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36D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A283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28976"/>
    <w:lvl w:ilvl="0">
      <w:start w:val="1"/>
      <w:numFmt w:val="decimal"/>
      <w:lvlText w:val="%1."/>
      <w:lvlJc w:val="left"/>
      <w:pPr>
        <w:tabs>
          <w:tab w:val="num" w:pos="360"/>
        </w:tabs>
        <w:ind w:left="360" w:hanging="360"/>
      </w:pPr>
    </w:lvl>
  </w:abstractNum>
  <w:abstractNum w:abstractNumId="9">
    <w:nsid w:val="FFFFFF89"/>
    <w:multiLevelType w:val="singleLevel"/>
    <w:tmpl w:val="3D5C4A16"/>
    <w:lvl w:ilvl="0">
      <w:start w:val="1"/>
      <w:numFmt w:val="bullet"/>
      <w:lvlText w:val=""/>
      <w:lvlJc w:val="left"/>
      <w:pPr>
        <w:tabs>
          <w:tab w:val="num" w:pos="360"/>
        </w:tabs>
        <w:ind w:left="360" w:hanging="360"/>
      </w:pPr>
      <w:rPr>
        <w:rFonts w:ascii="Symbol" w:hAnsi="Symbol" w:hint="default"/>
      </w:rPr>
    </w:lvl>
  </w:abstractNum>
  <w:abstractNum w:abstractNumId="10">
    <w:nsid w:val="03EF2382"/>
    <w:multiLevelType w:val="hybridMultilevel"/>
    <w:tmpl w:val="D3FACD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624F422D"/>
    <w:multiLevelType w:val="hybridMultilevel"/>
    <w:tmpl w:val="6958E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44"/>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1D"/>
    <w:rsid w:val="000154B5"/>
    <w:rsid w:val="000305DD"/>
    <w:rsid w:val="00060059"/>
    <w:rsid w:val="00063009"/>
    <w:rsid w:val="0006647A"/>
    <w:rsid w:val="000B11F0"/>
    <w:rsid w:val="000B4EC8"/>
    <w:rsid w:val="00102467"/>
    <w:rsid w:val="00105FE6"/>
    <w:rsid w:val="00115601"/>
    <w:rsid w:val="00137F8B"/>
    <w:rsid w:val="001459F2"/>
    <w:rsid w:val="00146D9A"/>
    <w:rsid w:val="00173813"/>
    <w:rsid w:val="0017431A"/>
    <w:rsid w:val="001B3814"/>
    <w:rsid w:val="001C5F8A"/>
    <w:rsid w:val="001E4A7D"/>
    <w:rsid w:val="001E4C7A"/>
    <w:rsid w:val="002029B1"/>
    <w:rsid w:val="002271FF"/>
    <w:rsid w:val="00273CED"/>
    <w:rsid w:val="0027540E"/>
    <w:rsid w:val="00282AEE"/>
    <w:rsid w:val="002D67BD"/>
    <w:rsid w:val="002E0A4F"/>
    <w:rsid w:val="002E3EB4"/>
    <w:rsid w:val="002E42F9"/>
    <w:rsid w:val="0030641A"/>
    <w:rsid w:val="0031741C"/>
    <w:rsid w:val="00322A48"/>
    <w:rsid w:val="00336710"/>
    <w:rsid w:val="00374663"/>
    <w:rsid w:val="00376EA4"/>
    <w:rsid w:val="0039535E"/>
    <w:rsid w:val="003A31FE"/>
    <w:rsid w:val="003A4F08"/>
    <w:rsid w:val="003D0486"/>
    <w:rsid w:val="003F5C4E"/>
    <w:rsid w:val="003F6D7E"/>
    <w:rsid w:val="00403FEE"/>
    <w:rsid w:val="00404EB7"/>
    <w:rsid w:val="00463929"/>
    <w:rsid w:val="004722D3"/>
    <w:rsid w:val="004727DB"/>
    <w:rsid w:val="004A165E"/>
    <w:rsid w:val="004C6DE1"/>
    <w:rsid w:val="004D70C0"/>
    <w:rsid w:val="005010BA"/>
    <w:rsid w:val="00516088"/>
    <w:rsid w:val="00541686"/>
    <w:rsid w:val="005656B7"/>
    <w:rsid w:val="0057651E"/>
    <w:rsid w:val="005958EA"/>
    <w:rsid w:val="005C79D0"/>
    <w:rsid w:val="005E6F52"/>
    <w:rsid w:val="005F7281"/>
    <w:rsid w:val="006021DA"/>
    <w:rsid w:val="0063454A"/>
    <w:rsid w:val="00640E5A"/>
    <w:rsid w:val="00642799"/>
    <w:rsid w:val="00662D9A"/>
    <w:rsid w:val="00666D45"/>
    <w:rsid w:val="00670FD2"/>
    <w:rsid w:val="00697F10"/>
    <w:rsid w:val="006A69A0"/>
    <w:rsid w:val="006D5F34"/>
    <w:rsid w:val="006D6F0E"/>
    <w:rsid w:val="006F69EB"/>
    <w:rsid w:val="00705DF0"/>
    <w:rsid w:val="00736422"/>
    <w:rsid w:val="00762372"/>
    <w:rsid w:val="00773438"/>
    <w:rsid w:val="00776D39"/>
    <w:rsid w:val="007A3D10"/>
    <w:rsid w:val="007B5B0D"/>
    <w:rsid w:val="007D4A2A"/>
    <w:rsid w:val="007E7DF0"/>
    <w:rsid w:val="008D34C9"/>
    <w:rsid w:val="008F641D"/>
    <w:rsid w:val="00903A1A"/>
    <w:rsid w:val="00952474"/>
    <w:rsid w:val="009630FD"/>
    <w:rsid w:val="009948E0"/>
    <w:rsid w:val="00A01C7B"/>
    <w:rsid w:val="00A05799"/>
    <w:rsid w:val="00A15C34"/>
    <w:rsid w:val="00A273EC"/>
    <w:rsid w:val="00A52223"/>
    <w:rsid w:val="00A839BB"/>
    <w:rsid w:val="00A84C3A"/>
    <w:rsid w:val="00AB0CEB"/>
    <w:rsid w:val="00B150F4"/>
    <w:rsid w:val="00B47223"/>
    <w:rsid w:val="00B958B6"/>
    <w:rsid w:val="00BC0392"/>
    <w:rsid w:val="00BC0C9D"/>
    <w:rsid w:val="00BD79EA"/>
    <w:rsid w:val="00C015F5"/>
    <w:rsid w:val="00C100EE"/>
    <w:rsid w:val="00C3134A"/>
    <w:rsid w:val="00C32992"/>
    <w:rsid w:val="00C540E7"/>
    <w:rsid w:val="00CA0586"/>
    <w:rsid w:val="00CF5182"/>
    <w:rsid w:val="00D301D7"/>
    <w:rsid w:val="00D81AF4"/>
    <w:rsid w:val="00DB56F2"/>
    <w:rsid w:val="00DC4A63"/>
    <w:rsid w:val="00E27BEF"/>
    <w:rsid w:val="00E473F0"/>
    <w:rsid w:val="00E550D8"/>
    <w:rsid w:val="00E627C7"/>
    <w:rsid w:val="00E824EA"/>
    <w:rsid w:val="00E83B88"/>
    <w:rsid w:val="00E9244D"/>
    <w:rsid w:val="00E92F4B"/>
    <w:rsid w:val="00EA5F22"/>
    <w:rsid w:val="00EE1924"/>
    <w:rsid w:val="00EF32CC"/>
    <w:rsid w:val="00F3102D"/>
    <w:rsid w:val="00F44E5F"/>
    <w:rsid w:val="00F458A5"/>
    <w:rsid w:val="00F8028E"/>
    <w:rsid w:val="00F849C6"/>
    <w:rsid w:val="00FC071C"/>
    <w:rsid w:val="00FD1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4"/>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A5F22"/>
    <w:rPr>
      <w:sz w:val="19"/>
      <w:szCs w:val="24"/>
      <w:lang w:eastAsia="en-US"/>
    </w:rPr>
  </w:style>
  <w:style w:type="paragraph" w:styleId="Heading1">
    <w:name w:val="heading 1"/>
    <w:basedOn w:val="Normal"/>
    <w:next w:val="Normal"/>
    <w:link w:val="Heading1Char"/>
    <w:uiPriority w:val="9"/>
    <w:qFormat/>
    <w:rsid w:val="007B5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7B5B0D"/>
    <w:pPr>
      <w:keepLines w:val="0"/>
      <w:spacing w:before="0" w:after="200" w:line="280" w:lineRule="exact"/>
      <w:outlineLvl w:val="1"/>
    </w:pPr>
    <w:rPr>
      <w:rFonts w:ascii="Times New Roman" w:eastAsia="Times New Roman" w:hAnsi="Times New Roman" w:cs="Arial"/>
      <w:bCs w:val="0"/>
      <w:iCs/>
      <w:color w:val="auto"/>
    </w:rPr>
  </w:style>
  <w:style w:type="paragraph" w:styleId="Heading3">
    <w:name w:val="heading 3"/>
    <w:basedOn w:val="Heading2"/>
    <w:next w:val="Normal"/>
    <w:link w:val="Heading3Char"/>
    <w:qFormat/>
    <w:rsid w:val="007B5B0D"/>
    <w:pPr>
      <w:spacing w:line="240" w:lineRule="exact"/>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524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52474"/>
    <w:pPr>
      <w:tabs>
        <w:tab w:val="clear" w:pos="4253"/>
      </w:tabs>
      <w:spacing w:after="0"/>
      <w:ind w:left="782" w:hanging="782"/>
    </w:pPr>
  </w:style>
  <w:style w:type="paragraph" w:customStyle="1" w:styleId="IASBSectionTitle1Ind">
    <w:name w:val="IASB Section Title 1 Ind"/>
    <w:basedOn w:val="Normal"/>
    <w:uiPriority w:val="8"/>
    <w:rsid w:val="009524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524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524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52474"/>
    <w:pPr>
      <w:spacing w:before="240"/>
      <w:ind w:left="782"/>
    </w:pPr>
  </w:style>
  <w:style w:type="paragraph" w:customStyle="1" w:styleId="IASBSectionTitle3NonInd">
    <w:name w:val="IASB Section Title 3 NonInd"/>
    <w:basedOn w:val="Normal"/>
    <w:uiPriority w:val="8"/>
    <w:rsid w:val="009524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52474"/>
    <w:pPr>
      <w:spacing w:before="240"/>
      <w:ind w:left="782"/>
    </w:pPr>
  </w:style>
  <w:style w:type="paragraph" w:customStyle="1" w:styleId="IASBSectionTitle4NonInd">
    <w:name w:val="IASB Section Title 4 NonInd"/>
    <w:basedOn w:val="Normal"/>
    <w:uiPriority w:val="8"/>
    <w:rsid w:val="009524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52474"/>
    <w:pPr>
      <w:ind w:left="782"/>
    </w:pPr>
  </w:style>
  <w:style w:type="paragraph" w:customStyle="1" w:styleId="IASBSectionTitle5NonInd">
    <w:name w:val="IASB Section Title 5 NonInd"/>
    <w:basedOn w:val="Normal"/>
    <w:uiPriority w:val="8"/>
    <w:rsid w:val="009524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52474"/>
    <w:pPr>
      <w:ind w:left="782"/>
    </w:pPr>
  </w:style>
  <w:style w:type="paragraph" w:customStyle="1" w:styleId="IASBSectionTitle6NonInd">
    <w:name w:val="IASB Section Title 6 NonInd"/>
    <w:basedOn w:val="IASBSectionTitle5NonInd"/>
    <w:uiPriority w:val="8"/>
    <w:rsid w:val="00952474"/>
    <w:pPr>
      <w:outlineLvl w:val="5"/>
    </w:pPr>
    <w:rPr>
      <w:b w:val="0"/>
      <w:i/>
    </w:rPr>
  </w:style>
  <w:style w:type="paragraph" w:customStyle="1" w:styleId="IASBSectionTitle6Ind">
    <w:name w:val="IASB Section Title 6 Ind"/>
    <w:basedOn w:val="IASBSectionTitle6NonInd"/>
    <w:uiPriority w:val="8"/>
    <w:rsid w:val="00952474"/>
    <w:pPr>
      <w:ind w:left="782"/>
    </w:pPr>
  </w:style>
  <w:style w:type="paragraph" w:customStyle="1" w:styleId="IASBTitle">
    <w:name w:val="IASB Title"/>
    <w:uiPriority w:val="8"/>
    <w:rsid w:val="009524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952474"/>
    <w:pPr>
      <w:ind w:left="1564"/>
    </w:pPr>
  </w:style>
  <w:style w:type="paragraph" w:customStyle="1" w:styleId="IASBNormalnparaP">
    <w:name w:val="IASB Normal nparaP"/>
    <w:basedOn w:val="IASBNormal"/>
    <w:uiPriority w:val="8"/>
    <w:rsid w:val="00952474"/>
    <w:pPr>
      <w:ind w:left="782"/>
    </w:pPr>
  </w:style>
  <w:style w:type="paragraph" w:customStyle="1" w:styleId="IASBIdentifier">
    <w:name w:val="IASB Identifier"/>
    <w:basedOn w:val="IASBTitle"/>
    <w:uiPriority w:val="8"/>
    <w:rsid w:val="00952474"/>
    <w:pPr>
      <w:spacing w:after="200"/>
    </w:pPr>
    <w:rPr>
      <w:rFonts w:ascii="Arial" w:hAnsi="Arial"/>
      <w:b/>
      <w:sz w:val="23"/>
    </w:rPr>
  </w:style>
  <w:style w:type="paragraph" w:customStyle="1" w:styleId="IASBTOCPrimary">
    <w:name w:val="IASB TOC Primary"/>
    <w:basedOn w:val="Normal"/>
    <w:uiPriority w:val="8"/>
    <w:rsid w:val="009524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52474"/>
    <w:pPr>
      <w:spacing w:before="30" w:after="30"/>
    </w:pPr>
    <w:rPr>
      <w:rFonts w:ascii="Arial" w:hAnsi="Arial" w:cs="Arial"/>
      <w:i/>
      <w:sz w:val="18"/>
      <w:szCs w:val="20"/>
    </w:rPr>
  </w:style>
  <w:style w:type="paragraph" w:customStyle="1" w:styleId="IASBTOCSecondary">
    <w:name w:val="IASB TOC Secondary"/>
    <w:basedOn w:val="Normal"/>
    <w:uiPriority w:val="8"/>
    <w:rsid w:val="009524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524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524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524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52474"/>
    <w:rPr>
      <w:i/>
    </w:rPr>
  </w:style>
  <w:style w:type="paragraph" w:customStyle="1" w:styleId="IASBBlockquote">
    <w:name w:val="IASB Blockquote"/>
    <w:basedOn w:val="IASBNormal"/>
    <w:uiPriority w:val="8"/>
    <w:rsid w:val="00952474"/>
    <w:pPr>
      <w:ind w:left="1565"/>
    </w:pPr>
    <w:rPr>
      <w:sz w:val="16"/>
    </w:rPr>
  </w:style>
  <w:style w:type="character" w:customStyle="1" w:styleId="IASBEduinsert">
    <w:name w:val="IASB Edu insert"/>
    <w:uiPriority w:val="8"/>
    <w:qFormat/>
    <w:rsid w:val="00952474"/>
  </w:style>
  <w:style w:type="character" w:styleId="FootnoteReference">
    <w:name w:val="footnote reference"/>
    <w:uiPriority w:val="99"/>
    <w:semiHidden/>
    <w:unhideWhenUsed/>
    <w:rsid w:val="00952474"/>
    <w:rPr>
      <w:vertAlign w:val="superscript"/>
    </w:rPr>
  </w:style>
  <w:style w:type="paragraph" w:styleId="FootnoteText">
    <w:name w:val="footnote text"/>
    <w:basedOn w:val="IASBSectionTitle2Ind"/>
    <w:next w:val="IASBBlockquote"/>
    <w:link w:val="FootnoteTextChar"/>
    <w:uiPriority w:val="99"/>
    <w:semiHidden/>
    <w:rsid w:val="00EA5F2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EA5F22"/>
    <w:rPr>
      <w:sz w:val="16"/>
      <w:lang w:eastAsia="en-US"/>
    </w:rPr>
  </w:style>
  <w:style w:type="paragraph" w:customStyle="1" w:styleId="IASBNormalL1">
    <w:name w:val="IASB Normal L1"/>
    <w:basedOn w:val="IASBNormalnpara"/>
    <w:uiPriority w:val="8"/>
    <w:rsid w:val="00952474"/>
  </w:style>
  <w:style w:type="paragraph" w:styleId="Header">
    <w:name w:val="header"/>
    <w:basedOn w:val="Normal"/>
    <w:link w:val="HeaderChar"/>
    <w:uiPriority w:val="99"/>
    <w:rsid w:val="00952474"/>
    <w:pPr>
      <w:tabs>
        <w:tab w:val="center" w:pos="4536"/>
        <w:tab w:val="right" w:pos="9072"/>
      </w:tabs>
    </w:pPr>
    <w:rPr>
      <w:sz w:val="20"/>
    </w:rPr>
  </w:style>
  <w:style w:type="character" w:customStyle="1" w:styleId="HeaderChar">
    <w:name w:val="Header Char"/>
    <w:link w:val="Header"/>
    <w:uiPriority w:val="99"/>
    <w:rsid w:val="00952474"/>
    <w:rPr>
      <w:szCs w:val="24"/>
      <w:lang w:eastAsia="en-US"/>
    </w:rPr>
  </w:style>
  <w:style w:type="paragraph" w:styleId="Footer">
    <w:name w:val="footer"/>
    <w:basedOn w:val="Normal"/>
    <w:link w:val="FooterChar"/>
    <w:uiPriority w:val="99"/>
    <w:rsid w:val="00952474"/>
    <w:pPr>
      <w:tabs>
        <w:tab w:val="center" w:pos="4536"/>
        <w:tab w:val="right" w:pos="9072"/>
      </w:tabs>
    </w:pPr>
  </w:style>
  <w:style w:type="character" w:customStyle="1" w:styleId="FooterChar">
    <w:name w:val="Footer Char"/>
    <w:link w:val="Footer"/>
    <w:uiPriority w:val="99"/>
    <w:rsid w:val="00952474"/>
    <w:rPr>
      <w:sz w:val="19"/>
      <w:szCs w:val="24"/>
      <w:lang w:eastAsia="en-US"/>
    </w:rPr>
  </w:style>
  <w:style w:type="paragraph" w:customStyle="1" w:styleId="IASBRubricL1">
    <w:name w:val="IASB RubricL1"/>
    <w:basedOn w:val="IASBRubric"/>
    <w:uiPriority w:val="8"/>
    <w:rsid w:val="00952474"/>
    <w:pPr>
      <w:ind w:left="782" w:hanging="782"/>
      <w:jc w:val="left"/>
    </w:pPr>
    <w:rPr>
      <w:lang w:eastAsia="en-GB"/>
    </w:rPr>
  </w:style>
  <w:style w:type="paragraph" w:customStyle="1" w:styleId="IASBRubricL2">
    <w:name w:val="IASB RubricL2"/>
    <w:basedOn w:val="IASBRubricL1"/>
    <w:uiPriority w:val="8"/>
    <w:rsid w:val="00952474"/>
    <w:pPr>
      <w:tabs>
        <w:tab w:val="left" w:pos="782"/>
      </w:tabs>
      <w:ind w:left="1565" w:hanging="1565"/>
    </w:pPr>
  </w:style>
  <w:style w:type="paragraph" w:customStyle="1" w:styleId="IASBRubricL3">
    <w:name w:val="IASB RubricL3"/>
    <w:basedOn w:val="IASBRubricL2"/>
    <w:uiPriority w:val="8"/>
    <w:rsid w:val="00952474"/>
    <w:pPr>
      <w:tabs>
        <w:tab w:val="clear" w:pos="782"/>
        <w:tab w:val="left" w:pos="1565"/>
      </w:tabs>
      <w:ind w:left="2347" w:hanging="2347"/>
    </w:pPr>
  </w:style>
  <w:style w:type="paragraph" w:customStyle="1" w:styleId="IASBNormalnparaL2">
    <w:name w:val="IASB Normal nparaL2"/>
    <w:basedOn w:val="IASBNormalnparaL1"/>
    <w:uiPriority w:val="8"/>
    <w:rsid w:val="00952474"/>
    <w:pPr>
      <w:ind w:left="2347"/>
    </w:pPr>
  </w:style>
  <w:style w:type="paragraph" w:customStyle="1" w:styleId="IASBNormalnparaL3">
    <w:name w:val="IASB Normal nparaL3"/>
    <w:basedOn w:val="IASBNormalnparaL2"/>
    <w:uiPriority w:val="8"/>
    <w:rsid w:val="00952474"/>
    <w:pPr>
      <w:ind w:left="3129"/>
    </w:pPr>
  </w:style>
  <w:style w:type="paragraph" w:customStyle="1" w:styleId="IASBNormalnparaL4">
    <w:name w:val="IASB Normal nparaL4"/>
    <w:basedOn w:val="IASBNormalnparaL3"/>
    <w:uiPriority w:val="8"/>
    <w:rsid w:val="00952474"/>
    <w:pPr>
      <w:ind w:left="3912"/>
    </w:pPr>
  </w:style>
  <w:style w:type="paragraph" w:customStyle="1" w:styleId="IASBNormalnparaL5">
    <w:name w:val="IASB Normal nparaL5"/>
    <w:basedOn w:val="IASBNormalnparaL4"/>
    <w:uiPriority w:val="8"/>
    <w:rsid w:val="00952474"/>
    <w:pPr>
      <w:ind w:left="4694"/>
    </w:pPr>
  </w:style>
  <w:style w:type="paragraph" w:customStyle="1" w:styleId="IASBNormalnparaL1P">
    <w:name w:val="IASB Normal nparaL1P"/>
    <w:basedOn w:val="IASBNormalnparaL2"/>
    <w:uiPriority w:val="8"/>
    <w:rsid w:val="00952474"/>
    <w:pPr>
      <w:ind w:left="1565" w:firstLine="0"/>
    </w:pPr>
  </w:style>
  <w:style w:type="paragraph" w:customStyle="1" w:styleId="IASBNormalnparaL2P">
    <w:name w:val="IASB Normal nparaL2P"/>
    <w:basedOn w:val="IASBNormalnparaL1P"/>
    <w:uiPriority w:val="8"/>
    <w:rsid w:val="00952474"/>
    <w:pPr>
      <w:ind w:left="2347"/>
    </w:pPr>
  </w:style>
  <w:style w:type="paragraph" w:customStyle="1" w:styleId="IASBNormalnparaL3P">
    <w:name w:val="IASB Normal nparaL3P"/>
    <w:basedOn w:val="IASBNormalnparaL2P"/>
    <w:uiPriority w:val="8"/>
    <w:rsid w:val="00952474"/>
    <w:pPr>
      <w:ind w:left="3130"/>
    </w:pPr>
  </w:style>
  <w:style w:type="paragraph" w:customStyle="1" w:styleId="IASBNormalnparaL4P">
    <w:name w:val="IASB Normal nparaL4P"/>
    <w:basedOn w:val="IASBNormalnparaL3P"/>
    <w:uiPriority w:val="8"/>
    <w:rsid w:val="00952474"/>
    <w:pPr>
      <w:ind w:left="3912"/>
    </w:pPr>
  </w:style>
  <w:style w:type="paragraph" w:customStyle="1" w:styleId="IASBNormalnparaL5P">
    <w:name w:val="IASB Normal nparaL5P"/>
    <w:basedOn w:val="IASBNormalnparaL4P"/>
    <w:uiPriority w:val="8"/>
    <w:rsid w:val="00952474"/>
    <w:pPr>
      <w:ind w:left="4751"/>
    </w:pPr>
  </w:style>
  <w:style w:type="paragraph" w:customStyle="1" w:styleId="IASBBlockquoteL1">
    <w:name w:val="IASB BlockquoteL1"/>
    <w:basedOn w:val="IASBBlockquote"/>
    <w:uiPriority w:val="8"/>
    <w:rsid w:val="00952474"/>
    <w:pPr>
      <w:ind w:left="2347" w:hanging="782"/>
    </w:pPr>
  </w:style>
  <w:style w:type="paragraph" w:customStyle="1" w:styleId="IASBBlockquoteL2">
    <w:name w:val="IASB BlockquoteL2"/>
    <w:basedOn w:val="IASBBlockquoteL1"/>
    <w:uiPriority w:val="8"/>
    <w:rsid w:val="00952474"/>
    <w:pPr>
      <w:ind w:left="3129"/>
    </w:pPr>
  </w:style>
  <w:style w:type="paragraph" w:customStyle="1" w:styleId="IASBNormalL2">
    <w:name w:val="IASB Normal L2"/>
    <w:basedOn w:val="IASBNormalL1"/>
    <w:uiPriority w:val="8"/>
    <w:rsid w:val="00952474"/>
    <w:pPr>
      <w:ind w:left="1564"/>
    </w:pPr>
  </w:style>
  <w:style w:type="paragraph" w:customStyle="1" w:styleId="IASBTOCQuartery">
    <w:name w:val="IASB TOC Quartery"/>
    <w:basedOn w:val="IASBTOCTertiary"/>
    <w:uiPriority w:val="8"/>
    <w:rsid w:val="00952474"/>
    <w:pPr>
      <w:ind w:left="851"/>
    </w:pPr>
  </w:style>
  <w:style w:type="paragraph" w:customStyle="1" w:styleId="IASBNoteTitle">
    <w:name w:val="IASB Note Title"/>
    <w:basedOn w:val="IASBTOCPrimary"/>
    <w:uiPriority w:val="8"/>
    <w:rsid w:val="00952474"/>
    <w:pPr>
      <w:jc w:val="center"/>
    </w:pPr>
    <w:rPr>
      <w:b w:val="0"/>
      <w:caps w:val="0"/>
      <w:sz w:val="24"/>
    </w:rPr>
  </w:style>
  <w:style w:type="paragraph" w:customStyle="1" w:styleId="IASBNormalL1P">
    <w:name w:val="IASB Normal L1P"/>
    <w:basedOn w:val="IASBNormalL1"/>
    <w:uiPriority w:val="8"/>
    <w:qFormat/>
    <w:rsid w:val="00952474"/>
    <w:pPr>
      <w:ind w:firstLine="0"/>
    </w:pPr>
  </w:style>
  <w:style w:type="paragraph" w:customStyle="1" w:styleId="IASBNormalL2P">
    <w:name w:val="IASB Normal L2P"/>
    <w:basedOn w:val="IASBNormalL1P"/>
    <w:uiPriority w:val="8"/>
    <w:qFormat/>
    <w:rsid w:val="00952474"/>
    <w:pPr>
      <w:ind w:left="1565"/>
    </w:pPr>
  </w:style>
  <w:style w:type="paragraph" w:customStyle="1" w:styleId="IASBNormalnparaC">
    <w:name w:val="IASB Normal nparaC"/>
    <w:basedOn w:val="IASBNormalnpara"/>
    <w:uiPriority w:val="8"/>
    <w:qFormat/>
    <w:rsid w:val="00952474"/>
    <w:pPr>
      <w:spacing w:before="0"/>
    </w:pPr>
  </w:style>
  <w:style w:type="paragraph" w:customStyle="1" w:styleId="IASBEdupara">
    <w:name w:val="IASB Edu para"/>
    <w:basedOn w:val="IASBNormal"/>
    <w:uiPriority w:val="8"/>
    <w:qFormat/>
    <w:rsid w:val="00952474"/>
  </w:style>
  <w:style w:type="paragraph" w:customStyle="1" w:styleId="IASBTableBoldTNR">
    <w:name w:val="IASB Table Bold TNR"/>
    <w:basedOn w:val="Normal"/>
    <w:uiPriority w:val="8"/>
    <w:qFormat/>
    <w:rsid w:val="00952474"/>
    <w:pPr>
      <w:spacing w:before="120"/>
    </w:pPr>
    <w:rPr>
      <w:b/>
      <w:szCs w:val="20"/>
      <w:lang w:eastAsia="en-GB"/>
    </w:rPr>
  </w:style>
  <w:style w:type="paragraph" w:customStyle="1" w:styleId="IASBTableHeaderTNR">
    <w:name w:val="IASB Table Header TNR"/>
    <w:basedOn w:val="Normal"/>
    <w:uiPriority w:val="8"/>
    <w:qFormat/>
    <w:rsid w:val="00952474"/>
    <w:pPr>
      <w:keepNext/>
      <w:spacing w:before="120" w:after="200" w:line="276" w:lineRule="auto"/>
    </w:pPr>
    <w:rPr>
      <w:szCs w:val="20"/>
      <w:lang w:eastAsia="en-GB"/>
    </w:rPr>
  </w:style>
  <w:style w:type="paragraph" w:customStyle="1" w:styleId="IASBTableTNR">
    <w:name w:val="IASB Table TNR"/>
    <w:basedOn w:val="Normal"/>
    <w:uiPriority w:val="8"/>
    <w:qFormat/>
    <w:rsid w:val="00952474"/>
    <w:pPr>
      <w:spacing w:before="120"/>
    </w:pPr>
    <w:rPr>
      <w:szCs w:val="20"/>
      <w:lang w:eastAsia="en-GB"/>
    </w:rPr>
  </w:style>
  <w:style w:type="paragraph" w:customStyle="1" w:styleId="IASBTableArial">
    <w:name w:val="IASB Table Arial"/>
    <w:basedOn w:val="Normal"/>
    <w:uiPriority w:val="8"/>
    <w:rsid w:val="009524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52474"/>
    <w:rPr>
      <w:b/>
    </w:rPr>
  </w:style>
  <w:style w:type="paragraph" w:customStyle="1" w:styleId="IASBTableHeaderArial">
    <w:name w:val="IASB Table Header Arial"/>
    <w:basedOn w:val="IASBTableArial"/>
    <w:uiPriority w:val="8"/>
    <w:qFormat/>
    <w:rsid w:val="00952474"/>
    <w:pPr>
      <w:keepNext/>
      <w:spacing w:after="200" w:line="276" w:lineRule="auto"/>
    </w:pPr>
  </w:style>
  <w:style w:type="character" w:styleId="EndnoteReference">
    <w:name w:val="endnote reference"/>
    <w:uiPriority w:val="99"/>
    <w:semiHidden/>
    <w:unhideWhenUsed/>
    <w:rsid w:val="00952474"/>
    <w:rPr>
      <w:vertAlign w:val="superscript"/>
    </w:rPr>
  </w:style>
  <w:style w:type="paragraph" w:customStyle="1" w:styleId="ConvSectionTitle">
    <w:name w:val="Conv Section Title"/>
    <w:basedOn w:val="IASBSectionTitle1NonInd"/>
    <w:uiPriority w:val="9"/>
    <w:qFormat/>
    <w:rsid w:val="00952474"/>
    <w:pPr>
      <w:pBdr>
        <w:bottom w:val="none" w:sz="0" w:space="0" w:color="auto"/>
      </w:pBdr>
    </w:pPr>
  </w:style>
  <w:style w:type="paragraph" w:customStyle="1" w:styleId="ConvStandardTitle1">
    <w:name w:val="Conv Standard Title 1"/>
    <w:basedOn w:val="Normal"/>
    <w:next w:val="ConvStandardTitle2"/>
    <w:uiPriority w:val="9"/>
    <w:qFormat/>
    <w:rsid w:val="00952474"/>
    <w:pPr>
      <w:spacing w:before="300"/>
    </w:pPr>
    <w:rPr>
      <w:rFonts w:ascii="Arial" w:hAnsi="Arial"/>
      <w:b/>
      <w:sz w:val="26"/>
    </w:rPr>
  </w:style>
  <w:style w:type="paragraph" w:customStyle="1" w:styleId="ConvStandardTitle2">
    <w:name w:val="Conv Standard Title2"/>
    <w:basedOn w:val="ConvStandardTitle1"/>
    <w:uiPriority w:val="9"/>
    <w:qFormat/>
    <w:rsid w:val="00952474"/>
    <w:pPr>
      <w:spacing w:before="0" w:after="200"/>
    </w:pPr>
    <w:rPr>
      <w:i/>
    </w:rPr>
  </w:style>
  <w:style w:type="paragraph" w:customStyle="1" w:styleId="AASBBase">
    <w:name w:val="AASB Base"/>
    <w:qFormat/>
    <w:rsid w:val="00952474"/>
    <w:pPr>
      <w:jc w:val="both"/>
    </w:pPr>
    <w:rPr>
      <w:sz w:val="19"/>
      <w:lang w:eastAsia="en-US"/>
    </w:rPr>
  </w:style>
  <w:style w:type="paragraph" w:customStyle="1" w:styleId="AASBPara">
    <w:name w:val="AASB Para"/>
    <w:basedOn w:val="AASBBase"/>
    <w:qFormat/>
    <w:rsid w:val="00952474"/>
    <w:pPr>
      <w:spacing w:after="200"/>
    </w:pPr>
  </w:style>
  <w:style w:type="paragraph" w:customStyle="1" w:styleId="AASBStandardCover">
    <w:name w:val="AASB Standard Cover"/>
    <w:semiHidden/>
    <w:qFormat/>
    <w:rsid w:val="009524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52474"/>
    <w:pPr>
      <w:jc w:val="right"/>
    </w:pPr>
    <w:rPr>
      <w:b w:val="0"/>
      <w:sz w:val="24"/>
    </w:rPr>
  </w:style>
  <w:style w:type="paragraph" w:customStyle="1" w:styleId="AASBStandardNumber">
    <w:name w:val="AASB Standard Number"/>
    <w:basedOn w:val="AASBStandardCover"/>
    <w:semiHidden/>
    <w:qFormat/>
    <w:rsid w:val="009524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52474"/>
    <w:pPr>
      <w:spacing w:before="800"/>
    </w:pPr>
    <w:rPr>
      <w:b w:val="0"/>
      <w:sz w:val="50"/>
    </w:rPr>
  </w:style>
  <w:style w:type="paragraph" w:customStyle="1" w:styleId="AASBInterpretationCover">
    <w:name w:val="AASB Interpretation Cover"/>
    <w:basedOn w:val="AASBStandardCover"/>
    <w:semiHidden/>
    <w:qFormat/>
    <w:rsid w:val="00952474"/>
    <w:rPr>
      <w:color w:val="41AD49"/>
    </w:rPr>
  </w:style>
  <w:style w:type="paragraph" w:customStyle="1" w:styleId="AASBInterpretationDate">
    <w:name w:val="AASB Interpretation Date"/>
    <w:basedOn w:val="AASBStandardDate"/>
    <w:semiHidden/>
    <w:qFormat/>
    <w:rsid w:val="00952474"/>
    <w:rPr>
      <w:color w:val="41AD49"/>
    </w:rPr>
  </w:style>
  <w:style w:type="paragraph" w:customStyle="1" w:styleId="AASBInterpretationNumber">
    <w:name w:val="AASB Interpretation Number"/>
    <w:basedOn w:val="AASBStandardNumber"/>
    <w:semiHidden/>
    <w:qFormat/>
    <w:rsid w:val="00952474"/>
    <w:rPr>
      <w:color w:val="41AD49"/>
    </w:rPr>
  </w:style>
  <w:style w:type="paragraph" w:customStyle="1" w:styleId="AASBInterpretationTitle">
    <w:name w:val="AASB Interpretation Title"/>
    <w:basedOn w:val="AASBStandardTitle"/>
    <w:semiHidden/>
    <w:qFormat/>
    <w:rsid w:val="00952474"/>
    <w:rPr>
      <w:color w:val="41AD49"/>
    </w:rPr>
  </w:style>
  <w:style w:type="table" w:styleId="TableGrid">
    <w:name w:val="Table Grid"/>
    <w:basedOn w:val="TableNormal"/>
    <w:uiPriority w:val="59"/>
    <w:rsid w:val="00952474"/>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952474"/>
    <w:pPr>
      <w:spacing w:after="60"/>
      <w:jc w:val="right"/>
    </w:pPr>
    <w:rPr>
      <w:i/>
    </w:rPr>
  </w:style>
  <w:style w:type="paragraph" w:customStyle="1" w:styleId="ContentsLevel1">
    <w:name w:val="Contents Level1"/>
    <w:basedOn w:val="AASBBase"/>
    <w:qFormat/>
    <w:rsid w:val="00952474"/>
    <w:pPr>
      <w:tabs>
        <w:tab w:val="right" w:pos="9027"/>
      </w:tabs>
      <w:spacing w:after="60"/>
      <w:ind w:right="1134"/>
    </w:pPr>
    <w:rPr>
      <w:b/>
      <w:caps/>
    </w:rPr>
  </w:style>
  <w:style w:type="paragraph" w:customStyle="1" w:styleId="ContentsLevel2">
    <w:name w:val="Contents Level2"/>
    <w:basedOn w:val="ContentsLevel1"/>
    <w:uiPriority w:val="7"/>
    <w:qFormat/>
    <w:rsid w:val="00952474"/>
    <w:rPr>
      <w:caps w:val="0"/>
    </w:rPr>
  </w:style>
  <w:style w:type="paragraph" w:customStyle="1" w:styleId="ContentsLevel3">
    <w:name w:val="Contents Level3"/>
    <w:basedOn w:val="ContentsLevel2"/>
    <w:uiPriority w:val="7"/>
    <w:qFormat/>
    <w:rsid w:val="00952474"/>
    <w:pPr>
      <w:ind w:left="510"/>
    </w:pPr>
    <w:rPr>
      <w:b w:val="0"/>
    </w:rPr>
  </w:style>
  <w:style w:type="paragraph" w:customStyle="1" w:styleId="ContentsLevel4">
    <w:name w:val="Contents Level4"/>
    <w:basedOn w:val="ContentsLevel3"/>
    <w:uiPriority w:val="7"/>
    <w:qFormat/>
    <w:rsid w:val="00952474"/>
    <w:pPr>
      <w:ind w:left="850"/>
    </w:pPr>
  </w:style>
  <w:style w:type="paragraph" w:styleId="BalloonText">
    <w:name w:val="Balloon Text"/>
    <w:basedOn w:val="Normal"/>
    <w:link w:val="BalloonTextChar"/>
    <w:uiPriority w:val="99"/>
    <w:semiHidden/>
    <w:unhideWhenUsed/>
    <w:rsid w:val="0095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74"/>
    <w:rPr>
      <w:rFonts w:ascii="Segoe UI" w:hAnsi="Segoe UI" w:cs="Segoe UI"/>
      <w:sz w:val="18"/>
      <w:szCs w:val="18"/>
      <w:lang w:eastAsia="en-US"/>
    </w:rPr>
  </w:style>
  <w:style w:type="paragraph" w:customStyle="1" w:styleId="RDRM1">
    <w:name w:val="RDRM1"/>
    <w:basedOn w:val="IASBNormalnpara"/>
    <w:uiPriority w:val="5"/>
    <w:qFormat/>
    <w:rsid w:val="00952474"/>
    <w:pPr>
      <w:shd w:val="pct15" w:color="auto" w:fill="auto"/>
    </w:pPr>
  </w:style>
  <w:style w:type="paragraph" w:customStyle="1" w:styleId="RDRM2">
    <w:name w:val="RDRM2"/>
    <w:basedOn w:val="RDRM1"/>
    <w:uiPriority w:val="5"/>
    <w:qFormat/>
    <w:rsid w:val="00952474"/>
    <w:pPr>
      <w:tabs>
        <w:tab w:val="left" w:pos="782"/>
      </w:tabs>
      <w:ind w:left="1565" w:hanging="1565"/>
    </w:pPr>
  </w:style>
  <w:style w:type="paragraph" w:customStyle="1" w:styleId="RDRM3">
    <w:name w:val="RDRM3"/>
    <w:basedOn w:val="RDRM2"/>
    <w:uiPriority w:val="5"/>
    <w:qFormat/>
    <w:rsid w:val="00952474"/>
    <w:pPr>
      <w:tabs>
        <w:tab w:val="clear" w:pos="782"/>
        <w:tab w:val="left" w:pos="1565"/>
      </w:tabs>
      <w:ind w:left="2347" w:hanging="2347"/>
    </w:pPr>
  </w:style>
  <w:style w:type="paragraph" w:customStyle="1" w:styleId="RDRM4">
    <w:name w:val="RDRM4"/>
    <w:basedOn w:val="RDRM3"/>
    <w:uiPriority w:val="5"/>
    <w:qFormat/>
    <w:rsid w:val="00952474"/>
    <w:pPr>
      <w:tabs>
        <w:tab w:val="clear" w:pos="1565"/>
        <w:tab w:val="left" w:pos="2347"/>
      </w:tabs>
      <w:ind w:left="3130" w:hanging="3130"/>
    </w:pPr>
  </w:style>
  <w:style w:type="paragraph" w:customStyle="1" w:styleId="AusPlain">
    <w:name w:val="Aus Plain"/>
    <w:basedOn w:val="IASBNormalnpara"/>
    <w:uiPriority w:val="1"/>
    <w:qFormat/>
    <w:rsid w:val="00952474"/>
    <w:pPr>
      <w:ind w:left="1565" w:hanging="1565"/>
    </w:pPr>
  </w:style>
  <w:style w:type="paragraph" w:customStyle="1" w:styleId="AusBold">
    <w:name w:val="Aus Bold"/>
    <w:basedOn w:val="AusPlain"/>
    <w:uiPriority w:val="2"/>
    <w:qFormat/>
    <w:rsid w:val="00952474"/>
    <w:rPr>
      <w:b/>
    </w:rPr>
  </w:style>
  <w:style w:type="paragraph" w:customStyle="1" w:styleId="AusPlainRDR">
    <w:name w:val="Aus Plain RDR"/>
    <w:basedOn w:val="AusPlain"/>
    <w:uiPriority w:val="3"/>
    <w:qFormat/>
    <w:rsid w:val="00952474"/>
    <w:pPr>
      <w:shd w:val="pct15" w:color="auto" w:fill="auto"/>
    </w:pPr>
  </w:style>
  <w:style w:type="paragraph" w:customStyle="1" w:styleId="AusBoldRDR">
    <w:name w:val="Aus Bold RDR"/>
    <w:basedOn w:val="AusBold"/>
    <w:uiPriority w:val="4"/>
    <w:qFormat/>
    <w:rsid w:val="00952474"/>
    <w:pPr>
      <w:shd w:val="pct15" w:color="auto" w:fill="auto"/>
    </w:pPr>
  </w:style>
  <w:style w:type="paragraph" w:customStyle="1" w:styleId="RDR11">
    <w:name w:val="RDR11"/>
    <w:basedOn w:val="IASBNormalnparaL1"/>
    <w:uiPriority w:val="6"/>
    <w:qFormat/>
    <w:rsid w:val="00952474"/>
    <w:pPr>
      <w:shd w:val="pct15" w:color="auto" w:fill="auto"/>
    </w:pPr>
  </w:style>
  <w:style w:type="paragraph" w:customStyle="1" w:styleId="RDR12">
    <w:name w:val="RDR12"/>
    <w:basedOn w:val="RDR11"/>
    <w:uiPriority w:val="6"/>
    <w:qFormat/>
    <w:rsid w:val="00952474"/>
    <w:pPr>
      <w:tabs>
        <w:tab w:val="left" w:pos="1565"/>
      </w:tabs>
      <w:ind w:left="2347" w:hanging="1565"/>
    </w:pPr>
  </w:style>
  <w:style w:type="paragraph" w:customStyle="1" w:styleId="RDR13">
    <w:name w:val="RDR13"/>
    <w:basedOn w:val="RDR12"/>
    <w:uiPriority w:val="6"/>
    <w:qFormat/>
    <w:rsid w:val="00952474"/>
    <w:pPr>
      <w:tabs>
        <w:tab w:val="clear" w:pos="1565"/>
        <w:tab w:val="left" w:pos="2347"/>
      </w:tabs>
      <w:ind w:left="3129" w:hanging="2347"/>
    </w:pPr>
  </w:style>
  <w:style w:type="paragraph" w:customStyle="1" w:styleId="RDR21">
    <w:name w:val="RDR21"/>
    <w:basedOn w:val="IASBNormalnparaL2"/>
    <w:uiPriority w:val="6"/>
    <w:qFormat/>
    <w:rsid w:val="00952474"/>
    <w:pPr>
      <w:shd w:val="pct15" w:color="auto" w:fill="auto"/>
    </w:pPr>
  </w:style>
  <w:style w:type="paragraph" w:customStyle="1" w:styleId="RDR22">
    <w:name w:val="RDR22"/>
    <w:basedOn w:val="RDR21"/>
    <w:uiPriority w:val="6"/>
    <w:qFormat/>
    <w:rsid w:val="00952474"/>
    <w:pPr>
      <w:tabs>
        <w:tab w:val="left" w:pos="2347"/>
      </w:tabs>
      <w:ind w:left="3130" w:hanging="1565"/>
    </w:pPr>
  </w:style>
  <w:style w:type="table" w:styleId="TableGrid1">
    <w:name w:val="Table Grid 1"/>
    <w:basedOn w:val="TableNormal"/>
    <w:uiPriority w:val="99"/>
    <w:semiHidden/>
    <w:unhideWhenUsed/>
    <w:rsid w:val="00952474"/>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76EA4"/>
    <w:rPr>
      <w:sz w:val="16"/>
      <w:szCs w:val="16"/>
    </w:rPr>
  </w:style>
  <w:style w:type="paragraph" w:styleId="CommentText">
    <w:name w:val="annotation text"/>
    <w:basedOn w:val="Normal"/>
    <w:link w:val="CommentTextChar"/>
    <w:uiPriority w:val="99"/>
    <w:semiHidden/>
    <w:unhideWhenUsed/>
    <w:rsid w:val="00376EA4"/>
    <w:rPr>
      <w:sz w:val="20"/>
      <w:szCs w:val="20"/>
    </w:rPr>
  </w:style>
  <w:style w:type="character" w:customStyle="1" w:styleId="CommentTextChar">
    <w:name w:val="Comment Text Char"/>
    <w:basedOn w:val="DefaultParagraphFont"/>
    <w:link w:val="CommentText"/>
    <w:uiPriority w:val="99"/>
    <w:semiHidden/>
    <w:rsid w:val="00376EA4"/>
    <w:rPr>
      <w:lang w:eastAsia="en-US"/>
    </w:rPr>
  </w:style>
  <w:style w:type="paragraph" w:styleId="CommentSubject">
    <w:name w:val="annotation subject"/>
    <w:basedOn w:val="CommentText"/>
    <w:next w:val="CommentText"/>
    <w:link w:val="CommentSubjectChar"/>
    <w:uiPriority w:val="99"/>
    <w:semiHidden/>
    <w:unhideWhenUsed/>
    <w:rsid w:val="00376EA4"/>
    <w:rPr>
      <w:b/>
      <w:bCs/>
    </w:rPr>
  </w:style>
  <w:style w:type="character" w:customStyle="1" w:styleId="CommentSubjectChar">
    <w:name w:val="Comment Subject Char"/>
    <w:basedOn w:val="CommentTextChar"/>
    <w:link w:val="CommentSubject"/>
    <w:uiPriority w:val="99"/>
    <w:semiHidden/>
    <w:rsid w:val="00376EA4"/>
    <w:rPr>
      <w:b/>
      <w:bCs/>
      <w:lang w:eastAsia="en-US"/>
    </w:rPr>
  </w:style>
  <w:style w:type="paragraph" w:customStyle="1" w:styleId="NumPlain1">
    <w:name w:val="Num Plain1"/>
    <w:basedOn w:val="Normal"/>
    <w:link w:val="NumPlain1Char"/>
    <w:qFormat/>
    <w:rsid w:val="00E83B88"/>
    <w:pPr>
      <w:numPr>
        <w:numId w:val="1"/>
      </w:numPr>
      <w:spacing w:after="200" w:line="200" w:lineRule="exact"/>
    </w:pPr>
    <w:rPr>
      <w:sz w:val="20"/>
      <w:szCs w:val="20"/>
    </w:rPr>
  </w:style>
  <w:style w:type="paragraph" w:customStyle="1" w:styleId="NumPlain2">
    <w:name w:val="Num Plain2"/>
    <w:basedOn w:val="NumPlain1"/>
    <w:rsid w:val="00E83B88"/>
    <w:pPr>
      <w:numPr>
        <w:ilvl w:val="1"/>
      </w:numPr>
    </w:pPr>
  </w:style>
  <w:style w:type="paragraph" w:customStyle="1" w:styleId="NumPlain3">
    <w:name w:val="Num Plain3"/>
    <w:basedOn w:val="NumPlain2"/>
    <w:rsid w:val="00E83B88"/>
    <w:pPr>
      <w:numPr>
        <w:ilvl w:val="2"/>
      </w:numPr>
    </w:pPr>
  </w:style>
  <w:style w:type="paragraph" w:customStyle="1" w:styleId="NumPlain4">
    <w:name w:val="Num Plain4"/>
    <w:basedOn w:val="NumPlain3"/>
    <w:rsid w:val="00E83B88"/>
    <w:pPr>
      <w:numPr>
        <w:ilvl w:val="3"/>
      </w:numPr>
    </w:pPr>
  </w:style>
  <w:style w:type="character" w:customStyle="1" w:styleId="NumPlain1Char">
    <w:name w:val="Num Plain1 Char"/>
    <w:basedOn w:val="DefaultParagraphFont"/>
    <w:link w:val="NumPlain1"/>
    <w:rsid w:val="00E83B88"/>
    <w:rPr>
      <w:lang w:eastAsia="en-US"/>
    </w:rPr>
  </w:style>
  <w:style w:type="paragraph" w:customStyle="1" w:styleId="CoverTitle">
    <w:name w:val="Cover Title"/>
    <w:basedOn w:val="Normal"/>
    <w:rsid w:val="00282AEE"/>
    <w:pPr>
      <w:spacing w:before="800" w:after="500" w:line="500" w:lineRule="exact"/>
    </w:pPr>
    <w:rPr>
      <w:b/>
      <w:sz w:val="50"/>
      <w:szCs w:val="20"/>
    </w:rPr>
  </w:style>
  <w:style w:type="paragraph" w:customStyle="1" w:styleId="CoverStandard">
    <w:name w:val="Cover Standard"/>
    <w:basedOn w:val="Normal"/>
    <w:next w:val="Normal"/>
    <w:rsid w:val="00282AEE"/>
    <w:pPr>
      <w:spacing w:line="280" w:lineRule="exact"/>
    </w:pPr>
    <w:rPr>
      <w:b/>
      <w:sz w:val="28"/>
      <w:szCs w:val="20"/>
    </w:rPr>
  </w:style>
  <w:style w:type="paragraph" w:customStyle="1" w:styleId="CoverNumber">
    <w:name w:val="Cover Number"/>
    <w:basedOn w:val="Normal"/>
    <w:next w:val="Normal"/>
    <w:rsid w:val="00282AEE"/>
    <w:pPr>
      <w:spacing w:line="320" w:lineRule="exact"/>
      <w:jc w:val="right"/>
    </w:pPr>
    <w:rPr>
      <w:b/>
      <w:caps/>
      <w:sz w:val="32"/>
      <w:szCs w:val="20"/>
    </w:rPr>
  </w:style>
  <w:style w:type="paragraph" w:customStyle="1" w:styleId="CoverDate">
    <w:name w:val="Cover Date"/>
    <w:basedOn w:val="Normal"/>
    <w:next w:val="Normal"/>
    <w:rsid w:val="00282AEE"/>
    <w:pPr>
      <w:spacing w:line="240" w:lineRule="exact"/>
      <w:jc w:val="right"/>
    </w:pPr>
    <w:rPr>
      <w:sz w:val="24"/>
      <w:szCs w:val="20"/>
    </w:rPr>
  </w:style>
  <w:style w:type="paragraph" w:styleId="ListParagraph">
    <w:name w:val="List Paragraph"/>
    <w:basedOn w:val="Normal"/>
    <w:uiPriority w:val="34"/>
    <w:qFormat/>
    <w:rsid w:val="00541686"/>
    <w:pPr>
      <w:ind w:left="720"/>
      <w:contextualSpacing/>
    </w:pPr>
  </w:style>
  <w:style w:type="paragraph" w:customStyle="1" w:styleId="NumBold1">
    <w:name w:val="Num Bold1"/>
    <w:basedOn w:val="NumPlain1"/>
    <w:qFormat/>
    <w:rsid w:val="003A4F08"/>
    <w:rPr>
      <w:b/>
    </w:rPr>
  </w:style>
  <w:style w:type="paragraph" w:customStyle="1" w:styleId="NumBold2">
    <w:name w:val="Num Bold2"/>
    <w:basedOn w:val="NumPlain2"/>
    <w:rsid w:val="00EE1924"/>
    <w:rPr>
      <w:b/>
    </w:rPr>
  </w:style>
  <w:style w:type="paragraph" w:customStyle="1" w:styleId="CoverSubtitle">
    <w:name w:val="Cover Subtitle"/>
    <w:basedOn w:val="CoverTitle"/>
    <w:rsid w:val="00A15C34"/>
    <w:pPr>
      <w:spacing w:before="0" w:after="0"/>
    </w:pPr>
    <w:rPr>
      <w:sz w:val="40"/>
      <w:szCs w:val="40"/>
    </w:rPr>
  </w:style>
  <w:style w:type="character" w:customStyle="1" w:styleId="Heading2Char">
    <w:name w:val="Heading 2 Char"/>
    <w:basedOn w:val="DefaultParagraphFont"/>
    <w:link w:val="Heading2"/>
    <w:rsid w:val="007B5B0D"/>
    <w:rPr>
      <w:rFonts w:cs="Arial"/>
      <w:b/>
      <w:iCs/>
      <w:sz w:val="28"/>
      <w:szCs w:val="28"/>
      <w:lang w:eastAsia="en-US"/>
    </w:rPr>
  </w:style>
  <w:style w:type="character" w:customStyle="1" w:styleId="Heading3Char">
    <w:name w:val="Heading 3 Char"/>
    <w:basedOn w:val="DefaultParagraphFont"/>
    <w:link w:val="Heading3"/>
    <w:rsid w:val="007B5B0D"/>
    <w:rPr>
      <w:rFonts w:cs="Arial"/>
      <w:b/>
      <w:bCs/>
      <w:iCs/>
      <w:sz w:val="24"/>
      <w:szCs w:val="26"/>
      <w:lang w:eastAsia="en-US"/>
    </w:rPr>
  </w:style>
  <w:style w:type="paragraph" w:customStyle="1" w:styleId="NoNumPlain1">
    <w:name w:val="NoNum Plain1"/>
    <w:basedOn w:val="Normal"/>
    <w:qFormat/>
    <w:rsid w:val="007B5B0D"/>
    <w:pPr>
      <w:spacing w:after="200" w:line="200" w:lineRule="exact"/>
    </w:pPr>
    <w:rPr>
      <w:sz w:val="20"/>
      <w:szCs w:val="20"/>
    </w:rPr>
  </w:style>
  <w:style w:type="character" w:customStyle="1" w:styleId="Heading1Char">
    <w:name w:val="Heading 1 Char"/>
    <w:basedOn w:val="DefaultParagraphFont"/>
    <w:link w:val="Heading1"/>
    <w:uiPriority w:val="9"/>
    <w:rsid w:val="007B5B0D"/>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EA5F22"/>
    <w:rPr>
      <w:sz w:val="19"/>
      <w:szCs w:val="24"/>
      <w:lang w:eastAsia="en-US"/>
    </w:rPr>
  </w:style>
  <w:style w:type="paragraph" w:styleId="Heading1">
    <w:name w:val="heading 1"/>
    <w:basedOn w:val="Normal"/>
    <w:next w:val="Normal"/>
    <w:link w:val="Heading1Char"/>
    <w:uiPriority w:val="9"/>
    <w:qFormat/>
    <w:rsid w:val="007B5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7B5B0D"/>
    <w:pPr>
      <w:keepLines w:val="0"/>
      <w:spacing w:before="0" w:after="200" w:line="280" w:lineRule="exact"/>
      <w:outlineLvl w:val="1"/>
    </w:pPr>
    <w:rPr>
      <w:rFonts w:ascii="Times New Roman" w:eastAsia="Times New Roman" w:hAnsi="Times New Roman" w:cs="Arial"/>
      <w:bCs w:val="0"/>
      <w:iCs/>
      <w:color w:val="auto"/>
    </w:rPr>
  </w:style>
  <w:style w:type="paragraph" w:styleId="Heading3">
    <w:name w:val="heading 3"/>
    <w:basedOn w:val="Heading2"/>
    <w:next w:val="Normal"/>
    <w:link w:val="Heading3Char"/>
    <w:qFormat/>
    <w:rsid w:val="007B5B0D"/>
    <w:pPr>
      <w:spacing w:line="240" w:lineRule="exact"/>
      <w:outlineLvl w:val="2"/>
    </w:pPr>
    <w:rPr>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95247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952474"/>
    <w:pPr>
      <w:tabs>
        <w:tab w:val="clear" w:pos="4253"/>
      </w:tabs>
      <w:spacing w:after="0"/>
      <w:ind w:left="782" w:hanging="782"/>
    </w:pPr>
  </w:style>
  <w:style w:type="paragraph" w:customStyle="1" w:styleId="IASBSectionTitle1Ind">
    <w:name w:val="IASB Section Title 1 Ind"/>
    <w:basedOn w:val="Normal"/>
    <w:uiPriority w:val="8"/>
    <w:rsid w:val="0095247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95247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95247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952474"/>
    <w:pPr>
      <w:spacing w:before="240"/>
      <w:ind w:left="782"/>
    </w:pPr>
  </w:style>
  <w:style w:type="paragraph" w:customStyle="1" w:styleId="IASBSectionTitle3NonInd">
    <w:name w:val="IASB Section Title 3 NonInd"/>
    <w:basedOn w:val="Normal"/>
    <w:uiPriority w:val="8"/>
    <w:rsid w:val="0095247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952474"/>
    <w:pPr>
      <w:spacing w:before="240"/>
      <w:ind w:left="782"/>
    </w:pPr>
  </w:style>
  <w:style w:type="paragraph" w:customStyle="1" w:styleId="IASBSectionTitle4NonInd">
    <w:name w:val="IASB Section Title 4 NonInd"/>
    <w:basedOn w:val="Normal"/>
    <w:uiPriority w:val="8"/>
    <w:rsid w:val="0095247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952474"/>
    <w:pPr>
      <w:ind w:left="782"/>
    </w:pPr>
  </w:style>
  <w:style w:type="paragraph" w:customStyle="1" w:styleId="IASBSectionTitle5NonInd">
    <w:name w:val="IASB Section Title 5 NonInd"/>
    <w:basedOn w:val="Normal"/>
    <w:uiPriority w:val="8"/>
    <w:rsid w:val="0095247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952474"/>
    <w:pPr>
      <w:ind w:left="782"/>
    </w:pPr>
  </w:style>
  <w:style w:type="paragraph" w:customStyle="1" w:styleId="IASBSectionTitle6NonInd">
    <w:name w:val="IASB Section Title 6 NonInd"/>
    <w:basedOn w:val="IASBSectionTitle5NonInd"/>
    <w:uiPriority w:val="8"/>
    <w:rsid w:val="00952474"/>
    <w:pPr>
      <w:outlineLvl w:val="5"/>
    </w:pPr>
    <w:rPr>
      <w:b w:val="0"/>
      <w:i/>
    </w:rPr>
  </w:style>
  <w:style w:type="paragraph" w:customStyle="1" w:styleId="IASBSectionTitle6Ind">
    <w:name w:val="IASB Section Title 6 Ind"/>
    <w:basedOn w:val="IASBSectionTitle6NonInd"/>
    <w:uiPriority w:val="8"/>
    <w:rsid w:val="00952474"/>
    <w:pPr>
      <w:ind w:left="782"/>
    </w:pPr>
  </w:style>
  <w:style w:type="paragraph" w:customStyle="1" w:styleId="IASBTitle">
    <w:name w:val="IASB Title"/>
    <w:uiPriority w:val="8"/>
    <w:rsid w:val="00952474"/>
    <w:pPr>
      <w:keepNext/>
      <w:keepLines/>
      <w:spacing w:before="300" w:after="400"/>
    </w:pPr>
    <w:rPr>
      <w:rFonts w:cs="Arial"/>
      <w:sz w:val="36"/>
      <w:lang w:eastAsia="en-US"/>
    </w:rPr>
  </w:style>
  <w:style w:type="paragraph" w:customStyle="1" w:styleId="IASBNormalnparaL1">
    <w:name w:val="IASB Normal nparaL1"/>
    <w:basedOn w:val="IASBNormalnpara"/>
    <w:uiPriority w:val="8"/>
    <w:rsid w:val="00952474"/>
    <w:pPr>
      <w:ind w:left="1564"/>
    </w:pPr>
  </w:style>
  <w:style w:type="paragraph" w:customStyle="1" w:styleId="IASBNormalnparaP">
    <w:name w:val="IASB Normal nparaP"/>
    <w:basedOn w:val="IASBNormal"/>
    <w:uiPriority w:val="8"/>
    <w:rsid w:val="00952474"/>
    <w:pPr>
      <w:ind w:left="782"/>
    </w:pPr>
  </w:style>
  <w:style w:type="paragraph" w:customStyle="1" w:styleId="IASBIdentifier">
    <w:name w:val="IASB Identifier"/>
    <w:basedOn w:val="IASBTitle"/>
    <w:uiPriority w:val="8"/>
    <w:rsid w:val="00952474"/>
    <w:pPr>
      <w:spacing w:after="200"/>
    </w:pPr>
    <w:rPr>
      <w:rFonts w:ascii="Arial" w:hAnsi="Arial"/>
      <w:b/>
      <w:sz w:val="23"/>
    </w:rPr>
  </w:style>
  <w:style w:type="paragraph" w:customStyle="1" w:styleId="IASBTOCPrimary">
    <w:name w:val="IASB TOC Primary"/>
    <w:basedOn w:val="Normal"/>
    <w:uiPriority w:val="8"/>
    <w:rsid w:val="0095247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952474"/>
    <w:pPr>
      <w:spacing w:before="30" w:after="30"/>
    </w:pPr>
    <w:rPr>
      <w:rFonts w:ascii="Arial" w:hAnsi="Arial" w:cs="Arial"/>
      <w:i/>
      <w:sz w:val="18"/>
      <w:szCs w:val="20"/>
    </w:rPr>
  </w:style>
  <w:style w:type="paragraph" w:customStyle="1" w:styleId="IASBTOCSecondary">
    <w:name w:val="IASB TOC Secondary"/>
    <w:basedOn w:val="Normal"/>
    <w:uiPriority w:val="8"/>
    <w:rsid w:val="0095247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95247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95247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95247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952474"/>
    <w:rPr>
      <w:i/>
    </w:rPr>
  </w:style>
  <w:style w:type="paragraph" w:customStyle="1" w:styleId="IASBBlockquote">
    <w:name w:val="IASB Blockquote"/>
    <w:basedOn w:val="IASBNormal"/>
    <w:uiPriority w:val="8"/>
    <w:rsid w:val="00952474"/>
    <w:pPr>
      <w:ind w:left="1565"/>
    </w:pPr>
    <w:rPr>
      <w:sz w:val="16"/>
    </w:rPr>
  </w:style>
  <w:style w:type="character" w:customStyle="1" w:styleId="IASBEduinsert">
    <w:name w:val="IASB Edu insert"/>
    <w:uiPriority w:val="8"/>
    <w:qFormat/>
    <w:rsid w:val="00952474"/>
  </w:style>
  <w:style w:type="character" w:styleId="FootnoteReference">
    <w:name w:val="footnote reference"/>
    <w:uiPriority w:val="99"/>
    <w:semiHidden/>
    <w:unhideWhenUsed/>
    <w:rsid w:val="00952474"/>
    <w:rPr>
      <w:vertAlign w:val="superscript"/>
    </w:rPr>
  </w:style>
  <w:style w:type="paragraph" w:styleId="FootnoteText">
    <w:name w:val="footnote text"/>
    <w:basedOn w:val="IASBSectionTitle2Ind"/>
    <w:next w:val="IASBBlockquote"/>
    <w:link w:val="FootnoteTextChar"/>
    <w:uiPriority w:val="99"/>
    <w:semiHidden/>
    <w:rsid w:val="00EA5F2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EA5F22"/>
    <w:rPr>
      <w:sz w:val="16"/>
      <w:lang w:eastAsia="en-US"/>
    </w:rPr>
  </w:style>
  <w:style w:type="paragraph" w:customStyle="1" w:styleId="IASBNormalL1">
    <w:name w:val="IASB Normal L1"/>
    <w:basedOn w:val="IASBNormalnpara"/>
    <w:uiPriority w:val="8"/>
    <w:rsid w:val="00952474"/>
  </w:style>
  <w:style w:type="paragraph" w:styleId="Header">
    <w:name w:val="header"/>
    <w:basedOn w:val="Normal"/>
    <w:link w:val="HeaderChar"/>
    <w:uiPriority w:val="99"/>
    <w:rsid w:val="00952474"/>
    <w:pPr>
      <w:tabs>
        <w:tab w:val="center" w:pos="4536"/>
        <w:tab w:val="right" w:pos="9072"/>
      </w:tabs>
    </w:pPr>
    <w:rPr>
      <w:sz w:val="20"/>
    </w:rPr>
  </w:style>
  <w:style w:type="character" w:customStyle="1" w:styleId="HeaderChar">
    <w:name w:val="Header Char"/>
    <w:link w:val="Header"/>
    <w:uiPriority w:val="99"/>
    <w:rsid w:val="00952474"/>
    <w:rPr>
      <w:szCs w:val="24"/>
      <w:lang w:eastAsia="en-US"/>
    </w:rPr>
  </w:style>
  <w:style w:type="paragraph" w:styleId="Footer">
    <w:name w:val="footer"/>
    <w:basedOn w:val="Normal"/>
    <w:link w:val="FooterChar"/>
    <w:uiPriority w:val="99"/>
    <w:rsid w:val="00952474"/>
    <w:pPr>
      <w:tabs>
        <w:tab w:val="center" w:pos="4536"/>
        <w:tab w:val="right" w:pos="9072"/>
      </w:tabs>
    </w:pPr>
  </w:style>
  <w:style w:type="character" w:customStyle="1" w:styleId="FooterChar">
    <w:name w:val="Footer Char"/>
    <w:link w:val="Footer"/>
    <w:uiPriority w:val="99"/>
    <w:rsid w:val="00952474"/>
    <w:rPr>
      <w:sz w:val="19"/>
      <w:szCs w:val="24"/>
      <w:lang w:eastAsia="en-US"/>
    </w:rPr>
  </w:style>
  <w:style w:type="paragraph" w:customStyle="1" w:styleId="IASBRubricL1">
    <w:name w:val="IASB RubricL1"/>
    <w:basedOn w:val="IASBRubric"/>
    <w:uiPriority w:val="8"/>
    <w:rsid w:val="00952474"/>
    <w:pPr>
      <w:ind w:left="782" w:hanging="782"/>
      <w:jc w:val="left"/>
    </w:pPr>
    <w:rPr>
      <w:lang w:eastAsia="en-GB"/>
    </w:rPr>
  </w:style>
  <w:style w:type="paragraph" w:customStyle="1" w:styleId="IASBRubricL2">
    <w:name w:val="IASB RubricL2"/>
    <w:basedOn w:val="IASBRubricL1"/>
    <w:uiPriority w:val="8"/>
    <w:rsid w:val="00952474"/>
    <w:pPr>
      <w:tabs>
        <w:tab w:val="left" w:pos="782"/>
      </w:tabs>
      <w:ind w:left="1565" w:hanging="1565"/>
    </w:pPr>
  </w:style>
  <w:style w:type="paragraph" w:customStyle="1" w:styleId="IASBRubricL3">
    <w:name w:val="IASB RubricL3"/>
    <w:basedOn w:val="IASBRubricL2"/>
    <w:uiPriority w:val="8"/>
    <w:rsid w:val="00952474"/>
    <w:pPr>
      <w:tabs>
        <w:tab w:val="clear" w:pos="782"/>
        <w:tab w:val="left" w:pos="1565"/>
      </w:tabs>
      <w:ind w:left="2347" w:hanging="2347"/>
    </w:pPr>
  </w:style>
  <w:style w:type="paragraph" w:customStyle="1" w:styleId="IASBNormalnparaL2">
    <w:name w:val="IASB Normal nparaL2"/>
    <w:basedOn w:val="IASBNormalnparaL1"/>
    <w:uiPriority w:val="8"/>
    <w:rsid w:val="00952474"/>
    <w:pPr>
      <w:ind w:left="2347"/>
    </w:pPr>
  </w:style>
  <w:style w:type="paragraph" w:customStyle="1" w:styleId="IASBNormalnparaL3">
    <w:name w:val="IASB Normal nparaL3"/>
    <w:basedOn w:val="IASBNormalnparaL2"/>
    <w:uiPriority w:val="8"/>
    <w:rsid w:val="00952474"/>
    <w:pPr>
      <w:ind w:left="3129"/>
    </w:pPr>
  </w:style>
  <w:style w:type="paragraph" w:customStyle="1" w:styleId="IASBNormalnparaL4">
    <w:name w:val="IASB Normal nparaL4"/>
    <w:basedOn w:val="IASBNormalnparaL3"/>
    <w:uiPriority w:val="8"/>
    <w:rsid w:val="00952474"/>
    <w:pPr>
      <w:ind w:left="3912"/>
    </w:pPr>
  </w:style>
  <w:style w:type="paragraph" w:customStyle="1" w:styleId="IASBNormalnparaL5">
    <w:name w:val="IASB Normal nparaL5"/>
    <w:basedOn w:val="IASBNormalnparaL4"/>
    <w:uiPriority w:val="8"/>
    <w:rsid w:val="00952474"/>
    <w:pPr>
      <w:ind w:left="4694"/>
    </w:pPr>
  </w:style>
  <w:style w:type="paragraph" w:customStyle="1" w:styleId="IASBNormalnparaL1P">
    <w:name w:val="IASB Normal nparaL1P"/>
    <w:basedOn w:val="IASBNormalnparaL2"/>
    <w:uiPriority w:val="8"/>
    <w:rsid w:val="00952474"/>
    <w:pPr>
      <w:ind w:left="1565" w:firstLine="0"/>
    </w:pPr>
  </w:style>
  <w:style w:type="paragraph" w:customStyle="1" w:styleId="IASBNormalnparaL2P">
    <w:name w:val="IASB Normal nparaL2P"/>
    <w:basedOn w:val="IASBNormalnparaL1P"/>
    <w:uiPriority w:val="8"/>
    <w:rsid w:val="00952474"/>
    <w:pPr>
      <w:ind w:left="2347"/>
    </w:pPr>
  </w:style>
  <w:style w:type="paragraph" w:customStyle="1" w:styleId="IASBNormalnparaL3P">
    <w:name w:val="IASB Normal nparaL3P"/>
    <w:basedOn w:val="IASBNormalnparaL2P"/>
    <w:uiPriority w:val="8"/>
    <w:rsid w:val="00952474"/>
    <w:pPr>
      <w:ind w:left="3130"/>
    </w:pPr>
  </w:style>
  <w:style w:type="paragraph" w:customStyle="1" w:styleId="IASBNormalnparaL4P">
    <w:name w:val="IASB Normal nparaL4P"/>
    <w:basedOn w:val="IASBNormalnparaL3P"/>
    <w:uiPriority w:val="8"/>
    <w:rsid w:val="00952474"/>
    <w:pPr>
      <w:ind w:left="3912"/>
    </w:pPr>
  </w:style>
  <w:style w:type="paragraph" w:customStyle="1" w:styleId="IASBNormalnparaL5P">
    <w:name w:val="IASB Normal nparaL5P"/>
    <w:basedOn w:val="IASBNormalnparaL4P"/>
    <w:uiPriority w:val="8"/>
    <w:rsid w:val="00952474"/>
    <w:pPr>
      <w:ind w:left="4751"/>
    </w:pPr>
  </w:style>
  <w:style w:type="paragraph" w:customStyle="1" w:styleId="IASBBlockquoteL1">
    <w:name w:val="IASB BlockquoteL1"/>
    <w:basedOn w:val="IASBBlockquote"/>
    <w:uiPriority w:val="8"/>
    <w:rsid w:val="00952474"/>
    <w:pPr>
      <w:ind w:left="2347" w:hanging="782"/>
    </w:pPr>
  </w:style>
  <w:style w:type="paragraph" w:customStyle="1" w:styleId="IASBBlockquoteL2">
    <w:name w:val="IASB BlockquoteL2"/>
    <w:basedOn w:val="IASBBlockquoteL1"/>
    <w:uiPriority w:val="8"/>
    <w:rsid w:val="00952474"/>
    <w:pPr>
      <w:ind w:left="3129"/>
    </w:pPr>
  </w:style>
  <w:style w:type="paragraph" w:customStyle="1" w:styleId="IASBNormalL2">
    <w:name w:val="IASB Normal L2"/>
    <w:basedOn w:val="IASBNormalL1"/>
    <w:uiPriority w:val="8"/>
    <w:rsid w:val="00952474"/>
    <w:pPr>
      <w:ind w:left="1564"/>
    </w:pPr>
  </w:style>
  <w:style w:type="paragraph" w:customStyle="1" w:styleId="IASBTOCQuartery">
    <w:name w:val="IASB TOC Quartery"/>
    <w:basedOn w:val="IASBTOCTertiary"/>
    <w:uiPriority w:val="8"/>
    <w:rsid w:val="00952474"/>
    <w:pPr>
      <w:ind w:left="851"/>
    </w:pPr>
  </w:style>
  <w:style w:type="paragraph" w:customStyle="1" w:styleId="IASBNoteTitle">
    <w:name w:val="IASB Note Title"/>
    <w:basedOn w:val="IASBTOCPrimary"/>
    <w:uiPriority w:val="8"/>
    <w:rsid w:val="00952474"/>
    <w:pPr>
      <w:jc w:val="center"/>
    </w:pPr>
    <w:rPr>
      <w:b w:val="0"/>
      <w:caps w:val="0"/>
      <w:sz w:val="24"/>
    </w:rPr>
  </w:style>
  <w:style w:type="paragraph" w:customStyle="1" w:styleId="IASBNormalL1P">
    <w:name w:val="IASB Normal L1P"/>
    <w:basedOn w:val="IASBNormalL1"/>
    <w:uiPriority w:val="8"/>
    <w:qFormat/>
    <w:rsid w:val="00952474"/>
    <w:pPr>
      <w:ind w:firstLine="0"/>
    </w:pPr>
  </w:style>
  <w:style w:type="paragraph" w:customStyle="1" w:styleId="IASBNormalL2P">
    <w:name w:val="IASB Normal L2P"/>
    <w:basedOn w:val="IASBNormalL1P"/>
    <w:uiPriority w:val="8"/>
    <w:qFormat/>
    <w:rsid w:val="00952474"/>
    <w:pPr>
      <w:ind w:left="1565"/>
    </w:pPr>
  </w:style>
  <w:style w:type="paragraph" w:customStyle="1" w:styleId="IASBNormalnparaC">
    <w:name w:val="IASB Normal nparaC"/>
    <w:basedOn w:val="IASBNormalnpara"/>
    <w:uiPriority w:val="8"/>
    <w:qFormat/>
    <w:rsid w:val="00952474"/>
    <w:pPr>
      <w:spacing w:before="0"/>
    </w:pPr>
  </w:style>
  <w:style w:type="paragraph" w:customStyle="1" w:styleId="IASBEdupara">
    <w:name w:val="IASB Edu para"/>
    <w:basedOn w:val="IASBNormal"/>
    <w:uiPriority w:val="8"/>
    <w:qFormat/>
    <w:rsid w:val="00952474"/>
  </w:style>
  <w:style w:type="paragraph" w:customStyle="1" w:styleId="IASBTableBoldTNR">
    <w:name w:val="IASB Table Bold TNR"/>
    <w:basedOn w:val="Normal"/>
    <w:uiPriority w:val="8"/>
    <w:qFormat/>
    <w:rsid w:val="00952474"/>
    <w:pPr>
      <w:spacing w:before="120"/>
    </w:pPr>
    <w:rPr>
      <w:b/>
      <w:szCs w:val="20"/>
      <w:lang w:eastAsia="en-GB"/>
    </w:rPr>
  </w:style>
  <w:style w:type="paragraph" w:customStyle="1" w:styleId="IASBTableHeaderTNR">
    <w:name w:val="IASB Table Header TNR"/>
    <w:basedOn w:val="Normal"/>
    <w:uiPriority w:val="8"/>
    <w:qFormat/>
    <w:rsid w:val="00952474"/>
    <w:pPr>
      <w:keepNext/>
      <w:spacing w:before="120" w:after="200" w:line="276" w:lineRule="auto"/>
    </w:pPr>
    <w:rPr>
      <w:szCs w:val="20"/>
      <w:lang w:eastAsia="en-GB"/>
    </w:rPr>
  </w:style>
  <w:style w:type="paragraph" w:customStyle="1" w:styleId="IASBTableTNR">
    <w:name w:val="IASB Table TNR"/>
    <w:basedOn w:val="Normal"/>
    <w:uiPriority w:val="8"/>
    <w:qFormat/>
    <w:rsid w:val="00952474"/>
    <w:pPr>
      <w:spacing w:before="120"/>
    </w:pPr>
    <w:rPr>
      <w:szCs w:val="20"/>
      <w:lang w:eastAsia="en-GB"/>
    </w:rPr>
  </w:style>
  <w:style w:type="paragraph" w:customStyle="1" w:styleId="IASBTableArial">
    <w:name w:val="IASB Table Arial"/>
    <w:basedOn w:val="Normal"/>
    <w:uiPriority w:val="8"/>
    <w:rsid w:val="0095247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952474"/>
    <w:rPr>
      <w:b/>
    </w:rPr>
  </w:style>
  <w:style w:type="paragraph" w:customStyle="1" w:styleId="IASBTableHeaderArial">
    <w:name w:val="IASB Table Header Arial"/>
    <w:basedOn w:val="IASBTableArial"/>
    <w:uiPriority w:val="8"/>
    <w:qFormat/>
    <w:rsid w:val="00952474"/>
    <w:pPr>
      <w:keepNext/>
      <w:spacing w:after="200" w:line="276" w:lineRule="auto"/>
    </w:pPr>
  </w:style>
  <w:style w:type="character" w:styleId="EndnoteReference">
    <w:name w:val="endnote reference"/>
    <w:uiPriority w:val="99"/>
    <w:semiHidden/>
    <w:unhideWhenUsed/>
    <w:rsid w:val="00952474"/>
    <w:rPr>
      <w:vertAlign w:val="superscript"/>
    </w:rPr>
  </w:style>
  <w:style w:type="paragraph" w:customStyle="1" w:styleId="ConvSectionTitle">
    <w:name w:val="Conv Section Title"/>
    <w:basedOn w:val="IASBSectionTitle1NonInd"/>
    <w:uiPriority w:val="9"/>
    <w:qFormat/>
    <w:rsid w:val="00952474"/>
    <w:pPr>
      <w:pBdr>
        <w:bottom w:val="none" w:sz="0" w:space="0" w:color="auto"/>
      </w:pBdr>
    </w:pPr>
  </w:style>
  <w:style w:type="paragraph" w:customStyle="1" w:styleId="ConvStandardTitle1">
    <w:name w:val="Conv Standard Title 1"/>
    <w:basedOn w:val="Normal"/>
    <w:next w:val="ConvStandardTitle2"/>
    <w:uiPriority w:val="9"/>
    <w:qFormat/>
    <w:rsid w:val="00952474"/>
    <w:pPr>
      <w:spacing w:before="300"/>
    </w:pPr>
    <w:rPr>
      <w:rFonts w:ascii="Arial" w:hAnsi="Arial"/>
      <w:b/>
      <w:sz w:val="26"/>
    </w:rPr>
  </w:style>
  <w:style w:type="paragraph" w:customStyle="1" w:styleId="ConvStandardTitle2">
    <w:name w:val="Conv Standard Title2"/>
    <w:basedOn w:val="ConvStandardTitle1"/>
    <w:uiPriority w:val="9"/>
    <w:qFormat/>
    <w:rsid w:val="00952474"/>
    <w:pPr>
      <w:spacing w:before="0" w:after="200"/>
    </w:pPr>
    <w:rPr>
      <w:i/>
    </w:rPr>
  </w:style>
  <w:style w:type="paragraph" w:customStyle="1" w:styleId="AASBBase">
    <w:name w:val="AASB Base"/>
    <w:qFormat/>
    <w:rsid w:val="00952474"/>
    <w:pPr>
      <w:jc w:val="both"/>
    </w:pPr>
    <w:rPr>
      <w:sz w:val="19"/>
      <w:lang w:eastAsia="en-US"/>
    </w:rPr>
  </w:style>
  <w:style w:type="paragraph" w:customStyle="1" w:styleId="AASBPara">
    <w:name w:val="AASB Para"/>
    <w:basedOn w:val="AASBBase"/>
    <w:qFormat/>
    <w:rsid w:val="00952474"/>
    <w:pPr>
      <w:spacing w:after="200"/>
    </w:pPr>
  </w:style>
  <w:style w:type="paragraph" w:customStyle="1" w:styleId="AASBStandardCover">
    <w:name w:val="AASB Standard Cover"/>
    <w:semiHidden/>
    <w:qFormat/>
    <w:rsid w:val="0095247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952474"/>
    <w:pPr>
      <w:jc w:val="right"/>
    </w:pPr>
    <w:rPr>
      <w:b w:val="0"/>
      <w:sz w:val="24"/>
    </w:rPr>
  </w:style>
  <w:style w:type="paragraph" w:customStyle="1" w:styleId="AASBStandardNumber">
    <w:name w:val="AASB Standard Number"/>
    <w:basedOn w:val="AASBStandardCover"/>
    <w:semiHidden/>
    <w:qFormat/>
    <w:rsid w:val="0095247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952474"/>
    <w:pPr>
      <w:spacing w:before="800"/>
    </w:pPr>
    <w:rPr>
      <w:b w:val="0"/>
      <w:sz w:val="50"/>
    </w:rPr>
  </w:style>
  <w:style w:type="paragraph" w:customStyle="1" w:styleId="AASBInterpretationCover">
    <w:name w:val="AASB Interpretation Cover"/>
    <w:basedOn w:val="AASBStandardCover"/>
    <w:semiHidden/>
    <w:qFormat/>
    <w:rsid w:val="00952474"/>
    <w:rPr>
      <w:color w:val="41AD49"/>
    </w:rPr>
  </w:style>
  <w:style w:type="paragraph" w:customStyle="1" w:styleId="AASBInterpretationDate">
    <w:name w:val="AASB Interpretation Date"/>
    <w:basedOn w:val="AASBStandardDate"/>
    <w:semiHidden/>
    <w:qFormat/>
    <w:rsid w:val="00952474"/>
    <w:rPr>
      <w:color w:val="41AD49"/>
    </w:rPr>
  </w:style>
  <w:style w:type="paragraph" w:customStyle="1" w:styleId="AASBInterpretationNumber">
    <w:name w:val="AASB Interpretation Number"/>
    <w:basedOn w:val="AASBStandardNumber"/>
    <w:semiHidden/>
    <w:qFormat/>
    <w:rsid w:val="00952474"/>
    <w:rPr>
      <w:color w:val="41AD49"/>
    </w:rPr>
  </w:style>
  <w:style w:type="paragraph" w:customStyle="1" w:styleId="AASBInterpretationTitle">
    <w:name w:val="AASB Interpretation Title"/>
    <w:basedOn w:val="AASBStandardTitle"/>
    <w:semiHidden/>
    <w:qFormat/>
    <w:rsid w:val="00952474"/>
    <w:rPr>
      <w:color w:val="41AD49"/>
    </w:rPr>
  </w:style>
  <w:style w:type="table" w:styleId="TableGrid">
    <w:name w:val="Table Grid"/>
    <w:basedOn w:val="TableNormal"/>
    <w:uiPriority w:val="59"/>
    <w:rsid w:val="00952474"/>
    <w:tblPr>
      <w:tblInd w:w="0" w:type="dxa"/>
      <w:tblCellMar>
        <w:top w:w="0" w:type="dxa"/>
        <w:left w:w="108" w:type="dxa"/>
        <w:bottom w:w="0" w:type="dxa"/>
        <w:right w:w="108" w:type="dxa"/>
      </w:tblCellMar>
    </w:tblPr>
  </w:style>
  <w:style w:type="paragraph" w:customStyle="1" w:styleId="ContentsHeading">
    <w:name w:val="Contents Heading"/>
    <w:basedOn w:val="AASBBase"/>
    <w:next w:val="ContentsLevel1"/>
    <w:qFormat/>
    <w:rsid w:val="00952474"/>
    <w:pPr>
      <w:spacing w:after="60"/>
      <w:jc w:val="right"/>
    </w:pPr>
    <w:rPr>
      <w:i/>
    </w:rPr>
  </w:style>
  <w:style w:type="paragraph" w:customStyle="1" w:styleId="ContentsLevel1">
    <w:name w:val="Contents Level1"/>
    <w:basedOn w:val="AASBBase"/>
    <w:qFormat/>
    <w:rsid w:val="00952474"/>
    <w:pPr>
      <w:tabs>
        <w:tab w:val="right" w:pos="9027"/>
      </w:tabs>
      <w:spacing w:after="60"/>
      <w:ind w:right="1134"/>
    </w:pPr>
    <w:rPr>
      <w:b/>
      <w:caps/>
    </w:rPr>
  </w:style>
  <w:style w:type="paragraph" w:customStyle="1" w:styleId="ContentsLevel2">
    <w:name w:val="Contents Level2"/>
    <w:basedOn w:val="ContentsLevel1"/>
    <w:uiPriority w:val="7"/>
    <w:qFormat/>
    <w:rsid w:val="00952474"/>
    <w:rPr>
      <w:caps w:val="0"/>
    </w:rPr>
  </w:style>
  <w:style w:type="paragraph" w:customStyle="1" w:styleId="ContentsLevel3">
    <w:name w:val="Contents Level3"/>
    <w:basedOn w:val="ContentsLevel2"/>
    <w:uiPriority w:val="7"/>
    <w:qFormat/>
    <w:rsid w:val="00952474"/>
    <w:pPr>
      <w:ind w:left="510"/>
    </w:pPr>
    <w:rPr>
      <w:b w:val="0"/>
    </w:rPr>
  </w:style>
  <w:style w:type="paragraph" w:customStyle="1" w:styleId="ContentsLevel4">
    <w:name w:val="Contents Level4"/>
    <w:basedOn w:val="ContentsLevel3"/>
    <w:uiPriority w:val="7"/>
    <w:qFormat/>
    <w:rsid w:val="00952474"/>
    <w:pPr>
      <w:ind w:left="850"/>
    </w:pPr>
  </w:style>
  <w:style w:type="paragraph" w:styleId="BalloonText">
    <w:name w:val="Balloon Text"/>
    <w:basedOn w:val="Normal"/>
    <w:link w:val="BalloonTextChar"/>
    <w:uiPriority w:val="99"/>
    <w:semiHidden/>
    <w:unhideWhenUsed/>
    <w:rsid w:val="0095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74"/>
    <w:rPr>
      <w:rFonts w:ascii="Segoe UI" w:hAnsi="Segoe UI" w:cs="Segoe UI"/>
      <w:sz w:val="18"/>
      <w:szCs w:val="18"/>
      <w:lang w:eastAsia="en-US"/>
    </w:rPr>
  </w:style>
  <w:style w:type="paragraph" w:customStyle="1" w:styleId="RDRM1">
    <w:name w:val="RDRM1"/>
    <w:basedOn w:val="IASBNormalnpara"/>
    <w:uiPriority w:val="5"/>
    <w:qFormat/>
    <w:rsid w:val="00952474"/>
    <w:pPr>
      <w:shd w:val="pct15" w:color="auto" w:fill="auto"/>
    </w:pPr>
  </w:style>
  <w:style w:type="paragraph" w:customStyle="1" w:styleId="RDRM2">
    <w:name w:val="RDRM2"/>
    <w:basedOn w:val="RDRM1"/>
    <w:uiPriority w:val="5"/>
    <w:qFormat/>
    <w:rsid w:val="00952474"/>
    <w:pPr>
      <w:tabs>
        <w:tab w:val="left" w:pos="782"/>
      </w:tabs>
      <w:ind w:left="1565" w:hanging="1565"/>
    </w:pPr>
  </w:style>
  <w:style w:type="paragraph" w:customStyle="1" w:styleId="RDRM3">
    <w:name w:val="RDRM3"/>
    <w:basedOn w:val="RDRM2"/>
    <w:uiPriority w:val="5"/>
    <w:qFormat/>
    <w:rsid w:val="00952474"/>
    <w:pPr>
      <w:tabs>
        <w:tab w:val="clear" w:pos="782"/>
        <w:tab w:val="left" w:pos="1565"/>
      </w:tabs>
      <w:ind w:left="2347" w:hanging="2347"/>
    </w:pPr>
  </w:style>
  <w:style w:type="paragraph" w:customStyle="1" w:styleId="RDRM4">
    <w:name w:val="RDRM4"/>
    <w:basedOn w:val="RDRM3"/>
    <w:uiPriority w:val="5"/>
    <w:qFormat/>
    <w:rsid w:val="00952474"/>
    <w:pPr>
      <w:tabs>
        <w:tab w:val="clear" w:pos="1565"/>
        <w:tab w:val="left" w:pos="2347"/>
      </w:tabs>
      <w:ind w:left="3130" w:hanging="3130"/>
    </w:pPr>
  </w:style>
  <w:style w:type="paragraph" w:customStyle="1" w:styleId="AusPlain">
    <w:name w:val="Aus Plain"/>
    <w:basedOn w:val="IASBNormalnpara"/>
    <w:uiPriority w:val="1"/>
    <w:qFormat/>
    <w:rsid w:val="00952474"/>
    <w:pPr>
      <w:ind w:left="1565" w:hanging="1565"/>
    </w:pPr>
  </w:style>
  <w:style w:type="paragraph" w:customStyle="1" w:styleId="AusBold">
    <w:name w:val="Aus Bold"/>
    <w:basedOn w:val="AusPlain"/>
    <w:uiPriority w:val="2"/>
    <w:qFormat/>
    <w:rsid w:val="00952474"/>
    <w:rPr>
      <w:b/>
    </w:rPr>
  </w:style>
  <w:style w:type="paragraph" w:customStyle="1" w:styleId="AusPlainRDR">
    <w:name w:val="Aus Plain RDR"/>
    <w:basedOn w:val="AusPlain"/>
    <w:uiPriority w:val="3"/>
    <w:qFormat/>
    <w:rsid w:val="00952474"/>
    <w:pPr>
      <w:shd w:val="pct15" w:color="auto" w:fill="auto"/>
    </w:pPr>
  </w:style>
  <w:style w:type="paragraph" w:customStyle="1" w:styleId="AusBoldRDR">
    <w:name w:val="Aus Bold RDR"/>
    <w:basedOn w:val="AusBold"/>
    <w:uiPriority w:val="4"/>
    <w:qFormat/>
    <w:rsid w:val="00952474"/>
    <w:pPr>
      <w:shd w:val="pct15" w:color="auto" w:fill="auto"/>
    </w:pPr>
  </w:style>
  <w:style w:type="paragraph" w:customStyle="1" w:styleId="RDR11">
    <w:name w:val="RDR11"/>
    <w:basedOn w:val="IASBNormalnparaL1"/>
    <w:uiPriority w:val="6"/>
    <w:qFormat/>
    <w:rsid w:val="00952474"/>
    <w:pPr>
      <w:shd w:val="pct15" w:color="auto" w:fill="auto"/>
    </w:pPr>
  </w:style>
  <w:style w:type="paragraph" w:customStyle="1" w:styleId="RDR12">
    <w:name w:val="RDR12"/>
    <w:basedOn w:val="RDR11"/>
    <w:uiPriority w:val="6"/>
    <w:qFormat/>
    <w:rsid w:val="00952474"/>
    <w:pPr>
      <w:tabs>
        <w:tab w:val="left" w:pos="1565"/>
      </w:tabs>
      <w:ind w:left="2347" w:hanging="1565"/>
    </w:pPr>
  </w:style>
  <w:style w:type="paragraph" w:customStyle="1" w:styleId="RDR13">
    <w:name w:val="RDR13"/>
    <w:basedOn w:val="RDR12"/>
    <w:uiPriority w:val="6"/>
    <w:qFormat/>
    <w:rsid w:val="00952474"/>
    <w:pPr>
      <w:tabs>
        <w:tab w:val="clear" w:pos="1565"/>
        <w:tab w:val="left" w:pos="2347"/>
      </w:tabs>
      <w:ind w:left="3129" w:hanging="2347"/>
    </w:pPr>
  </w:style>
  <w:style w:type="paragraph" w:customStyle="1" w:styleId="RDR21">
    <w:name w:val="RDR21"/>
    <w:basedOn w:val="IASBNormalnparaL2"/>
    <w:uiPriority w:val="6"/>
    <w:qFormat/>
    <w:rsid w:val="00952474"/>
    <w:pPr>
      <w:shd w:val="pct15" w:color="auto" w:fill="auto"/>
    </w:pPr>
  </w:style>
  <w:style w:type="paragraph" w:customStyle="1" w:styleId="RDR22">
    <w:name w:val="RDR22"/>
    <w:basedOn w:val="RDR21"/>
    <w:uiPriority w:val="6"/>
    <w:qFormat/>
    <w:rsid w:val="00952474"/>
    <w:pPr>
      <w:tabs>
        <w:tab w:val="left" w:pos="2347"/>
      </w:tabs>
      <w:ind w:left="3130" w:hanging="1565"/>
    </w:pPr>
  </w:style>
  <w:style w:type="table" w:styleId="TableGrid1">
    <w:name w:val="Table Grid 1"/>
    <w:basedOn w:val="TableNormal"/>
    <w:uiPriority w:val="99"/>
    <w:semiHidden/>
    <w:unhideWhenUsed/>
    <w:rsid w:val="00952474"/>
    <w:tblPr>
      <w:tblInd w:w="0" w:type="dxa"/>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76EA4"/>
    <w:rPr>
      <w:sz w:val="16"/>
      <w:szCs w:val="16"/>
    </w:rPr>
  </w:style>
  <w:style w:type="paragraph" w:styleId="CommentText">
    <w:name w:val="annotation text"/>
    <w:basedOn w:val="Normal"/>
    <w:link w:val="CommentTextChar"/>
    <w:uiPriority w:val="99"/>
    <w:semiHidden/>
    <w:unhideWhenUsed/>
    <w:rsid w:val="00376EA4"/>
    <w:rPr>
      <w:sz w:val="20"/>
      <w:szCs w:val="20"/>
    </w:rPr>
  </w:style>
  <w:style w:type="character" w:customStyle="1" w:styleId="CommentTextChar">
    <w:name w:val="Comment Text Char"/>
    <w:basedOn w:val="DefaultParagraphFont"/>
    <w:link w:val="CommentText"/>
    <w:uiPriority w:val="99"/>
    <w:semiHidden/>
    <w:rsid w:val="00376EA4"/>
    <w:rPr>
      <w:lang w:eastAsia="en-US"/>
    </w:rPr>
  </w:style>
  <w:style w:type="paragraph" w:styleId="CommentSubject">
    <w:name w:val="annotation subject"/>
    <w:basedOn w:val="CommentText"/>
    <w:next w:val="CommentText"/>
    <w:link w:val="CommentSubjectChar"/>
    <w:uiPriority w:val="99"/>
    <w:semiHidden/>
    <w:unhideWhenUsed/>
    <w:rsid w:val="00376EA4"/>
    <w:rPr>
      <w:b/>
      <w:bCs/>
    </w:rPr>
  </w:style>
  <w:style w:type="character" w:customStyle="1" w:styleId="CommentSubjectChar">
    <w:name w:val="Comment Subject Char"/>
    <w:basedOn w:val="CommentTextChar"/>
    <w:link w:val="CommentSubject"/>
    <w:uiPriority w:val="99"/>
    <w:semiHidden/>
    <w:rsid w:val="00376EA4"/>
    <w:rPr>
      <w:b/>
      <w:bCs/>
      <w:lang w:eastAsia="en-US"/>
    </w:rPr>
  </w:style>
  <w:style w:type="paragraph" w:customStyle="1" w:styleId="NumPlain1">
    <w:name w:val="Num Plain1"/>
    <w:basedOn w:val="Normal"/>
    <w:link w:val="NumPlain1Char"/>
    <w:qFormat/>
    <w:rsid w:val="00E83B88"/>
    <w:pPr>
      <w:numPr>
        <w:numId w:val="1"/>
      </w:numPr>
      <w:spacing w:after="200" w:line="200" w:lineRule="exact"/>
    </w:pPr>
    <w:rPr>
      <w:sz w:val="20"/>
      <w:szCs w:val="20"/>
    </w:rPr>
  </w:style>
  <w:style w:type="paragraph" w:customStyle="1" w:styleId="NumPlain2">
    <w:name w:val="Num Plain2"/>
    <w:basedOn w:val="NumPlain1"/>
    <w:rsid w:val="00E83B88"/>
    <w:pPr>
      <w:numPr>
        <w:ilvl w:val="1"/>
      </w:numPr>
    </w:pPr>
  </w:style>
  <w:style w:type="paragraph" w:customStyle="1" w:styleId="NumPlain3">
    <w:name w:val="Num Plain3"/>
    <w:basedOn w:val="NumPlain2"/>
    <w:rsid w:val="00E83B88"/>
    <w:pPr>
      <w:numPr>
        <w:ilvl w:val="2"/>
      </w:numPr>
    </w:pPr>
  </w:style>
  <w:style w:type="paragraph" w:customStyle="1" w:styleId="NumPlain4">
    <w:name w:val="Num Plain4"/>
    <w:basedOn w:val="NumPlain3"/>
    <w:rsid w:val="00E83B88"/>
    <w:pPr>
      <w:numPr>
        <w:ilvl w:val="3"/>
      </w:numPr>
    </w:pPr>
  </w:style>
  <w:style w:type="character" w:customStyle="1" w:styleId="NumPlain1Char">
    <w:name w:val="Num Plain1 Char"/>
    <w:basedOn w:val="DefaultParagraphFont"/>
    <w:link w:val="NumPlain1"/>
    <w:rsid w:val="00E83B88"/>
    <w:rPr>
      <w:lang w:eastAsia="en-US"/>
    </w:rPr>
  </w:style>
  <w:style w:type="paragraph" w:customStyle="1" w:styleId="CoverTitle">
    <w:name w:val="Cover Title"/>
    <w:basedOn w:val="Normal"/>
    <w:rsid w:val="00282AEE"/>
    <w:pPr>
      <w:spacing w:before="800" w:after="500" w:line="500" w:lineRule="exact"/>
    </w:pPr>
    <w:rPr>
      <w:b/>
      <w:sz w:val="50"/>
      <w:szCs w:val="20"/>
    </w:rPr>
  </w:style>
  <w:style w:type="paragraph" w:customStyle="1" w:styleId="CoverStandard">
    <w:name w:val="Cover Standard"/>
    <w:basedOn w:val="Normal"/>
    <w:next w:val="Normal"/>
    <w:rsid w:val="00282AEE"/>
    <w:pPr>
      <w:spacing w:line="280" w:lineRule="exact"/>
    </w:pPr>
    <w:rPr>
      <w:b/>
      <w:sz w:val="28"/>
      <w:szCs w:val="20"/>
    </w:rPr>
  </w:style>
  <w:style w:type="paragraph" w:customStyle="1" w:styleId="CoverNumber">
    <w:name w:val="Cover Number"/>
    <w:basedOn w:val="Normal"/>
    <w:next w:val="Normal"/>
    <w:rsid w:val="00282AEE"/>
    <w:pPr>
      <w:spacing w:line="320" w:lineRule="exact"/>
      <w:jc w:val="right"/>
    </w:pPr>
    <w:rPr>
      <w:b/>
      <w:caps/>
      <w:sz w:val="32"/>
      <w:szCs w:val="20"/>
    </w:rPr>
  </w:style>
  <w:style w:type="paragraph" w:customStyle="1" w:styleId="CoverDate">
    <w:name w:val="Cover Date"/>
    <w:basedOn w:val="Normal"/>
    <w:next w:val="Normal"/>
    <w:rsid w:val="00282AEE"/>
    <w:pPr>
      <w:spacing w:line="240" w:lineRule="exact"/>
      <w:jc w:val="right"/>
    </w:pPr>
    <w:rPr>
      <w:sz w:val="24"/>
      <w:szCs w:val="20"/>
    </w:rPr>
  </w:style>
  <w:style w:type="paragraph" w:styleId="ListParagraph">
    <w:name w:val="List Paragraph"/>
    <w:basedOn w:val="Normal"/>
    <w:uiPriority w:val="34"/>
    <w:qFormat/>
    <w:rsid w:val="00541686"/>
    <w:pPr>
      <w:ind w:left="720"/>
      <w:contextualSpacing/>
    </w:pPr>
  </w:style>
  <w:style w:type="paragraph" w:customStyle="1" w:styleId="NumBold1">
    <w:name w:val="Num Bold1"/>
    <w:basedOn w:val="NumPlain1"/>
    <w:qFormat/>
    <w:rsid w:val="003A4F08"/>
    <w:rPr>
      <w:b/>
    </w:rPr>
  </w:style>
  <w:style w:type="paragraph" w:customStyle="1" w:styleId="NumBold2">
    <w:name w:val="Num Bold2"/>
    <w:basedOn w:val="NumPlain2"/>
    <w:rsid w:val="00EE1924"/>
    <w:rPr>
      <w:b/>
    </w:rPr>
  </w:style>
  <w:style w:type="paragraph" w:customStyle="1" w:styleId="CoverSubtitle">
    <w:name w:val="Cover Subtitle"/>
    <w:basedOn w:val="CoverTitle"/>
    <w:rsid w:val="00A15C34"/>
    <w:pPr>
      <w:spacing w:before="0" w:after="0"/>
    </w:pPr>
    <w:rPr>
      <w:sz w:val="40"/>
      <w:szCs w:val="40"/>
    </w:rPr>
  </w:style>
  <w:style w:type="character" w:customStyle="1" w:styleId="Heading2Char">
    <w:name w:val="Heading 2 Char"/>
    <w:basedOn w:val="DefaultParagraphFont"/>
    <w:link w:val="Heading2"/>
    <w:rsid w:val="007B5B0D"/>
    <w:rPr>
      <w:rFonts w:cs="Arial"/>
      <w:b/>
      <w:iCs/>
      <w:sz w:val="28"/>
      <w:szCs w:val="28"/>
      <w:lang w:eastAsia="en-US"/>
    </w:rPr>
  </w:style>
  <w:style w:type="character" w:customStyle="1" w:styleId="Heading3Char">
    <w:name w:val="Heading 3 Char"/>
    <w:basedOn w:val="DefaultParagraphFont"/>
    <w:link w:val="Heading3"/>
    <w:rsid w:val="007B5B0D"/>
    <w:rPr>
      <w:rFonts w:cs="Arial"/>
      <w:b/>
      <w:bCs/>
      <w:iCs/>
      <w:sz w:val="24"/>
      <w:szCs w:val="26"/>
      <w:lang w:eastAsia="en-US"/>
    </w:rPr>
  </w:style>
  <w:style w:type="paragraph" w:customStyle="1" w:styleId="NoNumPlain1">
    <w:name w:val="NoNum Plain1"/>
    <w:basedOn w:val="Normal"/>
    <w:qFormat/>
    <w:rsid w:val="007B5B0D"/>
    <w:pPr>
      <w:spacing w:after="200" w:line="200" w:lineRule="exact"/>
    </w:pPr>
    <w:rPr>
      <w:sz w:val="20"/>
      <w:szCs w:val="20"/>
    </w:rPr>
  </w:style>
  <w:style w:type="character" w:customStyle="1" w:styleId="Heading1Char">
    <w:name w:val="Heading 1 Char"/>
    <w:basedOn w:val="DefaultParagraphFont"/>
    <w:link w:val="Heading1"/>
    <w:uiPriority w:val="9"/>
    <w:rsid w:val="007B5B0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2290-FDF4-4FD1-981D-61AEECBE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3795</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2016-1</dc:title>
  <dc:creator>.</dc:creator>
  <cp:lastModifiedBy>John, Kathleen</cp:lastModifiedBy>
  <cp:revision>4</cp:revision>
  <cp:lastPrinted>2016-02-24T23:04:00Z</cp:lastPrinted>
  <dcterms:created xsi:type="dcterms:W3CDTF">2016-02-14T21:20:00Z</dcterms:created>
  <dcterms:modified xsi:type="dcterms:W3CDTF">2016-02-29T01:21:00Z</dcterms:modified>
</cp:coreProperties>
</file>