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F6" w:rsidRDefault="003238F6" w:rsidP="003238F6">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rsidR="003238F6" w:rsidRDefault="003238F6" w:rsidP="003238F6">
      <w:pPr>
        <w:pStyle w:val="Title"/>
        <w:tabs>
          <w:tab w:val="left" w:pos="6120"/>
        </w:tabs>
        <w:rPr>
          <w:rFonts w:ascii="Times New Roman" w:hAnsi="Times New Roman" w:cs="Times New Roman"/>
        </w:rPr>
      </w:pPr>
    </w:p>
    <w:p w:rsidR="003238F6" w:rsidRDefault="003238F6" w:rsidP="003238F6">
      <w:pPr>
        <w:widowControl/>
        <w:jc w:val="both"/>
        <w:rPr>
          <w:rFonts w:ascii="Times New Roman" w:hAnsi="Times New Roman" w:cs="Times New Roman"/>
        </w:rPr>
      </w:pPr>
    </w:p>
    <w:p w:rsidR="003238F6" w:rsidRPr="00B03B00" w:rsidRDefault="003238F6" w:rsidP="003238F6">
      <w:pPr>
        <w:widowControl/>
        <w:jc w:val="center"/>
        <w:rPr>
          <w:rFonts w:ascii="Times New Roman" w:hAnsi="Times New Roman" w:cs="Times New Roman"/>
        </w:rPr>
      </w:pPr>
      <w:r w:rsidRPr="00B03B00">
        <w:rPr>
          <w:rFonts w:ascii="Times New Roman" w:hAnsi="Times New Roman" w:cs="Times New Roman"/>
        </w:rPr>
        <w:t>Issued by the Authority of the Minister for Foreign Affairs</w:t>
      </w:r>
    </w:p>
    <w:p w:rsidR="003238F6" w:rsidRPr="00B03B00" w:rsidRDefault="003238F6" w:rsidP="003238F6">
      <w:pPr>
        <w:widowControl/>
        <w:jc w:val="center"/>
        <w:rPr>
          <w:rFonts w:ascii="Times New Roman" w:hAnsi="Times New Roman" w:cs="Times New Roman"/>
        </w:rPr>
      </w:pPr>
    </w:p>
    <w:p w:rsidR="003238F6" w:rsidRPr="00B03B00" w:rsidRDefault="000073A8" w:rsidP="003238F6">
      <w:pPr>
        <w:pStyle w:val="Heading1"/>
        <w:ind w:hanging="1133"/>
        <w:rPr>
          <w:rFonts w:ascii="Times New Roman" w:hAnsi="Times New Roman" w:cs="Times New Roman"/>
        </w:rPr>
      </w:pPr>
      <w:r>
        <w:rPr>
          <w:rFonts w:ascii="Times New Roman" w:hAnsi="Times New Roman" w:cs="Times New Roman"/>
        </w:rPr>
        <w:t>Autonomous Sanctions Regulations 2011</w:t>
      </w:r>
    </w:p>
    <w:p w:rsidR="003238F6" w:rsidRPr="00B03B00" w:rsidRDefault="003238F6" w:rsidP="003238F6">
      <w:pPr>
        <w:widowControl/>
        <w:ind w:left="1133" w:hanging="1157"/>
        <w:jc w:val="center"/>
        <w:rPr>
          <w:rFonts w:ascii="Times New Roman" w:hAnsi="Times New Roman" w:cs="Times New Roman"/>
          <w:i/>
        </w:rPr>
      </w:pPr>
    </w:p>
    <w:p w:rsidR="003238F6" w:rsidRPr="000073A8" w:rsidRDefault="00DC67D7" w:rsidP="003238F6">
      <w:pPr>
        <w:widowControl/>
        <w:jc w:val="center"/>
        <w:rPr>
          <w:rFonts w:ascii="Times New Roman" w:hAnsi="Times New Roman" w:cs="Times New Roman"/>
          <w:b/>
          <w:i/>
          <w:iCs/>
        </w:rPr>
      </w:pPr>
      <w:r>
        <w:rPr>
          <w:i/>
        </w:rPr>
        <w:t xml:space="preserve">Autonomous Sanctions (Designated Persons and Entities and Declared Persons – </w:t>
      </w:r>
      <w:r w:rsidR="009D0B40">
        <w:rPr>
          <w:i/>
        </w:rPr>
        <w:t>Iran) Amendment List 2016 (No. 2</w:t>
      </w:r>
      <w:r>
        <w:rPr>
          <w:i/>
        </w:rPr>
        <w:t>)</w:t>
      </w:r>
    </w:p>
    <w:p w:rsidR="003238F6" w:rsidRDefault="003238F6" w:rsidP="003238F6"/>
    <w:p w:rsidR="002F6DD9" w:rsidRPr="00954815" w:rsidRDefault="002F6DD9" w:rsidP="002F6DD9">
      <w:r>
        <w:t xml:space="preserve">The </w:t>
      </w:r>
      <w:r>
        <w:rPr>
          <w:i/>
        </w:rPr>
        <w:t>Autonomous Sanctions Regulations 2011</w:t>
      </w:r>
      <w:r w:rsidRPr="0016236C">
        <w:rPr>
          <w:i/>
        </w:rPr>
        <w:t xml:space="preserve"> </w:t>
      </w:r>
      <w:r w:rsidRPr="00BE072C">
        <w:t>(</w:t>
      </w:r>
      <w:r>
        <w:t xml:space="preserve">the Regulations) commenced on </w:t>
      </w:r>
      <w:r>
        <w:br/>
        <w:t xml:space="preserve">15 December 2011.  </w:t>
      </w:r>
      <w:r w:rsidRPr="00954815">
        <w:t>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rsidR="002F6DD9" w:rsidRDefault="002F6DD9" w:rsidP="002F6DD9"/>
    <w:p w:rsidR="002F6DD9" w:rsidRPr="00954815" w:rsidRDefault="002F6DD9" w:rsidP="002F6DD9">
      <w:r>
        <w:t xml:space="preserve">Paragraph </w:t>
      </w:r>
      <w:r w:rsidRPr="00954815">
        <w:t xml:space="preserve">6 </w:t>
      </w:r>
      <w:r>
        <w:t xml:space="preserve">(1) (a) of the Regulations </w:t>
      </w:r>
      <w:r w:rsidRPr="00954815">
        <w:t>authorises the Minister</w:t>
      </w:r>
      <w:r>
        <w:t xml:space="preserve"> for Foreign Affairs (the Minister)</w:t>
      </w:r>
      <w:r w:rsidRPr="00954815">
        <w:t>, by legislative instrument, t</w:t>
      </w:r>
      <w:r>
        <w:t xml:space="preserve">o designate a person or entity </w:t>
      </w:r>
      <w:r w:rsidRPr="00954815">
        <w:t xml:space="preserve">on the basis that the person or entity is mentioned in an item of the table in regulation 6. </w:t>
      </w:r>
      <w:r>
        <w:t xml:space="preserve"> </w:t>
      </w:r>
      <w:r w:rsidRPr="00954815">
        <w:t xml:space="preserve">The purpose of such a designation is to subject the designated person or entity to targeted financial sanctions. </w:t>
      </w:r>
      <w:r>
        <w:t xml:space="preserve"> </w:t>
      </w:r>
      <w:r w:rsidRPr="00954815">
        <w:t>The designated person or entity becomes the object of the prohibition in regulation 14</w:t>
      </w:r>
      <w:r>
        <w:t xml:space="preserve"> (which </w:t>
      </w:r>
      <w:r w:rsidRPr="00954815">
        <w:t>prohibits directly or indirectly making an asset available to, or for the benefit of, a designated person or entity, other than as authorised by a per</w:t>
      </w:r>
      <w:r>
        <w:t>mit granted under regulation 18)</w:t>
      </w:r>
      <w:r w:rsidRPr="00954815">
        <w:t xml:space="preserve">. </w:t>
      </w:r>
      <w:r>
        <w:t xml:space="preserve"> </w:t>
      </w:r>
      <w:r w:rsidRPr="00954815">
        <w:t>An asset owned or controlled by a de</w:t>
      </w:r>
      <w:r>
        <w:t>signated person or entity is a “</w:t>
      </w:r>
      <w:r w:rsidRPr="00954815">
        <w:t>controlled asset”, subject to the prohibition in regulation 15</w:t>
      </w:r>
      <w:r>
        <w:t xml:space="preserve"> (which</w:t>
      </w:r>
      <w:r w:rsidRPr="00954815">
        <w:t xml:space="preserve"> requires a person who holds an asset that is owned or controlled by a designated person or entity </w:t>
      </w:r>
      <w:r>
        <w:t>to freeze that asset,</w:t>
      </w:r>
      <w:r w:rsidRPr="00954815">
        <w:t xml:space="preserve"> by prohibiting that person from either using or dealing with that asset, or allowing it to be used or dealt with, or facilitating the use of or dealing with it, other than as authorised by a per</w:t>
      </w:r>
      <w:r>
        <w:t>mit granted under regulation 18)</w:t>
      </w:r>
      <w:r w:rsidRPr="00954815">
        <w:t>.</w:t>
      </w:r>
    </w:p>
    <w:p w:rsidR="002F6DD9" w:rsidRPr="00954815" w:rsidRDefault="002F6DD9" w:rsidP="002F6DD9"/>
    <w:p w:rsidR="002F6DD9" w:rsidRDefault="002F6DD9" w:rsidP="002F6DD9">
      <w:r>
        <w:t>Paragraph 6 (1) (b) of the Regulations</w:t>
      </w:r>
      <w:r w:rsidRPr="00954815">
        <w:t xml:space="preserve"> authorises the Minister, by legislative instrument, to declare a person for the purpose of preventing the person from travelling to, entering or remaining in Australia on the basis that the person is mentioned in an item of the table in regulation 6.</w:t>
      </w:r>
    </w:p>
    <w:p w:rsidR="002F6DD9" w:rsidRDefault="002F6DD9">
      <w:pPr>
        <w:widowControl/>
      </w:pPr>
    </w:p>
    <w:p w:rsidR="003F613B" w:rsidRDefault="002F6DD9">
      <w:pPr>
        <w:widowControl/>
      </w:pPr>
      <w:r>
        <w:t xml:space="preserve">The persons designated and declared </w:t>
      </w:r>
      <w:r w:rsidR="005E1009">
        <w:t xml:space="preserve">and entities designated </w:t>
      </w:r>
      <w:r>
        <w:t xml:space="preserve">by the Minister for the purpose of Australia’s autonomous sanctions in relation to </w:t>
      </w:r>
      <w:r w:rsidR="005E1009">
        <w:t>Iran</w:t>
      </w:r>
      <w:r>
        <w:t xml:space="preserve"> are listed in the </w:t>
      </w:r>
      <w:r w:rsidR="00DC67D7">
        <w:rPr>
          <w:i/>
        </w:rPr>
        <w:t>Autonomous Sanctions (Designated Persons and Entities and Declared Persons – Iran) List 20</w:t>
      </w:r>
      <w:r w:rsidR="006718E6">
        <w:rPr>
          <w:i/>
        </w:rPr>
        <w:t>12</w:t>
      </w:r>
      <w:r w:rsidR="00DC67D7" w:rsidRPr="002F6DD9" w:rsidDel="00DC67D7">
        <w:rPr>
          <w:i/>
        </w:rPr>
        <w:t xml:space="preserve"> </w:t>
      </w:r>
      <w:r>
        <w:t>(the List)</w:t>
      </w:r>
      <w:r w:rsidR="005E1009">
        <w:t>, as subsequently amended</w:t>
      </w:r>
      <w:r>
        <w:t>.</w:t>
      </w:r>
      <w:r w:rsidR="009C60C4">
        <w:t xml:space="preserve">  </w:t>
      </w:r>
      <w:r w:rsidR="003F613B">
        <w:t>The corresponding authority for the Minister to revoke designations and declarations made under regulation 6 is found in paragraph 10 (1) (a) (for designations) and paragraph 10 (1) (b) (for declarations) of the Regulations. Sub-regulation 10</w:t>
      </w:r>
      <w:r w:rsidR="00C73298">
        <w:t xml:space="preserve"> </w:t>
      </w:r>
      <w:r w:rsidR="003F613B">
        <w:t xml:space="preserve">(2) provides that the Minister may revoke a designation or declaration on the Minister’s initiative. </w:t>
      </w:r>
    </w:p>
    <w:p w:rsidR="003F613B" w:rsidRDefault="003F613B">
      <w:pPr>
        <w:widowControl/>
      </w:pPr>
    </w:p>
    <w:p w:rsidR="002F6DD9" w:rsidRDefault="003F613B" w:rsidP="006718E6">
      <w:r>
        <w:t xml:space="preserve">On </w:t>
      </w:r>
      <w:r w:rsidR="005E1009">
        <w:t xml:space="preserve">the basis of </w:t>
      </w:r>
      <w:r w:rsidR="009D0B40">
        <w:t>a</w:t>
      </w:r>
      <w:r w:rsidR="005E1009">
        <w:t xml:space="preserve"> </w:t>
      </w:r>
      <w:r w:rsidR="009D0B40">
        <w:t xml:space="preserve">review of remaining </w:t>
      </w:r>
      <w:r w:rsidR="00E968EA">
        <w:t>designated persons and entities and declared persons</w:t>
      </w:r>
      <w:r w:rsidR="009D0B40">
        <w:t xml:space="preserve">, </w:t>
      </w:r>
      <w:r w:rsidR="005E1009">
        <w:t xml:space="preserve">the </w:t>
      </w:r>
      <w:r>
        <w:t>Minister</w:t>
      </w:r>
      <w:r w:rsidR="00FD5C79">
        <w:t xml:space="preserve"> for Foreign Affairs </w:t>
      </w:r>
      <w:r w:rsidR="005E1009">
        <w:t xml:space="preserve">has decided to </w:t>
      </w:r>
      <w:r w:rsidR="00FD5C79">
        <w:t>revoke</w:t>
      </w:r>
      <w:r w:rsidR="005E1009">
        <w:t xml:space="preserve"> the </w:t>
      </w:r>
      <w:r w:rsidR="00FD5C79">
        <w:t>designations and declarations in relation to</w:t>
      </w:r>
      <w:r w:rsidR="00691672">
        <w:t xml:space="preserve"> certain</w:t>
      </w:r>
      <w:r w:rsidR="00E3092F">
        <w:t xml:space="preserve"> individuals </w:t>
      </w:r>
      <w:r w:rsidR="005E1009">
        <w:t>and</w:t>
      </w:r>
      <w:r w:rsidR="00ED1BD4">
        <w:t xml:space="preserve"> designations in relation to certain</w:t>
      </w:r>
      <w:r w:rsidR="005E1009">
        <w:t xml:space="preserve"> entities </w:t>
      </w:r>
      <w:r w:rsidR="00FD5C79">
        <w:t xml:space="preserve">on the List. </w:t>
      </w:r>
      <w:r>
        <w:t xml:space="preserve"> </w:t>
      </w:r>
      <w:r w:rsidR="006718E6">
        <w:t xml:space="preserve">The </w:t>
      </w:r>
      <w:r w:rsidR="006718E6" w:rsidRPr="006718E6">
        <w:rPr>
          <w:i/>
        </w:rPr>
        <w:t xml:space="preserve">Autonomous Sanctions (Designated Persons and Entities and Declared Persons – Iran) Amendment List 2016 (No. </w:t>
      </w:r>
      <w:r w:rsidR="009D0B40">
        <w:rPr>
          <w:i/>
        </w:rPr>
        <w:t>2</w:t>
      </w:r>
      <w:r w:rsidR="006718E6" w:rsidRPr="006718E6">
        <w:rPr>
          <w:i/>
        </w:rPr>
        <w:t>)</w:t>
      </w:r>
      <w:r w:rsidR="00E968EA">
        <w:rPr>
          <w:i/>
        </w:rPr>
        <w:t xml:space="preserve"> </w:t>
      </w:r>
      <w:r w:rsidR="00691672">
        <w:t>amends</w:t>
      </w:r>
      <w:r w:rsidR="009C60C4">
        <w:t xml:space="preserve"> the List </w:t>
      </w:r>
      <w:r w:rsidR="002F6DD9">
        <w:t xml:space="preserve">to give effect to </w:t>
      </w:r>
      <w:r w:rsidR="00C73298">
        <w:t xml:space="preserve">this </w:t>
      </w:r>
      <w:r w:rsidR="00691672">
        <w:t>revocation</w:t>
      </w:r>
      <w:r w:rsidR="00C73298">
        <w:t xml:space="preserve">. </w:t>
      </w:r>
    </w:p>
    <w:p w:rsidR="003368C7" w:rsidRPr="006718E6" w:rsidRDefault="003368C7" w:rsidP="003368C7"/>
    <w:p w:rsidR="003368C7" w:rsidRDefault="003368C7" w:rsidP="003368C7">
      <w:pPr>
        <w:rPr>
          <w:lang w:val="en-US"/>
        </w:rPr>
      </w:pPr>
      <w:r>
        <w:rPr>
          <w:lang w:val="en-US"/>
        </w:rPr>
        <w:t>Relevant Commonwealth Government department</w:t>
      </w:r>
      <w:r w:rsidR="002D0F8A">
        <w:rPr>
          <w:lang w:val="en-US"/>
        </w:rPr>
        <w:t>s were consulted prior to and du</w:t>
      </w:r>
      <w:r>
        <w:rPr>
          <w:lang w:val="en-US"/>
        </w:rPr>
        <w:t>ring the drafting</w:t>
      </w:r>
      <w:r w:rsidR="005E1009">
        <w:rPr>
          <w:lang w:val="en-US"/>
        </w:rPr>
        <w:t xml:space="preserve"> of this legislative instrument, but no public </w:t>
      </w:r>
      <w:r w:rsidR="00311FDB">
        <w:rPr>
          <w:lang w:val="en-US"/>
        </w:rPr>
        <w:t>consultation</w:t>
      </w:r>
      <w:r w:rsidR="005E1009">
        <w:rPr>
          <w:lang w:val="en-US"/>
        </w:rPr>
        <w:t xml:space="preserve"> was undertaken in relation to this instrument</w:t>
      </w:r>
      <w:r w:rsidR="00311FDB">
        <w:rPr>
          <w:lang w:val="en-US"/>
        </w:rPr>
        <w:t xml:space="preserve"> as it revokes</w:t>
      </w:r>
      <w:r w:rsidR="00E968EA">
        <w:rPr>
          <w:lang w:val="en-US"/>
        </w:rPr>
        <w:t xml:space="preserve"> the listings of certain persons and entities</w:t>
      </w:r>
      <w:r w:rsidR="00311FDB">
        <w:rPr>
          <w:lang w:val="en-US"/>
        </w:rPr>
        <w:t xml:space="preserve">, but does not add to, the list of designated and declared persons and designated entities. </w:t>
      </w:r>
      <w:r w:rsidR="005E1009">
        <w:rPr>
          <w:lang w:val="en-US"/>
        </w:rPr>
        <w:t xml:space="preserve"> </w:t>
      </w:r>
    </w:p>
    <w:p w:rsidR="003368C7" w:rsidRPr="005E36FD" w:rsidRDefault="003368C7" w:rsidP="003368C7"/>
    <w:p w:rsidR="003368C7" w:rsidRDefault="003368C7" w:rsidP="003368C7">
      <w:pPr>
        <w:rPr>
          <w:b/>
          <w:iCs/>
        </w:rPr>
      </w:pPr>
    </w:p>
    <w:p w:rsidR="003368C7" w:rsidRPr="005D2C22" w:rsidRDefault="008E7D72" w:rsidP="003368C7">
      <w:pPr>
        <w:jc w:val="center"/>
        <w:rPr>
          <w:b/>
          <w:u w:val="single"/>
        </w:rPr>
      </w:pPr>
      <w:r>
        <w:rPr>
          <w:b/>
          <w:u w:val="single"/>
        </w:rPr>
        <w:t>Statement of Compati</w:t>
      </w:r>
      <w:r w:rsidR="003368C7" w:rsidRPr="005D2C22">
        <w:rPr>
          <w:b/>
          <w:u w:val="single"/>
        </w:rPr>
        <w:t>bility with Human Rights</w:t>
      </w:r>
    </w:p>
    <w:p w:rsidR="003368C7" w:rsidRDefault="003368C7" w:rsidP="003368C7">
      <w:pPr>
        <w:rPr>
          <w:b/>
        </w:rPr>
      </w:pPr>
    </w:p>
    <w:p w:rsidR="003368C7" w:rsidRPr="004916B9" w:rsidRDefault="003368C7" w:rsidP="003368C7">
      <w:pPr>
        <w:jc w:val="center"/>
      </w:pPr>
      <w:r w:rsidRPr="004916B9">
        <w:t xml:space="preserve">Prepared in accordance with Part 3 of the </w:t>
      </w:r>
      <w:r w:rsidRPr="004916B9">
        <w:rPr>
          <w:i/>
          <w:iCs/>
        </w:rPr>
        <w:t>Human Rights (Parliamentary Scrutiny) Act 2011</w:t>
      </w:r>
    </w:p>
    <w:p w:rsidR="003368C7" w:rsidRPr="007D73D4" w:rsidRDefault="003368C7" w:rsidP="003368C7">
      <w:pPr>
        <w:rPr>
          <w:b/>
        </w:rPr>
      </w:pPr>
    </w:p>
    <w:p w:rsidR="003368C7" w:rsidRDefault="00DC67D7" w:rsidP="00DC67D7">
      <w:pPr>
        <w:jc w:val="center"/>
        <w:rPr>
          <w:i/>
        </w:rPr>
      </w:pPr>
      <w:r>
        <w:rPr>
          <w:i/>
        </w:rPr>
        <w:t xml:space="preserve">Autonomous Sanctions (Designated Persons and Entities and Declared Persons – Iran) Amendment List 2016 (No. </w:t>
      </w:r>
      <w:r w:rsidR="009D0B40">
        <w:rPr>
          <w:i/>
        </w:rPr>
        <w:t>2</w:t>
      </w:r>
      <w:r>
        <w:rPr>
          <w:i/>
        </w:rPr>
        <w:t>)</w:t>
      </w:r>
    </w:p>
    <w:p w:rsidR="00DC67D7" w:rsidRDefault="00DC67D7" w:rsidP="00DC67D7">
      <w:pPr>
        <w:jc w:val="center"/>
      </w:pPr>
    </w:p>
    <w:p w:rsidR="00DC67D7" w:rsidRDefault="00DC67D7" w:rsidP="00DC67D7">
      <w:r w:rsidRPr="00DC67D7">
        <w:t>The</w:t>
      </w:r>
      <w:r>
        <w:rPr>
          <w:i/>
        </w:rPr>
        <w:t xml:space="preserve"> Autonomous Sanctions (Designated Persons and Entities and Declared Persons – Iran) Amendment List 2016 (No. </w:t>
      </w:r>
      <w:r w:rsidR="009D0B40">
        <w:rPr>
          <w:i/>
        </w:rPr>
        <w:t>2</w:t>
      </w:r>
      <w:r>
        <w:rPr>
          <w:i/>
        </w:rPr>
        <w:t>)</w:t>
      </w:r>
      <w:r w:rsidRPr="004916B9">
        <w:rPr>
          <w:iCs/>
        </w:rPr>
        <w:t xml:space="preserve"> </w:t>
      </w:r>
      <w:r>
        <w:t xml:space="preserve">is compatible with the human rights and freedoms recognised or declared in the international instruments listed in section 3 of the </w:t>
      </w:r>
      <w:r w:rsidRPr="004916B9">
        <w:rPr>
          <w:i/>
        </w:rPr>
        <w:t>Human Rights (Parliamentary Scrutiny) Act 2011</w:t>
      </w:r>
      <w:r>
        <w:rPr>
          <w:i/>
        </w:rPr>
        <w:t xml:space="preserve"> </w:t>
      </w:r>
      <w:r w:rsidRPr="00DC67D7">
        <w:t>as it gives effect to the Minister for Foreign Affairs decision to revoke the designations and declarations of certain persons and the designations of certain entities under the</w:t>
      </w:r>
      <w:r>
        <w:rPr>
          <w:i/>
        </w:rPr>
        <w:t xml:space="preserve"> Autonomus Sanctions Regulations 2011. </w:t>
      </w:r>
      <w:r>
        <w:t xml:space="preserve"> </w:t>
      </w:r>
    </w:p>
    <w:p w:rsidR="00DC67D7" w:rsidRDefault="00DC67D7" w:rsidP="00DC67D7"/>
    <w:p w:rsidR="00DC67D7" w:rsidRPr="004916B9" w:rsidRDefault="00DC67D7" w:rsidP="00DC67D7">
      <w:pPr>
        <w:rPr>
          <w:iCs/>
        </w:rPr>
      </w:pPr>
      <w:r>
        <w:t>Persons that remain designated and declared o</w:t>
      </w:r>
      <w:r w:rsidRPr="00BC3AE0">
        <w:t>r</w:t>
      </w:r>
      <w:r>
        <w:t xml:space="preserve"> an</w:t>
      </w:r>
      <w:r w:rsidRPr="00BC3AE0">
        <w:t xml:space="preserve"> entity 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rsidR="00DC67D7" w:rsidRDefault="00DC67D7" w:rsidP="00DC67D7"/>
    <w:p w:rsidR="00DC67D7" w:rsidRDefault="00DC67D7" w:rsidP="00DC67D7">
      <w:r>
        <w:t>The targeted financial sanctions imposed on persons and entities designated under paragraph 6 (1) (a) of the Regulations do not affect the title to any asset owned or controlled by the designated person or entity.  A designated person or entity may continue to draw on his or her frozen assets, or receive assets from other sources,</w:t>
      </w:r>
      <w:r w:rsidRPr="007311DE">
        <w:t xml:space="preserve"> </w:t>
      </w:r>
      <w:r>
        <w:t>to meet</w:t>
      </w:r>
      <w:r w:rsidRPr="00BC3AE0">
        <w:t xml:space="preserve"> basic expenses, including </w:t>
      </w:r>
      <w:r>
        <w:t xml:space="preserve">for </w:t>
      </w:r>
      <w:r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t xml:space="preserve"> (regulations 18 and 20 of the Regulations).</w:t>
      </w:r>
    </w:p>
    <w:p w:rsidR="00DC67D7" w:rsidRDefault="00DC67D7" w:rsidP="00DC67D7"/>
    <w:p w:rsidR="00DC67D7" w:rsidRDefault="00DC67D7" w:rsidP="00DC67D7">
      <w:r>
        <w:t>Similarly, a designated person or entity may draw on frozen assets they own or control to satisfy any pre-existing</w:t>
      </w:r>
      <w:r w:rsidRPr="007311DE">
        <w:t xml:space="preserve"> judicial, administrative or arbitral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rsidR="00DC67D7" w:rsidRDefault="00DC67D7" w:rsidP="00DC67D7"/>
    <w:p w:rsidR="00A93471" w:rsidRDefault="00DC67D7" w:rsidP="00DC67D7">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w:t>
      </w:r>
      <w:r>
        <w:t>grounds.</w:t>
      </w:r>
    </w:p>
    <w:sectPr w:rsidR="00A93471" w:rsidSect="00CE67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F6"/>
    <w:rsid w:val="000073A8"/>
    <w:rsid w:val="00087706"/>
    <w:rsid w:val="000C0A06"/>
    <w:rsid w:val="00114E13"/>
    <w:rsid w:val="00153AA8"/>
    <w:rsid w:val="00187CE7"/>
    <w:rsid w:val="00187F23"/>
    <w:rsid w:val="00195A39"/>
    <w:rsid w:val="002D0F8A"/>
    <w:rsid w:val="002F6DD9"/>
    <w:rsid w:val="00311FDB"/>
    <w:rsid w:val="0032200D"/>
    <w:rsid w:val="003238F6"/>
    <w:rsid w:val="003368C7"/>
    <w:rsid w:val="003F613B"/>
    <w:rsid w:val="00416C43"/>
    <w:rsid w:val="00431439"/>
    <w:rsid w:val="00485F77"/>
    <w:rsid w:val="00494CB3"/>
    <w:rsid w:val="0051207C"/>
    <w:rsid w:val="00517352"/>
    <w:rsid w:val="005845FD"/>
    <w:rsid w:val="00592854"/>
    <w:rsid w:val="005D49C9"/>
    <w:rsid w:val="005E1009"/>
    <w:rsid w:val="006718E6"/>
    <w:rsid w:val="00691672"/>
    <w:rsid w:val="00694721"/>
    <w:rsid w:val="00757A6B"/>
    <w:rsid w:val="00813C39"/>
    <w:rsid w:val="008570EC"/>
    <w:rsid w:val="008E7D72"/>
    <w:rsid w:val="00911C42"/>
    <w:rsid w:val="009C60C4"/>
    <w:rsid w:val="009D0B40"/>
    <w:rsid w:val="00A550DA"/>
    <w:rsid w:val="00A93471"/>
    <w:rsid w:val="00AF6AFC"/>
    <w:rsid w:val="00B27C98"/>
    <w:rsid w:val="00B64507"/>
    <w:rsid w:val="00BF405C"/>
    <w:rsid w:val="00C17B3D"/>
    <w:rsid w:val="00C73298"/>
    <w:rsid w:val="00CA2725"/>
    <w:rsid w:val="00CD2DD9"/>
    <w:rsid w:val="00CE6786"/>
    <w:rsid w:val="00D6338B"/>
    <w:rsid w:val="00D846D5"/>
    <w:rsid w:val="00D95D5B"/>
    <w:rsid w:val="00D96EEE"/>
    <w:rsid w:val="00DC67D7"/>
    <w:rsid w:val="00DE3155"/>
    <w:rsid w:val="00DF75F2"/>
    <w:rsid w:val="00E3092F"/>
    <w:rsid w:val="00E5321D"/>
    <w:rsid w:val="00E663B6"/>
    <w:rsid w:val="00E968EA"/>
    <w:rsid w:val="00EA363C"/>
    <w:rsid w:val="00ED1BD4"/>
    <w:rsid w:val="00EE0742"/>
    <w:rsid w:val="00EE0CB2"/>
    <w:rsid w:val="00EE3F29"/>
    <w:rsid w:val="00F96027"/>
    <w:rsid w:val="00FB3527"/>
    <w:rsid w:val="00FD00C5"/>
    <w:rsid w:val="00FD5C79"/>
    <w:rsid w:val="00FE53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8F6"/>
    <w:pPr>
      <w:widowControl w:val="0"/>
    </w:pPr>
    <w:rPr>
      <w:rFonts w:ascii="Times" w:eastAsia="Times New Roman" w:hAnsi="Times" w:cs="Times"/>
      <w:noProof/>
      <w:color w:val="000000"/>
      <w:sz w:val="24"/>
      <w:szCs w:val="24"/>
      <w:lang w:eastAsia="zh-CN"/>
    </w:rPr>
  </w:style>
  <w:style w:type="paragraph" w:styleId="Heading1">
    <w:name w:val="heading 1"/>
    <w:basedOn w:val="Normal"/>
    <w:next w:val="Normal"/>
    <w:qFormat/>
    <w:rsid w:val="003238F6"/>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38F6"/>
    <w:pPr>
      <w:widowControl/>
      <w:jc w:val="center"/>
    </w:pPr>
    <w:rPr>
      <w:b/>
      <w:bCs/>
      <w:u w:val="single"/>
    </w:rPr>
  </w:style>
  <w:style w:type="character" w:styleId="Hyperlink">
    <w:name w:val="Hyperlink"/>
    <w:basedOn w:val="DefaultParagraphFont"/>
    <w:rsid w:val="003238F6"/>
    <w:rPr>
      <w:color w:val="0000FF"/>
      <w:u w:val="single"/>
    </w:rPr>
  </w:style>
  <w:style w:type="paragraph" w:customStyle="1" w:styleId="A2S">
    <w:name w:val="A2S"/>
    <w:aliases w:val="Schedule Inst Amendment"/>
    <w:basedOn w:val="Normal"/>
    <w:next w:val="Normal"/>
    <w:rsid w:val="00EE0742"/>
    <w:pPr>
      <w:keepNext/>
      <w:widowControl/>
      <w:spacing w:before="120" w:line="260" w:lineRule="exact"/>
      <w:ind w:left="964"/>
    </w:pPr>
    <w:rPr>
      <w:rFonts w:ascii="Times New Roman" w:hAnsi="Times New Roman" w:cs="Times New Roman"/>
      <w:i/>
      <w:noProof w:val="0"/>
      <w:color w:val="auto"/>
      <w:lang w:eastAsia="en-AU"/>
    </w:rPr>
  </w:style>
  <w:style w:type="paragraph" w:styleId="BalloonText">
    <w:name w:val="Balloon Text"/>
    <w:basedOn w:val="Normal"/>
    <w:link w:val="BalloonTextChar"/>
    <w:rsid w:val="00D96EEE"/>
    <w:rPr>
      <w:rFonts w:ascii="Tahoma" w:hAnsi="Tahoma" w:cs="Tahoma"/>
      <w:sz w:val="16"/>
      <w:szCs w:val="16"/>
    </w:rPr>
  </w:style>
  <w:style w:type="character" w:customStyle="1" w:styleId="BalloonTextChar">
    <w:name w:val="Balloon Text Char"/>
    <w:basedOn w:val="DefaultParagraphFont"/>
    <w:link w:val="BalloonText"/>
    <w:rsid w:val="00D96EEE"/>
    <w:rPr>
      <w:rFonts w:ascii="Tahoma" w:eastAsia="Times New Roman" w:hAnsi="Tahoma" w:cs="Tahoma"/>
      <w:noProof/>
      <w:color w:val="00000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8F6"/>
    <w:pPr>
      <w:widowControl w:val="0"/>
    </w:pPr>
    <w:rPr>
      <w:rFonts w:ascii="Times" w:eastAsia="Times New Roman" w:hAnsi="Times" w:cs="Times"/>
      <w:noProof/>
      <w:color w:val="000000"/>
      <w:sz w:val="24"/>
      <w:szCs w:val="24"/>
      <w:lang w:eastAsia="zh-CN"/>
    </w:rPr>
  </w:style>
  <w:style w:type="paragraph" w:styleId="Heading1">
    <w:name w:val="heading 1"/>
    <w:basedOn w:val="Normal"/>
    <w:next w:val="Normal"/>
    <w:qFormat/>
    <w:rsid w:val="003238F6"/>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38F6"/>
    <w:pPr>
      <w:widowControl/>
      <w:jc w:val="center"/>
    </w:pPr>
    <w:rPr>
      <w:b/>
      <w:bCs/>
      <w:u w:val="single"/>
    </w:rPr>
  </w:style>
  <w:style w:type="character" w:styleId="Hyperlink">
    <w:name w:val="Hyperlink"/>
    <w:basedOn w:val="DefaultParagraphFont"/>
    <w:rsid w:val="003238F6"/>
    <w:rPr>
      <w:color w:val="0000FF"/>
      <w:u w:val="single"/>
    </w:rPr>
  </w:style>
  <w:style w:type="paragraph" w:customStyle="1" w:styleId="A2S">
    <w:name w:val="A2S"/>
    <w:aliases w:val="Schedule Inst Amendment"/>
    <w:basedOn w:val="Normal"/>
    <w:next w:val="Normal"/>
    <w:rsid w:val="00EE0742"/>
    <w:pPr>
      <w:keepNext/>
      <w:widowControl/>
      <w:spacing w:before="120" w:line="260" w:lineRule="exact"/>
      <w:ind w:left="964"/>
    </w:pPr>
    <w:rPr>
      <w:rFonts w:ascii="Times New Roman" w:hAnsi="Times New Roman" w:cs="Times New Roman"/>
      <w:i/>
      <w:noProof w:val="0"/>
      <w:color w:val="auto"/>
      <w:lang w:eastAsia="en-AU"/>
    </w:rPr>
  </w:style>
  <w:style w:type="paragraph" w:styleId="BalloonText">
    <w:name w:val="Balloon Text"/>
    <w:basedOn w:val="Normal"/>
    <w:link w:val="BalloonTextChar"/>
    <w:rsid w:val="00D96EEE"/>
    <w:rPr>
      <w:rFonts w:ascii="Tahoma" w:hAnsi="Tahoma" w:cs="Tahoma"/>
      <w:sz w:val="16"/>
      <w:szCs w:val="16"/>
    </w:rPr>
  </w:style>
  <w:style w:type="character" w:customStyle="1" w:styleId="BalloonTextChar">
    <w:name w:val="Balloon Text Char"/>
    <w:basedOn w:val="DefaultParagraphFont"/>
    <w:link w:val="BalloonText"/>
    <w:rsid w:val="00D96EEE"/>
    <w:rPr>
      <w:rFonts w:ascii="Tahoma" w:eastAsia="Times New Roman" w:hAnsi="Tahoma" w:cs="Tahoma"/>
      <w:noProof/>
      <w:color w:val="00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92189-F553-4BD0-8477-97DA5170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E4CFEC6B</Template>
  <TotalTime>0</TotalTime>
  <Pages>2</Pages>
  <Words>919</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Foreign Affairs and Trade</Company>
  <LinksUpToDate>false</LinksUpToDate>
  <CharactersWithSpaces>5949</CharactersWithSpaces>
  <SharedDoc>false</SharedDoc>
  <HLinks>
    <vt:vector size="6" baseType="variant">
      <vt:variant>
        <vt:i4>2949174</vt:i4>
      </vt:variant>
      <vt:variant>
        <vt:i4>0</vt:i4>
      </vt:variant>
      <vt:variant>
        <vt:i4>0</vt:i4>
      </vt:variant>
      <vt:variant>
        <vt:i4>5</vt:i4>
      </vt:variant>
      <vt:variant>
        <vt:lpwstr>http://www.un.org/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amobrien</dc:creator>
  <cp:lastModifiedBy>Beirne, Genevieve</cp:lastModifiedBy>
  <cp:revision>2</cp:revision>
  <cp:lastPrinted>2016-01-31T22:59:00Z</cp:lastPrinted>
  <dcterms:created xsi:type="dcterms:W3CDTF">2016-02-15T23:28:00Z</dcterms:created>
  <dcterms:modified xsi:type="dcterms:W3CDTF">2016-02-15T23:28:00Z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94e4c64a-2c92-450c-b759-27a7d9fb5c61</vt:lpwstr>
  </property>
  <property fmtid="{D5CDD505-2E9C-101B-9397-08002B2CF9AE}" pid="3" name="SEC">
    <vt:lpwstr>UNCLASSIFIED</vt:lpwstr>
  </property>
  <property fmtid="{D5CDD505-2E9C-101B-9397-08002B2CF9AE}" pid="4" name="DLM">
    <vt:lpwstr>No DLM</vt:lpwstr>
  </property>
</Properties>
</file>