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16" w:rsidRPr="001F2A16"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bookmarkStart w:id="0" w:name="FDocName"/>
      <w:r w:rsidRPr="001F2A16">
        <w:rPr>
          <w:rFonts w:ascii="Arial" w:hAnsi="Arial" w:cs="Arial"/>
          <w:sz w:val="34"/>
          <w:szCs w:val="34"/>
        </w:rPr>
        <w:t>Explanatory Statement</w:t>
      </w:r>
    </w:p>
    <w:p w:rsidR="001F2A16" w:rsidRPr="001F2A16" w:rsidRDefault="001F2A16" w:rsidP="00AF4CAF">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rsidR="0099555F" w:rsidRPr="00733441" w:rsidRDefault="00D73BE6" w:rsidP="00AF4CAF">
      <w:pPr>
        <w:pStyle w:val="Header"/>
        <w:pBdr>
          <w:top w:val="double" w:sz="4" w:space="1" w:color="auto"/>
          <w:bottom w:val="double" w:sz="4" w:space="1" w:color="auto"/>
        </w:pBdr>
        <w:tabs>
          <w:tab w:val="clear" w:pos="4153"/>
          <w:tab w:val="clear" w:pos="8306"/>
        </w:tabs>
        <w:jc w:val="center"/>
        <w:rPr>
          <w:rFonts w:ascii="Arial" w:hAnsi="Arial" w:cs="Arial"/>
          <w:b/>
          <w:sz w:val="34"/>
          <w:szCs w:val="34"/>
        </w:rPr>
      </w:pPr>
      <w:r w:rsidRPr="00733441">
        <w:rPr>
          <w:rFonts w:ascii="Arial" w:hAnsi="Arial" w:cs="Arial"/>
          <w:b/>
          <w:sz w:val="34"/>
          <w:szCs w:val="34"/>
        </w:rPr>
        <w:t xml:space="preserve">Pay as you go withholding – Variation </w:t>
      </w:r>
      <w:r w:rsidR="008F5ACE">
        <w:rPr>
          <w:rFonts w:ascii="Arial" w:hAnsi="Arial" w:cs="Arial"/>
          <w:b/>
          <w:sz w:val="34"/>
          <w:szCs w:val="34"/>
        </w:rPr>
        <w:t xml:space="preserve">and exemption </w:t>
      </w:r>
      <w:r w:rsidRPr="00733441">
        <w:rPr>
          <w:rFonts w:ascii="Arial" w:hAnsi="Arial" w:cs="Arial"/>
          <w:b/>
          <w:sz w:val="34"/>
          <w:szCs w:val="34"/>
        </w:rPr>
        <w:t xml:space="preserve">of </w:t>
      </w:r>
      <w:r w:rsidR="008F5ACE">
        <w:rPr>
          <w:rFonts w:ascii="Arial" w:hAnsi="Arial" w:cs="Arial"/>
          <w:b/>
          <w:sz w:val="34"/>
          <w:szCs w:val="34"/>
        </w:rPr>
        <w:t xml:space="preserve">withholding </w:t>
      </w:r>
      <w:r w:rsidR="003A5C50">
        <w:rPr>
          <w:rFonts w:ascii="Arial" w:hAnsi="Arial" w:cs="Arial"/>
          <w:b/>
          <w:sz w:val="34"/>
          <w:szCs w:val="34"/>
        </w:rPr>
        <w:t xml:space="preserve">requirements </w:t>
      </w:r>
      <w:r w:rsidRPr="00733441">
        <w:rPr>
          <w:rFonts w:ascii="Arial" w:hAnsi="Arial" w:cs="Arial"/>
          <w:b/>
          <w:sz w:val="34"/>
          <w:szCs w:val="34"/>
        </w:rPr>
        <w:t xml:space="preserve">for </w:t>
      </w:r>
      <w:r w:rsidR="00811574">
        <w:rPr>
          <w:rFonts w:ascii="Arial" w:hAnsi="Arial" w:cs="Arial"/>
          <w:b/>
          <w:sz w:val="34"/>
          <w:szCs w:val="34"/>
        </w:rPr>
        <w:t xml:space="preserve">certain </w:t>
      </w:r>
      <w:r w:rsidRPr="00733441">
        <w:rPr>
          <w:rFonts w:ascii="Arial" w:hAnsi="Arial" w:cs="Arial"/>
          <w:b/>
          <w:sz w:val="34"/>
          <w:szCs w:val="34"/>
        </w:rPr>
        <w:t>payments made to religious practitioners</w:t>
      </w:r>
    </w:p>
    <w:p w:rsidR="0099555F" w:rsidRDefault="0099555F" w:rsidP="0099555F">
      <w:pPr>
        <w:pStyle w:val="Header"/>
        <w:tabs>
          <w:tab w:val="clear" w:pos="4153"/>
          <w:tab w:val="clear" w:pos="8306"/>
        </w:tabs>
        <w:jc w:val="center"/>
        <w:rPr>
          <w:rFonts w:ascii="Arial" w:hAnsi="Arial" w:cs="Arial"/>
          <w:szCs w:val="24"/>
        </w:rPr>
      </w:pPr>
    </w:p>
    <w:p w:rsidR="001F2A16" w:rsidRPr="001F2A16" w:rsidRDefault="001F2A16" w:rsidP="0099555F">
      <w:pPr>
        <w:pStyle w:val="Header"/>
        <w:tabs>
          <w:tab w:val="clear" w:pos="4153"/>
          <w:tab w:val="clear" w:pos="8306"/>
        </w:tabs>
        <w:jc w:val="center"/>
        <w:rPr>
          <w:rFonts w:ascii="Arial" w:hAnsi="Arial" w:cs="Arial"/>
          <w:szCs w:val="24"/>
        </w:rPr>
      </w:pPr>
    </w:p>
    <w:p w:rsidR="00486653" w:rsidRDefault="00486653" w:rsidP="00486653">
      <w:pPr>
        <w:pStyle w:val="Heading2"/>
        <w:rPr>
          <w:sz w:val="24"/>
          <w:szCs w:val="24"/>
        </w:rPr>
      </w:pPr>
      <w:bookmarkStart w:id="1" w:name="EDisclaimer"/>
      <w:bookmarkStart w:id="2" w:name="HBody"/>
      <w:bookmarkStart w:id="3" w:name="LReferences"/>
      <w:bookmarkStart w:id="4" w:name="NRulingRef"/>
      <w:bookmarkStart w:id="5" w:name="OSubjectRef"/>
      <w:bookmarkStart w:id="6" w:name="PLegrefText"/>
      <w:bookmarkStart w:id="7" w:name="QLegref"/>
      <w:bookmarkStart w:id="8" w:name="RCaseRefText"/>
      <w:bookmarkStart w:id="9" w:name="SCaseRef"/>
      <w:bookmarkStart w:id="10" w:name="VISSN"/>
      <w:bookmarkEnd w:id="0"/>
      <w:bookmarkEnd w:id="1"/>
      <w:bookmarkEnd w:id="2"/>
      <w:bookmarkEnd w:id="3"/>
      <w:bookmarkEnd w:id="4"/>
      <w:bookmarkEnd w:id="5"/>
      <w:bookmarkEnd w:id="6"/>
      <w:bookmarkEnd w:id="7"/>
      <w:bookmarkEnd w:id="8"/>
      <w:bookmarkEnd w:id="9"/>
      <w:bookmarkEnd w:id="10"/>
      <w:r w:rsidRPr="005E6CCE">
        <w:rPr>
          <w:sz w:val="24"/>
          <w:szCs w:val="24"/>
        </w:rPr>
        <w:t xml:space="preserve">General </w:t>
      </w:r>
      <w:r w:rsidR="008A2A25">
        <w:rPr>
          <w:sz w:val="24"/>
          <w:szCs w:val="24"/>
        </w:rPr>
        <w:t>o</w:t>
      </w:r>
      <w:r w:rsidRPr="005E6CCE">
        <w:rPr>
          <w:sz w:val="24"/>
          <w:szCs w:val="24"/>
        </w:rPr>
        <w:t xml:space="preserve">utline of </w:t>
      </w:r>
      <w:r w:rsidR="008A2A25">
        <w:rPr>
          <w:sz w:val="24"/>
          <w:szCs w:val="24"/>
        </w:rPr>
        <w:t>i</w:t>
      </w:r>
      <w:r w:rsidRPr="005E6CCE">
        <w:rPr>
          <w:sz w:val="24"/>
          <w:szCs w:val="24"/>
        </w:rPr>
        <w:t>nstrument</w:t>
      </w:r>
    </w:p>
    <w:p w:rsidR="00486653" w:rsidRPr="00A37352" w:rsidRDefault="00486653" w:rsidP="00486653">
      <w:pPr>
        <w:numPr>
          <w:ilvl w:val="0"/>
          <w:numId w:val="16"/>
        </w:numPr>
        <w:spacing w:after="120"/>
        <w:rPr>
          <w:rFonts w:ascii="Arial" w:hAnsi="Arial" w:cs="Arial"/>
          <w:sz w:val="22"/>
          <w:szCs w:val="22"/>
        </w:rPr>
      </w:pPr>
      <w:bookmarkStart w:id="11" w:name="IComments"/>
      <w:r>
        <w:rPr>
          <w:rFonts w:ascii="Arial" w:hAnsi="Arial" w:cs="Arial"/>
          <w:sz w:val="22"/>
          <w:szCs w:val="22"/>
        </w:rPr>
        <w:t xml:space="preserve">This instrument is made </w:t>
      </w:r>
      <w:r w:rsidRPr="00A37352">
        <w:rPr>
          <w:rFonts w:ascii="Arial" w:hAnsi="Arial" w:cs="Arial"/>
          <w:sz w:val="22"/>
          <w:szCs w:val="22"/>
        </w:rPr>
        <w:t>under</w:t>
      </w:r>
      <w:r w:rsidR="00D73BE6" w:rsidRPr="00D73BE6">
        <w:rPr>
          <w:rFonts w:ascii="Arial" w:hAnsi="Arial" w:cs="Arial"/>
          <w:i/>
          <w:color w:val="000000"/>
          <w:sz w:val="22"/>
          <w:szCs w:val="22"/>
        </w:rPr>
        <w:t xml:space="preserve"> </w:t>
      </w:r>
      <w:r w:rsidR="00D73BE6" w:rsidRPr="00D73BE6">
        <w:rPr>
          <w:rFonts w:ascii="Arial" w:hAnsi="Arial" w:cs="Arial"/>
          <w:color w:val="000000"/>
          <w:sz w:val="22"/>
          <w:szCs w:val="22"/>
        </w:rPr>
        <w:t>section 15-15</w:t>
      </w:r>
      <w:r w:rsidR="00860F89">
        <w:rPr>
          <w:rFonts w:ascii="Arial" w:hAnsi="Arial" w:cs="Arial"/>
          <w:color w:val="000000"/>
          <w:sz w:val="22"/>
          <w:szCs w:val="22"/>
        </w:rPr>
        <w:t>, subsection 16-153(6)</w:t>
      </w:r>
      <w:r w:rsidR="00D73BE6" w:rsidRPr="00D73BE6">
        <w:rPr>
          <w:rFonts w:ascii="Arial" w:hAnsi="Arial" w:cs="Arial"/>
          <w:color w:val="000000"/>
          <w:sz w:val="22"/>
          <w:szCs w:val="22"/>
        </w:rPr>
        <w:t xml:space="preserve"> </w:t>
      </w:r>
      <w:r w:rsidR="007A77DA">
        <w:rPr>
          <w:rFonts w:ascii="Arial" w:hAnsi="Arial" w:cs="Arial"/>
          <w:color w:val="000000"/>
          <w:sz w:val="22"/>
          <w:szCs w:val="22"/>
        </w:rPr>
        <w:t xml:space="preserve">and </w:t>
      </w:r>
      <w:r w:rsidR="00860F89">
        <w:rPr>
          <w:rFonts w:ascii="Arial" w:hAnsi="Arial" w:cs="Arial"/>
          <w:color w:val="000000"/>
          <w:sz w:val="22"/>
          <w:szCs w:val="22"/>
        </w:rPr>
        <w:t xml:space="preserve">section </w:t>
      </w:r>
      <w:r w:rsidR="007A77DA">
        <w:rPr>
          <w:rFonts w:ascii="Arial" w:hAnsi="Arial" w:cs="Arial"/>
          <w:color w:val="000000"/>
          <w:sz w:val="22"/>
          <w:szCs w:val="22"/>
        </w:rPr>
        <w:t xml:space="preserve">16-180 </w:t>
      </w:r>
      <w:r w:rsidR="00D73BE6" w:rsidRPr="00D73BE6">
        <w:rPr>
          <w:rFonts w:ascii="Arial" w:hAnsi="Arial" w:cs="Arial"/>
          <w:color w:val="000000"/>
          <w:sz w:val="22"/>
          <w:szCs w:val="22"/>
        </w:rPr>
        <w:t>of Schedule 1 to the</w:t>
      </w:r>
      <w:r w:rsidR="00D73BE6" w:rsidRPr="00D73BE6">
        <w:rPr>
          <w:rFonts w:ascii="Arial" w:hAnsi="Arial" w:cs="Arial"/>
          <w:i/>
          <w:color w:val="000000"/>
          <w:sz w:val="22"/>
          <w:szCs w:val="22"/>
        </w:rPr>
        <w:t xml:space="preserve"> Taxation Administration Act 1953.</w:t>
      </w:r>
    </w:p>
    <w:p w:rsidR="00D77015" w:rsidRDefault="00D73BE6" w:rsidP="00D73BE6">
      <w:pPr>
        <w:numPr>
          <w:ilvl w:val="0"/>
          <w:numId w:val="16"/>
        </w:numPr>
        <w:spacing w:after="120"/>
        <w:rPr>
          <w:rFonts w:ascii="Arial" w:hAnsi="Arial" w:cs="Arial"/>
          <w:sz w:val="22"/>
          <w:szCs w:val="22"/>
        </w:rPr>
      </w:pPr>
      <w:r w:rsidRPr="00D73BE6">
        <w:rPr>
          <w:rFonts w:ascii="Arial" w:hAnsi="Arial" w:cs="Arial"/>
          <w:sz w:val="22"/>
          <w:szCs w:val="22"/>
        </w:rPr>
        <w:t>This instrument varies to nil the amount of withholding required by a payer under the pay as you go withholding system for allowance payments, payments made for locum services, and payments made by non-religious entities</w:t>
      </w:r>
      <w:r w:rsidR="00D02AF4">
        <w:rPr>
          <w:rFonts w:ascii="Arial" w:hAnsi="Arial" w:cs="Arial"/>
          <w:sz w:val="22"/>
          <w:szCs w:val="22"/>
        </w:rPr>
        <w:t xml:space="preserve"> to religious practitioners</w:t>
      </w:r>
      <w:r w:rsidRPr="00D73BE6">
        <w:rPr>
          <w:rFonts w:ascii="Arial" w:hAnsi="Arial" w:cs="Arial"/>
          <w:sz w:val="22"/>
          <w:szCs w:val="22"/>
        </w:rPr>
        <w:t xml:space="preserve">, in </w:t>
      </w:r>
      <w:r w:rsidR="00215C16">
        <w:rPr>
          <w:rFonts w:ascii="Arial" w:hAnsi="Arial" w:cs="Arial"/>
          <w:sz w:val="22"/>
          <w:szCs w:val="22"/>
        </w:rPr>
        <w:t xml:space="preserve">a </w:t>
      </w:r>
      <w:r w:rsidRPr="00D73BE6">
        <w:rPr>
          <w:rFonts w:ascii="Arial" w:hAnsi="Arial" w:cs="Arial"/>
          <w:sz w:val="22"/>
          <w:szCs w:val="22"/>
        </w:rPr>
        <w:t xml:space="preserve">certain </w:t>
      </w:r>
      <w:r w:rsidR="00D55AFB">
        <w:rPr>
          <w:rFonts w:ascii="Arial" w:hAnsi="Arial" w:cs="Arial"/>
          <w:sz w:val="22"/>
          <w:szCs w:val="22"/>
        </w:rPr>
        <w:t xml:space="preserve">class of </w:t>
      </w:r>
      <w:r w:rsidRPr="00D73BE6">
        <w:rPr>
          <w:rFonts w:ascii="Arial" w:hAnsi="Arial" w:cs="Arial"/>
          <w:sz w:val="22"/>
          <w:szCs w:val="22"/>
        </w:rPr>
        <w:t>cases.</w:t>
      </w:r>
      <w:r w:rsidR="007A77DA">
        <w:rPr>
          <w:rFonts w:ascii="Arial" w:hAnsi="Arial" w:cs="Arial"/>
          <w:sz w:val="22"/>
          <w:szCs w:val="22"/>
        </w:rPr>
        <w:t xml:space="preserve"> It also removes the requirement to issue payment summaries </w:t>
      </w:r>
      <w:r w:rsidR="003A5C50">
        <w:rPr>
          <w:rFonts w:ascii="Arial" w:hAnsi="Arial" w:cs="Arial"/>
          <w:sz w:val="22"/>
          <w:szCs w:val="22"/>
        </w:rPr>
        <w:t>and provide an annual report</w:t>
      </w:r>
      <w:r w:rsidR="002A3A25">
        <w:rPr>
          <w:rFonts w:ascii="Arial" w:hAnsi="Arial" w:cs="Arial"/>
          <w:sz w:val="22"/>
          <w:szCs w:val="22"/>
        </w:rPr>
        <w:t xml:space="preserve"> for those payments</w:t>
      </w:r>
      <w:r w:rsidR="00B60011">
        <w:rPr>
          <w:rFonts w:ascii="Arial" w:hAnsi="Arial" w:cs="Arial"/>
          <w:sz w:val="22"/>
          <w:szCs w:val="22"/>
        </w:rPr>
        <w:t>, when they are made by an entity which is not a religious institution</w:t>
      </w:r>
      <w:r w:rsidR="007A77DA">
        <w:rPr>
          <w:rFonts w:ascii="Arial" w:hAnsi="Arial" w:cs="Arial"/>
          <w:sz w:val="22"/>
          <w:szCs w:val="22"/>
        </w:rPr>
        <w:t xml:space="preserve">. </w:t>
      </w:r>
    </w:p>
    <w:p w:rsidR="00486653" w:rsidRPr="00F23BF7" w:rsidRDefault="00486653" w:rsidP="007F45E1">
      <w:pPr>
        <w:pStyle w:val="ListParagraph"/>
        <w:numPr>
          <w:ilvl w:val="0"/>
          <w:numId w:val="16"/>
        </w:numPr>
        <w:spacing w:after="120" w:line="240" w:lineRule="auto"/>
        <w:contextualSpacing/>
        <w:rPr>
          <w:rFonts w:ascii="Arial" w:hAnsi="Arial" w:cs="Arial"/>
        </w:rPr>
      </w:pPr>
      <w:r w:rsidRPr="00F23BF7">
        <w:rPr>
          <w:rFonts w:ascii="Arial" w:hAnsi="Arial" w:cs="Arial"/>
        </w:rPr>
        <w:t xml:space="preserve">The instrument is a legislative instrument for the purposes of the </w:t>
      </w:r>
      <w:r w:rsidRPr="00F23BF7">
        <w:rPr>
          <w:rFonts w:ascii="Arial" w:hAnsi="Arial" w:cs="Arial"/>
          <w:i/>
        </w:rPr>
        <w:t>Legislative Instruments Act 2003</w:t>
      </w:r>
      <w:r w:rsidRPr="00C62C54">
        <w:rPr>
          <w:rFonts w:ascii="Arial" w:hAnsi="Arial" w:cs="Arial"/>
        </w:rPr>
        <w:t>.</w:t>
      </w:r>
      <w:r w:rsidR="00961CBA" w:rsidRPr="00C62C54">
        <w:rPr>
          <w:rFonts w:ascii="Arial" w:hAnsi="Arial" w:cs="Arial"/>
        </w:rPr>
        <w:t xml:space="preserve"> This legislative instrument repeals Legislative Instruments numbers</w:t>
      </w:r>
      <w:r w:rsidR="00F63BBD">
        <w:rPr>
          <w:rFonts w:ascii="Arial" w:hAnsi="Arial" w:cs="Arial"/>
        </w:rPr>
        <w:t xml:space="preserve"> </w:t>
      </w:r>
      <w:r w:rsidR="00961CBA" w:rsidRPr="00C62C54">
        <w:rPr>
          <w:rFonts w:ascii="Arial" w:hAnsi="Arial" w:cs="Arial"/>
        </w:rPr>
        <w:t>F2006B00294, F2006B00298</w:t>
      </w:r>
      <w:r w:rsidR="002A3A25">
        <w:rPr>
          <w:rFonts w:ascii="Arial" w:hAnsi="Arial" w:cs="Arial"/>
        </w:rPr>
        <w:t xml:space="preserve"> and</w:t>
      </w:r>
      <w:r w:rsidR="00961CBA" w:rsidRPr="00C62C54">
        <w:rPr>
          <w:rFonts w:ascii="Arial" w:hAnsi="Arial" w:cs="Arial"/>
        </w:rPr>
        <w:t xml:space="preserve"> </w:t>
      </w:r>
      <w:r w:rsidR="00F63BBD" w:rsidRPr="00C62C54">
        <w:rPr>
          <w:rFonts w:ascii="Arial" w:hAnsi="Arial" w:cs="Arial"/>
        </w:rPr>
        <w:t>F2006B00292</w:t>
      </w:r>
      <w:r w:rsidR="00F63BBD">
        <w:rPr>
          <w:rFonts w:ascii="Arial" w:hAnsi="Arial" w:cs="Arial"/>
        </w:rPr>
        <w:t xml:space="preserve"> </w:t>
      </w:r>
      <w:r w:rsidR="00961CBA" w:rsidRPr="00C62C54">
        <w:rPr>
          <w:rFonts w:ascii="Arial" w:hAnsi="Arial" w:cs="Arial"/>
        </w:rPr>
        <w:t>registered on 7 February 2006</w:t>
      </w:r>
      <w:r w:rsidR="007A77DA" w:rsidRPr="007F45E1">
        <w:rPr>
          <w:rFonts w:ascii="Arial" w:hAnsi="Arial" w:cs="Arial"/>
        </w:rPr>
        <w:t>,</w:t>
      </w:r>
      <w:r w:rsidR="007A77DA" w:rsidRPr="007F45E1">
        <w:rPr>
          <w:rFonts w:ascii="Arial" w:hAnsi="Arial" w:cs="Arial"/>
          <w:b/>
        </w:rPr>
        <w:t xml:space="preserve"> </w:t>
      </w:r>
      <w:r w:rsidR="007A77DA" w:rsidRPr="007F45E1">
        <w:rPr>
          <w:rFonts w:ascii="Arial" w:hAnsi="Arial" w:cs="Arial"/>
        </w:rPr>
        <w:t>Legislative Instrument No.F2006B00322 registered on 10 February 2006 and Legislative Instrument No.F2006B00299 registered on 24 February 2006</w:t>
      </w:r>
      <w:r w:rsidR="00961CBA" w:rsidRPr="007F45E1">
        <w:rPr>
          <w:rFonts w:ascii="Arial" w:hAnsi="Arial" w:cs="Arial"/>
        </w:rPr>
        <w:t>.</w:t>
      </w:r>
    </w:p>
    <w:p w:rsidR="00F434FC" w:rsidRDefault="00F434FC" w:rsidP="00F434FC">
      <w:pPr>
        <w:pStyle w:val="Heading2"/>
        <w:rPr>
          <w:sz w:val="24"/>
          <w:szCs w:val="24"/>
        </w:rPr>
      </w:pPr>
    </w:p>
    <w:p w:rsidR="00F434FC" w:rsidRPr="00DC656D" w:rsidRDefault="00F434FC" w:rsidP="00F434FC">
      <w:pPr>
        <w:pStyle w:val="Heading2"/>
        <w:rPr>
          <w:sz w:val="24"/>
          <w:szCs w:val="24"/>
        </w:rPr>
      </w:pPr>
      <w:r w:rsidRPr="005E6CCE">
        <w:rPr>
          <w:sz w:val="24"/>
          <w:szCs w:val="24"/>
        </w:rPr>
        <w:t xml:space="preserve">Date </w:t>
      </w:r>
      <w:r w:rsidRPr="00DC656D">
        <w:rPr>
          <w:sz w:val="24"/>
          <w:szCs w:val="24"/>
        </w:rPr>
        <w:t>of effect</w:t>
      </w:r>
    </w:p>
    <w:p w:rsidR="00F434FC" w:rsidRPr="007F45E1" w:rsidRDefault="00F434FC" w:rsidP="007F45E1">
      <w:pPr>
        <w:pStyle w:val="ListParagraph"/>
        <w:numPr>
          <w:ilvl w:val="0"/>
          <w:numId w:val="16"/>
        </w:numPr>
        <w:spacing w:after="120"/>
        <w:rPr>
          <w:rFonts w:ascii="Arial" w:hAnsi="Arial" w:cs="Arial"/>
        </w:rPr>
      </w:pPr>
      <w:r w:rsidRPr="007F45E1">
        <w:rPr>
          <w:rFonts w:ascii="Arial" w:hAnsi="Arial" w:cs="Arial"/>
        </w:rPr>
        <w:t>The instrument commences on the day after it is registered.</w:t>
      </w:r>
    </w:p>
    <w:p w:rsidR="00F434FC" w:rsidRDefault="00F434FC" w:rsidP="00486653">
      <w:pPr>
        <w:spacing w:after="120"/>
        <w:rPr>
          <w:rFonts w:ascii="Arial" w:hAnsi="Arial" w:cs="Arial"/>
          <w:sz w:val="22"/>
          <w:szCs w:val="22"/>
        </w:rPr>
      </w:pPr>
    </w:p>
    <w:bookmarkEnd w:id="11"/>
    <w:p w:rsidR="00F434FC" w:rsidRPr="00F434FC" w:rsidRDefault="00F434FC" w:rsidP="007F45E1">
      <w:pPr>
        <w:pStyle w:val="Heading2"/>
        <w:ind w:left="360" w:hanging="360"/>
        <w:rPr>
          <w:szCs w:val="24"/>
        </w:rPr>
      </w:pPr>
      <w:r w:rsidRPr="007533B3">
        <w:rPr>
          <w:szCs w:val="24"/>
        </w:rPr>
        <w:t>What is this instrument about</w:t>
      </w:r>
    </w:p>
    <w:p w:rsidR="00F434FC" w:rsidRPr="003D0D03" w:rsidRDefault="00F434FC" w:rsidP="00F434FC">
      <w:pPr>
        <w:pStyle w:val="ListParagraph"/>
        <w:keepNext/>
        <w:keepLines/>
        <w:numPr>
          <w:ilvl w:val="0"/>
          <w:numId w:val="16"/>
        </w:numPr>
        <w:rPr>
          <w:rFonts w:ascii="Arial" w:hAnsi="Arial" w:cs="Arial"/>
        </w:rPr>
      </w:pPr>
      <w:r w:rsidRPr="003D0D03">
        <w:rPr>
          <w:rFonts w:ascii="Arial" w:hAnsi="Arial" w:cs="Arial"/>
        </w:rPr>
        <w:t xml:space="preserve">The purpose of this instrument is to continue with existing arrangements for withholding </w:t>
      </w:r>
      <w:r w:rsidR="00F23BF7">
        <w:rPr>
          <w:rFonts w:ascii="Arial" w:hAnsi="Arial" w:cs="Arial"/>
        </w:rPr>
        <w:t xml:space="preserve">and reporting requirements </w:t>
      </w:r>
      <w:r w:rsidR="008F5ACE">
        <w:rPr>
          <w:rFonts w:ascii="Arial" w:hAnsi="Arial" w:cs="Arial"/>
        </w:rPr>
        <w:t>for</w:t>
      </w:r>
      <w:r w:rsidRPr="003D0D03">
        <w:rPr>
          <w:rFonts w:ascii="Arial" w:hAnsi="Arial" w:cs="Arial"/>
        </w:rPr>
        <w:t xml:space="preserve"> </w:t>
      </w:r>
      <w:r>
        <w:rPr>
          <w:rFonts w:ascii="Arial" w:hAnsi="Arial" w:cs="Arial"/>
        </w:rPr>
        <w:t xml:space="preserve">certain </w:t>
      </w:r>
      <w:r w:rsidRPr="003D0D03">
        <w:rPr>
          <w:rFonts w:ascii="Arial" w:hAnsi="Arial" w:cs="Arial"/>
        </w:rPr>
        <w:t xml:space="preserve">payments made to religious practitioners, as the current Legislative Instruments are due to sunset on 1 April 2016. </w:t>
      </w:r>
    </w:p>
    <w:p w:rsidR="00F434FC" w:rsidRDefault="00F434FC" w:rsidP="007F45E1">
      <w:pPr>
        <w:spacing w:after="120"/>
        <w:rPr>
          <w:rFonts w:cs="Arial"/>
          <w:szCs w:val="22"/>
        </w:rPr>
      </w:pPr>
    </w:p>
    <w:p w:rsidR="003D0D03" w:rsidRPr="003D0D03" w:rsidRDefault="003D0D03" w:rsidP="00F434FC">
      <w:pPr>
        <w:pStyle w:val="ListParagraph"/>
        <w:keepNext/>
        <w:keepLines/>
        <w:numPr>
          <w:ilvl w:val="0"/>
          <w:numId w:val="16"/>
        </w:numPr>
        <w:rPr>
          <w:rFonts w:ascii="Arial" w:hAnsi="Arial" w:cs="Arial"/>
        </w:rPr>
      </w:pPr>
      <w:r w:rsidRPr="003D0D03">
        <w:rPr>
          <w:rFonts w:ascii="Arial" w:hAnsi="Arial" w:cs="Arial"/>
        </w:rPr>
        <w:lastRenderedPageBreak/>
        <w:t xml:space="preserve">Legislative Instrument numbers F2006B00294, F2006B00298, F2006B00292 were registered on 7 February 2006, and provide variations to the rate of withholding from payments made to religious practitioners covered by section 12-47 of Schedule 1 to the </w:t>
      </w:r>
      <w:r w:rsidRPr="003D0D03">
        <w:rPr>
          <w:rFonts w:ascii="Arial" w:hAnsi="Arial" w:cs="Arial"/>
          <w:i/>
        </w:rPr>
        <w:t>Taxation Administration Act 1953</w:t>
      </w:r>
      <w:r w:rsidRPr="003D0D03">
        <w:rPr>
          <w:rFonts w:ascii="Arial" w:hAnsi="Arial" w:cs="Arial"/>
        </w:rPr>
        <w:t xml:space="preserve"> when certain conditions are met. Broadly the variations apply in the following </w:t>
      </w:r>
      <w:r w:rsidR="00D55AFB">
        <w:rPr>
          <w:rFonts w:ascii="Arial" w:hAnsi="Arial" w:cs="Arial"/>
        </w:rPr>
        <w:t xml:space="preserve">class of </w:t>
      </w:r>
      <w:r w:rsidRPr="003D0D03">
        <w:rPr>
          <w:rFonts w:ascii="Arial" w:hAnsi="Arial" w:cs="Arial"/>
        </w:rPr>
        <w:t>cases:</w:t>
      </w:r>
    </w:p>
    <w:p w:rsidR="00961CBA" w:rsidRPr="00361301" w:rsidRDefault="00961CBA" w:rsidP="00361301">
      <w:pPr>
        <w:pStyle w:val="ListParagraph"/>
        <w:keepNext/>
        <w:keepLines/>
        <w:numPr>
          <w:ilvl w:val="0"/>
          <w:numId w:val="45"/>
        </w:numPr>
        <w:ind w:left="1560" w:hanging="567"/>
        <w:rPr>
          <w:rFonts w:ascii="Arial" w:hAnsi="Arial" w:cs="Arial"/>
        </w:rPr>
      </w:pPr>
      <w:r w:rsidRPr="00361301">
        <w:rPr>
          <w:rFonts w:ascii="Arial" w:hAnsi="Arial" w:cs="Arial"/>
        </w:rPr>
        <w:t xml:space="preserve">allowances which are expected to be fully expended on tax deductible items </w:t>
      </w:r>
      <w:r w:rsidR="00990B38">
        <w:rPr>
          <w:rFonts w:ascii="Arial" w:hAnsi="Arial" w:cs="Arial"/>
        </w:rPr>
        <w:t>where</w:t>
      </w:r>
      <w:r w:rsidRPr="00361301">
        <w:rPr>
          <w:rFonts w:ascii="Arial" w:hAnsi="Arial" w:cs="Arial"/>
        </w:rPr>
        <w:t xml:space="preserve"> the payee </w:t>
      </w:r>
      <w:r w:rsidR="00215C16">
        <w:rPr>
          <w:rFonts w:ascii="Arial" w:hAnsi="Arial" w:cs="Arial"/>
        </w:rPr>
        <w:t xml:space="preserve">can substantiate </w:t>
      </w:r>
      <w:r w:rsidR="00990B38">
        <w:rPr>
          <w:rFonts w:ascii="Arial" w:hAnsi="Arial" w:cs="Arial"/>
        </w:rPr>
        <w:t xml:space="preserve">the expenditure incurred </w:t>
      </w:r>
      <w:r w:rsidR="00215C16">
        <w:rPr>
          <w:rFonts w:ascii="Arial" w:hAnsi="Arial" w:cs="Arial"/>
        </w:rPr>
        <w:t xml:space="preserve">or </w:t>
      </w:r>
      <w:r w:rsidR="00990B38">
        <w:rPr>
          <w:rFonts w:ascii="Arial" w:hAnsi="Arial" w:cs="Arial"/>
        </w:rPr>
        <w:t xml:space="preserve">which the payee </w:t>
      </w:r>
      <w:r w:rsidRPr="00361301">
        <w:rPr>
          <w:rFonts w:ascii="Arial" w:hAnsi="Arial" w:cs="Arial"/>
        </w:rPr>
        <w:t xml:space="preserve">would not be required to substantiate because of the provisions contained in Division 900 of the </w:t>
      </w:r>
      <w:r w:rsidRPr="00361301">
        <w:rPr>
          <w:rFonts w:ascii="Arial" w:hAnsi="Arial" w:cs="Arial"/>
          <w:i/>
        </w:rPr>
        <w:t>Income Tax Assessment Act 1997</w:t>
      </w:r>
      <w:r w:rsidRPr="00361301">
        <w:rPr>
          <w:rFonts w:ascii="Arial" w:hAnsi="Arial" w:cs="Arial"/>
        </w:rPr>
        <w:t xml:space="preserve"> (ITAA 1997)</w:t>
      </w:r>
      <w:r w:rsidR="00173171">
        <w:rPr>
          <w:rFonts w:ascii="Arial" w:hAnsi="Arial" w:cs="Arial"/>
        </w:rPr>
        <w:t>;</w:t>
      </w:r>
    </w:p>
    <w:p w:rsidR="00961CBA" w:rsidRPr="00361301" w:rsidRDefault="00961CBA" w:rsidP="00361301">
      <w:pPr>
        <w:pStyle w:val="ListParagraph"/>
        <w:keepNext/>
        <w:keepLines/>
        <w:numPr>
          <w:ilvl w:val="0"/>
          <w:numId w:val="45"/>
        </w:numPr>
        <w:ind w:left="1560" w:hanging="567"/>
        <w:rPr>
          <w:rFonts w:ascii="Arial" w:hAnsi="Arial" w:cs="Arial"/>
        </w:rPr>
      </w:pPr>
      <w:r w:rsidRPr="00361301">
        <w:rPr>
          <w:rFonts w:ascii="Arial" w:hAnsi="Arial" w:cs="Arial"/>
        </w:rPr>
        <w:t>payments made by a religious institution to a religious practitioner for locum services performed for a period of not greater than two (2) days in a quarter</w:t>
      </w:r>
      <w:r w:rsidR="00173171">
        <w:rPr>
          <w:rFonts w:ascii="Arial" w:hAnsi="Arial" w:cs="Arial"/>
        </w:rPr>
        <w:t>;</w:t>
      </w:r>
    </w:p>
    <w:p w:rsidR="00361301" w:rsidRDefault="00961CBA" w:rsidP="00361301">
      <w:pPr>
        <w:pStyle w:val="ListParagraph"/>
        <w:keepNext/>
        <w:keepLines/>
        <w:numPr>
          <w:ilvl w:val="0"/>
          <w:numId w:val="45"/>
        </w:numPr>
        <w:ind w:left="1560" w:hanging="567"/>
        <w:rPr>
          <w:rFonts w:ascii="Arial" w:hAnsi="Arial" w:cs="Arial"/>
        </w:rPr>
      </w:pPr>
      <w:r w:rsidRPr="00361301">
        <w:rPr>
          <w:rFonts w:ascii="Arial" w:hAnsi="Arial" w:cs="Arial"/>
        </w:rPr>
        <w:t>payments made by an entity that is not a religious institution to a religious practitioner for work or services</w:t>
      </w:r>
      <w:r w:rsidR="002A3A25">
        <w:rPr>
          <w:rFonts w:ascii="Arial" w:hAnsi="Arial" w:cs="Arial"/>
        </w:rPr>
        <w:t xml:space="preserve"> performed as a religious practitioner</w:t>
      </w:r>
      <w:r w:rsidRPr="00361301">
        <w:rPr>
          <w:rFonts w:ascii="Arial" w:hAnsi="Arial" w:cs="Arial"/>
        </w:rPr>
        <w:t xml:space="preserve"> except for the performance of chaplaincy and/or counselling services; and</w:t>
      </w:r>
      <w:r w:rsidR="00361301" w:rsidRPr="00361301">
        <w:rPr>
          <w:rFonts w:ascii="Arial" w:hAnsi="Arial" w:cs="Arial"/>
        </w:rPr>
        <w:t xml:space="preserve"> </w:t>
      </w:r>
    </w:p>
    <w:p w:rsidR="00961CBA" w:rsidRPr="00361301" w:rsidRDefault="00961CBA" w:rsidP="00361301">
      <w:pPr>
        <w:pStyle w:val="ListParagraph"/>
        <w:keepNext/>
        <w:keepLines/>
        <w:numPr>
          <w:ilvl w:val="0"/>
          <w:numId w:val="45"/>
        </w:numPr>
        <w:ind w:left="1560" w:hanging="567"/>
        <w:rPr>
          <w:rFonts w:ascii="Arial" w:hAnsi="Arial" w:cs="Arial"/>
        </w:rPr>
      </w:pPr>
      <w:proofErr w:type="gramStart"/>
      <w:r w:rsidRPr="00361301">
        <w:rPr>
          <w:rFonts w:ascii="Arial" w:hAnsi="Arial" w:cs="Arial"/>
        </w:rPr>
        <w:t>payments</w:t>
      </w:r>
      <w:proofErr w:type="gramEnd"/>
      <w:r w:rsidRPr="00361301">
        <w:rPr>
          <w:rFonts w:ascii="Arial" w:hAnsi="Arial" w:cs="Arial"/>
        </w:rPr>
        <w:t xml:space="preserve"> made by an entity that is not a religious institution to a religious practitioner, for chaplaincy and/or counselling services, where the payment does not exceed amounts stipulated</w:t>
      </w:r>
      <w:r w:rsidR="0016078D" w:rsidRPr="00361301">
        <w:rPr>
          <w:rFonts w:ascii="Arial" w:hAnsi="Arial" w:cs="Arial"/>
        </w:rPr>
        <w:t xml:space="preserve"> in the Legislative Instrument.</w:t>
      </w:r>
    </w:p>
    <w:p w:rsidR="00361301" w:rsidRDefault="00961CBA" w:rsidP="00F434FC">
      <w:pPr>
        <w:pStyle w:val="ListParagraph"/>
        <w:numPr>
          <w:ilvl w:val="0"/>
          <w:numId w:val="16"/>
        </w:numPr>
        <w:spacing w:after="120"/>
        <w:rPr>
          <w:rFonts w:ascii="Arial" w:hAnsi="Arial" w:cs="Arial"/>
        </w:rPr>
      </w:pPr>
      <w:r w:rsidRPr="00754141">
        <w:rPr>
          <w:rFonts w:ascii="Arial" w:hAnsi="Arial" w:cs="Arial"/>
        </w:rPr>
        <w:t xml:space="preserve">This instrument consolidates </w:t>
      </w:r>
      <w:r w:rsidR="002A3A25">
        <w:rPr>
          <w:rFonts w:ascii="Arial" w:hAnsi="Arial" w:cs="Arial"/>
        </w:rPr>
        <w:t xml:space="preserve">the five </w:t>
      </w:r>
      <w:r w:rsidRPr="00754141">
        <w:rPr>
          <w:rFonts w:ascii="Arial" w:hAnsi="Arial" w:cs="Arial"/>
        </w:rPr>
        <w:t xml:space="preserve">instruments </w:t>
      </w:r>
      <w:r w:rsidR="002A3A25">
        <w:rPr>
          <w:rFonts w:ascii="Arial" w:hAnsi="Arial" w:cs="Arial"/>
        </w:rPr>
        <w:t xml:space="preserve">listed in paragraph 3 </w:t>
      </w:r>
      <w:r w:rsidRPr="00754141">
        <w:rPr>
          <w:rFonts w:ascii="Arial" w:hAnsi="Arial" w:cs="Arial"/>
        </w:rPr>
        <w:t xml:space="preserve">and continues the existing </w:t>
      </w:r>
      <w:r w:rsidR="00361301">
        <w:rPr>
          <w:rFonts w:ascii="Arial" w:hAnsi="Arial" w:cs="Arial"/>
        </w:rPr>
        <w:t xml:space="preserve">withholding </w:t>
      </w:r>
      <w:r w:rsidRPr="00754141">
        <w:rPr>
          <w:rFonts w:ascii="Arial" w:hAnsi="Arial" w:cs="Arial"/>
        </w:rPr>
        <w:t xml:space="preserve">arrangements, with the exception that the payment amounts stipulated in Legislative Instrument No. F2006B00292 </w:t>
      </w:r>
      <w:r w:rsidR="00733441">
        <w:rPr>
          <w:rFonts w:ascii="Arial" w:hAnsi="Arial" w:cs="Arial"/>
        </w:rPr>
        <w:t>will be increased from 1 July 2016</w:t>
      </w:r>
      <w:r w:rsidRPr="00754141">
        <w:rPr>
          <w:rFonts w:ascii="Arial" w:hAnsi="Arial" w:cs="Arial"/>
        </w:rPr>
        <w:t xml:space="preserve">. </w:t>
      </w:r>
    </w:p>
    <w:p w:rsidR="007A77DA" w:rsidRPr="00754141" w:rsidRDefault="007A77DA" w:rsidP="00F434FC">
      <w:pPr>
        <w:pStyle w:val="ListParagraph"/>
        <w:numPr>
          <w:ilvl w:val="0"/>
          <w:numId w:val="16"/>
        </w:numPr>
        <w:spacing w:after="120"/>
        <w:rPr>
          <w:rFonts w:ascii="Arial" w:hAnsi="Arial" w:cs="Arial"/>
        </w:rPr>
      </w:pPr>
      <w:r w:rsidRPr="00754141">
        <w:rPr>
          <w:rFonts w:ascii="Arial" w:hAnsi="Arial" w:cs="Arial"/>
        </w:rPr>
        <w:t>For that instrument</w:t>
      </w:r>
      <w:r>
        <w:rPr>
          <w:rFonts w:ascii="Arial" w:hAnsi="Arial" w:cs="Arial"/>
        </w:rPr>
        <w:t>,</w:t>
      </w:r>
      <w:r w:rsidRPr="00754141">
        <w:rPr>
          <w:rFonts w:ascii="Arial" w:hAnsi="Arial" w:cs="Arial"/>
        </w:rPr>
        <w:t xml:space="preserve"> the withholding variation to nil applied for payments made by an entity that is not a religious institution to a religious practitioner, for chaplaincy and/or counselling services, where the payment does not exceed the following amounts:</w:t>
      </w:r>
    </w:p>
    <w:p w:rsidR="007A77DA" w:rsidRPr="00961CBA" w:rsidRDefault="007A77DA" w:rsidP="007A77DA">
      <w:pPr>
        <w:ind w:firstLine="1134"/>
        <w:rPr>
          <w:rFonts w:ascii="Arial" w:hAnsi="Arial" w:cs="Arial"/>
          <w:sz w:val="22"/>
          <w:szCs w:val="22"/>
        </w:rPr>
      </w:pPr>
      <w:r w:rsidRPr="00961CBA">
        <w:rPr>
          <w:rFonts w:ascii="Arial" w:hAnsi="Arial" w:cs="Arial"/>
          <w:sz w:val="22"/>
          <w:szCs w:val="22"/>
        </w:rPr>
        <w:t>-</w:t>
      </w:r>
      <w:r w:rsidRPr="00961CBA">
        <w:rPr>
          <w:rFonts w:ascii="Arial" w:hAnsi="Arial" w:cs="Arial"/>
          <w:sz w:val="22"/>
          <w:szCs w:val="22"/>
        </w:rPr>
        <w:tab/>
      </w:r>
      <w:proofErr w:type="gramStart"/>
      <w:r w:rsidRPr="00961CBA">
        <w:rPr>
          <w:rFonts w:ascii="Arial" w:hAnsi="Arial" w:cs="Arial"/>
          <w:sz w:val="22"/>
          <w:szCs w:val="22"/>
        </w:rPr>
        <w:t>where</w:t>
      </w:r>
      <w:proofErr w:type="gramEnd"/>
      <w:r w:rsidRPr="00961CBA">
        <w:rPr>
          <w:rFonts w:ascii="Arial" w:hAnsi="Arial" w:cs="Arial"/>
          <w:sz w:val="22"/>
          <w:szCs w:val="22"/>
        </w:rPr>
        <w:t xml:space="preserve"> the entity pays the religious practitioner weekly: $100; or</w:t>
      </w:r>
    </w:p>
    <w:p w:rsidR="007A77DA" w:rsidRPr="00961CBA" w:rsidRDefault="007A77DA" w:rsidP="007A77DA">
      <w:pPr>
        <w:ind w:firstLine="1134"/>
        <w:rPr>
          <w:rFonts w:ascii="Arial" w:hAnsi="Arial" w:cs="Arial"/>
          <w:sz w:val="22"/>
          <w:szCs w:val="22"/>
        </w:rPr>
      </w:pPr>
      <w:r w:rsidRPr="00961CBA">
        <w:rPr>
          <w:rFonts w:ascii="Arial" w:hAnsi="Arial" w:cs="Arial"/>
          <w:sz w:val="22"/>
          <w:szCs w:val="22"/>
        </w:rPr>
        <w:t>-</w:t>
      </w:r>
      <w:r w:rsidRPr="00961CBA">
        <w:rPr>
          <w:rFonts w:ascii="Arial" w:hAnsi="Arial" w:cs="Arial"/>
          <w:sz w:val="22"/>
          <w:szCs w:val="22"/>
        </w:rPr>
        <w:tab/>
      </w:r>
      <w:proofErr w:type="gramStart"/>
      <w:r w:rsidRPr="00961CBA">
        <w:rPr>
          <w:rFonts w:ascii="Arial" w:hAnsi="Arial" w:cs="Arial"/>
          <w:sz w:val="22"/>
          <w:szCs w:val="22"/>
        </w:rPr>
        <w:t>where</w:t>
      </w:r>
      <w:proofErr w:type="gramEnd"/>
      <w:r w:rsidRPr="00961CBA">
        <w:rPr>
          <w:rFonts w:ascii="Arial" w:hAnsi="Arial" w:cs="Arial"/>
          <w:sz w:val="22"/>
          <w:szCs w:val="22"/>
        </w:rPr>
        <w:t xml:space="preserve"> the entity pays the religious practitioner fortnightly: $200; or</w:t>
      </w:r>
    </w:p>
    <w:p w:rsidR="007A77DA" w:rsidRPr="00961CBA" w:rsidRDefault="007A77DA" w:rsidP="007A77DA">
      <w:pPr>
        <w:ind w:firstLine="1134"/>
        <w:rPr>
          <w:rFonts w:ascii="Arial" w:hAnsi="Arial" w:cs="Arial"/>
          <w:sz w:val="22"/>
          <w:szCs w:val="22"/>
        </w:rPr>
      </w:pPr>
      <w:r w:rsidRPr="00961CBA">
        <w:rPr>
          <w:rFonts w:ascii="Arial" w:hAnsi="Arial" w:cs="Arial"/>
          <w:sz w:val="22"/>
          <w:szCs w:val="22"/>
        </w:rPr>
        <w:t>-</w:t>
      </w:r>
      <w:r w:rsidRPr="00961CBA">
        <w:rPr>
          <w:rFonts w:ascii="Arial" w:hAnsi="Arial" w:cs="Arial"/>
          <w:sz w:val="22"/>
          <w:szCs w:val="22"/>
        </w:rPr>
        <w:tab/>
      </w:r>
      <w:proofErr w:type="gramStart"/>
      <w:r w:rsidRPr="00961CBA">
        <w:rPr>
          <w:rFonts w:ascii="Arial" w:hAnsi="Arial" w:cs="Arial"/>
          <w:sz w:val="22"/>
          <w:szCs w:val="22"/>
        </w:rPr>
        <w:t>where</w:t>
      </w:r>
      <w:proofErr w:type="gramEnd"/>
      <w:r w:rsidRPr="00961CBA">
        <w:rPr>
          <w:rFonts w:ascii="Arial" w:hAnsi="Arial" w:cs="Arial"/>
          <w:sz w:val="22"/>
          <w:szCs w:val="22"/>
        </w:rPr>
        <w:t xml:space="preserve"> the entity pays the religious practitioner monthly: $433</w:t>
      </w:r>
    </w:p>
    <w:p w:rsidR="007A77DA" w:rsidRDefault="007A77DA" w:rsidP="007A77DA">
      <w:pPr>
        <w:spacing w:after="120"/>
        <w:ind w:left="709"/>
        <w:rPr>
          <w:rFonts w:ascii="Arial" w:hAnsi="Arial" w:cs="Arial"/>
          <w:sz w:val="22"/>
          <w:szCs w:val="22"/>
        </w:rPr>
      </w:pPr>
    </w:p>
    <w:p w:rsidR="007A77DA" w:rsidRDefault="007A77DA" w:rsidP="007A77DA">
      <w:pPr>
        <w:spacing w:after="120"/>
        <w:ind w:left="709"/>
        <w:rPr>
          <w:rFonts w:ascii="Arial" w:hAnsi="Arial" w:cs="Arial"/>
          <w:sz w:val="22"/>
          <w:szCs w:val="22"/>
        </w:rPr>
      </w:pPr>
      <w:r w:rsidRPr="00961CBA">
        <w:rPr>
          <w:rFonts w:ascii="Arial" w:hAnsi="Arial" w:cs="Arial"/>
          <w:sz w:val="22"/>
          <w:szCs w:val="22"/>
        </w:rPr>
        <w:t>This instrument increases these amounts to $150, $300 and $6</w:t>
      </w:r>
      <w:r>
        <w:rPr>
          <w:rFonts w:ascii="Arial" w:hAnsi="Arial" w:cs="Arial"/>
          <w:sz w:val="22"/>
          <w:szCs w:val="22"/>
        </w:rPr>
        <w:t>5</w:t>
      </w:r>
      <w:r w:rsidRPr="00961CBA">
        <w:rPr>
          <w:rFonts w:ascii="Arial" w:hAnsi="Arial" w:cs="Arial"/>
          <w:sz w:val="22"/>
          <w:szCs w:val="22"/>
        </w:rPr>
        <w:t xml:space="preserve">0 respectively </w:t>
      </w:r>
      <w:r>
        <w:rPr>
          <w:rFonts w:ascii="Arial" w:hAnsi="Arial" w:cs="Arial"/>
          <w:sz w:val="22"/>
          <w:szCs w:val="22"/>
        </w:rPr>
        <w:t xml:space="preserve">for payments made </w:t>
      </w:r>
      <w:r w:rsidRPr="00961CBA">
        <w:rPr>
          <w:rFonts w:ascii="Arial" w:hAnsi="Arial" w:cs="Arial"/>
          <w:sz w:val="22"/>
          <w:szCs w:val="22"/>
        </w:rPr>
        <w:t>from 1 July 2016, in order to reflect general growth in incomes.</w:t>
      </w:r>
    </w:p>
    <w:p w:rsidR="00B60011" w:rsidRPr="00950692" w:rsidRDefault="00B60011">
      <w:pPr>
        <w:pStyle w:val="ListParagraph"/>
        <w:numPr>
          <w:ilvl w:val="0"/>
          <w:numId w:val="16"/>
        </w:numPr>
        <w:spacing w:after="120"/>
        <w:rPr>
          <w:rFonts w:ascii="Arial" w:hAnsi="Arial" w:cs="Arial"/>
        </w:rPr>
      </w:pPr>
      <w:r w:rsidRPr="00950692">
        <w:rPr>
          <w:rFonts w:ascii="Arial" w:hAnsi="Arial" w:cs="Arial"/>
        </w:rPr>
        <w:t xml:space="preserve">This instrument also </w:t>
      </w:r>
      <w:r w:rsidR="008F5ACE">
        <w:rPr>
          <w:rFonts w:ascii="Arial" w:hAnsi="Arial" w:cs="Arial"/>
        </w:rPr>
        <w:t xml:space="preserve">exempts </w:t>
      </w:r>
      <w:r w:rsidRPr="00950692">
        <w:rPr>
          <w:rFonts w:ascii="Arial" w:hAnsi="Arial" w:cs="Arial"/>
        </w:rPr>
        <w:t xml:space="preserve">payment summary and </w:t>
      </w:r>
      <w:r w:rsidR="008F5ACE">
        <w:rPr>
          <w:rFonts w:ascii="Arial" w:hAnsi="Arial" w:cs="Arial"/>
        </w:rPr>
        <w:t xml:space="preserve">varies </w:t>
      </w:r>
      <w:r w:rsidRPr="00950692">
        <w:rPr>
          <w:rFonts w:ascii="Arial" w:hAnsi="Arial" w:cs="Arial"/>
        </w:rPr>
        <w:t xml:space="preserve">annual reporting requirements for an entity which is not a religious institution for </w:t>
      </w:r>
      <w:r w:rsidR="008F5ACE">
        <w:rPr>
          <w:rFonts w:ascii="Arial" w:hAnsi="Arial" w:cs="Arial"/>
        </w:rPr>
        <w:t xml:space="preserve">certain </w:t>
      </w:r>
      <w:r w:rsidRPr="00950692">
        <w:rPr>
          <w:rFonts w:ascii="Arial" w:hAnsi="Arial" w:cs="Arial"/>
        </w:rPr>
        <w:t>payments covered by this instrument.</w:t>
      </w:r>
      <w:r w:rsidR="00D65745" w:rsidRPr="00950692">
        <w:rPr>
          <w:rFonts w:ascii="Arial" w:hAnsi="Arial" w:cs="Arial"/>
        </w:rPr>
        <w:t xml:space="preserve"> Those requirements were formerly contained in Legislative Instrument number F2006B00322 registered on</w:t>
      </w:r>
      <w:r w:rsidR="008F5ACE">
        <w:rPr>
          <w:rFonts w:ascii="Arial" w:hAnsi="Arial" w:cs="Arial"/>
        </w:rPr>
        <w:t xml:space="preserve"> </w:t>
      </w:r>
      <w:r w:rsidR="00D65745" w:rsidRPr="00950692">
        <w:rPr>
          <w:rFonts w:ascii="Arial" w:hAnsi="Arial" w:cs="Arial"/>
        </w:rPr>
        <w:t>10 February 2006 and Legislative Instrument number F2006B00299 registered on 24 February 2006.</w:t>
      </w:r>
    </w:p>
    <w:p w:rsidR="00754141" w:rsidRPr="00912186" w:rsidRDefault="00754141" w:rsidP="00486653">
      <w:pPr>
        <w:keepNext/>
        <w:keepLines/>
        <w:ind w:left="360"/>
        <w:rPr>
          <w:rFonts w:ascii="Arial" w:hAnsi="Arial" w:cs="Arial"/>
          <w:sz w:val="22"/>
          <w:szCs w:val="22"/>
        </w:rPr>
      </w:pPr>
    </w:p>
    <w:p w:rsidR="00486653" w:rsidRPr="005E6CCE" w:rsidRDefault="00486653" w:rsidP="00486653">
      <w:pPr>
        <w:pStyle w:val="Heading2"/>
        <w:rPr>
          <w:sz w:val="24"/>
          <w:szCs w:val="24"/>
        </w:rPr>
      </w:pPr>
      <w:r>
        <w:rPr>
          <w:sz w:val="24"/>
          <w:szCs w:val="24"/>
        </w:rPr>
        <w:t>What is the e</w:t>
      </w:r>
      <w:r w:rsidRPr="005E6CCE">
        <w:rPr>
          <w:sz w:val="24"/>
          <w:szCs w:val="24"/>
        </w:rPr>
        <w:t>ffect of this instrument</w:t>
      </w:r>
    </w:p>
    <w:p w:rsidR="00486653" w:rsidRPr="000C390A" w:rsidRDefault="00486653" w:rsidP="00486653">
      <w:pPr>
        <w:keepNext/>
        <w:keepLines/>
        <w:rPr>
          <w:rFonts w:ascii="Arial" w:hAnsi="Arial" w:cs="Arial"/>
          <w:color w:val="000000"/>
        </w:rPr>
      </w:pPr>
    </w:p>
    <w:p w:rsidR="006848B7" w:rsidRDefault="00486653" w:rsidP="000A06A7">
      <w:pPr>
        <w:keepNext/>
        <w:keepLines/>
        <w:numPr>
          <w:ilvl w:val="0"/>
          <w:numId w:val="16"/>
        </w:numPr>
        <w:rPr>
          <w:rFonts w:ascii="Arial" w:hAnsi="Arial" w:cs="Arial"/>
          <w:color w:val="000000"/>
          <w:sz w:val="22"/>
          <w:szCs w:val="22"/>
        </w:rPr>
      </w:pPr>
      <w:r w:rsidRPr="000A06A7">
        <w:rPr>
          <w:rFonts w:ascii="Arial" w:hAnsi="Arial" w:cs="Arial"/>
          <w:color w:val="000000"/>
          <w:sz w:val="22"/>
          <w:szCs w:val="22"/>
        </w:rPr>
        <w:t>The effect of this instrument is</w:t>
      </w:r>
      <w:r w:rsidR="00673B37" w:rsidRPr="000A06A7">
        <w:rPr>
          <w:rFonts w:ascii="Arial" w:hAnsi="Arial" w:cs="Arial"/>
          <w:color w:val="000000"/>
          <w:sz w:val="22"/>
          <w:szCs w:val="22"/>
        </w:rPr>
        <w:t xml:space="preserve"> </w:t>
      </w:r>
      <w:r w:rsidR="00A34ABF" w:rsidRPr="000A06A7">
        <w:rPr>
          <w:rFonts w:ascii="Arial" w:hAnsi="Arial" w:cs="Arial"/>
          <w:color w:val="000000"/>
          <w:sz w:val="22"/>
          <w:szCs w:val="22"/>
        </w:rPr>
        <w:t xml:space="preserve">to vary </w:t>
      </w:r>
      <w:r w:rsidR="00E97AE9" w:rsidRPr="00EF4CAE">
        <w:rPr>
          <w:rFonts w:ascii="Arial" w:hAnsi="Arial" w:cs="Arial"/>
          <w:color w:val="000000"/>
          <w:sz w:val="22"/>
          <w:szCs w:val="22"/>
        </w:rPr>
        <w:t xml:space="preserve">to nil </w:t>
      </w:r>
      <w:r w:rsidR="0016078D" w:rsidRPr="00EF4CAE">
        <w:rPr>
          <w:rFonts w:ascii="Arial" w:hAnsi="Arial" w:cs="Arial"/>
          <w:color w:val="000000"/>
          <w:sz w:val="22"/>
          <w:szCs w:val="22"/>
        </w:rPr>
        <w:t>the amount of withholding required by a payer for payments made to reli</w:t>
      </w:r>
      <w:r w:rsidR="0016078D" w:rsidRPr="008F5ACE">
        <w:rPr>
          <w:rFonts w:ascii="Arial" w:hAnsi="Arial" w:cs="Arial"/>
          <w:color w:val="000000"/>
          <w:sz w:val="22"/>
          <w:szCs w:val="22"/>
        </w:rPr>
        <w:t>gious practitioners in respect to allowances</w:t>
      </w:r>
      <w:r w:rsidR="00737488">
        <w:rPr>
          <w:rFonts w:ascii="Arial" w:hAnsi="Arial" w:cs="Arial"/>
          <w:color w:val="000000"/>
          <w:sz w:val="22"/>
          <w:szCs w:val="22"/>
        </w:rPr>
        <w:t xml:space="preserve"> and </w:t>
      </w:r>
      <w:r w:rsidR="0016078D" w:rsidRPr="008F5ACE">
        <w:rPr>
          <w:rFonts w:ascii="Arial" w:hAnsi="Arial" w:cs="Arial"/>
          <w:color w:val="000000"/>
          <w:sz w:val="22"/>
          <w:szCs w:val="22"/>
        </w:rPr>
        <w:t>payments made for locum services</w:t>
      </w:r>
      <w:r w:rsidR="00737488">
        <w:rPr>
          <w:rFonts w:ascii="Arial" w:hAnsi="Arial" w:cs="Arial"/>
          <w:color w:val="000000"/>
          <w:sz w:val="22"/>
          <w:szCs w:val="22"/>
        </w:rPr>
        <w:t xml:space="preserve">. </w:t>
      </w:r>
    </w:p>
    <w:p w:rsidR="006848B7" w:rsidRDefault="006848B7" w:rsidP="006848B7">
      <w:pPr>
        <w:keepNext/>
        <w:keepLines/>
        <w:ind w:left="720"/>
        <w:rPr>
          <w:rFonts w:ascii="Arial" w:hAnsi="Arial" w:cs="Arial"/>
          <w:color w:val="000000"/>
          <w:sz w:val="22"/>
          <w:szCs w:val="22"/>
        </w:rPr>
      </w:pPr>
    </w:p>
    <w:p w:rsidR="008F5ACE" w:rsidRDefault="00737488" w:rsidP="000A06A7">
      <w:pPr>
        <w:keepNext/>
        <w:keepLines/>
        <w:numPr>
          <w:ilvl w:val="0"/>
          <w:numId w:val="16"/>
        </w:numPr>
        <w:rPr>
          <w:rFonts w:ascii="Arial" w:hAnsi="Arial" w:cs="Arial"/>
          <w:color w:val="000000"/>
          <w:sz w:val="22"/>
          <w:szCs w:val="22"/>
        </w:rPr>
      </w:pPr>
      <w:r>
        <w:rPr>
          <w:rFonts w:ascii="Arial" w:hAnsi="Arial" w:cs="Arial"/>
          <w:color w:val="000000"/>
          <w:sz w:val="22"/>
          <w:szCs w:val="22"/>
        </w:rPr>
        <w:t xml:space="preserve">The effect of this instrument is to also vary to nil the amount of withholding required for </w:t>
      </w:r>
      <w:r w:rsidR="0016078D" w:rsidRPr="008F5ACE">
        <w:rPr>
          <w:rFonts w:ascii="Arial" w:hAnsi="Arial" w:cs="Arial"/>
          <w:color w:val="000000"/>
          <w:sz w:val="22"/>
          <w:szCs w:val="22"/>
        </w:rPr>
        <w:t xml:space="preserve">payments by non-religious entities </w:t>
      </w:r>
      <w:r w:rsidR="008F5ACE" w:rsidRPr="008F5ACE">
        <w:rPr>
          <w:rFonts w:ascii="Arial" w:hAnsi="Arial" w:cs="Arial"/>
          <w:color w:val="000000"/>
          <w:sz w:val="22"/>
          <w:szCs w:val="22"/>
        </w:rPr>
        <w:t xml:space="preserve">for work or services performed </w:t>
      </w:r>
      <w:r w:rsidR="002A3A25">
        <w:rPr>
          <w:rFonts w:ascii="Arial" w:hAnsi="Arial" w:cs="Arial"/>
          <w:color w:val="000000"/>
          <w:sz w:val="22"/>
          <w:szCs w:val="22"/>
        </w:rPr>
        <w:t>as</w:t>
      </w:r>
      <w:r w:rsidR="008F5ACE" w:rsidRPr="008F5ACE">
        <w:rPr>
          <w:rFonts w:ascii="Arial" w:hAnsi="Arial" w:cs="Arial"/>
          <w:color w:val="000000"/>
          <w:sz w:val="22"/>
          <w:szCs w:val="22"/>
        </w:rPr>
        <w:t xml:space="preserve"> a religious practitioner</w:t>
      </w:r>
      <w:r>
        <w:rPr>
          <w:rFonts w:ascii="Arial" w:hAnsi="Arial" w:cs="Arial"/>
          <w:color w:val="000000"/>
          <w:sz w:val="22"/>
          <w:szCs w:val="22"/>
        </w:rPr>
        <w:t>,</w:t>
      </w:r>
      <w:r w:rsidR="008F5ACE" w:rsidRPr="008F5ACE">
        <w:rPr>
          <w:rFonts w:ascii="Arial" w:hAnsi="Arial" w:cs="Arial"/>
          <w:color w:val="000000"/>
          <w:sz w:val="22"/>
          <w:szCs w:val="22"/>
        </w:rPr>
        <w:t xml:space="preserve"> and </w:t>
      </w:r>
      <w:r w:rsidR="0016078D" w:rsidRPr="008F5ACE">
        <w:rPr>
          <w:rFonts w:ascii="Arial" w:hAnsi="Arial" w:cs="Arial"/>
          <w:color w:val="000000"/>
          <w:sz w:val="22"/>
          <w:szCs w:val="22"/>
        </w:rPr>
        <w:t>for chaplaincy and counselling services</w:t>
      </w:r>
      <w:r>
        <w:rPr>
          <w:rFonts w:ascii="Arial" w:hAnsi="Arial" w:cs="Arial"/>
          <w:color w:val="000000"/>
          <w:sz w:val="22"/>
          <w:szCs w:val="22"/>
        </w:rPr>
        <w:t xml:space="preserve"> up to the amounts stipulated in the instrument, and </w:t>
      </w:r>
      <w:r w:rsidR="008F5ACE" w:rsidRPr="008F5ACE">
        <w:rPr>
          <w:rFonts w:ascii="Arial" w:hAnsi="Arial" w:cs="Arial"/>
          <w:color w:val="000000"/>
          <w:sz w:val="22"/>
          <w:szCs w:val="22"/>
        </w:rPr>
        <w:t xml:space="preserve">to </w:t>
      </w:r>
      <w:r w:rsidR="003064DD" w:rsidRPr="008F5ACE">
        <w:rPr>
          <w:rFonts w:ascii="Arial" w:hAnsi="Arial" w:cs="Arial"/>
          <w:color w:val="000000"/>
          <w:sz w:val="22"/>
          <w:szCs w:val="22"/>
        </w:rPr>
        <w:t xml:space="preserve">remove payment summary and annual reporting obligations for </w:t>
      </w:r>
      <w:r w:rsidR="00F23BF7" w:rsidRPr="008F5ACE">
        <w:rPr>
          <w:rFonts w:ascii="Arial" w:hAnsi="Arial" w:cs="Arial"/>
          <w:color w:val="000000"/>
          <w:sz w:val="22"/>
          <w:szCs w:val="22"/>
        </w:rPr>
        <w:t>non-religious</w:t>
      </w:r>
      <w:r w:rsidR="003064DD" w:rsidRPr="008F5ACE">
        <w:rPr>
          <w:rFonts w:ascii="Arial" w:hAnsi="Arial" w:cs="Arial"/>
          <w:color w:val="000000"/>
          <w:sz w:val="22"/>
          <w:szCs w:val="22"/>
        </w:rPr>
        <w:t xml:space="preserve"> entities in relation to those payments. </w:t>
      </w:r>
    </w:p>
    <w:p w:rsidR="008F5ACE" w:rsidRDefault="008F5ACE" w:rsidP="006848B7">
      <w:pPr>
        <w:keepNext/>
        <w:keepLines/>
        <w:ind w:left="720"/>
        <w:rPr>
          <w:rFonts w:ascii="Arial" w:hAnsi="Arial" w:cs="Arial"/>
          <w:color w:val="000000"/>
          <w:sz w:val="22"/>
          <w:szCs w:val="22"/>
        </w:rPr>
      </w:pPr>
    </w:p>
    <w:p w:rsidR="00A34ABF" w:rsidRPr="008F5ACE" w:rsidRDefault="00A34ABF" w:rsidP="000A06A7">
      <w:pPr>
        <w:keepNext/>
        <w:keepLines/>
        <w:numPr>
          <w:ilvl w:val="0"/>
          <w:numId w:val="16"/>
        </w:numPr>
        <w:rPr>
          <w:rFonts w:ascii="Arial" w:hAnsi="Arial" w:cs="Arial"/>
          <w:color w:val="000000"/>
          <w:sz w:val="22"/>
          <w:szCs w:val="22"/>
        </w:rPr>
      </w:pPr>
      <w:r w:rsidRPr="000A06A7">
        <w:rPr>
          <w:rFonts w:ascii="Arial" w:hAnsi="Arial" w:cs="Arial"/>
          <w:color w:val="000000"/>
          <w:sz w:val="22"/>
          <w:szCs w:val="22"/>
        </w:rPr>
        <w:t xml:space="preserve">This </w:t>
      </w:r>
      <w:r w:rsidR="0016078D" w:rsidRPr="000A06A7">
        <w:rPr>
          <w:rFonts w:ascii="Arial" w:hAnsi="Arial" w:cs="Arial"/>
          <w:color w:val="000000"/>
          <w:sz w:val="22"/>
          <w:szCs w:val="22"/>
        </w:rPr>
        <w:t>will avoid the need for unnecessary withholding</w:t>
      </w:r>
      <w:r w:rsidRPr="00EF4CAE">
        <w:rPr>
          <w:rFonts w:ascii="Arial" w:hAnsi="Arial" w:cs="Arial"/>
          <w:color w:val="000000"/>
          <w:sz w:val="22"/>
          <w:szCs w:val="22"/>
        </w:rPr>
        <w:t xml:space="preserve"> and </w:t>
      </w:r>
      <w:r w:rsidR="0016078D" w:rsidRPr="00EF4CAE">
        <w:rPr>
          <w:rFonts w:ascii="Arial" w:hAnsi="Arial" w:cs="Arial"/>
          <w:color w:val="000000"/>
          <w:sz w:val="22"/>
          <w:szCs w:val="22"/>
        </w:rPr>
        <w:t xml:space="preserve">will make administration easier for payers that include </w:t>
      </w:r>
      <w:r w:rsidR="003064DD" w:rsidRPr="008F5ACE">
        <w:rPr>
          <w:rFonts w:ascii="Arial" w:hAnsi="Arial" w:cs="Arial"/>
          <w:color w:val="000000"/>
          <w:sz w:val="22"/>
          <w:szCs w:val="22"/>
        </w:rPr>
        <w:t xml:space="preserve">both </w:t>
      </w:r>
      <w:r w:rsidR="0016078D" w:rsidRPr="008F5ACE">
        <w:rPr>
          <w:rFonts w:ascii="Arial" w:hAnsi="Arial" w:cs="Arial"/>
          <w:color w:val="000000"/>
          <w:sz w:val="22"/>
          <w:szCs w:val="22"/>
        </w:rPr>
        <w:t xml:space="preserve">religious institutions and non-religious entities, for payments that are fully expendable allowances and for minor or infrequent payments made to religious practitioners. </w:t>
      </w:r>
    </w:p>
    <w:p w:rsidR="00A34ABF" w:rsidRDefault="00A34ABF" w:rsidP="00A34ABF">
      <w:pPr>
        <w:keepNext/>
        <w:keepLines/>
        <w:ind w:left="720"/>
        <w:rPr>
          <w:rFonts w:ascii="Arial" w:hAnsi="Arial" w:cs="Arial"/>
          <w:color w:val="000000"/>
          <w:sz w:val="22"/>
          <w:szCs w:val="22"/>
        </w:rPr>
      </w:pPr>
    </w:p>
    <w:p w:rsidR="00D77015" w:rsidRPr="00754141" w:rsidRDefault="0016078D" w:rsidP="00F434FC">
      <w:pPr>
        <w:pStyle w:val="ListParagraph"/>
        <w:keepNext/>
        <w:keepLines/>
        <w:numPr>
          <w:ilvl w:val="0"/>
          <w:numId w:val="16"/>
        </w:numPr>
        <w:spacing w:after="0"/>
        <w:rPr>
          <w:rFonts w:ascii="Arial" w:hAnsi="Arial" w:cs="Arial"/>
          <w:color w:val="000000"/>
        </w:rPr>
      </w:pPr>
      <w:r w:rsidRPr="00754141">
        <w:rPr>
          <w:rFonts w:ascii="Arial" w:hAnsi="Arial" w:cs="Arial"/>
          <w:color w:val="000000"/>
        </w:rPr>
        <w:t>An assessment of the compliance cost impact indicates that the impact will be minor for both implementation and on-going compliance costs. The new instrument is of a minor or machinery nature.</w:t>
      </w:r>
    </w:p>
    <w:p w:rsidR="00486653" w:rsidRPr="009F31A4" w:rsidRDefault="00486653" w:rsidP="00486653">
      <w:pPr>
        <w:rPr>
          <w:rFonts w:ascii="Arial" w:hAnsi="Arial" w:cs="Arial"/>
        </w:rPr>
      </w:pPr>
    </w:p>
    <w:p w:rsidR="00486653" w:rsidRPr="005E6CCE" w:rsidRDefault="00486653" w:rsidP="00486653">
      <w:pPr>
        <w:pStyle w:val="Heading2"/>
        <w:rPr>
          <w:sz w:val="24"/>
          <w:szCs w:val="24"/>
        </w:rPr>
      </w:pPr>
      <w:r w:rsidRPr="005E6CCE">
        <w:rPr>
          <w:sz w:val="24"/>
          <w:szCs w:val="24"/>
        </w:rPr>
        <w:t>Background</w:t>
      </w:r>
    </w:p>
    <w:p w:rsidR="00486653" w:rsidRPr="009F31A4" w:rsidRDefault="00486653" w:rsidP="00486653">
      <w:pPr>
        <w:keepNext/>
        <w:keepLines/>
        <w:rPr>
          <w:rFonts w:ascii="Arial" w:hAnsi="Arial" w:cs="Arial"/>
          <w:b/>
        </w:rPr>
      </w:pPr>
    </w:p>
    <w:p w:rsidR="00486653" w:rsidRDefault="00486653" w:rsidP="00F434FC">
      <w:pPr>
        <w:numPr>
          <w:ilvl w:val="0"/>
          <w:numId w:val="16"/>
        </w:numPr>
        <w:rPr>
          <w:rFonts w:ascii="Arial" w:hAnsi="Arial" w:cs="Arial"/>
          <w:sz w:val="22"/>
          <w:szCs w:val="22"/>
        </w:rPr>
      </w:pPr>
      <w:r>
        <w:rPr>
          <w:rFonts w:ascii="Arial" w:hAnsi="Arial" w:cs="Arial"/>
          <w:sz w:val="22"/>
          <w:szCs w:val="22"/>
        </w:rPr>
        <w:t>This i</w:t>
      </w:r>
      <w:r w:rsidRPr="00A04998">
        <w:rPr>
          <w:rFonts w:ascii="Arial" w:hAnsi="Arial" w:cs="Arial"/>
          <w:sz w:val="22"/>
          <w:szCs w:val="22"/>
        </w:rPr>
        <w:t xml:space="preserve">nstrument has been developed </w:t>
      </w:r>
      <w:r>
        <w:rPr>
          <w:rFonts w:ascii="Arial" w:hAnsi="Arial" w:cs="Arial"/>
          <w:sz w:val="22"/>
          <w:szCs w:val="22"/>
        </w:rPr>
        <w:t xml:space="preserve">to </w:t>
      </w:r>
      <w:r w:rsidRPr="00A04998">
        <w:rPr>
          <w:rFonts w:ascii="Arial" w:hAnsi="Arial" w:cs="Arial"/>
          <w:sz w:val="22"/>
          <w:szCs w:val="22"/>
        </w:rPr>
        <w:t>ensure that</w:t>
      </w:r>
      <w:r w:rsidR="00A34ABF">
        <w:rPr>
          <w:rFonts w:ascii="Arial" w:hAnsi="Arial" w:cs="Arial"/>
          <w:sz w:val="22"/>
          <w:szCs w:val="22"/>
        </w:rPr>
        <w:t xml:space="preserve"> the current withholding </w:t>
      </w:r>
      <w:r w:rsidR="00F23BF7">
        <w:rPr>
          <w:rFonts w:ascii="Arial" w:hAnsi="Arial" w:cs="Arial"/>
          <w:sz w:val="22"/>
          <w:szCs w:val="22"/>
        </w:rPr>
        <w:t xml:space="preserve">and reporting </w:t>
      </w:r>
      <w:r w:rsidR="00A34ABF">
        <w:rPr>
          <w:rFonts w:ascii="Arial" w:hAnsi="Arial" w:cs="Arial"/>
          <w:sz w:val="22"/>
          <w:szCs w:val="22"/>
        </w:rPr>
        <w:t>arrangements continue for certain payments made to religious practitioners.</w:t>
      </w:r>
      <w:r w:rsidR="0023733A">
        <w:rPr>
          <w:rFonts w:ascii="Arial" w:hAnsi="Arial" w:cs="Arial"/>
          <w:sz w:val="22"/>
          <w:szCs w:val="22"/>
        </w:rPr>
        <w:t xml:space="preserve">  </w:t>
      </w:r>
      <w:r w:rsidR="0016078D" w:rsidRPr="0016078D">
        <w:rPr>
          <w:rFonts w:ascii="Arial" w:hAnsi="Arial" w:cs="Arial"/>
          <w:sz w:val="22"/>
          <w:szCs w:val="22"/>
        </w:rPr>
        <w:t xml:space="preserve">The </w:t>
      </w:r>
      <w:r w:rsidR="002A3A25">
        <w:rPr>
          <w:rFonts w:ascii="Arial" w:hAnsi="Arial" w:cs="Arial"/>
          <w:sz w:val="22"/>
          <w:szCs w:val="22"/>
        </w:rPr>
        <w:t>instruments</w:t>
      </w:r>
      <w:r w:rsidR="002A3A25" w:rsidRPr="0016078D">
        <w:rPr>
          <w:rFonts w:ascii="Arial" w:hAnsi="Arial" w:cs="Arial"/>
          <w:sz w:val="22"/>
          <w:szCs w:val="22"/>
        </w:rPr>
        <w:t xml:space="preserve"> </w:t>
      </w:r>
      <w:r w:rsidR="0016078D" w:rsidRPr="0016078D">
        <w:rPr>
          <w:rFonts w:ascii="Arial" w:hAnsi="Arial" w:cs="Arial"/>
          <w:sz w:val="22"/>
          <w:szCs w:val="22"/>
        </w:rPr>
        <w:t>were originally created to lessen withholding and reporting burdens on religious institutions and non-religious entities, to allow religious practitioners to receive payments for allowances, locum services,</w:t>
      </w:r>
      <w:r w:rsidR="008F5ACE">
        <w:rPr>
          <w:rFonts w:ascii="Arial" w:hAnsi="Arial" w:cs="Arial"/>
          <w:sz w:val="22"/>
          <w:szCs w:val="22"/>
        </w:rPr>
        <w:t xml:space="preserve"> work and services</w:t>
      </w:r>
      <w:r w:rsidR="002A3A25">
        <w:rPr>
          <w:rFonts w:ascii="Arial" w:hAnsi="Arial" w:cs="Arial"/>
          <w:sz w:val="22"/>
          <w:szCs w:val="22"/>
        </w:rPr>
        <w:t xml:space="preserve"> performed as a religious practitioner</w:t>
      </w:r>
      <w:r w:rsidR="008F5ACE">
        <w:rPr>
          <w:rFonts w:ascii="Arial" w:hAnsi="Arial" w:cs="Arial"/>
          <w:sz w:val="22"/>
          <w:szCs w:val="22"/>
        </w:rPr>
        <w:t xml:space="preserve">, </w:t>
      </w:r>
      <w:r w:rsidR="0016078D" w:rsidRPr="0016078D">
        <w:rPr>
          <w:rFonts w:ascii="Arial" w:hAnsi="Arial" w:cs="Arial"/>
          <w:sz w:val="22"/>
          <w:szCs w:val="22"/>
        </w:rPr>
        <w:t>chaplaincy and counselling services, without unnecessary withholding.</w:t>
      </w:r>
    </w:p>
    <w:p w:rsidR="00486653" w:rsidRPr="009F31A4" w:rsidRDefault="00486653" w:rsidP="00486653">
      <w:pPr>
        <w:rPr>
          <w:rFonts w:ascii="Arial" w:hAnsi="Arial" w:cs="Arial"/>
        </w:rPr>
      </w:pPr>
    </w:p>
    <w:p w:rsidR="00486653" w:rsidRPr="005E6CCE" w:rsidRDefault="00115375" w:rsidP="00486653">
      <w:pPr>
        <w:pStyle w:val="Heading2"/>
        <w:rPr>
          <w:sz w:val="24"/>
          <w:szCs w:val="24"/>
        </w:rPr>
      </w:pPr>
      <w:r>
        <w:rPr>
          <w:sz w:val="24"/>
          <w:szCs w:val="24"/>
        </w:rPr>
        <w:t>Consultation</w:t>
      </w:r>
    </w:p>
    <w:p w:rsidR="00486653" w:rsidRPr="000C390A" w:rsidRDefault="00486653" w:rsidP="00486653">
      <w:pPr>
        <w:keepNext/>
        <w:keepLines/>
        <w:rPr>
          <w:rFonts w:ascii="Arial" w:hAnsi="Arial" w:cs="Arial"/>
          <w:color w:val="000000"/>
        </w:rPr>
      </w:pPr>
    </w:p>
    <w:p w:rsidR="0016078D" w:rsidRPr="0016078D" w:rsidRDefault="00486653" w:rsidP="00F434FC">
      <w:pPr>
        <w:numPr>
          <w:ilvl w:val="0"/>
          <w:numId w:val="16"/>
        </w:numPr>
        <w:rPr>
          <w:rFonts w:ascii="Arial" w:hAnsi="Arial" w:cs="Arial"/>
          <w:color w:val="000000"/>
          <w:sz w:val="22"/>
          <w:szCs w:val="22"/>
        </w:rPr>
      </w:pPr>
      <w:r w:rsidRPr="000C390A">
        <w:rPr>
          <w:rFonts w:ascii="Arial" w:hAnsi="Arial" w:cs="Arial"/>
          <w:color w:val="000000"/>
          <w:sz w:val="22"/>
          <w:szCs w:val="22"/>
        </w:rPr>
        <w:t>This instrument was developed in consultation</w:t>
      </w:r>
      <w:r w:rsidR="00A34ABF">
        <w:rPr>
          <w:rFonts w:ascii="Arial" w:hAnsi="Arial" w:cs="Arial"/>
          <w:color w:val="000000"/>
          <w:sz w:val="22"/>
          <w:szCs w:val="22"/>
        </w:rPr>
        <w:t xml:space="preserve"> </w:t>
      </w:r>
      <w:r w:rsidR="00733441">
        <w:rPr>
          <w:rFonts w:ascii="Arial" w:hAnsi="Arial" w:cs="Arial"/>
          <w:color w:val="000000"/>
          <w:sz w:val="22"/>
          <w:szCs w:val="22"/>
        </w:rPr>
        <w:t xml:space="preserve">with </w:t>
      </w:r>
      <w:r w:rsidR="00A34ABF">
        <w:rPr>
          <w:rFonts w:ascii="Arial" w:hAnsi="Arial" w:cs="Arial"/>
          <w:color w:val="000000"/>
          <w:sz w:val="22"/>
          <w:szCs w:val="22"/>
        </w:rPr>
        <w:t xml:space="preserve">a </w:t>
      </w:r>
      <w:r w:rsidR="0016078D" w:rsidRPr="0016078D">
        <w:rPr>
          <w:rFonts w:ascii="Arial" w:hAnsi="Arial" w:cs="Arial"/>
          <w:color w:val="000000"/>
          <w:sz w:val="22"/>
          <w:szCs w:val="22"/>
        </w:rPr>
        <w:t>number of religious institutions of various faiths and denominations, along with a large non-religious entity where its members make payments to religious practitioners.</w:t>
      </w:r>
      <w:r w:rsidR="00733441">
        <w:rPr>
          <w:rFonts w:ascii="Arial" w:hAnsi="Arial" w:cs="Arial"/>
          <w:color w:val="000000"/>
          <w:sz w:val="22"/>
          <w:szCs w:val="22"/>
        </w:rPr>
        <w:t xml:space="preserve"> </w:t>
      </w:r>
      <w:r w:rsidR="0016078D" w:rsidRPr="0016078D">
        <w:rPr>
          <w:rFonts w:ascii="Arial" w:hAnsi="Arial" w:cs="Arial"/>
          <w:color w:val="000000"/>
          <w:sz w:val="22"/>
          <w:szCs w:val="22"/>
        </w:rPr>
        <w:t>No negative feedback was received.</w:t>
      </w:r>
    </w:p>
    <w:p w:rsidR="0016078D" w:rsidRDefault="0016078D" w:rsidP="0016078D">
      <w:pPr>
        <w:ind w:left="720"/>
        <w:rPr>
          <w:rFonts w:ascii="Arial" w:hAnsi="Arial" w:cs="Arial"/>
          <w:color w:val="000000"/>
          <w:sz w:val="22"/>
          <w:szCs w:val="22"/>
        </w:rPr>
      </w:pPr>
    </w:p>
    <w:p w:rsidR="004D098C" w:rsidRDefault="0016078D" w:rsidP="00F434FC">
      <w:pPr>
        <w:pStyle w:val="ListParagraph"/>
        <w:numPr>
          <w:ilvl w:val="0"/>
          <w:numId w:val="16"/>
        </w:numPr>
        <w:rPr>
          <w:rFonts w:ascii="Arial" w:hAnsi="Arial" w:cs="Arial"/>
          <w:color w:val="000000"/>
        </w:rPr>
      </w:pPr>
      <w:r w:rsidRPr="00754141">
        <w:rPr>
          <w:rFonts w:ascii="Arial" w:hAnsi="Arial" w:cs="Arial"/>
          <w:color w:val="000000"/>
        </w:rPr>
        <w:t>No further consultation has been conducted as the effect of the instrument is to essentially support current practices.</w:t>
      </w:r>
    </w:p>
    <w:p w:rsidR="0016078D" w:rsidRDefault="0016078D" w:rsidP="0016078D">
      <w:pPr>
        <w:ind w:left="720"/>
        <w:rPr>
          <w:rFonts w:ascii="Arial" w:hAnsi="Arial" w:cs="Arial"/>
          <w:color w:val="000000"/>
        </w:rPr>
      </w:pPr>
    </w:p>
    <w:p w:rsidR="00D77015" w:rsidRPr="0067541C" w:rsidRDefault="00D77015" w:rsidP="00486653">
      <w:pPr>
        <w:spacing w:after="120"/>
        <w:rPr>
          <w:rFonts w:ascii="Arial" w:hAnsi="Arial" w:cs="Arial"/>
          <w:sz w:val="22"/>
          <w:szCs w:val="22"/>
        </w:rPr>
      </w:pPr>
    </w:p>
    <w:p w:rsidR="00AA4DF8" w:rsidRDefault="00071BF1" w:rsidP="00486653">
      <w:pPr>
        <w:pBdr>
          <w:top w:val="single" w:sz="4" w:space="1" w:color="auto"/>
          <w:bottom w:val="single" w:sz="4" w:space="1" w:color="auto"/>
        </w:pBdr>
        <w:rPr>
          <w:rFonts w:ascii="Arial" w:hAnsi="Arial" w:cs="Arial"/>
          <w:b/>
          <w:sz w:val="22"/>
          <w:szCs w:val="22"/>
        </w:rPr>
      </w:pPr>
      <w:bookmarkStart w:id="12" w:name="JSign"/>
      <w:r>
        <w:rPr>
          <w:rFonts w:ascii="Arial" w:hAnsi="Arial" w:cs="Arial"/>
          <w:b/>
          <w:sz w:val="22"/>
          <w:szCs w:val="22"/>
        </w:rPr>
        <w:t>Steve Vesperman</w:t>
      </w:r>
    </w:p>
    <w:p w:rsidR="004B7932" w:rsidRDefault="00486653" w:rsidP="00486653">
      <w:pPr>
        <w:pBdr>
          <w:top w:val="single" w:sz="4" w:space="1" w:color="auto"/>
          <w:bottom w:val="single" w:sz="4" w:space="1" w:color="auto"/>
        </w:pBdr>
        <w:rPr>
          <w:rFonts w:ascii="Arial" w:hAnsi="Arial" w:cs="Arial"/>
          <w:sz w:val="22"/>
          <w:szCs w:val="22"/>
        </w:rPr>
      </w:pPr>
      <w:r>
        <w:rPr>
          <w:rFonts w:ascii="Arial" w:hAnsi="Arial" w:cs="Arial"/>
          <w:b/>
          <w:sz w:val="22"/>
          <w:szCs w:val="22"/>
        </w:rPr>
        <w:t>Deputy</w:t>
      </w:r>
      <w:r w:rsidR="00CB3B6C">
        <w:rPr>
          <w:rFonts w:ascii="Arial" w:hAnsi="Arial" w:cs="Arial"/>
          <w:b/>
          <w:sz w:val="22"/>
          <w:szCs w:val="22"/>
        </w:rPr>
        <w:t xml:space="preserve"> </w:t>
      </w:r>
      <w:r w:rsidRPr="0067541C">
        <w:rPr>
          <w:rFonts w:ascii="Arial" w:hAnsi="Arial" w:cs="Arial"/>
          <w:b/>
          <w:sz w:val="22"/>
          <w:szCs w:val="22"/>
        </w:rPr>
        <w:t>Commissioner of Taxation</w:t>
      </w:r>
      <w:bookmarkEnd w:id="12"/>
    </w:p>
    <w:p w:rsidR="00486653" w:rsidRPr="0067541C" w:rsidRDefault="004B7932" w:rsidP="00486653">
      <w:pPr>
        <w:pBdr>
          <w:top w:val="single" w:sz="4" w:space="1" w:color="auto"/>
          <w:bottom w:val="single" w:sz="4" w:space="1" w:color="auto"/>
        </w:pBdr>
        <w:rPr>
          <w:rFonts w:ascii="Arial" w:hAnsi="Arial" w:cs="Arial"/>
          <w:sz w:val="22"/>
          <w:szCs w:val="22"/>
        </w:rPr>
      </w:pPr>
      <w:r>
        <w:rPr>
          <w:rFonts w:ascii="Arial" w:hAnsi="Arial" w:cs="Arial"/>
          <w:sz w:val="22"/>
          <w:szCs w:val="22"/>
        </w:rPr>
        <w:t>4 February 2016</w:t>
      </w:r>
      <w:bookmarkStart w:id="13" w:name="_GoBack"/>
      <w:bookmarkEnd w:id="13"/>
    </w:p>
    <w:p w:rsidR="00486653" w:rsidRPr="001C6956" w:rsidRDefault="00486653" w:rsidP="00486653">
      <w:pPr>
        <w:ind w:left="1700"/>
        <w:rPr>
          <w:rFonts w:ascii="Arial" w:hAnsi="Arial" w:cs="Arial"/>
          <w:sz w:val="20"/>
        </w:rPr>
      </w:pPr>
    </w:p>
    <w:p w:rsidR="00486653" w:rsidRPr="003E3219" w:rsidRDefault="00486653" w:rsidP="00486653">
      <w:pPr>
        <w:spacing w:after="60"/>
        <w:rPr>
          <w:rFonts w:ascii="Arial" w:hAnsi="Arial" w:cs="Arial"/>
          <w:i/>
          <w:sz w:val="20"/>
        </w:rPr>
      </w:pPr>
      <w:r w:rsidRPr="003E3219">
        <w:rPr>
          <w:rFonts w:ascii="Arial" w:hAnsi="Arial" w:cs="Arial"/>
          <w:i/>
          <w:sz w:val="20"/>
        </w:rPr>
        <w:t>Legislative references:</w:t>
      </w:r>
    </w:p>
    <w:p w:rsidR="00D77015" w:rsidRPr="003E3219" w:rsidRDefault="00D77015" w:rsidP="00486653">
      <w:pPr>
        <w:spacing w:after="60"/>
        <w:rPr>
          <w:rFonts w:ascii="Arial" w:hAnsi="Arial" w:cs="Arial"/>
          <w:i/>
          <w:color w:val="0000FF"/>
          <w:sz w:val="20"/>
        </w:rPr>
      </w:pPr>
    </w:p>
    <w:p w:rsidR="003E3219" w:rsidRPr="003E3219" w:rsidRDefault="003E3219" w:rsidP="003E3219">
      <w:pPr>
        <w:spacing w:after="60"/>
        <w:rPr>
          <w:rFonts w:ascii="Arial" w:hAnsi="Arial" w:cs="Arial"/>
          <w:i/>
          <w:color w:val="000000"/>
          <w:sz w:val="20"/>
        </w:rPr>
      </w:pPr>
      <w:r w:rsidRPr="003E3219">
        <w:rPr>
          <w:rFonts w:ascii="Arial" w:hAnsi="Arial" w:cs="Arial"/>
          <w:i/>
          <w:color w:val="000000"/>
          <w:sz w:val="20"/>
        </w:rPr>
        <w:t>Taxation Administration Act 1953</w:t>
      </w:r>
    </w:p>
    <w:p w:rsidR="003E3219" w:rsidRPr="00795D0C" w:rsidRDefault="003E3219" w:rsidP="003E3219">
      <w:pPr>
        <w:spacing w:after="60"/>
        <w:rPr>
          <w:rFonts w:ascii="Arial" w:hAnsi="Arial" w:cs="Arial"/>
          <w:i/>
          <w:color w:val="000000"/>
          <w:sz w:val="20"/>
        </w:rPr>
      </w:pPr>
      <w:r w:rsidRPr="003E3219">
        <w:rPr>
          <w:rFonts w:ascii="Arial" w:hAnsi="Arial" w:cs="Arial"/>
          <w:i/>
          <w:color w:val="000000"/>
          <w:sz w:val="20"/>
        </w:rPr>
        <w:t>Legislative Instruments Act 2003</w:t>
      </w:r>
    </w:p>
    <w:p w:rsidR="00486653" w:rsidRPr="003E3219" w:rsidRDefault="00486653" w:rsidP="00486653">
      <w:pPr>
        <w:spacing w:after="60"/>
        <w:rPr>
          <w:rFonts w:ascii="Arial" w:hAnsi="Arial" w:cs="Arial"/>
          <w:i/>
          <w:color w:val="000000"/>
          <w:sz w:val="20"/>
        </w:rPr>
      </w:pPr>
      <w:r w:rsidRPr="003E3219">
        <w:rPr>
          <w:rFonts w:ascii="Arial" w:hAnsi="Arial" w:cs="Arial"/>
          <w:i/>
          <w:color w:val="000000"/>
          <w:sz w:val="20"/>
        </w:rPr>
        <w:t>Income Tax Assessment Act 1997</w:t>
      </w:r>
    </w:p>
    <w:p w:rsidR="003E3219" w:rsidRPr="003E3219" w:rsidRDefault="003E3219" w:rsidP="003E3219">
      <w:pPr>
        <w:rPr>
          <w:rFonts w:ascii="Arial" w:hAnsi="Arial" w:cs="Arial"/>
          <w:sz w:val="20"/>
        </w:rPr>
      </w:pPr>
      <w:r w:rsidRPr="003E3219">
        <w:rPr>
          <w:rFonts w:ascii="Arial" w:hAnsi="Arial" w:cs="Arial"/>
          <w:i/>
          <w:sz w:val="20"/>
        </w:rPr>
        <w:t>Human Rights (Parliamentary</w:t>
      </w:r>
      <w:r>
        <w:rPr>
          <w:rFonts w:ascii="Arial" w:hAnsi="Arial" w:cs="Arial"/>
          <w:i/>
          <w:sz w:val="20"/>
        </w:rPr>
        <w:t xml:space="preserve"> S</w:t>
      </w:r>
      <w:r w:rsidRPr="003E3219">
        <w:rPr>
          <w:rFonts w:ascii="Arial" w:hAnsi="Arial" w:cs="Arial"/>
          <w:i/>
          <w:sz w:val="20"/>
        </w:rPr>
        <w:t>crutiny) Act 2011</w:t>
      </w:r>
      <w:r w:rsidRPr="003E3219">
        <w:rPr>
          <w:rFonts w:ascii="Arial" w:hAnsi="Arial" w:cs="Arial"/>
          <w:sz w:val="20"/>
        </w:rPr>
        <w:t xml:space="preserve"> </w:t>
      </w:r>
    </w:p>
    <w:p w:rsidR="00D03448" w:rsidRDefault="00D03448" w:rsidP="00FB1441">
      <w:pPr>
        <w:pStyle w:val="Heading3"/>
        <w:jc w:val="center"/>
      </w:pPr>
      <w:r>
        <w:lastRenderedPageBreak/>
        <w:t>Statement of compatibility with Human Rights</w:t>
      </w:r>
    </w:p>
    <w:p w:rsidR="00D03448" w:rsidRPr="00FB1441" w:rsidRDefault="00D03448" w:rsidP="00D03448">
      <w:pPr>
        <w:pStyle w:val="Heading3"/>
        <w:rPr>
          <w:b w:val="0"/>
          <w:i/>
          <w:sz w:val="22"/>
          <w:szCs w:val="22"/>
        </w:rPr>
      </w:pPr>
      <w:r w:rsidRPr="00FB1441">
        <w:rPr>
          <w:b w:val="0"/>
          <w:sz w:val="22"/>
          <w:szCs w:val="22"/>
        </w:rPr>
        <w:t xml:space="preserve">This Statement is prepared in accordance with Part 3 of the </w:t>
      </w:r>
      <w:r w:rsidRPr="00FB1441">
        <w:rPr>
          <w:b w:val="0"/>
          <w:i/>
          <w:sz w:val="22"/>
          <w:szCs w:val="22"/>
        </w:rPr>
        <w:t>Human Rights (Parliamentary Scrutiny) Act 2011.</w:t>
      </w:r>
    </w:p>
    <w:p w:rsidR="00D03448" w:rsidRDefault="00D03448" w:rsidP="00FB1441"/>
    <w:p w:rsidR="00AC6260" w:rsidRDefault="00AC6260" w:rsidP="00D03448">
      <w:pPr>
        <w:rPr>
          <w:rFonts w:ascii="Arial" w:hAnsi="Arial" w:cs="Arial"/>
          <w:sz w:val="22"/>
          <w:szCs w:val="22"/>
        </w:rPr>
      </w:pPr>
      <w:r w:rsidRPr="00AC6260">
        <w:rPr>
          <w:rFonts w:ascii="Arial" w:hAnsi="Arial" w:cs="Arial"/>
          <w:sz w:val="22"/>
          <w:szCs w:val="22"/>
        </w:rPr>
        <w:t>Pay as you go withholding – Variation and exemption of withholding requirements for certain payments made to religious practitioners</w:t>
      </w:r>
    </w:p>
    <w:p w:rsidR="004C0C65" w:rsidRDefault="004C0C65" w:rsidP="00D03448">
      <w:pPr>
        <w:rPr>
          <w:rFonts w:ascii="Arial" w:hAnsi="Arial" w:cs="Arial"/>
          <w:sz w:val="22"/>
          <w:szCs w:val="22"/>
        </w:rPr>
      </w:pPr>
    </w:p>
    <w:p w:rsidR="00D03448" w:rsidRDefault="00D03448" w:rsidP="00D03448">
      <w:pPr>
        <w:rPr>
          <w:rFonts w:ascii="Arial" w:hAnsi="Arial" w:cs="Arial"/>
          <w:sz w:val="22"/>
          <w:szCs w:val="22"/>
        </w:rPr>
      </w:pPr>
      <w:r w:rsidRPr="002E1A11">
        <w:rPr>
          <w:rFonts w:ascii="Arial" w:hAnsi="Arial" w:cs="Arial"/>
          <w:sz w:val="22"/>
          <w:szCs w:val="22"/>
        </w:rPr>
        <w:t xml:space="preserve">This Legislative Instrument is compatible with the human rights and freedoms recognised or declared in the international instruments listed in section 3 of the </w:t>
      </w:r>
      <w:r w:rsidRPr="003E3219">
        <w:rPr>
          <w:rFonts w:ascii="Arial" w:hAnsi="Arial" w:cs="Arial"/>
          <w:i/>
          <w:sz w:val="22"/>
          <w:szCs w:val="22"/>
        </w:rPr>
        <w:t>Human Rights (Parliamentary Scrutiny) Act 2011</w:t>
      </w:r>
      <w:r w:rsidRPr="002E1A11">
        <w:rPr>
          <w:rFonts w:ascii="Arial" w:hAnsi="Arial" w:cs="Arial"/>
          <w:sz w:val="22"/>
          <w:szCs w:val="22"/>
        </w:rPr>
        <w:t xml:space="preserve">. </w:t>
      </w:r>
    </w:p>
    <w:p w:rsidR="00D03448" w:rsidRPr="002E1A11" w:rsidRDefault="00D03448" w:rsidP="00D03448">
      <w:pPr>
        <w:rPr>
          <w:rFonts w:ascii="Arial" w:hAnsi="Arial" w:cs="Arial"/>
          <w:sz w:val="22"/>
          <w:szCs w:val="22"/>
        </w:rPr>
      </w:pPr>
    </w:p>
    <w:p w:rsidR="00D03448" w:rsidRDefault="00D03448" w:rsidP="00D03448">
      <w:pPr>
        <w:rPr>
          <w:rFonts w:ascii="Arial" w:hAnsi="Arial" w:cs="Arial"/>
          <w:b/>
          <w:sz w:val="22"/>
          <w:szCs w:val="22"/>
        </w:rPr>
      </w:pPr>
      <w:r>
        <w:rPr>
          <w:rFonts w:ascii="Arial" w:hAnsi="Arial" w:cs="Arial"/>
          <w:b/>
          <w:sz w:val="22"/>
          <w:szCs w:val="22"/>
        </w:rPr>
        <w:t>Overview</w:t>
      </w:r>
    </w:p>
    <w:p w:rsidR="00D03448" w:rsidRPr="002E1A11" w:rsidRDefault="00D03448" w:rsidP="00D03448">
      <w:pPr>
        <w:rPr>
          <w:rFonts w:ascii="Arial" w:hAnsi="Arial" w:cs="Arial"/>
          <w:b/>
          <w:sz w:val="22"/>
          <w:szCs w:val="22"/>
        </w:rPr>
      </w:pPr>
    </w:p>
    <w:p w:rsidR="00D03448" w:rsidRDefault="00D03448" w:rsidP="00D03448">
      <w:pPr>
        <w:rPr>
          <w:rFonts w:ascii="Arial" w:hAnsi="Arial" w:cs="Arial"/>
          <w:sz w:val="22"/>
          <w:szCs w:val="22"/>
        </w:rPr>
      </w:pPr>
      <w:r w:rsidRPr="002E1A11">
        <w:rPr>
          <w:rFonts w:ascii="Arial" w:hAnsi="Arial" w:cs="Arial"/>
          <w:sz w:val="22"/>
          <w:szCs w:val="22"/>
        </w:rPr>
        <w:t xml:space="preserve">This Legislative Instrument varies to nil the </w:t>
      </w:r>
      <w:proofErr w:type="gramStart"/>
      <w:r w:rsidRPr="002E1A11">
        <w:rPr>
          <w:rFonts w:ascii="Arial" w:hAnsi="Arial" w:cs="Arial"/>
          <w:sz w:val="22"/>
          <w:szCs w:val="22"/>
        </w:rPr>
        <w:t>amount</w:t>
      </w:r>
      <w:proofErr w:type="gramEnd"/>
      <w:r w:rsidRPr="002E1A11">
        <w:rPr>
          <w:rFonts w:ascii="Arial" w:hAnsi="Arial" w:cs="Arial"/>
          <w:sz w:val="22"/>
          <w:szCs w:val="22"/>
        </w:rPr>
        <w:t xml:space="preserve"> to withhold from the following payments made to religious practitioners:</w:t>
      </w:r>
    </w:p>
    <w:p w:rsidR="00D03448" w:rsidRPr="002E1A11" w:rsidRDefault="00D03448" w:rsidP="00D03448">
      <w:pPr>
        <w:rPr>
          <w:rFonts w:ascii="Arial" w:hAnsi="Arial" w:cs="Arial"/>
          <w:sz w:val="22"/>
          <w:szCs w:val="22"/>
        </w:rPr>
      </w:pPr>
      <w:r w:rsidRPr="002E1A11">
        <w:rPr>
          <w:rFonts w:ascii="Arial" w:hAnsi="Arial" w:cs="Arial"/>
          <w:sz w:val="22"/>
          <w:szCs w:val="22"/>
        </w:rPr>
        <w:t xml:space="preserve"> </w:t>
      </w:r>
    </w:p>
    <w:p w:rsidR="00D03448" w:rsidRPr="002E1A11" w:rsidRDefault="00D03448" w:rsidP="00D03448">
      <w:pPr>
        <w:pStyle w:val="ListParagraph"/>
        <w:numPr>
          <w:ilvl w:val="0"/>
          <w:numId w:val="44"/>
        </w:numPr>
        <w:spacing w:after="0"/>
        <w:rPr>
          <w:rFonts w:ascii="Arial" w:hAnsi="Arial" w:cs="Arial"/>
        </w:rPr>
      </w:pPr>
      <w:r w:rsidRPr="002E1A11">
        <w:rPr>
          <w:rFonts w:ascii="Arial" w:hAnsi="Arial" w:cs="Arial"/>
        </w:rPr>
        <w:t xml:space="preserve">when certain allowances are expected to be fully expended on tax deductible items and the payee </w:t>
      </w:r>
      <w:r w:rsidR="00C70E7F">
        <w:rPr>
          <w:rFonts w:ascii="Arial" w:hAnsi="Arial" w:cs="Arial"/>
        </w:rPr>
        <w:t xml:space="preserve">either has evidence to substantiate their claim or </w:t>
      </w:r>
      <w:r w:rsidRPr="002E1A11">
        <w:rPr>
          <w:rFonts w:ascii="Arial" w:hAnsi="Arial" w:cs="Arial"/>
        </w:rPr>
        <w:t xml:space="preserve">would not be required to substantiate </w:t>
      </w:r>
      <w:r w:rsidR="00C70E7F">
        <w:rPr>
          <w:rFonts w:ascii="Arial" w:hAnsi="Arial" w:cs="Arial"/>
        </w:rPr>
        <w:t xml:space="preserve">the </w:t>
      </w:r>
      <w:r w:rsidRPr="002E1A11">
        <w:rPr>
          <w:rFonts w:ascii="Arial" w:hAnsi="Arial" w:cs="Arial"/>
        </w:rPr>
        <w:t>expenditure incurred in relation to the allowance</w:t>
      </w:r>
      <w:r w:rsidR="00173171">
        <w:rPr>
          <w:rFonts w:ascii="Arial" w:hAnsi="Arial" w:cs="Arial"/>
        </w:rPr>
        <w:t>;</w:t>
      </w:r>
    </w:p>
    <w:p w:rsidR="00D03448" w:rsidRPr="002E1A11" w:rsidRDefault="00D03448" w:rsidP="00D03448">
      <w:pPr>
        <w:pStyle w:val="ListParagraph"/>
        <w:numPr>
          <w:ilvl w:val="0"/>
          <w:numId w:val="44"/>
        </w:numPr>
        <w:spacing w:after="0"/>
        <w:rPr>
          <w:rFonts w:ascii="Arial" w:hAnsi="Arial" w:cs="Arial"/>
        </w:rPr>
      </w:pPr>
      <w:r w:rsidRPr="002E1A11">
        <w:rPr>
          <w:rFonts w:ascii="Arial" w:hAnsi="Arial" w:cs="Arial"/>
        </w:rPr>
        <w:t>payments made by a religious institution to a religious practitioner for locum services performed for a period of not greater than two (2) days in a quarter</w:t>
      </w:r>
      <w:r w:rsidR="00173171">
        <w:rPr>
          <w:rFonts w:ascii="Arial" w:hAnsi="Arial" w:cs="Arial"/>
        </w:rPr>
        <w:t>;</w:t>
      </w:r>
    </w:p>
    <w:p w:rsidR="00D03448" w:rsidRPr="002E1A11" w:rsidRDefault="00D03448" w:rsidP="00D03448">
      <w:pPr>
        <w:pStyle w:val="ListParagraph"/>
        <w:numPr>
          <w:ilvl w:val="0"/>
          <w:numId w:val="44"/>
        </w:numPr>
        <w:spacing w:after="0"/>
        <w:rPr>
          <w:rFonts w:ascii="Arial" w:hAnsi="Arial" w:cs="Arial"/>
        </w:rPr>
      </w:pPr>
      <w:r w:rsidRPr="002E1A11">
        <w:rPr>
          <w:rFonts w:ascii="Arial" w:hAnsi="Arial" w:cs="Arial"/>
        </w:rPr>
        <w:t>payments made by an entity that is not a religious institution to a religious practitioner for work or services</w:t>
      </w:r>
      <w:r w:rsidR="002A3A25">
        <w:rPr>
          <w:rFonts w:ascii="Arial" w:hAnsi="Arial" w:cs="Arial"/>
        </w:rPr>
        <w:t xml:space="preserve"> performed as a religious practitioner</w:t>
      </w:r>
      <w:r w:rsidRPr="002E1A11">
        <w:rPr>
          <w:rFonts w:ascii="Arial" w:hAnsi="Arial" w:cs="Arial"/>
        </w:rPr>
        <w:t xml:space="preserve"> except for the performance of chaplaincy and/or counselling services; and</w:t>
      </w:r>
    </w:p>
    <w:p w:rsidR="008D75A0" w:rsidRPr="00A614E5" w:rsidRDefault="00D03448" w:rsidP="008D75A0">
      <w:pPr>
        <w:pStyle w:val="ListParagraph"/>
        <w:numPr>
          <w:ilvl w:val="0"/>
          <w:numId w:val="44"/>
        </w:numPr>
        <w:spacing w:after="0"/>
        <w:rPr>
          <w:rFonts w:ascii="Arial" w:hAnsi="Arial" w:cs="Arial"/>
        </w:rPr>
      </w:pPr>
      <w:proofErr w:type="gramStart"/>
      <w:r w:rsidRPr="002E1A11">
        <w:rPr>
          <w:rFonts w:ascii="Arial" w:hAnsi="Arial" w:cs="Arial"/>
        </w:rPr>
        <w:t>payments</w:t>
      </w:r>
      <w:proofErr w:type="gramEnd"/>
      <w:r w:rsidRPr="002E1A11">
        <w:rPr>
          <w:rFonts w:ascii="Arial" w:hAnsi="Arial" w:cs="Arial"/>
        </w:rPr>
        <w:t xml:space="preserve"> made by an entity that is not a religious institution to a religious practitioner, for chaplaincy and/or counselling services, where the payment does not exceed </w:t>
      </w:r>
      <w:r w:rsidR="00A92B66">
        <w:rPr>
          <w:rFonts w:ascii="Arial" w:hAnsi="Arial" w:cs="Arial"/>
        </w:rPr>
        <w:t xml:space="preserve">the </w:t>
      </w:r>
      <w:r w:rsidRPr="002E1A11">
        <w:rPr>
          <w:rFonts w:ascii="Arial" w:hAnsi="Arial" w:cs="Arial"/>
        </w:rPr>
        <w:t>amounts stipulated in the Legislative Instrument.</w:t>
      </w:r>
    </w:p>
    <w:p w:rsidR="00D03448" w:rsidRDefault="00D03448" w:rsidP="00D03448">
      <w:pPr>
        <w:rPr>
          <w:rFonts w:ascii="Arial" w:hAnsi="Arial" w:cs="Arial"/>
          <w:sz w:val="22"/>
          <w:szCs w:val="22"/>
        </w:rPr>
      </w:pPr>
    </w:p>
    <w:p w:rsidR="00B26A0B" w:rsidRDefault="00B26A0B" w:rsidP="00B26A0B">
      <w:pPr>
        <w:rPr>
          <w:rFonts w:ascii="Arial" w:hAnsi="Arial" w:cs="Arial"/>
          <w:sz w:val="22"/>
          <w:szCs w:val="22"/>
        </w:rPr>
      </w:pPr>
      <w:r w:rsidRPr="00B26A0B">
        <w:rPr>
          <w:rFonts w:ascii="Arial" w:hAnsi="Arial" w:cs="Arial"/>
          <w:sz w:val="22"/>
          <w:szCs w:val="22"/>
        </w:rPr>
        <w:t xml:space="preserve">This Legislative Instrument also </w:t>
      </w:r>
      <w:r w:rsidR="00AC6260">
        <w:rPr>
          <w:rFonts w:ascii="Arial" w:hAnsi="Arial" w:cs="Arial"/>
          <w:sz w:val="22"/>
          <w:szCs w:val="22"/>
        </w:rPr>
        <w:t xml:space="preserve">exempts </w:t>
      </w:r>
      <w:r w:rsidRPr="00B26A0B">
        <w:rPr>
          <w:rFonts w:ascii="Arial" w:hAnsi="Arial" w:cs="Arial"/>
          <w:sz w:val="22"/>
          <w:szCs w:val="22"/>
        </w:rPr>
        <w:t xml:space="preserve">payment summary and </w:t>
      </w:r>
      <w:r w:rsidR="0006565E">
        <w:rPr>
          <w:rFonts w:ascii="Arial" w:hAnsi="Arial" w:cs="Arial"/>
          <w:sz w:val="22"/>
          <w:szCs w:val="22"/>
        </w:rPr>
        <w:t xml:space="preserve">varies </w:t>
      </w:r>
      <w:r w:rsidRPr="00B26A0B">
        <w:rPr>
          <w:rFonts w:ascii="Arial" w:hAnsi="Arial" w:cs="Arial"/>
          <w:sz w:val="22"/>
          <w:szCs w:val="22"/>
        </w:rPr>
        <w:t xml:space="preserve">annual reporting requirements for the payers of certain payments.  Specifically, payers who make the following types of payments will be exempt from providing payment summaries in respect of those payments and </w:t>
      </w:r>
      <w:r w:rsidR="00AC6260">
        <w:rPr>
          <w:rFonts w:ascii="Arial" w:hAnsi="Arial" w:cs="Arial"/>
          <w:sz w:val="22"/>
          <w:szCs w:val="22"/>
        </w:rPr>
        <w:t xml:space="preserve">are not required to </w:t>
      </w:r>
      <w:r w:rsidRPr="00B26A0B">
        <w:rPr>
          <w:rFonts w:ascii="Arial" w:hAnsi="Arial" w:cs="Arial"/>
          <w:sz w:val="22"/>
          <w:szCs w:val="22"/>
        </w:rPr>
        <w:t>report those amounts in their annual report:</w:t>
      </w:r>
    </w:p>
    <w:p w:rsidR="00B26A0B" w:rsidRPr="00B26A0B" w:rsidRDefault="00B26A0B" w:rsidP="00B26A0B">
      <w:pPr>
        <w:rPr>
          <w:rFonts w:ascii="Arial" w:hAnsi="Arial" w:cs="Arial"/>
          <w:sz w:val="22"/>
          <w:szCs w:val="22"/>
        </w:rPr>
      </w:pPr>
    </w:p>
    <w:p w:rsidR="00B26A0B" w:rsidRPr="00A614E5" w:rsidRDefault="00B26A0B" w:rsidP="00A614E5">
      <w:pPr>
        <w:pStyle w:val="ListParagraph"/>
        <w:numPr>
          <w:ilvl w:val="0"/>
          <w:numId w:val="61"/>
        </w:numPr>
        <w:spacing w:after="0"/>
        <w:rPr>
          <w:rFonts w:ascii="Arial" w:hAnsi="Arial" w:cs="Arial"/>
        </w:rPr>
      </w:pPr>
      <w:r w:rsidRPr="00A614E5">
        <w:rPr>
          <w:rFonts w:ascii="Arial" w:hAnsi="Arial" w:cs="Arial"/>
        </w:rPr>
        <w:t>payments made by an entity that is not a religious institution to a religious</w:t>
      </w:r>
      <w:r w:rsidR="00210ADF" w:rsidRPr="00951C4F">
        <w:rPr>
          <w:rFonts w:ascii="Arial" w:hAnsi="Arial" w:cs="Arial"/>
        </w:rPr>
        <w:t xml:space="preserve"> </w:t>
      </w:r>
      <w:r w:rsidRPr="00A614E5">
        <w:rPr>
          <w:rFonts w:ascii="Arial" w:hAnsi="Arial" w:cs="Arial"/>
        </w:rPr>
        <w:t xml:space="preserve">practitioner for work or services </w:t>
      </w:r>
      <w:r w:rsidR="002A3A25">
        <w:rPr>
          <w:rFonts w:ascii="Arial" w:hAnsi="Arial" w:cs="Arial"/>
        </w:rPr>
        <w:t xml:space="preserve">performed as a religious practitioner </w:t>
      </w:r>
      <w:r w:rsidRPr="00A614E5">
        <w:rPr>
          <w:rFonts w:ascii="Arial" w:hAnsi="Arial" w:cs="Arial"/>
        </w:rPr>
        <w:t>except for the performance of chaplaincy</w:t>
      </w:r>
      <w:r w:rsidR="00210ADF" w:rsidRPr="00951C4F">
        <w:rPr>
          <w:rFonts w:ascii="Arial" w:hAnsi="Arial" w:cs="Arial"/>
        </w:rPr>
        <w:t xml:space="preserve"> </w:t>
      </w:r>
      <w:r w:rsidRPr="00A614E5">
        <w:rPr>
          <w:rFonts w:ascii="Arial" w:hAnsi="Arial" w:cs="Arial"/>
        </w:rPr>
        <w:t>and/or counselling</w:t>
      </w:r>
      <w:r w:rsidR="0077260E" w:rsidRPr="00A614E5">
        <w:rPr>
          <w:rFonts w:ascii="Arial" w:hAnsi="Arial" w:cs="Arial"/>
        </w:rPr>
        <w:t xml:space="preserve"> services</w:t>
      </w:r>
      <w:r w:rsidRPr="00A614E5">
        <w:rPr>
          <w:rFonts w:ascii="Arial" w:hAnsi="Arial" w:cs="Arial"/>
        </w:rPr>
        <w:t>; and</w:t>
      </w:r>
    </w:p>
    <w:p w:rsidR="00B26A0B" w:rsidRPr="00A614E5" w:rsidRDefault="00B26A0B" w:rsidP="00A614E5">
      <w:pPr>
        <w:pStyle w:val="ListParagraph"/>
        <w:numPr>
          <w:ilvl w:val="0"/>
          <w:numId w:val="61"/>
        </w:numPr>
        <w:spacing w:after="0"/>
        <w:rPr>
          <w:rFonts w:ascii="Arial" w:hAnsi="Arial" w:cs="Arial"/>
        </w:rPr>
      </w:pPr>
      <w:proofErr w:type="gramStart"/>
      <w:r w:rsidRPr="00A614E5">
        <w:rPr>
          <w:rFonts w:ascii="Arial" w:hAnsi="Arial" w:cs="Arial"/>
        </w:rPr>
        <w:t>payments</w:t>
      </w:r>
      <w:proofErr w:type="gramEnd"/>
      <w:r w:rsidRPr="00A614E5">
        <w:rPr>
          <w:rFonts w:ascii="Arial" w:hAnsi="Arial" w:cs="Arial"/>
        </w:rPr>
        <w:t xml:space="preserve"> made by an entity that is not a religious institution to a religious</w:t>
      </w:r>
      <w:r w:rsidR="00210ADF" w:rsidRPr="00951C4F">
        <w:rPr>
          <w:rFonts w:ascii="Arial" w:hAnsi="Arial" w:cs="Arial"/>
        </w:rPr>
        <w:t xml:space="preserve"> </w:t>
      </w:r>
      <w:r w:rsidRPr="00A614E5">
        <w:rPr>
          <w:rFonts w:ascii="Arial" w:hAnsi="Arial" w:cs="Arial"/>
        </w:rPr>
        <w:t>practitioner, for chaplaincy and/or counselling services, where the payment</w:t>
      </w:r>
      <w:r w:rsidR="00210ADF" w:rsidRPr="00951C4F">
        <w:rPr>
          <w:rFonts w:ascii="Arial" w:hAnsi="Arial" w:cs="Arial"/>
        </w:rPr>
        <w:t xml:space="preserve"> </w:t>
      </w:r>
      <w:r w:rsidRPr="00A614E5">
        <w:rPr>
          <w:rFonts w:ascii="Arial" w:hAnsi="Arial" w:cs="Arial"/>
        </w:rPr>
        <w:t>does not exceed amounts stipulated in the Legislative Instrument.</w:t>
      </w:r>
    </w:p>
    <w:p w:rsidR="00B26A0B" w:rsidRPr="002E1A11" w:rsidRDefault="00B26A0B" w:rsidP="00D03448">
      <w:pPr>
        <w:rPr>
          <w:rFonts w:ascii="Arial" w:hAnsi="Arial" w:cs="Arial"/>
          <w:sz w:val="22"/>
          <w:szCs w:val="22"/>
        </w:rPr>
      </w:pPr>
    </w:p>
    <w:p w:rsidR="00D03448" w:rsidRDefault="00D03448" w:rsidP="00D03448">
      <w:pPr>
        <w:rPr>
          <w:rFonts w:ascii="Arial" w:hAnsi="Arial" w:cs="Arial"/>
          <w:b/>
          <w:sz w:val="22"/>
          <w:szCs w:val="22"/>
        </w:rPr>
      </w:pPr>
      <w:r w:rsidRPr="002E1A11">
        <w:rPr>
          <w:rFonts w:ascii="Arial" w:hAnsi="Arial" w:cs="Arial"/>
          <w:b/>
          <w:sz w:val="22"/>
          <w:szCs w:val="22"/>
        </w:rPr>
        <w:t xml:space="preserve">Human rights implications </w:t>
      </w:r>
    </w:p>
    <w:p w:rsidR="00D03448" w:rsidRPr="002E1A11" w:rsidRDefault="00D03448" w:rsidP="00D03448">
      <w:pPr>
        <w:rPr>
          <w:rFonts w:ascii="Arial" w:hAnsi="Arial" w:cs="Arial"/>
          <w:b/>
          <w:sz w:val="22"/>
          <w:szCs w:val="22"/>
        </w:rPr>
      </w:pPr>
    </w:p>
    <w:p w:rsidR="00D03448" w:rsidRPr="002E1A11" w:rsidRDefault="00D03448" w:rsidP="00D03448">
      <w:pPr>
        <w:rPr>
          <w:rFonts w:ascii="Arial" w:hAnsi="Arial" w:cs="Arial"/>
          <w:sz w:val="22"/>
          <w:szCs w:val="22"/>
        </w:rPr>
      </w:pPr>
      <w:r w:rsidRPr="002E1A11">
        <w:rPr>
          <w:rFonts w:ascii="Arial" w:hAnsi="Arial" w:cs="Arial"/>
          <w:sz w:val="22"/>
          <w:szCs w:val="22"/>
        </w:rPr>
        <w:t xml:space="preserve">This legislative instrument does not engage any of the applicable rights or freedoms because the new instrument is of a minor or machinery nature. </w:t>
      </w:r>
    </w:p>
    <w:p w:rsidR="00D03448" w:rsidRDefault="00D03448" w:rsidP="00D03448">
      <w:pPr>
        <w:rPr>
          <w:rFonts w:ascii="Arial" w:hAnsi="Arial" w:cs="Arial"/>
          <w:b/>
          <w:sz w:val="22"/>
          <w:szCs w:val="22"/>
        </w:rPr>
      </w:pPr>
    </w:p>
    <w:p w:rsidR="00D03448" w:rsidRDefault="00D03448" w:rsidP="00D03448">
      <w:pPr>
        <w:rPr>
          <w:rFonts w:ascii="Arial" w:hAnsi="Arial" w:cs="Arial"/>
          <w:b/>
          <w:sz w:val="22"/>
          <w:szCs w:val="22"/>
        </w:rPr>
      </w:pPr>
      <w:r w:rsidRPr="002E1A11">
        <w:rPr>
          <w:rFonts w:ascii="Arial" w:hAnsi="Arial" w:cs="Arial"/>
          <w:b/>
          <w:sz w:val="22"/>
          <w:szCs w:val="22"/>
        </w:rPr>
        <w:t>Conclusion</w:t>
      </w:r>
    </w:p>
    <w:p w:rsidR="00D03448" w:rsidRPr="002E1A11" w:rsidRDefault="00D03448" w:rsidP="00D03448">
      <w:pPr>
        <w:rPr>
          <w:rFonts w:ascii="Arial" w:hAnsi="Arial" w:cs="Arial"/>
          <w:b/>
          <w:sz w:val="22"/>
          <w:szCs w:val="22"/>
        </w:rPr>
      </w:pPr>
      <w:r w:rsidRPr="002E1A11">
        <w:rPr>
          <w:rFonts w:ascii="Arial" w:hAnsi="Arial" w:cs="Arial"/>
          <w:b/>
          <w:sz w:val="22"/>
          <w:szCs w:val="22"/>
        </w:rPr>
        <w:t xml:space="preserve"> </w:t>
      </w:r>
    </w:p>
    <w:p w:rsidR="00D03448" w:rsidRPr="002E1A11" w:rsidRDefault="00D03448" w:rsidP="00D03448">
      <w:pPr>
        <w:rPr>
          <w:rFonts w:ascii="Arial" w:hAnsi="Arial" w:cs="Arial"/>
          <w:sz w:val="22"/>
          <w:szCs w:val="22"/>
        </w:rPr>
      </w:pPr>
      <w:r w:rsidRPr="002E1A11">
        <w:rPr>
          <w:rFonts w:ascii="Arial" w:hAnsi="Arial" w:cs="Arial"/>
          <w:sz w:val="22"/>
          <w:szCs w:val="22"/>
        </w:rPr>
        <w:t>This legislative instrument is compatible with human rights as it does not raise any human rights issues.</w:t>
      </w:r>
    </w:p>
    <w:p w:rsidR="00D03448" w:rsidRPr="00D03448" w:rsidRDefault="00D03448" w:rsidP="00FB1441"/>
    <w:sectPr w:rsidR="00D03448" w:rsidRPr="00D03448" w:rsidSect="007F45E1">
      <w:headerReference w:type="even" r:id="rId9"/>
      <w:headerReference w:type="default" r:id="rId10"/>
      <w:headerReference w:type="first" r:id="rId11"/>
      <w:pgSz w:w="11906" w:h="16838" w:code="9"/>
      <w:pgMar w:top="1440" w:right="1700" w:bottom="426" w:left="1843"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51" w:rsidRDefault="00281551">
      <w:r>
        <w:separator/>
      </w:r>
    </w:p>
  </w:endnote>
  <w:endnote w:type="continuationSeparator" w:id="0">
    <w:p w:rsidR="00281551" w:rsidRDefault="0028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51" w:rsidRDefault="00281551">
      <w:r>
        <w:separator/>
      </w:r>
    </w:p>
  </w:footnote>
  <w:footnote w:type="continuationSeparator" w:id="0">
    <w:p w:rsidR="00281551" w:rsidRDefault="00281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Pr="0067541C" w:rsidRDefault="00587C50">
    <w:pPr>
      <w:pStyle w:val="Header"/>
      <w:rPr>
        <w:rFonts w:ascii="Arial" w:hAnsi="Arial" w:cs="Arial"/>
        <w:sz w:val="52"/>
      </w:rPr>
    </w:pPr>
    <w:r w:rsidRPr="0067541C">
      <w:rPr>
        <w:rFonts w:ascii="Arial" w:hAnsi="Arial" w:cs="Arial"/>
        <w:sz w:val="20"/>
      </w:rPr>
      <w:t>Taxation Determination</w:t>
    </w:r>
  </w:p>
  <w:p w:rsidR="00587C50" w:rsidRPr="0067541C" w:rsidRDefault="00587C50">
    <w:pPr>
      <w:pStyle w:val="Header"/>
      <w:rPr>
        <w:rFonts w:ascii="Arial" w:hAnsi="Arial" w:cs="Arial"/>
        <w:sz w:val="52"/>
      </w:rPr>
    </w:pPr>
    <w:r w:rsidRPr="0067541C">
      <w:rPr>
        <w:rFonts w:ascii="Arial" w:hAnsi="Arial" w:cs="Arial"/>
        <w:b/>
        <w:sz w:val="52"/>
      </w:rPr>
      <w:t xml:space="preserve">TD </w:t>
    </w:r>
  </w:p>
  <w:p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sidR="001B58F8">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06565E">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ED8" w:rsidRPr="00333FE9"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jc w:val="center"/>
      <w:rPr>
        <w:rFonts w:ascii="Arial" w:hAnsi="Arial" w:cs="Arial"/>
        <w:sz w:val="20"/>
      </w:rPr>
    </w:pPr>
    <w:bookmarkStart w:id="14" w:name="AType"/>
    <w:r>
      <w:rPr>
        <w:rFonts w:ascii="Arial" w:hAnsi="Arial" w:cs="Arial"/>
        <w:sz w:val="20"/>
      </w:rPr>
      <w:t xml:space="preserve">Australian </w:t>
    </w:r>
    <w:r w:rsidRPr="00333FE9">
      <w:rPr>
        <w:rFonts w:ascii="Arial" w:hAnsi="Arial" w:cs="Arial"/>
        <w:sz w:val="20"/>
      </w:rPr>
      <w:t xml:space="preserve">Taxation </w:t>
    </w:r>
    <w:r>
      <w:rPr>
        <w:rFonts w:ascii="Arial" w:hAnsi="Arial" w:cs="Arial"/>
        <w:sz w:val="20"/>
      </w:rPr>
      <w:t>Office Legislative Instrument</w:t>
    </w:r>
  </w:p>
  <w:p w:rsidR="00146ED8" w:rsidRPr="00146ED8" w:rsidRDefault="00146ED8" w:rsidP="00E36A38">
    <w:pPr>
      <w:framePr w:w="4381" w:h="732" w:hSpace="180" w:wrap="around" w:vAnchor="page" w:hAnchor="page" w:x="5761" w:y="991"/>
      <w:pBdr>
        <w:top w:val="single" w:sz="12" w:space="1" w:color="auto"/>
        <w:left w:val="single" w:sz="12" w:space="1" w:color="auto"/>
        <w:bottom w:val="single" w:sz="12" w:space="1" w:color="auto"/>
        <w:right w:val="single" w:sz="12" w:space="1" w:color="auto"/>
      </w:pBdr>
      <w:rPr>
        <w:rFonts w:ascii="Arial" w:hAnsi="Arial" w:cs="Arial"/>
        <w:sz w:val="28"/>
        <w:szCs w:val="28"/>
      </w:rPr>
    </w:pPr>
    <w:bookmarkStart w:id="15" w:name="BPrefix"/>
    <w:bookmarkEnd w:id="14"/>
    <w:r>
      <w:rPr>
        <w:rFonts w:ascii="Arial" w:hAnsi="Arial" w:cs="Arial"/>
        <w:b/>
        <w:sz w:val="32"/>
        <w:szCs w:val="32"/>
      </w:rPr>
      <w:t xml:space="preserve">  </w:t>
    </w:r>
    <w:r w:rsidRPr="00146ED8">
      <w:rPr>
        <w:rFonts w:ascii="Arial" w:hAnsi="Arial" w:cs="Arial"/>
        <w:b/>
        <w:sz w:val="28"/>
        <w:szCs w:val="28"/>
      </w:rPr>
      <w:t>Inst</w:t>
    </w:r>
    <w:bookmarkStart w:id="16" w:name="CDocnum"/>
    <w:bookmarkEnd w:id="15"/>
    <w:bookmarkEnd w:id="16"/>
    <w:r w:rsidRPr="00146ED8">
      <w:rPr>
        <w:rFonts w:ascii="Arial" w:hAnsi="Arial" w:cs="Arial"/>
        <w:b/>
        <w:sz w:val="28"/>
        <w:szCs w:val="28"/>
      </w:rPr>
      <w:t xml:space="preserve">rument ID: </w:t>
    </w:r>
    <w:r w:rsidR="009E4DFC">
      <w:rPr>
        <w:rFonts w:ascii="Arial" w:hAnsi="Arial" w:cs="Arial"/>
        <w:b/>
        <w:sz w:val="28"/>
        <w:szCs w:val="28"/>
      </w:rPr>
      <w:t>2016</w:t>
    </w:r>
    <w:r w:rsidRPr="00146ED8">
      <w:rPr>
        <w:rFonts w:ascii="Arial" w:hAnsi="Arial" w:cs="Arial"/>
        <w:b/>
        <w:sz w:val="28"/>
        <w:szCs w:val="28"/>
      </w:rPr>
      <w:t>/</w:t>
    </w:r>
    <w:r w:rsidR="009E4DFC">
      <w:rPr>
        <w:rFonts w:ascii="Arial" w:hAnsi="Arial" w:cs="Arial"/>
        <w:b/>
        <w:sz w:val="28"/>
        <w:szCs w:val="28"/>
      </w:rPr>
      <w:t>SMB</w:t>
    </w:r>
    <w:r w:rsidRPr="00146ED8">
      <w:rPr>
        <w:rFonts w:ascii="Arial" w:hAnsi="Arial" w:cs="Arial"/>
        <w:b/>
        <w:sz w:val="28"/>
        <w:szCs w:val="28"/>
      </w:rPr>
      <w:t>/</w:t>
    </w:r>
    <w:r w:rsidR="00316990">
      <w:rPr>
        <w:rFonts w:ascii="Arial" w:hAnsi="Arial" w:cs="Arial"/>
        <w:b/>
        <w:sz w:val="28"/>
        <w:szCs w:val="28"/>
      </w:rPr>
      <w:t>00</w:t>
    </w:r>
    <w:r w:rsidR="009E4DFC">
      <w:rPr>
        <w:rFonts w:ascii="Arial" w:hAnsi="Arial" w:cs="Arial"/>
        <w:b/>
        <w:sz w:val="28"/>
        <w:szCs w:val="28"/>
      </w:rPr>
      <w:t>07</w:t>
    </w:r>
  </w:p>
  <w:p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5BF818B9" wp14:editId="57D952B0">
          <wp:extent cx="2413635" cy="701675"/>
          <wp:effectExtent l="0" t="0" r="5715" b="317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nsid w:val="01792708"/>
    <w:multiLevelType w:val="hybridMultilevel"/>
    <w:tmpl w:val="2E08356A"/>
    <w:lvl w:ilvl="0" w:tplc="83AAAB90">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049C0269"/>
    <w:multiLevelType w:val="hybridMultilevel"/>
    <w:tmpl w:val="5A4A642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57A4277"/>
    <w:multiLevelType w:val="hybridMultilevel"/>
    <w:tmpl w:val="0C66120E"/>
    <w:lvl w:ilvl="0" w:tplc="04104052">
      <w:start w:val="1"/>
      <w:numFmt w:val="decimal"/>
      <w:lvlText w:val="%1."/>
      <w:lvlJc w:val="left"/>
      <w:pPr>
        <w:tabs>
          <w:tab w:val="num" w:pos="1429"/>
        </w:tabs>
        <w:ind w:left="1429" w:hanging="360"/>
      </w:pPr>
      <w:rPr>
        <w:rFonts w:hint="default"/>
        <w:sz w:val="22"/>
        <w:szCs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nsid w:val="0B3117D5"/>
    <w:multiLevelType w:val="hybridMultilevel"/>
    <w:tmpl w:val="1068E9D0"/>
    <w:lvl w:ilvl="0" w:tplc="04104052">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nsid w:val="0E9F1AE8"/>
    <w:multiLevelType w:val="hybridMultilevel"/>
    <w:tmpl w:val="BB40FC0A"/>
    <w:lvl w:ilvl="0" w:tplc="04104052">
      <w:start w:val="1"/>
      <w:numFmt w:val="decimal"/>
      <w:lvlText w:val="%1."/>
      <w:lvlJc w:val="left"/>
      <w:pPr>
        <w:tabs>
          <w:tab w:val="num" w:pos="1440"/>
        </w:tabs>
        <w:ind w:left="1440" w:hanging="360"/>
      </w:pPr>
      <w:rPr>
        <w:rFonts w:hint="default"/>
        <w:sz w:val="22"/>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1">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2">
    <w:nsid w:val="153F3CF6"/>
    <w:multiLevelType w:val="hybridMultilevel"/>
    <w:tmpl w:val="F5682DC0"/>
    <w:lvl w:ilvl="0" w:tplc="04104052">
      <w:start w:val="1"/>
      <w:numFmt w:val="decimal"/>
      <w:lvlText w:val="%1."/>
      <w:lvlJc w:val="left"/>
      <w:pPr>
        <w:ind w:left="1429" w:hanging="360"/>
      </w:pPr>
      <w:rPr>
        <w:rFonts w:hint="default"/>
        <w:sz w:val="22"/>
        <w:szCs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nsid w:val="197264C2"/>
    <w:multiLevelType w:val="hybridMultilevel"/>
    <w:tmpl w:val="894A6500"/>
    <w:lvl w:ilvl="0" w:tplc="04104052">
      <w:start w:val="1"/>
      <w:numFmt w:val="decimal"/>
      <w:lvlText w:val="%1."/>
      <w:lvlJc w:val="left"/>
      <w:pPr>
        <w:tabs>
          <w:tab w:val="num" w:pos="720"/>
        </w:tabs>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A57296B"/>
    <w:multiLevelType w:val="hybridMultilevel"/>
    <w:tmpl w:val="1604EAD6"/>
    <w:lvl w:ilvl="0" w:tplc="691A78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nsid w:val="2027309A"/>
    <w:multiLevelType w:val="hybridMultilevel"/>
    <w:tmpl w:val="83A4BF5C"/>
    <w:lvl w:ilvl="0" w:tplc="04104052">
      <w:start w:val="1"/>
      <w:numFmt w:val="decimal"/>
      <w:lvlText w:val="%1."/>
      <w:lvlJc w:val="left"/>
      <w:pPr>
        <w:tabs>
          <w:tab w:val="num" w:pos="1440"/>
        </w:tabs>
        <w:ind w:left="1440" w:hanging="360"/>
      </w:pPr>
      <w:rPr>
        <w:rFonts w:hint="default"/>
        <w:sz w:val="22"/>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1">
    <w:nsid w:val="221E0EC3"/>
    <w:multiLevelType w:val="hybridMultilevel"/>
    <w:tmpl w:val="F08E32B0"/>
    <w:lvl w:ilvl="0" w:tplc="04104052">
      <w:start w:val="1"/>
      <w:numFmt w:val="decimal"/>
      <w:lvlText w:val="%1."/>
      <w:lvlJc w:val="left"/>
      <w:pPr>
        <w:tabs>
          <w:tab w:val="num" w:pos="1440"/>
        </w:tabs>
        <w:ind w:left="1440" w:hanging="360"/>
      </w:pPr>
      <w:rPr>
        <w:rFonts w:hint="default"/>
        <w:sz w:val="22"/>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22B6620B"/>
    <w:multiLevelType w:val="hybridMultilevel"/>
    <w:tmpl w:val="32D0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45224F0"/>
    <w:multiLevelType w:val="hybridMultilevel"/>
    <w:tmpl w:val="682AA7A0"/>
    <w:lvl w:ilvl="0" w:tplc="04104052">
      <w:start w:val="1"/>
      <w:numFmt w:val="decimal"/>
      <w:lvlText w:val="%1."/>
      <w:lvlJc w:val="left"/>
      <w:pPr>
        <w:tabs>
          <w:tab w:val="num" w:pos="1440"/>
        </w:tabs>
        <w:ind w:left="1440" w:hanging="360"/>
      </w:pPr>
      <w:rPr>
        <w:rFonts w:hint="default"/>
        <w:sz w:val="22"/>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5">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nsid w:val="28F2765B"/>
    <w:multiLevelType w:val="hybridMultilevel"/>
    <w:tmpl w:val="8B8E5CC2"/>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2A860D67"/>
    <w:multiLevelType w:val="hybridMultilevel"/>
    <w:tmpl w:val="CF3CC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31">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32">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31C91CC0"/>
    <w:multiLevelType w:val="hybridMultilevel"/>
    <w:tmpl w:val="622A5070"/>
    <w:lvl w:ilvl="0" w:tplc="83AAAB90">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FCC3903"/>
    <w:multiLevelType w:val="hybridMultilevel"/>
    <w:tmpl w:val="161EC9C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4144001B"/>
    <w:multiLevelType w:val="hybridMultilevel"/>
    <w:tmpl w:val="8F5EA992"/>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8">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9">
    <w:nsid w:val="429624E1"/>
    <w:multiLevelType w:val="hybridMultilevel"/>
    <w:tmpl w:val="F1D4D796"/>
    <w:lvl w:ilvl="0" w:tplc="04104052">
      <w:start w:val="1"/>
      <w:numFmt w:val="decimal"/>
      <w:lvlText w:val="%1."/>
      <w:lvlJc w:val="left"/>
      <w:pPr>
        <w:tabs>
          <w:tab w:val="num" w:pos="720"/>
        </w:tabs>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4B3C0A2A"/>
    <w:multiLevelType w:val="hybridMultilevel"/>
    <w:tmpl w:val="5596F2AE"/>
    <w:lvl w:ilvl="0" w:tplc="04104052">
      <w:start w:val="1"/>
      <w:numFmt w:val="decimal"/>
      <w:lvlText w:val="%1."/>
      <w:lvlJc w:val="left"/>
      <w:pPr>
        <w:tabs>
          <w:tab w:val="num" w:pos="1440"/>
        </w:tabs>
        <w:ind w:left="1440" w:hanging="360"/>
      </w:pPr>
      <w:rPr>
        <w:rFonts w:hint="default"/>
        <w:sz w:val="22"/>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nsid w:val="4CA3552E"/>
    <w:multiLevelType w:val="hybridMultilevel"/>
    <w:tmpl w:val="2C1A4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4">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5">
    <w:nsid w:val="56350221"/>
    <w:multiLevelType w:val="hybridMultilevel"/>
    <w:tmpl w:val="CFEC2328"/>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57AE6C12"/>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8">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3">
    <w:nsid w:val="67EB7F9F"/>
    <w:multiLevelType w:val="hybridMultilevel"/>
    <w:tmpl w:val="7B26C31E"/>
    <w:lvl w:ilvl="0" w:tplc="691A78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nsid w:val="750A6513"/>
    <w:multiLevelType w:val="hybridMultilevel"/>
    <w:tmpl w:val="94BC6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8133490"/>
    <w:multiLevelType w:val="hybridMultilevel"/>
    <w:tmpl w:val="6A92F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36"/>
  </w:num>
  <w:num w:numId="4">
    <w:abstractNumId w:val="56"/>
  </w:num>
  <w:num w:numId="5">
    <w:abstractNumId w:val="9"/>
  </w:num>
  <w:num w:numId="6">
    <w:abstractNumId w:val="20"/>
  </w:num>
  <w:num w:numId="7">
    <w:abstractNumId w:val="50"/>
  </w:num>
  <w:num w:numId="8">
    <w:abstractNumId w:val="49"/>
  </w:num>
  <w:num w:numId="9">
    <w:abstractNumId w:val="40"/>
  </w:num>
  <w:num w:numId="10">
    <w:abstractNumId w:val="33"/>
  </w:num>
  <w:num w:numId="11">
    <w:abstractNumId w:val="59"/>
  </w:num>
  <w:num w:numId="12">
    <w:abstractNumId w:val="51"/>
  </w:num>
  <w:num w:numId="13">
    <w:abstractNumId w:val="55"/>
  </w:num>
  <w:num w:numId="14">
    <w:abstractNumId w:val="54"/>
  </w:num>
  <w:num w:numId="15">
    <w:abstractNumId w:val="32"/>
  </w:num>
  <w:num w:numId="16">
    <w:abstractNumId w:val="35"/>
  </w:num>
  <w:num w:numId="17">
    <w:abstractNumId w:val="17"/>
  </w:num>
  <w:num w:numId="18">
    <w:abstractNumId w:val="26"/>
  </w:num>
  <w:num w:numId="19">
    <w:abstractNumId w:val="6"/>
  </w:num>
  <w:num w:numId="20">
    <w:abstractNumId w:val="2"/>
  </w:num>
  <w:num w:numId="21">
    <w:abstractNumId w:val="19"/>
  </w:num>
  <w:num w:numId="22">
    <w:abstractNumId w:val="47"/>
  </w:num>
  <w:num w:numId="23">
    <w:abstractNumId w:val="14"/>
  </w:num>
  <w:num w:numId="24">
    <w:abstractNumId w:val="31"/>
  </w:num>
  <w:num w:numId="25">
    <w:abstractNumId w:val="44"/>
  </w:num>
  <w:num w:numId="26">
    <w:abstractNumId w:val="43"/>
  </w:num>
  <w:num w:numId="27">
    <w:abstractNumId w:val="13"/>
  </w:num>
  <w:num w:numId="28">
    <w:abstractNumId w:val="48"/>
  </w:num>
  <w:num w:numId="29">
    <w:abstractNumId w:val="30"/>
  </w:num>
  <w:num w:numId="30">
    <w:abstractNumId w:val="24"/>
  </w:num>
  <w:num w:numId="31">
    <w:abstractNumId w:val="10"/>
  </w:num>
  <w:num w:numId="32">
    <w:abstractNumId w:val="0"/>
  </w:num>
  <w:num w:numId="33">
    <w:abstractNumId w:val="11"/>
  </w:num>
  <w:num w:numId="34">
    <w:abstractNumId w:val="38"/>
  </w:num>
  <w:num w:numId="35">
    <w:abstractNumId w:val="52"/>
  </w:num>
  <w:num w:numId="36">
    <w:abstractNumId w:val="29"/>
  </w:num>
  <w:num w:numId="37">
    <w:abstractNumId w:val="46"/>
  </w:num>
  <w:num w:numId="38">
    <w:abstractNumId w:val="27"/>
  </w:num>
  <w:num w:numId="39">
    <w:abstractNumId w:val="4"/>
  </w:num>
  <w:num w:numId="40">
    <w:abstractNumId w:val="12"/>
  </w:num>
  <w:num w:numId="41">
    <w:abstractNumId w:val="5"/>
  </w:num>
  <w:num w:numId="42">
    <w:abstractNumId w:val="22"/>
  </w:num>
  <w:num w:numId="43">
    <w:abstractNumId w:val="34"/>
  </w:num>
  <w:num w:numId="44">
    <w:abstractNumId w:val="1"/>
  </w:num>
  <w:num w:numId="45">
    <w:abstractNumId w:val="37"/>
  </w:num>
  <w:num w:numId="46">
    <w:abstractNumId w:val="58"/>
  </w:num>
  <w:num w:numId="47">
    <w:abstractNumId w:val="3"/>
  </w:num>
  <w:num w:numId="4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num>
  <w:num w:numId="50">
    <w:abstractNumId w:val="45"/>
  </w:num>
  <w:num w:numId="51">
    <w:abstractNumId w:val="39"/>
  </w:num>
  <w:num w:numId="52">
    <w:abstractNumId w:val="23"/>
  </w:num>
  <w:num w:numId="53">
    <w:abstractNumId w:val="21"/>
  </w:num>
  <w:num w:numId="54">
    <w:abstractNumId w:val="7"/>
  </w:num>
  <w:num w:numId="55">
    <w:abstractNumId w:val="18"/>
  </w:num>
  <w:num w:numId="56">
    <w:abstractNumId w:val="41"/>
  </w:num>
  <w:num w:numId="57">
    <w:abstractNumId w:val="15"/>
  </w:num>
  <w:num w:numId="58">
    <w:abstractNumId w:val="16"/>
  </w:num>
  <w:num w:numId="59">
    <w:abstractNumId w:val="28"/>
  </w:num>
  <w:num w:numId="60">
    <w:abstractNumId w:val="42"/>
  </w:num>
  <w:num w:numId="61">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18"/>
    <w:rsid w:val="00010464"/>
    <w:rsid w:val="000117B2"/>
    <w:rsid w:val="0001796D"/>
    <w:rsid w:val="00017BF0"/>
    <w:rsid w:val="000247D7"/>
    <w:rsid w:val="0002568B"/>
    <w:rsid w:val="00043FA7"/>
    <w:rsid w:val="000552E8"/>
    <w:rsid w:val="00056585"/>
    <w:rsid w:val="0005674F"/>
    <w:rsid w:val="0006565E"/>
    <w:rsid w:val="00065C6E"/>
    <w:rsid w:val="00071BF1"/>
    <w:rsid w:val="00073F1B"/>
    <w:rsid w:val="00075B58"/>
    <w:rsid w:val="0009562B"/>
    <w:rsid w:val="000A03A6"/>
    <w:rsid w:val="000A06A7"/>
    <w:rsid w:val="000B11DD"/>
    <w:rsid w:val="000C390A"/>
    <w:rsid w:val="000C77DD"/>
    <w:rsid w:val="000E295B"/>
    <w:rsid w:val="000E45A0"/>
    <w:rsid w:val="00107460"/>
    <w:rsid w:val="00112415"/>
    <w:rsid w:val="00115375"/>
    <w:rsid w:val="0013678D"/>
    <w:rsid w:val="00140A34"/>
    <w:rsid w:val="00146ED8"/>
    <w:rsid w:val="0016078D"/>
    <w:rsid w:val="00164115"/>
    <w:rsid w:val="00167202"/>
    <w:rsid w:val="00173171"/>
    <w:rsid w:val="00173A3A"/>
    <w:rsid w:val="0018135C"/>
    <w:rsid w:val="001828A4"/>
    <w:rsid w:val="001A3BE2"/>
    <w:rsid w:val="001B58F8"/>
    <w:rsid w:val="001C35E7"/>
    <w:rsid w:val="001C4578"/>
    <w:rsid w:val="001E57FD"/>
    <w:rsid w:val="001E5ECF"/>
    <w:rsid w:val="001F28A6"/>
    <w:rsid w:val="001F2A16"/>
    <w:rsid w:val="001F6921"/>
    <w:rsid w:val="001F7037"/>
    <w:rsid w:val="001F7C3E"/>
    <w:rsid w:val="00201969"/>
    <w:rsid w:val="00210ADF"/>
    <w:rsid w:val="00213FA5"/>
    <w:rsid w:val="00215C16"/>
    <w:rsid w:val="0023733A"/>
    <w:rsid w:val="0024044F"/>
    <w:rsid w:val="00245D00"/>
    <w:rsid w:val="00257F2D"/>
    <w:rsid w:val="00262F9F"/>
    <w:rsid w:val="00266D2D"/>
    <w:rsid w:val="0027331F"/>
    <w:rsid w:val="00281551"/>
    <w:rsid w:val="00285E76"/>
    <w:rsid w:val="002949C3"/>
    <w:rsid w:val="002A10A4"/>
    <w:rsid w:val="002A26FE"/>
    <w:rsid w:val="002A3A25"/>
    <w:rsid w:val="002B1423"/>
    <w:rsid w:val="002E1A11"/>
    <w:rsid w:val="002F1257"/>
    <w:rsid w:val="003037F7"/>
    <w:rsid w:val="003064DD"/>
    <w:rsid w:val="00310C61"/>
    <w:rsid w:val="003161DB"/>
    <w:rsid w:val="00316990"/>
    <w:rsid w:val="003171B3"/>
    <w:rsid w:val="0032559D"/>
    <w:rsid w:val="00344575"/>
    <w:rsid w:val="0035113C"/>
    <w:rsid w:val="00354525"/>
    <w:rsid w:val="00361301"/>
    <w:rsid w:val="00380CC4"/>
    <w:rsid w:val="003A5C50"/>
    <w:rsid w:val="003B2E74"/>
    <w:rsid w:val="003B5F37"/>
    <w:rsid w:val="003C0686"/>
    <w:rsid w:val="003D08CF"/>
    <w:rsid w:val="003D0CBA"/>
    <w:rsid w:val="003D0D03"/>
    <w:rsid w:val="003D0F6A"/>
    <w:rsid w:val="003D243B"/>
    <w:rsid w:val="003D3776"/>
    <w:rsid w:val="003D4BA8"/>
    <w:rsid w:val="003E3219"/>
    <w:rsid w:val="003E5269"/>
    <w:rsid w:val="00405394"/>
    <w:rsid w:val="004066E4"/>
    <w:rsid w:val="0040680B"/>
    <w:rsid w:val="00407361"/>
    <w:rsid w:val="00417C55"/>
    <w:rsid w:val="004236F1"/>
    <w:rsid w:val="00424A7B"/>
    <w:rsid w:val="004447C1"/>
    <w:rsid w:val="0046211F"/>
    <w:rsid w:val="0046341B"/>
    <w:rsid w:val="0046787B"/>
    <w:rsid w:val="00486653"/>
    <w:rsid w:val="0049041B"/>
    <w:rsid w:val="004A5FDA"/>
    <w:rsid w:val="004B7932"/>
    <w:rsid w:val="004C0C65"/>
    <w:rsid w:val="004D098C"/>
    <w:rsid w:val="004D24A9"/>
    <w:rsid w:val="004E5357"/>
    <w:rsid w:val="004F4A07"/>
    <w:rsid w:val="004F5EB1"/>
    <w:rsid w:val="004F6887"/>
    <w:rsid w:val="005030AD"/>
    <w:rsid w:val="0051249C"/>
    <w:rsid w:val="005176E7"/>
    <w:rsid w:val="00520330"/>
    <w:rsid w:val="00524B6B"/>
    <w:rsid w:val="005413EE"/>
    <w:rsid w:val="00556ABC"/>
    <w:rsid w:val="00587443"/>
    <w:rsid w:val="00587C50"/>
    <w:rsid w:val="005917F3"/>
    <w:rsid w:val="005A3554"/>
    <w:rsid w:val="005B0ACD"/>
    <w:rsid w:val="005B50A2"/>
    <w:rsid w:val="005C3408"/>
    <w:rsid w:val="005D611B"/>
    <w:rsid w:val="005F1ACE"/>
    <w:rsid w:val="005F256D"/>
    <w:rsid w:val="0060183A"/>
    <w:rsid w:val="00603110"/>
    <w:rsid w:val="00611C8E"/>
    <w:rsid w:val="00631F30"/>
    <w:rsid w:val="00642420"/>
    <w:rsid w:val="00646158"/>
    <w:rsid w:val="0066622C"/>
    <w:rsid w:val="00666487"/>
    <w:rsid w:val="00673B37"/>
    <w:rsid w:val="006848B7"/>
    <w:rsid w:val="006945EA"/>
    <w:rsid w:val="006B5470"/>
    <w:rsid w:val="006D0138"/>
    <w:rsid w:val="006D6F52"/>
    <w:rsid w:val="006E1291"/>
    <w:rsid w:val="00701718"/>
    <w:rsid w:val="007017FC"/>
    <w:rsid w:val="00710359"/>
    <w:rsid w:val="00712FFF"/>
    <w:rsid w:val="00722DBF"/>
    <w:rsid w:val="00733441"/>
    <w:rsid w:val="00735157"/>
    <w:rsid w:val="00737488"/>
    <w:rsid w:val="00754141"/>
    <w:rsid w:val="00755A17"/>
    <w:rsid w:val="00764FF2"/>
    <w:rsid w:val="0077260E"/>
    <w:rsid w:val="00775490"/>
    <w:rsid w:val="00795D0C"/>
    <w:rsid w:val="007A3086"/>
    <w:rsid w:val="007A55BA"/>
    <w:rsid w:val="007A77DA"/>
    <w:rsid w:val="007C1FBD"/>
    <w:rsid w:val="007E22F5"/>
    <w:rsid w:val="007F25F3"/>
    <w:rsid w:val="007F45E1"/>
    <w:rsid w:val="007F4901"/>
    <w:rsid w:val="00811574"/>
    <w:rsid w:val="00836B02"/>
    <w:rsid w:val="008467D4"/>
    <w:rsid w:val="00850FB0"/>
    <w:rsid w:val="0085238E"/>
    <w:rsid w:val="008540EA"/>
    <w:rsid w:val="00860F89"/>
    <w:rsid w:val="00866A00"/>
    <w:rsid w:val="008702A6"/>
    <w:rsid w:val="008757CE"/>
    <w:rsid w:val="0088392C"/>
    <w:rsid w:val="00897C0E"/>
    <w:rsid w:val="00897E31"/>
    <w:rsid w:val="008A046F"/>
    <w:rsid w:val="008A2A25"/>
    <w:rsid w:val="008A405A"/>
    <w:rsid w:val="008A4AD5"/>
    <w:rsid w:val="008A6A6A"/>
    <w:rsid w:val="008B650A"/>
    <w:rsid w:val="008B7070"/>
    <w:rsid w:val="008B787C"/>
    <w:rsid w:val="008C10B0"/>
    <w:rsid w:val="008C3898"/>
    <w:rsid w:val="008C66CC"/>
    <w:rsid w:val="008D75A0"/>
    <w:rsid w:val="008F483C"/>
    <w:rsid w:val="008F5ACE"/>
    <w:rsid w:val="00910D0C"/>
    <w:rsid w:val="00912D61"/>
    <w:rsid w:val="00923A86"/>
    <w:rsid w:val="009322D7"/>
    <w:rsid w:val="00932BDE"/>
    <w:rsid w:val="00950692"/>
    <w:rsid w:val="00951C4F"/>
    <w:rsid w:val="00961CBA"/>
    <w:rsid w:val="00967725"/>
    <w:rsid w:val="009902F8"/>
    <w:rsid w:val="00990B38"/>
    <w:rsid w:val="00993BB8"/>
    <w:rsid w:val="0099555F"/>
    <w:rsid w:val="009A22A1"/>
    <w:rsid w:val="009B3A1B"/>
    <w:rsid w:val="009B6332"/>
    <w:rsid w:val="009C0912"/>
    <w:rsid w:val="009D6694"/>
    <w:rsid w:val="009E4DFC"/>
    <w:rsid w:val="009F0300"/>
    <w:rsid w:val="009F3B67"/>
    <w:rsid w:val="00A167A8"/>
    <w:rsid w:val="00A21F0A"/>
    <w:rsid w:val="00A26011"/>
    <w:rsid w:val="00A34ABF"/>
    <w:rsid w:val="00A40C2B"/>
    <w:rsid w:val="00A506C2"/>
    <w:rsid w:val="00A614E5"/>
    <w:rsid w:val="00A62886"/>
    <w:rsid w:val="00A74C38"/>
    <w:rsid w:val="00A77D24"/>
    <w:rsid w:val="00A8572F"/>
    <w:rsid w:val="00A92B66"/>
    <w:rsid w:val="00A93E07"/>
    <w:rsid w:val="00A979CF"/>
    <w:rsid w:val="00AA4DF8"/>
    <w:rsid w:val="00AB780C"/>
    <w:rsid w:val="00AC6260"/>
    <w:rsid w:val="00AD5ADE"/>
    <w:rsid w:val="00AE7138"/>
    <w:rsid w:val="00AF4CAF"/>
    <w:rsid w:val="00B117BA"/>
    <w:rsid w:val="00B20D87"/>
    <w:rsid w:val="00B26A0B"/>
    <w:rsid w:val="00B578AC"/>
    <w:rsid w:val="00B60011"/>
    <w:rsid w:val="00B6433F"/>
    <w:rsid w:val="00B64CF5"/>
    <w:rsid w:val="00B76C9B"/>
    <w:rsid w:val="00B823A1"/>
    <w:rsid w:val="00B8428B"/>
    <w:rsid w:val="00BA41F5"/>
    <w:rsid w:val="00BB3C9C"/>
    <w:rsid w:val="00BF4822"/>
    <w:rsid w:val="00C00169"/>
    <w:rsid w:val="00C01D22"/>
    <w:rsid w:val="00C104B6"/>
    <w:rsid w:val="00C10F02"/>
    <w:rsid w:val="00C114F4"/>
    <w:rsid w:val="00C11D03"/>
    <w:rsid w:val="00C31967"/>
    <w:rsid w:val="00C371DE"/>
    <w:rsid w:val="00C409AE"/>
    <w:rsid w:val="00C42D50"/>
    <w:rsid w:val="00C52FD2"/>
    <w:rsid w:val="00C54DF8"/>
    <w:rsid w:val="00C60B49"/>
    <w:rsid w:val="00C62C54"/>
    <w:rsid w:val="00C64965"/>
    <w:rsid w:val="00C70E7F"/>
    <w:rsid w:val="00C7440A"/>
    <w:rsid w:val="00C865ED"/>
    <w:rsid w:val="00C8775A"/>
    <w:rsid w:val="00CA0877"/>
    <w:rsid w:val="00CA6B59"/>
    <w:rsid w:val="00CB3B6C"/>
    <w:rsid w:val="00CB715A"/>
    <w:rsid w:val="00CC1833"/>
    <w:rsid w:val="00CC189F"/>
    <w:rsid w:val="00CC3368"/>
    <w:rsid w:val="00CF117D"/>
    <w:rsid w:val="00CF19C4"/>
    <w:rsid w:val="00D02AF4"/>
    <w:rsid w:val="00D03448"/>
    <w:rsid w:val="00D13C04"/>
    <w:rsid w:val="00D20A78"/>
    <w:rsid w:val="00D278BA"/>
    <w:rsid w:val="00D40454"/>
    <w:rsid w:val="00D4059C"/>
    <w:rsid w:val="00D53D8F"/>
    <w:rsid w:val="00D55AFB"/>
    <w:rsid w:val="00D61C76"/>
    <w:rsid w:val="00D61D93"/>
    <w:rsid w:val="00D65745"/>
    <w:rsid w:val="00D73BE6"/>
    <w:rsid w:val="00D77015"/>
    <w:rsid w:val="00D92B48"/>
    <w:rsid w:val="00DB1693"/>
    <w:rsid w:val="00DB3111"/>
    <w:rsid w:val="00DD31C5"/>
    <w:rsid w:val="00DD5B07"/>
    <w:rsid w:val="00DE3E90"/>
    <w:rsid w:val="00DE6821"/>
    <w:rsid w:val="00DF2022"/>
    <w:rsid w:val="00DF34BE"/>
    <w:rsid w:val="00DF5D59"/>
    <w:rsid w:val="00E239E4"/>
    <w:rsid w:val="00E34598"/>
    <w:rsid w:val="00E36A38"/>
    <w:rsid w:val="00E45DC6"/>
    <w:rsid w:val="00E53399"/>
    <w:rsid w:val="00E77995"/>
    <w:rsid w:val="00E87099"/>
    <w:rsid w:val="00E97AE9"/>
    <w:rsid w:val="00EA28E6"/>
    <w:rsid w:val="00EE3609"/>
    <w:rsid w:val="00EF4CAE"/>
    <w:rsid w:val="00EF78C4"/>
    <w:rsid w:val="00F04CD7"/>
    <w:rsid w:val="00F23BF7"/>
    <w:rsid w:val="00F23E15"/>
    <w:rsid w:val="00F244A2"/>
    <w:rsid w:val="00F35064"/>
    <w:rsid w:val="00F374D8"/>
    <w:rsid w:val="00F434FC"/>
    <w:rsid w:val="00F5684D"/>
    <w:rsid w:val="00F57AB6"/>
    <w:rsid w:val="00F57F95"/>
    <w:rsid w:val="00F63BBD"/>
    <w:rsid w:val="00F6480F"/>
    <w:rsid w:val="00F86713"/>
    <w:rsid w:val="00F932E0"/>
    <w:rsid w:val="00FB1441"/>
    <w:rsid w:val="00FB7701"/>
    <w:rsid w:val="00FC40F0"/>
    <w:rsid w:val="00FC6D3B"/>
    <w:rsid w:val="00FD0129"/>
    <w:rsid w:val="00FE17ED"/>
    <w:rsid w:val="00FF2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219"/>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customStyle="1" w:styleId="Heading2Char">
    <w:name w:val="Heading 2 Char"/>
    <w:basedOn w:val="DefaultParagraphFont"/>
    <w:link w:val="Heading2"/>
    <w:rsid w:val="00D73BE6"/>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219"/>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customStyle="1" w:styleId="Heading2Char">
    <w:name w:val="Heading 2 Char"/>
    <w:basedOn w:val="DefaultParagraphFont"/>
    <w:link w:val="Heading2"/>
    <w:rsid w:val="00D73BE6"/>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 w:id="21310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F516-DDD3-4CF3-ADF7-93B34FCC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[INSERT HERE THE TITLE OF THE INSTRUMENT] Legislative Instrument 200X</vt:lpstr>
    </vt:vector>
  </TitlesOfParts>
  <Company>Australian Taxation Office</Company>
  <LinksUpToDate>false</LinksUpToDate>
  <CharactersWithSpaces>8901</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HERE THE TITLE OF THE INSTRUMENT] Legislative Instrument 200X</dc:title>
  <dc:creator>ubafu</dc:creator>
  <cp:lastModifiedBy>uclka</cp:lastModifiedBy>
  <cp:revision>2</cp:revision>
  <cp:lastPrinted>2015-11-27T05:34:00Z</cp:lastPrinted>
  <dcterms:created xsi:type="dcterms:W3CDTF">2016-02-11T00:57:00Z</dcterms:created>
  <dcterms:modified xsi:type="dcterms:W3CDTF">2016-02-11T00:57:00Z</dcterms:modified>
</cp:coreProperties>
</file>