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64DDC" w14:textId="15308A1F" w:rsidR="00E00750" w:rsidRPr="00896ED4" w:rsidRDefault="00E00750" w:rsidP="00E00750">
      <w:pPr>
        <w:pStyle w:val="Title"/>
        <w:rPr>
          <w:lang w:val="en-AU"/>
        </w:rPr>
      </w:pPr>
      <w:r w:rsidRPr="00896ED4">
        <w:rPr>
          <w:lang w:val="en-AU"/>
        </w:rPr>
        <w:t>Explanatory Statement</w:t>
      </w:r>
    </w:p>
    <w:p w14:paraId="3445B5DB" w14:textId="77777777" w:rsidR="00E00750" w:rsidRPr="009F5032" w:rsidRDefault="00E00750" w:rsidP="00E00750">
      <w:pPr>
        <w:rPr>
          <w:sz w:val="24"/>
        </w:rPr>
      </w:pPr>
    </w:p>
    <w:p w14:paraId="715E7097" w14:textId="77777777" w:rsidR="00E00750" w:rsidRPr="00927C37" w:rsidRDefault="007436AB" w:rsidP="00E00750">
      <w:pPr>
        <w:pStyle w:val="Heading1"/>
      </w:pPr>
      <w:r w:rsidRPr="00927C37">
        <w:t>Telecommunications Act 1997</w:t>
      </w:r>
    </w:p>
    <w:p w14:paraId="4F124F7C" w14:textId="77777777" w:rsidR="00E00750" w:rsidRPr="00927C37" w:rsidRDefault="00E00750" w:rsidP="00E00750"/>
    <w:p w14:paraId="0C8020FD" w14:textId="75367AD7" w:rsidR="00E00750" w:rsidRPr="00E75DD7" w:rsidRDefault="007436AB" w:rsidP="00E00750">
      <w:pPr>
        <w:jc w:val="center"/>
        <w:rPr>
          <w:b/>
          <w:sz w:val="28"/>
          <w:szCs w:val="28"/>
        </w:rPr>
      </w:pPr>
      <w:r w:rsidRPr="00E75DD7">
        <w:rPr>
          <w:b/>
          <w:sz w:val="28"/>
          <w:szCs w:val="28"/>
        </w:rPr>
        <w:t xml:space="preserve">Telecommunications (Amendment of International Mobile Roaming Industry Standard) Direction </w:t>
      </w:r>
      <w:r w:rsidR="007509D9" w:rsidRPr="00E75DD7">
        <w:rPr>
          <w:b/>
          <w:sz w:val="28"/>
          <w:szCs w:val="28"/>
        </w:rPr>
        <w:t>201</w:t>
      </w:r>
      <w:r w:rsidR="007509D9">
        <w:rPr>
          <w:b/>
          <w:sz w:val="28"/>
          <w:szCs w:val="28"/>
        </w:rPr>
        <w:t>6</w:t>
      </w:r>
    </w:p>
    <w:p w14:paraId="2A7E54B1" w14:textId="77777777" w:rsidR="00E00750" w:rsidRPr="00896ED4" w:rsidRDefault="00E00750" w:rsidP="00E00750">
      <w:pPr>
        <w:pStyle w:val="BodyText3"/>
        <w:rPr>
          <w:lang w:val="en-AU"/>
        </w:rPr>
      </w:pPr>
    </w:p>
    <w:p w14:paraId="4B83C86A" w14:textId="77777777" w:rsidR="00E00750" w:rsidRPr="00896ED4" w:rsidRDefault="00E00750" w:rsidP="00E00750">
      <w:pPr>
        <w:pStyle w:val="BodyText3"/>
        <w:rPr>
          <w:lang w:val="en-AU"/>
        </w:rPr>
      </w:pPr>
    </w:p>
    <w:p w14:paraId="19AC7A9A" w14:textId="77777777" w:rsidR="00136308" w:rsidRPr="009F5032" w:rsidRDefault="001C1979" w:rsidP="00136308">
      <w:pPr>
        <w:jc w:val="center"/>
        <w:rPr>
          <w:sz w:val="24"/>
          <w:szCs w:val="24"/>
        </w:rPr>
      </w:pPr>
      <w:r w:rsidRPr="009F5032">
        <w:rPr>
          <w:sz w:val="24"/>
          <w:szCs w:val="24"/>
        </w:rPr>
        <w:t>Issued by the A</w:t>
      </w:r>
      <w:r w:rsidR="003D6754" w:rsidRPr="009F5032">
        <w:rPr>
          <w:sz w:val="24"/>
          <w:szCs w:val="24"/>
        </w:rPr>
        <w:t>uthority of the Minister for Commun</w:t>
      </w:r>
      <w:r w:rsidR="00BB5279" w:rsidRPr="009F5032">
        <w:rPr>
          <w:sz w:val="24"/>
          <w:szCs w:val="24"/>
        </w:rPr>
        <w:t>ications</w:t>
      </w:r>
    </w:p>
    <w:p w14:paraId="08E83599" w14:textId="77777777" w:rsidR="00E00750" w:rsidRPr="00927C37" w:rsidRDefault="00E00750" w:rsidP="00E00750">
      <w:pPr>
        <w:rPr>
          <w:sz w:val="24"/>
        </w:rPr>
      </w:pPr>
    </w:p>
    <w:p w14:paraId="39D4C590" w14:textId="77777777" w:rsidR="00E00750" w:rsidRPr="00E75DD7" w:rsidRDefault="00E00750" w:rsidP="00E00750">
      <w:pPr>
        <w:rPr>
          <w:sz w:val="24"/>
          <w:szCs w:val="24"/>
        </w:rPr>
      </w:pPr>
    </w:p>
    <w:p w14:paraId="32ABE6F3" w14:textId="77777777" w:rsidR="00F52593" w:rsidRPr="00896ED4" w:rsidRDefault="00F52593" w:rsidP="00E00750">
      <w:pPr>
        <w:rPr>
          <w:sz w:val="24"/>
          <w:szCs w:val="24"/>
          <w:u w:val="single"/>
        </w:rPr>
      </w:pPr>
      <w:r w:rsidRPr="00E75DD7">
        <w:rPr>
          <w:sz w:val="24"/>
          <w:szCs w:val="24"/>
          <w:u w:val="single"/>
        </w:rPr>
        <w:t>Legislative Authority</w:t>
      </w:r>
    </w:p>
    <w:p w14:paraId="07C7D69E" w14:textId="75C86319" w:rsidR="00F52593" w:rsidRPr="009F5032" w:rsidRDefault="00F52593" w:rsidP="00E00750">
      <w:pPr>
        <w:rPr>
          <w:sz w:val="24"/>
          <w:szCs w:val="24"/>
        </w:rPr>
      </w:pPr>
    </w:p>
    <w:p w14:paraId="2ABB7DDF" w14:textId="675DA06C" w:rsidR="00E00750" w:rsidRPr="009F5032" w:rsidRDefault="00F52593" w:rsidP="00E00750">
      <w:pPr>
        <w:rPr>
          <w:sz w:val="24"/>
          <w:szCs w:val="24"/>
        </w:rPr>
      </w:pPr>
      <w:r w:rsidRPr="00E75DD7">
        <w:rPr>
          <w:sz w:val="24"/>
          <w:szCs w:val="24"/>
        </w:rPr>
        <w:t>S</w:t>
      </w:r>
      <w:r w:rsidR="007436AB" w:rsidRPr="00E75DD7">
        <w:rPr>
          <w:sz w:val="24"/>
          <w:szCs w:val="24"/>
        </w:rPr>
        <w:t>ubsection 125AA(4)</w:t>
      </w:r>
      <w:r w:rsidR="00E00750" w:rsidRPr="00E75DD7">
        <w:rPr>
          <w:sz w:val="24"/>
          <w:szCs w:val="24"/>
        </w:rPr>
        <w:t xml:space="preserve"> of the </w:t>
      </w:r>
      <w:r w:rsidR="007436AB" w:rsidRPr="00E75DD7">
        <w:rPr>
          <w:i/>
          <w:sz w:val="24"/>
          <w:szCs w:val="24"/>
        </w:rPr>
        <w:t>Telecommunications Act 1997</w:t>
      </w:r>
      <w:r w:rsidRPr="00E75DD7">
        <w:rPr>
          <w:i/>
          <w:sz w:val="24"/>
          <w:szCs w:val="24"/>
        </w:rPr>
        <w:t xml:space="preserve"> </w:t>
      </w:r>
      <w:r w:rsidRPr="00E75DD7">
        <w:rPr>
          <w:sz w:val="24"/>
          <w:szCs w:val="24"/>
        </w:rPr>
        <w:t>enables the Minister for Communications to direct the A</w:t>
      </w:r>
      <w:r w:rsidR="00896ED4">
        <w:rPr>
          <w:sz w:val="24"/>
          <w:szCs w:val="24"/>
        </w:rPr>
        <w:t xml:space="preserve">ustralian </w:t>
      </w:r>
      <w:r w:rsidRPr="00E75DD7">
        <w:rPr>
          <w:sz w:val="24"/>
          <w:szCs w:val="24"/>
        </w:rPr>
        <w:t>C</w:t>
      </w:r>
      <w:r w:rsidR="00896ED4">
        <w:rPr>
          <w:sz w:val="24"/>
          <w:szCs w:val="24"/>
        </w:rPr>
        <w:t xml:space="preserve">ommunications and </w:t>
      </w:r>
      <w:r w:rsidRPr="00E75DD7">
        <w:rPr>
          <w:sz w:val="24"/>
          <w:szCs w:val="24"/>
        </w:rPr>
        <w:t>M</w:t>
      </w:r>
      <w:r w:rsidR="00896ED4">
        <w:rPr>
          <w:sz w:val="24"/>
          <w:szCs w:val="24"/>
        </w:rPr>
        <w:t xml:space="preserve">edia </w:t>
      </w:r>
      <w:r w:rsidRPr="00E75DD7">
        <w:rPr>
          <w:sz w:val="24"/>
          <w:szCs w:val="24"/>
        </w:rPr>
        <w:t>A</w:t>
      </w:r>
      <w:r w:rsidR="00896ED4">
        <w:rPr>
          <w:sz w:val="24"/>
          <w:szCs w:val="24"/>
        </w:rPr>
        <w:t>uthority (ACMA)</w:t>
      </w:r>
      <w:r w:rsidRPr="00E75DD7">
        <w:rPr>
          <w:sz w:val="24"/>
          <w:szCs w:val="24"/>
        </w:rPr>
        <w:t xml:space="preserve">, in writing, to determine a standard that applies to participants in a specified section of </w:t>
      </w:r>
      <w:r w:rsidRPr="00522A7D">
        <w:rPr>
          <w:sz w:val="24"/>
          <w:szCs w:val="24"/>
        </w:rPr>
        <w:t xml:space="preserve">the </w:t>
      </w:r>
      <w:r w:rsidR="009F5032" w:rsidRPr="00522A7D">
        <w:rPr>
          <w:sz w:val="24"/>
          <w:szCs w:val="24"/>
        </w:rPr>
        <w:t>telecommunications</w:t>
      </w:r>
      <w:r w:rsidRPr="00522A7D">
        <w:rPr>
          <w:sz w:val="24"/>
          <w:szCs w:val="24"/>
        </w:rPr>
        <w:t xml:space="preserve"> industry that deals with one or more specified matters relating to the </w:t>
      </w:r>
      <w:r w:rsidR="009F5032" w:rsidRPr="00E749BA">
        <w:rPr>
          <w:sz w:val="24"/>
          <w:szCs w:val="24"/>
        </w:rPr>
        <w:t>telecommunications</w:t>
      </w:r>
      <w:r w:rsidRPr="009F5032">
        <w:rPr>
          <w:sz w:val="24"/>
          <w:szCs w:val="24"/>
        </w:rPr>
        <w:t xml:space="preserve"> activities of those </w:t>
      </w:r>
      <w:bookmarkStart w:id="0" w:name="_GoBack"/>
      <w:bookmarkEnd w:id="0"/>
      <w:r w:rsidRPr="009F5032">
        <w:rPr>
          <w:sz w:val="24"/>
          <w:szCs w:val="24"/>
        </w:rPr>
        <w:t>participants</w:t>
      </w:r>
      <w:r w:rsidR="00E00750" w:rsidRPr="009F5032">
        <w:rPr>
          <w:sz w:val="24"/>
          <w:szCs w:val="24"/>
        </w:rPr>
        <w:t>.</w:t>
      </w:r>
    </w:p>
    <w:p w14:paraId="1B7F3473" w14:textId="77777777" w:rsidR="006F79C9" w:rsidRDefault="006F79C9" w:rsidP="00F52593">
      <w:pPr>
        <w:rPr>
          <w:sz w:val="24"/>
          <w:u w:val="single"/>
        </w:rPr>
      </w:pPr>
    </w:p>
    <w:p w14:paraId="75D89259" w14:textId="77777777" w:rsidR="00F52593" w:rsidRPr="009F5032" w:rsidRDefault="00F52593" w:rsidP="00F52593">
      <w:pPr>
        <w:rPr>
          <w:sz w:val="24"/>
          <w:u w:val="single"/>
        </w:rPr>
      </w:pPr>
      <w:r w:rsidRPr="009F5032">
        <w:rPr>
          <w:sz w:val="24"/>
          <w:u w:val="single"/>
        </w:rPr>
        <w:t>Purpose</w:t>
      </w:r>
    </w:p>
    <w:p w14:paraId="10736555" w14:textId="77777777" w:rsidR="00E00750" w:rsidRPr="009F5032" w:rsidRDefault="00E00750" w:rsidP="00E00750">
      <w:pPr>
        <w:rPr>
          <w:sz w:val="24"/>
          <w:szCs w:val="24"/>
        </w:rPr>
      </w:pPr>
    </w:p>
    <w:p w14:paraId="3603313E" w14:textId="74BC80E4" w:rsidR="00E00750" w:rsidRDefault="00E00750" w:rsidP="00E00750">
      <w:pPr>
        <w:rPr>
          <w:sz w:val="24"/>
          <w:szCs w:val="24"/>
        </w:rPr>
      </w:pPr>
      <w:r w:rsidRPr="009F5032">
        <w:rPr>
          <w:sz w:val="24"/>
          <w:szCs w:val="24"/>
        </w:rPr>
        <w:t xml:space="preserve">The purpose of </w:t>
      </w:r>
      <w:r w:rsidR="00F52593" w:rsidRPr="009F5032">
        <w:rPr>
          <w:sz w:val="24"/>
          <w:szCs w:val="24"/>
        </w:rPr>
        <w:t xml:space="preserve">the </w:t>
      </w:r>
      <w:r w:rsidR="00F52593" w:rsidRPr="009F5032">
        <w:rPr>
          <w:i/>
          <w:sz w:val="24"/>
          <w:szCs w:val="24"/>
        </w:rPr>
        <w:t xml:space="preserve">Telecommunications (Amendment of International Mobile Roaming Industry Standard) Direction </w:t>
      </w:r>
      <w:r w:rsidR="007509D9" w:rsidRPr="009F5032">
        <w:rPr>
          <w:i/>
          <w:sz w:val="24"/>
          <w:szCs w:val="24"/>
        </w:rPr>
        <w:t>201</w:t>
      </w:r>
      <w:r w:rsidR="007509D9">
        <w:rPr>
          <w:i/>
          <w:sz w:val="24"/>
          <w:szCs w:val="24"/>
        </w:rPr>
        <w:t>6</w:t>
      </w:r>
      <w:r w:rsidR="007509D9" w:rsidRPr="009F5032">
        <w:rPr>
          <w:sz w:val="24"/>
          <w:szCs w:val="24"/>
        </w:rPr>
        <w:t xml:space="preserve"> </w:t>
      </w:r>
      <w:r w:rsidR="009F5032" w:rsidRPr="009F5032">
        <w:rPr>
          <w:sz w:val="24"/>
          <w:szCs w:val="24"/>
        </w:rPr>
        <w:t>(Dir</w:t>
      </w:r>
      <w:r w:rsidR="00F52593" w:rsidRPr="009F5032">
        <w:rPr>
          <w:sz w:val="24"/>
          <w:szCs w:val="24"/>
        </w:rPr>
        <w:t>ection)</w:t>
      </w:r>
      <w:r w:rsidR="00F52593" w:rsidRPr="009F5032">
        <w:rPr>
          <w:i/>
          <w:sz w:val="24"/>
          <w:szCs w:val="24"/>
        </w:rPr>
        <w:t xml:space="preserve"> </w:t>
      </w:r>
      <w:r w:rsidRPr="009F5032">
        <w:rPr>
          <w:sz w:val="24"/>
          <w:szCs w:val="24"/>
        </w:rPr>
        <w:t xml:space="preserve">is </w:t>
      </w:r>
      <w:r w:rsidR="00122571" w:rsidRPr="009F5032">
        <w:rPr>
          <w:sz w:val="24"/>
          <w:szCs w:val="24"/>
        </w:rPr>
        <w:t xml:space="preserve">to direct the ACMA to </w:t>
      </w:r>
      <w:r w:rsidR="00927C37">
        <w:rPr>
          <w:sz w:val="24"/>
          <w:szCs w:val="24"/>
        </w:rPr>
        <w:t>amend</w:t>
      </w:r>
      <w:r w:rsidR="00927C37" w:rsidRPr="00927C37">
        <w:rPr>
          <w:sz w:val="24"/>
          <w:szCs w:val="24"/>
        </w:rPr>
        <w:t xml:space="preserve"> </w:t>
      </w:r>
      <w:r w:rsidR="00122571" w:rsidRPr="00927C37">
        <w:rPr>
          <w:sz w:val="24"/>
          <w:szCs w:val="24"/>
        </w:rPr>
        <w:t xml:space="preserve">the </w:t>
      </w:r>
      <w:r w:rsidR="00122571" w:rsidRPr="00927C37">
        <w:rPr>
          <w:i/>
          <w:sz w:val="24"/>
          <w:szCs w:val="24"/>
        </w:rPr>
        <w:t>Telecommunications (International Mobile Roaming) Industry Standard 2013</w:t>
      </w:r>
      <w:r w:rsidR="00F52593" w:rsidRPr="00927C37">
        <w:rPr>
          <w:i/>
          <w:sz w:val="24"/>
          <w:szCs w:val="24"/>
        </w:rPr>
        <w:t xml:space="preserve"> </w:t>
      </w:r>
      <w:r w:rsidR="00206782">
        <w:rPr>
          <w:sz w:val="24"/>
          <w:szCs w:val="24"/>
        </w:rPr>
        <w:t>(</w:t>
      </w:r>
      <w:r w:rsidR="00F52593" w:rsidRPr="00927C37">
        <w:rPr>
          <w:sz w:val="24"/>
          <w:szCs w:val="24"/>
        </w:rPr>
        <w:t>Standard)</w:t>
      </w:r>
      <w:r w:rsidR="002131AC" w:rsidRPr="00927C37">
        <w:rPr>
          <w:sz w:val="24"/>
          <w:szCs w:val="24"/>
        </w:rPr>
        <w:t>.</w:t>
      </w:r>
    </w:p>
    <w:p w14:paraId="717E8FBD" w14:textId="5FAD53C2" w:rsidR="008B608D" w:rsidRDefault="008B608D" w:rsidP="00E00750">
      <w:pPr>
        <w:rPr>
          <w:sz w:val="24"/>
          <w:szCs w:val="24"/>
        </w:rPr>
      </w:pPr>
    </w:p>
    <w:p w14:paraId="70114C23" w14:textId="6AA4E0D8" w:rsidR="008B608D" w:rsidRDefault="001F37B2" w:rsidP="00CB715F">
      <w:pPr>
        <w:pStyle w:val="MinSubbodytext"/>
        <w:spacing w:after="120"/>
        <w:ind w:left="0"/>
      </w:pPr>
      <w:r>
        <w:t xml:space="preserve">The </w:t>
      </w:r>
      <w:r w:rsidR="00384B3F">
        <w:t xml:space="preserve">amendments of the Standard required by </w:t>
      </w:r>
      <w:r>
        <w:t xml:space="preserve">the Direction </w:t>
      </w:r>
      <w:r w:rsidR="008B608D">
        <w:t>are intended to</w:t>
      </w:r>
      <w:r>
        <w:t xml:space="preserve"> allow for greater streamlining and simplification</w:t>
      </w:r>
      <w:r w:rsidR="00206782">
        <w:t xml:space="preserve"> of the </w:t>
      </w:r>
      <w:r>
        <w:t>Standard</w:t>
      </w:r>
      <w:r w:rsidR="008B608D">
        <w:t>, including:</w:t>
      </w:r>
    </w:p>
    <w:p w14:paraId="4D7BEA21" w14:textId="698C0910" w:rsidR="008B608D" w:rsidRDefault="008B608D" w:rsidP="003F072C">
      <w:pPr>
        <w:pStyle w:val="MinSubbodytext"/>
        <w:numPr>
          <w:ilvl w:val="0"/>
          <w:numId w:val="1"/>
        </w:numPr>
      </w:pPr>
      <w:r>
        <w:t xml:space="preserve">allowing </w:t>
      </w:r>
      <w:r w:rsidR="00285173">
        <w:t xml:space="preserve">the </w:t>
      </w:r>
      <w:r w:rsidR="00524B97">
        <w:t xml:space="preserve">upfront </w:t>
      </w:r>
      <w:r>
        <w:t>warning and charging SMS</w:t>
      </w:r>
      <w:r w:rsidR="00285173">
        <w:t xml:space="preserve"> messages</w:t>
      </w:r>
      <w:r>
        <w:t xml:space="preserve"> to be combined into one SMS</w:t>
      </w:r>
      <w:r w:rsidR="00285173">
        <w:t xml:space="preserve"> message</w:t>
      </w:r>
    </w:p>
    <w:p w14:paraId="25D1E176" w14:textId="60E80D08" w:rsidR="008B608D" w:rsidRDefault="008B608D" w:rsidP="008B608D">
      <w:pPr>
        <w:pStyle w:val="MinSubbodytext"/>
        <w:numPr>
          <w:ilvl w:val="0"/>
          <w:numId w:val="1"/>
        </w:numPr>
      </w:pPr>
      <w:r>
        <w:t xml:space="preserve">increasing flexibility in the types of mechanisms that can be used to decline </w:t>
      </w:r>
      <w:r w:rsidR="004E6D2A">
        <w:t>international mobile roaming (</w:t>
      </w:r>
      <w:r>
        <w:t>IMR</w:t>
      </w:r>
      <w:r w:rsidR="004E6D2A">
        <w:t>)</w:t>
      </w:r>
      <w:r>
        <w:t xml:space="preserve"> services</w:t>
      </w:r>
    </w:p>
    <w:p w14:paraId="06B468A0" w14:textId="1B1E19B1" w:rsidR="00E13B26" w:rsidRDefault="00A5460C" w:rsidP="008B608D">
      <w:pPr>
        <w:pStyle w:val="MinSubbodytext"/>
        <w:numPr>
          <w:ilvl w:val="0"/>
          <w:numId w:val="1"/>
        </w:numPr>
      </w:pPr>
      <w:r>
        <w:t>a</w:t>
      </w:r>
      <w:r w:rsidR="00E13B26">
        <w:t xml:space="preserve">dding the ability for </w:t>
      </w:r>
      <w:r w:rsidR="008A242F">
        <w:t>suppliers of IMR services</w:t>
      </w:r>
      <w:r w:rsidR="00E13B26">
        <w:t xml:space="preserve"> to </w:t>
      </w:r>
      <w:r w:rsidR="008A242F">
        <w:t xml:space="preserve">voluntarily </w:t>
      </w:r>
      <w:r w:rsidR="00E13B26">
        <w:t xml:space="preserve">offer a mechanism for </w:t>
      </w:r>
      <w:r w:rsidR="00FA31F3">
        <w:t xml:space="preserve">customers </w:t>
      </w:r>
      <w:r w:rsidR="00E13B26">
        <w:t>to opt out of spend management notifications</w:t>
      </w:r>
    </w:p>
    <w:p w14:paraId="6AC2202C" w14:textId="56DAB163" w:rsidR="00FA31F3" w:rsidRDefault="00FA31F3" w:rsidP="00FA31F3">
      <w:pPr>
        <w:pStyle w:val="MinSubbodytext"/>
        <w:numPr>
          <w:ilvl w:val="0"/>
          <w:numId w:val="1"/>
        </w:numPr>
      </w:pPr>
      <w:r>
        <w:t xml:space="preserve">delaying the application of </w:t>
      </w:r>
      <w:r w:rsidR="00E03706">
        <w:t xml:space="preserve">parts of </w:t>
      </w:r>
      <w:r>
        <w:t>the Standard to mobile virtual network operators (MVNOs) until 2019, after the completion of the review of the Standard</w:t>
      </w:r>
      <w:r w:rsidR="000F5696">
        <w:t>.</w:t>
      </w:r>
      <w:r>
        <w:t xml:space="preserve"> </w:t>
      </w:r>
    </w:p>
    <w:p w14:paraId="13AF7421" w14:textId="77777777" w:rsidR="008B608D" w:rsidRDefault="008B608D" w:rsidP="00CB715F">
      <w:pPr>
        <w:pStyle w:val="MinSubbodytext"/>
        <w:ind w:left="360"/>
      </w:pPr>
    </w:p>
    <w:p w14:paraId="05AD8CFF" w14:textId="50DAEC16" w:rsidR="008B608D" w:rsidRDefault="008B608D" w:rsidP="00CB715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These changes are expected to </w:t>
      </w:r>
      <w:r w:rsidR="002B28C8">
        <w:rPr>
          <w:sz w:val="24"/>
          <w:szCs w:val="24"/>
        </w:rPr>
        <w:t xml:space="preserve">deliver </w:t>
      </w:r>
      <w:r w:rsidR="00876F98">
        <w:rPr>
          <w:sz w:val="24"/>
          <w:szCs w:val="24"/>
        </w:rPr>
        <w:t xml:space="preserve">net </w:t>
      </w:r>
      <w:r w:rsidR="002B28C8">
        <w:rPr>
          <w:sz w:val="24"/>
          <w:szCs w:val="24"/>
        </w:rPr>
        <w:t xml:space="preserve">benefits to consumers and </w:t>
      </w:r>
      <w:r w:rsidR="008A242F">
        <w:rPr>
          <w:sz w:val="24"/>
          <w:szCs w:val="24"/>
        </w:rPr>
        <w:t xml:space="preserve">suppliers </w:t>
      </w:r>
      <w:r w:rsidR="00341087">
        <w:rPr>
          <w:sz w:val="24"/>
          <w:szCs w:val="24"/>
        </w:rPr>
        <w:t>of IMR services</w:t>
      </w:r>
      <w:r w:rsidR="002B28C8">
        <w:rPr>
          <w:sz w:val="24"/>
          <w:szCs w:val="24"/>
        </w:rPr>
        <w:t xml:space="preserve"> by:</w:t>
      </w:r>
    </w:p>
    <w:p w14:paraId="30EEFAB3" w14:textId="079E836C" w:rsidR="008B608D" w:rsidRDefault="002B28C8" w:rsidP="008B608D">
      <w:pPr>
        <w:pStyle w:val="ListParagraph"/>
        <w:numPr>
          <w:ilvl w:val="0"/>
          <w:numId w:val="2"/>
        </w:numPr>
        <w:spacing w:before="0"/>
        <w:contextualSpacing w:val="0"/>
        <w:rPr>
          <w:sz w:val="22"/>
          <w:szCs w:val="22"/>
        </w:rPr>
      </w:pPr>
      <w:r>
        <w:t>reducing</w:t>
      </w:r>
      <w:r w:rsidR="008B608D">
        <w:t xml:space="preserve"> </w:t>
      </w:r>
      <w:r w:rsidR="00FA31F3">
        <w:t xml:space="preserve">carriage service provider </w:t>
      </w:r>
      <w:r w:rsidR="008B608D">
        <w:t xml:space="preserve">messaging costs, while also reducing unnecessary message load on </w:t>
      </w:r>
      <w:r w:rsidR="00FA31F3">
        <w:t>customers</w:t>
      </w:r>
    </w:p>
    <w:p w14:paraId="5B148589" w14:textId="5312040E" w:rsidR="008B608D" w:rsidRDefault="00876F98" w:rsidP="008B608D">
      <w:pPr>
        <w:pStyle w:val="ListParagraph"/>
        <w:numPr>
          <w:ilvl w:val="0"/>
          <w:numId w:val="2"/>
        </w:numPr>
        <w:spacing w:before="0"/>
        <w:contextualSpacing w:val="0"/>
      </w:pPr>
      <w:r>
        <w:t>p</w:t>
      </w:r>
      <w:r w:rsidR="002B28C8">
        <w:t xml:space="preserve">roviding </w:t>
      </w:r>
      <w:r w:rsidR="008B608D">
        <w:t xml:space="preserve">greater flexibility for both </w:t>
      </w:r>
      <w:r w:rsidR="00FA31F3">
        <w:t xml:space="preserve">carriage service providers </w:t>
      </w:r>
      <w:r w:rsidR="008B608D">
        <w:t xml:space="preserve">and </w:t>
      </w:r>
      <w:r w:rsidR="00FA31F3">
        <w:t xml:space="preserve">their customers </w:t>
      </w:r>
      <w:r w:rsidR="008B608D">
        <w:t xml:space="preserve">to terminate unwanted IMR services </w:t>
      </w:r>
      <w:r w:rsidR="00E13B26">
        <w:t xml:space="preserve">and opt out of spend management notifications </w:t>
      </w:r>
      <w:r w:rsidR="008B608D">
        <w:t xml:space="preserve">without imposing additional </w:t>
      </w:r>
      <w:r w:rsidR="00FA31F3">
        <w:t xml:space="preserve">consumer </w:t>
      </w:r>
      <w:r w:rsidR="008B608D">
        <w:t>costs</w:t>
      </w:r>
    </w:p>
    <w:p w14:paraId="06EF23AC" w14:textId="75328019" w:rsidR="00E13B26" w:rsidRPr="00AE0301" w:rsidRDefault="008B608D" w:rsidP="00E13B26">
      <w:pPr>
        <w:pStyle w:val="ListParagraph"/>
        <w:numPr>
          <w:ilvl w:val="0"/>
          <w:numId w:val="2"/>
        </w:numPr>
        <w:spacing w:before="0"/>
        <w:contextualSpacing w:val="0"/>
      </w:pPr>
      <w:r>
        <w:t>avoid</w:t>
      </w:r>
      <w:r w:rsidR="002B28C8">
        <w:t>ing</w:t>
      </w:r>
      <w:r>
        <w:t xml:space="preserve"> potentially unnecessary costs on MVNOs and a loss of market competition and consumer options.</w:t>
      </w:r>
    </w:p>
    <w:p w14:paraId="537F655D" w14:textId="5DBAA577" w:rsidR="004967DE" w:rsidRDefault="004967D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2B15AE1" w14:textId="3C6BC5F6" w:rsidR="00E00750" w:rsidRPr="00522A7D" w:rsidRDefault="00E00750" w:rsidP="00E00750">
      <w:pPr>
        <w:rPr>
          <w:sz w:val="24"/>
          <w:u w:val="single"/>
        </w:rPr>
      </w:pPr>
      <w:r w:rsidRPr="00522A7D">
        <w:rPr>
          <w:sz w:val="24"/>
          <w:u w:val="single"/>
        </w:rPr>
        <w:lastRenderedPageBreak/>
        <w:t>Background</w:t>
      </w:r>
    </w:p>
    <w:p w14:paraId="51A1FAE5" w14:textId="77777777" w:rsidR="004047F5" w:rsidRPr="00E75DD7" w:rsidRDefault="004047F5" w:rsidP="002131AC">
      <w:pPr>
        <w:rPr>
          <w:sz w:val="24"/>
          <w:szCs w:val="24"/>
        </w:rPr>
      </w:pPr>
    </w:p>
    <w:p w14:paraId="5B259CEA" w14:textId="47A67C8E" w:rsidR="00121005" w:rsidRPr="00CB715F" w:rsidRDefault="004047F5" w:rsidP="002131AC">
      <w:pPr>
        <w:rPr>
          <w:rFonts w:eastAsia="Calibri"/>
          <w:sz w:val="24"/>
          <w:szCs w:val="24"/>
        </w:rPr>
      </w:pPr>
      <w:r w:rsidRPr="00522A7D">
        <w:rPr>
          <w:sz w:val="24"/>
          <w:szCs w:val="24"/>
        </w:rPr>
        <w:t>In August 2012,</w:t>
      </w:r>
      <w:r w:rsidRPr="00E749BA">
        <w:rPr>
          <w:sz w:val="24"/>
          <w:szCs w:val="24"/>
        </w:rPr>
        <w:t xml:space="preserve"> a </w:t>
      </w:r>
      <w:r w:rsidR="00524B97">
        <w:rPr>
          <w:sz w:val="24"/>
          <w:szCs w:val="24"/>
        </w:rPr>
        <w:t xml:space="preserve">ministerial </w:t>
      </w:r>
      <w:r w:rsidRPr="00E749BA">
        <w:rPr>
          <w:sz w:val="24"/>
          <w:szCs w:val="24"/>
        </w:rPr>
        <w:t xml:space="preserve">direction </w:t>
      </w:r>
      <w:r w:rsidR="00524B97">
        <w:rPr>
          <w:sz w:val="24"/>
          <w:szCs w:val="24"/>
        </w:rPr>
        <w:t xml:space="preserve">was made </w:t>
      </w:r>
      <w:r w:rsidRPr="00E749BA">
        <w:rPr>
          <w:sz w:val="24"/>
          <w:szCs w:val="24"/>
        </w:rPr>
        <w:t>under section 125AA</w:t>
      </w:r>
      <w:r w:rsidR="00384C56" w:rsidRPr="009F5032">
        <w:rPr>
          <w:sz w:val="24"/>
          <w:szCs w:val="24"/>
        </w:rPr>
        <w:t xml:space="preserve"> of the </w:t>
      </w:r>
      <w:r w:rsidR="00384C56" w:rsidRPr="009F5032">
        <w:rPr>
          <w:i/>
          <w:sz w:val="24"/>
          <w:szCs w:val="24"/>
        </w:rPr>
        <w:t>Telecommunications Act 1997</w:t>
      </w:r>
      <w:r w:rsidRPr="009F5032">
        <w:rPr>
          <w:sz w:val="24"/>
          <w:szCs w:val="24"/>
        </w:rPr>
        <w:t xml:space="preserve">, </w:t>
      </w:r>
      <w:r w:rsidRPr="00B3149E">
        <w:rPr>
          <w:sz w:val="24"/>
          <w:szCs w:val="24"/>
        </w:rPr>
        <w:t>the</w:t>
      </w:r>
      <w:r w:rsidRPr="00CB715F">
        <w:rPr>
          <w:i/>
          <w:sz w:val="24"/>
          <w:szCs w:val="24"/>
        </w:rPr>
        <w:t xml:space="preserve"> </w:t>
      </w:r>
      <w:r w:rsidRPr="00524B97">
        <w:rPr>
          <w:i/>
          <w:sz w:val="24"/>
          <w:szCs w:val="24"/>
        </w:rPr>
        <w:t xml:space="preserve">Australian Communications and Media Authority </w:t>
      </w:r>
      <w:r w:rsidR="0069238D" w:rsidRPr="00524B97">
        <w:rPr>
          <w:i/>
          <w:sz w:val="24"/>
          <w:szCs w:val="24"/>
        </w:rPr>
        <w:t>(</w:t>
      </w:r>
      <w:r w:rsidR="0069238D" w:rsidRPr="00CB715F">
        <w:rPr>
          <w:rFonts w:eastAsia="Calibri"/>
          <w:i/>
          <w:sz w:val="24"/>
          <w:szCs w:val="24"/>
        </w:rPr>
        <w:t xml:space="preserve">International </w:t>
      </w:r>
      <w:r w:rsidR="00E017AA" w:rsidRPr="00CB715F">
        <w:rPr>
          <w:rFonts w:eastAsia="Calibri"/>
          <w:i/>
          <w:sz w:val="24"/>
          <w:szCs w:val="24"/>
        </w:rPr>
        <w:t>Mobile Roaming Industry Standard</w:t>
      </w:r>
      <w:r w:rsidR="00F52593" w:rsidRPr="00CB715F">
        <w:rPr>
          <w:rFonts w:eastAsia="Calibri"/>
          <w:i/>
          <w:sz w:val="24"/>
          <w:szCs w:val="24"/>
        </w:rPr>
        <w:t>) Direction (No. 1)</w:t>
      </w:r>
      <w:r w:rsidR="00E017AA" w:rsidRPr="00CB715F">
        <w:rPr>
          <w:rFonts w:eastAsia="Calibri"/>
          <w:i/>
          <w:sz w:val="24"/>
          <w:szCs w:val="24"/>
        </w:rPr>
        <w:t xml:space="preserve"> </w:t>
      </w:r>
      <w:r w:rsidR="00F52593" w:rsidRPr="00CB715F">
        <w:rPr>
          <w:rFonts w:eastAsia="Calibri"/>
          <w:i/>
          <w:sz w:val="24"/>
          <w:szCs w:val="24"/>
        </w:rPr>
        <w:t>2012</w:t>
      </w:r>
      <w:r w:rsidR="00F52593" w:rsidRPr="00CB715F">
        <w:rPr>
          <w:rFonts w:eastAsia="Calibri"/>
          <w:sz w:val="24"/>
          <w:szCs w:val="24"/>
        </w:rPr>
        <w:t xml:space="preserve"> (2012 Direction)</w:t>
      </w:r>
      <w:r w:rsidR="007509D9">
        <w:rPr>
          <w:rFonts w:eastAsia="Calibri"/>
          <w:sz w:val="24"/>
          <w:szCs w:val="24"/>
        </w:rPr>
        <w:t>, requiring the ACMA to make the Standard</w:t>
      </w:r>
      <w:r w:rsidR="00E017AA" w:rsidRPr="00CB715F">
        <w:rPr>
          <w:rFonts w:eastAsia="Calibri"/>
          <w:sz w:val="24"/>
          <w:szCs w:val="24"/>
        </w:rPr>
        <w:t>.</w:t>
      </w:r>
    </w:p>
    <w:p w14:paraId="6A74FC7C" w14:textId="17CFEC76" w:rsidR="007072F1" w:rsidRDefault="007072F1" w:rsidP="002131AC">
      <w:pPr>
        <w:rPr>
          <w:rFonts w:eastAsia="Calibri"/>
          <w:sz w:val="24"/>
          <w:szCs w:val="24"/>
        </w:rPr>
      </w:pPr>
    </w:p>
    <w:p w14:paraId="7F31FF5A" w14:textId="2D693851" w:rsidR="007072F1" w:rsidRDefault="007072F1" w:rsidP="007072F1">
      <w:pPr>
        <w:pStyle w:val="MinSubbodytext"/>
        <w:ind w:left="0"/>
        <w:rPr>
          <w:rStyle w:val="Text-Normal"/>
        </w:rPr>
      </w:pPr>
      <w:r w:rsidRPr="00A67174">
        <w:rPr>
          <w:rStyle w:val="Text-Normal"/>
        </w:rPr>
        <w:t>The ACMA made the Standard in June 2013</w:t>
      </w:r>
      <w:r w:rsidR="00524B97">
        <w:rPr>
          <w:rStyle w:val="Text-Normal"/>
        </w:rPr>
        <w:t xml:space="preserve"> </w:t>
      </w:r>
      <w:r w:rsidR="00524B97" w:rsidRPr="00505FD6">
        <w:t>in accordance with the 2012 Direction</w:t>
      </w:r>
      <w:r w:rsidRPr="00A67174">
        <w:rPr>
          <w:rStyle w:val="Text-Normal"/>
        </w:rPr>
        <w:t>. It commenced</w:t>
      </w:r>
      <w:r>
        <w:rPr>
          <w:rStyle w:val="Text-Normal"/>
        </w:rPr>
        <w:t xml:space="preserve"> progressively from September 2013 in three tranches, with the second tranche </w:t>
      </w:r>
      <w:r w:rsidR="00384B3F">
        <w:rPr>
          <w:rStyle w:val="Text-Normal"/>
        </w:rPr>
        <w:t xml:space="preserve">having commenced </w:t>
      </w:r>
      <w:r>
        <w:rPr>
          <w:rStyle w:val="Text-Normal"/>
        </w:rPr>
        <w:t xml:space="preserve">on 27 September 2014 and the third tranche </w:t>
      </w:r>
      <w:r w:rsidR="00384B3F">
        <w:rPr>
          <w:rStyle w:val="Text-Normal"/>
        </w:rPr>
        <w:t xml:space="preserve">currently required </w:t>
      </w:r>
      <w:r>
        <w:rPr>
          <w:rStyle w:val="Text-Normal"/>
        </w:rPr>
        <w:t>to commence on 23 May 2016.</w:t>
      </w:r>
    </w:p>
    <w:p w14:paraId="3C1E1230" w14:textId="77777777" w:rsidR="007072F1" w:rsidRDefault="007072F1" w:rsidP="007072F1">
      <w:pPr>
        <w:pStyle w:val="MinSubbodytext"/>
        <w:ind w:left="0"/>
        <w:rPr>
          <w:rStyle w:val="Text-Normal"/>
        </w:rPr>
      </w:pPr>
    </w:p>
    <w:p w14:paraId="68AC83E4" w14:textId="7EA9A88E" w:rsidR="007072F1" w:rsidRDefault="007072F1" w:rsidP="007072F1">
      <w:pPr>
        <w:pStyle w:val="MinSubbodytext"/>
        <w:ind w:left="0"/>
        <w:rPr>
          <w:rStyle w:val="Text-Normal"/>
        </w:rPr>
      </w:pPr>
      <w:r>
        <w:rPr>
          <w:rStyle w:val="Text-Normal"/>
        </w:rPr>
        <w:t xml:space="preserve">The first tranche </w:t>
      </w:r>
      <w:r w:rsidR="00384B3F">
        <w:rPr>
          <w:rStyle w:val="Text-Normal"/>
        </w:rPr>
        <w:t xml:space="preserve">requires </w:t>
      </w:r>
      <w:r>
        <w:rPr>
          <w:rStyle w:val="Text-Normal"/>
        </w:rPr>
        <w:t xml:space="preserve">mobile carriers to send </w:t>
      </w:r>
      <w:r w:rsidR="004E6D2A">
        <w:rPr>
          <w:rStyle w:val="Text-Normal"/>
        </w:rPr>
        <w:t xml:space="preserve">SMS messages </w:t>
      </w:r>
      <w:r>
        <w:rPr>
          <w:rStyle w:val="Text-Normal"/>
        </w:rPr>
        <w:t>to customers upon arrival in their destination country</w:t>
      </w:r>
      <w:r w:rsidRPr="00CA4335">
        <w:rPr>
          <w:rStyle w:val="Text-Normal"/>
        </w:rPr>
        <w:t xml:space="preserve"> </w:t>
      </w:r>
      <w:r w:rsidR="004E6D2A">
        <w:rPr>
          <w:rStyle w:val="Text-Normal"/>
        </w:rPr>
        <w:t xml:space="preserve">containing </w:t>
      </w:r>
      <w:r>
        <w:rPr>
          <w:rStyle w:val="Text-Normal"/>
        </w:rPr>
        <w:t>information on the pricing of IMR services in that country</w:t>
      </w:r>
      <w:r w:rsidR="004E6D2A">
        <w:rPr>
          <w:rStyle w:val="Text-Normal"/>
        </w:rPr>
        <w:t xml:space="preserve">. </w:t>
      </w:r>
      <w:r w:rsidR="0087529B">
        <w:rPr>
          <w:rStyle w:val="Text-Normal"/>
        </w:rPr>
        <w:t>This tranche requires MVNOs to either send</w:t>
      </w:r>
      <w:r w:rsidR="00455E69">
        <w:rPr>
          <w:rStyle w:val="Text-Normal"/>
        </w:rPr>
        <w:t xml:space="preserve"> post-paid and automatically recharging prepaid customers</w:t>
      </w:r>
      <w:r w:rsidR="0087529B">
        <w:rPr>
          <w:rStyle w:val="Text-Normal"/>
        </w:rPr>
        <w:t xml:space="preserve"> </w:t>
      </w:r>
      <w:r w:rsidR="0078534A">
        <w:rPr>
          <w:rStyle w:val="Text-Normal"/>
        </w:rPr>
        <w:t xml:space="preserve">the same </w:t>
      </w:r>
      <w:r w:rsidR="0087529B">
        <w:rPr>
          <w:rStyle w:val="Text-Normal"/>
        </w:rPr>
        <w:t xml:space="preserve">SMS messages regarding pricing, or instead to provide information to </w:t>
      </w:r>
      <w:r w:rsidR="007509D9">
        <w:rPr>
          <w:rStyle w:val="Text-Normal"/>
        </w:rPr>
        <w:t xml:space="preserve">a </w:t>
      </w:r>
      <w:r w:rsidR="0087529B">
        <w:rPr>
          <w:rStyle w:val="Text-Normal"/>
        </w:rPr>
        <w:t>customer prior to agreeing to provide an IMR service</w:t>
      </w:r>
      <w:r w:rsidR="007509D9">
        <w:rPr>
          <w:rStyle w:val="Text-Normal"/>
        </w:rPr>
        <w:t xml:space="preserve"> to the customer</w:t>
      </w:r>
      <w:r w:rsidR="0087529B">
        <w:rPr>
          <w:rStyle w:val="Text-Normal"/>
        </w:rPr>
        <w:t xml:space="preserve">. This tranche </w:t>
      </w:r>
      <w:r w:rsidR="004E6D2A">
        <w:rPr>
          <w:rStyle w:val="Text-Normal"/>
        </w:rPr>
        <w:t>also</w:t>
      </w:r>
      <w:r>
        <w:rPr>
          <w:rStyle w:val="Text-Normal"/>
        </w:rPr>
        <w:t xml:space="preserve"> </w:t>
      </w:r>
      <w:r w:rsidR="0087529B">
        <w:rPr>
          <w:rStyle w:val="Text-Normal"/>
        </w:rPr>
        <w:t xml:space="preserve">requires all </w:t>
      </w:r>
      <w:r w:rsidR="008A242F">
        <w:rPr>
          <w:rStyle w:val="Text-Normal"/>
        </w:rPr>
        <w:t xml:space="preserve">carriage service </w:t>
      </w:r>
      <w:r w:rsidR="0087529B">
        <w:rPr>
          <w:rStyle w:val="Text-Normal"/>
        </w:rPr>
        <w:t xml:space="preserve">providers </w:t>
      </w:r>
      <w:r>
        <w:rPr>
          <w:rStyle w:val="Text-Normal"/>
        </w:rPr>
        <w:t xml:space="preserve">to allow </w:t>
      </w:r>
      <w:r w:rsidR="00FA31F3">
        <w:rPr>
          <w:rStyle w:val="Text-Normal"/>
        </w:rPr>
        <w:t xml:space="preserve">customers </w:t>
      </w:r>
      <w:r>
        <w:rPr>
          <w:rStyle w:val="Text-Normal"/>
        </w:rPr>
        <w:t xml:space="preserve">to opt out of purchasing these services. </w:t>
      </w:r>
    </w:p>
    <w:p w14:paraId="3D4CB478" w14:textId="77777777" w:rsidR="007072F1" w:rsidRDefault="007072F1" w:rsidP="007072F1">
      <w:pPr>
        <w:pStyle w:val="MinSubbodytext"/>
        <w:rPr>
          <w:rStyle w:val="Text-Normal"/>
        </w:rPr>
      </w:pPr>
    </w:p>
    <w:p w14:paraId="42B435FC" w14:textId="6ED3D69F" w:rsidR="007072F1" w:rsidRPr="00A03869" w:rsidRDefault="00384B3F" w:rsidP="00CB715F">
      <w:pPr>
        <w:pStyle w:val="MinSubbodytext"/>
        <w:spacing w:after="120"/>
        <w:ind w:left="0"/>
        <w:rPr>
          <w:color w:val="000000"/>
        </w:rPr>
      </w:pPr>
      <w:r>
        <w:rPr>
          <w:rStyle w:val="Text-Normal"/>
        </w:rPr>
        <w:t>T</w:t>
      </w:r>
      <w:r w:rsidR="007072F1">
        <w:rPr>
          <w:rStyle w:val="Text-Normal"/>
        </w:rPr>
        <w:t xml:space="preserve">he second tranche </w:t>
      </w:r>
      <w:r>
        <w:rPr>
          <w:rStyle w:val="Text-Normal"/>
        </w:rPr>
        <w:t xml:space="preserve">requires </w:t>
      </w:r>
      <w:r w:rsidR="007072F1">
        <w:rPr>
          <w:rStyle w:val="Text-Normal"/>
        </w:rPr>
        <w:t xml:space="preserve">carriers to provide spend management tools, including at </w:t>
      </w:r>
      <w:r w:rsidR="007072F1" w:rsidRPr="00390063">
        <w:rPr>
          <w:color w:val="000000"/>
        </w:rPr>
        <w:t>least one tool to al</w:t>
      </w:r>
      <w:r w:rsidR="007072F1">
        <w:rPr>
          <w:color w:val="000000"/>
        </w:rPr>
        <w:t>low customers to obtain current</w:t>
      </w:r>
      <w:r w:rsidR="007072F1" w:rsidRPr="00390063">
        <w:rPr>
          <w:color w:val="000000"/>
        </w:rPr>
        <w:t xml:space="preserve"> usage estimates for IMR services</w:t>
      </w:r>
      <w:r w:rsidR="007072F1">
        <w:rPr>
          <w:color w:val="000000"/>
        </w:rPr>
        <w:t xml:space="preserve">. </w:t>
      </w:r>
      <w:r w:rsidR="000E2E76">
        <w:rPr>
          <w:color w:val="000000"/>
        </w:rPr>
        <w:t xml:space="preserve">Carriers </w:t>
      </w:r>
      <w:r w:rsidR="0087529B">
        <w:rPr>
          <w:color w:val="000000"/>
        </w:rPr>
        <w:t xml:space="preserve">must send </w:t>
      </w:r>
      <w:r w:rsidR="007072F1">
        <w:rPr>
          <w:color w:val="000000"/>
        </w:rPr>
        <w:t xml:space="preserve">SMS notifications </w:t>
      </w:r>
      <w:r w:rsidR="0087529B">
        <w:rPr>
          <w:color w:val="000000"/>
        </w:rPr>
        <w:t xml:space="preserve">to customers </w:t>
      </w:r>
      <w:r w:rsidR="007072F1">
        <w:rPr>
          <w:color w:val="000000"/>
        </w:rPr>
        <w:t xml:space="preserve">in the </w:t>
      </w:r>
      <w:r w:rsidR="007072F1" w:rsidRPr="00A03869">
        <w:rPr>
          <w:color w:val="000000"/>
        </w:rPr>
        <w:t>following circumstances:</w:t>
      </w:r>
    </w:p>
    <w:p w14:paraId="1687EEF3" w14:textId="77777777" w:rsidR="007072F1" w:rsidRPr="00CB715F" w:rsidRDefault="007072F1" w:rsidP="00CB715F">
      <w:pPr>
        <w:pStyle w:val="ListParagraph"/>
        <w:numPr>
          <w:ilvl w:val="0"/>
          <w:numId w:val="2"/>
        </w:numPr>
        <w:spacing w:before="0"/>
        <w:contextualSpacing w:val="0"/>
      </w:pPr>
      <w:r w:rsidRPr="00CB715F">
        <w:t>if the customer is using a post-paid service or automatically recharging prepaid service, for every $100 of IMR data used</w:t>
      </w:r>
    </w:p>
    <w:p w14:paraId="77E6910D" w14:textId="77777777" w:rsidR="007072F1" w:rsidRPr="00CB715F" w:rsidRDefault="007072F1" w:rsidP="00CB715F">
      <w:pPr>
        <w:pStyle w:val="ListParagraph"/>
        <w:numPr>
          <w:ilvl w:val="0"/>
          <w:numId w:val="2"/>
        </w:numPr>
        <w:spacing w:before="0"/>
        <w:contextualSpacing w:val="0"/>
      </w:pPr>
      <w:r w:rsidRPr="00CB715F">
        <w:t>where the customer has an included value pack for data, calls or SMS, alerts for when 50%, 85% and 100% of the included value has been used</w:t>
      </w:r>
    </w:p>
    <w:p w14:paraId="6357A970" w14:textId="77777777" w:rsidR="007072F1" w:rsidRPr="00CB715F" w:rsidRDefault="007072F1" w:rsidP="00CB715F">
      <w:pPr>
        <w:pStyle w:val="ListParagraph"/>
        <w:numPr>
          <w:ilvl w:val="0"/>
          <w:numId w:val="2"/>
        </w:numPr>
        <w:spacing w:before="0"/>
        <w:contextualSpacing w:val="0"/>
      </w:pPr>
      <w:r w:rsidRPr="00CB715F">
        <w:t>where the customer reaches 100% of an include value pack, a notification of the maximum charges of continuing to use the service (i.e. excess charges).</w:t>
      </w:r>
    </w:p>
    <w:p w14:paraId="350C287F" w14:textId="77777777" w:rsidR="007072F1" w:rsidRPr="00173B75" w:rsidRDefault="007072F1" w:rsidP="007072F1">
      <w:pPr>
        <w:pStyle w:val="MinSubbodytext"/>
        <w:rPr>
          <w:rStyle w:val="Text-Normal"/>
        </w:rPr>
      </w:pPr>
    </w:p>
    <w:p w14:paraId="15B69071" w14:textId="7D4D5B10" w:rsidR="007072F1" w:rsidRPr="00173B75" w:rsidRDefault="007072F1" w:rsidP="00CB715F">
      <w:pPr>
        <w:pStyle w:val="MinSubbodytext"/>
        <w:ind w:left="0"/>
        <w:rPr>
          <w:rStyle w:val="Text-Normal"/>
        </w:rPr>
      </w:pPr>
      <w:r w:rsidRPr="00173B75">
        <w:rPr>
          <w:rStyle w:val="Text-Normal"/>
        </w:rPr>
        <w:t>The third tranche</w:t>
      </w:r>
      <w:r w:rsidR="00384B3F">
        <w:rPr>
          <w:rStyle w:val="Text-Normal"/>
        </w:rPr>
        <w:t xml:space="preserve"> </w:t>
      </w:r>
      <w:r w:rsidRPr="00173B75">
        <w:rPr>
          <w:rStyle w:val="Text-Normal"/>
        </w:rPr>
        <w:t>w</w:t>
      </w:r>
      <w:r w:rsidR="00AC6B31">
        <w:rPr>
          <w:rStyle w:val="Text-Normal"/>
        </w:rPr>
        <w:t>ould</w:t>
      </w:r>
      <w:r w:rsidRPr="00173B75">
        <w:rPr>
          <w:rStyle w:val="Text-Normal"/>
        </w:rPr>
        <w:t xml:space="preserve"> extend </w:t>
      </w:r>
      <w:r w:rsidR="0087529B">
        <w:rPr>
          <w:rStyle w:val="Text-Normal"/>
        </w:rPr>
        <w:t xml:space="preserve">the </w:t>
      </w:r>
      <w:r w:rsidR="000E2E76">
        <w:rPr>
          <w:rStyle w:val="Text-Normal"/>
        </w:rPr>
        <w:t xml:space="preserve">application of the </w:t>
      </w:r>
      <w:r w:rsidR="0087529B">
        <w:rPr>
          <w:rStyle w:val="Text-Normal"/>
        </w:rPr>
        <w:t xml:space="preserve">pricing SMS </w:t>
      </w:r>
      <w:r w:rsidR="0078534A">
        <w:rPr>
          <w:rStyle w:val="Text-Normal"/>
        </w:rPr>
        <w:t>message requirements</w:t>
      </w:r>
      <w:r w:rsidR="000E2E76">
        <w:rPr>
          <w:rStyle w:val="Text-Normal"/>
        </w:rPr>
        <w:t xml:space="preserve"> from the first tranche</w:t>
      </w:r>
      <w:r w:rsidR="0087529B">
        <w:rPr>
          <w:rStyle w:val="Text-Normal"/>
        </w:rPr>
        <w:t xml:space="preserve"> and spend management tools</w:t>
      </w:r>
      <w:r w:rsidR="000E2E76">
        <w:rPr>
          <w:rStyle w:val="Text-Normal"/>
        </w:rPr>
        <w:t xml:space="preserve"> from the second tranche</w:t>
      </w:r>
      <w:r w:rsidRPr="00173B75">
        <w:rPr>
          <w:rStyle w:val="Text-Normal"/>
        </w:rPr>
        <w:t xml:space="preserve"> to MVNOs.</w:t>
      </w:r>
    </w:p>
    <w:p w14:paraId="71C1F5F6" w14:textId="62C4305E" w:rsidR="00123057" w:rsidRDefault="00123057" w:rsidP="00CB715F">
      <w:pPr>
        <w:pStyle w:val="MinSubbodytext"/>
        <w:ind w:left="0"/>
        <w:rPr>
          <w:color w:val="000000"/>
        </w:rPr>
      </w:pPr>
    </w:p>
    <w:p w14:paraId="17888701" w14:textId="0506BC20" w:rsidR="00AC6B31" w:rsidRDefault="000E2E76" w:rsidP="00CB715F">
      <w:pPr>
        <w:pStyle w:val="MinSubbodytext"/>
        <w:ind w:left="0"/>
        <w:rPr>
          <w:color w:val="000000"/>
        </w:rPr>
      </w:pPr>
      <w:r>
        <w:rPr>
          <w:color w:val="000000"/>
        </w:rPr>
        <w:t>I</w:t>
      </w:r>
      <w:r w:rsidR="00AC6B31">
        <w:rPr>
          <w:color w:val="000000"/>
        </w:rPr>
        <w:t xml:space="preserve">ndustry stakeholders put forward proposals </w:t>
      </w:r>
      <w:r w:rsidR="00C8668F">
        <w:rPr>
          <w:color w:val="000000"/>
        </w:rPr>
        <w:t xml:space="preserve">in </w:t>
      </w:r>
      <w:r w:rsidR="00524B97">
        <w:rPr>
          <w:color w:val="000000"/>
        </w:rPr>
        <w:t>2014-15</w:t>
      </w:r>
      <w:r w:rsidR="00C8668F">
        <w:rPr>
          <w:color w:val="000000"/>
        </w:rPr>
        <w:t xml:space="preserve"> </w:t>
      </w:r>
      <w:r w:rsidR="00AC6B31">
        <w:rPr>
          <w:color w:val="000000"/>
        </w:rPr>
        <w:t>to amend the Standard to address concerns about potential unintended consequences on MVNOs and to streamline the operation of the Standard where possible.</w:t>
      </w:r>
    </w:p>
    <w:p w14:paraId="0BF99526" w14:textId="46186A1A" w:rsidR="00123057" w:rsidRPr="00CB715F" w:rsidRDefault="00123057" w:rsidP="00123057">
      <w:pPr>
        <w:pStyle w:val="MinSubbodytext"/>
        <w:ind w:left="0"/>
      </w:pPr>
    </w:p>
    <w:p w14:paraId="7723363D" w14:textId="0F81BB63" w:rsidR="004967DE" w:rsidRDefault="00B43AE6" w:rsidP="000F5696">
      <w:pPr>
        <w:pStyle w:val="MinSubbodytext"/>
        <w:ind w:left="0"/>
      </w:pPr>
      <w:r w:rsidRPr="00A03869">
        <w:t>The Department</w:t>
      </w:r>
      <w:r w:rsidR="00123057" w:rsidRPr="00CB715F">
        <w:t xml:space="preserve"> </w:t>
      </w:r>
      <w:r w:rsidR="00C8668F">
        <w:t xml:space="preserve">of Communications and the Arts (the Department) </w:t>
      </w:r>
      <w:r w:rsidR="00123057" w:rsidRPr="00CB715F">
        <w:t xml:space="preserve">and the </w:t>
      </w:r>
      <w:r w:rsidR="00AC6B31">
        <w:t xml:space="preserve">ACMA consulted with </w:t>
      </w:r>
      <w:r w:rsidR="00AC6B31" w:rsidRPr="00173B75">
        <w:t>the Australian Mobile Telecommun</w:t>
      </w:r>
      <w:r w:rsidR="00AC6B31">
        <w:t xml:space="preserve">ications Association (AMTA), the </w:t>
      </w:r>
      <w:r w:rsidR="00AC6B31" w:rsidRPr="00173B75">
        <w:t>Communications Alliance (CA)</w:t>
      </w:r>
      <w:r w:rsidR="00AC6B31">
        <w:t xml:space="preserve"> and the </w:t>
      </w:r>
      <w:r w:rsidR="00123057" w:rsidRPr="00CB715F">
        <w:t xml:space="preserve">Australian Communications Consumer Action Network (ACCAN) </w:t>
      </w:r>
      <w:r w:rsidR="00285173">
        <w:t xml:space="preserve">in </w:t>
      </w:r>
      <w:r w:rsidR="00524B97">
        <w:t>2014 and 2015</w:t>
      </w:r>
      <w:r w:rsidR="00AC6B31">
        <w:t xml:space="preserve"> on possible amendments to the Standard that would deliver benefits to both cons</w:t>
      </w:r>
      <w:r w:rsidR="00524B97">
        <w:t>umers and</w:t>
      </w:r>
      <w:r w:rsidR="00AC6B31">
        <w:t xml:space="preserve"> industry.</w:t>
      </w:r>
    </w:p>
    <w:p w14:paraId="1CE4BA7F" w14:textId="77777777" w:rsidR="004967DE" w:rsidRPr="003F072C" w:rsidRDefault="004967DE" w:rsidP="000F5696">
      <w:pPr>
        <w:pStyle w:val="MinSubbodytext"/>
        <w:ind w:left="0"/>
      </w:pPr>
    </w:p>
    <w:p w14:paraId="61D6E8D4" w14:textId="15119402" w:rsidR="009A6325" w:rsidRDefault="005653D3" w:rsidP="000F5696">
      <w:pPr>
        <w:pStyle w:val="MinSubbodytext"/>
        <w:ind w:left="0"/>
      </w:pPr>
      <w:r w:rsidRPr="003F072C">
        <w:t>Following analysis of information</w:t>
      </w:r>
      <w:r w:rsidR="007C2820">
        <w:t xml:space="preserve"> </w:t>
      </w:r>
      <w:r w:rsidR="00560370">
        <w:t xml:space="preserve">provided by industry </w:t>
      </w:r>
      <w:r w:rsidR="007C2820">
        <w:t xml:space="preserve">and </w:t>
      </w:r>
      <w:r w:rsidR="00C8668F">
        <w:t xml:space="preserve">the </w:t>
      </w:r>
      <w:r w:rsidR="007C2820">
        <w:t>consultation</w:t>
      </w:r>
      <w:r w:rsidR="00C8668F">
        <w:t>s</w:t>
      </w:r>
      <w:r w:rsidR="007C2820">
        <w:t xml:space="preserve"> with</w:t>
      </w:r>
      <w:r w:rsidR="00206782">
        <w:t xml:space="preserve"> </w:t>
      </w:r>
      <w:r w:rsidR="007C2820">
        <w:t>ACCAN, CA and AMTA,</w:t>
      </w:r>
      <w:r w:rsidR="00424689">
        <w:t xml:space="preserve"> th</w:t>
      </w:r>
      <w:r w:rsidR="00C8668F">
        <w:t xml:space="preserve">ere were </w:t>
      </w:r>
      <w:r w:rsidR="00B23C48">
        <w:t xml:space="preserve">four </w:t>
      </w:r>
      <w:r w:rsidR="00C8668F">
        <w:t xml:space="preserve">areas of the Standard that were </w:t>
      </w:r>
      <w:r w:rsidR="00424689">
        <w:t xml:space="preserve">identified </w:t>
      </w:r>
      <w:r w:rsidR="00C8668F">
        <w:t xml:space="preserve">as being suitable for amendment based on the </w:t>
      </w:r>
      <w:r w:rsidR="00524B97">
        <w:t xml:space="preserve">evidence </w:t>
      </w:r>
      <w:r w:rsidR="00C8668F">
        <w:t>available</w:t>
      </w:r>
      <w:r w:rsidR="00580F95">
        <w:t>.</w:t>
      </w:r>
      <w:r w:rsidR="004967DE">
        <w:t xml:space="preserve"> </w:t>
      </w:r>
      <w:r w:rsidR="00580F95">
        <w:t>These amendments f</w:t>
      </w:r>
      <w:r w:rsidR="00C8668F">
        <w:t>or</w:t>
      </w:r>
      <w:r w:rsidR="00580F95">
        <w:t>m this Direction, which are</w:t>
      </w:r>
      <w:r w:rsidR="00285173">
        <w:t xml:space="preserve"> to</w:t>
      </w:r>
      <w:r w:rsidR="00580F95">
        <w:t>:</w:t>
      </w:r>
      <w:r w:rsidR="008D5353">
        <w:t xml:space="preserve"> </w:t>
      </w:r>
    </w:p>
    <w:p w14:paraId="7A6F54E8" w14:textId="015B6A26" w:rsidR="009A6325" w:rsidRPr="00CB715F" w:rsidRDefault="00E13B26" w:rsidP="004967DE">
      <w:pPr>
        <w:pStyle w:val="ListParagraph"/>
        <w:numPr>
          <w:ilvl w:val="0"/>
          <w:numId w:val="2"/>
        </w:numPr>
        <w:spacing w:before="0"/>
        <w:contextualSpacing w:val="0"/>
      </w:pPr>
      <w:r>
        <w:lastRenderedPageBreak/>
        <w:t>M</w:t>
      </w:r>
      <w:r w:rsidR="007F1216">
        <w:t>ake changes that would r</w:t>
      </w:r>
      <w:r w:rsidR="009A6325" w:rsidRPr="00CB715F">
        <w:t xml:space="preserve">educe the need for multiple </w:t>
      </w:r>
      <w:r w:rsidR="00C8668F">
        <w:t xml:space="preserve">upfront </w:t>
      </w:r>
      <w:r w:rsidR="009A6325" w:rsidRPr="00CB715F">
        <w:t xml:space="preserve">SMS </w:t>
      </w:r>
      <w:r w:rsidR="00C8668F">
        <w:t>warning</w:t>
      </w:r>
      <w:r w:rsidR="00524B97">
        <w:t xml:space="preserve"> and charging</w:t>
      </w:r>
      <w:r w:rsidR="00C8668F">
        <w:t xml:space="preserve"> </w:t>
      </w:r>
      <w:r w:rsidR="009A6325" w:rsidRPr="00CB715F">
        <w:t>notifications.</w:t>
      </w:r>
      <w:r w:rsidR="00580F95" w:rsidRPr="00580F95">
        <w:t xml:space="preserve"> </w:t>
      </w:r>
      <w:r w:rsidR="009A6325" w:rsidRPr="00CB715F">
        <w:t xml:space="preserve">This </w:t>
      </w:r>
      <w:r w:rsidR="00C8668F">
        <w:t>could</w:t>
      </w:r>
      <w:r w:rsidR="009A6325" w:rsidRPr="00CB715F">
        <w:t xml:space="preserve"> </w:t>
      </w:r>
      <w:r w:rsidR="009A6325" w:rsidRPr="00173B75">
        <w:t xml:space="preserve">reduce </w:t>
      </w:r>
      <w:r w:rsidR="00B23C48">
        <w:t>carriage service provider</w:t>
      </w:r>
      <w:r w:rsidR="00B23C48" w:rsidRPr="00173B75">
        <w:t xml:space="preserve"> </w:t>
      </w:r>
      <w:r w:rsidR="009A6325" w:rsidRPr="00173B75">
        <w:t xml:space="preserve">messaging costs, while also reducing unnecessary message load </w:t>
      </w:r>
      <w:r w:rsidR="00782451">
        <w:t>for</w:t>
      </w:r>
      <w:r w:rsidR="00782451" w:rsidRPr="00173B75">
        <w:t xml:space="preserve"> </w:t>
      </w:r>
      <w:r w:rsidR="00B23C48">
        <w:t>customers</w:t>
      </w:r>
      <w:r w:rsidR="009A6325" w:rsidRPr="00173B75">
        <w:t>.</w:t>
      </w:r>
    </w:p>
    <w:p w14:paraId="081D7710" w14:textId="24FD6E98" w:rsidR="009A6325" w:rsidRDefault="00E13B26" w:rsidP="004967DE">
      <w:pPr>
        <w:pStyle w:val="ListParagraph"/>
        <w:numPr>
          <w:ilvl w:val="0"/>
          <w:numId w:val="2"/>
        </w:numPr>
        <w:spacing w:before="0"/>
        <w:contextualSpacing w:val="0"/>
      </w:pPr>
      <w:r>
        <w:t>A</w:t>
      </w:r>
      <w:r w:rsidR="009A6325" w:rsidRPr="00CB715F">
        <w:t>llow greater flexibility in the types of mechanisms that can be provided to allow cust</w:t>
      </w:r>
      <w:r w:rsidR="00580F95" w:rsidRPr="00580F95">
        <w:t xml:space="preserve">omers to decline IMR services. </w:t>
      </w:r>
      <w:r w:rsidR="00285173">
        <w:t>This will provide</w:t>
      </w:r>
      <w:r w:rsidR="009A6325" w:rsidRPr="00173B75">
        <w:t xml:space="preserve"> greater flexibility for both </w:t>
      </w:r>
      <w:r w:rsidR="00B23C48">
        <w:t>carriage service providers</w:t>
      </w:r>
      <w:r w:rsidR="00B23C48" w:rsidRPr="00173B75">
        <w:t xml:space="preserve"> </w:t>
      </w:r>
      <w:r w:rsidR="009A6325" w:rsidRPr="00173B75">
        <w:t xml:space="preserve">and </w:t>
      </w:r>
      <w:r w:rsidR="00FA31F3">
        <w:t xml:space="preserve">customers </w:t>
      </w:r>
      <w:r w:rsidR="009A6325" w:rsidRPr="00173B75">
        <w:t xml:space="preserve">to terminate unwanted IMR services without imposing additional </w:t>
      </w:r>
      <w:r w:rsidR="00FA31F3">
        <w:t xml:space="preserve">consumer </w:t>
      </w:r>
      <w:r w:rsidR="009A6325" w:rsidRPr="00173B75">
        <w:t>costs.</w:t>
      </w:r>
    </w:p>
    <w:p w14:paraId="59ED1AFF" w14:textId="358CF875" w:rsidR="009E476B" w:rsidRPr="00CB715F" w:rsidRDefault="00ED7FD5" w:rsidP="000F5696">
      <w:pPr>
        <w:pStyle w:val="MinSubbodytext"/>
        <w:numPr>
          <w:ilvl w:val="0"/>
          <w:numId w:val="2"/>
        </w:numPr>
      </w:pPr>
      <w:r>
        <w:t xml:space="preserve">Add the ability for </w:t>
      </w:r>
      <w:r w:rsidR="00CE1A19">
        <w:t xml:space="preserve">carriage service </w:t>
      </w:r>
      <w:r>
        <w:t xml:space="preserve">providers to </w:t>
      </w:r>
      <w:r w:rsidR="004967DE">
        <w:t xml:space="preserve">voluntarily </w:t>
      </w:r>
      <w:r>
        <w:t xml:space="preserve">offer a mechanism for </w:t>
      </w:r>
      <w:r w:rsidR="00FA31F3">
        <w:t xml:space="preserve">customers </w:t>
      </w:r>
      <w:r>
        <w:t>to opt out of spend management notifications.</w:t>
      </w:r>
    </w:p>
    <w:p w14:paraId="20D51E78" w14:textId="0FF7F1F2" w:rsidR="00FA31F3" w:rsidRPr="00173B75" w:rsidRDefault="00FA31F3" w:rsidP="004967DE">
      <w:pPr>
        <w:pStyle w:val="ListParagraph"/>
        <w:numPr>
          <w:ilvl w:val="0"/>
          <w:numId w:val="2"/>
        </w:numPr>
        <w:spacing w:before="0"/>
        <w:contextualSpacing w:val="0"/>
      </w:pPr>
      <w:r>
        <w:t>D</w:t>
      </w:r>
      <w:r w:rsidRPr="00173B75">
        <w:t xml:space="preserve">elay </w:t>
      </w:r>
      <w:r>
        <w:t xml:space="preserve">introduction of </w:t>
      </w:r>
      <w:r w:rsidRPr="00CB715F">
        <w:t>the Standard’s third tranche (apply</w:t>
      </w:r>
      <w:r w:rsidR="004967DE">
        <w:t>ing</w:t>
      </w:r>
      <w:r w:rsidRPr="00CB715F">
        <w:t xml:space="preserve"> </w:t>
      </w:r>
      <w:r w:rsidR="00E03706">
        <w:t xml:space="preserve">parts of </w:t>
      </w:r>
      <w:r w:rsidRPr="00CB715F">
        <w:t>the Standar</w:t>
      </w:r>
      <w:r w:rsidRPr="007F1216">
        <w:t xml:space="preserve">d’s requirements </w:t>
      </w:r>
      <w:r w:rsidR="004967DE">
        <w:t xml:space="preserve">to </w:t>
      </w:r>
      <w:r w:rsidRPr="007F1216">
        <w:t xml:space="preserve">MVNOs) </w:t>
      </w:r>
      <w:r w:rsidRPr="00173B75">
        <w:t xml:space="preserve">until </w:t>
      </w:r>
      <w:r>
        <w:t xml:space="preserve">1 January 2019, after the </w:t>
      </w:r>
      <w:r w:rsidR="00B23C48">
        <w:t xml:space="preserve">2018 </w:t>
      </w:r>
      <w:r w:rsidRPr="00173B75">
        <w:t>review of the Standard</w:t>
      </w:r>
      <w:r>
        <w:t xml:space="preserve"> is completed</w:t>
      </w:r>
      <w:r w:rsidRPr="00173B75">
        <w:t xml:space="preserve">. </w:t>
      </w:r>
      <w:r w:rsidRPr="00CB715F">
        <w:t>This will allow the ACMA to further assess any potential unintended impacts of the Standard’s requirements on MVNOs</w:t>
      </w:r>
      <w:r>
        <w:t xml:space="preserve"> before </w:t>
      </w:r>
      <w:r w:rsidR="004967DE">
        <w:t>they start</w:t>
      </w:r>
      <w:r w:rsidRPr="00CB715F">
        <w:t>.</w:t>
      </w:r>
    </w:p>
    <w:p w14:paraId="2FB8F9D7" w14:textId="77777777" w:rsidR="00782451" w:rsidRPr="000F5696" w:rsidRDefault="00782451" w:rsidP="000F5696">
      <w:pPr>
        <w:tabs>
          <w:tab w:val="right" w:pos="9923"/>
        </w:tabs>
        <w:rPr>
          <w:rFonts w:eastAsia="Calibri"/>
          <w:sz w:val="24"/>
          <w:szCs w:val="24"/>
        </w:rPr>
      </w:pPr>
    </w:p>
    <w:p w14:paraId="20C30E9E" w14:textId="0A9FF521" w:rsidR="00A03869" w:rsidRDefault="00424689" w:rsidP="00CB715F">
      <w:r w:rsidRPr="00B43AE6">
        <w:rPr>
          <w:rFonts w:eastAsia="Calibri"/>
          <w:sz w:val="24"/>
          <w:szCs w:val="24"/>
        </w:rPr>
        <w:t xml:space="preserve">Other </w:t>
      </w:r>
      <w:r w:rsidR="00C8668F">
        <w:rPr>
          <w:rFonts w:eastAsia="Calibri"/>
          <w:sz w:val="24"/>
          <w:szCs w:val="24"/>
        </w:rPr>
        <w:t xml:space="preserve">possible </w:t>
      </w:r>
      <w:r w:rsidR="00F85E49">
        <w:rPr>
          <w:rFonts w:eastAsia="Calibri"/>
          <w:sz w:val="24"/>
          <w:szCs w:val="24"/>
        </w:rPr>
        <w:t xml:space="preserve">amendments </w:t>
      </w:r>
      <w:r w:rsidR="00C8668F">
        <w:rPr>
          <w:rFonts w:eastAsia="Calibri"/>
          <w:sz w:val="24"/>
          <w:szCs w:val="24"/>
        </w:rPr>
        <w:t xml:space="preserve">were assessed as not </w:t>
      </w:r>
      <w:r w:rsidRPr="00B43AE6">
        <w:rPr>
          <w:rFonts w:eastAsia="Calibri"/>
          <w:sz w:val="24"/>
          <w:szCs w:val="24"/>
        </w:rPr>
        <w:t>hav</w:t>
      </w:r>
      <w:r w:rsidR="00C8668F">
        <w:rPr>
          <w:rFonts w:eastAsia="Calibri"/>
          <w:sz w:val="24"/>
          <w:szCs w:val="24"/>
        </w:rPr>
        <w:t>ing</w:t>
      </w:r>
      <w:r w:rsidRPr="00B43AE6">
        <w:rPr>
          <w:rFonts w:eastAsia="Calibri"/>
          <w:sz w:val="24"/>
          <w:szCs w:val="24"/>
        </w:rPr>
        <w:t xml:space="preserve"> sufficient merit based on the in</w:t>
      </w:r>
      <w:r>
        <w:rPr>
          <w:rFonts w:eastAsia="Calibri"/>
          <w:sz w:val="24"/>
          <w:szCs w:val="24"/>
        </w:rPr>
        <w:t xml:space="preserve">formation available. </w:t>
      </w:r>
      <w:r w:rsidRPr="00B43AE6">
        <w:rPr>
          <w:rFonts w:eastAsia="Calibri"/>
          <w:sz w:val="24"/>
          <w:szCs w:val="24"/>
        </w:rPr>
        <w:t>In addition</w:t>
      </w:r>
      <w:r>
        <w:rPr>
          <w:rFonts w:eastAsia="Calibri"/>
          <w:sz w:val="24"/>
          <w:szCs w:val="24"/>
        </w:rPr>
        <w:t xml:space="preserve">, further changes to the Standard </w:t>
      </w:r>
      <w:r w:rsidR="00F85E49">
        <w:rPr>
          <w:rFonts w:eastAsia="Calibri"/>
          <w:sz w:val="24"/>
          <w:szCs w:val="24"/>
        </w:rPr>
        <w:t xml:space="preserve">beyond those specified in the Direction </w:t>
      </w:r>
      <w:r w:rsidRPr="00B43AE6">
        <w:rPr>
          <w:rFonts w:eastAsia="Calibri"/>
          <w:sz w:val="24"/>
          <w:szCs w:val="24"/>
        </w:rPr>
        <w:t>could negatively impact on the decline in IMR related complaints (including relating to bill shock) that have been achieved in recent years.</w:t>
      </w:r>
    </w:p>
    <w:p w14:paraId="42420F27" w14:textId="77777777" w:rsidR="00384C56" w:rsidRPr="00927C37" w:rsidRDefault="00384C56" w:rsidP="007F1216">
      <w:pPr>
        <w:rPr>
          <w:sz w:val="24"/>
          <w:szCs w:val="24"/>
          <w:u w:val="single"/>
        </w:rPr>
      </w:pPr>
    </w:p>
    <w:p w14:paraId="7B4C2022" w14:textId="77777777" w:rsidR="002131AC" w:rsidRPr="00927C37" w:rsidRDefault="002131AC" w:rsidP="002131AC">
      <w:pPr>
        <w:rPr>
          <w:sz w:val="24"/>
          <w:szCs w:val="24"/>
          <w:u w:val="single"/>
        </w:rPr>
      </w:pPr>
      <w:r w:rsidRPr="00927C37">
        <w:rPr>
          <w:sz w:val="24"/>
          <w:szCs w:val="24"/>
          <w:u w:val="single"/>
        </w:rPr>
        <w:t>Regulation Impact Statement</w:t>
      </w:r>
    </w:p>
    <w:p w14:paraId="3279B7CE" w14:textId="77777777" w:rsidR="002131AC" w:rsidRPr="00CB715F" w:rsidRDefault="002131AC" w:rsidP="002131AC">
      <w:pPr>
        <w:rPr>
          <w:sz w:val="24"/>
          <w:szCs w:val="24"/>
        </w:rPr>
      </w:pPr>
    </w:p>
    <w:p w14:paraId="028D32A1" w14:textId="4673AEC0" w:rsidR="009F5032" w:rsidRPr="00CB715F" w:rsidRDefault="009F5032" w:rsidP="002131AC">
      <w:pPr>
        <w:rPr>
          <w:sz w:val="24"/>
          <w:szCs w:val="24"/>
        </w:rPr>
      </w:pPr>
      <w:r w:rsidRPr="00CB715F">
        <w:rPr>
          <w:sz w:val="24"/>
          <w:szCs w:val="24"/>
        </w:rPr>
        <w:t>The Office of Best Practice Regulation has advised that a Regulation Impact Statement is not required for th</w:t>
      </w:r>
      <w:r w:rsidR="00285173">
        <w:rPr>
          <w:sz w:val="24"/>
          <w:szCs w:val="24"/>
        </w:rPr>
        <w:t>is</w:t>
      </w:r>
      <w:r w:rsidRPr="00CB715F">
        <w:rPr>
          <w:sz w:val="24"/>
          <w:szCs w:val="24"/>
        </w:rPr>
        <w:t xml:space="preserve"> Direction (OBPR reference number</w:t>
      </w:r>
      <w:r w:rsidR="005D7005" w:rsidRPr="00CB715F">
        <w:rPr>
          <w:color w:val="1F497D"/>
          <w:sz w:val="24"/>
          <w:szCs w:val="24"/>
        </w:rPr>
        <w:t xml:space="preserve"> </w:t>
      </w:r>
      <w:r w:rsidR="005D7005" w:rsidRPr="00CB715F">
        <w:rPr>
          <w:sz w:val="24"/>
          <w:szCs w:val="24"/>
        </w:rPr>
        <w:t>19650</w:t>
      </w:r>
      <w:r w:rsidRPr="00CB715F">
        <w:rPr>
          <w:sz w:val="24"/>
          <w:szCs w:val="24"/>
        </w:rPr>
        <w:t>).</w:t>
      </w:r>
    </w:p>
    <w:p w14:paraId="7DDC0754" w14:textId="77777777" w:rsidR="009F5032" w:rsidRPr="00927C37" w:rsidRDefault="009F5032" w:rsidP="002131AC">
      <w:pPr>
        <w:rPr>
          <w:sz w:val="24"/>
          <w:szCs w:val="24"/>
          <w:u w:val="single"/>
        </w:rPr>
      </w:pPr>
    </w:p>
    <w:p w14:paraId="5FAA017D" w14:textId="1C6642E9" w:rsidR="00BA070E" w:rsidRDefault="002131AC" w:rsidP="00896ED4">
      <w:pPr>
        <w:rPr>
          <w:sz w:val="24"/>
          <w:szCs w:val="24"/>
          <w:u w:val="single"/>
        </w:rPr>
      </w:pPr>
      <w:r w:rsidRPr="00927C37">
        <w:rPr>
          <w:sz w:val="24"/>
          <w:szCs w:val="24"/>
          <w:u w:val="single"/>
        </w:rPr>
        <w:t>Consultation</w:t>
      </w:r>
    </w:p>
    <w:p w14:paraId="75A5699D" w14:textId="32C657FB" w:rsidR="003F072C" w:rsidRPr="003F072C" w:rsidRDefault="003F072C" w:rsidP="003F072C">
      <w:pPr>
        <w:rPr>
          <w:rFonts w:eastAsia="Calibri"/>
          <w:sz w:val="24"/>
          <w:szCs w:val="24"/>
        </w:rPr>
      </w:pPr>
    </w:p>
    <w:p w14:paraId="071D1A87" w14:textId="71BFBBA8" w:rsidR="00B77C39" w:rsidRDefault="00560370" w:rsidP="003F072C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In developing </w:t>
      </w:r>
      <w:r w:rsidR="000E2E76">
        <w:rPr>
          <w:rFonts w:eastAsia="Calibri"/>
          <w:sz w:val="24"/>
          <w:szCs w:val="24"/>
        </w:rPr>
        <w:t xml:space="preserve">the proposed amendments to the Standard that make up </w:t>
      </w:r>
      <w:r>
        <w:rPr>
          <w:rFonts w:eastAsia="Calibri"/>
          <w:sz w:val="24"/>
          <w:szCs w:val="24"/>
        </w:rPr>
        <w:t xml:space="preserve">this Direction, </w:t>
      </w:r>
      <w:r w:rsidR="00B77C39">
        <w:rPr>
          <w:rFonts w:eastAsia="Calibri"/>
          <w:sz w:val="24"/>
          <w:szCs w:val="24"/>
        </w:rPr>
        <w:t>consultations were undertaken between the Department, the ACMA, ACCAN, CA, AMTA, individual carriers and MVNOs as necessary.</w:t>
      </w:r>
      <w:r w:rsidR="004967DE">
        <w:rPr>
          <w:rFonts w:eastAsia="Calibri"/>
          <w:sz w:val="24"/>
          <w:szCs w:val="24"/>
        </w:rPr>
        <w:t xml:space="preserve"> </w:t>
      </w:r>
      <w:r w:rsidR="00B77C39">
        <w:rPr>
          <w:rFonts w:eastAsia="Calibri"/>
          <w:sz w:val="24"/>
          <w:szCs w:val="24"/>
        </w:rPr>
        <w:t xml:space="preserve">CA and AMTA provided written submissions for </w:t>
      </w:r>
      <w:r w:rsidR="000E2E76">
        <w:rPr>
          <w:rFonts w:eastAsia="Calibri"/>
          <w:sz w:val="24"/>
          <w:szCs w:val="24"/>
        </w:rPr>
        <w:t xml:space="preserve">consideration by </w:t>
      </w:r>
      <w:r w:rsidR="00B77C39">
        <w:rPr>
          <w:rFonts w:eastAsia="Calibri"/>
          <w:sz w:val="24"/>
          <w:szCs w:val="24"/>
        </w:rPr>
        <w:t xml:space="preserve">the Department and the ACMA and responded to requests for additional information as required. </w:t>
      </w:r>
      <w:r w:rsidR="009E476B">
        <w:rPr>
          <w:rFonts w:eastAsia="Calibri"/>
          <w:sz w:val="24"/>
          <w:szCs w:val="24"/>
        </w:rPr>
        <w:t>CA and AMTA also provided their submission</w:t>
      </w:r>
      <w:r w:rsidR="00D94DAB">
        <w:rPr>
          <w:rFonts w:eastAsia="Calibri"/>
          <w:sz w:val="24"/>
          <w:szCs w:val="24"/>
        </w:rPr>
        <w:t>s</w:t>
      </w:r>
      <w:r w:rsidR="009E476B">
        <w:rPr>
          <w:rFonts w:eastAsia="Calibri"/>
          <w:sz w:val="24"/>
          <w:szCs w:val="24"/>
        </w:rPr>
        <w:t xml:space="preserve"> to ACCAN for comment.</w:t>
      </w:r>
    </w:p>
    <w:p w14:paraId="5242B6CE" w14:textId="77777777" w:rsidR="00B77C39" w:rsidRDefault="00B77C39" w:rsidP="003F072C">
      <w:pPr>
        <w:rPr>
          <w:rFonts w:eastAsia="Calibri"/>
          <w:sz w:val="24"/>
          <w:szCs w:val="24"/>
        </w:rPr>
      </w:pPr>
    </w:p>
    <w:p w14:paraId="65D197DB" w14:textId="246E0920" w:rsidR="003F072C" w:rsidRDefault="00B77C39" w:rsidP="003F072C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To facilitate these consultations the </w:t>
      </w:r>
      <w:r w:rsidR="003F072C" w:rsidRPr="003F072C">
        <w:rPr>
          <w:rFonts w:eastAsia="Calibri"/>
          <w:sz w:val="24"/>
          <w:szCs w:val="24"/>
        </w:rPr>
        <w:t>Department</w:t>
      </w:r>
      <w:r w:rsidR="00560370">
        <w:rPr>
          <w:rFonts w:eastAsia="Calibri"/>
          <w:sz w:val="24"/>
          <w:szCs w:val="24"/>
        </w:rPr>
        <w:t xml:space="preserve"> </w:t>
      </w:r>
      <w:r w:rsidR="003F072C" w:rsidRPr="003F072C">
        <w:rPr>
          <w:rFonts w:eastAsia="Calibri"/>
          <w:sz w:val="24"/>
          <w:szCs w:val="24"/>
        </w:rPr>
        <w:t>circulat</w:t>
      </w:r>
      <w:r w:rsidR="005D6165">
        <w:rPr>
          <w:rFonts w:eastAsia="Calibri"/>
          <w:sz w:val="24"/>
          <w:szCs w:val="24"/>
        </w:rPr>
        <w:t>ed</w:t>
      </w:r>
      <w:r w:rsidR="003F072C" w:rsidRPr="003F072C">
        <w:rPr>
          <w:rFonts w:eastAsia="Calibri"/>
          <w:sz w:val="24"/>
          <w:szCs w:val="24"/>
        </w:rPr>
        <w:t xml:space="preserve"> a discussion paper </w:t>
      </w:r>
      <w:r w:rsidR="005D6165">
        <w:rPr>
          <w:rFonts w:eastAsia="Calibri"/>
          <w:sz w:val="24"/>
          <w:szCs w:val="24"/>
        </w:rPr>
        <w:t>to the relevant stakeholders in June 2015 seeking further clarification and/or evidence to support any proposed amendments to the Standard.</w:t>
      </w:r>
      <w:r w:rsidR="004967DE">
        <w:rPr>
          <w:rFonts w:eastAsia="Calibri"/>
          <w:sz w:val="24"/>
          <w:szCs w:val="24"/>
        </w:rPr>
        <w:t xml:space="preserve"> </w:t>
      </w:r>
      <w:r w:rsidR="005D6165">
        <w:rPr>
          <w:rFonts w:eastAsia="Calibri"/>
          <w:sz w:val="24"/>
          <w:szCs w:val="24"/>
        </w:rPr>
        <w:t>The response</w:t>
      </w:r>
      <w:r w:rsidR="004967DE">
        <w:rPr>
          <w:rFonts w:eastAsia="Calibri"/>
          <w:sz w:val="24"/>
          <w:szCs w:val="24"/>
        </w:rPr>
        <w:t>s</w:t>
      </w:r>
      <w:r w:rsidR="005D6165">
        <w:rPr>
          <w:rFonts w:eastAsia="Calibri"/>
          <w:sz w:val="24"/>
          <w:szCs w:val="24"/>
        </w:rPr>
        <w:t xml:space="preserve"> to this discussion paper were reviewed by the Department and the ACMA to decide on viable amendments that maintained </w:t>
      </w:r>
      <w:r w:rsidR="00F85E49">
        <w:rPr>
          <w:rFonts w:eastAsia="Calibri"/>
          <w:sz w:val="24"/>
          <w:szCs w:val="24"/>
        </w:rPr>
        <w:t xml:space="preserve">appropriate </w:t>
      </w:r>
      <w:r w:rsidR="005D6165">
        <w:rPr>
          <w:rFonts w:eastAsia="Calibri"/>
          <w:sz w:val="24"/>
          <w:szCs w:val="24"/>
        </w:rPr>
        <w:t xml:space="preserve">consumer </w:t>
      </w:r>
      <w:r w:rsidR="00F85E49">
        <w:rPr>
          <w:rFonts w:eastAsia="Calibri"/>
          <w:sz w:val="24"/>
          <w:szCs w:val="24"/>
        </w:rPr>
        <w:t xml:space="preserve">safeguards </w:t>
      </w:r>
      <w:r w:rsidR="005D6165">
        <w:rPr>
          <w:rFonts w:eastAsia="Calibri"/>
          <w:sz w:val="24"/>
          <w:szCs w:val="24"/>
        </w:rPr>
        <w:t xml:space="preserve">and delivered industry benefits. </w:t>
      </w:r>
    </w:p>
    <w:p w14:paraId="417A0BC7" w14:textId="77777777" w:rsidR="00927C37" w:rsidRDefault="00927C37" w:rsidP="00896ED4">
      <w:pPr>
        <w:rPr>
          <w:sz w:val="24"/>
          <w:szCs w:val="24"/>
          <w:u w:val="single"/>
        </w:rPr>
      </w:pPr>
    </w:p>
    <w:p w14:paraId="0222BA1F" w14:textId="77777777" w:rsidR="00927C37" w:rsidRDefault="00927C37" w:rsidP="00896ED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Other details</w:t>
      </w:r>
    </w:p>
    <w:p w14:paraId="094AEF29" w14:textId="77777777" w:rsidR="00927C37" w:rsidRDefault="00927C37" w:rsidP="00896ED4">
      <w:pPr>
        <w:rPr>
          <w:sz w:val="24"/>
          <w:szCs w:val="24"/>
          <w:u w:val="single"/>
        </w:rPr>
      </w:pPr>
    </w:p>
    <w:p w14:paraId="6704EEEA" w14:textId="4A15A406" w:rsidR="00384C56" w:rsidRPr="00927C37" w:rsidRDefault="00E75DD7" w:rsidP="000F5696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Details of the Direction are set out at </w:t>
      </w:r>
      <w:r w:rsidRPr="00896ED4">
        <w:rPr>
          <w:sz w:val="24"/>
          <w:szCs w:val="24"/>
          <w:u w:val="single"/>
        </w:rPr>
        <w:t>Attachment A</w:t>
      </w:r>
      <w:r>
        <w:rPr>
          <w:sz w:val="24"/>
          <w:szCs w:val="24"/>
        </w:rPr>
        <w:t xml:space="preserve">. A statement of the Direction’s compatibility with human rights is set out at </w:t>
      </w:r>
      <w:r>
        <w:rPr>
          <w:sz w:val="24"/>
          <w:szCs w:val="24"/>
          <w:u w:val="single"/>
        </w:rPr>
        <w:t>Attachment B</w:t>
      </w:r>
      <w:r>
        <w:rPr>
          <w:sz w:val="24"/>
          <w:szCs w:val="24"/>
        </w:rPr>
        <w:t>.</w:t>
      </w:r>
      <w:r w:rsidR="004967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Direction is a legislative instrument for the purposes of the </w:t>
      </w:r>
      <w:r>
        <w:rPr>
          <w:i/>
          <w:sz w:val="24"/>
          <w:szCs w:val="24"/>
        </w:rPr>
        <w:t>Legislative Instruments Act 2003</w:t>
      </w:r>
      <w:r>
        <w:rPr>
          <w:sz w:val="24"/>
          <w:szCs w:val="24"/>
        </w:rPr>
        <w:t>.</w:t>
      </w:r>
      <w:r w:rsidR="00384C56" w:rsidRPr="00927C37">
        <w:rPr>
          <w:sz w:val="24"/>
          <w:szCs w:val="24"/>
          <w:u w:val="single"/>
        </w:rPr>
        <w:br w:type="page"/>
      </w:r>
    </w:p>
    <w:p w14:paraId="434E8334" w14:textId="77777777" w:rsidR="00927C37" w:rsidRPr="00896ED4" w:rsidRDefault="00927C37" w:rsidP="00896ED4">
      <w:pPr>
        <w:ind w:right="91"/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ATTACHMENT A</w:t>
      </w:r>
    </w:p>
    <w:p w14:paraId="360C36B6" w14:textId="77777777" w:rsidR="00927C37" w:rsidRDefault="00927C37" w:rsidP="00E00750">
      <w:pPr>
        <w:ind w:right="91"/>
        <w:rPr>
          <w:sz w:val="24"/>
          <w:szCs w:val="24"/>
          <w:u w:val="single"/>
        </w:rPr>
      </w:pPr>
    </w:p>
    <w:p w14:paraId="0D9BAF46" w14:textId="2B3DD461" w:rsidR="00E00750" w:rsidRPr="00896ED4" w:rsidRDefault="00E75DD7" w:rsidP="00896ED4">
      <w:pPr>
        <w:ind w:right="9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Details of the Telecommunications (Amendment of International Mobile Roaming Industry Standard) Direction </w:t>
      </w:r>
      <w:r w:rsidR="007509D9">
        <w:rPr>
          <w:b/>
          <w:sz w:val="24"/>
          <w:szCs w:val="24"/>
          <w:u w:val="single"/>
        </w:rPr>
        <w:t>2016</w:t>
      </w:r>
    </w:p>
    <w:p w14:paraId="289FCB06" w14:textId="77777777" w:rsidR="00E00750" w:rsidRPr="00927C37" w:rsidRDefault="00E00750" w:rsidP="00E00750">
      <w:pPr>
        <w:ind w:right="91"/>
        <w:rPr>
          <w:sz w:val="24"/>
          <w:szCs w:val="24"/>
        </w:rPr>
      </w:pPr>
    </w:p>
    <w:p w14:paraId="153C80AC" w14:textId="7E096653" w:rsidR="00E00750" w:rsidRPr="00E75DD7" w:rsidRDefault="00384C56" w:rsidP="00E00750">
      <w:pPr>
        <w:ind w:right="91"/>
        <w:rPr>
          <w:sz w:val="24"/>
          <w:szCs w:val="24"/>
        </w:rPr>
      </w:pPr>
      <w:r w:rsidRPr="00927C37">
        <w:rPr>
          <w:sz w:val="24"/>
          <w:szCs w:val="24"/>
          <w:u w:val="single"/>
        </w:rPr>
        <w:t>Section</w:t>
      </w:r>
      <w:r w:rsidR="00E00750" w:rsidRPr="00927C37">
        <w:rPr>
          <w:sz w:val="24"/>
          <w:szCs w:val="24"/>
          <w:u w:val="single"/>
        </w:rPr>
        <w:t xml:space="preserve"> 1</w:t>
      </w:r>
      <w:r w:rsidR="00E00750" w:rsidRPr="00927C37">
        <w:rPr>
          <w:sz w:val="24"/>
          <w:szCs w:val="24"/>
        </w:rPr>
        <w:t xml:space="preserve"> provides that the name of the </w:t>
      </w:r>
      <w:r w:rsidR="008453EF" w:rsidRPr="00927C37">
        <w:rPr>
          <w:sz w:val="24"/>
          <w:szCs w:val="24"/>
        </w:rPr>
        <w:t xml:space="preserve">Direction </w:t>
      </w:r>
      <w:r w:rsidR="00E00750" w:rsidRPr="00927C37">
        <w:rPr>
          <w:sz w:val="24"/>
          <w:szCs w:val="24"/>
        </w:rPr>
        <w:t xml:space="preserve">is the </w:t>
      </w:r>
      <w:r w:rsidR="000B716C" w:rsidRPr="00927C37">
        <w:rPr>
          <w:i/>
          <w:iCs/>
          <w:sz w:val="24"/>
          <w:szCs w:val="24"/>
        </w:rPr>
        <w:t xml:space="preserve">Telecommunications </w:t>
      </w:r>
      <w:r w:rsidR="000B716C" w:rsidRPr="00E75DD7">
        <w:rPr>
          <w:i/>
          <w:iCs/>
          <w:sz w:val="24"/>
          <w:szCs w:val="24"/>
        </w:rPr>
        <w:t xml:space="preserve">(Amendment of International Mobile Roaming Industry Standard) Direction </w:t>
      </w:r>
      <w:r w:rsidR="007509D9" w:rsidRPr="00E75DD7">
        <w:rPr>
          <w:i/>
          <w:iCs/>
          <w:sz w:val="24"/>
          <w:szCs w:val="24"/>
        </w:rPr>
        <w:t>201</w:t>
      </w:r>
      <w:r w:rsidR="007509D9">
        <w:rPr>
          <w:i/>
          <w:iCs/>
          <w:sz w:val="24"/>
          <w:szCs w:val="24"/>
        </w:rPr>
        <w:t>6</w:t>
      </w:r>
      <w:r w:rsidR="002131AC" w:rsidRPr="00E75DD7">
        <w:rPr>
          <w:iCs/>
          <w:sz w:val="24"/>
          <w:szCs w:val="24"/>
        </w:rPr>
        <w:t>.</w:t>
      </w:r>
    </w:p>
    <w:p w14:paraId="4D20F1A5" w14:textId="77777777" w:rsidR="00E00750" w:rsidRPr="00E75DD7" w:rsidRDefault="00E00750" w:rsidP="00E00750">
      <w:pPr>
        <w:ind w:right="91"/>
        <w:rPr>
          <w:sz w:val="24"/>
          <w:szCs w:val="24"/>
        </w:rPr>
      </w:pPr>
    </w:p>
    <w:p w14:paraId="03E31266" w14:textId="77777777" w:rsidR="00E00750" w:rsidRPr="00522A7D" w:rsidRDefault="00384C56" w:rsidP="00E00750">
      <w:pPr>
        <w:rPr>
          <w:sz w:val="24"/>
          <w:szCs w:val="24"/>
        </w:rPr>
      </w:pPr>
      <w:r w:rsidRPr="00522A7D">
        <w:rPr>
          <w:sz w:val="24"/>
          <w:szCs w:val="24"/>
          <w:u w:val="single"/>
        </w:rPr>
        <w:t>Section</w:t>
      </w:r>
      <w:r w:rsidR="00E00750" w:rsidRPr="00522A7D">
        <w:rPr>
          <w:sz w:val="24"/>
          <w:szCs w:val="24"/>
          <w:u w:val="single"/>
        </w:rPr>
        <w:t xml:space="preserve"> 2</w:t>
      </w:r>
      <w:r w:rsidR="00E00750" w:rsidRPr="00522A7D">
        <w:rPr>
          <w:sz w:val="24"/>
          <w:szCs w:val="24"/>
        </w:rPr>
        <w:t xml:space="preserve"> provides that the </w:t>
      </w:r>
      <w:r w:rsidR="008453EF" w:rsidRPr="00522A7D">
        <w:rPr>
          <w:sz w:val="24"/>
          <w:szCs w:val="24"/>
        </w:rPr>
        <w:t>Direction</w:t>
      </w:r>
      <w:r w:rsidR="002131AC" w:rsidRPr="00522A7D">
        <w:rPr>
          <w:sz w:val="24"/>
          <w:szCs w:val="24"/>
        </w:rPr>
        <w:t xml:space="preserve"> </w:t>
      </w:r>
      <w:r w:rsidR="00E00750" w:rsidRPr="00522A7D">
        <w:rPr>
          <w:sz w:val="24"/>
          <w:szCs w:val="24"/>
        </w:rPr>
        <w:t>will commence on</w:t>
      </w:r>
      <w:r w:rsidR="000B716C" w:rsidRPr="00522A7D">
        <w:rPr>
          <w:sz w:val="24"/>
          <w:szCs w:val="24"/>
        </w:rPr>
        <w:t xml:space="preserve"> the day aft</w:t>
      </w:r>
      <w:r w:rsidR="004047F5" w:rsidRPr="00522A7D">
        <w:rPr>
          <w:sz w:val="24"/>
          <w:szCs w:val="24"/>
        </w:rPr>
        <w:t>er it is registered on the Fede</w:t>
      </w:r>
      <w:r w:rsidR="000B716C" w:rsidRPr="00522A7D">
        <w:rPr>
          <w:sz w:val="24"/>
          <w:szCs w:val="24"/>
        </w:rPr>
        <w:t>r</w:t>
      </w:r>
      <w:r w:rsidR="004047F5" w:rsidRPr="00522A7D">
        <w:rPr>
          <w:sz w:val="24"/>
          <w:szCs w:val="24"/>
        </w:rPr>
        <w:t>a</w:t>
      </w:r>
      <w:r w:rsidR="000B716C" w:rsidRPr="00522A7D">
        <w:rPr>
          <w:sz w:val="24"/>
          <w:szCs w:val="24"/>
        </w:rPr>
        <w:t>l Register of Legislative Instruments</w:t>
      </w:r>
      <w:r w:rsidR="00E00750" w:rsidRPr="00522A7D">
        <w:rPr>
          <w:sz w:val="24"/>
          <w:szCs w:val="24"/>
        </w:rPr>
        <w:t>.</w:t>
      </w:r>
    </w:p>
    <w:p w14:paraId="39458329" w14:textId="77777777" w:rsidR="00E00750" w:rsidRPr="009F5032" w:rsidRDefault="00E00750" w:rsidP="00E00750">
      <w:pPr>
        <w:ind w:right="91"/>
        <w:rPr>
          <w:sz w:val="24"/>
          <w:szCs w:val="24"/>
        </w:rPr>
      </w:pPr>
    </w:p>
    <w:p w14:paraId="3AC586E6" w14:textId="3B425C86" w:rsidR="00E00750" w:rsidRPr="009F5032" w:rsidRDefault="00384C56" w:rsidP="00E00750">
      <w:pPr>
        <w:ind w:right="91"/>
        <w:rPr>
          <w:sz w:val="24"/>
          <w:szCs w:val="24"/>
        </w:rPr>
      </w:pPr>
      <w:r w:rsidRPr="009F5032">
        <w:rPr>
          <w:sz w:val="24"/>
          <w:szCs w:val="24"/>
          <w:u w:val="single"/>
        </w:rPr>
        <w:t>Section</w:t>
      </w:r>
      <w:r w:rsidR="00E00750" w:rsidRPr="009F5032">
        <w:rPr>
          <w:sz w:val="24"/>
          <w:szCs w:val="24"/>
          <w:u w:val="single"/>
        </w:rPr>
        <w:t xml:space="preserve"> 3</w:t>
      </w:r>
      <w:r w:rsidR="00E00750" w:rsidRPr="009F5032">
        <w:rPr>
          <w:sz w:val="24"/>
          <w:szCs w:val="24"/>
        </w:rPr>
        <w:t xml:space="preserve"> </w:t>
      </w:r>
      <w:r w:rsidR="000B716C" w:rsidRPr="009F5032">
        <w:rPr>
          <w:sz w:val="24"/>
          <w:szCs w:val="24"/>
        </w:rPr>
        <w:t xml:space="preserve">provides that the </w:t>
      </w:r>
      <w:r w:rsidR="008453EF" w:rsidRPr="009F5032">
        <w:rPr>
          <w:sz w:val="24"/>
          <w:szCs w:val="24"/>
        </w:rPr>
        <w:t>Direction</w:t>
      </w:r>
      <w:r w:rsidR="000B716C" w:rsidRPr="009F5032">
        <w:rPr>
          <w:sz w:val="24"/>
          <w:szCs w:val="24"/>
        </w:rPr>
        <w:t xml:space="preserve"> will expire on the day after the commencement of the amendments to the Standard made in accordance with </w:t>
      </w:r>
      <w:r w:rsidR="008A242F">
        <w:rPr>
          <w:sz w:val="24"/>
          <w:szCs w:val="24"/>
        </w:rPr>
        <w:t>section 5</w:t>
      </w:r>
      <w:r w:rsidR="000B716C" w:rsidRPr="009F5032">
        <w:rPr>
          <w:sz w:val="24"/>
          <w:szCs w:val="24"/>
        </w:rPr>
        <w:t xml:space="preserve"> as if it had been repealed by another instrument.</w:t>
      </w:r>
    </w:p>
    <w:p w14:paraId="46D4F893" w14:textId="77777777" w:rsidR="00E00750" w:rsidRPr="009F5032" w:rsidRDefault="00E00750" w:rsidP="00E00750">
      <w:pPr>
        <w:ind w:right="91"/>
        <w:rPr>
          <w:sz w:val="24"/>
          <w:szCs w:val="24"/>
        </w:rPr>
      </w:pPr>
    </w:p>
    <w:p w14:paraId="73510321" w14:textId="6014EBC7" w:rsidR="009F5032" w:rsidRPr="009F5032" w:rsidRDefault="00384C56" w:rsidP="002131AC">
      <w:pPr>
        <w:ind w:right="91"/>
        <w:rPr>
          <w:sz w:val="24"/>
          <w:szCs w:val="24"/>
        </w:rPr>
      </w:pPr>
      <w:r w:rsidRPr="009F5032">
        <w:rPr>
          <w:sz w:val="24"/>
          <w:szCs w:val="24"/>
          <w:u w:val="single"/>
        </w:rPr>
        <w:t>Section</w:t>
      </w:r>
      <w:r w:rsidR="00E00750" w:rsidRPr="009F5032">
        <w:rPr>
          <w:sz w:val="24"/>
          <w:szCs w:val="24"/>
          <w:u w:val="single"/>
        </w:rPr>
        <w:t xml:space="preserve"> 4</w:t>
      </w:r>
      <w:r w:rsidR="000B716C" w:rsidRPr="009F5032">
        <w:rPr>
          <w:sz w:val="24"/>
          <w:szCs w:val="24"/>
        </w:rPr>
        <w:t xml:space="preserve"> defines </w:t>
      </w:r>
      <w:r w:rsidR="009F5032" w:rsidRPr="009F5032">
        <w:rPr>
          <w:sz w:val="24"/>
          <w:szCs w:val="24"/>
        </w:rPr>
        <w:t xml:space="preserve">expressions </w:t>
      </w:r>
      <w:r w:rsidR="000B716C" w:rsidRPr="009F5032">
        <w:rPr>
          <w:sz w:val="24"/>
          <w:szCs w:val="24"/>
        </w:rPr>
        <w:t xml:space="preserve">used </w:t>
      </w:r>
      <w:r w:rsidR="00BC1F56" w:rsidRPr="009F5032">
        <w:rPr>
          <w:sz w:val="24"/>
          <w:szCs w:val="24"/>
        </w:rPr>
        <w:t xml:space="preserve">throughout the Direction. </w:t>
      </w:r>
      <w:r w:rsidR="009F5032" w:rsidRPr="009F5032">
        <w:rPr>
          <w:sz w:val="24"/>
          <w:szCs w:val="24"/>
        </w:rPr>
        <w:t xml:space="preserve">Several expressions, such as ‘customer’, ‘international mobile roaming service’, ‘mobile virtual network operator’, ‘SMS’ and ‘SMS message’ </w:t>
      </w:r>
      <w:r w:rsidR="000E2E76">
        <w:rPr>
          <w:sz w:val="24"/>
          <w:szCs w:val="24"/>
        </w:rPr>
        <w:t xml:space="preserve">replicate the </w:t>
      </w:r>
      <w:r w:rsidR="009F5032" w:rsidRPr="009F5032">
        <w:rPr>
          <w:sz w:val="24"/>
          <w:szCs w:val="24"/>
        </w:rPr>
        <w:t>meanings</w:t>
      </w:r>
      <w:r w:rsidR="009F5032">
        <w:rPr>
          <w:sz w:val="24"/>
          <w:szCs w:val="24"/>
        </w:rPr>
        <w:t xml:space="preserve"> </w:t>
      </w:r>
      <w:r w:rsidR="000E2E76">
        <w:rPr>
          <w:sz w:val="24"/>
          <w:szCs w:val="24"/>
        </w:rPr>
        <w:t>from</w:t>
      </w:r>
      <w:r w:rsidR="009F5032">
        <w:rPr>
          <w:sz w:val="24"/>
          <w:szCs w:val="24"/>
        </w:rPr>
        <w:t xml:space="preserve"> the Standard</w:t>
      </w:r>
      <w:r w:rsidR="009F5032" w:rsidRPr="009F5032">
        <w:rPr>
          <w:sz w:val="24"/>
          <w:szCs w:val="24"/>
        </w:rPr>
        <w:t xml:space="preserve">, or </w:t>
      </w:r>
      <w:r w:rsidR="000E2E76">
        <w:rPr>
          <w:sz w:val="24"/>
          <w:szCs w:val="24"/>
        </w:rPr>
        <w:t xml:space="preserve">otherwise </w:t>
      </w:r>
      <w:r w:rsidR="009F5032" w:rsidRPr="009F5032">
        <w:rPr>
          <w:sz w:val="24"/>
          <w:szCs w:val="24"/>
        </w:rPr>
        <w:t xml:space="preserve">adopt </w:t>
      </w:r>
      <w:r w:rsidR="009F5032">
        <w:rPr>
          <w:sz w:val="24"/>
          <w:szCs w:val="24"/>
        </w:rPr>
        <w:t>those meanings.</w:t>
      </w:r>
    </w:p>
    <w:p w14:paraId="05F20021" w14:textId="77777777" w:rsidR="009F5032" w:rsidRPr="00927C37" w:rsidRDefault="009F5032" w:rsidP="002131AC">
      <w:pPr>
        <w:ind w:right="91"/>
        <w:rPr>
          <w:sz w:val="24"/>
          <w:szCs w:val="24"/>
        </w:rPr>
      </w:pPr>
    </w:p>
    <w:p w14:paraId="2FFB9E46" w14:textId="60A64D1F" w:rsidR="000B716C" w:rsidRPr="00E75DD7" w:rsidRDefault="00BC1F56" w:rsidP="002131AC">
      <w:pPr>
        <w:ind w:right="91"/>
        <w:rPr>
          <w:sz w:val="24"/>
          <w:szCs w:val="24"/>
        </w:rPr>
      </w:pPr>
      <w:r w:rsidRPr="00927C37">
        <w:rPr>
          <w:sz w:val="24"/>
          <w:szCs w:val="24"/>
        </w:rPr>
        <w:t xml:space="preserve">A note is </w:t>
      </w:r>
      <w:r w:rsidR="009F5032" w:rsidRPr="00927C37">
        <w:rPr>
          <w:sz w:val="24"/>
          <w:szCs w:val="24"/>
        </w:rPr>
        <w:t xml:space="preserve">also </w:t>
      </w:r>
      <w:r w:rsidRPr="00927C37">
        <w:rPr>
          <w:sz w:val="24"/>
          <w:szCs w:val="24"/>
        </w:rPr>
        <w:t>included to remind the readers that</w:t>
      </w:r>
      <w:r w:rsidR="009F5032" w:rsidRPr="00927C37">
        <w:rPr>
          <w:sz w:val="24"/>
          <w:szCs w:val="24"/>
        </w:rPr>
        <w:t>, in accordance with paragraph 13(1)(b)</w:t>
      </w:r>
      <w:r w:rsidR="009F5032" w:rsidRPr="00E75DD7">
        <w:rPr>
          <w:sz w:val="24"/>
          <w:szCs w:val="24"/>
        </w:rPr>
        <w:t xml:space="preserve"> of the </w:t>
      </w:r>
      <w:r w:rsidR="009F5032" w:rsidRPr="00E75DD7">
        <w:rPr>
          <w:i/>
          <w:sz w:val="24"/>
          <w:szCs w:val="24"/>
        </w:rPr>
        <w:t>Legislative Instruments Act 2003</w:t>
      </w:r>
      <w:r w:rsidR="009F5032" w:rsidRPr="00E75DD7">
        <w:rPr>
          <w:sz w:val="24"/>
          <w:szCs w:val="24"/>
        </w:rPr>
        <w:t>,</w:t>
      </w:r>
      <w:r w:rsidRPr="00E75DD7">
        <w:rPr>
          <w:sz w:val="24"/>
          <w:szCs w:val="24"/>
        </w:rPr>
        <w:t xml:space="preserve"> the </w:t>
      </w:r>
      <w:r w:rsidR="009F5032" w:rsidRPr="00E75DD7">
        <w:rPr>
          <w:sz w:val="24"/>
          <w:szCs w:val="24"/>
        </w:rPr>
        <w:t xml:space="preserve">expressions </w:t>
      </w:r>
      <w:r w:rsidRPr="00E75DD7">
        <w:rPr>
          <w:sz w:val="24"/>
          <w:szCs w:val="24"/>
        </w:rPr>
        <w:t>‘ACMA’, ‘carriage service’, ‘</w:t>
      </w:r>
      <w:r w:rsidR="009F5032" w:rsidRPr="00E75DD7">
        <w:rPr>
          <w:sz w:val="24"/>
          <w:szCs w:val="24"/>
        </w:rPr>
        <w:t>carriage</w:t>
      </w:r>
      <w:r w:rsidRPr="00E75DD7">
        <w:rPr>
          <w:sz w:val="24"/>
          <w:szCs w:val="24"/>
        </w:rPr>
        <w:t xml:space="preserve"> service provider’, ‘public mobile telecommunications service’ and ‘telecommunications network’ are defined in the </w:t>
      </w:r>
      <w:r w:rsidR="00455E69">
        <w:rPr>
          <w:i/>
          <w:sz w:val="24"/>
          <w:szCs w:val="24"/>
        </w:rPr>
        <w:t xml:space="preserve">Telecommunications </w:t>
      </w:r>
      <w:r w:rsidRPr="00B3149E">
        <w:rPr>
          <w:i/>
          <w:sz w:val="24"/>
          <w:szCs w:val="24"/>
        </w:rPr>
        <w:t>Act</w:t>
      </w:r>
      <w:r w:rsidR="00455E69">
        <w:rPr>
          <w:i/>
          <w:sz w:val="24"/>
          <w:szCs w:val="24"/>
        </w:rPr>
        <w:t xml:space="preserve"> 1997</w:t>
      </w:r>
      <w:r w:rsidRPr="00E75DD7">
        <w:rPr>
          <w:sz w:val="24"/>
          <w:szCs w:val="24"/>
        </w:rPr>
        <w:t>.</w:t>
      </w:r>
    </w:p>
    <w:p w14:paraId="62F3A451" w14:textId="77777777" w:rsidR="004047F5" w:rsidRPr="00522A7D" w:rsidRDefault="004047F5" w:rsidP="002131AC">
      <w:pPr>
        <w:ind w:right="91"/>
        <w:rPr>
          <w:sz w:val="24"/>
          <w:szCs w:val="24"/>
        </w:rPr>
      </w:pPr>
    </w:p>
    <w:p w14:paraId="37F39CCE" w14:textId="7BE456D8" w:rsidR="00F344EA" w:rsidRPr="00E75DD7" w:rsidRDefault="00384C56" w:rsidP="002131AC">
      <w:pPr>
        <w:ind w:right="91"/>
        <w:rPr>
          <w:sz w:val="24"/>
          <w:szCs w:val="24"/>
        </w:rPr>
      </w:pPr>
      <w:r w:rsidRPr="00522A7D">
        <w:rPr>
          <w:sz w:val="24"/>
          <w:szCs w:val="24"/>
          <w:u w:val="single"/>
        </w:rPr>
        <w:t>Section</w:t>
      </w:r>
      <w:r w:rsidR="004047F5" w:rsidRPr="00522A7D">
        <w:rPr>
          <w:sz w:val="24"/>
          <w:szCs w:val="24"/>
          <w:u w:val="single"/>
        </w:rPr>
        <w:t xml:space="preserve"> 5</w:t>
      </w:r>
      <w:r w:rsidR="00BC1F56" w:rsidRPr="00522A7D">
        <w:rPr>
          <w:sz w:val="24"/>
          <w:szCs w:val="24"/>
        </w:rPr>
        <w:t xml:space="preserve"> requires the ACMA to </w:t>
      </w:r>
      <w:r w:rsidR="00E75DD7">
        <w:rPr>
          <w:sz w:val="24"/>
          <w:szCs w:val="24"/>
        </w:rPr>
        <w:t>amend</w:t>
      </w:r>
      <w:r w:rsidR="00E75DD7" w:rsidRPr="00E75DD7">
        <w:rPr>
          <w:sz w:val="24"/>
          <w:szCs w:val="24"/>
        </w:rPr>
        <w:t xml:space="preserve"> </w:t>
      </w:r>
      <w:r w:rsidR="00BC1F56" w:rsidRPr="00E75DD7">
        <w:rPr>
          <w:sz w:val="24"/>
          <w:szCs w:val="24"/>
        </w:rPr>
        <w:t>the Standard</w:t>
      </w:r>
      <w:r w:rsidR="008A242F">
        <w:rPr>
          <w:sz w:val="24"/>
          <w:szCs w:val="24"/>
        </w:rPr>
        <w:t>,</w:t>
      </w:r>
      <w:r w:rsidR="00F344EA" w:rsidRPr="00E75DD7">
        <w:rPr>
          <w:sz w:val="24"/>
          <w:szCs w:val="24"/>
        </w:rPr>
        <w:t xml:space="preserve"> which applies to all </w:t>
      </w:r>
      <w:r w:rsidR="009F5032" w:rsidRPr="00E75DD7">
        <w:rPr>
          <w:sz w:val="24"/>
          <w:szCs w:val="24"/>
        </w:rPr>
        <w:t>Australian</w:t>
      </w:r>
      <w:r w:rsidR="00F344EA" w:rsidRPr="00E75DD7">
        <w:rPr>
          <w:sz w:val="24"/>
          <w:szCs w:val="24"/>
        </w:rPr>
        <w:t xml:space="preserve"> </w:t>
      </w:r>
      <w:r w:rsidR="008A242F">
        <w:rPr>
          <w:sz w:val="24"/>
          <w:szCs w:val="24"/>
        </w:rPr>
        <w:t xml:space="preserve">suppliers </w:t>
      </w:r>
      <w:r w:rsidR="00F344EA" w:rsidRPr="00E75DD7">
        <w:rPr>
          <w:sz w:val="24"/>
          <w:szCs w:val="24"/>
        </w:rPr>
        <w:t>of international mobile roaming services.</w:t>
      </w:r>
    </w:p>
    <w:p w14:paraId="17D35B76" w14:textId="77777777" w:rsidR="00F344EA" w:rsidRPr="00E75DD7" w:rsidRDefault="00F344EA" w:rsidP="002131AC">
      <w:pPr>
        <w:ind w:right="91"/>
        <w:rPr>
          <w:sz w:val="24"/>
          <w:szCs w:val="24"/>
        </w:rPr>
      </w:pPr>
    </w:p>
    <w:p w14:paraId="2268826E" w14:textId="397C1CAC" w:rsidR="00F344EA" w:rsidRPr="00522A7D" w:rsidRDefault="007F6779" w:rsidP="002131AC">
      <w:pPr>
        <w:ind w:right="91"/>
        <w:rPr>
          <w:sz w:val="24"/>
          <w:szCs w:val="24"/>
        </w:rPr>
      </w:pPr>
      <w:r w:rsidRPr="00522A7D">
        <w:rPr>
          <w:sz w:val="24"/>
          <w:szCs w:val="24"/>
        </w:rPr>
        <w:t>Paragraph</w:t>
      </w:r>
      <w:r w:rsidR="00AB1612" w:rsidRPr="00522A7D">
        <w:rPr>
          <w:sz w:val="24"/>
          <w:szCs w:val="24"/>
        </w:rPr>
        <w:t xml:space="preserve"> </w:t>
      </w:r>
      <w:r w:rsidRPr="00522A7D">
        <w:rPr>
          <w:sz w:val="24"/>
          <w:szCs w:val="24"/>
        </w:rPr>
        <w:t>5</w:t>
      </w:r>
      <w:r w:rsidR="00AB1612" w:rsidRPr="00522A7D">
        <w:rPr>
          <w:sz w:val="24"/>
          <w:szCs w:val="24"/>
        </w:rPr>
        <w:t>(1)(</w:t>
      </w:r>
      <w:r w:rsidR="00F344EA" w:rsidRPr="00522A7D">
        <w:rPr>
          <w:sz w:val="24"/>
          <w:szCs w:val="24"/>
        </w:rPr>
        <w:t xml:space="preserve">a) </w:t>
      </w:r>
      <w:r w:rsidR="00522A7D">
        <w:rPr>
          <w:sz w:val="24"/>
          <w:szCs w:val="24"/>
        </w:rPr>
        <w:t>require</w:t>
      </w:r>
      <w:r w:rsidR="00E749BA">
        <w:rPr>
          <w:sz w:val="24"/>
          <w:szCs w:val="24"/>
        </w:rPr>
        <w:t>s</w:t>
      </w:r>
      <w:r w:rsidR="00522A7D">
        <w:rPr>
          <w:sz w:val="24"/>
          <w:szCs w:val="24"/>
        </w:rPr>
        <w:t xml:space="preserve"> the ACMA to amend the Standard to allow </w:t>
      </w:r>
      <w:r w:rsidR="00F344EA" w:rsidRPr="00522A7D">
        <w:rPr>
          <w:sz w:val="24"/>
          <w:szCs w:val="24"/>
        </w:rPr>
        <w:t xml:space="preserve">the </w:t>
      </w:r>
      <w:r w:rsidR="00455E69">
        <w:rPr>
          <w:sz w:val="24"/>
          <w:szCs w:val="24"/>
        </w:rPr>
        <w:t xml:space="preserve">warning and charging </w:t>
      </w:r>
      <w:r w:rsidR="00F344EA" w:rsidRPr="00522A7D">
        <w:rPr>
          <w:sz w:val="24"/>
          <w:szCs w:val="24"/>
        </w:rPr>
        <w:t>information in the SMS messages currently in paragraphs 5(1)(a), (b) and (c) of the Standard to be combined into one or more SMS messages</w:t>
      </w:r>
      <w:r w:rsidR="008A75EC">
        <w:rPr>
          <w:sz w:val="24"/>
          <w:szCs w:val="24"/>
        </w:rPr>
        <w:t xml:space="preserve"> by carriage service providers</w:t>
      </w:r>
      <w:r w:rsidR="00F344EA" w:rsidRPr="00522A7D">
        <w:rPr>
          <w:sz w:val="24"/>
          <w:szCs w:val="24"/>
        </w:rPr>
        <w:t xml:space="preserve">. </w:t>
      </w:r>
      <w:r w:rsidR="000462AC" w:rsidRPr="00522A7D">
        <w:rPr>
          <w:sz w:val="24"/>
          <w:szCs w:val="24"/>
        </w:rPr>
        <w:t>This reduces the need for multiple SMS message notifications.</w:t>
      </w:r>
    </w:p>
    <w:p w14:paraId="1E607128" w14:textId="77777777" w:rsidR="000462AC" w:rsidRPr="00522A7D" w:rsidRDefault="000462AC" w:rsidP="002131AC">
      <w:pPr>
        <w:ind w:right="91"/>
        <w:rPr>
          <w:sz w:val="24"/>
          <w:szCs w:val="24"/>
        </w:rPr>
      </w:pPr>
    </w:p>
    <w:p w14:paraId="3B730FAC" w14:textId="58B21856" w:rsidR="000462AC" w:rsidRPr="00801CEA" w:rsidRDefault="007F6779" w:rsidP="002131AC">
      <w:pPr>
        <w:ind w:right="91"/>
        <w:rPr>
          <w:sz w:val="24"/>
          <w:szCs w:val="24"/>
        </w:rPr>
      </w:pPr>
      <w:r w:rsidRPr="00522A7D">
        <w:rPr>
          <w:sz w:val="24"/>
          <w:szCs w:val="24"/>
        </w:rPr>
        <w:t>Paragraph</w:t>
      </w:r>
      <w:r w:rsidR="00F344EA" w:rsidRPr="00522A7D">
        <w:rPr>
          <w:sz w:val="24"/>
          <w:szCs w:val="24"/>
        </w:rPr>
        <w:t xml:space="preserve"> </w:t>
      </w:r>
      <w:r w:rsidRPr="00522A7D">
        <w:rPr>
          <w:sz w:val="24"/>
          <w:szCs w:val="24"/>
        </w:rPr>
        <w:t>5</w:t>
      </w:r>
      <w:r w:rsidR="00AB1612" w:rsidRPr="00522A7D">
        <w:rPr>
          <w:sz w:val="24"/>
          <w:szCs w:val="24"/>
        </w:rPr>
        <w:t>(1)(</w:t>
      </w:r>
      <w:r w:rsidR="00F344EA" w:rsidRPr="00522A7D">
        <w:rPr>
          <w:sz w:val="24"/>
          <w:szCs w:val="24"/>
        </w:rPr>
        <w:t xml:space="preserve">b) </w:t>
      </w:r>
      <w:r w:rsidR="00522A7D">
        <w:rPr>
          <w:sz w:val="24"/>
          <w:szCs w:val="24"/>
        </w:rPr>
        <w:t>require</w:t>
      </w:r>
      <w:r w:rsidR="00E749BA">
        <w:rPr>
          <w:sz w:val="24"/>
          <w:szCs w:val="24"/>
        </w:rPr>
        <w:t>s</w:t>
      </w:r>
      <w:r w:rsidR="00522A7D">
        <w:rPr>
          <w:sz w:val="24"/>
          <w:szCs w:val="24"/>
        </w:rPr>
        <w:t xml:space="preserve"> the ACMA to amend the Standard to allow </w:t>
      </w:r>
      <w:r w:rsidR="008A242F">
        <w:rPr>
          <w:sz w:val="24"/>
          <w:szCs w:val="24"/>
        </w:rPr>
        <w:t>carriage service providers</w:t>
      </w:r>
      <w:r w:rsidR="008A242F" w:rsidRPr="009F5032">
        <w:rPr>
          <w:sz w:val="24"/>
          <w:szCs w:val="24"/>
        </w:rPr>
        <w:t xml:space="preserve"> </w:t>
      </w:r>
      <w:r w:rsidR="00F344EA" w:rsidRPr="009F5032">
        <w:rPr>
          <w:sz w:val="24"/>
          <w:szCs w:val="24"/>
        </w:rPr>
        <w:t xml:space="preserve">to </w:t>
      </w:r>
      <w:r w:rsidR="000462AC" w:rsidRPr="009F5032">
        <w:rPr>
          <w:sz w:val="24"/>
          <w:szCs w:val="24"/>
        </w:rPr>
        <w:t xml:space="preserve">make available other methods for customers to decline the continued supply of </w:t>
      </w:r>
      <w:r w:rsidR="00801CEA">
        <w:rPr>
          <w:sz w:val="24"/>
          <w:szCs w:val="24"/>
        </w:rPr>
        <w:t>IMR</w:t>
      </w:r>
      <w:r w:rsidR="000462AC" w:rsidRPr="00801CEA">
        <w:rPr>
          <w:sz w:val="24"/>
          <w:szCs w:val="24"/>
        </w:rPr>
        <w:t xml:space="preserve"> services. This increases flexibility in the </w:t>
      </w:r>
      <w:r w:rsidR="009F5032" w:rsidRPr="009F5032">
        <w:rPr>
          <w:sz w:val="24"/>
          <w:szCs w:val="24"/>
        </w:rPr>
        <w:t>types of</w:t>
      </w:r>
      <w:r w:rsidR="000462AC" w:rsidRPr="009F5032">
        <w:rPr>
          <w:sz w:val="24"/>
          <w:szCs w:val="24"/>
        </w:rPr>
        <w:t xml:space="preserve"> mechanisms that can be used to decline IMR services.</w:t>
      </w:r>
      <w:r w:rsidR="00522A7D">
        <w:rPr>
          <w:sz w:val="24"/>
          <w:szCs w:val="24"/>
        </w:rPr>
        <w:t xml:space="preserve"> </w:t>
      </w:r>
      <w:r w:rsidRPr="00522A7D">
        <w:rPr>
          <w:sz w:val="24"/>
          <w:szCs w:val="24"/>
        </w:rPr>
        <w:t>Paragraph</w:t>
      </w:r>
      <w:r w:rsidR="000462AC" w:rsidRPr="00522A7D">
        <w:rPr>
          <w:sz w:val="24"/>
          <w:szCs w:val="24"/>
        </w:rPr>
        <w:t xml:space="preserve"> </w:t>
      </w:r>
      <w:r w:rsidRPr="00522A7D">
        <w:rPr>
          <w:sz w:val="24"/>
          <w:szCs w:val="24"/>
        </w:rPr>
        <w:t>5</w:t>
      </w:r>
      <w:r w:rsidR="00AB1612" w:rsidRPr="00522A7D">
        <w:rPr>
          <w:sz w:val="24"/>
          <w:szCs w:val="24"/>
        </w:rPr>
        <w:t>(1)(</w:t>
      </w:r>
      <w:r w:rsidR="000462AC" w:rsidRPr="00522A7D">
        <w:rPr>
          <w:sz w:val="24"/>
          <w:szCs w:val="24"/>
        </w:rPr>
        <w:t xml:space="preserve">c) ensures that cost </w:t>
      </w:r>
      <w:r w:rsidR="00455E69">
        <w:rPr>
          <w:sz w:val="24"/>
          <w:szCs w:val="24"/>
        </w:rPr>
        <w:t xml:space="preserve">minimisation </w:t>
      </w:r>
      <w:r w:rsidR="000462AC" w:rsidRPr="00522A7D">
        <w:rPr>
          <w:sz w:val="24"/>
          <w:szCs w:val="24"/>
        </w:rPr>
        <w:t>provisions</w:t>
      </w:r>
      <w:r w:rsidR="00D0239F" w:rsidRPr="00522A7D">
        <w:rPr>
          <w:sz w:val="24"/>
          <w:szCs w:val="24"/>
        </w:rPr>
        <w:t xml:space="preserve"> </w:t>
      </w:r>
      <w:r w:rsidR="00455E69">
        <w:rPr>
          <w:sz w:val="24"/>
          <w:szCs w:val="24"/>
        </w:rPr>
        <w:t xml:space="preserve">of the kind </w:t>
      </w:r>
      <w:r w:rsidR="00D0239F" w:rsidRPr="00522A7D">
        <w:rPr>
          <w:sz w:val="24"/>
          <w:szCs w:val="24"/>
        </w:rPr>
        <w:t>in subclauses 8(3</w:t>
      </w:r>
      <w:r w:rsidR="00455E69" w:rsidRPr="00522A7D">
        <w:rPr>
          <w:sz w:val="24"/>
          <w:szCs w:val="24"/>
        </w:rPr>
        <w:t>)</w:t>
      </w:r>
      <w:r w:rsidR="00455E69">
        <w:rPr>
          <w:sz w:val="24"/>
          <w:szCs w:val="24"/>
        </w:rPr>
        <w:t xml:space="preserve"> and </w:t>
      </w:r>
      <w:r w:rsidR="00455E69" w:rsidRPr="00522A7D">
        <w:rPr>
          <w:sz w:val="24"/>
          <w:szCs w:val="24"/>
        </w:rPr>
        <w:t>(</w:t>
      </w:r>
      <w:r w:rsidR="00D0239F" w:rsidRPr="00522A7D">
        <w:rPr>
          <w:sz w:val="24"/>
          <w:szCs w:val="24"/>
        </w:rPr>
        <w:t xml:space="preserve">4) of the Standard apply to </w:t>
      </w:r>
      <w:r w:rsidR="00522A7D">
        <w:rPr>
          <w:sz w:val="24"/>
          <w:szCs w:val="24"/>
        </w:rPr>
        <w:t>any</w:t>
      </w:r>
      <w:r w:rsidR="00522A7D" w:rsidRPr="00522A7D">
        <w:rPr>
          <w:sz w:val="24"/>
          <w:szCs w:val="24"/>
        </w:rPr>
        <w:t xml:space="preserve"> </w:t>
      </w:r>
      <w:r w:rsidR="00D0239F" w:rsidRPr="00522A7D">
        <w:rPr>
          <w:sz w:val="24"/>
          <w:szCs w:val="24"/>
        </w:rPr>
        <w:t>new alternative methods for customers to decline international mobile roaming services</w:t>
      </w:r>
      <w:r w:rsidR="00E749BA">
        <w:rPr>
          <w:sz w:val="24"/>
          <w:szCs w:val="24"/>
        </w:rPr>
        <w:t xml:space="preserve"> allowed by the Standard</w:t>
      </w:r>
      <w:r w:rsidR="000462AC" w:rsidRPr="00522A7D">
        <w:rPr>
          <w:sz w:val="24"/>
          <w:szCs w:val="24"/>
        </w:rPr>
        <w:t>. This ensures</w:t>
      </w:r>
      <w:r w:rsidR="00AC78A9" w:rsidRPr="00522A7D">
        <w:rPr>
          <w:sz w:val="24"/>
          <w:szCs w:val="24"/>
        </w:rPr>
        <w:t xml:space="preserve"> methods </w:t>
      </w:r>
      <w:r w:rsidR="00801CEA">
        <w:rPr>
          <w:sz w:val="24"/>
          <w:szCs w:val="24"/>
        </w:rPr>
        <w:t>for declining the continued supply of IMR services will continue to be</w:t>
      </w:r>
      <w:r w:rsidR="00801CEA" w:rsidRPr="00801CEA">
        <w:rPr>
          <w:sz w:val="24"/>
          <w:szCs w:val="24"/>
        </w:rPr>
        <w:t xml:space="preserve"> </w:t>
      </w:r>
      <w:r w:rsidR="00801CEA">
        <w:rPr>
          <w:sz w:val="24"/>
          <w:szCs w:val="24"/>
        </w:rPr>
        <w:t xml:space="preserve">available at </w:t>
      </w:r>
      <w:r w:rsidR="000462AC" w:rsidRPr="00801CEA">
        <w:rPr>
          <w:sz w:val="24"/>
          <w:szCs w:val="24"/>
        </w:rPr>
        <w:t xml:space="preserve">low cost </w:t>
      </w:r>
      <w:r w:rsidR="00801CEA">
        <w:rPr>
          <w:sz w:val="24"/>
          <w:szCs w:val="24"/>
        </w:rPr>
        <w:t xml:space="preserve">or not cost </w:t>
      </w:r>
      <w:r w:rsidR="000462AC" w:rsidRPr="00801CEA">
        <w:rPr>
          <w:sz w:val="24"/>
          <w:szCs w:val="24"/>
        </w:rPr>
        <w:t xml:space="preserve">to </w:t>
      </w:r>
      <w:r w:rsidR="00FA31F3">
        <w:rPr>
          <w:sz w:val="24"/>
          <w:szCs w:val="24"/>
        </w:rPr>
        <w:t>customers</w:t>
      </w:r>
      <w:r w:rsidR="000462AC" w:rsidRPr="00801CEA">
        <w:rPr>
          <w:sz w:val="24"/>
          <w:szCs w:val="24"/>
        </w:rPr>
        <w:t>, easily accessible and virtually instantaneous.</w:t>
      </w:r>
    </w:p>
    <w:p w14:paraId="482D1A24" w14:textId="77777777" w:rsidR="000462AC" w:rsidRDefault="000462AC" w:rsidP="002131AC">
      <w:pPr>
        <w:ind w:right="91"/>
        <w:rPr>
          <w:sz w:val="24"/>
          <w:szCs w:val="24"/>
        </w:rPr>
      </w:pPr>
    </w:p>
    <w:p w14:paraId="5C1D2F3E" w14:textId="33D07821" w:rsidR="00FA31F3" w:rsidRDefault="00FA31F3" w:rsidP="00FA31F3">
      <w:pPr>
        <w:ind w:right="91"/>
        <w:rPr>
          <w:sz w:val="24"/>
          <w:szCs w:val="24"/>
        </w:rPr>
      </w:pPr>
      <w:r>
        <w:rPr>
          <w:sz w:val="24"/>
          <w:szCs w:val="24"/>
        </w:rPr>
        <w:t xml:space="preserve">Paragraph 5(1)(d) requires the ACMA to amend the Standard to allow </w:t>
      </w:r>
      <w:r w:rsidR="008A242F">
        <w:rPr>
          <w:sz w:val="24"/>
          <w:szCs w:val="24"/>
        </w:rPr>
        <w:t>carriage service providers</w:t>
      </w:r>
      <w:r>
        <w:rPr>
          <w:sz w:val="24"/>
          <w:szCs w:val="24"/>
        </w:rPr>
        <w:t xml:space="preserve"> to </w:t>
      </w:r>
      <w:r w:rsidR="008A242F">
        <w:rPr>
          <w:sz w:val="24"/>
          <w:szCs w:val="24"/>
        </w:rPr>
        <w:t xml:space="preserve">voluntarily </w:t>
      </w:r>
      <w:r>
        <w:rPr>
          <w:sz w:val="24"/>
          <w:szCs w:val="24"/>
        </w:rPr>
        <w:t xml:space="preserve">offer a mechanism for </w:t>
      </w:r>
      <w:r w:rsidR="00B23C48">
        <w:rPr>
          <w:sz w:val="24"/>
          <w:szCs w:val="24"/>
        </w:rPr>
        <w:t>customers</w:t>
      </w:r>
      <w:r>
        <w:rPr>
          <w:sz w:val="24"/>
          <w:szCs w:val="24"/>
        </w:rPr>
        <w:t xml:space="preserve"> to opt out of </w:t>
      </w:r>
      <w:r w:rsidR="00B23C48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spend management </w:t>
      </w:r>
      <w:r w:rsidR="00B23C48">
        <w:rPr>
          <w:sz w:val="24"/>
          <w:szCs w:val="24"/>
        </w:rPr>
        <w:t xml:space="preserve">tool </w:t>
      </w:r>
      <w:r>
        <w:rPr>
          <w:sz w:val="24"/>
          <w:szCs w:val="24"/>
        </w:rPr>
        <w:t>notifications</w:t>
      </w:r>
      <w:r w:rsidR="00B23C48">
        <w:rPr>
          <w:sz w:val="24"/>
          <w:szCs w:val="24"/>
        </w:rPr>
        <w:t xml:space="preserve"> required by subclause 9(3) of the Standard</w:t>
      </w:r>
      <w:r>
        <w:rPr>
          <w:sz w:val="24"/>
          <w:szCs w:val="24"/>
        </w:rPr>
        <w:t>.</w:t>
      </w:r>
    </w:p>
    <w:p w14:paraId="2E5049BC" w14:textId="77777777" w:rsidR="004967DE" w:rsidRDefault="004967DE" w:rsidP="00FA31F3">
      <w:pPr>
        <w:ind w:right="91"/>
        <w:rPr>
          <w:sz w:val="24"/>
          <w:szCs w:val="24"/>
        </w:rPr>
      </w:pPr>
    </w:p>
    <w:p w14:paraId="0ECCB53E" w14:textId="0939AC2B" w:rsidR="004967DE" w:rsidRDefault="004967DE" w:rsidP="004967DE">
      <w:pPr>
        <w:pStyle w:val="MinSubbodytext"/>
        <w:ind w:left="0"/>
      </w:pPr>
      <w:r>
        <w:t xml:space="preserve">Carriage service providers will not be required to offer this opt-out mechanism. If the mechanism is offered and a customer chooses to opt out, this will not </w:t>
      </w:r>
      <w:r w:rsidR="008148A4">
        <w:t>affect</w:t>
      </w:r>
      <w:r>
        <w:t xml:space="preserve"> the other requirements in the Standard, such as to provide warning </w:t>
      </w:r>
      <w:r w:rsidR="00455E69">
        <w:t xml:space="preserve">and charging </w:t>
      </w:r>
      <w:r>
        <w:t>messages to customers when arriving in a new country.</w:t>
      </w:r>
    </w:p>
    <w:p w14:paraId="33E10F85" w14:textId="77777777" w:rsidR="00FA31F3" w:rsidRPr="009F5032" w:rsidRDefault="00FA31F3" w:rsidP="002131AC">
      <w:pPr>
        <w:ind w:right="91"/>
        <w:rPr>
          <w:sz w:val="24"/>
          <w:szCs w:val="24"/>
        </w:rPr>
      </w:pPr>
    </w:p>
    <w:p w14:paraId="0550BD0F" w14:textId="66E80CD0" w:rsidR="004047F5" w:rsidRDefault="007F6779" w:rsidP="002131AC">
      <w:pPr>
        <w:ind w:right="91"/>
        <w:rPr>
          <w:sz w:val="24"/>
          <w:szCs w:val="24"/>
        </w:rPr>
      </w:pPr>
      <w:r w:rsidRPr="009F5032">
        <w:rPr>
          <w:sz w:val="24"/>
          <w:szCs w:val="24"/>
        </w:rPr>
        <w:t>Paragraph</w:t>
      </w:r>
      <w:r w:rsidR="00AC78A9" w:rsidRPr="009F5032">
        <w:rPr>
          <w:sz w:val="24"/>
          <w:szCs w:val="24"/>
        </w:rPr>
        <w:t xml:space="preserve"> </w:t>
      </w:r>
      <w:r w:rsidR="00D0239F" w:rsidRPr="009F5032">
        <w:rPr>
          <w:sz w:val="24"/>
          <w:szCs w:val="24"/>
        </w:rPr>
        <w:t>5</w:t>
      </w:r>
      <w:r w:rsidR="00AB1612" w:rsidRPr="009F5032">
        <w:rPr>
          <w:sz w:val="24"/>
          <w:szCs w:val="24"/>
        </w:rPr>
        <w:t>(1)(</w:t>
      </w:r>
      <w:r w:rsidR="00FA31F3">
        <w:rPr>
          <w:sz w:val="24"/>
          <w:szCs w:val="24"/>
        </w:rPr>
        <w:t>e</w:t>
      </w:r>
      <w:r w:rsidR="00AC78A9" w:rsidRPr="009F5032">
        <w:rPr>
          <w:sz w:val="24"/>
          <w:szCs w:val="24"/>
        </w:rPr>
        <w:t xml:space="preserve">) </w:t>
      </w:r>
      <w:r w:rsidR="00E749BA">
        <w:rPr>
          <w:sz w:val="24"/>
          <w:szCs w:val="24"/>
        </w:rPr>
        <w:t xml:space="preserve">requires the ACMA to amend the Standard to </w:t>
      </w:r>
      <w:r w:rsidR="00AC78A9" w:rsidRPr="00E749BA">
        <w:rPr>
          <w:sz w:val="24"/>
          <w:szCs w:val="24"/>
        </w:rPr>
        <w:t xml:space="preserve">delay the application of subclauses 6(3) and 9(2)-(8) of the Standard to mobile virtual network operators </w:t>
      </w:r>
      <w:r w:rsidR="00E03706">
        <w:rPr>
          <w:sz w:val="24"/>
          <w:szCs w:val="24"/>
        </w:rPr>
        <w:t xml:space="preserve">(MVNOs) </w:t>
      </w:r>
      <w:r w:rsidR="00AC78A9" w:rsidRPr="00E749BA">
        <w:rPr>
          <w:sz w:val="24"/>
          <w:szCs w:val="24"/>
        </w:rPr>
        <w:t xml:space="preserve">until 1 January 2019. </w:t>
      </w:r>
      <w:r w:rsidR="00455E69">
        <w:rPr>
          <w:sz w:val="24"/>
          <w:szCs w:val="24"/>
        </w:rPr>
        <w:t xml:space="preserve">As the third tranche </w:t>
      </w:r>
      <w:r w:rsidR="00E03706">
        <w:rPr>
          <w:sz w:val="24"/>
          <w:szCs w:val="24"/>
        </w:rPr>
        <w:t xml:space="preserve">of the Standard </w:t>
      </w:r>
      <w:r w:rsidR="00455E69">
        <w:rPr>
          <w:sz w:val="24"/>
          <w:szCs w:val="24"/>
        </w:rPr>
        <w:t xml:space="preserve">has not yet commenced, MVNOs may choose to comply with either subclause 6(2) or 6(3) of the Standard and subclauses 9(2)-(8) do not yet apply to MVNOs. The third tranche </w:t>
      </w:r>
      <w:r w:rsidR="00E03706">
        <w:rPr>
          <w:sz w:val="24"/>
          <w:szCs w:val="24"/>
        </w:rPr>
        <w:t xml:space="preserve">removes </w:t>
      </w:r>
      <w:r w:rsidR="00455E69">
        <w:rPr>
          <w:sz w:val="24"/>
          <w:szCs w:val="24"/>
        </w:rPr>
        <w:t xml:space="preserve">the option of complying with subclause 6(2) instead of 6(3), and </w:t>
      </w:r>
      <w:r w:rsidR="00E03706">
        <w:rPr>
          <w:sz w:val="24"/>
          <w:szCs w:val="24"/>
        </w:rPr>
        <w:t xml:space="preserve">commences </w:t>
      </w:r>
      <w:r w:rsidR="00455E69">
        <w:rPr>
          <w:sz w:val="24"/>
          <w:szCs w:val="24"/>
        </w:rPr>
        <w:t xml:space="preserve">application of subclauses 9(2)-(8) to MVNOs. </w:t>
      </w:r>
      <w:r w:rsidR="00A61541" w:rsidRPr="00E749BA">
        <w:rPr>
          <w:sz w:val="24"/>
          <w:szCs w:val="24"/>
        </w:rPr>
        <w:t xml:space="preserve">The </w:t>
      </w:r>
      <w:r w:rsidR="00E749BA">
        <w:rPr>
          <w:sz w:val="24"/>
          <w:szCs w:val="24"/>
        </w:rPr>
        <w:t xml:space="preserve">application </w:t>
      </w:r>
      <w:r w:rsidR="00B23C48">
        <w:rPr>
          <w:sz w:val="24"/>
          <w:szCs w:val="24"/>
        </w:rPr>
        <w:t xml:space="preserve">of </w:t>
      </w:r>
      <w:r w:rsidR="00455E69">
        <w:rPr>
          <w:sz w:val="24"/>
          <w:szCs w:val="24"/>
        </w:rPr>
        <w:t xml:space="preserve">this third tranche </w:t>
      </w:r>
      <w:r w:rsidR="00A61541" w:rsidRPr="00E749BA">
        <w:rPr>
          <w:sz w:val="24"/>
          <w:szCs w:val="24"/>
        </w:rPr>
        <w:t xml:space="preserve">is </w:t>
      </w:r>
      <w:r w:rsidR="00E749BA">
        <w:rPr>
          <w:sz w:val="24"/>
          <w:szCs w:val="24"/>
        </w:rPr>
        <w:t xml:space="preserve">being </w:t>
      </w:r>
      <w:r w:rsidR="00A61541" w:rsidRPr="00E749BA">
        <w:rPr>
          <w:sz w:val="24"/>
          <w:szCs w:val="24"/>
        </w:rPr>
        <w:t xml:space="preserve">postponed until the </w:t>
      </w:r>
      <w:r w:rsidR="00B23C48">
        <w:rPr>
          <w:sz w:val="24"/>
          <w:szCs w:val="24"/>
        </w:rPr>
        <w:t xml:space="preserve">2018 </w:t>
      </w:r>
      <w:r w:rsidR="00A61541" w:rsidRPr="00E749BA">
        <w:rPr>
          <w:sz w:val="24"/>
          <w:szCs w:val="24"/>
        </w:rPr>
        <w:t xml:space="preserve">review of </w:t>
      </w:r>
      <w:r w:rsidR="00AB1612" w:rsidRPr="00E749BA">
        <w:rPr>
          <w:sz w:val="24"/>
          <w:szCs w:val="24"/>
        </w:rPr>
        <w:t>the Standard is completed</w:t>
      </w:r>
      <w:r w:rsidR="009F5032">
        <w:rPr>
          <w:sz w:val="24"/>
          <w:szCs w:val="24"/>
        </w:rPr>
        <w:t>.</w:t>
      </w:r>
      <w:r w:rsidR="00AB1612" w:rsidRPr="009F5032">
        <w:rPr>
          <w:sz w:val="24"/>
          <w:szCs w:val="24"/>
        </w:rPr>
        <w:t xml:space="preserve"> </w:t>
      </w:r>
      <w:r w:rsidR="009F5032">
        <w:rPr>
          <w:sz w:val="24"/>
          <w:szCs w:val="24"/>
        </w:rPr>
        <w:t xml:space="preserve">This will </w:t>
      </w:r>
      <w:r w:rsidR="00AB1612" w:rsidRPr="009F5032">
        <w:rPr>
          <w:sz w:val="24"/>
          <w:szCs w:val="24"/>
        </w:rPr>
        <w:t>allow the ACMA to further assess any potential unintended impacts of the Standard</w:t>
      </w:r>
      <w:r w:rsidR="00E03706">
        <w:rPr>
          <w:sz w:val="24"/>
          <w:szCs w:val="24"/>
        </w:rPr>
        <w:t xml:space="preserve"> </w:t>
      </w:r>
      <w:r w:rsidR="00AB1612" w:rsidRPr="009F5032">
        <w:rPr>
          <w:sz w:val="24"/>
          <w:szCs w:val="24"/>
        </w:rPr>
        <w:t xml:space="preserve">on </w:t>
      </w:r>
      <w:r w:rsidR="00E03706">
        <w:rPr>
          <w:sz w:val="24"/>
          <w:szCs w:val="24"/>
        </w:rPr>
        <w:t>MVNOs</w:t>
      </w:r>
      <w:r w:rsidR="00AB1612" w:rsidRPr="009F5032">
        <w:rPr>
          <w:sz w:val="24"/>
          <w:szCs w:val="24"/>
        </w:rPr>
        <w:t>.</w:t>
      </w:r>
    </w:p>
    <w:p w14:paraId="00FDC4B3" w14:textId="4A597061" w:rsidR="00D800BA" w:rsidRDefault="00D800BA" w:rsidP="002131AC">
      <w:pPr>
        <w:ind w:right="91"/>
        <w:rPr>
          <w:sz w:val="24"/>
          <w:szCs w:val="24"/>
        </w:rPr>
      </w:pPr>
    </w:p>
    <w:p w14:paraId="73B0F6AC" w14:textId="1EEACFA9" w:rsidR="00D0239F" w:rsidRDefault="00D0239F" w:rsidP="002131AC">
      <w:pPr>
        <w:ind w:right="91"/>
        <w:rPr>
          <w:sz w:val="24"/>
          <w:szCs w:val="24"/>
        </w:rPr>
      </w:pPr>
      <w:r w:rsidRPr="00927C37">
        <w:rPr>
          <w:sz w:val="24"/>
          <w:szCs w:val="24"/>
        </w:rPr>
        <w:t>Sub</w:t>
      </w:r>
      <w:r w:rsidR="00384C56" w:rsidRPr="00927C37">
        <w:rPr>
          <w:sz w:val="24"/>
          <w:szCs w:val="24"/>
        </w:rPr>
        <w:t>s</w:t>
      </w:r>
      <w:r w:rsidRPr="00927C37">
        <w:rPr>
          <w:sz w:val="24"/>
          <w:szCs w:val="24"/>
        </w:rPr>
        <w:t>e</w:t>
      </w:r>
      <w:r w:rsidR="00384C56" w:rsidRPr="00927C37">
        <w:rPr>
          <w:sz w:val="24"/>
          <w:szCs w:val="24"/>
        </w:rPr>
        <w:t>ction</w:t>
      </w:r>
      <w:r w:rsidRPr="00927C37">
        <w:rPr>
          <w:sz w:val="24"/>
          <w:szCs w:val="24"/>
        </w:rPr>
        <w:t xml:space="preserve"> 5(2) allows the ACMA to make other amendments to the Standard that are related to the matters listed in </w:t>
      </w:r>
      <w:r w:rsidR="00811A9F">
        <w:rPr>
          <w:sz w:val="24"/>
          <w:szCs w:val="24"/>
        </w:rPr>
        <w:t>subsection</w:t>
      </w:r>
      <w:r w:rsidR="00811A9F" w:rsidRPr="00927C37">
        <w:rPr>
          <w:sz w:val="24"/>
          <w:szCs w:val="24"/>
        </w:rPr>
        <w:t xml:space="preserve"> </w:t>
      </w:r>
      <w:r w:rsidRPr="00927C37">
        <w:rPr>
          <w:sz w:val="24"/>
          <w:szCs w:val="24"/>
        </w:rPr>
        <w:t>5(1).</w:t>
      </w:r>
    </w:p>
    <w:p w14:paraId="7A356083" w14:textId="77777777" w:rsidR="004967DE" w:rsidRDefault="004967DE" w:rsidP="002131AC">
      <w:pPr>
        <w:ind w:right="91"/>
        <w:rPr>
          <w:sz w:val="24"/>
          <w:szCs w:val="24"/>
        </w:rPr>
      </w:pPr>
    </w:p>
    <w:p w14:paraId="49E4F838" w14:textId="25C7D8EB" w:rsidR="004967DE" w:rsidRDefault="004967DE" w:rsidP="004967DE">
      <w:pPr>
        <w:pStyle w:val="MinSubbodytext"/>
        <w:ind w:left="0"/>
      </w:pPr>
      <w:r>
        <w:t>For example, the ACMA may</w:t>
      </w:r>
      <w:r w:rsidR="008A242F">
        <w:t>,</w:t>
      </w:r>
      <w:r>
        <w:t xml:space="preserve"> </w:t>
      </w:r>
      <w:r w:rsidR="008A242F">
        <w:t xml:space="preserve">at its discretion, </w:t>
      </w:r>
      <w:r>
        <w:t>also choose to consider the following non-exhaustive list of matters when amending the Standard to provide for the opt-out mechanism required by paragraph 5(1)(d):</w:t>
      </w:r>
    </w:p>
    <w:p w14:paraId="70135C79" w14:textId="77777777" w:rsidR="004967DE" w:rsidRDefault="004967DE" w:rsidP="004967DE">
      <w:pPr>
        <w:pStyle w:val="MinSubbodytext"/>
        <w:numPr>
          <w:ilvl w:val="0"/>
          <w:numId w:val="6"/>
        </w:numPr>
      </w:pPr>
      <w:r>
        <w:t>the ability for customers to easily and quickly opt back into receiving roaming usage alerts at no cost; or</w:t>
      </w:r>
    </w:p>
    <w:p w14:paraId="31CF8FE2" w14:textId="77777777" w:rsidR="004967DE" w:rsidRDefault="004967DE" w:rsidP="004967DE">
      <w:pPr>
        <w:pStyle w:val="MinSubbodytext"/>
        <w:numPr>
          <w:ilvl w:val="0"/>
          <w:numId w:val="6"/>
        </w:numPr>
      </w:pPr>
      <w:r>
        <w:t>the ability for customers to check whether they have opted out of roaming usage alerts; or</w:t>
      </w:r>
    </w:p>
    <w:p w14:paraId="02CFA9BF" w14:textId="04BF85CB" w:rsidR="004967DE" w:rsidRPr="00CB715F" w:rsidRDefault="004967DE" w:rsidP="004967DE">
      <w:pPr>
        <w:pStyle w:val="MinSubbodytext"/>
        <w:numPr>
          <w:ilvl w:val="0"/>
          <w:numId w:val="6"/>
        </w:numPr>
      </w:pPr>
      <w:r>
        <w:t xml:space="preserve">whether opting out of usage alerts </w:t>
      </w:r>
      <w:r w:rsidR="008A242F">
        <w:t>should</w:t>
      </w:r>
      <w:r>
        <w:t xml:space="preserve"> not be either or both the default option, or agreed at the commencement of a mobile contract, which often occurs well in advance of travel.</w:t>
      </w:r>
    </w:p>
    <w:p w14:paraId="66F40909" w14:textId="77777777" w:rsidR="00D0239F" w:rsidRPr="00927C37" w:rsidRDefault="00D0239F" w:rsidP="002131AC">
      <w:pPr>
        <w:ind w:right="91"/>
        <w:rPr>
          <w:sz w:val="24"/>
          <w:szCs w:val="24"/>
        </w:rPr>
      </w:pPr>
    </w:p>
    <w:p w14:paraId="0ECD2A41" w14:textId="7B2E920F" w:rsidR="00927C37" w:rsidRDefault="00D0239F">
      <w:pPr>
        <w:spacing w:after="200" w:line="276" w:lineRule="auto"/>
      </w:pPr>
      <w:r w:rsidRPr="00E75DD7">
        <w:rPr>
          <w:sz w:val="24"/>
          <w:szCs w:val="24"/>
        </w:rPr>
        <w:t>Sub</w:t>
      </w:r>
      <w:r w:rsidR="00384C56" w:rsidRPr="00E75DD7">
        <w:rPr>
          <w:sz w:val="24"/>
          <w:szCs w:val="24"/>
        </w:rPr>
        <w:t>section</w:t>
      </w:r>
      <w:r w:rsidRPr="00E75DD7">
        <w:rPr>
          <w:sz w:val="24"/>
          <w:szCs w:val="24"/>
        </w:rPr>
        <w:t xml:space="preserve"> 5(3) requires the ACMA to make all amendments to the Standard within 3 months of the commencement of the Direction. </w:t>
      </w:r>
      <w:r w:rsidR="00927C37">
        <w:br w:type="page"/>
      </w:r>
    </w:p>
    <w:p w14:paraId="6FDABF86" w14:textId="77777777" w:rsidR="002C0CD5" w:rsidRDefault="00927C37" w:rsidP="00896ED4">
      <w:pPr>
        <w:ind w:right="91"/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ATTACHMENT B</w:t>
      </w:r>
    </w:p>
    <w:p w14:paraId="35F2758F" w14:textId="77777777" w:rsidR="00E75DD7" w:rsidRDefault="00E75DD7" w:rsidP="00896ED4">
      <w:pPr>
        <w:ind w:right="91"/>
        <w:jc w:val="right"/>
        <w:rPr>
          <w:b/>
          <w:sz w:val="24"/>
          <w:szCs w:val="24"/>
          <w:u w:val="single"/>
        </w:rPr>
      </w:pPr>
    </w:p>
    <w:p w14:paraId="3194CEC9" w14:textId="77777777" w:rsidR="00E75DD7" w:rsidRDefault="00E75DD7" w:rsidP="00896ED4">
      <w:pPr>
        <w:ind w:right="9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Statement of Compatibility with Human Rights</w:t>
      </w:r>
    </w:p>
    <w:p w14:paraId="34CDB4B6" w14:textId="77777777" w:rsidR="00E75DD7" w:rsidRDefault="00E75DD7" w:rsidP="00896ED4">
      <w:pPr>
        <w:ind w:right="91"/>
        <w:jc w:val="center"/>
        <w:rPr>
          <w:b/>
          <w:sz w:val="24"/>
          <w:szCs w:val="24"/>
          <w:u w:val="single"/>
        </w:rPr>
      </w:pPr>
    </w:p>
    <w:p w14:paraId="529A6CBA" w14:textId="77777777" w:rsidR="00E75DD7" w:rsidRDefault="00E75DD7" w:rsidP="00896ED4">
      <w:pPr>
        <w:ind w:right="91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Prepared in accordance with Part 3 of the Human Rights (Parliamentary Scrutiny) Act 2011</w:t>
      </w:r>
    </w:p>
    <w:p w14:paraId="094A07C5" w14:textId="77777777" w:rsidR="00E75DD7" w:rsidRDefault="00E75DD7" w:rsidP="00896ED4">
      <w:pPr>
        <w:ind w:right="91"/>
        <w:jc w:val="center"/>
        <w:rPr>
          <w:i/>
          <w:sz w:val="24"/>
          <w:szCs w:val="24"/>
          <w:u w:val="single"/>
        </w:rPr>
      </w:pPr>
    </w:p>
    <w:p w14:paraId="7818CF21" w14:textId="6F407E06" w:rsidR="00E75DD7" w:rsidRDefault="00E75DD7" w:rsidP="00896ED4">
      <w:pPr>
        <w:ind w:right="91"/>
        <w:jc w:val="center"/>
        <w:rPr>
          <w:b/>
          <w:sz w:val="24"/>
          <w:szCs w:val="24"/>
        </w:rPr>
      </w:pPr>
      <w:r w:rsidRPr="00896ED4">
        <w:rPr>
          <w:b/>
          <w:sz w:val="24"/>
          <w:szCs w:val="24"/>
        </w:rPr>
        <w:t xml:space="preserve">Telecommunications (Amendment of International Mobile Roaming Industry Standard) Direction </w:t>
      </w:r>
      <w:r w:rsidR="007509D9" w:rsidRPr="00896ED4">
        <w:rPr>
          <w:b/>
          <w:sz w:val="24"/>
          <w:szCs w:val="24"/>
        </w:rPr>
        <w:t>201</w:t>
      </w:r>
      <w:r w:rsidR="007509D9">
        <w:rPr>
          <w:b/>
          <w:sz w:val="24"/>
          <w:szCs w:val="24"/>
        </w:rPr>
        <w:t>6</w:t>
      </w:r>
    </w:p>
    <w:p w14:paraId="6ACF1887" w14:textId="77777777" w:rsidR="00E75DD7" w:rsidRDefault="00E75DD7" w:rsidP="00896ED4">
      <w:pPr>
        <w:ind w:right="91"/>
        <w:rPr>
          <w:sz w:val="24"/>
          <w:szCs w:val="24"/>
        </w:rPr>
      </w:pPr>
    </w:p>
    <w:p w14:paraId="25ECD07B" w14:textId="77777777" w:rsidR="00E75DD7" w:rsidRDefault="00E75DD7" w:rsidP="00896ED4">
      <w:pPr>
        <w:ind w:right="91"/>
        <w:rPr>
          <w:sz w:val="24"/>
          <w:szCs w:val="24"/>
        </w:rPr>
      </w:pPr>
      <w:r>
        <w:rPr>
          <w:sz w:val="24"/>
          <w:szCs w:val="24"/>
        </w:rPr>
        <w:t xml:space="preserve">This Legislative Instrument is compatible with the human rights and freedoms recognised or declared in the international instruments listed in section 3 of the </w:t>
      </w:r>
      <w:r>
        <w:rPr>
          <w:i/>
          <w:sz w:val="24"/>
          <w:szCs w:val="24"/>
        </w:rPr>
        <w:t>Human Rights (Parliamentary Scrutiny) Act 2011</w:t>
      </w:r>
      <w:r>
        <w:rPr>
          <w:sz w:val="24"/>
          <w:szCs w:val="24"/>
        </w:rPr>
        <w:t>.</w:t>
      </w:r>
    </w:p>
    <w:p w14:paraId="0906C5A5" w14:textId="77777777" w:rsidR="00E75DD7" w:rsidRDefault="00E75DD7" w:rsidP="00896ED4">
      <w:pPr>
        <w:ind w:right="91"/>
        <w:rPr>
          <w:sz w:val="24"/>
          <w:szCs w:val="24"/>
        </w:rPr>
      </w:pPr>
    </w:p>
    <w:p w14:paraId="63D8FEF1" w14:textId="77777777" w:rsidR="00E75DD7" w:rsidRDefault="00E75DD7" w:rsidP="00896ED4">
      <w:pPr>
        <w:ind w:right="91"/>
        <w:rPr>
          <w:sz w:val="24"/>
          <w:szCs w:val="24"/>
          <w:u w:val="single"/>
        </w:rPr>
      </w:pPr>
      <w:r w:rsidRPr="00896ED4">
        <w:rPr>
          <w:sz w:val="24"/>
          <w:szCs w:val="24"/>
          <w:u w:val="single"/>
        </w:rPr>
        <w:t>Overview of the Determination</w:t>
      </w:r>
    </w:p>
    <w:p w14:paraId="16B93FA4" w14:textId="77777777" w:rsidR="00E75DD7" w:rsidRDefault="00E75DD7" w:rsidP="00896ED4">
      <w:pPr>
        <w:ind w:right="91"/>
        <w:rPr>
          <w:sz w:val="24"/>
          <w:szCs w:val="24"/>
        </w:rPr>
      </w:pPr>
    </w:p>
    <w:p w14:paraId="5BCB331E" w14:textId="5ECE3A64" w:rsidR="00E75DD7" w:rsidRPr="001D2DE4" w:rsidRDefault="00E75DD7" w:rsidP="00E75DD7">
      <w:pPr>
        <w:rPr>
          <w:sz w:val="24"/>
          <w:szCs w:val="24"/>
        </w:rPr>
      </w:pPr>
      <w:r w:rsidRPr="001D2DE4">
        <w:rPr>
          <w:sz w:val="24"/>
          <w:szCs w:val="24"/>
        </w:rPr>
        <w:t xml:space="preserve">The </w:t>
      </w:r>
      <w:r w:rsidRPr="00927C37">
        <w:rPr>
          <w:i/>
          <w:sz w:val="24"/>
          <w:szCs w:val="24"/>
        </w:rPr>
        <w:t xml:space="preserve">Telecommunications (International Mobile Roaming) Industry Standard 2013 </w:t>
      </w:r>
      <w:r>
        <w:rPr>
          <w:sz w:val="24"/>
          <w:szCs w:val="24"/>
        </w:rPr>
        <w:t>(</w:t>
      </w:r>
      <w:r w:rsidRPr="001D2DE4">
        <w:rPr>
          <w:sz w:val="24"/>
          <w:szCs w:val="24"/>
        </w:rPr>
        <w:t>Standard</w:t>
      </w:r>
      <w:r>
        <w:rPr>
          <w:sz w:val="24"/>
          <w:szCs w:val="24"/>
        </w:rPr>
        <w:t>)</w:t>
      </w:r>
      <w:r w:rsidRPr="001D2DE4">
        <w:rPr>
          <w:sz w:val="24"/>
          <w:szCs w:val="24"/>
        </w:rPr>
        <w:t xml:space="preserve"> is administered by the A</w:t>
      </w:r>
      <w:r w:rsidR="00811A9F">
        <w:rPr>
          <w:sz w:val="24"/>
          <w:szCs w:val="24"/>
        </w:rPr>
        <w:t xml:space="preserve">ustralian </w:t>
      </w:r>
      <w:r w:rsidRPr="001D2DE4">
        <w:rPr>
          <w:sz w:val="24"/>
          <w:szCs w:val="24"/>
        </w:rPr>
        <w:t>C</w:t>
      </w:r>
      <w:r w:rsidR="00811A9F">
        <w:rPr>
          <w:sz w:val="24"/>
          <w:szCs w:val="24"/>
        </w:rPr>
        <w:t xml:space="preserve">ommunications and </w:t>
      </w:r>
      <w:r w:rsidR="00811A9F" w:rsidRPr="001D2DE4">
        <w:rPr>
          <w:sz w:val="24"/>
          <w:szCs w:val="24"/>
        </w:rPr>
        <w:t>M</w:t>
      </w:r>
      <w:r w:rsidR="00811A9F">
        <w:rPr>
          <w:sz w:val="24"/>
          <w:szCs w:val="24"/>
        </w:rPr>
        <w:t>edia Authority (ACMA)</w:t>
      </w:r>
      <w:r w:rsidRPr="001D2DE4">
        <w:rPr>
          <w:sz w:val="24"/>
          <w:szCs w:val="24"/>
        </w:rPr>
        <w:t xml:space="preserve">. The Standard requires suppliers of international mobile roaming (IMR) services to send alerts to customers on the pricing of those services. </w:t>
      </w:r>
    </w:p>
    <w:p w14:paraId="1D74FD1D" w14:textId="77777777" w:rsidR="00E75DD7" w:rsidRDefault="00E75DD7" w:rsidP="00896ED4">
      <w:pPr>
        <w:ind w:right="91"/>
        <w:rPr>
          <w:sz w:val="24"/>
          <w:szCs w:val="24"/>
        </w:rPr>
      </w:pPr>
    </w:p>
    <w:p w14:paraId="2C1EF4A3" w14:textId="733513FA" w:rsidR="00E75DD7" w:rsidRPr="00927C37" w:rsidRDefault="00E75DD7" w:rsidP="00E75DD7">
      <w:pPr>
        <w:rPr>
          <w:sz w:val="24"/>
          <w:szCs w:val="24"/>
        </w:rPr>
      </w:pPr>
      <w:r w:rsidRPr="001D2DE4">
        <w:rPr>
          <w:sz w:val="24"/>
          <w:szCs w:val="24"/>
        </w:rPr>
        <w:t xml:space="preserve">The purpose of the </w:t>
      </w:r>
      <w:r w:rsidRPr="001D2DE4">
        <w:rPr>
          <w:i/>
          <w:sz w:val="24"/>
          <w:szCs w:val="24"/>
        </w:rPr>
        <w:t xml:space="preserve">Telecommunications (Amendment of International Mobile Roaming Industry Standard) Direction </w:t>
      </w:r>
      <w:r w:rsidR="007509D9" w:rsidRPr="001D2DE4">
        <w:rPr>
          <w:i/>
          <w:sz w:val="24"/>
          <w:szCs w:val="24"/>
        </w:rPr>
        <w:t>201</w:t>
      </w:r>
      <w:r w:rsidR="007509D9">
        <w:rPr>
          <w:i/>
          <w:sz w:val="24"/>
          <w:szCs w:val="24"/>
        </w:rPr>
        <w:t>6</w:t>
      </w:r>
      <w:r w:rsidR="007509D9" w:rsidRPr="001D2DE4">
        <w:rPr>
          <w:sz w:val="24"/>
          <w:szCs w:val="24"/>
        </w:rPr>
        <w:t xml:space="preserve"> </w:t>
      </w:r>
      <w:r w:rsidRPr="001D2DE4">
        <w:rPr>
          <w:sz w:val="24"/>
          <w:szCs w:val="24"/>
        </w:rPr>
        <w:t>(Direction)</w:t>
      </w:r>
      <w:r w:rsidRPr="001D2DE4">
        <w:rPr>
          <w:i/>
          <w:sz w:val="24"/>
          <w:szCs w:val="24"/>
        </w:rPr>
        <w:t xml:space="preserve"> </w:t>
      </w:r>
      <w:r w:rsidRPr="001D2DE4">
        <w:rPr>
          <w:sz w:val="24"/>
          <w:szCs w:val="24"/>
        </w:rPr>
        <w:t xml:space="preserve">is to direct the ACMA to </w:t>
      </w:r>
      <w:r>
        <w:rPr>
          <w:sz w:val="24"/>
          <w:szCs w:val="24"/>
        </w:rPr>
        <w:t>amend</w:t>
      </w:r>
      <w:r w:rsidRPr="00927C37">
        <w:rPr>
          <w:sz w:val="24"/>
          <w:szCs w:val="24"/>
        </w:rPr>
        <w:t xml:space="preserve"> the Standard.</w:t>
      </w:r>
    </w:p>
    <w:p w14:paraId="3A9BE669" w14:textId="77777777" w:rsidR="00E75DD7" w:rsidRPr="00E75DD7" w:rsidRDefault="00E75DD7" w:rsidP="00E75DD7">
      <w:pPr>
        <w:rPr>
          <w:sz w:val="24"/>
          <w:szCs w:val="24"/>
        </w:rPr>
      </w:pPr>
    </w:p>
    <w:p w14:paraId="2F29C8F0" w14:textId="77777777" w:rsidR="005D1AC2" w:rsidRDefault="005D1AC2" w:rsidP="005D1AC2">
      <w:pPr>
        <w:pStyle w:val="MinSubbodytext"/>
        <w:spacing w:after="120"/>
        <w:ind w:left="0"/>
      </w:pPr>
      <w:r>
        <w:t>The changes in the Direction are intended to allow for greater streamlining and simplification of the Standard, including:</w:t>
      </w:r>
    </w:p>
    <w:p w14:paraId="710E7E0B" w14:textId="3FA04FC7" w:rsidR="005D1AC2" w:rsidRDefault="005D1AC2" w:rsidP="005D1AC2">
      <w:pPr>
        <w:pStyle w:val="MinSubbodytext"/>
        <w:numPr>
          <w:ilvl w:val="0"/>
          <w:numId w:val="1"/>
        </w:numPr>
      </w:pPr>
      <w:r>
        <w:t xml:space="preserve">allowing the warning and charging SMS </w:t>
      </w:r>
      <w:r w:rsidR="00285173">
        <w:t xml:space="preserve">messages </w:t>
      </w:r>
      <w:r>
        <w:t>to be combined into one SMS</w:t>
      </w:r>
      <w:r w:rsidR="00285173">
        <w:t xml:space="preserve"> message</w:t>
      </w:r>
    </w:p>
    <w:p w14:paraId="54066A8D" w14:textId="77777777" w:rsidR="005D1AC2" w:rsidRDefault="005D1AC2" w:rsidP="005D1AC2">
      <w:pPr>
        <w:pStyle w:val="MinSubbodytext"/>
        <w:numPr>
          <w:ilvl w:val="0"/>
          <w:numId w:val="1"/>
        </w:numPr>
      </w:pPr>
      <w:r>
        <w:t>increasing flexibility in the types of mechanisms that can be used to decline IMR services</w:t>
      </w:r>
    </w:p>
    <w:p w14:paraId="13BCDAA0" w14:textId="11E64B07" w:rsidR="00FA31F3" w:rsidRDefault="00FA31F3" w:rsidP="00FA31F3">
      <w:pPr>
        <w:pStyle w:val="MinSubbodytext"/>
        <w:numPr>
          <w:ilvl w:val="0"/>
          <w:numId w:val="1"/>
        </w:numPr>
      </w:pPr>
      <w:r>
        <w:t xml:space="preserve">adding the ability for </w:t>
      </w:r>
      <w:r w:rsidR="008A242F">
        <w:t xml:space="preserve">suppliers of IMR services </w:t>
      </w:r>
      <w:r>
        <w:t xml:space="preserve">to </w:t>
      </w:r>
      <w:r w:rsidR="008148A4">
        <w:t xml:space="preserve">voluntarily </w:t>
      </w:r>
      <w:r>
        <w:t xml:space="preserve">offer a mechanism for </w:t>
      </w:r>
      <w:r w:rsidR="00B23C48">
        <w:t>customers</w:t>
      </w:r>
      <w:r>
        <w:t xml:space="preserve"> to opt out of spend management notifications</w:t>
      </w:r>
    </w:p>
    <w:p w14:paraId="1532751F" w14:textId="1A4DC415" w:rsidR="005D1AC2" w:rsidRDefault="005D1AC2" w:rsidP="005D1AC2">
      <w:pPr>
        <w:pStyle w:val="MinSubbodytext"/>
        <w:numPr>
          <w:ilvl w:val="0"/>
          <w:numId w:val="1"/>
        </w:numPr>
      </w:pPr>
      <w:r>
        <w:t>delaying the application of</w:t>
      </w:r>
      <w:r w:rsidR="00E03706">
        <w:t xml:space="preserve"> parts of</w:t>
      </w:r>
      <w:r>
        <w:t xml:space="preserve"> the Standard to mobile virtual network operators (MVNOs) until </w:t>
      </w:r>
      <w:r w:rsidR="000E2E76">
        <w:t>2019</w:t>
      </w:r>
      <w:r w:rsidR="000F5696">
        <w:t>.</w:t>
      </w:r>
    </w:p>
    <w:p w14:paraId="672DCBA5" w14:textId="77777777" w:rsidR="00E75DD7" w:rsidRDefault="00E75DD7" w:rsidP="00896ED4">
      <w:pPr>
        <w:ind w:right="91"/>
        <w:rPr>
          <w:sz w:val="24"/>
          <w:szCs w:val="24"/>
        </w:rPr>
      </w:pPr>
    </w:p>
    <w:p w14:paraId="62EA564D" w14:textId="77777777" w:rsidR="00E75DD7" w:rsidRDefault="00E75DD7" w:rsidP="00896ED4">
      <w:pPr>
        <w:ind w:right="91"/>
        <w:rPr>
          <w:sz w:val="24"/>
          <w:szCs w:val="24"/>
        </w:rPr>
      </w:pPr>
      <w:r>
        <w:rPr>
          <w:sz w:val="24"/>
          <w:szCs w:val="24"/>
        </w:rPr>
        <w:t>No human rights issues were raised during the consultation undertaken in developing the proposal to direct the ACMA to amend the Standard.</w:t>
      </w:r>
    </w:p>
    <w:p w14:paraId="52FDAE40" w14:textId="77777777" w:rsidR="00E75DD7" w:rsidRDefault="00E75DD7" w:rsidP="00896ED4">
      <w:pPr>
        <w:ind w:right="91"/>
        <w:rPr>
          <w:sz w:val="24"/>
          <w:szCs w:val="24"/>
        </w:rPr>
      </w:pPr>
    </w:p>
    <w:p w14:paraId="6912A4C4" w14:textId="77777777" w:rsidR="00E75DD7" w:rsidRDefault="00E75DD7" w:rsidP="00896ED4">
      <w:pPr>
        <w:ind w:right="91"/>
        <w:rPr>
          <w:sz w:val="24"/>
          <w:szCs w:val="24"/>
        </w:rPr>
      </w:pPr>
      <w:r>
        <w:rPr>
          <w:sz w:val="24"/>
          <w:szCs w:val="24"/>
          <w:u w:val="single"/>
        </w:rPr>
        <w:t>Human rights implications</w:t>
      </w:r>
    </w:p>
    <w:p w14:paraId="0B47D30A" w14:textId="77777777" w:rsidR="00E75DD7" w:rsidRDefault="00E75DD7" w:rsidP="00896ED4">
      <w:pPr>
        <w:ind w:right="91"/>
        <w:rPr>
          <w:sz w:val="24"/>
          <w:szCs w:val="24"/>
        </w:rPr>
      </w:pPr>
    </w:p>
    <w:p w14:paraId="5D77E652" w14:textId="18B8765C" w:rsidR="00E75DD7" w:rsidRDefault="00E75DD7" w:rsidP="00E75DD7">
      <w:pPr>
        <w:ind w:right="91"/>
        <w:rPr>
          <w:sz w:val="24"/>
          <w:szCs w:val="24"/>
        </w:rPr>
      </w:pPr>
      <w:r>
        <w:rPr>
          <w:sz w:val="24"/>
          <w:szCs w:val="24"/>
        </w:rPr>
        <w:t>The amendments to the Standard required by the Direction do not engage any of the applicable rights or freedoms.</w:t>
      </w:r>
      <w:r w:rsidR="00522A7D">
        <w:rPr>
          <w:sz w:val="24"/>
          <w:szCs w:val="24"/>
        </w:rPr>
        <w:t xml:space="preserve"> The amendments </w:t>
      </w:r>
      <w:r w:rsidR="00206782" w:rsidRPr="00CB715F">
        <w:rPr>
          <w:sz w:val="24"/>
          <w:szCs w:val="24"/>
        </w:rPr>
        <w:t>are intended to</w:t>
      </w:r>
      <w:r w:rsidR="00206782">
        <w:rPr>
          <w:sz w:val="24"/>
          <w:szCs w:val="24"/>
        </w:rPr>
        <w:t xml:space="preserve"> allow for greater streamlining and simplification of the IMR Standard</w:t>
      </w:r>
      <w:r w:rsidR="000E2E76">
        <w:rPr>
          <w:sz w:val="24"/>
          <w:szCs w:val="24"/>
        </w:rPr>
        <w:t>.</w:t>
      </w:r>
    </w:p>
    <w:p w14:paraId="5BCBC0C3" w14:textId="77777777" w:rsidR="00E75DD7" w:rsidRDefault="00E75DD7" w:rsidP="00896ED4">
      <w:pPr>
        <w:ind w:right="91"/>
        <w:rPr>
          <w:sz w:val="24"/>
          <w:szCs w:val="24"/>
        </w:rPr>
      </w:pPr>
    </w:p>
    <w:p w14:paraId="32AEE50A" w14:textId="77777777" w:rsidR="00E75DD7" w:rsidRDefault="00E75DD7" w:rsidP="00896ED4">
      <w:pPr>
        <w:ind w:right="91"/>
        <w:rPr>
          <w:sz w:val="24"/>
          <w:szCs w:val="24"/>
        </w:rPr>
      </w:pPr>
      <w:r>
        <w:rPr>
          <w:sz w:val="24"/>
          <w:szCs w:val="24"/>
          <w:u w:val="single"/>
        </w:rPr>
        <w:t>Conclusion</w:t>
      </w:r>
    </w:p>
    <w:p w14:paraId="7A956F32" w14:textId="77777777" w:rsidR="00E75DD7" w:rsidRDefault="00E75DD7" w:rsidP="00896ED4">
      <w:pPr>
        <w:ind w:right="91"/>
        <w:rPr>
          <w:sz w:val="24"/>
          <w:szCs w:val="24"/>
        </w:rPr>
      </w:pPr>
    </w:p>
    <w:p w14:paraId="51D7C4B4" w14:textId="3F5FE640" w:rsidR="00E75DD7" w:rsidRPr="00896ED4" w:rsidRDefault="00E75DD7" w:rsidP="00896ED4">
      <w:pPr>
        <w:ind w:right="91"/>
        <w:rPr>
          <w:sz w:val="24"/>
          <w:szCs w:val="24"/>
        </w:rPr>
      </w:pPr>
      <w:r>
        <w:rPr>
          <w:sz w:val="24"/>
          <w:szCs w:val="24"/>
        </w:rPr>
        <w:t>The Direction is compatible with human rights as it does not raise any human rights issues.</w:t>
      </w:r>
    </w:p>
    <w:sectPr w:rsidR="00E75DD7" w:rsidRPr="00896ED4" w:rsidSect="002C0CD5">
      <w:headerReference w:type="default" r:id="rId11"/>
      <w:footerReference w:type="first" r:id="rId12"/>
      <w:pgSz w:w="11906" w:h="16838" w:code="9"/>
      <w:pgMar w:top="1440" w:right="1797" w:bottom="1440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EA447" w14:textId="77777777" w:rsidR="000E2E76" w:rsidRDefault="000E2E76" w:rsidP="009A5536">
      <w:r>
        <w:separator/>
      </w:r>
    </w:p>
  </w:endnote>
  <w:endnote w:type="continuationSeparator" w:id="0">
    <w:p w14:paraId="339969BC" w14:textId="77777777" w:rsidR="000E2E76" w:rsidRDefault="000E2E76" w:rsidP="009A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F122E" w14:textId="77777777" w:rsidR="000E2E76" w:rsidRDefault="000E2E76">
    <w:pPr>
      <w:pStyle w:val="Footer"/>
      <w:jc w:val="center"/>
    </w:pPr>
  </w:p>
  <w:p w14:paraId="19A935D2" w14:textId="77777777" w:rsidR="000E2E76" w:rsidRDefault="000E2E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8A843" w14:textId="77777777" w:rsidR="000E2E76" w:rsidRDefault="000E2E76" w:rsidP="009A5536">
      <w:r>
        <w:separator/>
      </w:r>
    </w:p>
  </w:footnote>
  <w:footnote w:type="continuationSeparator" w:id="0">
    <w:p w14:paraId="0E86025E" w14:textId="77777777" w:rsidR="000E2E76" w:rsidRDefault="000E2E76" w:rsidP="009A5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76AFE" w14:textId="77777777" w:rsidR="000E2E76" w:rsidRDefault="000E2E76">
    <w:pPr>
      <w:pStyle w:val="Head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C2684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0185C"/>
    <w:multiLevelType w:val="hybridMultilevel"/>
    <w:tmpl w:val="83B2B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D4581"/>
    <w:multiLevelType w:val="hybridMultilevel"/>
    <w:tmpl w:val="4D6A4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" w15:restartNumberingAfterBreak="0">
    <w:nsid w:val="22A36E43"/>
    <w:multiLevelType w:val="hybridMultilevel"/>
    <w:tmpl w:val="F834A8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E05EDA"/>
    <w:multiLevelType w:val="hybridMultilevel"/>
    <w:tmpl w:val="27B81C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2E392B"/>
    <w:multiLevelType w:val="hybridMultilevel"/>
    <w:tmpl w:val="D9065BE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5563F4"/>
    <w:multiLevelType w:val="hybridMultilevel"/>
    <w:tmpl w:val="AF002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B3242"/>
    <w:multiLevelType w:val="hybridMultilevel"/>
    <w:tmpl w:val="ABB25E8E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D5"/>
    <w:rsid w:val="00005672"/>
    <w:rsid w:val="00014D0F"/>
    <w:rsid w:val="000462AC"/>
    <w:rsid w:val="00052478"/>
    <w:rsid w:val="00064637"/>
    <w:rsid w:val="00065CC7"/>
    <w:rsid w:val="0007003B"/>
    <w:rsid w:val="0007153B"/>
    <w:rsid w:val="000748D2"/>
    <w:rsid w:val="00081E46"/>
    <w:rsid w:val="0009720F"/>
    <w:rsid w:val="000A704C"/>
    <w:rsid w:val="000B716C"/>
    <w:rsid w:val="000E2948"/>
    <w:rsid w:val="000E2E76"/>
    <w:rsid w:val="000F00D4"/>
    <w:rsid w:val="000F5696"/>
    <w:rsid w:val="001013DD"/>
    <w:rsid w:val="001025F0"/>
    <w:rsid w:val="00113F27"/>
    <w:rsid w:val="0012015C"/>
    <w:rsid w:val="00121005"/>
    <w:rsid w:val="00122571"/>
    <w:rsid w:val="00123057"/>
    <w:rsid w:val="0012623C"/>
    <w:rsid w:val="00134131"/>
    <w:rsid w:val="00136308"/>
    <w:rsid w:val="00136D23"/>
    <w:rsid w:val="00154B96"/>
    <w:rsid w:val="00167F68"/>
    <w:rsid w:val="00173B75"/>
    <w:rsid w:val="001A4D94"/>
    <w:rsid w:val="001B341A"/>
    <w:rsid w:val="001C1979"/>
    <w:rsid w:val="001C6DC2"/>
    <w:rsid w:val="001C7E5A"/>
    <w:rsid w:val="001D3DC9"/>
    <w:rsid w:val="001F37B2"/>
    <w:rsid w:val="00203EBE"/>
    <w:rsid w:val="00206782"/>
    <w:rsid w:val="002131AC"/>
    <w:rsid w:val="00221130"/>
    <w:rsid w:val="002309C5"/>
    <w:rsid w:val="0026336A"/>
    <w:rsid w:val="002817A8"/>
    <w:rsid w:val="00285173"/>
    <w:rsid w:val="00293E23"/>
    <w:rsid w:val="00297734"/>
    <w:rsid w:val="002A2C10"/>
    <w:rsid w:val="002B28C8"/>
    <w:rsid w:val="002C0CD5"/>
    <w:rsid w:val="002C7BEF"/>
    <w:rsid w:val="002D1A77"/>
    <w:rsid w:val="002E59BE"/>
    <w:rsid w:val="002F4E99"/>
    <w:rsid w:val="00300D7D"/>
    <w:rsid w:val="003071DC"/>
    <w:rsid w:val="00313018"/>
    <w:rsid w:val="00341087"/>
    <w:rsid w:val="0034299C"/>
    <w:rsid w:val="003431F5"/>
    <w:rsid w:val="00362FC5"/>
    <w:rsid w:val="00371639"/>
    <w:rsid w:val="00384B3F"/>
    <w:rsid w:val="00384C56"/>
    <w:rsid w:val="00390DE4"/>
    <w:rsid w:val="003A1A35"/>
    <w:rsid w:val="003A39A2"/>
    <w:rsid w:val="003C5EA2"/>
    <w:rsid w:val="003D6754"/>
    <w:rsid w:val="003E2A07"/>
    <w:rsid w:val="003F072C"/>
    <w:rsid w:val="004000A1"/>
    <w:rsid w:val="004047F5"/>
    <w:rsid w:val="00405662"/>
    <w:rsid w:val="0040752E"/>
    <w:rsid w:val="00407FA3"/>
    <w:rsid w:val="004222FE"/>
    <w:rsid w:val="00424689"/>
    <w:rsid w:val="00442A12"/>
    <w:rsid w:val="00444CC8"/>
    <w:rsid w:val="00455E69"/>
    <w:rsid w:val="00460C65"/>
    <w:rsid w:val="00461AB9"/>
    <w:rsid w:val="004733C0"/>
    <w:rsid w:val="0047601F"/>
    <w:rsid w:val="00485E9A"/>
    <w:rsid w:val="00493CD6"/>
    <w:rsid w:val="004967DE"/>
    <w:rsid w:val="00497F62"/>
    <w:rsid w:val="004A19EE"/>
    <w:rsid w:val="004B75EA"/>
    <w:rsid w:val="004D15C1"/>
    <w:rsid w:val="004D5004"/>
    <w:rsid w:val="004E4107"/>
    <w:rsid w:val="004E6D2A"/>
    <w:rsid w:val="00501EB5"/>
    <w:rsid w:val="00517442"/>
    <w:rsid w:val="00517B36"/>
    <w:rsid w:val="00517BA8"/>
    <w:rsid w:val="00522A7D"/>
    <w:rsid w:val="00524B97"/>
    <w:rsid w:val="00531F51"/>
    <w:rsid w:val="00555714"/>
    <w:rsid w:val="0055586C"/>
    <w:rsid w:val="00560370"/>
    <w:rsid w:val="0056157E"/>
    <w:rsid w:val="0056237D"/>
    <w:rsid w:val="005627A9"/>
    <w:rsid w:val="005653D3"/>
    <w:rsid w:val="00565C39"/>
    <w:rsid w:val="005704CF"/>
    <w:rsid w:val="00573EA4"/>
    <w:rsid w:val="00580F95"/>
    <w:rsid w:val="005A03F1"/>
    <w:rsid w:val="005A39C8"/>
    <w:rsid w:val="005B1E56"/>
    <w:rsid w:val="005D1AC2"/>
    <w:rsid w:val="005D6165"/>
    <w:rsid w:val="005D6D6F"/>
    <w:rsid w:val="005D7005"/>
    <w:rsid w:val="005E26DD"/>
    <w:rsid w:val="0062787F"/>
    <w:rsid w:val="00630259"/>
    <w:rsid w:val="0069238D"/>
    <w:rsid w:val="006B0888"/>
    <w:rsid w:val="006C7C87"/>
    <w:rsid w:val="006E201C"/>
    <w:rsid w:val="006F79C9"/>
    <w:rsid w:val="007072F1"/>
    <w:rsid w:val="007206B3"/>
    <w:rsid w:val="007306D4"/>
    <w:rsid w:val="00734341"/>
    <w:rsid w:val="007436AB"/>
    <w:rsid w:val="007509D9"/>
    <w:rsid w:val="007747B8"/>
    <w:rsid w:val="00775701"/>
    <w:rsid w:val="00782451"/>
    <w:rsid w:val="0078534A"/>
    <w:rsid w:val="00786989"/>
    <w:rsid w:val="00795426"/>
    <w:rsid w:val="007A6680"/>
    <w:rsid w:val="007C2820"/>
    <w:rsid w:val="007C51C1"/>
    <w:rsid w:val="007C6273"/>
    <w:rsid w:val="007D0C63"/>
    <w:rsid w:val="007E0BA1"/>
    <w:rsid w:val="007F1216"/>
    <w:rsid w:val="007F6779"/>
    <w:rsid w:val="00801CEA"/>
    <w:rsid w:val="00806F4C"/>
    <w:rsid w:val="00807748"/>
    <w:rsid w:val="00811A9F"/>
    <w:rsid w:val="008148A4"/>
    <w:rsid w:val="00816E73"/>
    <w:rsid w:val="008263E7"/>
    <w:rsid w:val="00826BC7"/>
    <w:rsid w:val="008453EF"/>
    <w:rsid w:val="00870B67"/>
    <w:rsid w:val="0087529B"/>
    <w:rsid w:val="00876F98"/>
    <w:rsid w:val="00884CA9"/>
    <w:rsid w:val="00890C86"/>
    <w:rsid w:val="00893980"/>
    <w:rsid w:val="00896ED4"/>
    <w:rsid w:val="008A242F"/>
    <w:rsid w:val="008A75EC"/>
    <w:rsid w:val="008B1988"/>
    <w:rsid w:val="008B608D"/>
    <w:rsid w:val="008C054F"/>
    <w:rsid w:val="008C1030"/>
    <w:rsid w:val="008C219A"/>
    <w:rsid w:val="008C2684"/>
    <w:rsid w:val="008C4988"/>
    <w:rsid w:val="008C61D7"/>
    <w:rsid w:val="008D5353"/>
    <w:rsid w:val="008D6495"/>
    <w:rsid w:val="00905707"/>
    <w:rsid w:val="00907575"/>
    <w:rsid w:val="00927C37"/>
    <w:rsid w:val="009302AC"/>
    <w:rsid w:val="00931AE8"/>
    <w:rsid w:val="00951AE3"/>
    <w:rsid w:val="00952E77"/>
    <w:rsid w:val="00967637"/>
    <w:rsid w:val="00990F64"/>
    <w:rsid w:val="009A5536"/>
    <w:rsid w:val="009A6325"/>
    <w:rsid w:val="009B4C72"/>
    <w:rsid w:val="009C1FA2"/>
    <w:rsid w:val="009C7453"/>
    <w:rsid w:val="009D53FD"/>
    <w:rsid w:val="009E476B"/>
    <w:rsid w:val="009F5032"/>
    <w:rsid w:val="009F630F"/>
    <w:rsid w:val="00A00556"/>
    <w:rsid w:val="00A03869"/>
    <w:rsid w:val="00A06A31"/>
    <w:rsid w:val="00A229C7"/>
    <w:rsid w:val="00A22D9D"/>
    <w:rsid w:val="00A2416B"/>
    <w:rsid w:val="00A5460C"/>
    <w:rsid w:val="00A61541"/>
    <w:rsid w:val="00A6158B"/>
    <w:rsid w:val="00A63310"/>
    <w:rsid w:val="00A661AA"/>
    <w:rsid w:val="00A72D46"/>
    <w:rsid w:val="00A96997"/>
    <w:rsid w:val="00AB1612"/>
    <w:rsid w:val="00AB243A"/>
    <w:rsid w:val="00AC6B31"/>
    <w:rsid w:val="00AC78A9"/>
    <w:rsid w:val="00AD1746"/>
    <w:rsid w:val="00AD1BB4"/>
    <w:rsid w:val="00AD7A36"/>
    <w:rsid w:val="00AE0301"/>
    <w:rsid w:val="00B1639B"/>
    <w:rsid w:val="00B23C48"/>
    <w:rsid w:val="00B3149E"/>
    <w:rsid w:val="00B33CFF"/>
    <w:rsid w:val="00B43AE6"/>
    <w:rsid w:val="00B47512"/>
    <w:rsid w:val="00B607A5"/>
    <w:rsid w:val="00B61477"/>
    <w:rsid w:val="00B77C39"/>
    <w:rsid w:val="00B818F3"/>
    <w:rsid w:val="00B94CF2"/>
    <w:rsid w:val="00B97958"/>
    <w:rsid w:val="00BA070E"/>
    <w:rsid w:val="00BB3ACB"/>
    <w:rsid w:val="00BB5279"/>
    <w:rsid w:val="00BC1F56"/>
    <w:rsid w:val="00BD17F2"/>
    <w:rsid w:val="00BD4974"/>
    <w:rsid w:val="00BD49B5"/>
    <w:rsid w:val="00BE3B5C"/>
    <w:rsid w:val="00BF4247"/>
    <w:rsid w:val="00BF753E"/>
    <w:rsid w:val="00BF788E"/>
    <w:rsid w:val="00C105EC"/>
    <w:rsid w:val="00C1272C"/>
    <w:rsid w:val="00C24F21"/>
    <w:rsid w:val="00C43C9A"/>
    <w:rsid w:val="00C47035"/>
    <w:rsid w:val="00C47D42"/>
    <w:rsid w:val="00C53D90"/>
    <w:rsid w:val="00C55C56"/>
    <w:rsid w:val="00C7008B"/>
    <w:rsid w:val="00C70E91"/>
    <w:rsid w:val="00C8668F"/>
    <w:rsid w:val="00C9128D"/>
    <w:rsid w:val="00CB715F"/>
    <w:rsid w:val="00CC27D8"/>
    <w:rsid w:val="00CE05BE"/>
    <w:rsid w:val="00CE1A19"/>
    <w:rsid w:val="00CE21C9"/>
    <w:rsid w:val="00CE7BBE"/>
    <w:rsid w:val="00CF585A"/>
    <w:rsid w:val="00D0239F"/>
    <w:rsid w:val="00D062F3"/>
    <w:rsid w:val="00D143D2"/>
    <w:rsid w:val="00D326BF"/>
    <w:rsid w:val="00D505EA"/>
    <w:rsid w:val="00D54AB9"/>
    <w:rsid w:val="00D658F6"/>
    <w:rsid w:val="00D75085"/>
    <w:rsid w:val="00D800BA"/>
    <w:rsid w:val="00D800FE"/>
    <w:rsid w:val="00D8622C"/>
    <w:rsid w:val="00D94DAB"/>
    <w:rsid w:val="00DA72D3"/>
    <w:rsid w:val="00DB0D92"/>
    <w:rsid w:val="00DB1D2E"/>
    <w:rsid w:val="00DC0F57"/>
    <w:rsid w:val="00E00750"/>
    <w:rsid w:val="00E017AA"/>
    <w:rsid w:val="00E02AEF"/>
    <w:rsid w:val="00E03706"/>
    <w:rsid w:val="00E1008D"/>
    <w:rsid w:val="00E13B26"/>
    <w:rsid w:val="00E2167F"/>
    <w:rsid w:val="00E47933"/>
    <w:rsid w:val="00E65C61"/>
    <w:rsid w:val="00E7200A"/>
    <w:rsid w:val="00E73609"/>
    <w:rsid w:val="00E749BA"/>
    <w:rsid w:val="00E75DD7"/>
    <w:rsid w:val="00E85A7F"/>
    <w:rsid w:val="00EA15B8"/>
    <w:rsid w:val="00EA2482"/>
    <w:rsid w:val="00EA58B4"/>
    <w:rsid w:val="00EA7478"/>
    <w:rsid w:val="00EB02B1"/>
    <w:rsid w:val="00EB258C"/>
    <w:rsid w:val="00EC09FE"/>
    <w:rsid w:val="00ED7FD5"/>
    <w:rsid w:val="00EE4315"/>
    <w:rsid w:val="00F00611"/>
    <w:rsid w:val="00F11773"/>
    <w:rsid w:val="00F2257C"/>
    <w:rsid w:val="00F33FBD"/>
    <w:rsid w:val="00F344EA"/>
    <w:rsid w:val="00F5065D"/>
    <w:rsid w:val="00F52593"/>
    <w:rsid w:val="00F600C5"/>
    <w:rsid w:val="00F670AB"/>
    <w:rsid w:val="00F85E49"/>
    <w:rsid w:val="00F95AFA"/>
    <w:rsid w:val="00FA31F3"/>
    <w:rsid w:val="00FA7522"/>
    <w:rsid w:val="00FA7E4F"/>
    <w:rsid w:val="00FC1B28"/>
    <w:rsid w:val="00FD033E"/>
    <w:rsid w:val="00FD6285"/>
    <w:rsid w:val="00FE6E75"/>
    <w:rsid w:val="00FF532E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A62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2C0CD5"/>
    <w:pPr>
      <w:keepNext/>
      <w:jc w:val="center"/>
      <w:outlineLvl w:val="0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0CD5"/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paragraph" w:styleId="Title">
    <w:name w:val="Title"/>
    <w:basedOn w:val="Normal"/>
    <w:link w:val="TitleChar"/>
    <w:qFormat/>
    <w:rsid w:val="002C0CD5"/>
    <w:pPr>
      <w:jc w:val="center"/>
    </w:pPr>
    <w:rPr>
      <w:b/>
      <w:sz w:val="24"/>
      <w:u w:val="single"/>
      <w:lang w:val="en-GB" w:eastAsia="en-US"/>
    </w:rPr>
  </w:style>
  <w:style w:type="character" w:customStyle="1" w:styleId="TitleChar">
    <w:name w:val="Title Char"/>
    <w:basedOn w:val="DefaultParagraphFont"/>
    <w:link w:val="Title"/>
    <w:rsid w:val="002C0CD5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BodyText3">
    <w:name w:val="Body Text 3"/>
    <w:basedOn w:val="Normal"/>
    <w:link w:val="BodyText3Char"/>
    <w:rsid w:val="002C0CD5"/>
    <w:rPr>
      <w:sz w:val="24"/>
      <w:u w:val="single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2C0CD5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BodyText">
    <w:name w:val="Body Text"/>
    <w:basedOn w:val="Normal"/>
    <w:link w:val="BodyTextChar"/>
    <w:rsid w:val="002C0CD5"/>
    <w:pPr>
      <w:jc w:val="center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2C0CD5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rsid w:val="002C0CD5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rsid w:val="002C0CD5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2C0CD5"/>
  </w:style>
  <w:style w:type="character" w:styleId="CommentReference">
    <w:name w:val="annotation reference"/>
    <w:basedOn w:val="DefaultParagraphFont"/>
    <w:semiHidden/>
    <w:rsid w:val="002C0C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C0CD5"/>
  </w:style>
  <w:style w:type="character" w:customStyle="1" w:styleId="CommentTextChar">
    <w:name w:val="Comment Text Char"/>
    <w:basedOn w:val="DefaultParagraphFont"/>
    <w:link w:val="CommentText"/>
    <w:semiHidden/>
    <w:rsid w:val="002C0CD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CD5"/>
    <w:rPr>
      <w:rFonts w:ascii="Tahoma" w:eastAsia="Times New Roman" w:hAnsi="Tahoma" w:cs="Tahoma"/>
      <w:sz w:val="16"/>
      <w:szCs w:val="16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03E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EBE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AE3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odyText2">
    <w:name w:val="Body Text 2"/>
    <w:basedOn w:val="Normal"/>
    <w:link w:val="BodyText2Char"/>
    <w:uiPriority w:val="99"/>
    <w:unhideWhenUsed/>
    <w:rsid w:val="002131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131A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5D7005"/>
    <w:pPr>
      <w:spacing w:before="240"/>
      <w:ind w:left="720"/>
      <w:contextualSpacing/>
    </w:pPr>
    <w:rPr>
      <w:sz w:val="24"/>
      <w:lang w:val="en-GB"/>
    </w:rPr>
  </w:style>
  <w:style w:type="character" w:customStyle="1" w:styleId="ListParagraphChar">
    <w:name w:val="List Paragraph Char"/>
    <w:link w:val="ListParagraph"/>
    <w:uiPriority w:val="34"/>
    <w:rsid w:val="005D7005"/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customStyle="1" w:styleId="MinSubbodytext">
    <w:name w:val="Min Sub body text"/>
    <w:uiPriority w:val="3"/>
    <w:rsid w:val="005D7005"/>
    <w:pPr>
      <w:tabs>
        <w:tab w:val="right" w:pos="9923"/>
      </w:tabs>
      <w:spacing w:after="0" w:line="240" w:lineRule="auto"/>
      <w:ind w:left="-142"/>
    </w:pPr>
    <w:rPr>
      <w:rFonts w:ascii="Times New Roman" w:eastAsia="Calibri" w:hAnsi="Times New Roman" w:cs="Times New Roman"/>
      <w:sz w:val="24"/>
      <w:szCs w:val="24"/>
      <w:lang w:eastAsia="en-AU"/>
    </w:rPr>
  </w:style>
  <w:style w:type="character" w:customStyle="1" w:styleId="Text-Normal">
    <w:name w:val="Text - Normal"/>
    <w:uiPriority w:val="1"/>
    <w:unhideWhenUsed/>
    <w:qFormat/>
    <w:locked/>
    <w:rsid w:val="003F072C"/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73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E155AE9E01E04F8A5064D457919DB5" ma:contentTypeVersion="0" ma:contentTypeDescription="Create a new document." ma:contentTypeScope="" ma:versionID="faed275332be113a7809a6e94cd910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65837-7E5C-4108-9A52-106661F040B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633BAAA-606A-4BAA-A808-39D9FBF67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AE57FA-D0F7-4FB0-887B-1548056DEA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2E2DFE-B19A-41E9-9B53-143BF37C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Explanatory Statement - IMR Standard Direction - January 2016.docx</dc:title>
  <dc:creator/>
  <cp:lastModifiedBy/>
  <cp:revision>1</cp:revision>
  <dcterms:created xsi:type="dcterms:W3CDTF">2016-01-04T03:21:00Z</dcterms:created>
  <dcterms:modified xsi:type="dcterms:W3CDTF">2016-01-04T03:58:00Z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0x010100EDE155AE9E01E04F8A5064D457919DB5</vt:lpwstr>
  </property>
  <property fmtid="{D5CDD505-2E9C-101B-9397-08002B2CF9AE}" pid="3" name="TrimRevisionNumber">
    <vt:i4>3</vt:i4>
  </property>
</Properties>
</file>