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  <w:tblCaption w:val="Cover page header for AASB amending Standard"/>
        <w:tblDescription w:val="Identification that the pronouncement is an AASB Standard, the Standard number, and the month of issue of the AASB amending Standard"/>
      </w:tblPr>
      <w:tblGrid>
        <w:gridCol w:w="3794"/>
        <w:gridCol w:w="2438"/>
      </w:tblGrid>
      <w:tr w:rsidR="00090A6F" w:rsidRPr="0000292B">
        <w:tc>
          <w:tcPr>
            <w:tcW w:w="3794" w:type="dxa"/>
          </w:tcPr>
          <w:p w:rsidR="00090A6F" w:rsidRPr="0000292B" w:rsidRDefault="00364B30">
            <w:pPr>
              <w:pStyle w:val="CoverStandard"/>
            </w:pPr>
            <w:bookmarkStart w:id="0" w:name="_GoBack"/>
            <w:bookmarkEnd w:id="0"/>
            <w:r>
              <w:t>AASB</w:t>
            </w:r>
            <w:r w:rsidR="00831497">
              <w:t xml:space="preserve"> Standard</w:t>
            </w:r>
          </w:p>
        </w:tc>
        <w:tc>
          <w:tcPr>
            <w:tcW w:w="2438" w:type="dxa"/>
          </w:tcPr>
          <w:p w:rsidR="00090A6F" w:rsidRPr="0000292B" w:rsidRDefault="00831497">
            <w:pPr>
              <w:pStyle w:val="CoverNumber"/>
            </w:pPr>
            <w:r>
              <w:t>AASB</w:t>
            </w:r>
            <w:r w:rsidR="00090A6F" w:rsidRPr="0000292B">
              <w:t xml:space="preserve"> </w:t>
            </w:r>
            <w:bookmarkStart w:id="1" w:name="DocNo"/>
            <w:r w:rsidR="00847409">
              <w:t>2015-10</w:t>
            </w:r>
            <w:bookmarkEnd w:id="1"/>
          </w:p>
          <w:p w:rsidR="00090A6F" w:rsidRPr="0000292B" w:rsidRDefault="008D56B9">
            <w:pPr>
              <w:pStyle w:val="CoverDate"/>
            </w:pPr>
            <w:bookmarkStart w:id="2" w:name="DocDate"/>
            <w:r>
              <w:t>December 2015</w:t>
            </w:r>
            <w:bookmarkEnd w:id="2"/>
          </w:p>
        </w:tc>
      </w:tr>
    </w:tbl>
    <w:p w:rsidR="00090A6F" w:rsidRPr="0000292B" w:rsidRDefault="00831497">
      <w:pPr>
        <w:pStyle w:val="CoverTitle"/>
      </w:pPr>
      <w:r>
        <w:t>Amendments to Australian Accounting Standards</w:t>
      </w:r>
      <w:bookmarkStart w:id="3" w:name="ArisingNo"/>
      <w:bookmarkEnd w:id="3"/>
      <w:r w:rsidR="000B2B50">
        <w:t xml:space="preserve"> – Effective Date of Amendments to AASB 10 and AASB 128</w:t>
      </w:r>
    </w:p>
    <w:p w:rsidR="00C5022C" w:rsidRPr="00C5022C" w:rsidRDefault="00C5022C" w:rsidP="00C5022C">
      <w:pPr>
        <w:pStyle w:val="CoverSubtitle"/>
      </w:pPr>
    </w:p>
    <w:p w:rsidR="00737714" w:rsidRPr="0000292B" w:rsidRDefault="00737714" w:rsidP="00737714"/>
    <w:p w:rsidR="00090A6F" w:rsidRPr="0000292B" w:rsidRDefault="008B643A">
      <w:pPr>
        <w:sectPr w:rsidR="00090A6F" w:rsidRPr="000029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3686" w:right="2835" w:bottom="3686" w:left="2835" w:header="720" w:footer="3255" w:gutter="0"/>
          <w:paperSrc w:first="58" w:other="58"/>
          <w:cols w:space="720"/>
        </w:sect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1" layoutInCell="1" allowOverlap="1" wp14:anchorId="5A603588" wp14:editId="37F2902D">
            <wp:simplePos x="0" y="0"/>
            <wp:positionH relativeFrom="page">
              <wp:posOffset>1764030</wp:posOffset>
            </wp:positionH>
            <wp:positionV relativeFrom="page">
              <wp:posOffset>7272655</wp:posOffset>
            </wp:positionV>
            <wp:extent cx="1676400" cy="1333500"/>
            <wp:effectExtent l="0" t="0" r="0" b="0"/>
            <wp:wrapNone/>
            <wp:docPr id="5" name="Picture 5" descr="Australian crest, with text naming the Australian Government and the Australian Accounting Standards Board" title="Logo of the Australian Accounting Standards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SB_stack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714" w:rsidRPr="0000292B" w:rsidRDefault="00737714" w:rsidP="00737714">
      <w:pPr>
        <w:pStyle w:val="Heading2"/>
      </w:pPr>
      <w:r w:rsidRPr="0000292B">
        <w:lastRenderedPageBreak/>
        <w:t xml:space="preserve">Obtaining a Copy of this </w:t>
      </w:r>
      <w:r w:rsidR="00C5022C">
        <w:t>Accounting Standard</w:t>
      </w:r>
    </w:p>
    <w:p w:rsidR="00737714" w:rsidRPr="0000292B" w:rsidRDefault="00737714" w:rsidP="00737714">
      <w:pPr>
        <w:pStyle w:val="CommentsPage"/>
      </w:pPr>
      <w:r w:rsidRPr="0000292B">
        <w:t xml:space="preserve">This </w:t>
      </w:r>
      <w:r w:rsidR="00C5022C">
        <w:t>Standard</w:t>
      </w:r>
      <w:r w:rsidRPr="0000292B">
        <w:t xml:space="preserve"> is available o</w:t>
      </w:r>
      <w:r w:rsidR="00923261">
        <w:t>n the AASB website: www.aasb.gov</w:t>
      </w:r>
      <w:r w:rsidRPr="0000292B">
        <w:t>.au.</w:t>
      </w:r>
    </w:p>
    <w:p w:rsidR="00737714" w:rsidRPr="0000292B" w:rsidRDefault="00737714" w:rsidP="00737714"/>
    <w:tbl>
      <w:tblPr>
        <w:tblW w:w="0" w:type="auto"/>
        <w:tblLook w:val="0000" w:firstRow="0" w:lastRow="0" w:firstColumn="0" w:lastColumn="0" w:noHBand="0" w:noVBand="0"/>
        <w:tblCaption w:val="AASB contact details"/>
        <w:tblDescription w:val="Street address, postal address and other contact details for the AASB"/>
      </w:tblPr>
      <w:tblGrid>
        <w:gridCol w:w="3856"/>
        <w:gridCol w:w="1928"/>
      </w:tblGrid>
      <w:tr w:rsidR="00737714" w:rsidRPr="0000292B" w:rsidTr="001C225F">
        <w:trPr>
          <w:cantSplit/>
        </w:trPr>
        <w:tc>
          <w:tcPr>
            <w:tcW w:w="3856" w:type="dxa"/>
          </w:tcPr>
          <w:p w:rsidR="00737714" w:rsidRPr="0000292B" w:rsidRDefault="00737714" w:rsidP="00E24399">
            <w:r w:rsidRPr="0000292B">
              <w:t>Australian Accounting Standards Board</w:t>
            </w:r>
          </w:p>
          <w:p w:rsidR="00737714" w:rsidRPr="0000292B" w:rsidRDefault="00F82A0E" w:rsidP="00E24399">
            <w:r>
              <w:t>PO Box 204</w:t>
            </w:r>
          </w:p>
          <w:p w:rsidR="00737714" w:rsidRPr="0000292B" w:rsidRDefault="00F82A0E" w:rsidP="00E24399">
            <w:r>
              <w:t>Collins Street West</w:t>
            </w:r>
          </w:p>
          <w:p w:rsidR="003E0A68" w:rsidRPr="0000292B" w:rsidRDefault="007455F0" w:rsidP="00E24399">
            <w:r>
              <w:t>Victoria</w:t>
            </w:r>
            <w:r w:rsidR="00F82A0E">
              <w:t xml:space="preserve">   8007</w:t>
            </w:r>
          </w:p>
          <w:p w:rsidR="00737714" w:rsidRDefault="00737714" w:rsidP="00E24399">
            <w:r w:rsidRPr="0000292B">
              <w:t>AUSTRALIA</w:t>
            </w:r>
          </w:p>
          <w:p w:rsidR="00C5022C" w:rsidRPr="0000292B" w:rsidRDefault="00C5022C" w:rsidP="00E24399"/>
        </w:tc>
        <w:tc>
          <w:tcPr>
            <w:tcW w:w="1928" w:type="dxa"/>
            <w:tcMar>
              <w:left w:w="108" w:type="dxa"/>
              <w:right w:w="108" w:type="dxa"/>
            </w:tcMar>
          </w:tcPr>
          <w:p w:rsidR="00C5022C" w:rsidRPr="0000292B" w:rsidRDefault="00C5022C" w:rsidP="00C5022C"/>
        </w:tc>
      </w:tr>
      <w:tr w:rsidR="00C5022C" w:rsidRPr="0000292B" w:rsidTr="001C225F">
        <w:trPr>
          <w:cantSplit/>
        </w:trPr>
        <w:tc>
          <w:tcPr>
            <w:tcW w:w="3856" w:type="dxa"/>
          </w:tcPr>
          <w:p w:rsidR="00C5022C" w:rsidRPr="00C5022C" w:rsidRDefault="00C5022C" w:rsidP="00C5022C">
            <w:pPr>
              <w:tabs>
                <w:tab w:val="left" w:pos="907"/>
              </w:tabs>
            </w:pPr>
            <w:r w:rsidRPr="00C5022C">
              <w:t>Phone:</w:t>
            </w:r>
            <w:r w:rsidRPr="00C5022C">
              <w:tab/>
              <w:t>(03) 9617 7637</w:t>
            </w:r>
          </w:p>
          <w:p w:rsidR="00C5022C" w:rsidRDefault="00923261" w:rsidP="00C5022C">
            <w:pPr>
              <w:tabs>
                <w:tab w:val="left" w:pos="907"/>
              </w:tabs>
            </w:pPr>
            <w:r>
              <w:t>E-mail:</w:t>
            </w:r>
            <w:r>
              <w:tab/>
              <w:t>publications@aasb.gov</w:t>
            </w:r>
            <w:r w:rsidR="00C5022C" w:rsidRPr="00C5022C">
              <w:t>.au</w:t>
            </w:r>
          </w:p>
          <w:p w:rsidR="00C5022C" w:rsidRPr="00C5022C" w:rsidRDefault="00923261" w:rsidP="00C5022C">
            <w:pPr>
              <w:tabs>
                <w:tab w:val="left" w:pos="907"/>
              </w:tabs>
            </w:pPr>
            <w:r>
              <w:t>Website:</w:t>
            </w:r>
            <w:r>
              <w:tab/>
              <w:t>www.aasb.gov</w:t>
            </w:r>
            <w:r w:rsidR="00C5022C">
              <w:t>.au</w:t>
            </w:r>
          </w:p>
          <w:p w:rsidR="00C5022C" w:rsidRPr="00C5022C" w:rsidRDefault="00C5022C" w:rsidP="00C5022C"/>
        </w:tc>
        <w:tc>
          <w:tcPr>
            <w:tcW w:w="1928" w:type="dxa"/>
            <w:tcMar>
              <w:left w:w="0" w:type="dxa"/>
              <w:right w:w="0" w:type="dxa"/>
            </w:tcMar>
          </w:tcPr>
          <w:p w:rsidR="00C5022C" w:rsidRPr="007455F0" w:rsidRDefault="00C5022C" w:rsidP="007455F0">
            <w:pPr>
              <w:tabs>
                <w:tab w:val="left" w:pos="802"/>
              </w:tabs>
              <w:ind w:left="77"/>
              <w:rPr>
                <w:b/>
              </w:rPr>
            </w:pPr>
          </w:p>
        </w:tc>
      </w:tr>
    </w:tbl>
    <w:p w:rsidR="00737714" w:rsidRPr="0000292B" w:rsidRDefault="00737714" w:rsidP="00737714"/>
    <w:p w:rsidR="00090A6F" w:rsidRPr="0000292B" w:rsidRDefault="00090A6F">
      <w:pPr>
        <w:pStyle w:val="Heading2"/>
      </w:pPr>
      <w:r w:rsidRPr="0000292B">
        <w:t xml:space="preserve">Other </w:t>
      </w:r>
      <w:r w:rsidR="003E0A68" w:rsidRPr="0000292B">
        <w:t>Enquiries</w:t>
      </w:r>
    </w:p>
    <w:p w:rsidR="00090A6F" w:rsidRPr="0000292B" w:rsidRDefault="00090A6F">
      <w:pPr>
        <w:pStyle w:val="CoverContact"/>
      </w:pPr>
      <w:r w:rsidRPr="0000292B">
        <w:t>Phone:</w:t>
      </w:r>
      <w:r w:rsidRPr="0000292B">
        <w:tab/>
        <w:t>(03) 9617 7600</w:t>
      </w:r>
    </w:p>
    <w:p w:rsidR="00090A6F" w:rsidRPr="0000292B" w:rsidRDefault="00923261">
      <w:pPr>
        <w:pStyle w:val="CoverContact"/>
      </w:pPr>
      <w:r>
        <w:t>E-mail:</w:t>
      </w:r>
      <w:r>
        <w:tab/>
        <w:t>standard@aasb.gov</w:t>
      </w:r>
      <w:r w:rsidR="00090A6F" w:rsidRPr="0000292B">
        <w:t>.au</w:t>
      </w:r>
    </w:p>
    <w:p w:rsidR="00841A9D" w:rsidRDefault="00841A9D" w:rsidP="006D4700">
      <w:pPr>
        <w:spacing w:before="600"/>
      </w:pPr>
      <w:bookmarkStart w:id="4" w:name="CopyrightText"/>
      <w:r>
        <w:t>COPYRIGHT</w:t>
      </w:r>
    </w:p>
    <w:p w:rsidR="00841A9D" w:rsidRDefault="00841A9D" w:rsidP="006D4700"/>
    <w:p w:rsidR="00841A9D" w:rsidRDefault="00847409" w:rsidP="006D4700">
      <w:r>
        <w:t xml:space="preserve">© Commonwealth of Australia </w:t>
      </w:r>
      <w:r w:rsidR="00051DC9">
        <w:t>2015</w:t>
      </w:r>
    </w:p>
    <w:p w:rsidR="00841A9D" w:rsidRDefault="00841A9D" w:rsidP="006D4700"/>
    <w:p w:rsidR="00841A9D" w:rsidRPr="00DE4E67" w:rsidRDefault="00841A9D">
      <w:pPr>
        <w:pStyle w:val="CoverLeadPara"/>
      </w:pPr>
      <w:r w:rsidRPr="00DE4E67">
        <w:t xml:space="preserve">This AASB </w:t>
      </w:r>
      <w:bookmarkStart w:id="5" w:name="IASBCopyright"/>
      <w:bookmarkEnd w:id="5"/>
      <w:r w:rsidRPr="00DE4E67">
        <w:t xml:space="preserve">Standard contains </w:t>
      </w:r>
      <w:r>
        <w:t>IFRS</w:t>
      </w:r>
      <w:r w:rsidRPr="00DE4E67">
        <w:t xml:space="preserve"> Foundation copyright material.  Reproduction within Australia in unaltered form (retaining this notice) is permitted for personal and non-commercial use subject to the inclusion of an acknowledgment of the source.  Requests and enquiries concerning reproduction and rights for commercial purposes within Australia should be addressed to The Director</w:t>
      </w:r>
      <w:r>
        <w:t xml:space="preserve"> of Finance and Administration</w:t>
      </w:r>
      <w:r w:rsidRPr="00DE4E67">
        <w:t>, Australian Accounting Standards Board, PO Box 204, Collins Street West, Victoria 8007.</w:t>
      </w:r>
    </w:p>
    <w:p w:rsidR="00841A9D" w:rsidRPr="00DE4E67" w:rsidRDefault="00841A9D">
      <w:r w:rsidRPr="00DE4E67">
        <w:t>All existing rights in this material are reserved outside Australia.</w:t>
      </w:r>
    </w:p>
    <w:p w:rsidR="00841A9D" w:rsidRPr="00DE4E67" w:rsidRDefault="00841A9D">
      <w:r w:rsidRPr="00DE4E67">
        <w:t xml:space="preserve">Reproduction outside Australia in unaltered form (retaining this notice) is permitted for personal and non-commercial use only.  Further information and requests for authorisation to reproduce for commercial purposes outside Australia should be addressed to the </w:t>
      </w:r>
      <w:r>
        <w:t>IFRS</w:t>
      </w:r>
      <w:r w:rsidRPr="00DE4E67">
        <w:t xml:space="preserve"> Foundation at www.</w:t>
      </w:r>
      <w:r>
        <w:t>ifrs</w:t>
      </w:r>
      <w:r w:rsidRPr="00DE4E67">
        <w:t>.org.</w:t>
      </w:r>
    </w:p>
    <w:bookmarkEnd w:id="4"/>
    <w:p w:rsidR="006D4700" w:rsidRDefault="006D4700" w:rsidP="006D4700"/>
    <w:p w:rsidR="007455F0" w:rsidRPr="0000292B" w:rsidRDefault="006D4700" w:rsidP="006D4700">
      <w:r>
        <w:t xml:space="preserve">ISSN </w:t>
      </w:r>
      <w:bookmarkStart w:id="6" w:name="ISSN"/>
      <w:r w:rsidR="008D56B9">
        <w:t>1036-4803</w:t>
      </w:r>
      <w:bookmarkEnd w:id="6"/>
    </w:p>
    <w:p w:rsidR="00090A6F" w:rsidRPr="0000292B" w:rsidRDefault="00090A6F">
      <w:pPr>
        <w:sectPr w:rsidR="00090A6F" w:rsidRPr="0000292B">
          <w:footerReference w:type="default" r:id="rId16"/>
          <w:pgSz w:w="11907" w:h="16840"/>
          <w:pgMar w:top="3686" w:right="2837" w:bottom="3686" w:left="2837" w:header="706" w:footer="3254" w:gutter="0"/>
          <w:paperSrc w:first="58" w:other="58"/>
          <w:cols w:space="720"/>
        </w:sectPr>
      </w:pPr>
    </w:p>
    <w:p w:rsidR="00090A6F" w:rsidRPr="0000292B" w:rsidRDefault="00090A6F">
      <w:pPr>
        <w:pStyle w:val="Heading1"/>
      </w:pPr>
      <w:r w:rsidRPr="0000292B">
        <w:lastRenderedPageBreak/>
        <w:t>CONTENTS</w:t>
      </w:r>
    </w:p>
    <w:p w:rsidR="00090A6F" w:rsidRPr="0000292B" w:rsidRDefault="00090A6F">
      <w:pPr>
        <w:pStyle w:val="ContentsCapsPlain"/>
      </w:pPr>
      <w:r w:rsidRPr="0000292B">
        <w:t>Preface</w:t>
      </w:r>
    </w:p>
    <w:p w:rsidR="00090A6F" w:rsidRPr="0000292B" w:rsidRDefault="00090A6F">
      <w:pPr>
        <w:pStyle w:val="ContentsCapsBold"/>
      </w:pPr>
      <w:r w:rsidRPr="0000292B">
        <w:t>Accounting Standard</w:t>
      </w:r>
    </w:p>
    <w:p w:rsidR="00756804" w:rsidRDefault="00090A6F" w:rsidP="00756804">
      <w:pPr>
        <w:pStyle w:val="ContentsCapsBold"/>
        <w:rPr>
          <w:i/>
          <w:iCs/>
        </w:rPr>
      </w:pPr>
      <w:r w:rsidRPr="0000292B">
        <w:t xml:space="preserve">AASB </w:t>
      </w:r>
      <w:r w:rsidR="009C2479" w:rsidRPr="00BC0D5D">
        <w:rPr>
          <w:iCs/>
        </w:rPr>
        <w:fldChar w:fldCharType="begin" w:fldLock="1"/>
      </w:r>
      <w:r w:rsidR="009C2479" w:rsidRPr="00BC0D5D">
        <w:rPr>
          <w:iCs/>
        </w:rPr>
        <w:instrText xml:space="preserve"> REF </w:instrText>
      </w:r>
      <w:r w:rsidR="009C2479">
        <w:rPr>
          <w:iCs/>
        </w:rPr>
        <w:instrText>Doc</w:instrText>
      </w:r>
      <w:r w:rsidR="009C2479" w:rsidRPr="00BC0D5D">
        <w:rPr>
          <w:iCs/>
        </w:rPr>
        <w:instrText xml:space="preserve">No \* charformat </w:instrText>
      </w:r>
      <w:r w:rsidR="009C2479" w:rsidRPr="00BC0D5D">
        <w:rPr>
          <w:iCs/>
        </w:rPr>
        <w:fldChar w:fldCharType="separate"/>
      </w:r>
      <w:r w:rsidR="00847409" w:rsidRPr="00847409">
        <w:rPr>
          <w:iCs/>
        </w:rPr>
        <w:t>2015-10</w:t>
      </w:r>
      <w:r w:rsidR="009C2479" w:rsidRPr="00BC0D5D">
        <w:rPr>
          <w:iCs/>
        </w:rPr>
        <w:fldChar w:fldCharType="end"/>
      </w:r>
      <w:r w:rsidRPr="0000292B">
        <w:t xml:space="preserve"> </w:t>
      </w:r>
      <w:r w:rsidR="009C2479" w:rsidRPr="009C2479">
        <w:rPr>
          <w:i/>
        </w:rPr>
        <w:t xml:space="preserve">AmenDMENTS TO aUSTRALIAN aCCOUNTING sTANDARDS </w:t>
      </w:r>
      <w:r w:rsidR="00756804" w:rsidRPr="00487351">
        <w:rPr>
          <w:i/>
        </w:rPr>
        <w:t xml:space="preserve">– </w:t>
      </w:r>
      <w:r w:rsidR="00756804">
        <w:rPr>
          <w:i/>
        </w:rPr>
        <w:t>EFFECTIVE DATE</w:t>
      </w:r>
      <w:r w:rsidR="00756804" w:rsidRPr="00487351">
        <w:rPr>
          <w:i/>
        </w:rPr>
        <w:t xml:space="preserve"> of </w:t>
      </w:r>
      <w:r w:rsidR="00756804">
        <w:rPr>
          <w:i/>
        </w:rPr>
        <w:t xml:space="preserve">Amendments to </w:t>
      </w:r>
      <w:r w:rsidR="00756804" w:rsidRPr="00487351">
        <w:rPr>
          <w:i/>
        </w:rPr>
        <w:t xml:space="preserve">AASB </w:t>
      </w:r>
      <w:r w:rsidR="00756804">
        <w:rPr>
          <w:i/>
        </w:rPr>
        <w:t>10 and AASB 128</w:t>
      </w:r>
      <w:r w:rsidR="00756804" w:rsidRPr="009C2479">
        <w:rPr>
          <w:i/>
          <w:iCs/>
        </w:rPr>
        <w:fldChar w:fldCharType="begin" w:fldLock="1"/>
      </w:r>
      <w:r w:rsidR="00756804" w:rsidRPr="009C2479">
        <w:rPr>
          <w:i/>
          <w:iCs/>
        </w:rPr>
        <w:instrText xml:space="preserve"> REF aRISINGNo \* charformat</w:instrText>
      </w:r>
      <w:r w:rsidR="00756804">
        <w:rPr>
          <w:i/>
          <w:iCs/>
        </w:rPr>
        <w:instrText xml:space="preserve"> </w:instrText>
      </w:r>
      <w:r w:rsidR="00756804" w:rsidRPr="009C2479">
        <w:rPr>
          <w:i/>
          <w:iCs/>
        </w:rPr>
        <w:fldChar w:fldCharType="end"/>
      </w:r>
    </w:p>
    <w:p w:rsidR="002B7803" w:rsidRPr="002B7803" w:rsidRDefault="002B7803" w:rsidP="002B7803"/>
    <w:p w:rsidR="00090A6F" w:rsidRPr="0000292B" w:rsidRDefault="00090A6F">
      <w:pPr>
        <w:pStyle w:val="ContentsParaHead"/>
      </w:pPr>
      <w:r w:rsidRPr="0000292B">
        <w:t>Paragraphs</w:t>
      </w:r>
    </w:p>
    <w:p w:rsidR="004664C1" w:rsidRDefault="004664C1" w:rsidP="004664C1">
      <w:pPr>
        <w:pStyle w:val="ContentsLevel1"/>
      </w:pPr>
      <w:bookmarkStart w:id="7" w:name="ContentsMarker"/>
      <w:bookmarkStart w:id="8" w:name="TOCRange"/>
      <w:bookmarkEnd w:id="7"/>
      <w:r>
        <w:t>Objective</w:t>
      </w:r>
      <w:r>
        <w:tab/>
        <w:t>1</w:t>
      </w:r>
    </w:p>
    <w:p w:rsidR="004664C1" w:rsidRDefault="004664C1" w:rsidP="004664C1">
      <w:pPr>
        <w:pStyle w:val="ContentsLevel1"/>
      </w:pPr>
      <w:r>
        <w:t>Application</w:t>
      </w:r>
      <w:r>
        <w:tab/>
        <w:t xml:space="preserve">2 – </w:t>
      </w:r>
      <w:r w:rsidR="00F021EF">
        <w:t>5</w:t>
      </w:r>
    </w:p>
    <w:p w:rsidR="00F021EF" w:rsidRDefault="00F021EF" w:rsidP="004664C1">
      <w:pPr>
        <w:pStyle w:val="ContentsLevel1"/>
      </w:pPr>
      <w:r>
        <w:t>Reversal of Amendments</w:t>
      </w:r>
      <w:r w:rsidR="0056003C">
        <w:t xml:space="preserve"> (August 2011 Versions)</w:t>
      </w:r>
      <w:r>
        <w:tab/>
      </w:r>
      <w:r w:rsidR="0056003C">
        <w:t>6 – 7</w:t>
      </w:r>
    </w:p>
    <w:p w:rsidR="00F021EF" w:rsidRDefault="00F021EF" w:rsidP="004664C1">
      <w:pPr>
        <w:pStyle w:val="ContentsLevel1"/>
      </w:pPr>
      <w:r>
        <w:t>Amendments to AASB 10 (July 2015)</w:t>
      </w:r>
      <w:r>
        <w:tab/>
      </w:r>
      <w:r w:rsidR="0056003C">
        <w:t>8 – 10</w:t>
      </w:r>
    </w:p>
    <w:p w:rsidR="004664C1" w:rsidRDefault="00390019" w:rsidP="004664C1">
      <w:pPr>
        <w:pStyle w:val="ContentsLevel1"/>
      </w:pPr>
      <w:r>
        <w:t>Amendment</w:t>
      </w:r>
      <w:r w:rsidR="004664C1">
        <w:t xml:space="preserve"> to AASB 128</w:t>
      </w:r>
      <w:r w:rsidR="00F021EF">
        <w:t xml:space="preserve"> (August 2015)</w:t>
      </w:r>
      <w:r w:rsidR="004664C1">
        <w:tab/>
      </w:r>
      <w:r w:rsidR="0056003C">
        <w:t>11 – 12</w:t>
      </w:r>
    </w:p>
    <w:p w:rsidR="004664C1" w:rsidRDefault="004664C1" w:rsidP="004664C1">
      <w:pPr>
        <w:pStyle w:val="ContentsLevel1"/>
      </w:pPr>
      <w:r>
        <w:t>Commencement of the Legislative Instrument</w:t>
      </w:r>
      <w:r>
        <w:tab/>
        <w:t>1</w:t>
      </w:r>
      <w:r w:rsidR="002E7154">
        <w:t>3</w:t>
      </w:r>
    </w:p>
    <w:bookmarkEnd w:id="8"/>
    <w:p w:rsidR="000A2362" w:rsidRDefault="000A2362" w:rsidP="000A2362"/>
    <w:p w:rsidR="000A2362" w:rsidRDefault="000A2362" w:rsidP="000A2362"/>
    <w:p w:rsidR="00090A6F" w:rsidRPr="0000292B" w:rsidRDefault="00090A6F" w:rsidP="00087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0292B">
        <w:t xml:space="preserve">Australian Accounting Standard AASB </w:t>
      </w:r>
      <w:r w:rsidR="00BC0D5D" w:rsidRPr="00BC0D5D">
        <w:rPr>
          <w:iCs/>
        </w:rPr>
        <w:fldChar w:fldCharType="begin" w:fldLock="1"/>
      </w:r>
      <w:r w:rsidR="00BC0D5D" w:rsidRPr="00BC0D5D">
        <w:rPr>
          <w:iCs/>
        </w:rPr>
        <w:instrText xml:space="preserve"> REF </w:instrText>
      </w:r>
      <w:r w:rsidR="009C2479">
        <w:rPr>
          <w:iCs/>
        </w:rPr>
        <w:instrText>Doc</w:instrText>
      </w:r>
      <w:r w:rsidR="00BC0D5D" w:rsidRPr="00BC0D5D">
        <w:rPr>
          <w:iCs/>
        </w:rPr>
        <w:instrText xml:space="preserve">No \* charformat </w:instrText>
      </w:r>
      <w:r w:rsidR="00BC0D5D" w:rsidRPr="00BC0D5D">
        <w:rPr>
          <w:iCs/>
        </w:rPr>
        <w:fldChar w:fldCharType="separate"/>
      </w:r>
      <w:r w:rsidR="00847409" w:rsidRPr="00847409">
        <w:rPr>
          <w:iCs/>
        </w:rPr>
        <w:t>2015-10</w:t>
      </w:r>
      <w:r w:rsidR="00BC0D5D" w:rsidRPr="00BC0D5D">
        <w:rPr>
          <w:iCs/>
        </w:rPr>
        <w:fldChar w:fldCharType="end"/>
      </w:r>
      <w:r w:rsidRPr="0000292B">
        <w:t xml:space="preserve"> </w:t>
      </w:r>
      <w:r w:rsidR="009C2479" w:rsidRPr="009C2479">
        <w:rPr>
          <w:i/>
        </w:rPr>
        <w:t xml:space="preserve">Amendments to Australian Accounting Standards </w:t>
      </w:r>
      <w:r w:rsidR="00756804">
        <w:rPr>
          <w:i/>
        </w:rPr>
        <w:t xml:space="preserve">– Effective Date </w:t>
      </w:r>
      <w:r w:rsidR="00756804" w:rsidRPr="00487351">
        <w:rPr>
          <w:i/>
        </w:rPr>
        <w:t xml:space="preserve">of </w:t>
      </w:r>
      <w:r w:rsidR="00756804">
        <w:rPr>
          <w:i/>
        </w:rPr>
        <w:t xml:space="preserve">Amendments to AASB 10 and </w:t>
      </w:r>
      <w:r w:rsidR="00756804" w:rsidRPr="00487351">
        <w:rPr>
          <w:i/>
        </w:rPr>
        <w:t>AASB</w:t>
      </w:r>
      <w:r w:rsidR="00B92848">
        <w:rPr>
          <w:i/>
        </w:rPr>
        <w:t> </w:t>
      </w:r>
      <w:r w:rsidR="00756804" w:rsidRPr="00487351">
        <w:rPr>
          <w:i/>
        </w:rPr>
        <w:t>1</w:t>
      </w:r>
      <w:r w:rsidR="00756804">
        <w:rPr>
          <w:i/>
        </w:rPr>
        <w:t xml:space="preserve">28 </w:t>
      </w:r>
      <w:r w:rsidRPr="0000292B">
        <w:t xml:space="preserve">is set out in paragraphs </w:t>
      </w:r>
      <w:r w:rsidR="003F0206">
        <w:t>1 – 1</w:t>
      </w:r>
      <w:r w:rsidR="0056003C">
        <w:t>3</w:t>
      </w:r>
      <w:r w:rsidRPr="0000292B">
        <w:t>.</w:t>
      </w:r>
      <w:r w:rsidR="00532A1A">
        <w:t xml:space="preserve"> </w:t>
      </w:r>
      <w:r w:rsidRPr="0000292B">
        <w:t xml:space="preserve"> All the pa</w:t>
      </w:r>
      <w:r w:rsidR="009C2479">
        <w:t>ragraphs have equal authority.</w:t>
      </w:r>
    </w:p>
    <w:p w:rsidR="00090A6F" w:rsidRPr="0000292B" w:rsidRDefault="00090A6F">
      <w:pPr>
        <w:pStyle w:val="Content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90A6F" w:rsidRPr="0000292B" w:rsidRDefault="00090A6F">
      <w:pPr>
        <w:sectPr w:rsidR="00090A6F" w:rsidRPr="0000292B">
          <w:footerReference w:type="default" r:id="rId17"/>
          <w:pgSz w:w="11907" w:h="16840"/>
          <w:pgMar w:top="3686" w:right="2837" w:bottom="3686" w:left="2837" w:header="706" w:footer="3254" w:gutter="0"/>
          <w:paperSrc w:first="58" w:other="58"/>
          <w:cols w:space="720"/>
        </w:sectPr>
      </w:pPr>
    </w:p>
    <w:p w:rsidR="00090A6F" w:rsidRPr="0000292B" w:rsidRDefault="00090A6F">
      <w:pPr>
        <w:pStyle w:val="Heading1"/>
      </w:pPr>
      <w:r w:rsidRPr="0000292B">
        <w:lastRenderedPageBreak/>
        <w:t>Preface</w:t>
      </w:r>
    </w:p>
    <w:p w:rsidR="000F64CC" w:rsidRPr="0000292B" w:rsidRDefault="003F0206">
      <w:pPr>
        <w:pStyle w:val="Heading2"/>
      </w:pPr>
      <w:r>
        <w:t>Standards Amended by AASB 2015-</w:t>
      </w:r>
      <w:r w:rsidR="00847409">
        <w:t>10</w:t>
      </w:r>
    </w:p>
    <w:p w:rsidR="00074133" w:rsidRDefault="009C2479" w:rsidP="005A2514">
      <w:pPr>
        <w:pStyle w:val="NoNumPlain1"/>
      </w:pPr>
      <w:r>
        <w:t xml:space="preserve">This Standard makes amendments to </w:t>
      </w:r>
      <w:r w:rsidR="00051DC9">
        <w:t xml:space="preserve">AASB 10 </w:t>
      </w:r>
      <w:r w:rsidR="00051DC9" w:rsidRPr="008D56B9">
        <w:rPr>
          <w:i/>
        </w:rPr>
        <w:t>Consolidated Financial Statements</w:t>
      </w:r>
      <w:r w:rsidR="00051DC9">
        <w:t xml:space="preserve"> and AASB 128 </w:t>
      </w:r>
      <w:r w:rsidR="00051DC9" w:rsidRPr="008D56B9">
        <w:rPr>
          <w:i/>
        </w:rPr>
        <w:t>Investments in Associates and Joint Ventures</w:t>
      </w:r>
      <w:r w:rsidR="005A2514">
        <w:t>.</w:t>
      </w:r>
      <w:r w:rsidR="005A2514" w:rsidRPr="005A2514">
        <w:t xml:space="preserve"> </w:t>
      </w:r>
    </w:p>
    <w:p w:rsidR="00401ECA" w:rsidRPr="00756804" w:rsidRDefault="00401ECA" w:rsidP="00401ECA">
      <w:pPr>
        <w:pStyle w:val="NoNumPlain1"/>
      </w:pPr>
      <w:r>
        <w:t xml:space="preserve">These </w:t>
      </w:r>
      <w:r w:rsidR="00460FBB">
        <w:t>a</w:t>
      </w:r>
      <w:r>
        <w:t>mendments arise from</w:t>
      </w:r>
      <w:r w:rsidR="00D00FD5">
        <w:t xml:space="preserve"> the issuance of </w:t>
      </w:r>
      <w:r w:rsidR="00756804">
        <w:t>International Financial Reporting Standard</w:t>
      </w:r>
      <w:r w:rsidR="00D00FD5" w:rsidRPr="0000292B">
        <w:fldChar w:fldCharType="begin" w:fldLock="1"/>
      </w:r>
      <w:r w:rsidR="00D00FD5" w:rsidRPr="0000292B">
        <w:instrText xml:space="preserve"> REF </w:instrText>
      </w:r>
      <w:r w:rsidR="00D00FD5">
        <w:instrText>ArisingNo</w:instrText>
      </w:r>
      <w:r w:rsidR="00D00FD5" w:rsidRPr="0000292B">
        <w:instrText xml:space="preserve">  \* charformat </w:instrText>
      </w:r>
      <w:r w:rsidR="00D00FD5" w:rsidRPr="0000292B">
        <w:fldChar w:fldCharType="end"/>
      </w:r>
      <w:r w:rsidR="00D00FD5">
        <w:t xml:space="preserve"> </w:t>
      </w:r>
      <w:r w:rsidR="00D00FD5" w:rsidRPr="00D00FD5">
        <w:rPr>
          <w:i/>
        </w:rPr>
        <w:fldChar w:fldCharType="begin" w:fldLock="1"/>
      </w:r>
      <w:r w:rsidR="00D00FD5" w:rsidRPr="00D00FD5">
        <w:rPr>
          <w:i/>
        </w:rPr>
        <w:instrText xml:space="preserve"> REF ArisingTitle  \* charformat </w:instrText>
      </w:r>
      <w:r w:rsidR="00D00FD5" w:rsidRPr="00D00FD5">
        <w:rPr>
          <w:i/>
        </w:rPr>
        <w:fldChar w:fldCharType="separate"/>
      </w:r>
      <w:r w:rsidR="00847409" w:rsidRPr="008D56B9">
        <w:rPr>
          <w:i/>
        </w:rPr>
        <w:t>Effective Date of Amendments to IFRS 10 and IAS 28</w:t>
      </w:r>
      <w:r w:rsidR="00D00FD5" w:rsidRPr="00D00FD5">
        <w:rPr>
          <w:i/>
        </w:rPr>
        <w:fldChar w:fldCharType="end"/>
      </w:r>
      <w:r w:rsidR="00756804">
        <w:rPr>
          <w:i/>
        </w:rPr>
        <w:t xml:space="preserve"> </w:t>
      </w:r>
      <w:r w:rsidR="00C07A91">
        <w:t xml:space="preserve">by the International Accounting Standards Board (IASB) </w:t>
      </w:r>
      <w:r w:rsidR="00756804">
        <w:t>in December 2015.</w:t>
      </w:r>
    </w:p>
    <w:p w:rsidR="00090A6F" w:rsidRPr="003F0206" w:rsidRDefault="003F0206" w:rsidP="003F0206">
      <w:pPr>
        <w:pStyle w:val="Heading2"/>
      </w:pPr>
      <w:r w:rsidRPr="003F0206">
        <w:t>Main Features of this Standard</w:t>
      </w:r>
    </w:p>
    <w:p w:rsidR="003F0206" w:rsidRPr="003F0206" w:rsidRDefault="003F0206" w:rsidP="003F0206">
      <w:pPr>
        <w:pStyle w:val="Heading3"/>
      </w:pPr>
      <w:r w:rsidRPr="003F0206">
        <w:t>Main Requirements</w:t>
      </w:r>
    </w:p>
    <w:p w:rsidR="003F0206" w:rsidRDefault="003F0206" w:rsidP="003F0206">
      <w:pPr>
        <w:pStyle w:val="NoNumPlain1"/>
      </w:pPr>
      <w:r>
        <w:t xml:space="preserve">This Standard </w:t>
      </w:r>
      <w:r w:rsidR="00051DC9">
        <w:t xml:space="preserve">defers </w:t>
      </w:r>
      <w:r>
        <w:t xml:space="preserve">the mandatory effective date (application date) of </w:t>
      </w:r>
      <w:r w:rsidR="000A2362">
        <w:t xml:space="preserve">amendments to </w:t>
      </w:r>
      <w:r>
        <w:t>AASB 1</w:t>
      </w:r>
      <w:r w:rsidR="000A2362">
        <w:t>0</w:t>
      </w:r>
      <w:r>
        <w:t xml:space="preserve"> </w:t>
      </w:r>
      <w:r w:rsidR="000A2362">
        <w:t xml:space="preserve">and AASB 128 </w:t>
      </w:r>
      <w:r w:rsidR="0044506F">
        <w:t>that were originally made in</w:t>
      </w:r>
      <w:r w:rsidR="007A4C19">
        <w:t xml:space="preserve"> AASB </w:t>
      </w:r>
      <w:r w:rsidR="00051DC9">
        <w:t xml:space="preserve">2014-10 </w:t>
      </w:r>
      <w:r w:rsidR="00051DC9" w:rsidRPr="00CE29AB">
        <w:rPr>
          <w:i/>
        </w:rPr>
        <w:t>Amendments to Australian Accounting Standards – Sale or Contribution of Assets between an Investor and its Associate or Joint Venture</w:t>
      </w:r>
      <w:r w:rsidR="00051DC9">
        <w:t xml:space="preserve"> </w:t>
      </w:r>
      <w:r>
        <w:t xml:space="preserve">so that </w:t>
      </w:r>
      <w:r w:rsidR="000A2362">
        <w:t>the amendments</w:t>
      </w:r>
      <w:r>
        <w:t xml:space="preserve"> </w:t>
      </w:r>
      <w:r w:rsidR="000A2362">
        <w:t>are</w:t>
      </w:r>
      <w:r>
        <w:t xml:space="preserve"> required to be applied for annual reporting periods beginning on or after 1 January 2018 instead of 1 January 201</w:t>
      </w:r>
      <w:r w:rsidR="000A2362">
        <w:t>6</w:t>
      </w:r>
      <w:r>
        <w:t>.</w:t>
      </w:r>
    </w:p>
    <w:p w:rsidR="003F0206" w:rsidRPr="003F0206" w:rsidRDefault="003F0206" w:rsidP="003F0206">
      <w:pPr>
        <w:pStyle w:val="Heading3"/>
      </w:pPr>
      <w:r w:rsidRPr="003F0206">
        <w:t>Application date</w:t>
      </w:r>
    </w:p>
    <w:p w:rsidR="003F0206" w:rsidRPr="00E60CA8" w:rsidRDefault="003F0206" w:rsidP="003F0206">
      <w:pPr>
        <w:pStyle w:val="NoNumPlain1"/>
      </w:pPr>
      <w:r>
        <w:t>This Standard applies to annual reporting periods beginning on or after 1 January 201</w:t>
      </w:r>
      <w:r w:rsidR="00777C2C">
        <w:t>6</w:t>
      </w:r>
      <w:r>
        <w:t xml:space="preserve">.  Early application is </w:t>
      </w:r>
      <w:r w:rsidR="000A2362">
        <w:t>permitted</w:t>
      </w:r>
      <w:r>
        <w:t>.</w:t>
      </w:r>
    </w:p>
    <w:p w:rsidR="003F0206" w:rsidRDefault="003F0206"/>
    <w:p w:rsidR="003F0206" w:rsidRPr="0000292B" w:rsidRDefault="003F0206">
      <w:pPr>
        <w:sectPr w:rsidR="003F0206" w:rsidRPr="0000292B">
          <w:footerReference w:type="default" r:id="rId18"/>
          <w:pgSz w:w="11907" w:h="16840"/>
          <w:pgMar w:top="3686" w:right="2837" w:bottom="3686" w:left="2837" w:header="706" w:footer="3254" w:gutter="0"/>
          <w:paperSrc w:first="58" w:other="58"/>
          <w:cols w:space="720"/>
        </w:sectPr>
      </w:pPr>
    </w:p>
    <w:p w:rsidR="001662B8" w:rsidRPr="0000292B" w:rsidRDefault="001662B8" w:rsidP="001662B8">
      <w:pPr>
        <w:pStyle w:val="Heading1"/>
      </w:pPr>
      <w:r w:rsidRPr="0000292B">
        <w:lastRenderedPageBreak/>
        <w:t xml:space="preserve">aCCOUNTING STANDARD AASB </w:t>
      </w:r>
      <w:r w:rsidRPr="00BC0D5D">
        <w:rPr>
          <w:iCs/>
        </w:rPr>
        <w:fldChar w:fldCharType="begin" w:fldLock="1"/>
      </w:r>
      <w:r w:rsidRPr="00BC0D5D">
        <w:rPr>
          <w:iCs/>
        </w:rPr>
        <w:instrText xml:space="preserve"> REF </w:instrText>
      </w:r>
      <w:r>
        <w:rPr>
          <w:iCs/>
        </w:rPr>
        <w:instrText>Doc</w:instrText>
      </w:r>
      <w:r w:rsidRPr="00BC0D5D">
        <w:rPr>
          <w:iCs/>
        </w:rPr>
        <w:instrText xml:space="preserve">No \* charformat </w:instrText>
      </w:r>
      <w:r w:rsidRPr="00BC0D5D">
        <w:rPr>
          <w:iCs/>
        </w:rPr>
        <w:fldChar w:fldCharType="separate"/>
      </w:r>
      <w:r w:rsidR="00847409" w:rsidRPr="00847409">
        <w:rPr>
          <w:iCs/>
        </w:rPr>
        <w:t>2015-10</w:t>
      </w:r>
      <w:r w:rsidRPr="00BC0D5D">
        <w:rPr>
          <w:iCs/>
        </w:rPr>
        <w:fldChar w:fldCharType="end"/>
      </w:r>
    </w:p>
    <w:p w:rsidR="001662B8" w:rsidRDefault="001662B8" w:rsidP="001662B8">
      <w:r>
        <w:t xml:space="preserve">The Australian Accounting Standards Board makes Accounting Standard </w:t>
      </w:r>
      <w:r w:rsidR="004B6165" w:rsidRPr="0000292B">
        <w:t xml:space="preserve">AASB </w:t>
      </w:r>
      <w:r w:rsidR="004B6165" w:rsidRPr="00BC0D5D">
        <w:rPr>
          <w:iCs/>
        </w:rPr>
        <w:fldChar w:fldCharType="begin" w:fldLock="1"/>
      </w:r>
      <w:r w:rsidR="004B6165" w:rsidRPr="00BC0D5D">
        <w:rPr>
          <w:iCs/>
        </w:rPr>
        <w:instrText xml:space="preserve"> REF </w:instrText>
      </w:r>
      <w:r w:rsidR="004B6165">
        <w:rPr>
          <w:iCs/>
        </w:rPr>
        <w:instrText>Doc</w:instrText>
      </w:r>
      <w:r w:rsidR="004B6165" w:rsidRPr="00BC0D5D">
        <w:rPr>
          <w:iCs/>
        </w:rPr>
        <w:instrText xml:space="preserve">No \* charformat </w:instrText>
      </w:r>
      <w:r w:rsidR="004B6165" w:rsidRPr="00BC0D5D">
        <w:rPr>
          <w:iCs/>
        </w:rPr>
        <w:fldChar w:fldCharType="separate"/>
      </w:r>
      <w:r w:rsidR="00847409" w:rsidRPr="00847409">
        <w:rPr>
          <w:iCs/>
        </w:rPr>
        <w:t>2015-10</w:t>
      </w:r>
      <w:r w:rsidR="004B6165" w:rsidRPr="00BC0D5D">
        <w:rPr>
          <w:iCs/>
        </w:rPr>
        <w:fldChar w:fldCharType="end"/>
      </w:r>
      <w:r w:rsidR="004B6165" w:rsidRPr="0000292B">
        <w:t xml:space="preserve"> </w:t>
      </w:r>
      <w:r w:rsidR="004B6165" w:rsidRPr="009C2479">
        <w:rPr>
          <w:i/>
        </w:rPr>
        <w:t xml:space="preserve">Amendments to Australian Accounting Standards </w:t>
      </w:r>
      <w:r w:rsidR="004B6165">
        <w:rPr>
          <w:i/>
        </w:rPr>
        <w:t xml:space="preserve">– Effective Date </w:t>
      </w:r>
      <w:r w:rsidR="004B6165" w:rsidRPr="00487351">
        <w:rPr>
          <w:i/>
        </w:rPr>
        <w:t xml:space="preserve">of </w:t>
      </w:r>
      <w:r w:rsidR="004B6165">
        <w:rPr>
          <w:i/>
        </w:rPr>
        <w:t xml:space="preserve">Amendments to AASB 10 and </w:t>
      </w:r>
      <w:r w:rsidR="004B6165" w:rsidRPr="00487351">
        <w:rPr>
          <w:i/>
        </w:rPr>
        <w:t>AASB 1</w:t>
      </w:r>
      <w:r w:rsidR="004B6165">
        <w:rPr>
          <w:i/>
        </w:rPr>
        <w:t>28</w:t>
      </w:r>
      <w:r w:rsidRPr="001662B8">
        <w:rPr>
          <w:i/>
          <w:iCs/>
        </w:rPr>
        <w:fldChar w:fldCharType="begin" w:fldLock="1"/>
      </w:r>
      <w:r w:rsidRPr="001662B8">
        <w:rPr>
          <w:i/>
          <w:iCs/>
        </w:rPr>
        <w:instrText xml:space="preserve"> REF ArisingNo  \* charformat </w:instrText>
      </w:r>
      <w:r w:rsidRPr="001662B8">
        <w:rPr>
          <w:i/>
          <w:iCs/>
        </w:rPr>
        <w:fldChar w:fldCharType="end"/>
      </w:r>
      <w:r w:rsidR="002B7803">
        <w:rPr>
          <w:i/>
          <w:iCs/>
        </w:rPr>
        <w:t xml:space="preserve"> </w:t>
      </w:r>
      <w:r>
        <w:t xml:space="preserve">under section 334 of the </w:t>
      </w:r>
      <w:r>
        <w:rPr>
          <w:i/>
          <w:iCs/>
        </w:rPr>
        <w:t>Corporations Act 2001</w:t>
      </w:r>
      <w:r>
        <w:t>.</w:t>
      </w:r>
    </w:p>
    <w:p w:rsidR="00C03C7B" w:rsidRDefault="00C03C7B" w:rsidP="00C03C7B"/>
    <w:tbl>
      <w:tblPr>
        <w:tblW w:w="0" w:type="auto"/>
        <w:tblLook w:val="0000" w:firstRow="0" w:lastRow="0" w:firstColumn="0" w:lastColumn="0" w:noHBand="0" w:noVBand="0"/>
        <w:tblCaption w:val="Authorisation of the statement that the AASB has made the Standard"/>
        <w:tblDescription w:val="Date when the Standard was made by the AASB, the name of the AASB Chair, and the statement of that position"/>
      </w:tblPr>
      <w:tblGrid>
        <w:gridCol w:w="3226"/>
        <w:gridCol w:w="3227"/>
      </w:tblGrid>
      <w:tr w:rsidR="00C03C7B" w:rsidTr="0048155F">
        <w:tc>
          <w:tcPr>
            <w:tcW w:w="3226" w:type="dxa"/>
          </w:tcPr>
          <w:p w:rsidR="00C03C7B" w:rsidRDefault="00C03C7B" w:rsidP="0048155F"/>
        </w:tc>
        <w:tc>
          <w:tcPr>
            <w:tcW w:w="3227" w:type="dxa"/>
          </w:tcPr>
          <w:p w:rsidR="00C03C7B" w:rsidRDefault="008F3EBA" w:rsidP="0048155F">
            <w:pPr>
              <w:jc w:val="right"/>
            </w:pPr>
            <w:r>
              <w:t>Kris Peach</w:t>
            </w:r>
          </w:p>
        </w:tc>
      </w:tr>
      <w:tr w:rsidR="00C03C7B" w:rsidTr="0048155F">
        <w:tc>
          <w:tcPr>
            <w:tcW w:w="3226" w:type="dxa"/>
          </w:tcPr>
          <w:p w:rsidR="00C03C7B" w:rsidRDefault="00C03C7B" w:rsidP="0048155F">
            <w:r>
              <w:t xml:space="preserve">Dated </w:t>
            </w:r>
            <w:bookmarkStart w:id="9" w:name="DateSigned"/>
            <w:r w:rsidR="00BA3455">
              <w:t>22 December 2015</w:t>
            </w:r>
            <w:bookmarkEnd w:id="9"/>
          </w:p>
        </w:tc>
        <w:tc>
          <w:tcPr>
            <w:tcW w:w="3227" w:type="dxa"/>
          </w:tcPr>
          <w:p w:rsidR="00C03C7B" w:rsidRDefault="00C03C7B" w:rsidP="0048155F">
            <w:pPr>
              <w:jc w:val="right"/>
            </w:pPr>
            <w:r>
              <w:t>Chair – AASB</w:t>
            </w:r>
          </w:p>
        </w:tc>
      </w:tr>
    </w:tbl>
    <w:p w:rsidR="00C03C7B" w:rsidRDefault="00C03C7B" w:rsidP="00C03C7B"/>
    <w:p w:rsidR="00C03C7B" w:rsidRDefault="00C03C7B" w:rsidP="00C03C7B"/>
    <w:p w:rsidR="00090A6F" w:rsidRPr="0000292B" w:rsidRDefault="00090A6F">
      <w:pPr>
        <w:pStyle w:val="Heading1"/>
      </w:pPr>
      <w:r w:rsidRPr="0000292B">
        <w:t xml:space="preserve">aCCOUNTING STANDARD AASB </w:t>
      </w:r>
      <w:r w:rsidR="00BC0D5D" w:rsidRPr="00BC0D5D">
        <w:rPr>
          <w:iCs/>
        </w:rPr>
        <w:fldChar w:fldCharType="begin" w:fldLock="1"/>
      </w:r>
      <w:r w:rsidR="00BC0D5D" w:rsidRPr="00BC0D5D">
        <w:rPr>
          <w:iCs/>
        </w:rPr>
        <w:instrText xml:space="preserve"> REF </w:instrText>
      </w:r>
      <w:r w:rsidR="001662B8">
        <w:rPr>
          <w:iCs/>
        </w:rPr>
        <w:instrText>Doc</w:instrText>
      </w:r>
      <w:r w:rsidR="00BC0D5D" w:rsidRPr="00BC0D5D">
        <w:rPr>
          <w:iCs/>
        </w:rPr>
        <w:instrText xml:space="preserve">No \* charformat </w:instrText>
      </w:r>
      <w:r w:rsidR="00BC0D5D" w:rsidRPr="00BC0D5D">
        <w:rPr>
          <w:iCs/>
        </w:rPr>
        <w:fldChar w:fldCharType="separate"/>
      </w:r>
      <w:r w:rsidR="00847409" w:rsidRPr="00847409">
        <w:rPr>
          <w:iCs/>
        </w:rPr>
        <w:t>2015-10</w:t>
      </w:r>
      <w:r w:rsidR="00BC0D5D" w:rsidRPr="00BC0D5D">
        <w:rPr>
          <w:iCs/>
        </w:rPr>
        <w:fldChar w:fldCharType="end"/>
      </w:r>
    </w:p>
    <w:p w:rsidR="00090A6F" w:rsidRDefault="001662B8">
      <w:pPr>
        <w:pStyle w:val="Heading1Italic"/>
      </w:pPr>
      <w:r>
        <w:t xml:space="preserve">AMENDMENTS TO </w:t>
      </w:r>
      <w:r w:rsidR="004B6165">
        <w:t xml:space="preserve">AUSTRALIAN ACCOUNTING STANDARDS – </w:t>
      </w:r>
      <w:r w:rsidR="00841A9D">
        <w:t xml:space="preserve">EFFECTIVE </w:t>
      </w:r>
      <w:r w:rsidR="004B6165">
        <w:t>Date of amendments to aasb 10 and aasb 128</w:t>
      </w:r>
      <w:r w:rsidR="00090A6F" w:rsidRPr="0000292B">
        <w:fldChar w:fldCharType="begin" w:fldLock="1"/>
      </w:r>
      <w:r w:rsidR="00090A6F" w:rsidRPr="0000292B">
        <w:instrText xml:space="preserve"> REF </w:instrText>
      </w:r>
      <w:r>
        <w:instrText>ArisingNo</w:instrText>
      </w:r>
      <w:r w:rsidR="00090A6F" w:rsidRPr="0000292B">
        <w:instrText xml:space="preserve">  \* charformat </w:instrText>
      </w:r>
      <w:r w:rsidR="00090A6F" w:rsidRPr="0000292B">
        <w:fldChar w:fldCharType="end"/>
      </w:r>
    </w:p>
    <w:p w:rsidR="00090A6F" w:rsidRPr="0000292B" w:rsidRDefault="00090A6F">
      <w:pPr>
        <w:pStyle w:val="Heading2"/>
      </w:pPr>
      <w:bookmarkStart w:id="10" w:name="TOCStart"/>
      <w:bookmarkEnd w:id="10"/>
      <w:r w:rsidRPr="0000292B">
        <w:t>Objective</w:t>
      </w:r>
    </w:p>
    <w:p w:rsidR="00090A6F" w:rsidRDefault="001662B8" w:rsidP="00422E4D">
      <w:pPr>
        <w:pStyle w:val="NumPlain1"/>
        <w:numPr>
          <w:ilvl w:val="0"/>
          <w:numId w:val="2"/>
        </w:numPr>
      </w:pPr>
      <w:r>
        <w:t xml:space="preserve">The </w:t>
      </w:r>
      <w:r w:rsidR="00460FBB">
        <w:t>o</w:t>
      </w:r>
      <w:r>
        <w:t>bjective of this Standard is to make amendments to:</w:t>
      </w:r>
    </w:p>
    <w:p w:rsidR="008D56B9" w:rsidRDefault="008D56B9" w:rsidP="008D56B9">
      <w:pPr>
        <w:pStyle w:val="NumPlain2"/>
      </w:pPr>
      <w:r>
        <w:t xml:space="preserve">AASB 10 </w:t>
      </w:r>
      <w:r w:rsidRPr="008D56B9">
        <w:rPr>
          <w:i/>
        </w:rPr>
        <w:t>Consolidated Financial Statements</w:t>
      </w:r>
      <w:r>
        <w:t>; and</w:t>
      </w:r>
    </w:p>
    <w:p w:rsidR="008D56B9" w:rsidRDefault="008D56B9" w:rsidP="008D56B9">
      <w:pPr>
        <w:pStyle w:val="NumPlain2"/>
      </w:pPr>
      <w:r>
        <w:t xml:space="preserve">AASB 128 </w:t>
      </w:r>
      <w:r w:rsidRPr="008D56B9">
        <w:rPr>
          <w:i/>
        </w:rPr>
        <w:t>Investments in Associates and Joint Ventures</w:t>
      </w:r>
      <w:r>
        <w:t>;</w:t>
      </w:r>
    </w:p>
    <w:p w:rsidR="001662B8" w:rsidRPr="0000292B" w:rsidRDefault="001662B8" w:rsidP="001662B8">
      <w:pPr>
        <w:pStyle w:val="NoNumPlain2"/>
      </w:pPr>
      <w:r>
        <w:t>a</w:t>
      </w:r>
      <w:bookmarkStart w:id="11" w:name="StndObj"/>
      <w:bookmarkEnd w:id="11"/>
      <w:r>
        <w:t xml:space="preserve">s a consequence of the issuance of </w:t>
      </w:r>
      <w:r w:rsidR="00051DC9">
        <w:t>International Financial Reporting Standard</w:t>
      </w:r>
      <w:r w:rsidRPr="0000292B">
        <w:fldChar w:fldCharType="begin" w:fldLock="1"/>
      </w:r>
      <w:r w:rsidRPr="0000292B">
        <w:instrText xml:space="preserve"> REF </w:instrText>
      </w:r>
      <w:r>
        <w:instrText>ArisingNo</w:instrText>
      </w:r>
      <w:r w:rsidRPr="0000292B">
        <w:instrText xml:space="preserve">  \* charformat </w:instrText>
      </w:r>
      <w:r w:rsidRPr="0000292B">
        <w:fldChar w:fldCharType="end"/>
      </w:r>
      <w:r>
        <w:t xml:space="preserve"> </w:t>
      </w:r>
      <w:bookmarkStart w:id="12" w:name="ArisingTitle"/>
      <w:r w:rsidR="008D56B9" w:rsidRPr="008D56B9">
        <w:rPr>
          <w:i/>
        </w:rPr>
        <w:t>Effective Date of Amendments to IFRS 10 and IAS 28</w:t>
      </w:r>
      <w:bookmarkEnd w:id="12"/>
      <w:r>
        <w:t xml:space="preserve"> </w:t>
      </w:r>
      <w:r w:rsidR="000B6B6D">
        <w:t xml:space="preserve">by the International Accounting Standards Board </w:t>
      </w:r>
      <w:r>
        <w:t>in</w:t>
      </w:r>
      <w:bookmarkStart w:id="13" w:name="ArisingDate"/>
      <w:r w:rsidR="00BA3455">
        <w:t xml:space="preserve"> December 2015</w:t>
      </w:r>
      <w:bookmarkEnd w:id="13"/>
      <w:r>
        <w:t>.</w:t>
      </w:r>
    </w:p>
    <w:p w:rsidR="00090A6F" w:rsidRPr="0000292B" w:rsidRDefault="00090A6F">
      <w:pPr>
        <w:pStyle w:val="Heading2"/>
      </w:pPr>
      <w:r w:rsidRPr="0000292B">
        <w:t>Application</w:t>
      </w:r>
    </w:p>
    <w:p w:rsidR="00511C34" w:rsidRDefault="00051DC9" w:rsidP="00027E8B">
      <w:pPr>
        <w:pStyle w:val="NumBold1"/>
      </w:pPr>
      <w:r>
        <w:t>T</w:t>
      </w:r>
      <w:r w:rsidR="00511C34">
        <w:t>his Standard applies to:</w:t>
      </w:r>
    </w:p>
    <w:p w:rsidR="00511C34" w:rsidRDefault="00511C34" w:rsidP="00511C34">
      <w:pPr>
        <w:pStyle w:val="NumBold2"/>
      </w:pPr>
      <w:r>
        <w:t xml:space="preserve">each entity that is required to prepare financial reports in accordance with Part 2M.3 of the </w:t>
      </w:r>
      <w:r w:rsidRPr="00D74038">
        <w:t>Corporations Act</w:t>
      </w:r>
      <w:r>
        <w:t xml:space="preserve"> and that is a reporting entity;</w:t>
      </w:r>
    </w:p>
    <w:p w:rsidR="00511C34" w:rsidRDefault="00511C34" w:rsidP="00511C34">
      <w:pPr>
        <w:pStyle w:val="NumBold2"/>
      </w:pPr>
      <w:r>
        <w:t>general purpose financial statements of each other reporting entity; and</w:t>
      </w:r>
    </w:p>
    <w:p w:rsidR="00511C34" w:rsidRDefault="00511C34" w:rsidP="00511C34">
      <w:pPr>
        <w:pStyle w:val="NumBold2"/>
      </w:pPr>
      <w:proofErr w:type="gramStart"/>
      <w:r>
        <w:t>financial</w:t>
      </w:r>
      <w:proofErr w:type="gramEnd"/>
      <w:r>
        <w:t xml:space="preserve"> statements that are, or are held out to be, general purpose financial statements.</w:t>
      </w:r>
    </w:p>
    <w:p w:rsidR="00090A6F" w:rsidRPr="00027E8B" w:rsidRDefault="00090A6F" w:rsidP="00027E8B">
      <w:pPr>
        <w:pStyle w:val="NumBold1"/>
      </w:pPr>
      <w:r w:rsidRPr="00027E8B">
        <w:lastRenderedPageBreak/>
        <w:t xml:space="preserve">This Standard applies to annual reporting periods </w:t>
      </w:r>
      <w:bookmarkStart w:id="14" w:name="ApplyText"/>
      <w:r w:rsidRPr="00027E8B">
        <w:t>beginning</w:t>
      </w:r>
      <w:bookmarkEnd w:id="14"/>
      <w:r w:rsidRPr="00027E8B">
        <w:t xml:space="preserve"> on or after </w:t>
      </w:r>
      <w:bookmarkStart w:id="15" w:name="ApplyDate"/>
      <w:r w:rsidR="008D56B9">
        <w:t>1 January 2016</w:t>
      </w:r>
      <w:bookmarkEnd w:id="15"/>
      <w:r w:rsidRPr="00027E8B">
        <w:t>.</w:t>
      </w:r>
    </w:p>
    <w:p w:rsidR="00090A6F" w:rsidRPr="0000292B" w:rsidRDefault="00090A6F" w:rsidP="00027E8B">
      <w:pPr>
        <w:pStyle w:val="NumBold1"/>
      </w:pPr>
      <w:bookmarkStart w:id="16" w:name="EarlyYesPara"/>
      <w:r w:rsidRPr="0000292B">
        <w:t xml:space="preserve">This Standard may be applied to annual reporting periods </w:t>
      </w:r>
      <w:bookmarkStart w:id="17" w:name="EarlyText"/>
      <w:r w:rsidR="00E839DA" w:rsidRPr="0000292B">
        <w:t>beginning</w:t>
      </w:r>
      <w:bookmarkEnd w:id="17"/>
      <w:r w:rsidRPr="0000292B">
        <w:t xml:space="preserve"> </w:t>
      </w:r>
      <w:r w:rsidR="00CE29AB">
        <w:t>before</w:t>
      </w:r>
      <w:r w:rsidRPr="0000292B">
        <w:t xml:space="preserve"> </w:t>
      </w:r>
      <w:r w:rsidR="008A6E6C">
        <w:fldChar w:fldCharType="begin" w:fldLock="1"/>
      </w:r>
      <w:r w:rsidR="008A6E6C">
        <w:instrText xml:space="preserve"> REF ApplyDate  \* charformat  </w:instrText>
      </w:r>
      <w:r w:rsidR="008A6E6C">
        <w:fldChar w:fldCharType="separate"/>
      </w:r>
      <w:r w:rsidR="00847409">
        <w:t>1 January 2016</w:t>
      </w:r>
      <w:r w:rsidR="008A6E6C">
        <w:fldChar w:fldCharType="end"/>
      </w:r>
      <w:r w:rsidRPr="0000292B">
        <w:t xml:space="preserve">.  When an entity applies this Standard to </w:t>
      </w:r>
      <w:r w:rsidR="00590051">
        <w:t xml:space="preserve">such </w:t>
      </w:r>
      <w:r w:rsidRPr="0000292B">
        <w:t>an annual reporting period</w:t>
      </w:r>
      <w:r w:rsidR="00590051">
        <w:t>,</w:t>
      </w:r>
      <w:r w:rsidRPr="0000292B">
        <w:t xml:space="preserve"> it shall disclose that fact.</w:t>
      </w:r>
    </w:p>
    <w:bookmarkEnd w:id="16"/>
    <w:p w:rsidR="00090A6F" w:rsidRDefault="0048155F" w:rsidP="0048155F">
      <w:pPr>
        <w:pStyle w:val="NumBold1"/>
      </w:pPr>
      <w:r>
        <w:t xml:space="preserve">This Standard uses underlining, striking out and other typographical material to identify some of the amendments to a Standard, in order to make the amendments more understandable.  However, the amendments made by this Standard do not include that underlining, striking out or other typographical material.  </w:t>
      </w:r>
    </w:p>
    <w:p w:rsidR="00167189" w:rsidRDefault="00167189" w:rsidP="00167189">
      <w:pPr>
        <w:pStyle w:val="Heading2"/>
      </w:pPr>
      <w:r>
        <w:t>Reversal of Amendments</w:t>
      </w:r>
      <w:r w:rsidR="0044506F">
        <w:t xml:space="preserve"> (August 2011 Versions)</w:t>
      </w:r>
    </w:p>
    <w:p w:rsidR="00167189" w:rsidRDefault="00167189" w:rsidP="00167189">
      <w:pPr>
        <w:pStyle w:val="NumPlain1"/>
        <w:keepNext/>
      </w:pPr>
      <w:r>
        <w:t xml:space="preserve">For the following pronouncements, the amendments originally set out in the following paragraphs of AASB 2014-10 </w:t>
      </w:r>
      <w:r w:rsidRPr="00EA31B0">
        <w:rPr>
          <w:i/>
        </w:rPr>
        <w:t>Amendments to Australian Accounting Standards – Sale or Contribution of Assets between an Investor and its Associate or Joint Venture</w:t>
      </w:r>
      <w:r>
        <w:t xml:space="preserve"> are no longer required and are therefore reversed:</w:t>
      </w:r>
    </w:p>
    <w:tbl>
      <w:tblPr>
        <w:tblStyle w:val="TableGrid"/>
        <w:tblW w:w="0" w:type="auto"/>
        <w:tblInd w:w="510" w:type="dxa"/>
        <w:tblLook w:val="04A0" w:firstRow="1" w:lastRow="0" w:firstColumn="1" w:lastColumn="0" w:noHBand="0" w:noVBand="1"/>
        <w:tblCaption w:val="Deferral of amendments to AASB 10 and AASB 128"/>
        <w:tblDescription w:val="Amendments made in paragraphs 8 - 11 of AASB 2014-10 to AASB 10 and AASB 128 are deferred to 1 January 2018."/>
      </w:tblPr>
      <w:tblGrid>
        <w:gridCol w:w="3017"/>
        <w:gridCol w:w="2926"/>
      </w:tblGrid>
      <w:tr w:rsidR="00167189" w:rsidTr="00EA31B0">
        <w:trPr>
          <w:tblHeader/>
        </w:trPr>
        <w:tc>
          <w:tcPr>
            <w:tcW w:w="4643" w:type="dxa"/>
          </w:tcPr>
          <w:p w:rsidR="00167189" w:rsidRPr="003F0206" w:rsidRDefault="00167189" w:rsidP="00EA31B0">
            <w:pPr>
              <w:spacing w:before="120" w:after="120"/>
              <w:rPr>
                <w:i/>
              </w:rPr>
            </w:pPr>
            <w:r w:rsidRPr="003F0206">
              <w:rPr>
                <w:i/>
              </w:rPr>
              <w:t>Pronouncement</w:t>
            </w:r>
          </w:p>
        </w:tc>
        <w:tc>
          <w:tcPr>
            <w:tcW w:w="4644" w:type="dxa"/>
          </w:tcPr>
          <w:p w:rsidR="00167189" w:rsidRPr="003F0206" w:rsidRDefault="00167189" w:rsidP="00EA31B0">
            <w:pPr>
              <w:spacing w:before="120" w:after="120"/>
              <w:rPr>
                <w:i/>
              </w:rPr>
            </w:pPr>
            <w:r w:rsidRPr="003F0206">
              <w:rPr>
                <w:i/>
              </w:rPr>
              <w:t>Paragraph(s) in AASB 2014-10</w:t>
            </w:r>
          </w:p>
        </w:tc>
      </w:tr>
      <w:tr w:rsidR="00167189" w:rsidTr="00EA31B0">
        <w:tc>
          <w:tcPr>
            <w:tcW w:w="4643" w:type="dxa"/>
          </w:tcPr>
          <w:p w:rsidR="00167189" w:rsidRDefault="00167189" w:rsidP="00EA31B0">
            <w:pPr>
              <w:spacing w:before="120" w:after="120"/>
            </w:pPr>
            <w:r>
              <w:t>AASB 10</w:t>
            </w:r>
            <w:r w:rsidR="00532A1A">
              <w:t xml:space="preserve"> (August 2011)</w:t>
            </w:r>
          </w:p>
        </w:tc>
        <w:tc>
          <w:tcPr>
            <w:tcW w:w="4644" w:type="dxa"/>
          </w:tcPr>
          <w:p w:rsidR="00167189" w:rsidRDefault="007A4C19" w:rsidP="00EA31B0">
            <w:pPr>
              <w:spacing w:before="120" w:after="120"/>
            </w:pPr>
            <w:r>
              <w:t>8–</w:t>
            </w:r>
            <w:r w:rsidR="00167189">
              <w:t>10</w:t>
            </w:r>
          </w:p>
        </w:tc>
      </w:tr>
      <w:tr w:rsidR="00167189" w:rsidTr="00EA31B0">
        <w:tc>
          <w:tcPr>
            <w:tcW w:w="4643" w:type="dxa"/>
          </w:tcPr>
          <w:p w:rsidR="00167189" w:rsidRDefault="00167189" w:rsidP="00EA31B0">
            <w:pPr>
              <w:spacing w:before="120" w:after="120"/>
            </w:pPr>
            <w:r>
              <w:t>AASB 128</w:t>
            </w:r>
            <w:r w:rsidR="00532A1A">
              <w:t xml:space="preserve"> (August 2011)</w:t>
            </w:r>
          </w:p>
        </w:tc>
        <w:tc>
          <w:tcPr>
            <w:tcW w:w="4644" w:type="dxa"/>
          </w:tcPr>
          <w:p w:rsidR="00167189" w:rsidRDefault="00167189" w:rsidP="00EA31B0">
            <w:pPr>
              <w:spacing w:before="120" w:after="120"/>
            </w:pPr>
            <w:r>
              <w:t>11</w:t>
            </w:r>
          </w:p>
        </w:tc>
      </w:tr>
    </w:tbl>
    <w:p w:rsidR="00532A1A" w:rsidRDefault="00532A1A" w:rsidP="00CE29AB">
      <w:pPr>
        <w:rPr>
          <w:rFonts w:cs="Arial"/>
          <w:b/>
          <w:bCs/>
          <w:iCs/>
          <w:sz w:val="24"/>
          <w:szCs w:val="26"/>
        </w:rPr>
      </w:pPr>
    </w:p>
    <w:p w:rsidR="00532A1A" w:rsidRDefault="00532A1A">
      <w:pPr>
        <w:pStyle w:val="NumPlain1"/>
      </w:pPr>
      <w:r>
        <w:t>The amendments originally set out in</w:t>
      </w:r>
      <w:r w:rsidR="00CE29AB">
        <w:t xml:space="preserve"> the</w:t>
      </w:r>
      <w:r>
        <w:t xml:space="preserve"> paragraph</w:t>
      </w:r>
      <w:r w:rsidR="00CE29AB">
        <w:t>s of</w:t>
      </w:r>
      <w:r>
        <w:t xml:space="preserve"> AASB 2014-10 </w:t>
      </w:r>
      <w:r w:rsidR="00F021EF">
        <w:t>listed in paragraph 6 of this S</w:t>
      </w:r>
      <w:r>
        <w:t>tandard may be applied by:</w:t>
      </w:r>
    </w:p>
    <w:p w:rsidR="00532A1A" w:rsidRDefault="00532A1A" w:rsidP="00CE29AB">
      <w:pPr>
        <w:pStyle w:val="NumPlain2"/>
      </w:pPr>
      <w:r>
        <w:t xml:space="preserve">for-profit entities to </w:t>
      </w:r>
      <w:r w:rsidR="00F403D8">
        <w:t>annual period</w:t>
      </w:r>
      <w:r w:rsidR="007A4C19">
        <w:t>s beginning on or after 1 </w:t>
      </w:r>
      <w:r w:rsidR="00F403D8">
        <w:t>January 2005; and</w:t>
      </w:r>
    </w:p>
    <w:p w:rsidR="00F403D8" w:rsidRDefault="00F403D8" w:rsidP="00CE29AB">
      <w:pPr>
        <w:pStyle w:val="NumPlain2"/>
      </w:pPr>
      <w:r>
        <w:t>not-for-profit entities to annual period</w:t>
      </w:r>
      <w:r w:rsidR="007A4C19">
        <w:t>s beginning on or after 1 </w:t>
      </w:r>
      <w:r>
        <w:t>January 2013;</w:t>
      </w:r>
    </w:p>
    <w:p w:rsidR="00F403D8" w:rsidRDefault="00F403D8" w:rsidP="00CE29AB">
      <w:pPr>
        <w:pStyle w:val="NumPlain2"/>
        <w:numPr>
          <w:ilvl w:val="0"/>
          <w:numId w:val="0"/>
        </w:numPr>
        <w:ind w:left="510"/>
      </w:pPr>
      <w:r>
        <w:t>when applying AASB 10 (Au</w:t>
      </w:r>
      <w:r w:rsidR="002E7154">
        <w:t xml:space="preserve">gust 2011) and AASB 128 (August </w:t>
      </w:r>
      <w:r>
        <w:t>2011)</w:t>
      </w:r>
      <w:proofErr w:type="gramStart"/>
      <w:r>
        <w:t xml:space="preserve">. </w:t>
      </w:r>
      <w:proofErr w:type="gramEnd"/>
      <w:r>
        <w:t>When an entity applies those amendments to such a period, it shall disclose that fact.</w:t>
      </w:r>
    </w:p>
    <w:p w:rsidR="00124421" w:rsidRDefault="00F021EF" w:rsidP="00CE29AB">
      <w:pPr>
        <w:pStyle w:val="Heading2"/>
      </w:pPr>
      <w:r>
        <w:lastRenderedPageBreak/>
        <w:t>A</w:t>
      </w:r>
      <w:r w:rsidR="00124421">
        <w:t>mendments</w:t>
      </w:r>
      <w:r w:rsidR="00B023E6">
        <w:t xml:space="preserve"> to AASB 10 (July 2015)</w:t>
      </w:r>
    </w:p>
    <w:p w:rsidR="00B023E6" w:rsidRDefault="00B023E6">
      <w:pPr>
        <w:pStyle w:val="NumPlain1"/>
      </w:pPr>
      <w:r>
        <w:t>The amendments originally set out in paragraph</w:t>
      </w:r>
      <w:r w:rsidR="007A4C19">
        <w:t>s</w:t>
      </w:r>
      <w:r>
        <w:t xml:space="preserve"> 8–10 of</w:t>
      </w:r>
      <w:r w:rsidR="002E7154">
        <w:t xml:space="preserve"> AASB</w:t>
      </w:r>
      <w:r w:rsidR="007A4C19">
        <w:t> </w:t>
      </w:r>
      <w:r w:rsidR="002E7154">
        <w:t>2014</w:t>
      </w:r>
      <w:r w:rsidR="007A4C19">
        <w:noBreakHyphen/>
      </w:r>
      <w:r>
        <w:t>10 are reversed from AASB 10</w:t>
      </w:r>
      <w:r w:rsidR="006733A2">
        <w:t xml:space="preserve"> (July 2015)</w:t>
      </w:r>
      <w:r>
        <w:t xml:space="preserve"> for annual period</w:t>
      </w:r>
      <w:r w:rsidR="007A4C19">
        <w:t>s</w:t>
      </w:r>
      <w:r>
        <w:t xml:space="preserve"> beginning on or after 1 July 2016 but before 1 January 2018.</w:t>
      </w:r>
      <w:r w:rsidR="000222B6">
        <w:t xml:space="preserve"> </w:t>
      </w:r>
      <w:r w:rsidR="00F661F7">
        <w:t>However, t</w:t>
      </w:r>
      <w:r w:rsidR="000222B6">
        <w:t>he amendments may be applied to annual periods beginning on or after 1 January 2014</w:t>
      </w:r>
      <w:r w:rsidR="00F661F7">
        <w:t xml:space="preserve"> but before 1 January 2018 when applying AASB 10 (July 2015)</w:t>
      </w:r>
      <w:r w:rsidR="000222B6">
        <w:t>.</w:t>
      </w:r>
    </w:p>
    <w:p w:rsidR="00CE29AB" w:rsidRDefault="00CE29AB" w:rsidP="00CE29AB">
      <w:pPr>
        <w:pStyle w:val="NumPlain1"/>
      </w:pPr>
      <w:r>
        <w:t>The following amendment to AASB 10 (July 2015) applies to annual periods beginning on or after 1 January 2018, with earlier application permitted.</w:t>
      </w:r>
    </w:p>
    <w:p w:rsidR="008D56B9" w:rsidRDefault="00B023E6" w:rsidP="00CE29AB">
      <w:pPr>
        <w:pStyle w:val="NumPlain1"/>
        <w:spacing w:before="240" w:after="120"/>
      </w:pPr>
      <w:r>
        <w:t xml:space="preserve">In </w:t>
      </w:r>
      <w:r w:rsidR="00ED49EC">
        <w:t xml:space="preserve">Appendix C, paragraph </w:t>
      </w:r>
      <w:r w:rsidR="00841A9D">
        <w:t xml:space="preserve">C1C </w:t>
      </w:r>
      <w:r w:rsidR="00ED49EC">
        <w:t xml:space="preserve">is </w:t>
      </w:r>
      <w:r w:rsidR="00887BDC">
        <w:t>amended</w:t>
      </w:r>
      <w:r w:rsidR="00ED49EC">
        <w:t xml:space="preserve"> as follows</w:t>
      </w:r>
      <w:r w:rsidR="00887BDC">
        <w:t xml:space="preserve"> (new text is underlined and deleted text is struck through)</w:t>
      </w:r>
      <w:r w:rsidR="00ED49EC">
        <w:t>:</w:t>
      </w:r>
    </w:p>
    <w:p w:rsidR="00887BDC" w:rsidRPr="00887BDC" w:rsidRDefault="00841A9D" w:rsidP="00887BDC">
      <w:pPr>
        <w:pStyle w:val="PlainHanging1"/>
      </w:pPr>
      <w:r>
        <w:t>C1C</w:t>
      </w:r>
      <w:r w:rsidR="00887BDC">
        <w:tab/>
      </w:r>
      <w:r w:rsidR="00B023E6">
        <w:t xml:space="preserve">AASB 2014-10 </w:t>
      </w:r>
      <w:r w:rsidR="00B023E6" w:rsidRPr="00CE29AB">
        <w:rPr>
          <w:i/>
        </w:rPr>
        <w:t>Amendments to Australian Accounting Standards – Sale or Contribution of Assets between an Investor and its Associate or Joint Venture</w:t>
      </w:r>
      <w:r w:rsidR="00B023E6">
        <w:t>, issued in December 2014,</w:t>
      </w:r>
      <w:r w:rsidR="006733A2">
        <w:t xml:space="preserve"> </w:t>
      </w:r>
      <w:r w:rsidR="006733A2">
        <w:rPr>
          <w:strike/>
        </w:rPr>
        <w:t>amended the previous v</w:t>
      </w:r>
      <w:r w:rsidR="0056003C">
        <w:rPr>
          <w:strike/>
        </w:rPr>
        <w:t>ersion of the</w:t>
      </w:r>
      <w:r w:rsidR="006733A2">
        <w:rPr>
          <w:strike/>
        </w:rPr>
        <w:t xml:space="preserve"> Standard as follows: </w:t>
      </w:r>
      <w:r w:rsidR="00B023E6" w:rsidRPr="00CE29AB">
        <w:rPr>
          <w:u w:val="single"/>
          <w:lang w:eastAsia="en-AU"/>
        </w:rPr>
        <w:t>in</w:t>
      </w:r>
      <w:r w:rsidR="00B023E6">
        <w:rPr>
          <w:lang w:eastAsia="en-AU"/>
        </w:rPr>
        <w:t xml:space="preserve"> </w:t>
      </w:r>
      <w:r w:rsidR="00B023E6" w:rsidRPr="00847409">
        <w:rPr>
          <w:u w:val="single"/>
          <w:lang w:eastAsia="en-AU"/>
        </w:rPr>
        <w:t>conjunction with AASB 2015-</w:t>
      </w:r>
      <w:r w:rsidR="00847409" w:rsidRPr="00847409">
        <w:rPr>
          <w:u w:val="single"/>
          <w:lang w:eastAsia="en-AU"/>
        </w:rPr>
        <w:t>10</w:t>
      </w:r>
      <w:r w:rsidR="00B023E6" w:rsidRPr="00EA31B0">
        <w:rPr>
          <w:u w:val="single"/>
          <w:lang w:eastAsia="en-AU"/>
        </w:rPr>
        <w:t xml:space="preserve"> </w:t>
      </w:r>
      <w:r w:rsidR="00B023E6" w:rsidRPr="00EA31B0">
        <w:rPr>
          <w:i/>
          <w:u w:val="single"/>
          <w:lang w:eastAsia="en-AU"/>
        </w:rPr>
        <w:t>Amendments to Australian Accounting Standards –</w:t>
      </w:r>
      <w:r w:rsidR="00AF2B9E">
        <w:rPr>
          <w:i/>
          <w:u w:val="single"/>
          <w:lang w:eastAsia="en-AU"/>
        </w:rPr>
        <w:t xml:space="preserve"> Effective D</w:t>
      </w:r>
      <w:r w:rsidR="002E7154">
        <w:rPr>
          <w:i/>
          <w:u w:val="single"/>
          <w:lang w:eastAsia="en-AU"/>
        </w:rPr>
        <w:t xml:space="preserve">ate of Amendments to </w:t>
      </w:r>
      <w:r w:rsidR="00B023E6" w:rsidRPr="00EA31B0">
        <w:rPr>
          <w:i/>
          <w:u w:val="single"/>
          <w:lang w:eastAsia="en-AU"/>
        </w:rPr>
        <w:t>AASB</w:t>
      </w:r>
      <w:r w:rsidR="002E7154">
        <w:rPr>
          <w:i/>
          <w:u w:val="single"/>
          <w:lang w:eastAsia="en-AU"/>
        </w:rPr>
        <w:t> </w:t>
      </w:r>
      <w:r w:rsidR="00B023E6" w:rsidRPr="00EA31B0">
        <w:rPr>
          <w:i/>
          <w:u w:val="single"/>
          <w:lang w:eastAsia="en-AU"/>
        </w:rPr>
        <w:t>10 and AASB 12</w:t>
      </w:r>
      <w:r w:rsidR="00B023E6" w:rsidRPr="006733A2">
        <w:rPr>
          <w:i/>
          <w:u w:val="single"/>
          <w:lang w:eastAsia="en-AU"/>
        </w:rPr>
        <w:t>8</w:t>
      </w:r>
      <w:r w:rsidR="00B023E6" w:rsidRPr="006733A2">
        <w:rPr>
          <w:u w:val="single"/>
          <w:lang w:eastAsia="en-AU"/>
        </w:rPr>
        <w:t>,</w:t>
      </w:r>
      <w:r w:rsidR="006733A2">
        <w:rPr>
          <w:lang w:eastAsia="en-AU"/>
        </w:rPr>
        <w:t xml:space="preserve"> amended paragraphs 25–</w:t>
      </w:r>
      <w:r w:rsidR="00532A1A">
        <w:rPr>
          <w:lang w:eastAsia="en-AU"/>
        </w:rPr>
        <w:t xml:space="preserve">26 and added paragraph B99A.  </w:t>
      </w:r>
      <w:r w:rsidR="00887BDC">
        <w:rPr>
          <w:lang w:eastAsia="en-AU"/>
        </w:rPr>
        <w:t>An entity shall apply those amendments prospectively to transactions occurring in annual period</w:t>
      </w:r>
      <w:r w:rsidR="00CE29AB" w:rsidRPr="002E7154">
        <w:rPr>
          <w:lang w:eastAsia="en-AU"/>
        </w:rPr>
        <w:t>s</w:t>
      </w:r>
      <w:r w:rsidR="00887BDC">
        <w:rPr>
          <w:lang w:eastAsia="en-AU"/>
        </w:rPr>
        <w:t xml:space="preserve"> beginning on or after 1 January </w:t>
      </w:r>
      <w:r w:rsidR="00887BDC" w:rsidRPr="0018577C">
        <w:rPr>
          <w:strike/>
        </w:rPr>
        <w:t>201</w:t>
      </w:r>
      <w:r w:rsidR="00887BDC">
        <w:rPr>
          <w:strike/>
        </w:rPr>
        <w:t>6</w:t>
      </w:r>
      <w:r w:rsidR="00887BDC">
        <w:t xml:space="preserve"> </w:t>
      </w:r>
      <w:r w:rsidR="00887BDC" w:rsidRPr="0018577C">
        <w:rPr>
          <w:u w:val="single"/>
        </w:rPr>
        <w:t>2018</w:t>
      </w:r>
      <w:r w:rsidR="00532A1A">
        <w:t>.  Earlier application is permitted.  If an entity applies those amendments earlier, it shall disclose that fact.</w:t>
      </w:r>
    </w:p>
    <w:p w:rsidR="008D56B9" w:rsidRDefault="008D56B9">
      <w:pPr>
        <w:pStyle w:val="Heading2"/>
      </w:pPr>
      <w:r>
        <w:t xml:space="preserve">Amendment to </w:t>
      </w:r>
      <w:bookmarkStart w:id="18" w:name="StndNo2"/>
      <w:r>
        <w:t>AASB 128</w:t>
      </w:r>
      <w:bookmarkEnd w:id="18"/>
      <w:r w:rsidR="00CB446B">
        <w:t xml:space="preserve"> (August 2015)</w:t>
      </w:r>
    </w:p>
    <w:p w:rsidR="00CB446B" w:rsidRDefault="00CB446B">
      <w:pPr>
        <w:pStyle w:val="NumPlain1"/>
      </w:pPr>
      <w:r>
        <w:t>The following amendment to AASB 128 (August 2015) applies to annual periods beginning on or after 1 January 2018, with earlier application permitted.</w:t>
      </w:r>
    </w:p>
    <w:p w:rsidR="008D56B9" w:rsidRDefault="00887BDC">
      <w:pPr>
        <w:pStyle w:val="NumPlain1"/>
      </w:pPr>
      <w:r>
        <w:t>Paragraph 45C is amended as follows (new text is underlined and deleted text is struck through):</w:t>
      </w:r>
    </w:p>
    <w:p w:rsidR="00887BDC" w:rsidRPr="00887BDC" w:rsidRDefault="00887BDC" w:rsidP="00887BDC">
      <w:pPr>
        <w:pStyle w:val="PlainHanging1"/>
      </w:pPr>
      <w:r>
        <w:t>45C</w:t>
      </w:r>
      <w:r>
        <w:tab/>
      </w:r>
      <w:r w:rsidR="00CB446B">
        <w:rPr>
          <w:lang w:eastAsia="en-AU"/>
        </w:rPr>
        <w:t xml:space="preserve">AASB 2014-10 </w:t>
      </w:r>
      <w:r w:rsidR="00CB446B" w:rsidRPr="00CE29AB">
        <w:rPr>
          <w:i/>
          <w:lang w:eastAsia="en-AU"/>
        </w:rPr>
        <w:t>Amendments to Australian Accounting Standards – Sale or Contribution of Assets between an Investor and its Associate or Joint Venture</w:t>
      </w:r>
      <w:r w:rsidR="00CB446B">
        <w:rPr>
          <w:lang w:eastAsia="en-AU"/>
        </w:rPr>
        <w:t xml:space="preserve">, issued in December 2014, </w:t>
      </w:r>
      <w:r w:rsidR="006733A2">
        <w:rPr>
          <w:strike/>
        </w:rPr>
        <w:t>amended the previous version of th</w:t>
      </w:r>
      <w:r w:rsidR="0056003C">
        <w:rPr>
          <w:strike/>
        </w:rPr>
        <w:t>is</w:t>
      </w:r>
      <w:r w:rsidR="006733A2">
        <w:rPr>
          <w:strike/>
        </w:rPr>
        <w:t xml:space="preserve"> Standard as follows: </w:t>
      </w:r>
      <w:r w:rsidR="00CB446B" w:rsidRPr="00CE29AB">
        <w:rPr>
          <w:u w:val="single"/>
          <w:lang w:eastAsia="en-AU"/>
        </w:rPr>
        <w:t xml:space="preserve">in conjunction </w:t>
      </w:r>
      <w:r w:rsidR="00CB446B" w:rsidRPr="00847409">
        <w:rPr>
          <w:u w:val="single"/>
          <w:lang w:eastAsia="en-AU"/>
        </w:rPr>
        <w:t>with AASB 2015-</w:t>
      </w:r>
      <w:r w:rsidR="00847409" w:rsidRPr="00847409">
        <w:rPr>
          <w:u w:val="single"/>
          <w:lang w:eastAsia="en-AU"/>
        </w:rPr>
        <w:t>10</w:t>
      </w:r>
      <w:r w:rsidR="00CB446B" w:rsidRPr="00CE29AB">
        <w:rPr>
          <w:u w:val="single"/>
          <w:lang w:eastAsia="en-AU"/>
        </w:rPr>
        <w:t xml:space="preserve"> </w:t>
      </w:r>
      <w:r w:rsidR="00CB446B" w:rsidRPr="00CE29AB">
        <w:rPr>
          <w:i/>
          <w:u w:val="single"/>
          <w:lang w:eastAsia="en-AU"/>
        </w:rPr>
        <w:t xml:space="preserve">Amendments to Australian Accounting Standards – </w:t>
      </w:r>
      <w:r w:rsidR="006733A2">
        <w:rPr>
          <w:i/>
          <w:u w:val="single"/>
          <w:lang w:eastAsia="en-AU"/>
        </w:rPr>
        <w:t>Effective D</w:t>
      </w:r>
      <w:r w:rsidR="002E7154">
        <w:rPr>
          <w:i/>
          <w:u w:val="single"/>
          <w:lang w:eastAsia="en-AU"/>
        </w:rPr>
        <w:t xml:space="preserve">ate of Amendments to </w:t>
      </w:r>
      <w:r w:rsidR="00CB446B" w:rsidRPr="00CE29AB">
        <w:rPr>
          <w:i/>
          <w:u w:val="single"/>
          <w:lang w:eastAsia="en-AU"/>
        </w:rPr>
        <w:t>AASB</w:t>
      </w:r>
      <w:r w:rsidR="002E7154">
        <w:rPr>
          <w:i/>
          <w:u w:val="single"/>
          <w:lang w:eastAsia="en-AU"/>
        </w:rPr>
        <w:t> </w:t>
      </w:r>
      <w:r w:rsidR="00CB446B" w:rsidRPr="00CE29AB">
        <w:rPr>
          <w:i/>
          <w:u w:val="single"/>
          <w:lang w:eastAsia="en-AU"/>
        </w:rPr>
        <w:t>10 and AASB 128</w:t>
      </w:r>
      <w:r w:rsidR="00CB446B" w:rsidRPr="006733A2">
        <w:rPr>
          <w:u w:val="single"/>
          <w:lang w:eastAsia="en-AU"/>
        </w:rPr>
        <w:t>,</w:t>
      </w:r>
      <w:r w:rsidR="00CB446B">
        <w:rPr>
          <w:lang w:eastAsia="en-AU"/>
        </w:rPr>
        <w:t xml:space="preserve"> amended paragraphs 28 and 30 and added paragraphs 31A</w:t>
      </w:r>
      <w:r w:rsidR="006733A2">
        <w:rPr>
          <w:lang w:eastAsia="en-AU"/>
        </w:rPr>
        <w:t>–</w:t>
      </w:r>
      <w:r w:rsidR="00CB446B">
        <w:rPr>
          <w:lang w:eastAsia="en-AU"/>
        </w:rPr>
        <w:t>31B.</w:t>
      </w:r>
      <w:r>
        <w:rPr>
          <w:lang w:eastAsia="en-AU"/>
        </w:rPr>
        <w:t xml:space="preserve"> </w:t>
      </w:r>
      <w:r w:rsidR="00532A1A">
        <w:rPr>
          <w:lang w:eastAsia="en-AU"/>
        </w:rPr>
        <w:t xml:space="preserve"> </w:t>
      </w:r>
      <w:r>
        <w:rPr>
          <w:lang w:eastAsia="en-AU"/>
        </w:rPr>
        <w:t xml:space="preserve">An entity shall apply those </w:t>
      </w:r>
      <w:r>
        <w:rPr>
          <w:lang w:eastAsia="en-AU"/>
        </w:rPr>
        <w:lastRenderedPageBreak/>
        <w:t>amendments prospectively to the sale or contribution of assets occurring in annual periods beginning on or after 1</w:t>
      </w:r>
      <w:r w:rsidR="002E7154">
        <w:rPr>
          <w:lang w:eastAsia="en-AU"/>
        </w:rPr>
        <w:t> </w:t>
      </w:r>
      <w:r>
        <w:rPr>
          <w:lang w:eastAsia="en-AU"/>
        </w:rPr>
        <w:t xml:space="preserve">January </w:t>
      </w:r>
      <w:r w:rsidRPr="0018577C">
        <w:rPr>
          <w:strike/>
        </w:rPr>
        <w:t>201</w:t>
      </w:r>
      <w:r>
        <w:rPr>
          <w:strike/>
        </w:rPr>
        <w:t>6</w:t>
      </w:r>
      <w:r w:rsidR="002E7154">
        <w:t> </w:t>
      </w:r>
      <w:r w:rsidRPr="0018577C">
        <w:rPr>
          <w:u w:val="single"/>
        </w:rPr>
        <w:t>2018</w:t>
      </w:r>
      <w:r w:rsidR="00CB446B">
        <w:t>.</w:t>
      </w:r>
      <w:r w:rsidR="00532A1A">
        <w:t xml:space="preserve"> </w:t>
      </w:r>
      <w:r w:rsidR="00CB446B">
        <w:t xml:space="preserve"> Earlier application is permitted.</w:t>
      </w:r>
      <w:r w:rsidR="00532A1A">
        <w:t xml:space="preserve"> </w:t>
      </w:r>
      <w:r w:rsidR="00CB446B">
        <w:t xml:space="preserve"> If an entity applies those amendments earlier, it shall disclose that fact.</w:t>
      </w:r>
    </w:p>
    <w:p w:rsidR="008D56B9" w:rsidRDefault="00841A9D" w:rsidP="00087E55">
      <w:pPr>
        <w:pStyle w:val="Heading2"/>
      </w:pPr>
      <w:r>
        <w:t>Commencement of the Legislative Instrument</w:t>
      </w:r>
    </w:p>
    <w:p w:rsidR="00841A9D" w:rsidRPr="004664C1" w:rsidRDefault="00841A9D" w:rsidP="00087E55">
      <w:pPr>
        <w:pStyle w:val="NumPlain1"/>
      </w:pPr>
      <w:r>
        <w:t xml:space="preserve">For legal purposes, this legislative instrument commences on </w:t>
      </w:r>
      <w:r w:rsidR="00167189">
        <w:t>3</w:t>
      </w:r>
      <w:r>
        <w:t>1 </w:t>
      </w:r>
      <w:r w:rsidR="00167189">
        <w:t>December</w:t>
      </w:r>
      <w:r>
        <w:t> 201</w:t>
      </w:r>
      <w:r w:rsidR="00167189">
        <w:t>5</w:t>
      </w:r>
      <w:r>
        <w:t>.</w:t>
      </w:r>
    </w:p>
    <w:sectPr w:rsidR="00841A9D" w:rsidRPr="004664C1" w:rsidSect="00590051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3686" w:right="2835" w:bottom="3686" w:left="2835" w:header="709" w:footer="3255" w:gutter="0"/>
      <w:paperSrc w:first="58" w:other="58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FA" w:rsidRDefault="00E808FA">
      <w:r>
        <w:separator/>
      </w:r>
    </w:p>
  </w:endnote>
  <w:endnote w:type="continuationSeparator" w:id="0">
    <w:p w:rsidR="00E808FA" w:rsidRDefault="00E8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55" w:rsidRDefault="00BA34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55" w:rsidRDefault="00BA34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55" w:rsidRDefault="00BA345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847409" w:rsidRPr="00847409">
      <w:rPr>
        <w:b/>
      </w:rPr>
      <w:t>2015-10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8A6E6C">
      <w:rPr>
        <w:noProof/>
      </w:rPr>
      <w:t>2</w:t>
    </w:r>
    <w:r>
      <w:fldChar w:fldCharType="end"/>
    </w:r>
    <w:r>
      <w:tab/>
    </w:r>
    <w:r>
      <w:rPr>
        <w:b/>
        <w:bCs/>
      </w:rPr>
      <w:t>COPYRIGHT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847409" w:rsidRPr="00847409">
      <w:rPr>
        <w:b/>
      </w:rPr>
      <w:t>2015-10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8A6E6C">
      <w:rPr>
        <w:noProof/>
      </w:rPr>
      <w:t>3</w:t>
    </w:r>
    <w:r>
      <w:fldChar w:fldCharType="end"/>
    </w:r>
    <w:r>
      <w:tab/>
    </w:r>
    <w:r>
      <w:rPr>
        <w:b/>
        <w:bCs/>
      </w:rPr>
      <w:t>CONTENTS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847409" w:rsidRPr="00847409">
      <w:rPr>
        <w:b/>
      </w:rPr>
      <w:t>2015-10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8A6E6C">
      <w:rPr>
        <w:noProof/>
      </w:rPr>
      <w:t>4</w:t>
    </w:r>
    <w:r>
      <w:fldChar w:fldCharType="end"/>
    </w:r>
    <w:r>
      <w:tab/>
    </w:r>
    <w:r>
      <w:rPr>
        <w:b/>
        <w:bCs/>
      </w:rPr>
      <w:t>PREFACE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847409" w:rsidRPr="00847409">
      <w:rPr>
        <w:b/>
      </w:rPr>
      <w:t>2015-10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8A6E6C">
      <w:rPr>
        <w:noProof/>
      </w:rPr>
      <w:t>8</w:t>
    </w:r>
    <w:r>
      <w:fldChar w:fldCharType="end"/>
    </w:r>
    <w:r>
      <w:tab/>
    </w:r>
    <w:r>
      <w:rPr>
        <w:b/>
        <w:bCs/>
      </w:rPr>
      <w:t>STANDARD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FA" w:rsidRDefault="00E808FA">
      <w:r>
        <w:separator/>
      </w:r>
    </w:p>
  </w:footnote>
  <w:footnote w:type="continuationSeparator" w:id="0">
    <w:p w:rsidR="00E808FA" w:rsidRDefault="00E80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55" w:rsidRDefault="00BA34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55" w:rsidRDefault="00BA34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455" w:rsidRDefault="00BA345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02" w:rsidRDefault="00A967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7DE"/>
    <w:multiLevelType w:val="multilevel"/>
    <w:tmpl w:val="8DC64E64"/>
    <w:styleLink w:val="AASBSubNumbersBold"/>
    <w:lvl w:ilvl="0">
      <w:start w:val="1"/>
      <w:numFmt w:val="none"/>
      <w:pStyle w:val="SubNumBold1"/>
      <w:suff w:val="nothing"/>
      <w:lvlText w:val="%1"/>
      <w:lvlJc w:val="left"/>
      <w:pPr>
        <w:ind w:left="1021" w:hanging="511"/>
      </w:pPr>
      <w:rPr>
        <w:rFonts w:hint="default"/>
      </w:rPr>
    </w:lvl>
    <w:lvl w:ilvl="1">
      <w:start w:val="1"/>
      <w:numFmt w:val="lowerLetter"/>
      <w:pStyle w:val="SubNumBold2"/>
      <w:lvlText w:val="(%2)"/>
      <w:lvlJc w:val="left"/>
      <w:pPr>
        <w:tabs>
          <w:tab w:val="num" w:pos="1020"/>
        </w:tabs>
        <w:ind w:left="1531" w:hanging="511"/>
      </w:pPr>
      <w:rPr>
        <w:rFonts w:hint="default"/>
      </w:rPr>
    </w:lvl>
    <w:lvl w:ilvl="2">
      <w:start w:val="1"/>
      <w:numFmt w:val="lowerRoman"/>
      <w:pStyle w:val="SubNumBold3"/>
      <w:lvlText w:val="(%3)"/>
      <w:lvlJc w:val="left"/>
      <w:pPr>
        <w:tabs>
          <w:tab w:val="num" w:pos="1530"/>
        </w:tabs>
        <w:ind w:left="2041" w:hanging="511"/>
      </w:pPr>
      <w:rPr>
        <w:rFonts w:hint="default"/>
      </w:rPr>
    </w:lvl>
    <w:lvl w:ilvl="3">
      <w:start w:val="1"/>
      <w:numFmt w:val="upperLetter"/>
      <w:pStyle w:val="SubNumBold4"/>
      <w:lvlText w:val="(%4)"/>
      <w:lvlJc w:val="left"/>
      <w:pPr>
        <w:tabs>
          <w:tab w:val="num" w:pos="2040"/>
        </w:tabs>
        <w:ind w:left="2551" w:hanging="51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0"/>
        </w:tabs>
        <w:ind w:left="306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57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408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80"/>
        </w:tabs>
        <w:ind w:left="4591" w:hanging="51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0"/>
        </w:tabs>
        <w:ind w:left="5101" w:hanging="511"/>
      </w:pPr>
      <w:rPr>
        <w:rFonts w:hint="default"/>
      </w:rPr>
    </w:lvl>
  </w:abstractNum>
  <w:abstractNum w:abstractNumId="1">
    <w:nsid w:val="03F92581"/>
    <w:multiLevelType w:val="multilevel"/>
    <w:tmpl w:val="AD5ABFF2"/>
    <w:numStyleLink w:val="AASBSubNumbers"/>
  </w:abstractNum>
  <w:abstractNum w:abstractNumId="2">
    <w:nsid w:val="13E035C2"/>
    <w:multiLevelType w:val="multilevel"/>
    <w:tmpl w:val="95A2D1B2"/>
    <w:lvl w:ilvl="0">
      <w:start w:val="1"/>
      <w:numFmt w:val="decimal"/>
      <w:pStyle w:val="NumBC1"/>
      <w:lvlText w:val="BC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u w:val="none"/>
      </w:rPr>
    </w:lvl>
    <w:lvl w:ilvl="1">
      <w:start w:val="1"/>
      <w:numFmt w:val="lowerLetter"/>
      <w:pStyle w:val="NumBC2"/>
      <w:lvlText w:val="(%2)"/>
      <w:lvlJc w:val="left"/>
      <w:pPr>
        <w:tabs>
          <w:tab w:val="num" w:pos="1247"/>
        </w:tabs>
        <w:ind w:left="1247" w:hanging="623"/>
      </w:pPr>
      <w:rPr>
        <w:rFonts w:hint="default"/>
        <w:b w:val="0"/>
        <w:bCs w:val="0"/>
        <w:u w:val="none"/>
      </w:rPr>
    </w:lvl>
    <w:lvl w:ilvl="2">
      <w:start w:val="1"/>
      <w:numFmt w:val="lowerRoman"/>
      <w:pStyle w:val="NumBC3"/>
      <w:lvlText w:val="(%3)"/>
      <w:lvlJc w:val="left"/>
      <w:pPr>
        <w:tabs>
          <w:tab w:val="num" w:pos="1871"/>
        </w:tabs>
        <w:ind w:left="1871" w:hanging="624"/>
      </w:pPr>
      <w:rPr>
        <w:rFonts w:hint="default"/>
        <w:b w:val="0"/>
        <w:bCs w:val="0"/>
        <w:u w:val="none"/>
      </w:rPr>
    </w:lvl>
    <w:lvl w:ilvl="3">
      <w:start w:val="1"/>
      <w:numFmt w:val="upperLetter"/>
      <w:pStyle w:val="NumBC4"/>
      <w:lvlText w:val="(%4)"/>
      <w:lvlJc w:val="left"/>
      <w:pPr>
        <w:tabs>
          <w:tab w:val="num" w:pos="2495"/>
        </w:tabs>
        <w:ind w:left="2495" w:hanging="624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abstractNum w:abstractNumId="3">
    <w:nsid w:val="22217511"/>
    <w:multiLevelType w:val="multilevel"/>
    <w:tmpl w:val="017AF28C"/>
    <w:styleLink w:val="Bullets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4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2A7A35E2"/>
    <w:multiLevelType w:val="multilevel"/>
    <w:tmpl w:val="AD5ABFF2"/>
    <w:styleLink w:val="AASBSubNumbers"/>
    <w:lvl w:ilvl="0">
      <w:start w:val="1"/>
      <w:numFmt w:val="none"/>
      <w:pStyle w:val="SubNumPlain1"/>
      <w:suff w:val="nothing"/>
      <w:lvlText w:val="%1"/>
      <w:lvlJc w:val="left"/>
      <w:pPr>
        <w:ind w:left="1021" w:hanging="511"/>
      </w:pPr>
      <w:rPr>
        <w:rFonts w:hint="default"/>
      </w:rPr>
    </w:lvl>
    <w:lvl w:ilvl="1">
      <w:start w:val="1"/>
      <w:numFmt w:val="lowerLetter"/>
      <w:pStyle w:val="SubNumPlain2"/>
      <w:lvlText w:val="(%2)"/>
      <w:lvlJc w:val="left"/>
      <w:pPr>
        <w:ind w:left="1531" w:hanging="511"/>
      </w:pPr>
      <w:rPr>
        <w:rFonts w:hint="default"/>
      </w:rPr>
    </w:lvl>
    <w:lvl w:ilvl="2">
      <w:start w:val="1"/>
      <w:numFmt w:val="lowerRoman"/>
      <w:pStyle w:val="SubNumPlain3"/>
      <w:lvlText w:val="(%3)"/>
      <w:lvlJc w:val="left"/>
      <w:pPr>
        <w:ind w:left="2041" w:hanging="511"/>
      </w:pPr>
      <w:rPr>
        <w:rFonts w:hint="default"/>
      </w:rPr>
    </w:lvl>
    <w:lvl w:ilvl="3">
      <w:start w:val="1"/>
      <w:numFmt w:val="upperLetter"/>
      <w:pStyle w:val="SubNumPlain4"/>
      <w:lvlText w:val="(%4)"/>
      <w:lvlJc w:val="left"/>
      <w:pPr>
        <w:ind w:left="2551" w:hanging="51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6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91" w:hanging="51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1" w:hanging="511"/>
      </w:pPr>
      <w:rPr>
        <w:rFonts w:hint="default"/>
      </w:rPr>
    </w:lvl>
  </w:abstractNum>
  <w:abstractNum w:abstractNumId="6">
    <w:nsid w:val="61542243"/>
    <w:multiLevelType w:val="multilevel"/>
    <w:tmpl w:val="BDF015A6"/>
    <w:lvl w:ilvl="0">
      <w:start w:val="1"/>
      <w:numFmt w:val="decimal"/>
      <w:pStyle w:val="NumPlain1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pStyle w:val="NumPlain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pStyle w:val="NumPlain3"/>
      <w:lvlText w:val="(%3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upperLetter"/>
      <w:pStyle w:val="NumPlain4"/>
      <w:lvlText w:val="(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7">
    <w:nsid w:val="6D2B46A3"/>
    <w:multiLevelType w:val="multilevel"/>
    <w:tmpl w:val="A80ECEA6"/>
    <w:lvl w:ilvl="0">
      <w:start w:val="1"/>
      <w:numFmt w:val="bullet"/>
      <w:pStyle w:val="Bullet1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8">
    <w:nsid w:val="7034512C"/>
    <w:multiLevelType w:val="hybridMultilevel"/>
    <w:tmpl w:val="87A659DC"/>
    <w:lvl w:ilvl="0" w:tplc="0D1C2E8A">
      <w:start w:val="1"/>
      <w:numFmt w:val="decimal"/>
      <w:lvlRestart w:val="0"/>
      <w:pStyle w:val="NumberedLis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24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B9"/>
    <w:rsid w:val="0000292B"/>
    <w:rsid w:val="000222B6"/>
    <w:rsid w:val="00027E8B"/>
    <w:rsid w:val="0004455B"/>
    <w:rsid w:val="00051DC9"/>
    <w:rsid w:val="00074133"/>
    <w:rsid w:val="00087E55"/>
    <w:rsid w:val="00090A6F"/>
    <w:rsid w:val="00096027"/>
    <w:rsid w:val="000A2362"/>
    <w:rsid w:val="000B0371"/>
    <w:rsid w:val="000B2B50"/>
    <w:rsid w:val="000B6B6D"/>
    <w:rsid w:val="000B733C"/>
    <w:rsid w:val="000C3EB0"/>
    <w:rsid w:val="000D3331"/>
    <w:rsid w:val="000D7B40"/>
    <w:rsid w:val="000F64CC"/>
    <w:rsid w:val="00110B96"/>
    <w:rsid w:val="001162C5"/>
    <w:rsid w:val="001206CF"/>
    <w:rsid w:val="00124421"/>
    <w:rsid w:val="001662B8"/>
    <w:rsid w:val="00167189"/>
    <w:rsid w:val="00171F51"/>
    <w:rsid w:val="001761C6"/>
    <w:rsid w:val="001864D4"/>
    <w:rsid w:val="0019286F"/>
    <w:rsid w:val="001B33A5"/>
    <w:rsid w:val="001C225F"/>
    <w:rsid w:val="001F78DF"/>
    <w:rsid w:val="0022022E"/>
    <w:rsid w:val="0028086D"/>
    <w:rsid w:val="00283482"/>
    <w:rsid w:val="0029647E"/>
    <w:rsid w:val="002A201D"/>
    <w:rsid w:val="002B7803"/>
    <w:rsid w:val="002E7154"/>
    <w:rsid w:val="002F1CD0"/>
    <w:rsid w:val="00307F26"/>
    <w:rsid w:val="003251D8"/>
    <w:rsid w:val="0033581C"/>
    <w:rsid w:val="00364B30"/>
    <w:rsid w:val="00367DC9"/>
    <w:rsid w:val="00377B8D"/>
    <w:rsid w:val="00382796"/>
    <w:rsid w:val="00390019"/>
    <w:rsid w:val="0039009E"/>
    <w:rsid w:val="003A488F"/>
    <w:rsid w:val="003B0CAA"/>
    <w:rsid w:val="003B0E71"/>
    <w:rsid w:val="003D1DD4"/>
    <w:rsid w:val="003E0A68"/>
    <w:rsid w:val="003F0206"/>
    <w:rsid w:val="00401ECA"/>
    <w:rsid w:val="004150BD"/>
    <w:rsid w:val="00422E4D"/>
    <w:rsid w:val="00426876"/>
    <w:rsid w:val="00434D86"/>
    <w:rsid w:val="00436A2D"/>
    <w:rsid w:val="0044506F"/>
    <w:rsid w:val="0044702C"/>
    <w:rsid w:val="00460FBB"/>
    <w:rsid w:val="004664C1"/>
    <w:rsid w:val="00470CE9"/>
    <w:rsid w:val="0047683E"/>
    <w:rsid w:val="0048155F"/>
    <w:rsid w:val="00487CF6"/>
    <w:rsid w:val="004961F8"/>
    <w:rsid w:val="004A417F"/>
    <w:rsid w:val="004B038C"/>
    <w:rsid w:val="004B6165"/>
    <w:rsid w:val="004B736C"/>
    <w:rsid w:val="004C5BDE"/>
    <w:rsid w:val="004D3809"/>
    <w:rsid w:val="004D4D1C"/>
    <w:rsid w:val="004F55FE"/>
    <w:rsid w:val="00500E80"/>
    <w:rsid w:val="00511C34"/>
    <w:rsid w:val="005166B2"/>
    <w:rsid w:val="00532A1A"/>
    <w:rsid w:val="0053452C"/>
    <w:rsid w:val="00535EC5"/>
    <w:rsid w:val="0056003C"/>
    <w:rsid w:val="0056274D"/>
    <w:rsid w:val="005705D9"/>
    <w:rsid w:val="00577065"/>
    <w:rsid w:val="0058004D"/>
    <w:rsid w:val="00580414"/>
    <w:rsid w:val="00590051"/>
    <w:rsid w:val="005A2514"/>
    <w:rsid w:val="005B146F"/>
    <w:rsid w:val="005E6BE4"/>
    <w:rsid w:val="00602261"/>
    <w:rsid w:val="00602820"/>
    <w:rsid w:val="00641282"/>
    <w:rsid w:val="00652DF8"/>
    <w:rsid w:val="006733A2"/>
    <w:rsid w:val="006A3AE9"/>
    <w:rsid w:val="006A40E5"/>
    <w:rsid w:val="006B0CD6"/>
    <w:rsid w:val="006C2E37"/>
    <w:rsid w:val="006D055E"/>
    <w:rsid w:val="006D134A"/>
    <w:rsid w:val="006D4700"/>
    <w:rsid w:val="006D7679"/>
    <w:rsid w:val="006E2C39"/>
    <w:rsid w:val="00714340"/>
    <w:rsid w:val="007333C2"/>
    <w:rsid w:val="00735996"/>
    <w:rsid w:val="00737714"/>
    <w:rsid w:val="00742E4B"/>
    <w:rsid w:val="007455F0"/>
    <w:rsid w:val="00751F6A"/>
    <w:rsid w:val="007554ED"/>
    <w:rsid w:val="00755E40"/>
    <w:rsid w:val="00756804"/>
    <w:rsid w:val="00756FF6"/>
    <w:rsid w:val="0076127E"/>
    <w:rsid w:val="00777C2C"/>
    <w:rsid w:val="0078116B"/>
    <w:rsid w:val="007A4C19"/>
    <w:rsid w:val="007A6BC3"/>
    <w:rsid w:val="007C0F4C"/>
    <w:rsid w:val="007F1D3D"/>
    <w:rsid w:val="00812637"/>
    <w:rsid w:val="00813227"/>
    <w:rsid w:val="00820794"/>
    <w:rsid w:val="00826359"/>
    <w:rsid w:val="00831497"/>
    <w:rsid w:val="00841A9D"/>
    <w:rsid w:val="008459E8"/>
    <w:rsid w:val="00847409"/>
    <w:rsid w:val="00864ADE"/>
    <w:rsid w:val="00871A12"/>
    <w:rsid w:val="00881BBE"/>
    <w:rsid w:val="00887BDC"/>
    <w:rsid w:val="00887E5F"/>
    <w:rsid w:val="008A6182"/>
    <w:rsid w:val="008A6E6C"/>
    <w:rsid w:val="008B1D94"/>
    <w:rsid w:val="008B643A"/>
    <w:rsid w:val="008C60B1"/>
    <w:rsid w:val="008C6BD0"/>
    <w:rsid w:val="008D2EBD"/>
    <w:rsid w:val="008D56B9"/>
    <w:rsid w:val="008F0A81"/>
    <w:rsid w:val="008F3EBA"/>
    <w:rsid w:val="008F5963"/>
    <w:rsid w:val="00923261"/>
    <w:rsid w:val="009256B7"/>
    <w:rsid w:val="00970C7A"/>
    <w:rsid w:val="009721DB"/>
    <w:rsid w:val="00990A0A"/>
    <w:rsid w:val="009B6535"/>
    <w:rsid w:val="009C2479"/>
    <w:rsid w:val="009D06F8"/>
    <w:rsid w:val="009D73F1"/>
    <w:rsid w:val="009E1DCB"/>
    <w:rsid w:val="00A05041"/>
    <w:rsid w:val="00A13F82"/>
    <w:rsid w:val="00A16664"/>
    <w:rsid w:val="00A41ED3"/>
    <w:rsid w:val="00A47FA2"/>
    <w:rsid w:val="00A55F4F"/>
    <w:rsid w:val="00A748BA"/>
    <w:rsid w:val="00A83862"/>
    <w:rsid w:val="00A8486C"/>
    <w:rsid w:val="00A96702"/>
    <w:rsid w:val="00A97EB2"/>
    <w:rsid w:val="00AA14A9"/>
    <w:rsid w:val="00AB780A"/>
    <w:rsid w:val="00AB7949"/>
    <w:rsid w:val="00AC4315"/>
    <w:rsid w:val="00AD42DA"/>
    <w:rsid w:val="00AF2B9E"/>
    <w:rsid w:val="00AF61B8"/>
    <w:rsid w:val="00B023E6"/>
    <w:rsid w:val="00B110AD"/>
    <w:rsid w:val="00B271BA"/>
    <w:rsid w:val="00B3429E"/>
    <w:rsid w:val="00B74237"/>
    <w:rsid w:val="00B92848"/>
    <w:rsid w:val="00BA3455"/>
    <w:rsid w:val="00BA3AB4"/>
    <w:rsid w:val="00BA4622"/>
    <w:rsid w:val="00BB4C9F"/>
    <w:rsid w:val="00BC0794"/>
    <w:rsid w:val="00BC0D5D"/>
    <w:rsid w:val="00BE2F68"/>
    <w:rsid w:val="00BE38FC"/>
    <w:rsid w:val="00C03C7B"/>
    <w:rsid w:val="00C07A91"/>
    <w:rsid w:val="00C3493B"/>
    <w:rsid w:val="00C37458"/>
    <w:rsid w:val="00C438DD"/>
    <w:rsid w:val="00C43CD1"/>
    <w:rsid w:val="00C45020"/>
    <w:rsid w:val="00C5022C"/>
    <w:rsid w:val="00C552FD"/>
    <w:rsid w:val="00C63573"/>
    <w:rsid w:val="00C95D8A"/>
    <w:rsid w:val="00CB446B"/>
    <w:rsid w:val="00CB719A"/>
    <w:rsid w:val="00CC6FCD"/>
    <w:rsid w:val="00CD5D1C"/>
    <w:rsid w:val="00CE29AB"/>
    <w:rsid w:val="00CE2F8C"/>
    <w:rsid w:val="00CF75CA"/>
    <w:rsid w:val="00CF7B67"/>
    <w:rsid w:val="00D00FD5"/>
    <w:rsid w:val="00D52086"/>
    <w:rsid w:val="00D54F5C"/>
    <w:rsid w:val="00D67336"/>
    <w:rsid w:val="00D74038"/>
    <w:rsid w:val="00D942EB"/>
    <w:rsid w:val="00D96A64"/>
    <w:rsid w:val="00DA2A7B"/>
    <w:rsid w:val="00DC7E1B"/>
    <w:rsid w:val="00DD1DDC"/>
    <w:rsid w:val="00DD7E7A"/>
    <w:rsid w:val="00DF39E3"/>
    <w:rsid w:val="00E033B7"/>
    <w:rsid w:val="00E06C2F"/>
    <w:rsid w:val="00E24399"/>
    <w:rsid w:val="00E274C6"/>
    <w:rsid w:val="00E41399"/>
    <w:rsid w:val="00E63279"/>
    <w:rsid w:val="00E738BC"/>
    <w:rsid w:val="00E74BD5"/>
    <w:rsid w:val="00E7592A"/>
    <w:rsid w:val="00E808FA"/>
    <w:rsid w:val="00E839DA"/>
    <w:rsid w:val="00E90B4F"/>
    <w:rsid w:val="00E915E3"/>
    <w:rsid w:val="00E94DA2"/>
    <w:rsid w:val="00E97B4B"/>
    <w:rsid w:val="00EB4197"/>
    <w:rsid w:val="00EB4756"/>
    <w:rsid w:val="00EC4AFD"/>
    <w:rsid w:val="00ED06E4"/>
    <w:rsid w:val="00ED49EC"/>
    <w:rsid w:val="00EE2509"/>
    <w:rsid w:val="00EE3D03"/>
    <w:rsid w:val="00EE740D"/>
    <w:rsid w:val="00F021EF"/>
    <w:rsid w:val="00F14BDB"/>
    <w:rsid w:val="00F2677A"/>
    <w:rsid w:val="00F27D29"/>
    <w:rsid w:val="00F403D8"/>
    <w:rsid w:val="00F424C9"/>
    <w:rsid w:val="00F619C6"/>
    <w:rsid w:val="00F661F7"/>
    <w:rsid w:val="00F66B41"/>
    <w:rsid w:val="00F82A0E"/>
    <w:rsid w:val="00F970FB"/>
    <w:rsid w:val="00FB39CB"/>
    <w:rsid w:val="00FC2254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ddd,silver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29E"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styleId="Header">
    <w:name w:val="header"/>
    <w:basedOn w:val="Normal"/>
    <w:link w:val="HeaderChar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500E80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6237"/>
      </w:tabs>
      <w:spacing w:after="200"/>
      <w:ind w:left="170" w:right="1134" w:hanging="170"/>
    </w:pPr>
    <w:rPr>
      <w:caps/>
    </w:rPr>
  </w:style>
  <w:style w:type="paragraph" w:customStyle="1" w:styleId="ContentsLevel1">
    <w:name w:val="Contents Level1"/>
    <w:basedOn w:val="Normal"/>
    <w:pPr>
      <w:tabs>
        <w:tab w:val="right" w:pos="6237"/>
      </w:tabs>
      <w:spacing w:after="60"/>
      <w:ind w:left="170" w:right="1134" w:hanging="170"/>
    </w:p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AC4315"/>
  </w:style>
  <w:style w:type="character" w:styleId="Hyperlink">
    <w:name w:val="Hyperlink"/>
    <w:basedOn w:val="DefaultParagraphFont"/>
    <w:rsid w:val="00737714"/>
    <w:rPr>
      <w:color w:val="0000FF"/>
      <w:u w:val="single"/>
    </w:rPr>
  </w:style>
  <w:style w:type="paragraph" w:customStyle="1" w:styleId="NumPlainA">
    <w:name w:val="Num PlainA"/>
    <w:basedOn w:val="Normal"/>
    <w:qFormat/>
    <w:rsid w:val="003B0CAA"/>
    <w:pPr>
      <w:numPr>
        <w:numId w:val="7"/>
      </w:numPr>
      <w:spacing w:after="200"/>
    </w:pPr>
  </w:style>
  <w:style w:type="paragraph" w:customStyle="1" w:styleId="NoNumPlain1">
    <w:name w:val="NoNum Plain1"/>
    <w:basedOn w:val="Normal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qFormat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426876"/>
    <w:pPr>
      <w:numPr>
        <w:numId w:val="1"/>
      </w:numPr>
      <w:spacing w:after="200"/>
    </w:pPr>
  </w:style>
  <w:style w:type="paragraph" w:customStyle="1" w:styleId="NumPlain2">
    <w:name w:val="Num Plain2"/>
    <w:basedOn w:val="NumPlain1"/>
    <w:rsid w:val="00426876"/>
    <w:pPr>
      <w:numPr>
        <w:ilvl w:val="1"/>
      </w:numPr>
    </w:pPr>
  </w:style>
  <w:style w:type="paragraph" w:customStyle="1" w:styleId="NumPlain3">
    <w:name w:val="Num Plain3"/>
    <w:basedOn w:val="NumPlain2"/>
    <w:rsid w:val="00426876"/>
    <w:pPr>
      <w:numPr>
        <w:ilvl w:val="2"/>
      </w:numPr>
    </w:pPr>
  </w:style>
  <w:style w:type="paragraph" w:customStyle="1" w:styleId="NumPlain4">
    <w:name w:val="Num Plain4"/>
    <w:basedOn w:val="NumPlain3"/>
    <w:rsid w:val="00426876"/>
    <w:pPr>
      <w:numPr>
        <w:ilvl w:val="3"/>
      </w:numPr>
    </w:pPr>
  </w:style>
  <w:style w:type="paragraph" w:customStyle="1" w:styleId="Bullet1">
    <w:name w:val="Bullet1"/>
    <w:basedOn w:val="Normal"/>
    <w:qFormat/>
    <w:rsid w:val="00F27D29"/>
    <w:pPr>
      <w:numPr>
        <w:numId w:val="6"/>
      </w:numPr>
      <w:spacing w:after="200"/>
    </w:pPr>
  </w:style>
  <w:style w:type="paragraph" w:customStyle="1" w:styleId="Bullet2">
    <w:name w:val="Bullet2"/>
    <w:basedOn w:val="Normal"/>
    <w:rsid w:val="00F27D29"/>
    <w:pPr>
      <w:numPr>
        <w:ilvl w:val="1"/>
        <w:numId w:val="6"/>
      </w:numPr>
      <w:spacing w:after="200"/>
    </w:pPr>
  </w:style>
  <w:style w:type="paragraph" w:customStyle="1" w:styleId="Bullet3">
    <w:name w:val="Bullet3"/>
    <w:basedOn w:val="Normal"/>
    <w:rsid w:val="00F27D29"/>
    <w:pPr>
      <w:numPr>
        <w:ilvl w:val="2"/>
        <w:numId w:val="6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rsid w:val="00F27D29"/>
    <w:pPr>
      <w:numPr>
        <w:ilvl w:val="3"/>
        <w:numId w:val="6"/>
      </w:numPr>
      <w:spacing w:after="200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pPr>
      <w:ind w:left="0" w:firstLine="0"/>
    </w:pPr>
  </w:style>
  <w:style w:type="paragraph" w:customStyle="1" w:styleId="AppendixNo">
    <w:name w:val="AppendixNo"/>
    <w:basedOn w:val="Normal"/>
    <w:next w:val="Normal"/>
    <w:rsid w:val="0058004D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BCHanging0">
    <w:name w:val="BC Hanging0"/>
    <w:basedOn w:val="NoNumPlain1"/>
    <w:qFormat/>
    <w:rsid w:val="0058004D"/>
    <w:pPr>
      <w:ind w:left="624" w:hanging="624"/>
    </w:pPr>
  </w:style>
  <w:style w:type="paragraph" w:customStyle="1" w:styleId="AppendixNote">
    <w:name w:val="AppendixNote"/>
    <w:basedOn w:val="Normal"/>
    <w:next w:val="Normal"/>
    <w:rsid w:val="002A201D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2A201D"/>
    <w:pPr>
      <w:spacing w:after="200"/>
    </w:pPr>
  </w:style>
  <w:style w:type="paragraph" w:customStyle="1" w:styleId="AppendixTitle">
    <w:name w:val="AppendixTitle"/>
    <w:basedOn w:val="Normal"/>
    <w:next w:val="AppendixNote"/>
    <w:rsid w:val="002A201D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NoNumBC2">
    <w:name w:val="NoNum BC2"/>
    <w:basedOn w:val="NoNumPlain1"/>
    <w:rsid w:val="0058004D"/>
    <w:pPr>
      <w:ind w:left="624"/>
    </w:pPr>
  </w:style>
  <w:style w:type="paragraph" w:customStyle="1" w:styleId="BCHanging1">
    <w:name w:val="BC Hanging1"/>
    <w:basedOn w:val="NoNumBC2"/>
    <w:rsid w:val="0058004D"/>
    <w:pPr>
      <w:ind w:left="1248" w:hanging="624"/>
    </w:pPr>
  </w:style>
  <w:style w:type="paragraph" w:customStyle="1" w:styleId="BCHanging2">
    <w:name w:val="BC Hanging2"/>
    <w:basedOn w:val="BCHanging1"/>
    <w:rsid w:val="0058004D"/>
    <w:pPr>
      <w:ind w:left="1871"/>
    </w:pPr>
  </w:style>
  <w:style w:type="paragraph" w:customStyle="1" w:styleId="BCHanging3">
    <w:name w:val="BC Hanging3"/>
    <w:basedOn w:val="BCHanging1"/>
    <w:rsid w:val="0058004D"/>
    <w:pPr>
      <w:ind w:left="2495"/>
    </w:pPr>
  </w:style>
  <w:style w:type="paragraph" w:customStyle="1" w:styleId="CoverSubtitle">
    <w:name w:val="Cover Subtitle"/>
    <w:basedOn w:val="CoverTitle"/>
    <w:rsid w:val="00500E80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401ECA"/>
    <w:pPr>
      <w:numPr>
        <w:numId w:val="3"/>
      </w:numPr>
      <w:spacing w:after="200"/>
    </w:pPr>
  </w:style>
  <w:style w:type="paragraph" w:customStyle="1" w:styleId="NumBold1">
    <w:name w:val="Num Bold1"/>
    <w:basedOn w:val="NumPlain1"/>
    <w:qFormat/>
    <w:rsid w:val="00027E8B"/>
    <w:rPr>
      <w:b/>
    </w:rPr>
  </w:style>
  <w:style w:type="paragraph" w:customStyle="1" w:styleId="NumBold2">
    <w:name w:val="Num Bold2"/>
    <w:basedOn w:val="NumPlain2"/>
    <w:rsid w:val="00027E8B"/>
    <w:rPr>
      <w:b/>
    </w:rPr>
  </w:style>
  <w:style w:type="paragraph" w:customStyle="1" w:styleId="NumBold3">
    <w:name w:val="Num Bold3"/>
    <w:basedOn w:val="NumPlain3"/>
    <w:rsid w:val="00027E8B"/>
    <w:rPr>
      <w:b/>
    </w:rPr>
  </w:style>
  <w:style w:type="paragraph" w:customStyle="1" w:styleId="NumBold4">
    <w:name w:val="Num Bold4"/>
    <w:basedOn w:val="NumPlain4"/>
    <w:rsid w:val="00027E8B"/>
    <w:rPr>
      <w:b/>
    </w:rPr>
  </w:style>
  <w:style w:type="paragraph" w:customStyle="1" w:styleId="PlainHanging1">
    <w:name w:val="Plain Hanging1"/>
    <w:basedOn w:val="NoNumPlain2"/>
    <w:rsid w:val="0039009E"/>
    <w:pPr>
      <w:ind w:left="1020" w:hanging="510"/>
    </w:pPr>
  </w:style>
  <w:style w:type="paragraph" w:customStyle="1" w:styleId="PlainHanging2">
    <w:name w:val="Plain Hanging2"/>
    <w:basedOn w:val="PlainHanging1"/>
    <w:rsid w:val="0039009E"/>
    <w:pPr>
      <w:ind w:left="1531"/>
    </w:pPr>
  </w:style>
  <w:style w:type="paragraph" w:customStyle="1" w:styleId="PlainHanging3">
    <w:name w:val="Plain Hanging3"/>
    <w:basedOn w:val="PlainHanging1"/>
    <w:rsid w:val="0039009E"/>
    <w:pPr>
      <w:ind w:left="2041"/>
    </w:pPr>
  </w:style>
  <w:style w:type="paragraph" w:customStyle="1" w:styleId="PlainHanging4">
    <w:name w:val="Plain Hanging4"/>
    <w:basedOn w:val="PlainHanging1"/>
    <w:rsid w:val="0039009E"/>
    <w:pPr>
      <w:ind w:left="2551"/>
    </w:pPr>
  </w:style>
  <w:style w:type="paragraph" w:customStyle="1" w:styleId="BoldHanging1">
    <w:name w:val="Bold Hanging1"/>
    <w:basedOn w:val="PlainHanging1"/>
    <w:rsid w:val="0039009E"/>
    <w:rPr>
      <w:b/>
    </w:rPr>
  </w:style>
  <w:style w:type="paragraph" w:customStyle="1" w:styleId="BoldHanging2">
    <w:name w:val="Bold Hanging2"/>
    <w:basedOn w:val="PlainHanging2"/>
    <w:rsid w:val="0039009E"/>
    <w:rPr>
      <w:b/>
    </w:rPr>
  </w:style>
  <w:style w:type="paragraph" w:customStyle="1" w:styleId="BoldHanging3">
    <w:name w:val="Bold Hanging3"/>
    <w:basedOn w:val="PlainHanging3"/>
    <w:rsid w:val="0039009E"/>
    <w:rPr>
      <w:b/>
    </w:rPr>
  </w:style>
  <w:style w:type="paragraph" w:customStyle="1" w:styleId="BoldHanging4">
    <w:name w:val="Bold Hanging4"/>
    <w:basedOn w:val="PlainHanging4"/>
    <w:rsid w:val="0039009E"/>
    <w:rPr>
      <w:b/>
    </w:rPr>
  </w:style>
  <w:style w:type="paragraph" w:customStyle="1" w:styleId="PlainHanging0">
    <w:name w:val="Plain Hanging0"/>
    <w:basedOn w:val="PlainHanging1"/>
    <w:qFormat/>
    <w:rsid w:val="003A488F"/>
    <w:pPr>
      <w:ind w:left="510"/>
    </w:pPr>
  </w:style>
  <w:style w:type="paragraph" w:customStyle="1" w:styleId="BoldHanging0">
    <w:name w:val="Bold Hanging0"/>
    <w:basedOn w:val="PlainHanging0"/>
    <w:qFormat/>
    <w:rsid w:val="003A488F"/>
    <w:rPr>
      <w:b/>
    </w:rPr>
  </w:style>
  <w:style w:type="paragraph" w:customStyle="1" w:styleId="BCHanging4">
    <w:name w:val="BC Hanging4"/>
    <w:basedOn w:val="BCHanging1"/>
    <w:rsid w:val="0058004D"/>
    <w:pPr>
      <w:ind w:left="3119"/>
    </w:pPr>
  </w:style>
  <w:style w:type="paragraph" w:customStyle="1" w:styleId="NoNumBC3">
    <w:name w:val="NoNum BC3"/>
    <w:basedOn w:val="NoNumBC2"/>
    <w:rsid w:val="0058004D"/>
    <w:pPr>
      <w:ind w:left="1247"/>
    </w:pPr>
  </w:style>
  <w:style w:type="paragraph" w:customStyle="1" w:styleId="NoNumBC4">
    <w:name w:val="NoNum BC4"/>
    <w:basedOn w:val="NoNumBC3"/>
    <w:rsid w:val="0058004D"/>
    <w:pPr>
      <w:ind w:left="1871"/>
    </w:pPr>
  </w:style>
  <w:style w:type="paragraph" w:customStyle="1" w:styleId="NumBC1">
    <w:name w:val="Num BC1"/>
    <w:basedOn w:val="Normal"/>
    <w:qFormat/>
    <w:rsid w:val="00426876"/>
    <w:pPr>
      <w:numPr>
        <w:numId w:val="4"/>
      </w:numPr>
      <w:spacing w:after="200"/>
    </w:pPr>
  </w:style>
  <w:style w:type="paragraph" w:customStyle="1" w:styleId="NumBC2">
    <w:name w:val="Num BC2"/>
    <w:basedOn w:val="NumBC1"/>
    <w:rsid w:val="00426876"/>
    <w:pPr>
      <w:numPr>
        <w:ilvl w:val="1"/>
      </w:numPr>
    </w:pPr>
  </w:style>
  <w:style w:type="paragraph" w:customStyle="1" w:styleId="NumBC3">
    <w:name w:val="Num BC3"/>
    <w:basedOn w:val="NumBC2"/>
    <w:rsid w:val="00426876"/>
    <w:pPr>
      <w:numPr>
        <w:ilvl w:val="2"/>
      </w:numPr>
    </w:pPr>
  </w:style>
  <w:style w:type="paragraph" w:customStyle="1" w:styleId="NumBC4">
    <w:name w:val="Num BC4"/>
    <w:basedOn w:val="NumBC3"/>
    <w:rsid w:val="00426876"/>
    <w:pPr>
      <w:numPr>
        <w:ilvl w:val="3"/>
      </w:numPr>
    </w:pPr>
  </w:style>
  <w:style w:type="numbering" w:customStyle="1" w:styleId="Bullets">
    <w:name w:val="Bullets"/>
    <w:uiPriority w:val="99"/>
    <w:rsid w:val="00F27D29"/>
    <w:pPr>
      <w:numPr>
        <w:numId w:val="5"/>
      </w:numPr>
    </w:pPr>
  </w:style>
  <w:style w:type="paragraph" w:customStyle="1" w:styleId="NumPlainA2">
    <w:name w:val="Num PlainA2"/>
    <w:basedOn w:val="NumPlainA"/>
    <w:rsid w:val="00171F51"/>
    <w:pPr>
      <w:numPr>
        <w:ilvl w:val="1"/>
      </w:numPr>
      <w:outlineLvl w:val="1"/>
    </w:pPr>
  </w:style>
  <w:style w:type="table" w:styleId="TableGrid">
    <w:name w:val="Table Grid"/>
    <w:basedOn w:val="TableNormal"/>
    <w:rsid w:val="00C03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NumPlain1">
    <w:name w:val="SubNum Plain1"/>
    <w:basedOn w:val="PlainHanging1"/>
    <w:qFormat/>
    <w:rsid w:val="00A96702"/>
    <w:pPr>
      <w:numPr>
        <w:numId w:val="9"/>
      </w:numPr>
    </w:pPr>
  </w:style>
  <w:style w:type="paragraph" w:customStyle="1" w:styleId="SubNumPlain2">
    <w:name w:val="SubNum Plain2"/>
    <w:basedOn w:val="PlainHanging2"/>
    <w:qFormat/>
    <w:rsid w:val="00A96702"/>
    <w:pPr>
      <w:numPr>
        <w:ilvl w:val="1"/>
        <w:numId w:val="9"/>
      </w:numPr>
    </w:pPr>
  </w:style>
  <w:style w:type="paragraph" w:customStyle="1" w:styleId="SubNumPlain3">
    <w:name w:val="SubNum Plain3"/>
    <w:basedOn w:val="PlainHanging3"/>
    <w:qFormat/>
    <w:rsid w:val="00A96702"/>
    <w:pPr>
      <w:numPr>
        <w:ilvl w:val="2"/>
        <w:numId w:val="9"/>
      </w:numPr>
    </w:pPr>
  </w:style>
  <w:style w:type="paragraph" w:customStyle="1" w:styleId="SubNumPlain4">
    <w:name w:val="SubNum Plain4"/>
    <w:basedOn w:val="PlainHanging4"/>
    <w:qFormat/>
    <w:rsid w:val="00A96702"/>
    <w:pPr>
      <w:numPr>
        <w:ilvl w:val="3"/>
        <w:numId w:val="9"/>
      </w:numPr>
    </w:pPr>
  </w:style>
  <w:style w:type="paragraph" w:customStyle="1" w:styleId="SubNumBold1">
    <w:name w:val="SubNum Bold1"/>
    <w:basedOn w:val="BoldHanging1"/>
    <w:qFormat/>
    <w:rsid w:val="00A96702"/>
    <w:pPr>
      <w:numPr>
        <w:numId w:val="10"/>
      </w:numPr>
    </w:pPr>
  </w:style>
  <w:style w:type="paragraph" w:customStyle="1" w:styleId="SubNumBold2">
    <w:name w:val="SubNum Bold2"/>
    <w:basedOn w:val="BoldHanging2"/>
    <w:qFormat/>
    <w:rsid w:val="00A96702"/>
    <w:pPr>
      <w:numPr>
        <w:ilvl w:val="1"/>
        <w:numId w:val="10"/>
      </w:numPr>
    </w:pPr>
  </w:style>
  <w:style w:type="paragraph" w:customStyle="1" w:styleId="SubNumBold3">
    <w:name w:val="SubNum Bold3"/>
    <w:basedOn w:val="BoldHanging3"/>
    <w:qFormat/>
    <w:rsid w:val="00A96702"/>
    <w:pPr>
      <w:numPr>
        <w:ilvl w:val="2"/>
        <w:numId w:val="10"/>
      </w:numPr>
    </w:pPr>
  </w:style>
  <w:style w:type="paragraph" w:customStyle="1" w:styleId="SubNumBold4">
    <w:name w:val="SubNum Bold4"/>
    <w:basedOn w:val="BoldHanging4"/>
    <w:qFormat/>
    <w:rsid w:val="00A96702"/>
    <w:pPr>
      <w:numPr>
        <w:ilvl w:val="3"/>
        <w:numId w:val="10"/>
      </w:numPr>
    </w:pPr>
  </w:style>
  <w:style w:type="numbering" w:customStyle="1" w:styleId="AASBSubNumbers">
    <w:name w:val="AASB SubNumbers"/>
    <w:uiPriority w:val="99"/>
    <w:rsid w:val="00A96702"/>
    <w:pPr>
      <w:numPr>
        <w:numId w:val="8"/>
      </w:numPr>
    </w:pPr>
  </w:style>
  <w:style w:type="numbering" w:customStyle="1" w:styleId="AASBSubNumbersBold">
    <w:name w:val="AASB SubNumbers Bold"/>
    <w:uiPriority w:val="99"/>
    <w:rsid w:val="00A96702"/>
    <w:pPr>
      <w:numPr>
        <w:numId w:val="10"/>
      </w:numPr>
    </w:pPr>
  </w:style>
  <w:style w:type="character" w:customStyle="1" w:styleId="NumPlain1Char">
    <w:name w:val="Num Plain1 Char"/>
    <w:basedOn w:val="DefaultParagraphFont"/>
    <w:link w:val="NumPlain1"/>
    <w:rsid w:val="008D56B9"/>
    <w:rPr>
      <w:lang w:eastAsia="en-US"/>
    </w:rPr>
  </w:style>
  <w:style w:type="paragraph" w:styleId="BalloonText">
    <w:name w:val="Balloon Text"/>
    <w:basedOn w:val="Normal"/>
    <w:link w:val="BalloonTextChar"/>
    <w:rsid w:val="000B6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B6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0B6B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6B6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B6B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6B6D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0B037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29E"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styleId="Header">
    <w:name w:val="header"/>
    <w:basedOn w:val="Normal"/>
    <w:link w:val="HeaderChar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500E80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6237"/>
      </w:tabs>
      <w:spacing w:after="200"/>
      <w:ind w:left="170" w:right="1134" w:hanging="170"/>
    </w:pPr>
    <w:rPr>
      <w:caps/>
    </w:rPr>
  </w:style>
  <w:style w:type="paragraph" w:customStyle="1" w:styleId="ContentsLevel1">
    <w:name w:val="Contents Level1"/>
    <w:basedOn w:val="Normal"/>
    <w:pPr>
      <w:tabs>
        <w:tab w:val="right" w:pos="6237"/>
      </w:tabs>
      <w:spacing w:after="60"/>
      <w:ind w:left="170" w:right="1134" w:hanging="170"/>
    </w:p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AC4315"/>
  </w:style>
  <w:style w:type="character" w:styleId="Hyperlink">
    <w:name w:val="Hyperlink"/>
    <w:basedOn w:val="DefaultParagraphFont"/>
    <w:rsid w:val="00737714"/>
    <w:rPr>
      <w:color w:val="0000FF"/>
      <w:u w:val="single"/>
    </w:rPr>
  </w:style>
  <w:style w:type="paragraph" w:customStyle="1" w:styleId="NumPlainA">
    <w:name w:val="Num PlainA"/>
    <w:basedOn w:val="Normal"/>
    <w:qFormat/>
    <w:rsid w:val="003B0CAA"/>
    <w:pPr>
      <w:numPr>
        <w:numId w:val="7"/>
      </w:numPr>
      <w:spacing w:after="200"/>
    </w:pPr>
  </w:style>
  <w:style w:type="paragraph" w:customStyle="1" w:styleId="NoNumPlain1">
    <w:name w:val="NoNum Plain1"/>
    <w:basedOn w:val="Normal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qFormat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426876"/>
    <w:pPr>
      <w:numPr>
        <w:numId w:val="1"/>
      </w:numPr>
      <w:spacing w:after="200"/>
    </w:pPr>
  </w:style>
  <w:style w:type="paragraph" w:customStyle="1" w:styleId="NumPlain2">
    <w:name w:val="Num Plain2"/>
    <w:basedOn w:val="NumPlain1"/>
    <w:rsid w:val="00426876"/>
    <w:pPr>
      <w:numPr>
        <w:ilvl w:val="1"/>
      </w:numPr>
    </w:pPr>
  </w:style>
  <w:style w:type="paragraph" w:customStyle="1" w:styleId="NumPlain3">
    <w:name w:val="Num Plain3"/>
    <w:basedOn w:val="NumPlain2"/>
    <w:rsid w:val="00426876"/>
    <w:pPr>
      <w:numPr>
        <w:ilvl w:val="2"/>
      </w:numPr>
    </w:pPr>
  </w:style>
  <w:style w:type="paragraph" w:customStyle="1" w:styleId="NumPlain4">
    <w:name w:val="Num Plain4"/>
    <w:basedOn w:val="NumPlain3"/>
    <w:rsid w:val="00426876"/>
    <w:pPr>
      <w:numPr>
        <w:ilvl w:val="3"/>
      </w:numPr>
    </w:pPr>
  </w:style>
  <w:style w:type="paragraph" w:customStyle="1" w:styleId="Bullet1">
    <w:name w:val="Bullet1"/>
    <w:basedOn w:val="Normal"/>
    <w:qFormat/>
    <w:rsid w:val="00F27D29"/>
    <w:pPr>
      <w:numPr>
        <w:numId w:val="6"/>
      </w:numPr>
      <w:spacing w:after="200"/>
    </w:pPr>
  </w:style>
  <w:style w:type="paragraph" w:customStyle="1" w:styleId="Bullet2">
    <w:name w:val="Bullet2"/>
    <w:basedOn w:val="Normal"/>
    <w:rsid w:val="00F27D29"/>
    <w:pPr>
      <w:numPr>
        <w:ilvl w:val="1"/>
        <w:numId w:val="6"/>
      </w:numPr>
      <w:spacing w:after="200"/>
    </w:pPr>
  </w:style>
  <w:style w:type="paragraph" w:customStyle="1" w:styleId="Bullet3">
    <w:name w:val="Bullet3"/>
    <w:basedOn w:val="Normal"/>
    <w:rsid w:val="00F27D29"/>
    <w:pPr>
      <w:numPr>
        <w:ilvl w:val="2"/>
        <w:numId w:val="6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rsid w:val="00F27D29"/>
    <w:pPr>
      <w:numPr>
        <w:ilvl w:val="3"/>
        <w:numId w:val="6"/>
      </w:numPr>
      <w:spacing w:after="200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pPr>
      <w:ind w:left="0" w:firstLine="0"/>
    </w:pPr>
  </w:style>
  <w:style w:type="paragraph" w:customStyle="1" w:styleId="AppendixNo">
    <w:name w:val="AppendixNo"/>
    <w:basedOn w:val="Normal"/>
    <w:next w:val="Normal"/>
    <w:rsid w:val="0058004D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BCHanging0">
    <w:name w:val="BC Hanging0"/>
    <w:basedOn w:val="NoNumPlain1"/>
    <w:qFormat/>
    <w:rsid w:val="0058004D"/>
    <w:pPr>
      <w:ind w:left="624" w:hanging="624"/>
    </w:pPr>
  </w:style>
  <w:style w:type="paragraph" w:customStyle="1" w:styleId="AppendixNote">
    <w:name w:val="AppendixNote"/>
    <w:basedOn w:val="Normal"/>
    <w:next w:val="Normal"/>
    <w:rsid w:val="002A201D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2A201D"/>
    <w:pPr>
      <w:spacing w:after="200"/>
    </w:pPr>
  </w:style>
  <w:style w:type="paragraph" w:customStyle="1" w:styleId="AppendixTitle">
    <w:name w:val="AppendixTitle"/>
    <w:basedOn w:val="Normal"/>
    <w:next w:val="AppendixNote"/>
    <w:rsid w:val="002A201D"/>
    <w:pPr>
      <w:keepNext/>
      <w:spacing w:after="200" w:line="280" w:lineRule="exact"/>
      <w:jc w:val="center"/>
      <w:outlineLvl w:val="0"/>
    </w:pPr>
    <w:rPr>
      <w:b/>
      <w:caps/>
      <w:sz w:val="28"/>
      <w:szCs w:val="28"/>
    </w:rPr>
  </w:style>
  <w:style w:type="paragraph" w:customStyle="1" w:styleId="NoNumBC2">
    <w:name w:val="NoNum BC2"/>
    <w:basedOn w:val="NoNumPlain1"/>
    <w:rsid w:val="0058004D"/>
    <w:pPr>
      <w:ind w:left="624"/>
    </w:pPr>
  </w:style>
  <w:style w:type="paragraph" w:customStyle="1" w:styleId="BCHanging1">
    <w:name w:val="BC Hanging1"/>
    <w:basedOn w:val="NoNumBC2"/>
    <w:rsid w:val="0058004D"/>
    <w:pPr>
      <w:ind w:left="1248" w:hanging="624"/>
    </w:pPr>
  </w:style>
  <w:style w:type="paragraph" w:customStyle="1" w:styleId="BCHanging2">
    <w:name w:val="BC Hanging2"/>
    <w:basedOn w:val="BCHanging1"/>
    <w:rsid w:val="0058004D"/>
    <w:pPr>
      <w:ind w:left="1871"/>
    </w:pPr>
  </w:style>
  <w:style w:type="paragraph" w:customStyle="1" w:styleId="BCHanging3">
    <w:name w:val="BC Hanging3"/>
    <w:basedOn w:val="BCHanging1"/>
    <w:rsid w:val="0058004D"/>
    <w:pPr>
      <w:ind w:left="2495"/>
    </w:pPr>
  </w:style>
  <w:style w:type="paragraph" w:customStyle="1" w:styleId="CoverSubtitle">
    <w:name w:val="Cover Subtitle"/>
    <w:basedOn w:val="CoverTitle"/>
    <w:rsid w:val="00500E80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401ECA"/>
    <w:pPr>
      <w:numPr>
        <w:numId w:val="3"/>
      </w:numPr>
      <w:spacing w:after="200"/>
    </w:pPr>
  </w:style>
  <w:style w:type="paragraph" w:customStyle="1" w:styleId="NumBold1">
    <w:name w:val="Num Bold1"/>
    <w:basedOn w:val="NumPlain1"/>
    <w:qFormat/>
    <w:rsid w:val="00027E8B"/>
    <w:rPr>
      <w:b/>
    </w:rPr>
  </w:style>
  <w:style w:type="paragraph" w:customStyle="1" w:styleId="NumBold2">
    <w:name w:val="Num Bold2"/>
    <w:basedOn w:val="NumPlain2"/>
    <w:rsid w:val="00027E8B"/>
    <w:rPr>
      <w:b/>
    </w:rPr>
  </w:style>
  <w:style w:type="paragraph" w:customStyle="1" w:styleId="NumBold3">
    <w:name w:val="Num Bold3"/>
    <w:basedOn w:val="NumPlain3"/>
    <w:rsid w:val="00027E8B"/>
    <w:rPr>
      <w:b/>
    </w:rPr>
  </w:style>
  <w:style w:type="paragraph" w:customStyle="1" w:styleId="NumBold4">
    <w:name w:val="Num Bold4"/>
    <w:basedOn w:val="NumPlain4"/>
    <w:rsid w:val="00027E8B"/>
    <w:rPr>
      <w:b/>
    </w:rPr>
  </w:style>
  <w:style w:type="paragraph" w:customStyle="1" w:styleId="PlainHanging1">
    <w:name w:val="Plain Hanging1"/>
    <w:basedOn w:val="NoNumPlain2"/>
    <w:rsid w:val="0039009E"/>
    <w:pPr>
      <w:ind w:left="1020" w:hanging="510"/>
    </w:pPr>
  </w:style>
  <w:style w:type="paragraph" w:customStyle="1" w:styleId="PlainHanging2">
    <w:name w:val="Plain Hanging2"/>
    <w:basedOn w:val="PlainHanging1"/>
    <w:rsid w:val="0039009E"/>
    <w:pPr>
      <w:ind w:left="1531"/>
    </w:pPr>
  </w:style>
  <w:style w:type="paragraph" w:customStyle="1" w:styleId="PlainHanging3">
    <w:name w:val="Plain Hanging3"/>
    <w:basedOn w:val="PlainHanging1"/>
    <w:rsid w:val="0039009E"/>
    <w:pPr>
      <w:ind w:left="2041"/>
    </w:pPr>
  </w:style>
  <w:style w:type="paragraph" w:customStyle="1" w:styleId="PlainHanging4">
    <w:name w:val="Plain Hanging4"/>
    <w:basedOn w:val="PlainHanging1"/>
    <w:rsid w:val="0039009E"/>
    <w:pPr>
      <w:ind w:left="2551"/>
    </w:pPr>
  </w:style>
  <w:style w:type="paragraph" w:customStyle="1" w:styleId="BoldHanging1">
    <w:name w:val="Bold Hanging1"/>
    <w:basedOn w:val="PlainHanging1"/>
    <w:rsid w:val="0039009E"/>
    <w:rPr>
      <w:b/>
    </w:rPr>
  </w:style>
  <w:style w:type="paragraph" w:customStyle="1" w:styleId="BoldHanging2">
    <w:name w:val="Bold Hanging2"/>
    <w:basedOn w:val="PlainHanging2"/>
    <w:rsid w:val="0039009E"/>
    <w:rPr>
      <w:b/>
    </w:rPr>
  </w:style>
  <w:style w:type="paragraph" w:customStyle="1" w:styleId="BoldHanging3">
    <w:name w:val="Bold Hanging3"/>
    <w:basedOn w:val="PlainHanging3"/>
    <w:rsid w:val="0039009E"/>
    <w:rPr>
      <w:b/>
    </w:rPr>
  </w:style>
  <w:style w:type="paragraph" w:customStyle="1" w:styleId="BoldHanging4">
    <w:name w:val="Bold Hanging4"/>
    <w:basedOn w:val="PlainHanging4"/>
    <w:rsid w:val="0039009E"/>
    <w:rPr>
      <w:b/>
    </w:rPr>
  </w:style>
  <w:style w:type="paragraph" w:customStyle="1" w:styleId="PlainHanging0">
    <w:name w:val="Plain Hanging0"/>
    <w:basedOn w:val="PlainHanging1"/>
    <w:qFormat/>
    <w:rsid w:val="003A488F"/>
    <w:pPr>
      <w:ind w:left="510"/>
    </w:pPr>
  </w:style>
  <w:style w:type="paragraph" w:customStyle="1" w:styleId="BoldHanging0">
    <w:name w:val="Bold Hanging0"/>
    <w:basedOn w:val="PlainHanging0"/>
    <w:qFormat/>
    <w:rsid w:val="003A488F"/>
    <w:rPr>
      <w:b/>
    </w:rPr>
  </w:style>
  <w:style w:type="paragraph" w:customStyle="1" w:styleId="BCHanging4">
    <w:name w:val="BC Hanging4"/>
    <w:basedOn w:val="BCHanging1"/>
    <w:rsid w:val="0058004D"/>
    <w:pPr>
      <w:ind w:left="3119"/>
    </w:pPr>
  </w:style>
  <w:style w:type="paragraph" w:customStyle="1" w:styleId="NoNumBC3">
    <w:name w:val="NoNum BC3"/>
    <w:basedOn w:val="NoNumBC2"/>
    <w:rsid w:val="0058004D"/>
    <w:pPr>
      <w:ind w:left="1247"/>
    </w:pPr>
  </w:style>
  <w:style w:type="paragraph" w:customStyle="1" w:styleId="NoNumBC4">
    <w:name w:val="NoNum BC4"/>
    <w:basedOn w:val="NoNumBC3"/>
    <w:rsid w:val="0058004D"/>
    <w:pPr>
      <w:ind w:left="1871"/>
    </w:pPr>
  </w:style>
  <w:style w:type="paragraph" w:customStyle="1" w:styleId="NumBC1">
    <w:name w:val="Num BC1"/>
    <w:basedOn w:val="Normal"/>
    <w:qFormat/>
    <w:rsid w:val="00426876"/>
    <w:pPr>
      <w:numPr>
        <w:numId w:val="4"/>
      </w:numPr>
      <w:spacing w:after="200"/>
    </w:pPr>
  </w:style>
  <w:style w:type="paragraph" w:customStyle="1" w:styleId="NumBC2">
    <w:name w:val="Num BC2"/>
    <w:basedOn w:val="NumBC1"/>
    <w:rsid w:val="00426876"/>
    <w:pPr>
      <w:numPr>
        <w:ilvl w:val="1"/>
      </w:numPr>
    </w:pPr>
  </w:style>
  <w:style w:type="paragraph" w:customStyle="1" w:styleId="NumBC3">
    <w:name w:val="Num BC3"/>
    <w:basedOn w:val="NumBC2"/>
    <w:rsid w:val="00426876"/>
    <w:pPr>
      <w:numPr>
        <w:ilvl w:val="2"/>
      </w:numPr>
    </w:pPr>
  </w:style>
  <w:style w:type="paragraph" w:customStyle="1" w:styleId="NumBC4">
    <w:name w:val="Num BC4"/>
    <w:basedOn w:val="NumBC3"/>
    <w:rsid w:val="00426876"/>
    <w:pPr>
      <w:numPr>
        <w:ilvl w:val="3"/>
      </w:numPr>
    </w:pPr>
  </w:style>
  <w:style w:type="numbering" w:customStyle="1" w:styleId="Bullets">
    <w:name w:val="Bullets"/>
    <w:uiPriority w:val="99"/>
    <w:rsid w:val="00F27D29"/>
    <w:pPr>
      <w:numPr>
        <w:numId w:val="5"/>
      </w:numPr>
    </w:pPr>
  </w:style>
  <w:style w:type="paragraph" w:customStyle="1" w:styleId="NumPlainA2">
    <w:name w:val="Num PlainA2"/>
    <w:basedOn w:val="NumPlainA"/>
    <w:rsid w:val="00171F51"/>
    <w:pPr>
      <w:numPr>
        <w:ilvl w:val="1"/>
      </w:numPr>
      <w:outlineLvl w:val="1"/>
    </w:pPr>
  </w:style>
  <w:style w:type="table" w:styleId="TableGrid">
    <w:name w:val="Table Grid"/>
    <w:basedOn w:val="TableNormal"/>
    <w:rsid w:val="00C03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NumPlain1">
    <w:name w:val="SubNum Plain1"/>
    <w:basedOn w:val="PlainHanging1"/>
    <w:qFormat/>
    <w:rsid w:val="00A96702"/>
    <w:pPr>
      <w:numPr>
        <w:numId w:val="9"/>
      </w:numPr>
    </w:pPr>
  </w:style>
  <w:style w:type="paragraph" w:customStyle="1" w:styleId="SubNumPlain2">
    <w:name w:val="SubNum Plain2"/>
    <w:basedOn w:val="PlainHanging2"/>
    <w:qFormat/>
    <w:rsid w:val="00A96702"/>
    <w:pPr>
      <w:numPr>
        <w:ilvl w:val="1"/>
        <w:numId w:val="9"/>
      </w:numPr>
    </w:pPr>
  </w:style>
  <w:style w:type="paragraph" w:customStyle="1" w:styleId="SubNumPlain3">
    <w:name w:val="SubNum Plain3"/>
    <w:basedOn w:val="PlainHanging3"/>
    <w:qFormat/>
    <w:rsid w:val="00A96702"/>
    <w:pPr>
      <w:numPr>
        <w:ilvl w:val="2"/>
        <w:numId w:val="9"/>
      </w:numPr>
    </w:pPr>
  </w:style>
  <w:style w:type="paragraph" w:customStyle="1" w:styleId="SubNumPlain4">
    <w:name w:val="SubNum Plain4"/>
    <w:basedOn w:val="PlainHanging4"/>
    <w:qFormat/>
    <w:rsid w:val="00A96702"/>
    <w:pPr>
      <w:numPr>
        <w:ilvl w:val="3"/>
        <w:numId w:val="9"/>
      </w:numPr>
    </w:pPr>
  </w:style>
  <w:style w:type="paragraph" w:customStyle="1" w:styleId="SubNumBold1">
    <w:name w:val="SubNum Bold1"/>
    <w:basedOn w:val="BoldHanging1"/>
    <w:qFormat/>
    <w:rsid w:val="00A96702"/>
    <w:pPr>
      <w:numPr>
        <w:numId w:val="10"/>
      </w:numPr>
    </w:pPr>
  </w:style>
  <w:style w:type="paragraph" w:customStyle="1" w:styleId="SubNumBold2">
    <w:name w:val="SubNum Bold2"/>
    <w:basedOn w:val="BoldHanging2"/>
    <w:qFormat/>
    <w:rsid w:val="00A96702"/>
    <w:pPr>
      <w:numPr>
        <w:ilvl w:val="1"/>
        <w:numId w:val="10"/>
      </w:numPr>
    </w:pPr>
  </w:style>
  <w:style w:type="paragraph" w:customStyle="1" w:styleId="SubNumBold3">
    <w:name w:val="SubNum Bold3"/>
    <w:basedOn w:val="BoldHanging3"/>
    <w:qFormat/>
    <w:rsid w:val="00A96702"/>
    <w:pPr>
      <w:numPr>
        <w:ilvl w:val="2"/>
        <w:numId w:val="10"/>
      </w:numPr>
    </w:pPr>
  </w:style>
  <w:style w:type="paragraph" w:customStyle="1" w:styleId="SubNumBold4">
    <w:name w:val="SubNum Bold4"/>
    <w:basedOn w:val="BoldHanging4"/>
    <w:qFormat/>
    <w:rsid w:val="00A96702"/>
    <w:pPr>
      <w:numPr>
        <w:ilvl w:val="3"/>
        <w:numId w:val="10"/>
      </w:numPr>
    </w:pPr>
  </w:style>
  <w:style w:type="numbering" w:customStyle="1" w:styleId="AASBSubNumbers">
    <w:name w:val="AASB SubNumbers"/>
    <w:uiPriority w:val="99"/>
    <w:rsid w:val="00A96702"/>
    <w:pPr>
      <w:numPr>
        <w:numId w:val="8"/>
      </w:numPr>
    </w:pPr>
  </w:style>
  <w:style w:type="numbering" w:customStyle="1" w:styleId="AASBSubNumbersBold">
    <w:name w:val="AASB SubNumbers Bold"/>
    <w:uiPriority w:val="99"/>
    <w:rsid w:val="00A96702"/>
    <w:pPr>
      <w:numPr>
        <w:numId w:val="10"/>
      </w:numPr>
    </w:pPr>
  </w:style>
  <w:style w:type="character" w:customStyle="1" w:styleId="NumPlain1Char">
    <w:name w:val="Num Plain1 Char"/>
    <w:basedOn w:val="DefaultParagraphFont"/>
    <w:link w:val="NumPlain1"/>
    <w:rsid w:val="008D56B9"/>
    <w:rPr>
      <w:lang w:eastAsia="en-US"/>
    </w:rPr>
  </w:style>
  <w:style w:type="paragraph" w:styleId="BalloonText">
    <w:name w:val="Balloon Text"/>
    <w:basedOn w:val="Normal"/>
    <w:link w:val="BalloonTextChar"/>
    <w:rsid w:val="000B6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B6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0B6B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6B6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B6B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6B6D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0B03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el_1\shareddata\General\AASB\Templates\2010\WordGlobal\AmendingStand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E9BB-54AC-48DE-B8B1-3739E33B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AmendingStandard</Template>
  <TotalTime>55</TotalTime>
  <Pages>8</Pages>
  <Words>1229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Amending Standard</vt:lpstr>
    </vt:vector>
  </TitlesOfParts>
  <Company>Australian Accounting Standards Board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Amending Standard 2015-10</dc:title>
  <dc:creator>Steenkamp, Shaun</dc:creator>
  <cp:lastModifiedBy>John, Kathleen</cp:lastModifiedBy>
  <cp:revision>5</cp:revision>
  <cp:lastPrinted>2015-12-21T22:58:00Z</cp:lastPrinted>
  <dcterms:created xsi:type="dcterms:W3CDTF">2015-12-21T21:37:00Z</dcterms:created>
  <dcterms:modified xsi:type="dcterms:W3CDTF">2015-12-21T22:59:00Z</dcterms:modified>
</cp:coreProperties>
</file>