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84" w:rsidRPr="00D36C43" w:rsidRDefault="00416D84" w:rsidP="00DC646A">
      <w:pPr>
        <w:spacing w:after="120"/>
        <w:jc w:val="center"/>
        <w:rPr>
          <w:b/>
        </w:rPr>
      </w:pPr>
      <w:bookmarkStart w:id="0" w:name="_GoBack"/>
      <w:bookmarkEnd w:id="0"/>
      <w:r w:rsidRPr="00D36C43">
        <w:rPr>
          <w:b/>
        </w:rPr>
        <w:t>EXPLANATORY STATEMENT</w:t>
      </w:r>
    </w:p>
    <w:p w:rsidR="00416D84" w:rsidRPr="0020795D" w:rsidRDefault="0020795D" w:rsidP="00DC646A">
      <w:pPr>
        <w:spacing w:after="120"/>
        <w:jc w:val="center"/>
        <w:rPr>
          <w:i/>
        </w:rPr>
      </w:pPr>
      <w:r w:rsidRPr="0020795D">
        <w:rPr>
          <w:i/>
        </w:rPr>
        <w:t>National Health Act 1953</w:t>
      </w:r>
    </w:p>
    <w:p w:rsidR="003C1187" w:rsidRPr="008D6467" w:rsidRDefault="0020795D" w:rsidP="00DC646A">
      <w:pPr>
        <w:jc w:val="center"/>
        <w:rPr>
          <w:b/>
          <w:i/>
        </w:rPr>
      </w:pPr>
      <w:r w:rsidRPr="008D6467">
        <w:rPr>
          <w:b/>
          <w:i/>
        </w:rPr>
        <w:t>National Health (Pharmaceutical benefits</w:t>
      </w:r>
      <w:r w:rsidR="003D172E">
        <w:rPr>
          <w:b/>
          <w:i/>
        </w:rPr>
        <w:t xml:space="preserve"> -</w:t>
      </w:r>
      <w:r w:rsidRPr="008D6467">
        <w:rPr>
          <w:b/>
          <w:i/>
        </w:rPr>
        <w:t xml:space="preserve"> early supply) </w:t>
      </w:r>
      <w:r w:rsidR="00AE1A0A" w:rsidRPr="008D6467">
        <w:rPr>
          <w:b/>
          <w:i/>
        </w:rPr>
        <w:t>I</w:t>
      </w:r>
      <w:r w:rsidRPr="008D6467">
        <w:rPr>
          <w:b/>
          <w:i/>
        </w:rPr>
        <w:t>nstrument 201</w:t>
      </w:r>
      <w:r w:rsidR="003A1314">
        <w:rPr>
          <w:b/>
          <w:i/>
        </w:rPr>
        <w:t>5</w:t>
      </w:r>
    </w:p>
    <w:p w:rsidR="001932D1" w:rsidRPr="00AB484A" w:rsidRDefault="00416D84" w:rsidP="00DC646A">
      <w:pPr>
        <w:spacing w:before="120"/>
        <w:jc w:val="center"/>
        <w:rPr>
          <w:b/>
        </w:rPr>
      </w:pPr>
      <w:r w:rsidRPr="00AB484A">
        <w:rPr>
          <w:b/>
        </w:rPr>
        <w:t xml:space="preserve">PB </w:t>
      </w:r>
      <w:r w:rsidR="0020795D" w:rsidRPr="00DC646A">
        <w:rPr>
          <w:b/>
        </w:rPr>
        <w:t>120</w:t>
      </w:r>
      <w:r w:rsidRPr="00DC646A">
        <w:rPr>
          <w:b/>
        </w:rPr>
        <w:t xml:space="preserve"> of </w:t>
      </w:r>
      <w:r w:rsidR="004D1765" w:rsidRPr="00DC646A">
        <w:rPr>
          <w:b/>
        </w:rPr>
        <w:t>201</w:t>
      </w:r>
      <w:r w:rsidR="00307DDC" w:rsidRPr="00DC646A">
        <w:rPr>
          <w:b/>
        </w:rPr>
        <w:t>5</w:t>
      </w:r>
    </w:p>
    <w:p w:rsidR="00060E04" w:rsidRPr="002D7210" w:rsidRDefault="00060E04" w:rsidP="00DC646A">
      <w:pPr>
        <w:rPr>
          <w:b/>
        </w:rPr>
      </w:pPr>
    </w:p>
    <w:p w:rsidR="00416D84" w:rsidRPr="002D7210" w:rsidRDefault="00416D84" w:rsidP="006A188E">
      <w:pPr>
        <w:tabs>
          <w:tab w:val="left" w:pos="3969"/>
        </w:tabs>
        <w:spacing w:after="60"/>
        <w:rPr>
          <w:b/>
        </w:rPr>
      </w:pPr>
      <w:r w:rsidRPr="002D7210">
        <w:rPr>
          <w:b/>
        </w:rPr>
        <w:t>Authority</w:t>
      </w:r>
    </w:p>
    <w:p w:rsidR="003D172E" w:rsidRDefault="00DC646A" w:rsidP="003D172E">
      <w:r w:rsidRPr="002D7210">
        <w:t>Subsection</w:t>
      </w:r>
      <w:r w:rsidR="006A188E">
        <w:t> </w:t>
      </w:r>
      <w:r w:rsidRPr="002D7210">
        <w:t xml:space="preserve">84AAA(2) of the </w:t>
      </w:r>
      <w:r w:rsidRPr="00B67364">
        <w:rPr>
          <w:i/>
        </w:rPr>
        <w:t>National Health Act 1953</w:t>
      </w:r>
      <w:r w:rsidRPr="00B67364">
        <w:t xml:space="preserve"> (the Act)</w:t>
      </w:r>
      <w:r w:rsidRPr="002D7210">
        <w:t xml:space="preserve"> provides that </w:t>
      </w:r>
      <w:r w:rsidR="003D172E">
        <w:t xml:space="preserve">in relation to early supply of a pharmaceutical benefit </w:t>
      </w:r>
      <w:r w:rsidRPr="002D7210">
        <w:t>the Minister may specify, by legislative instrument, pharmaceutical items for the purposes of paragraph</w:t>
      </w:r>
      <w:r>
        <w:t> </w:t>
      </w:r>
      <w:r w:rsidRPr="002D7210">
        <w:t>84AAA(1)(</w:t>
      </w:r>
      <w:r w:rsidR="003D172E">
        <w:t>a</w:t>
      </w:r>
      <w:r w:rsidRPr="002D7210">
        <w:t xml:space="preserve">) </w:t>
      </w:r>
      <w:r w:rsidR="006A188E">
        <w:t xml:space="preserve">and </w:t>
      </w:r>
      <w:r w:rsidR="003D172E" w:rsidRPr="006661C3">
        <w:t xml:space="preserve">periods following </w:t>
      </w:r>
      <w:r w:rsidR="006A188E">
        <w:t xml:space="preserve">a </w:t>
      </w:r>
      <w:r w:rsidR="003D172E" w:rsidRPr="006661C3">
        <w:t>previous supply for paragraph </w:t>
      </w:r>
      <w:r w:rsidR="006A188E">
        <w:t>84AAA</w:t>
      </w:r>
      <w:r w:rsidR="003D172E" w:rsidRPr="006661C3">
        <w:t>(1)(b)</w:t>
      </w:r>
      <w:r w:rsidR="003A1314">
        <w:t xml:space="preserve"> of the Act</w:t>
      </w:r>
      <w:r w:rsidR="003D172E" w:rsidRPr="006661C3">
        <w:t>.</w:t>
      </w:r>
    </w:p>
    <w:p w:rsidR="00DC646A" w:rsidRDefault="00DC646A" w:rsidP="00DC646A"/>
    <w:p w:rsidR="000D7606" w:rsidRDefault="000D7606" w:rsidP="0015127B">
      <w:pPr>
        <w:spacing w:after="60"/>
        <w:rPr>
          <w:b/>
        </w:rPr>
      </w:pPr>
      <w:r w:rsidRPr="000945AE">
        <w:rPr>
          <w:b/>
        </w:rPr>
        <w:t>Purpose</w:t>
      </w:r>
    </w:p>
    <w:p w:rsidR="004A7C95" w:rsidRDefault="004A7C95" w:rsidP="008B3EEA">
      <w:r>
        <w:t>The purpose of this legislative instrument is to specify the pharmaceutical items that are in pharmaceutical benefits for which Pharmaceutical Benefits Scheme</w:t>
      </w:r>
      <w:r w:rsidR="0093231A">
        <w:t xml:space="preserve"> (PBS</w:t>
      </w:r>
      <w:r>
        <w:t>) safety net entitlements will not apply for early supplies, and to specify the period following previous supply.</w:t>
      </w:r>
    </w:p>
    <w:p w:rsidR="004A7C95" w:rsidRDefault="004A7C95" w:rsidP="008B3EEA"/>
    <w:p w:rsidR="00ED2B5A" w:rsidRDefault="004A7C95" w:rsidP="008B3EEA">
      <w:pPr>
        <w:rPr>
          <w:lang w:val="en-US"/>
        </w:rPr>
      </w:pPr>
      <w:r>
        <w:t xml:space="preserve">This legislative instrument revokes and replaces the </w:t>
      </w:r>
      <w:r w:rsidR="008B3EEA" w:rsidRPr="00B67364">
        <w:rPr>
          <w:i/>
        </w:rPr>
        <w:t>National Health (Pharmaceutical Benefits – Early Supply) Instrument 2009 – specification under subsection</w:t>
      </w:r>
      <w:r w:rsidR="00B74BAC">
        <w:rPr>
          <w:i/>
        </w:rPr>
        <w:t> </w:t>
      </w:r>
      <w:r w:rsidR="008B3EEA" w:rsidRPr="00B67364">
        <w:rPr>
          <w:i/>
        </w:rPr>
        <w:t xml:space="preserve">84AAA(2) </w:t>
      </w:r>
      <w:r w:rsidR="008B3EEA" w:rsidRPr="00B67364">
        <w:t>(PB</w:t>
      </w:r>
      <w:r w:rsidR="001D2696">
        <w:t> </w:t>
      </w:r>
      <w:r w:rsidR="008B3EEA" w:rsidRPr="00B67364">
        <w:t>30</w:t>
      </w:r>
      <w:r w:rsidR="001D2696">
        <w:t> </w:t>
      </w:r>
      <w:r w:rsidR="008B3EEA" w:rsidRPr="00B67364">
        <w:t>of</w:t>
      </w:r>
      <w:r w:rsidR="001D2696">
        <w:t> </w:t>
      </w:r>
      <w:r w:rsidR="008B3EEA" w:rsidRPr="00B67364">
        <w:t>2009)</w:t>
      </w:r>
      <w:r w:rsidR="00ED2B5A">
        <w:t xml:space="preserve"> to</w:t>
      </w:r>
      <w:r w:rsidR="008B3EEA" w:rsidRPr="00B67364">
        <w:t xml:space="preserve"> </w:t>
      </w:r>
      <w:r w:rsidR="00C71AD2">
        <w:t xml:space="preserve">reflect </w:t>
      </w:r>
      <w:r w:rsidR="000D1ED0">
        <w:t xml:space="preserve">a </w:t>
      </w:r>
      <w:r w:rsidR="00C71AD2">
        <w:t xml:space="preserve">change to the Act made </w:t>
      </w:r>
      <w:r w:rsidR="0035289B">
        <w:t xml:space="preserve">by the </w:t>
      </w:r>
      <w:r w:rsidR="0035289B" w:rsidRPr="00580ABF">
        <w:rPr>
          <w:i/>
          <w:lang w:val="en-US"/>
        </w:rPr>
        <w:t xml:space="preserve">National Health Amendment (Pharmaceutical Benefits) Act 2015 </w:t>
      </w:r>
      <w:r w:rsidR="0035289B" w:rsidRPr="00580ABF">
        <w:rPr>
          <w:lang w:val="en-US"/>
        </w:rPr>
        <w:t>(the Amending Act)</w:t>
      </w:r>
      <w:r w:rsidR="00ED2B5A">
        <w:rPr>
          <w:lang w:val="en-US"/>
        </w:rPr>
        <w:t>, commencing 1</w:t>
      </w:r>
      <w:r w:rsidR="001D2696">
        <w:rPr>
          <w:lang w:val="en-US"/>
        </w:rPr>
        <w:t> </w:t>
      </w:r>
      <w:r w:rsidR="00ED2B5A">
        <w:rPr>
          <w:lang w:val="en-US"/>
        </w:rPr>
        <w:t>January</w:t>
      </w:r>
      <w:r w:rsidR="001D2696">
        <w:rPr>
          <w:lang w:val="en-US"/>
        </w:rPr>
        <w:t> </w:t>
      </w:r>
      <w:r w:rsidR="00ED2B5A">
        <w:rPr>
          <w:lang w:val="en-US"/>
        </w:rPr>
        <w:t xml:space="preserve">2016. </w:t>
      </w:r>
      <w:r w:rsidR="001D2696">
        <w:rPr>
          <w:lang w:val="en-US"/>
        </w:rPr>
        <w:t xml:space="preserve"> </w:t>
      </w:r>
      <w:r w:rsidR="00ED2B5A">
        <w:rPr>
          <w:lang w:val="en-US"/>
        </w:rPr>
        <w:t>The</w:t>
      </w:r>
      <w:r w:rsidR="001D2696">
        <w:rPr>
          <w:lang w:val="en-US"/>
        </w:rPr>
        <w:t> </w:t>
      </w:r>
      <w:r w:rsidR="00ED2B5A">
        <w:rPr>
          <w:lang w:val="en-US"/>
        </w:rPr>
        <w:t>Amending Act is part of the PBS Access and Sustainability Package.</w:t>
      </w:r>
    </w:p>
    <w:p w:rsidR="00ED2B5A" w:rsidRDefault="00ED2B5A" w:rsidP="008B3EEA">
      <w:pPr>
        <w:rPr>
          <w:lang w:val="en-US"/>
        </w:rPr>
      </w:pPr>
    </w:p>
    <w:p w:rsidR="008B3EEA" w:rsidRPr="00ED2B5A" w:rsidRDefault="00ED2B5A" w:rsidP="008B3EEA">
      <w:r>
        <w:rPr>
          <w:lang w:val="en-US"/>
        </w:rPr>
        <w:t>The change to the Act</w:t>
      </w:r>
      <w:r w:rsidR="000D1ED0">
        <w:rPr>
          <w:lang w:val="en-US"/>
        </w:rPr>
        <w:t xml:space="preserve"> requires the Minister to specify the early supply period</w:t>
      </w:r>
      <w:r>
        <w:rPr>
          <w:lang w:val="en-US"/>
        </w:rPr>
        <w:t>.</w:t>
      </w:r>
      <w:r w:rsidR="000D1ED0">
        <w:rPr>
          <w:lang w:val="en-US"/>
        </w:rPr>
        <w:t xml:space="preserve"> </w:t>
      </w:r>
      <w:r>
        <w:rPr>
          <w:lang w:val="en-US"/>
        </w:rPr>
        <w:t xml:space="preserve"> </w:t>
      </w:r>
      <w:r w:rsidR="000D1ED0">
        <w:rPr>
          <w:lang w:val="en-US"/>
        </w:rPr>
        <w:t xml:space="preserve">In this instrument, the period </w:t>
      </w:r>
      <w:r w:rsidR="00F80DF3">
        <w:rPr>
          <w:lang w:val="en-US"/>
        </w:rPr>
        <w:t xml:space="preserve">specified </w:t>
      </w:r>
      <w:r w:rsidR="000D1ED0">
        <w:rPr>
          <w:lang w:val="en-US"/>
        </w:rPr>
        <w:t xml:space="preserve">is </w:t>
      </w:r>
      <w:r w:rsidR="001D2696">
        <w:rPr>
          <w:lang w:val="en-US"/>
        </w:rPr>
        <w:t>20 </w:t>
      </w:r>
      <w:r w:rsidR="000D1ED0">
        <w:rPr>
          <w:lang w:val="en-US"/>
        </w:rPr>
        <w:t xml:space="preserve">days in all cases, which aligns with the </w:t>
      </w:r>
      <w:r w:rsidR="001D2696">
        <w:rPr>
          <w:lang w:val="en-US"/>
        </w:rPr>
        <w:t>20 </w:t>
      </w:r>
      <w:r w:rsidR="000D1ED0">
        <w:rPr>
          <w:lang w:val="en-US"/>
        </w:rPr>
        <w:t>day period previously required by the Act.</w:t>
      </w:r>
      <w:r w:rsidR="00F80DF3">
        <w:rPr>
          <w:lang w:val="en-US"/>
        </w:rPr>
        <w:t xml:space="preserve"> </w:t>
      </w:r>
      <w:r w:rsidR="000D1ED0">
        <w:rPr>
          <w:lang w:val="en-US"/>
        </w:rPr>
        <w:t xml:space="preserve"> The instrument </w:t>
      </w:r>
      <w:r w:rsidR="00F80DF3">
        <w:rPr>
          <w:lang w:val="en-US"/>
        </w:rPr>
        <w:t xml:space="preserve">also </w:t>
      </w:r>
      <w:r w:rsidR="000D1ED0">
        <w:rPr>
          <w:lang w:val="en-US"/>
        </w:rPr>
        <w:t>adds pharmaceutical items containing 141</w:t>
      </w:r>
      <w:r w:rsidR="001D2696">
        <w:rPr>
          <w:lang w:val="en-US"/>
        </w:rPr>
        <w:t> </w:t>
      </w:r>
      <w:r w:rsidR="00FE520F">
        <w:rPr>
          <w:lang w:val="en-US"/>
        </w:rPr>
        <w:t xml:space="preserve">drugs </w:t>
      </w:r>
      <w:r w:rsidR="000D1ED0">
        <w:rPr>
          <w:lang w:val="en-US"/>
        </w:rPr>
        <w:t xml:space="preserve">to early supply, as well as making a number of alterations and deletions. </w:t>
      </w:r>
    </w:p>
    <w:p w:rsidR="008B3EEA" w:rsidRPr="0035289B" w:rsidRDefault="008B3EEA" w:rsidP="008B3EEA"/>
    <w:p w:rsidR="00A07B7B" w:rsidRPr="006661C3" w:rsidRDefault="00A07B7B" w:rsidP="00A07B7B">
      <w:r w:rsidRPr="002D7210">
        <w:t>Subsection</w:t>
      </w:r>
      <w:r>
        <w:t> </w:t>
      </w:r>
      <w:r w:rsidRPr="002D7210">
        <w:t xml:space="preserve">84AAA(1) of the </w:t>
      </w:r>
      <w:r>
        <w:t xml:space="preserve">Act </w:t>
      </w:r>
      <w:r w:rsidRPr="002D7210">
        <w:t>provides that a supply of a pharmaceutical benefit to a person is an early supply if</w:t>
      </w:r>
      <w:r>
        <w:t xml:space="preserve"> </w:t>
      </w:r>
      <w:r w:rsidRPr="006661C3">
        <w:t>the pharmaceutical item in the pharmaceutical benefit is specified in an instrument under subsection </w:t>
      </w:r>
      <w:r>
        <w:t>84AAA</w:t>
      </w:r>
      <w:r w:rsidRPr="006661C3">
        <w:t>(2) and</w:t>
      </w:r>
      <w:r>
        <w:t xml:space="preserve"> </w:t>
      </w:r>
      <w:r w:rsidRPr="006661C3">
        <w:t xml:space="preserve">the supply is made within the period specified </w:t>
      </w:r>
      <w:r>
        <w:t>(currently 20</w:t>
      </w:r>
      <w:r w:rsidR="001D2696">
        <w:t> </w:t>
      </w:r>
      <w:r>
        <w:t xml:space="preserve">days) </w:t>
      </w:r>
      <w:r w:rsidRPr="006661C3">
        <w:t>following a previous supply to the person of</w:t>
      </w:r>
      <w:r>
        <w:t xml:space="preserve"> </w:t>
      </w:r>
      <w:r w:rsidRPr="006661C3">
        <w:t xml:space="preserve">the </w:t>
      </w:r>
      <w:r>
        <w:t xml:space="preserve">same </w:t>
      </w:r>
      <w:r w:rsidRPr="006661C3">
        <w:t>pharmaceutical benefit</w:t>
      </w:r>
      <w:r>
        <w:t>,</w:t>
      </w:r>
      <w:r w:rsidRPr="006661C3">
        <w:t xml:space="preserve"> or</w:t>
      </w:r>
      <w:r>
        <w:t xml:space="preserve"> </w:t>
      </w:r>
      <w:r w:rsidRPr="006661C3">
        <w:t>another pharmaceutical benefit that has the same pharmaceutical item</w:t>
      </w:r>
      <w:r>
        <w:t>,</w:t>
      </w:r>
      <w:r w:rsidRPr="006661C3">
        <w:t xml:space="preserve"> or</w:t>
      </w:r>
      <w:r>
        <w:t xml:space="preserve"> </w:t>
      </w:r>
      <w:r w:rsidRPr="006661C3">
        <w:t>another pharmaceutical benefit that is Schedule equivalent</w:t>
      </w:r>
      <w:r>
        <w:t>.</w:t>
      </w:r>
    </w:p>
    <w:p w:rsidR="00A07B7B" w:rsidRDefault="00A07B7B" w:rsidP="004532ED"/>
    <w:p w:rsidR="00A07B7B" w:rsidRDefault="00A07B7B" w:rsidP="00A07B7B">
      <w:r>
        <w:t xml:space="preserve">If an ‘early supply’ of a pharmaceutical benefit occurs, the patient contribution for the early supply does not count towards the PBS safety net threshold, and, if </w:t>
      </w:r>
      <w:r w:rsidR="00D601A6">
        <w:t xml:space="preserve">the PBS safety net threshold is passed and </w:t>
      </w:r>
      <w:r>
        <w:t xml:space="preserve">PBS safety net would normally allow </w:t>
      </w:r>
      <w:r w:rsidR="00C37DCB">
        <w:t>a</w:t>
      </w:r>
      <w:r>
        <w:t xml:space="preserve"> concessional or nil contribution, the patient contribution </w:t>
      </w:r>
      <w:r w:rsidR="00D601A6">
        <w:t>and payments to approved suppliers revert</w:t>
      </w:r>
      <w:r>
        <w:t xml:space="preserve">, for that early supply, to </w:t>
      </w:r>
      <w:r w:rsidR="00D601A6">
        <w:t>pre-PBS safety net amounts.</w:t>
      </w:r>
    </w:p>
    <w:p w:rsidR="00A07B7B" w:rsidRDefault="00A07B7B" w:rsidP="00A07B7B"/>
    <w:p w:rsidR="00A07B7B" w:rsidRDefault="0093231A" w:rsidP="00A07B7B">
      <w:r>
        <w:t xml:space="preserve">Early supply does not </w:t>
      </w:r>
      <w:r w:rsidR="00D601A6">
        <w:t>apply to</w:t>
      </w:r>
      <w:r>
        <w:t xml:space="preserve"> supplies on prescriptions originating in a hospital, or, supplies of out-patient medication by public hospitals. </w:t>
      </w:r>
      <w:r w:rsidR="001D2696">
        <w:t xml:space="preserve"> </w:t>
      </w:r>
      <w:r>
        <w:t>PBS safety net, including early supply, applies to the Repatriation Pharmaceutical Benefits Scheme (RPBS).</w:t>
      </w:r>
    </w:p>
    <w:p w:rsidR="00A07B7B" w:rsidRDefault="00A07B7B" w:rsidP="00E93CDF"/>
    <w:p w:rsidR="00E93CDF" w:rsidRDefault="00D601A6" w:rsidP="00E93CDF">
      <w:r>
        <w:t>T</w:t>
      </w:r>
      <w:r w:rsidR="00E93CDF">
        <w:t xml:space="preserve">he </w:t>
      </w:r>
      <w:r w:rsidR="00F80DF3">
        <w:t>Pharmaceutical Benefits Advisory Committee (</w:t>
      </w:r>
      <w:r w:rsidR="00E93CDF">
        <w:t>PBAC</w:t>
      </w:r>
      <w:r w:rsidR="00F80DF3">
        <w:t>)</w:t>
      </w:r>
      <w:r w:rsidR="00E93CDF">
        <w:t xml:space="preserve"> </w:t>
      </w:r>
      <w:r w:rsidR="00F80DF3">
        <w:t xml:space="preserve">has </w:t>
      </w:r>
      <w:r w:rsidR="00E93CDF">
        <w:t>ma</w:t>
      </w:r>
      <w:r w:rsidR="00F80DF3">
        <w:t>d</w:t>
      </w:r>
      <w:r w:rsidR="00E93CDF">
        <w:t xml:space="preserve">e recommendations to the Minister about what should be specified in </w:t>
      </w:r>
      <w:r w:rsidR="00F80DF3">
        <w:t>this early supply</w:t>
      </w:r>
      <w:r w:rsidR="00E93CDF">
        <w:t xml:space="preserve"> instrument.</w:t>
      </w:r>
    </w:p>
    <w:p w:rsidR="00E93CDF" w:rsidRDefault="00E93CDF" w:rsidP="00E93CDF">
      <w:pPr>
        <w:ind w:right="-514"/>
      </w:pPr>
    </w:p>
    <w:p w:rsidR="00CC6904" w:rsidRDefault="00896729" w:rsidP="00CC6904">
      <w:r w:rsidRPr="004E2A0A">
        <w:t>Attachment 2</w:t>
      </w:r>
      <w:r>
        <w:t xml:space="preserve"> summarises </w:t>
      </w:r>
      <w:r w:rsidR="004E2A0A" w:rsidRPr="007C1E86">
        <w:t xml:space="preserve">in </w:t>
      </w:r>
      <w:r w:rsidR="004E2A0A" w:rsidRPr="004E2A0A">
        <w:t>Tables 1, 2, 3, 4 a</w:t>
      </w:r>
      <w:r w:rsidR="004E2A0A">
        <w:t xml:space="preserve">nd 5 </w:t>
      </w:r>
      <w:r w:rsidR="00CC6904">
        <w:t>addition</w:t>
      </w:r>
      <w:r w:rsidR="004E2A0A">
        <w:t xml:space="preserve">s and changes to listed drugs, forms </w:t>
      </w:r>
      <w:r w:rsidR="00CC6904">
        <w:t>and circumstances effective from 1 </w:t>
      </w:r>
      <w:r w:rsidR="00E76215">
        <w:t>January</w:t>
      </w:r>
      <w:r w:rsidR="00CC6904">
        <w:t> 20</w:t>
      </w:r>
      <w:r w:rsidR="00E76215">
        <w:t>16</w:t>
      </w:r>
      <w:r w:rsidR="00D222EE">
        <w:t>.  I</w:t>
      </w:r>
      <w:r w:rsidR="00CC6904" w:rsidRPr="007C1E86">
        <w:t xml:space="preserve">tems and circumstances in the revoked instrument but not in </w:t>
      </w:r>
      <w:r w:rsidR="00CC6904">
        <w:t xml:space="preserve">this Instrument </w:t>
      </w:r>
      <w:r w:rsidR="00CC6904" w:rsidRPr="007C1E86">
        <w:t xml:space="preserve">(deletions) </w:t>
      </w:r>
      <w:r w:rsidR="00D222EE">
        <w:t xml:space="preserve">are </w:t>
      </w:r>
      <w:r>
        <w:t>in</w:t>
      </w:r>
      <w:r w:rsidR="00CC6904" w:rsidRPr="007C1E86">
        <w:t xml:space="preserve"> </w:t>
      </w:r>
      <w:r w:rsidR="00CC6904" w:rsidRPr="004E2A0A">
        <w:t>Table 6.</w:t>
      </w:r>
      <w:r w:rsidR="00CC6904">
        <w:t xml:space="preserve"> </w:t>
      </w:r>
    </w:p>
    <w:p w:rsidR="00CC6904" w:rsidRDefault="00CC6904" w:rsidP="00CC6904"/>
    <w:p w:rsidR="00EA6715" w:rsidRDefault="00EA6715" w:rsidP="00606CF4">
      <w:pPr>
        <w:pStyle w:val="Heading6"/>
        <w:spacing w:after="60"/>
        <w:jc w:val="left"/>
        <w:rPr>
          <w:sz w:val="24"/>
          <w:szCs w:val="24"/>
        </w:rPr>
      </w:pPr>
      <w:r w:rsidRPr="009D2516">
        <w:rPr>
          <w:sz w:val="24"/>
          <w:szCs w:val="24"/>
        </w:rPr>
        <w:lastRenderedPageBreak/>
        <w:t>Consultation</w:t>
      </w:r>
    </w:p>
    <w:p w:rsidR="008F1AC9" w:rsidRDefault="008F1AC9" w:rsidP="008F1AC9">
      <w:pPr>
        <w:shd w:val="clear" w:color="auto" w:fill="FFFFFF" w:themeFill="background1"/>
        <w:spacing w:after="180"/>
        <w:ind w:right="-45"/>
      </w:pPr>
      <w:r w:rsidRPr="00025B3A">
        <w:t>The PBS Access and Sustainability Package includes measures relating to the Sixth Community Pharmacy Agreement between the Commonwealth of Australia and the Pharmacy Guild of Australia and the Strategic Agreement with the Generic Medicines Industry Association (now known as the Generic and Biosimilar Medicines Association).  The measures were negotiated following consultations during the first half of</w:t>
      </w:r>
      <w:r w:rsidR="00896729">
        <w:t> </w:t>
      </w:r>
      <w:r w:rsidRPr="00025B3A">
        <w:t>2015 by the Minister for Health and the Department of Health with stakeholders from the pharmaceutical sector including industry, consumer, medical, pharmacist and wholesaler groups.  Organisations represented included Medicines Australia, the Generic Medicines Industry Association, the Consumers Health Forum, NPS MedicineWise, the Australian Medical Association, the Pharmacy Guild of Australia, the Pharmaceutical Society of Australia, the Society of Hospital Pharmacists of Australia, and the National Pharmaceutical Services Association.</w:t>
      </w:r>
    </w:p>
    <w:p w:rsidR="008F1AC9" w:rsidRDefault="008F1AC9" w:rsidP="008F1AC9">
      <w:r w:rsidRPr="009D2516">
        <w:t xml:space="preserve">The involvement of PBAC constitutes a formal and ongoing process of consultation.  </w:t>
      </w:r>
      <w:r>
        <w:t>The PBAC is the independent expert body, established by section</w:t>
      </w:r>
      <w:r w:rsidR="00896729">
        <w:t> </w:t>
      </w:r>
      <w:r>
        <w:t xml:space="preserve">100A of the Act, which makes recommendations to the Minister about which drugs and medicinal preparations should be available as pharmaceutical benefits.  PBAC members are selected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w:t>
      </w:r>
      <w:r w:rsidR="00896729">
        <w:t xml:space="preserve">and </w:t>
      </w:r>
      <w:r>
        <w:t xml:space="preserve">that would enable them to contribute meaningfully to the deliberations of the </w:t>
      </w:r>
      <w:r w:rsidR="00746AE9">
        <w:t>Committee</w:t>
      </w:r>
      <w:r w:rsidR="00EF5CD6">
        <w:t>, including the option of appointing an industry member</w:t>
      </w:r>
      <w:r w:rsidR="00ED2B5A">
        <w:t>.</w:t>
      </w:r>
      <w:r w:rsidRPr="008F1AC9">
        <w:t xml:space="preserve"> </w:t>
      </w:r>
      <w:r>
        <w:t xml:space="preserve"> The PBAC has provided advice </w:t>
      </w:r>
      <w:r w:rsidR="0082699C">
        <w:t xml:space="preserve">regarding </w:t>
      </w:r>
      <w:r w:rsidR="00ED2B5A">
        <w:t>what should be specified in this</w:t>
      </w:r>
      <w:r>
        <w:t xml:space="preserve"> Instrument.</w:t>
      </w:r>
    </w:p>
    <w:p w:rsidR="008F1AC9" w:rsidRDefault="008F1AC9" w:rsidP="008F1AC9"/>
    <w:p w:rsidR="009C543B" w:rsidRDefault="009C543B" w:rsidP="009C543B">
      <w:r w:rsidRPr="009D2516">
        <w:t>This Instrument commences on 1</w:t>
      </w:r>
      <w:r>
        <w:t> January 2016</w:t>
      </w:r>
      <w:r w:rsidRPr="009D2516">
        <w:t>.</w:t>
      </w:r>
    </w:p>
    <w:p w:rsidR="009C543B" w:rsidRPr="009D2516" w:rsidRDefault="009C543B" w:rsidP="009C543B"/>
    <w:p w:rsidR="009C543B" w:rsidRDefault="009C543B" w:rsidP="00896729">
      <w:pPr>
        <w:ind w:right="-569"/>
      </w:pPr>
      <w:r>
        <w:t xml:space="preserve">This Instrument is a legislative instrument for the purposes of the </w:t>
      </w:r>
      <w:r>
        <w:rPr>
          <w:i/>
        </w:rPr>
        <w:t>Legislative Instruments Act 2003</w:t>
      </w:r>
      <w:r>
        <w:t>.</w:t>
      </w:r>
    </w:p>
    <w:p w:rsidR="00896729" w:rsidRDefault="00896729">
      <w:r>
        <w:br w:type="page"/>
      </w:r>
    </w:p>
    <w:p w:rsidR="00CC6904" w:rsidRPr="00C96F38" w:rsidRDefault="00CC6904" w:rsidP="00CC6904">
      <w:pPr>
        <w:keepNext/>
        <w:keepLines/>
        <w:spacing w:after="120"/>
        <w:ind w:right="28"/>
        <w:jc w:val="both"/>
        <w:rPr>
          <w:b/>
        </w:rPr>
      </w:pPr>
      <w:r w:rsidRPr="00C96F38">
        <w:rPr>
          <w:b/>
        </w:rPr>
        <w:lastRenderedPageBreak/>
        <w:t>ATTACHMENT</w:t>
      </w:r>
      <w:r>
        <w:rPr>
          <w:b/>
        </w:rPr>
        <w:t xml:space="preserve"> 1</w:t>
      </w:r>
    </w:p>
    <w:p w:rsidR="00EF5CD6" w:rsidRDefault="00CC6904" w:rsidP="00961FE9">
      <w:pPr>
        <w:keepNext/>
        <w:keepLines/>
        <w:rPr>
          <w:b/>
        </w:rPr>
      </w:pPr>
      <w:r>
        <w:rPr>
          <w:b/>
        </w:rPr>
        <w:t>Section</w:t>
      </w:r>
      <w:r w:rsidRPr="00C96F38">
        <w:rPr>
          <w:b/>
        </w:rPr>
        <w:t xml:space="preserve"> 1</w:t>
      </w:r>
    </w:p>
    <w:p w:rsidR="00CC6904" w:rsidRDefault="00EF5CD6" w:rsidP="00961FE9">
      <w:pPr>
        <w:keepNext/>
        <w:keepLines/>
        <w:rPr>
          <w:i/>
        </w:rPr>
      </w:pPr>
      <w:r>
        <w:t xml:space="preserve">This section </w:t>
      </w:r>
      <w:r w:rsidR="00CC6904">
        <w:t xml:space="preserve">provides that the name of the Instrument is the </w:t>
      </w:r>
      <w:r w:rsidR="00961FE9" w:rsidRPr="00961FE9">
        <w:rPr>
          <w:i/>
        </w:rPr>
        <w:t>National Health (Pharmaceutical benefits - early supply) Instrument 201</w:t>
      </w:r>
      <w:r>
        <w:rPr>
          <w:i/>
        </w:rPr>
        <w:t>5</w:t>
      </w:r>
      <w:r w:rsidR="00961FE9">
        <w:rPr>
          <w:i/>
        </w:rPr>
        <w:t xml:space="preserve"> </w:t>
      </w:r>
      <w:r w:rsidR="00CC6904">
        <w:t xml:space="preserve">and that the Instrument may also be cited as </w:t>
      </w:r>
      <w:r w:rsidR="00CC6904" w:rsidRPr="001D5454">
        <w:t>No.</w:t>
      </w:r>
      <w:r w:rsidR="002621B8">
        <w:t> </w:t>
      </w:r>
      <w:r w:rsidR="00961FE9">
        <w:t>PB 120 of 2015</w:t>
      </w:r>
      <w:r w:rsidR="00CC6904" w:rsidRPr="001D5454">
        <w:t>.</w:t>
      </w:r>
    </w:p>
    <w:p w:rsidR="00CC6904" w:rsidRPr="00961FE9" w:rsidRDefault="00CC6904" w:rsidP="00961FE9"/>
    <w:p w:rsidR="001D2696" w:rsidRDefault="00CC6904" w:rsidP="00CC6904">
      <w:pPr>
        <w:keepNext/>
        <w:keepLines/>
        <w:rPr>
          <w:b/>
        </w:rPr>
      </w:pPr>
      <w:r>
        <w:rPr>
          <w:b/>
        </w:rPr>
        <w:t>Section 2</w:t>
      </w:r>
    </w:p>
    <w:p w:rsidR="00CC6904" w:rsidRDefault="00EF5CD6" w:rsidP="00CC6904">
      <w:pPr>
        <w:keepNext/>
        <w:keepLines/>
      </w:pPr>
      <w:r>
        <w:t xml:space="preserve">This section </w:t>
      </w:r>
      <w:r w:rsidR="00CC6904">
        <w:t xml:space="preserve">provides that the Instrument commences on </w:t>
      </w:r>
      <w:r w:rsidR="002621B8" w:rsidRPr="007829B5">
        <w:rPr>
          <w:color w:val="000000"/>
        </w:rPr>
        <w:t>1</w:t>
      </w:r>
      <w:r w:rsidR="002621B8">
        <w:rPr>
          <w:color w:val="000000"/>
        </w:rPr>
        <w:t> January 2016</w:t>
      </w:r>
      <w:r w:rsidR="00CC6904">
        <w:t>.</w:t>
      </w:r>
    </w:p>
    <w:p w:rsidR="00CC6904" w:rsidRDefault="00CC6904" w:rsidP="00CC6904"/>
    <w:p w:rsidR="00EF5CD6" w:rsidRDefault="00CC6904" w:rsidP="00CC6904">
      <w:r>
        <w:rPr>
          <w:b/>
        </w:rPr>
        <w:t>Section 3</w:t>
      </w:r>
      <w:r>
        <w:t xml:space="preserve"> </w:t>
      </w:r>
    </w:p>
    <w:p w:rsidR="00CC6904" w:rsidRPr="00CF4982" w:rsidRDefault="00EF5CD6" w:rsidP="00CC6904">
      <w:r>
        <w:t xml:space="preserve">This section </w:t>
      </w:r>
      <w:r w:rsidR="00CC6904">
        <w:t xml:space="preserve">provides that the </w:t>
      </w:r>
      <w:r w:rsidR="00A82951" w:rsidRPr="00544840">
        <w:rPr>
          <w:i/>
        </w:rPr>
        <w:t>National Health (Pharmaceutical Benefits – Early Supply) Instrument 2009 - specification under subsection</w:t>
      </w:r>
      <w:r w:rsidR="00A82951">
        <w:rPr>
          <w:i/>
        </w:rPr>
        <w:t> </w:t>
      </w:r>
      <w:r w:rsidR="00A82951" w:rsidRPr="00544840">
        <w:rPr>
          <w:i/>
        </w:rPr>
        <w:t>84AAA(2)</w:t>
      </w:r>
      <w:r w:rsidR="00ED2B5A">
        <w:t>,</w:t>
      </w:r>
      <w:r w:rsidR="00A82951">
        <w:rPr>
          <w:i/>
        </w:rPr>
        <w:t xml:space="preserve"> </w:t>
      </w:r>
      <w:r w:rsidR="002621B8" w:rsidRPr="00CF17C3">
        <w:t>also referred to as</w:t>
      </w:r>
      <w:r w:rsidR="00A82951">
        <w:rPr>
          <w:i/>
        </w:rPr>
        <w:t xml:space="preserve"> </w:t>
      </w:r>
      <w:r w:rsidR="00A82951" w:rsidRPr="001D5454">
        <w:t>No. PB</w:t>
      </w:r>
      <w:r w:rsidR="002621B8">
        <w:t> </w:t>
      </w:r>
      <w:r w:rsidR="00A82951" w:rsidRPr="001D5454">
        <w:t>30</w:t>
      </w:r>
      <w:r w:rsidR="002621B8">
        <w:t> </w:t>
      </w:r>
      <w:r w:rsidR="00A82951" w:rsidRPr="001D5454">
        <w:t>of</w:t>
      </w:r>
      <w:r w:rsidR="002621B8">
        <w:t> </w:t>
      </w:r>
      <w:r w:rsidR="00A82951" w:rsidRPr="001D5454">
        <w:t>2009</w:t>
      </w:r>
      <w:r w:rsidR="00ED2B5A">
        <w:t>,</w:t>
      </w:r>
      <w:r w:rsidR="00A82951">
        <w:t xml:space="preserve"> </w:t>
      </w:r>
      <w:r w:rsidR="00CC6904">
        <w:t>is revoked.</w:t>
      </w:r>
    </w:p>
    <w:p w:rsidR="00CC6904" w:rsidRDefault="00CC6904" w:rsidP="00CC6904"/>
    <w:p w:rsidR="001D2696" w:rsidRDefault="00CC6904" w:rsidP="001D2696">
      <w:r>
        <w:rPr>
          <w:b/>
        </w:rPr>
        <w:t>Section 4</w:t>
      </w:r>
    </w:p>
    <w:p w:rsidR="00CC6904" w:rsidRDefault="00C616DA" w:rsidP="00480FA3">
      <w:r>
        <w:t xml:space="preserve">This section </w:t>
      </w:r>
      <w:r w:rsidR="00CC6904">
        <w:t xml:space="preserve">defines </w:t>
      </w:r>
      <w:r w:rsidR="009E75B1">
        <w:t xml:space="preserve">certain </w:t>
      </w:r>
      <w:r w:rsidR="00CC6904">
        <w:t>terms for the purposes of this determination</w:t>
      </w:r>
      <w:r w:rsidR="00480FA3">
        <w:t>.</w:t>
      </w:r>
    </w:p>
    <w:p w:rsidR="00480FA3" w:rsidRDefault="00480FA3" w:rsidP="00480FA3"/>
    <w:p w:rsidR="009E75B1" w:rsidRDefault="00CC6904" w:rsidP="00CC6904">
      <w:pPr>
        <w:rPr>
          <w:b/>
        </w:rPr>
      </w:pPr>
      <w:r>
        <w:rPr>
          <w:b/>
        </w:rPr>
        <w:t>Section</w:t>
      </w:r>
      <w:r w:rsidRPr="00535E74">
        <w:rPr>
          <w:b/>
        </w:rPr>
        <w:t xml:space="preserve"> 5</w:t>
      </w:r>
    </w:p>
    <w:p w:rsidR="00CC6904" w:rsidRDefault="009E75B1" w:rsidP="00CC6904">
      <w:r>
        <w:t>This section</w:t>
      </w:r>
      <w:r w:rsidR="00ED2B5A">
        <w:t xml:space="preserve"> </w:t>
      </w:r>
      <w:r w:rsidR="00CC6904" w:rsidRPr="00CF4982">
        <w:t>provides</w:t>
      </w:r>
      <w:r w:rsidR="00CC6904">
        <w:t xml:space="preserve"> that a pharmaceutical item in a pharmaceutical benefit is specified for paragraph</w:t>
      </w:r>
      <w:r w:rsidR="002446D4">
        <w:t> </w:t>
      </w:r>
      <w:r w:rsidR="00CC6904">
        <w:t>84AAA(1)(</w:t>
      </w:r>
      <w:r w:rsidR="002446D4">
        <w:t>a</w:t>
      </w:r>
      <w:r w:rsidR="00CC6904">
        <w:t xml:space="preserve">) of the Act if </w:t>
      </w:r>
      <w:r w:rsidR="002446D4">
        <w:t>the name of the listed drug</w:t>
      </w:r>
      <w:r w:rsidR="00635426">
        <w:t xml:space="preserve"> and</w:t>
      </w:r>
      <w:r w:rsidR="002446D4">
        <w:t xml:space="preserve"> the form of the listed drug </w:t>
      </w:r>
      <w:r w:rsidR="00635426">
        <w:t>are</w:t>
      </w:r>
      <w:r w:rsidR="00CC6904">
        <w:t xml:space="preserve"> mentioned in Schedule 1 and all the circumstances </w:t>
      </w:r>
      <w:r w:rsidR="00635426">
        <w:t>identified in section 6 (</w:t>
      </w:r>
      <w:r w:rsidR="00CC6904">
        <w:t>for</w:t>
      </w:r>
      <w:r w:rsidR="00635426">
        <w:t> </w:t>
      </w:r>
      <w:r w:rsidR="00CC6904">
        <w:t>subsection 84AAA(3) of the Act</w:t>
      </w:r>
      <w:r w:rsidR="00635426">
        <w:t>)</w:t>
      </w:r>
      <w:r w:rsidR="00CC6904">
        <w:t xml:space="preserve"> as applying to the benefit are satisfied by virtue that they exist in relation to a benefit that has the item.</w:t>
      </w:r>
    </w:p>
    <w:p w:rsidR="00CC6904" w:rsidRDefault="00CC6904" w:rsidP="00CC6904"/>
    <w:p w:rsidR="009E75B1" w:rsidRDefault="00CC6904" w:rsidP="00CC6904">
      <w:r>
        <w:rPr>
          <w:b/>
        </w:rPr>
        <w:t>Section 6</w:t>
      </w:r>
    </w:p>
    <w:p w:rsidR="00CC6904" w:rsidRDefault="009E75B1" w:rsidP="00CC6904">
      <w:r>
        <w:t>This section</w:t>
      </w:r>
      <w:r w:rsidR="00C616DA">
        <w:t xml:space="preserve"> </w:t>
      </w:r>
      <w:r w:rsidR="00CC6904">
        <w:t>provides that the circumstances which apply to a pharmaceutical benefit that has a pharmaceutical item are</w:t>
      </w:r>
      <w:r w:rsidR="004A0CDB">
        <w:t xml:space="preserve"> that </w:t>
      </w:r>
      <w:r w:rsidR="00A90062">
        <w:t xml:space="preserve">the form (strength, type, size, etc.) </w:t>
      </w:r>
      <w:r w:rsidR="004A0CDB">
        <w:t xml:space="preserve">is the same </w:t>
      </w:r>
      <w:r w:rsidR="00A90062">
        <w:t xml:space="preserve">as </w:t>
      </w:r>
      <w:r w:rsidR="004A0CDB">
        <w:t xml:space="preserve">that </w:t>
      </w:r>
      <w:r w:rsidR="00A90062">
        <w:t xml:space="preserve">determined under subsection 85(3) of the Act, the </w:t>
      </w:r>
      <w:r w:rsidR="00A90062" w:rsidRPr="00E3565D">
        <w:rPr>
          <w:color w:val="000000"/>
        </w:rPr>
        <w:t>maximum</w:t>
      </w:r>
      <w:r w:rsidR="00A90062">
        <w:t xml:space="preserve"> quantity or number of units </w:t>
      </w:r>
      <w:r w:rsidR="004A0CDB">
        <w:t xml:space="preserve">is that same </w:t>
      </w:r>
      <w:r w:rsidR="00A90062">
        <w:t>as determined under paragraph 85A(2)(a)</w:t>
      </w:r>
      <w:r w:rsidR="004A0CDB">
        <w:t>,</w:t>
      </w:r>
      <w:r w:rsidR="00A90062">
        <w:t xml:space="preserve"> the maximum </w:t>
      </w:r>
      <w:r w:rsidR="005A7874">
        <w:t xml:space="preserve">number of </w:t>
      </w:r>
      <w:r w:rsidR="00A90062">
        <w:t xml:space="preserve">repeats </w:t>
      </w:r>
      <w:r w:rsidR="004A0CDB">
        <w:t xml:space="preserve">is that same </w:t>
      </w:r>
      <w:r w:rsidR="00A90062">
        <w:t>as determined under paragraph 85A(2)(b)</w:t>
      </w:r>
      <w:r w:rsidR="004A0CDB">
        <w:t>,</w:t>
      </w:r>
      <w:r w:rsidR="00A90062">
        <w:t xml:space="preserve"> </w:t>
      </w:r>
      <w:r w:rsidR="005A7874">
        <w:t>a</w:t>
      </w:r>
      <w:r w:rsidR="00CC6904">
        <w:t>nd any other circumstance for paragraph</w:t>
      </w:r>
      <w:r w:rsidR="00ED5CFC">
        <w:t> </w:t>
      </w:r>
      <w:r w:rsidR="00CC6904">
        <w:t>84AAA(3)(b)</w:t>
      </w:r>
      <w:r w:rsidR="004A0CDB">
        <w:t>,</w:t>
      </w:r>
      <w:r w:rsidR="00CC6904">
        <w:t xml:space="preserve"> all as mentioned in the table in Schedule 1. </w:t>
      </w:r>
      <w:r>
        <w:t xml:space="preserve"> There are no other circumstances currently specified.</w:t>
      </w:r>
    </w:p>
    <w:p w:rsidR="00CC6904" w:rsidRDefault="00CC6904" w:rsidP="00CC6904"/>
    <w:p w:rsidR="009E75B1" w:rsidRDefault="004A0CDB" w:rsidP="00CC6904">
      <w:r>
        <w:rPr>
          <w:b/>
        </w:rPr>
        <w:t>Section 7</w:t>
      </w:r>
    </w:p>
    <w:p w:rsidR="00F52AF1" w:rsidRDefault="009E75B1" w:rsidP="00CC6904">
      <w:r>
        <w:t>This section</w:t>
      </w:r>
      <w:r w:rsidR="00C616DA">
        <w:t xml:space="preserve"> </w:t>
      </w:r>
      <w:r w:rsidR="004A0CDB">
        <w:t>provides that f</w:t>
      </w:r>
      <w:r w:rsidR="004A0CDB" w:rsidRPr="00290C34">
        <w:t>or a pharmaceutical bene</w:t>
      </w:r>
      <w:r w:rsidR="004A0CDB">
        <w:t>fit th</w:t>
      </w:r>
      <w:r w:rsidR="004A0CDB" w:rsidRPr="00290C34">
        <w:t xml:space="preserve">at has </w:t>
      </w:r>
      <w:r w:rsidR="004A0CDB">
        <w:t>the listed d</w:t>
      </w:r>
      <w:r w:rsidR="004A0CDB" w:rsidRPr="00290C34">
        <w:t>rug</w:t>
      </w:r>
      <w:r w:rsidR="004A0CDB">
        <w:t xml:space="preserve"> and f</w:t>
      </w:r>
      <w:r w:rsidR="004A0CDB" w:rsidRPr="00290C34">
        <w:t>orm</w:t>
      </w:r>
      <w:r w:rsidR="004A0CDB">
        <w:t xml:space="preserve">, and the </w:t>
      </w:r>
      <w:r w:rsidR="004A0CDB" w:rsidRPr="00290C34">
        <w:t>circumstances</w:t>
      </w:r>
      <w:r w:rsidR="004A0CDB">
        <w:t xml:space="preserve"> identified for section 6 in the table in Schedule 1, the number mentioned under the heading ‘Period</w:t>
      </w:r>
      <w:r w:rsidR="002E4FA5">
        <w:t xml:space="preserve"> (days)</w:t>
      </w:r>
      <w:r w:rsidR="004A0CDB">
        <w:t>’ is the period in days for paragraph 84AAA(1)(b) of the Act</w:t>
      </w:r>
      <w:r w:rsidR="00FE4EC8">
        <w:t>.</w:t>
      </w:r>
      <w:r w:rsidR="00F52AF1">
        <w:t xml:space="preserve"> </w:t>
      </w:r>
    </w:p>
    <w:p w:rsidR="00F52AF1" w:rsidRDefault="00F52AF1" w:rsidP="00CC6904"/>
    <w:p w:rsidR="009E75B1" w:rsidRDefault="00CC6904" w:rsidP="004E2A0A">
      <w:pPr>
        <w:keepNext/>
        <w:keepLines/>
        <w:ind w:right="-283"/>
      </w:pPr>
      <w:r>
        <w:rPr>
          <w:b/>
        </w:rPr>
        <w:t>Schedule 1</w:t>
      </w:r>
    </w:p>
    <w:p w:rsidR="00CC6904" w:rsidRDefault="009E75B1" w:rsidP="004E2A0A">
      <w:pPr>
        <w:keepNext/>
        <w:keepLines/>
        <w:ind w:right="-283"/>
      </w:pPr>
      <w:r>
        <w:t>The schedule contains the specified pharmaceutical items, circumstances and period</w:t>
      </w:r>
      <w:r w:rsidR="00480FA3">
        <w:t>s</w:t>
      </w:r>
      <w:r>
        <w:t>.</w:t>
      </w:r>
    </w:p>
    <w:p w:rsidR="00CC6904" w:rsidRDefault="00CC6904" w:rsidP="00DC646A"/>
    <w:p w:rsidR="00FE4EC8" w:rsidRPr="00C96F38" w:rsidRDefault="00FE4EC8" w:rsidP="00FE4EC8">
      <w:pPr>
        <w:keepNext/>
        <w:keepLines/>
        <w:spacing w:after="120"/>
        <w:ind w:right="28"/>
        <w:jc w:val="both"/>
        <w:rPr>
          <w:b/>
        </w:rPr>
      </w:pPr>
      <w:r w:rsidRPr="00C96F38">
        <w:rPr>
          <w:b/>
        </w:rPr>
        <w:t>ATTACHMENT</w:t>
      </w:r>
      <w:r w:rsidR="005561AE">
        <w:rPr>
          <w:b/>
        </w:rPr>
        <w:t> </w:t>
      </w:r>
      <w:r>
        <w:rPr>
          <w:b/>
        </w:rPr>
        <w:t>2</w:t>
      </w:r>
    </w:p>
    <w:p w:rsidR="00FE4EC8" w:rsidRDefault="00FE4EC8" w:rsidP="001D2696">
      <w:pPr>
        <w:keepNext/>
        <w:keepLines/>
        <w:tabs>
          <w:tab w:val="left" w:pos="1418"/>
        </w:tabs>
        <w:rPr>
          <w:b/>
        </w:rPr>
      </w:pPr>
      <w:r w:rsidRPr="00FE4EC8">
        <w:rPr>
          <w:b/>
          <w:bCs/>
        </w:rPr>
        <w:t xml:space="preserve">Summary </w:t>
      </w:r>
      <w:r>
        <w:rPr>
          <w:b/>
          <w:bCs/>
        </w:rPr>
        <w:t>o</w:t>
      </w:r>
      <w:r w:rsidRPr="00FE4EC8">
        <w:rPr>
          <w:b/>
          <w:bCs/>
        </w:rPr>
        <w:t xml:space="preserve">f </w:t>
      </w:r>
      <w:r w:rsidR="002E4FA5">
        <w:rPr>
          <w:b/>
          <w:bCs/>
        </w:rPr>
        <w:t>c</w:t>
      </w:r>
      <w:r w:rsidRPr="00FE4EC8">
        <w:rPr>
          <w:b/>
          <w:bCs/>
        </w:rPr>
        <w:t>hanges</w:t>
      </w:r>
      <w:r>
        <w:rPr>
          <w:b/>
          <w:bCs/>
        </w:rPr>
        <w:t xml:space="preserve"> </w:t>
      </w:r>
      <w:r w:rsidR="009E75B1">
        <w:rPr>
          <w:b/>
          <w:bCs/>
        </w:rPr>
        <w:t>from</w:t>
      </w:r>
      <w:r>
        <w:rPr>
          <w:b/>
          <w:bCs/>
        </w:rPr>
        <w:t xml:space="preserve"> Schedule 1 of </w:t>
      </w:r>
      <w:r w:rsidRPr="002D7210">
        <w:rPr>
          <w:b/>
        </w:rPr>
        <w:t>PB 30 of 2009</w:t>
      </w:r>
    </w:p>
    <w:p w:rsidR="006E5AC6" w:rsidRDefault="00EA6715" w:rsidP="006E5AC6">
      <w:r w:rsidRPr="006B68DB">
        <w:t xml:space="preserve">The </w:t>
      </w:r>
      <w:r w:rsidR="009E75B1">
        <w:t>changes</w:t>
      </w:r>
      <w:r w:rsidR="009E75B1" w:rsidRPr="006B68DB">
        <w:t xml:space="preserve"> </w:t>
      </w:r>
      <w:r w:rsidR="002E4FA5">
        <w:t xml:space="preserve">to </w:t>
      </w:r>
      <w:r w:rsidRPr="006B68DB">
        <w:t>Schedule</w:t>
      </w:r>
      <w:r w:rsidR="00FE4EC8">
        <w:t> </w:t>
      </w:r>
      <w:r>
        <w:t>1</w:t>
      </w:r>
      <w:r w:rsidRPr="006B68DB">
        <w:t xml:space="preserve"> involve additions</w:t>
      </w:r>
      <w:r w:rsidR="006E5AC6">
        <w:t xml:space="preserve"> and </w:t>
      </w:r>
      <w:r w:rsidRPr="006B68DB">
        <w:t xml:space="preserve">deletions to </w:t>
      </w:r>
      <w:r w:rsidR="00FE4EC8">
        <w:t>listed drugs</w:t>
      </w:r>
      <w:r w:rsidR="006E5AC6">
        <w:t xml:space="preserve"> and </w:t>
      </w:r>
      <w:r w:rsidR="00FE4EC8">
        <w:t>f</w:t>
      </w:r>
      <w:r w:rsidRPr="006B68DB">
        <w:t>orms</w:t>
      </w:r>
      <w:r w:rsidR="006E5AC6">
        <w:t xml:space="preserve">, and changes to circumstances, including </w:t>
      </w:r>
      <w:r w:rsidR="00E72768">
        <w:t xml:space="preserve">the </w:t>
      </w:r>
      <w:r w:rsidRPr="006B68DB">
        <w:t>maximum quantit</w:t>
      </w:r>
      <w:r w:rsidR="00E72768">
        <w:t>y</w:t>
      </w:r>
      <w:r w:rsidR="006E5AC6">
        <w:t xml:space="preserve"> or number of units</w:t>
      </w:r>
      <w:r w:rsidR="004E2A0A">
        <w:t xml:space="preserve"> and </w:t>
      </w:r>
      <w:r w:rsidR="00E72768">
        <w:t xml:space="preserve">the </w:t>
      </w:r>
      <w:r w:rsidR="006E5AC6">
        <w:t xml:space="preserve">maximum number of </w:t>
      </w:r>
      <w:r w:rsidR="00FE4EC8">
        <w:t>repeats</w:t>
      </w:r>
      <w:r w:rsidR="006E5AC6">
        <w:t xml:space="preserve">.  The number ‘20’ is included in the column headed </w:t>
      </w:r>
      <w:r w:rsidR="0065058F">
        <w:t>‘</w:t>
      </w:r>
      <w:r w:rsidR="001D2696">
        <w:t>P</w:t>
      </w:r>
      <w:r w:rsidR="006E5AC6">
        <w:t>eriod</w:t>
      </w:r>
      <w:r w:rsidR="00480FA3">
        <w:t> </w:t>
      </w:r>
      <w:r w:rsidR="001D2696">
        <w:t>(days)</w:t>
      </w:r>
      <w:r w:rsidR="0065058F">
        <w:t>’</w:t>
      </w:r>
      <w:r w:rsidR="006E5AC6">
        <w:t xml:space="preserve"> as the period in days for each item.</w:t>
      </w:r>
    </w:p>
    <w:p w:rsidR="006E5AC6" w:rsidRDefault="006E5AC6" w:rsidP="006E5AC6"/>
    <w:p w:rsidR="006E5AC6" w:rsidRPr="002D7210" w:rsidRDefault="006E5AC6" w:rsidP="006E5AC6">
      <w:r w:rsidRPr="002D7210">
        <w:t xml:space="preserve">The listed drug, form, maximum quantity or number of units and maximum number of repeats for a pharmaceutical item are the same as declared and determined under the Act in the </w:t>
      </w:r>
      <w:r w:rsidRPr="002D7210">
        <w:rPr>
          <w:i/>
        </w:rPr>
        <w:t xml:space="preserve">National Health (Listing of Pharmaceutical Benefits) Instrument 2012 </w:t>
      </w:r>
      <w:r w:rsidRPr="002D7210">
        <w:t>(PB</w:t>
      </w:r>
      <w:r>
        <w:t> </w:t>
      </w:r>
      <w:r w:rsidRPr="002D7210">
        <w:t>71 of 2012)</w:t>
      </w:r>
      <w:r w:rsidR="009E75B1">
        <w:t>, current as at 1</w:t>
      </w:r>
      <w:r w:rsidR="001D2696">
        <w:t> </w:t>
      </w:r>
      <w:r w:rsidR="009E75B1">
        <w:t>January</w:t>
      </w:r>
      <w:r w:rsidR="001D2696">
        <w:t> </w:t>
      </w:r>
      <w:r w:rsidR="009E75B1">
        <w:t>2016</w:t>
      </w:r>
      <w:r w:rsidRPr="002D7210">
        <w:t xml:space="preserve">. </w:t>
      </w:r>
    </w:p>
    <w:p w:rsidR="00CF17C3" w:rsidRDefault="00CF17C3" w:rsidP="00EA6715"/>
    <w:p w:rsidR="00EA6715" w:rsidRDefault="00EA6715" w:rsidP="00EA6715">
      <w:r w:rsidRPr="006B68DB">
        <w:t xml:space="preserve">The changes </w:t>
      </w:r>
      <w:r w:rsidR="006E5AC6">
        <w:t xml:space="preserve">made by this Instrument </w:t>
      </w:r>
      <w:r w:rsidRPr="006B68DB">
        <w:t>are summarised below.</w:t>
      </w:r>
    </w:p>
    <w:p w:rsidR="00EA6715" w:rsidRDefault="00F52AF1" w:rsidP="00713329">
      <w:pPr>
        <w:spacing w:before="240" w:after="60"/>
        <w:rPr>
          <w:b/>
        </w:rPr>
      </w:pPr>
      <w:r>
        <w:rPr>
          <w:b/>
        </w:rPr>
        <w:t xml:space="preserve">Table 1.  </w:t>
      </w:r>
      <w:r w:rsidR="00EA6715" w:rsidRPr="004D332C">
        <w:rPr>
          <w:b/>
        </w:rPr>
        <w:t xml:space="preserve">Listed </w:t>
      </w:r>
      <w:r w:rsidR="00D44716">
        <w:rPr>
          <w:b/>
        </w:rPr>
        <w:t>d</w:t>
      </w:r>
      <w:r w:rsidR="00EA6715" w:rsidRPr="004D332C">
        <w:rPr>
          <w:b/>
        </w:rPr>
        <w:t>rug</w:t>
      </w:r>
      <w:r w:rsidR="00EA6715">
        <w:rPr>
          <w:b/>
        </w:rPr>
        <w:t>s</w:t>
      </w:r>
      <w:r w:rsidR="00EA6715" w:rsidRPr="004D332C">
        <w:rPr>
          <w:b/>
        </w:rPr>
        <w:t xml:space="preserve"> </w:t>
      </w:r>
      <w:r w:rsidR="00D44716">
        <w:rPr>
          <w:b/>
        </w:rPr>
        <w:t>a</w:t>
      </w:r>
      <w:r w:rsidR="00EA6715">
        <w:rPr>
          <w:b/>
        </w:rPr>
        <w:t>dd</w:t>
      </w:r>
      <w:r w:rsidR="00EA6715" w:rsidRPr="004D332C">
        <w:rPr>
          <w:b/>
        </w:rPr>
        <w:t>ed</w:t>
      </w:r>
    </w:p>
    <w:tbl>
      <w:tblPr>
        <w:tblW w:w="5260"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60"/>
      </w:tblGrid>
      <w:tr w:rsidR="0065058F" w:rsidTr="002E4FA5">
        <w:trPr>
          <w:trHeight w:val="300"/>
          <w:tblHeader/>
        </w:trPr>
        <w:tc>
          <w:tcPr>
            <w:tcW w:w="5260" w:type="dxa"/>
            <w:tcBorders>
              <w:top w:val="single" w:sz="4" w:space="0" w:color="auto"/>
              <w:bottom w:val="single" w:sz="4" w:space="0" w:color="auto"/>
            </w:tcBorders>
            <w:shd w:val="clear" w:color="auto" w:fill="auto"/>
            <w:noWrap/>
            <w:vAlign w:val="center"/>
          </w:tcPr>
          <w:p w:rsidR="0065058F" w:rsidRPr="0065058F" w:rsidRDefault="0065058F" w:rsidP="0065058F">
            <w:pPr>
              <w:rPr>
                <w:rFonts w:ascii="Calibri" w:hAnsi="Calibri"/>
                <w:b/>
                <w:color w:val="000000"/>
                <w:sz w:val="20"/>
                <w:szCs w:val="20"/>
              </w:rPr>
            </w:pPr>
            <w:r w:rsidRPr="0065058F">
              <w:rPr>
                <w:rFonts w:ascii="Calibri" w:hAnsi="Calibri"/>
                <w:b/>
                <w:color w:val="000000"/>
                <w:sz w:val="20"/>
                <w:szCs w:val="20"/>
              </w:rPr>
              <w:t>Listed drug</w:t>
            </w:r>
          </w:p>
        </w:tc>
      </w:tr>
      <w:tr w:rsidR="005013D0" w:rsidTr="002E4FA5">
        <w:trPr>
          <w:trHeight w:val="300"/>
        </w:trPr>
        <w:tc>
          <w:tcPr>
            <w:tcW w:w="5260" w:type="dxa"/>
            <w:tcBorders>
              <w:top w:val="single" w:sz="4" w:space="0" w:color="auto"/>
            </w:tcBorders>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Abiraterone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Allopurinol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Alogliptin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Alogliptin with 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Aspirin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Aurothiomalate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Azathioprine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Benzhexol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Betamethasone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Biperiden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Bupropion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Calcitriol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Calcium</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Carbamazepine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Citalopram</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Clonazepam</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Colestipol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Cyproheptadine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Dabrafenib</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Dapagliflozin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Dapagliflozin with 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Dapsone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Dasatinib</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Denosumab</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Desmopressin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Desvenlafaxine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Digoxin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Dimethyl fumarate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Donepezil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Duloxetine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Entacapone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Erlotinib</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Escitalopram</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Esomeprazole and clarithromycin and amoxycillin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Ethosuximide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Etonogestrel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Exenatide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Fingolimod</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Fludrocortisone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Fluvoxamine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Folic acid</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Frusemide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Gabapentin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Galantamine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lastRenderedPageBreak/>
              <w:t>Gestrinone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Glatiramer</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Gliclazide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Glimepiride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Goserelin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Griseofulvin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Hydrochlorothiazide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Hydrochlorothiazide with amiloride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Hydrochlorothiazide with triamterene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Hydroxocobalamin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Hydroxychloroquine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Ibandronic acid</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Indapamide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aspart</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aspart with insulin aspart protamine suspension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detemir</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glargine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glulisine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isophane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lispro</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lispro with insulin lispro protamine suspension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neutral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Insulin neutral with insulin isophane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Isotretinoin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Ketoprofen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Lacosamide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Lamotrigine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Levetiracetam</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Levodopa with carbidopa and entacapone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Levonorgestrel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Levonorgestrel with ethinyloestradiol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Linagliptin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Linagliptin with 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Liothyronine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Lisdexamfetamine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Medroxyprogesterone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Megestrol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Meloxicam</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Memantine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Metformin with glibenclamide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Methylprednisolone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Mirtazapine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Moclobemide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Montelukast</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Nafarelin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Naproxen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lastRenderedPageBreak/>
              <w:t>Norethisterone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Norethisterone with ethinyloestradiol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Norethisterone with mestranol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Oxcarbazepine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Oxybutynin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Paracetamol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Paroxetine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Perampanel</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Phenobarbitone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Phenytoin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Pioglitazone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Pizotifen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Potassium chloride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Potassium chloride with potassium bicarbonate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Pregabalin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Primidone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Propantheline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Quinagolide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Reboxetine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Rifaximin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Rivastigmine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Rosiglitazone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Rosiglitazone with 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Rotigotine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Saxagliptin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Saxagliptin with 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Sertraline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Sitagliptin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Sitagliptin with 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Sorafenib</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Sucralfate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Sulthiame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Sunitinib</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Tacrolimus</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Terbinafine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Teriflunomide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Tetrabenazine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Thyroxine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Tiagabine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Tiludronic acid</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Topiramate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Triamcinolone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Ustekinumab</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Valproic acid</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Varenicline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Venlafaxine</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Vigabatrin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lastRenderedPageBreak/>
              <w:t>Vildagliptin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Vildagliptin with metformin</w:t>
            </w:r>
          </w:p>
        </w:tc>
      </w:tr>
      <w:tr w:rsidR="005013D0" w:rsidTr="002E4FA5">
        <w:trPr>
          <w:trHeight w:val="300"/>
        </w:trPr>
        <w:tc>
          <w:tcPr>
            <w:tcW w:w="5260" w:type="dxa"/>
            <w:shd w:val="clear" w:color="auto" w:fill="auto"/>
            <w:noWrap/>
            <w:vAlign w:val="center"/>
            <w:hideMark/>
          </w:tcPr>
          <w:p w:rsidR="005013D0" w:rsidRPr="005013D0" w:rsidRDefault="005013D0" w:rsidP="0065058F">
            <w:pPr>
              <w:rPr>
                <w:rFonts w:ascii="Calibri" w:hAnsi="Calibri"/>
                <w:color w:val="000000"/>
                <w:sz w:val="20"/>
                <w:szCs w:val="20"/>
              </w:rPr>
            </w:pPr>
            <w:r w:rsidRPr="005013D0">
              <w:rPr>
                <w:rFonts w:ascii="Calibri" w:hAnsi="Calibri"/>
                <w:color w:val="000000"/>
                <w:sz w:val="20"/>
                <w:szCs w:val="20"/>
              </w:rPr>
              <w:t>Zonisamide</w:t>
            </w:r>
          </w:p>
        </w:tc>
      </w:tr>
    </w:tbl>
    <w:p w:rsidR="005C091E" w:rsidRPr="002D7210" w:rsidRDefault="005C091E" w:rsidP="00DC646A"/>
    <w:p w:rsidR="00D44716" w:rsidRDefault="00D44716" w:rsidP="00CF0183">
      <w:pPr>
        <w:keepNext/>
        <w:keepLines/>
        <w:spacing w:before="120" w:after="60"/>
        <w:rPr>
          <w:b/>
        </w:rPr>
      </w:pPr>
      <w:r>
        <w:rPr>
          <w:b/>
        </w:rPr>
        <w:t xml:space="preserve">Table 2.  Forms for </w:t>
      </w:r>
      <w:r w:rsidR="00761D8F">
        <w:rPr>
          <w:b/>
        </w:rPr>
        <w:t xml:space="preserve">added </w:t>
      </w:r>
      <w:r>
        <w:rPr>
          <w:b/>
        </w:rPr>
        <w:t>l</w:t>
      </w:r>
      <w:r w:rsidRPr="004D332C">
        <w:rPr>
          <w:b/>
        </w:rPr>
        <w:t xml:space="preserve">isted </w:t>
      </w:r>
      <w:r>
        <w:rPr>
          <w:b/>
        </w:rPr>
        <w:t>d</w:t>
      </w:r>
      <w:r w:rsidRPr="004D332C">
        <w:rPr>
          <w:b/>
        </w:rPr>
        <w:t>rug</w:t>
      </w:r>
      <w:r>
        <w:rPr>
          <w:b/>
        </w:rPr>
        <w:t>s</w:t>
      </w:r>
    </w:p>
    <w:tbl>
      <w:tblPr>
        <w:tblW w:w="9229"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7"/>
        <w:gridCol w:w="6662"/>
      </w:tblGrid>
      <w:tr w:rsidR="00722B64" w:rsidTr="00CF0183">
        <w:trPr>
          <w:cantSplit/>
          <w:trHeight w:val="300"/>
          <w:tblHeader/>
        </w:trPr>
        <w:tc>
          <w:tcPr>
            <w:tcW w:w="2567" w:type="dxa"/>
            <w:tcBorders>
              <w:top w:val="single" w:sz="4" w:space="0" w:color="auto"/>
              <w:bottom w:val="single" w:sz="4" w:space="0" w:color="auto"/>
            </w:tcBorders>
            <w:shd w:val="clear" w:color="auto" w:fill="auto"/>
            <w:noWrap/>
            <w:vAlign w:val="center"/>
          </w:tcPr>
          <w:p w:rsidR="00722B64" w:rsidRPr="00722B64" w:rsidRDefault="00722B64" w:rsidP="00722B64">
            <w:pPr>
              <w:rPr>
                <w:rFonts w:asciiTheme="minorHAnsi" w:hAnsiTheme="minorHAnsi"/>
                <w:b/>
                <w:color w:val="000000"/>
                <w:sz w:val="20"/>
                <w:szCs w:val="20"/>
              </w:rPr>
            </w:pPr>
            <w:r w:rsidRPr="00722B64">
              <w:rPr>
                <w:rFonts w:asciiTheme="minorHAnsi" w:hAnsiTheme="minorHAnsi"/>
                <w:b/>
                <w:color w:val="000000"/>
                <w:sz w:val="20"/>
                <w:szCs w:val="20"/>
              </w:rPr>
              <w:t>Listed drug</w:t>
            </w:r>
          </w:p>
        </w:tc>
        <w:tc>
          <w:tcPr>
            <w:tcW w:w="6662" w:type="dxa"/>
            <w:tcBorders>
              <w:top w:val="single" w:sz="4" w:space="0" w:color="auto"/>
              <w:bottom w:val="single" w:sz="4" w:space="0" w:color="auto"/>
            </w:tcBorders>
            <w:shd w:val="clear" w:color="auto" w:fill="auto"/>
            <w:noWrap/>
            <w:vAlign w:val="center"/>
          </w:tcPr>
          <w:p w:rsidR="00722B64" w:rsidRPr="00722B64" w:rsidRDefault="00722B64" w:rsidP="00722B64">
            <w:pPr>
              <w:rPr>
                <w:rFonts w:asciiTheme="minorHAnsi" w:hAnsiTheme="minorHAnsi"/>
                <w:b/>
                <w:color w:val="000000"/>
                <w:sz w:val="20"/>
                <w:szCs w:val="20"/>
              </w:rPr>
            </w:pPr>
            <w:r w:rsidRPr="00722B64">
              <w:rPr>
                <w:rFonts w:asciiTheme="minorHAnsi" w:hAnsiTheme="minorHAnsi"/>
                <w:b/>
                <w:color w:val="000000"/>
                <w:sz w:val="20"/>
                <w:szCs w:val="20"/>
              </w:rPr>
              <w:t>Form</w:t>
            </w:r>
          </w:p>
        </w:tc>
      </w:tr>
      <w:tr w:rsidR="005B437C" w:rsidTr="00CF0183">
        <w:trPr>
          <w:cantSplit/>
          <w:trHeight w:val="300"/>
        </w:trPr>
        <w:tc>
          <w:tcPr>
            <w:tcW w:w="2567" w:type="dxa"/>
            <w:tcBorders>
              <w:top w:val="single" w:sz="4" w:space="0" w:color="auto"/>
            </w:tcBorders>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Abiraterone</w:t>
            </w:r>
          </w:p>
        </w:tc>
        <w:tc>
          <w:tcPr>
            <w:tcW w:w="6662" w:type="dxa"/>
            <w:tcBorders>
              <w:top w:val="single" w:sz="4" w:space="0" w:color="auto"/>
            </w:tcBorders>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abiraterone acetate 250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Allopurinol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Allopurinol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300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Alogliptin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12.5 mg (as benzoate)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Alogliptin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 (as benzoate)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Alogliptin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6.25 mg (as benzoate)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Alogliptin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12.5 mg alogliptin (as benzoate) with 1 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Alogliptin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12.5 mg alogliptin (as benzoate)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Alogliptin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12.5 mg alogliptin (as benzoate) with 850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Aspirin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Aspirin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dispersible, 300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Aurothiomalate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containing sodium aurothiomalate 20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Aurothiomalate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containing sodium aurothiomalate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Azathioprine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Azathioprine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Benzhexol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benzhexol hydrochloride 2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Benzhexol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benzhexol hydrochloride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Betamethasone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containing betamethasone acetate 3 mg with betamethasone sodium phosphate 3.9 mg in 1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Biperiden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biperiden hydrochloride 2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Bupropion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bupropion hydrochloride 150 mg (sustained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Calcitriol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0.25 microgram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Calcium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600 mg (as carbonate)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Calcium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chewable, 500 mg (as carbonate)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Carbamazepine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Carbamazepine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Carbamazepine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 (controlled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Carbamazepine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400 mg (controlled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Citalopram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 mg (as hydrobromide)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Citalopram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40 mg (as hydrobromide)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Clonazepam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Clonazepam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500 micrograms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Colestipol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Oral powder, sachets containing colestipol hydrochloride 5 g, 120</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Cyproheptadine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cyproheptadine hydrochloride 4 mg (anhydrous)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Dabrafenib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50 mg (as mesilate)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Dabrafenib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75 mg (as mesilate)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Dapagliflozin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 mg (as propanediol monohydrate)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Dapagliflozin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10 mg dapagliflozin (as propanediol monohydrate)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lastRenderedPageBreak/>
              <w:t>Dapagliflozin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10 mg dapagliflozin (as propanediol monohydrate)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Dapagliflozin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5 mg dapagliflozin (as propanediol monohydrate)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Dapsone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Dapsone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Dasatinib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Dasatinib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Dasatinib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Dasatinib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70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Denosumab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60 mg in 1 mL pre-filled syringe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Desmopressin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desmopressin acetate 200 micrograms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Desmopressin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Wafer 120 micrograms (as acetate)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Desmopressin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Wafer 240 micrograms (as acetate)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(extended release) 100 mg (as succinate)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(extended release) 50 mg (as succinate)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100 mg (as benzoate)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Desvenlafaxine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50 mg (as benzoate)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Digoxin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250 micrograms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Digoxin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62.5 micrograms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Dimethyl fumarate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(modified release) 240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Donepezil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donepezil hydrochloride 10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Donepezil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donepezil hydrochloride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Duloxetine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60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Entacapone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Erlotinib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Erlotinib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150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Erlotinib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Escitalopram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 mg (as oxalate)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Escitalopram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 mg (as oxalate)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Esomeprazole and clarithromycin and amoxycillin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14 tablets (enteric coated) containing esomeprazole 20 mg (as magnesium trihydrate), 14 tablets clarithromycin 500 mg and 28 capsules amoxycillin 500 mg (as trihydrate)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Ethosuximide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250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Etonogestrel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Subcutaneous implant 68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Exenatide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solution 10 micrograms per dose in pre-filled pen, 60 doses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Exenatide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solution 5 micrograms per dose in pre-filled pen, 60 doses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Fingolimod</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500 micrograms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Fludrocortisone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fludrocortisone acetate 100 micrograms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Fluvoxamine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fluvoxamine maleate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Fluvoxamine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fluvoxamine maleate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Folic acid</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Folic acid</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500 micrograms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Frusemide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Frusemide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Gabapentin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Gabapentin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300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lastRenderedPageBreak/>
              <w:t>Gabapentin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400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Gabapentin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Gabapentin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800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Galantamine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(prolonged release) 16 mg (as hydrobromide)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Galantamine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(prolonged release) 24 mg (as hydrobromide)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Galantamine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(prolonged release) 8 mg (as hydrobromide)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Gestrinone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Glatiramer</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containing glatiramer acetate 20 mg in 1 mL single dose pre-filled syringe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Gliclazide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60 mg (modified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Gliclazide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80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Glimepiride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3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Glimepiride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Goserelin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Subcutaneous implant (long acting) 10.8 mg (as acetate) in pre-filled injection syringe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Goserelin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Subcutaneous implant 3.6 mg (as acetate) in pre-filled injection syringe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Griseofulvin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Hydrochlorothiazide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Hydrochlorothiazide with amiloride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hydrochlorothiazide 50 mg with amiloride hydrochloride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Hydrochlorothiazide with triamterene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Hydroxocobalamin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1 mg (as acetate) in 1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Hydroxocobalamin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1 mg (as chloride) in 1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Hydroxychloroquine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hydroxychloroquine sulfate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Ibandronic acid</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 (as ibandronate sodium monohydrate)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Indapamide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indapamide hemihydrate 1.5 mg (sustained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Indapamide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indapamide hemihydrate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aspart</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(human analogue) 100 units per mL, 10 mL vial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aspart</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100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aspart with insulin aspart protamine suspension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30 units-70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detemir</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100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glargine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100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glulisine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(human analogue) 100 units per mL, 10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glulisine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100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isophane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(bovine) 100 units per mL, 10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isophane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(human) 100 units per mL, 10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isophane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cartridges, 100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lispro</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(human analogue) 100 units per mL, 10 mL vial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lispro</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100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lispro with insulin lispro protamine suspension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25 units-75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lispro with insulin lispro protamine suspension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analogue), cartridges, 50 units-50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neutral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(bovine) 100 units per mL, 10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neutral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(human) 100 units per mL, 10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neutral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cartridges, 100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neutral with insulin isophane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(human) 30 units-70 units per mL, 10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lastRenderedPageBreak/>
              <w:t>Insulin neutral with insulin isophane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cartridges, 30 units-70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Insulin neutral with insulin isophane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Injections (human), cartridges, 50 units-50 units per mL, 3 mL, 5</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Isotretinoin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Isotretinoin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20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Isotretinoin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40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Ketoprofen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200 mg (sustained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Lacosamide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Lacosamide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Lacosamide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Lamotrigine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Lamotrigine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Lamotrigine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Lamotrigine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Lamotrigine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Levetiracetam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Oral solution 100 mg per mL, 300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Levetiracetam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 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Levetiracetam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Levetiracetam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Levodopa with carbidopa and entacapone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mg-25 mg-200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Levodopa with carbidopa and entacapone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125 mg-31.25 mg-200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Levodopa with carbidopa and entacapone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150 mg-37.5 mg-200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Levodopa with carbidopa and entacapone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mg-50 mg-200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Levodopa with carbidopa and entacapone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mg-12.5 mg-200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Levodopa with carbidopa and entacapone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75 mg-18.75 mg-200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Levonorgestrel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Intrauterine drug delivery system 52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Levonorgestrel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Tablets 30 micrograms, 28</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Levonorgestrel with ethinyloestradiol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21 tablets 100 micrograms-20 micrograms and 7 inert tablets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Levonorgestrel with ethinyloestradiol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21 tablets 125 micrograms-50 micrograms and 7 inert tablets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Levonorgestrel with ethinyloestradiol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21 tablets 150 micrograms-30 micrograms and 7 inert tablets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Levonorgestrel with ethinyloestradiol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6 tablets 50 micrograms-30 micrograms, 5 tablets 75 micrograms-40 micrograms, 10 tablets 125 micrograms-30 micrograms and 7 inert tablets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Linagliptin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Linagliptin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2.5 mg linagliptin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Linagliptin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2.5 mg linagliptin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Linagliptin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2.5 mg linagliptin with 850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Liothyronine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liothyronine sodium 20 micrograms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Lisdexamfetamine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containing lisdexamfetamine dimesilate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Medroxyprogesterone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containing medroxyprogesterone acetate 150 mg in 1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Medroxyprogesterone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medroxyprogesterone acetate 10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Medroxyprogesterone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medroxyprogesterone acetate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lastRenderedPageBreak/>
              <w:t>Megestrol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megestrol acetate 160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Meloxicam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Meloxicam</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Memantine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memantine hydrochloride 10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Memantine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memantine hydrochloride 20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(extended release) containing metformin hydrochloride 1 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(extended release) containing metformin hydrochloride 500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metformin hydrochloride 1 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metformin hydrochloride 500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metformin hydrochloride 850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 with glibenclamide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metformin hydrochloride 250 mg with glibenclamide 1.25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 with glibenclamide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metformin hydrochloride 500 mg with glibenclamide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Metformin with glibenclamide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metformin hydrochloride 500 mg with glibenclamide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Methylprednisolone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containing methylprednisolone acetate 40 mg in 1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Mirtazapine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Mirtazapine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45 mg (orally disintegrating)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Moclobemide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Moclobemide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300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Montelukast</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chewable, 4 mg (as sodium)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Montelukast</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chewable, 5 mg (as sodium)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Nafarelin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Nasal spray (pump pack) 200 micrograms (as acetate) per dose, 60 doses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Naproxen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 g (sustained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Naproxen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750 mg (sustained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Norethisterone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Tablets 350 micrograms, 28</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Norethisterone with ethinyloestradiol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21 tablets 1 mg-35 micrograms and 7 inert tablets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Norethisterone with ethinyloestradiol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21 tablets 500 micrograms-35 micrograms and 7 inert tablets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Norethisterone with mestranol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Pack containing 21 tablets 1 mg-50 micrograms and 7 inert tablets</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Oxcarbazepine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Oxybutynin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oxybutynin hydrochloride 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Oxybutynin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Transdermal patches 36 mg, 8</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Paracetamol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Paracetamol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665 mg (modified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Paroxetine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Paroxetine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 mg (as mesilate)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Perampanel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 mg (as hemisesquihydrate)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Perampanel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12 mg (as hemisesquihydrate)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Perampanel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 mg (as hemisesquihydrate)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Perampanel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 mg (as hemisesquihydrate)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Perampanel</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8 mg (as hemisesquihydrate)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Phenobarbitone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30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Phenytoin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containing phenytoin sodium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Phenytoin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containing phenytoin sodium 30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Phenytoin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Pioglitazone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45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lastRenderedPageBreak/>
              <w:t>Pizotifen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500 micrograms (as malate)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Potassium chloride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600 mg (sustained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Potassium chloride with potassium bicarbonate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effervescent, 14 mmol potassium and 8 mmol 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Pregabalin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300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Primidone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Propantheline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propantheline bromide 15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Quinagolide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75 micrograms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Reboxetine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4 mg (as mesilate)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Rifaximin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Rivastigmine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1.5 mg (as hydrogen tartrate)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Rivastigmine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3 mg (as hydrogen tartrate)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Rivastigmine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4.5 mg (as hydrogen tartrate)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Rivastigmine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6 mg (as hydrogen tartrate)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Rivastigmine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Transdermal patch 18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Rivastigmine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Transdermal patch 27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Rivastigmine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Transdermal patch 9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Rosiglitazone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8 mg (as maleate)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Rosiglitazone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2 mg rosiglitazone (as maleate) with 1 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Rosiglitazone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2 mg rosiglitazone (as maleate)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Rosiglitazone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4 mg rosiglitazone (as maleate) with 1 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Rosiglitazone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4 mg rosiglitazone (as maleate)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Rotigotine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Transdermal patch 13.5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Rotigotine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Transdermal patch 4.5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Rotigotine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Transdermal patch 9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Saxagliptin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Saxagliptin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Saxagliptin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2.5 mg saxagliptin (as hydrochloride)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Saxagliptin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5 mg saxagliptin (as hydrochloride)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Saxagliptin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5 mg saxagliptin (as hydrochloride)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Sertraline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Sertraline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 (as phosphate monohydrate)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 (as phosphate monohydrate)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 (as phosphate monohydrate)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100 mg sitagliptin (as phosphate monohydrate)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(modified release) containing 50 mg sitagliptin (as phosphate monohydrate)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50 mg sitagliptin (as phosphate monohydrate)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50 mg sitagliptin (as phosphate monohydrate)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Sitagliptin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50 mg sitagliptin (as phosphate monohydrate) with 850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lastRenderedPageBreak/>
              <w:t>Sorafenib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 (as tosylate)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Sucralfate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equivalent to 1 g anhydrous sucralfate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Sulthiame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Sulthiame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Sunitinib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12.5 mg (as malate)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Sunitinib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25 mg (as malate)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Sunitinib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37.5 mg (as malate)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Sunitinib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50 mg (as malate)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Tacrolimus</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0.5 mg (once daily prolonged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Tacrolimus</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 mg (once daily prolonged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Tacrolimus</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5 mg (once daily prolonged release)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Terbinafine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Teriflunomide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14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Tetrabenazine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Thyroxine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100 micrograms anhydrous thyroxine sodium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Thyroxine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200 micrograms anhydrous thyroxine sodium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Thyroxine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50 micrograms anhydrous thyroxine sodium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Thyroxine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75 micrograms anhydrous thyroxine sodium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Tiagabine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Tiagabine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15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Tiagabine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Tiludronic acid</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 (as tiludronate disodium)</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Topiramate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Topiramate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Topiramate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Topiramate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Topiramate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Topiramate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Topiramate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Triamcinolone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containing triamcinolone acetonide 10 mg in 1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Ustekinumab</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Injection 45 mg in 0.5 mL</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Valproic acid</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(enteric coated) containing sodium valproate 200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Valproic acid</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(enteric coated) containing sodium valproate 500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Varenicline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Box containing 11 tablets 0.5 mg (as tartrate) and 14 tablets 1 mg (as tartrate) in the first pack and 28 tablets 1 mg (as tartrate) in the second pack</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Varenicline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1 mg (as tartrate)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(modified release) 150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Venlafaxine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(modified release) 75 mg (as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Vigabatrin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Oral powder, sachet 500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Vigabatrin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Vildagliptin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50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Vildagliptin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50 mg vildagliptin with 1000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Vildagliptin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50 mg vildagliptin with 500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Vildagliptin with metformin</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Tablet containing 50 mg vildagliptin with 850 mg metformin hydrochloride</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Zonisamide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100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Zonisamide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25 mg</w:t>
            </w:r>
          </w:p>
        </w:tc>
      </w:tr>
      <w:tr w:rsidR="005B437C" w:rsidTr="00CF0183">
        <w:trPr>
          <w:cantSplit/>
          <w:trHeight w:val="300"/>
        </w:trPr>
        <w:tc>
          <w:tcPr>
            <w:tcW w:w="2567"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Zonisamide</w:t>
            </w:r>
          </w:p>
        </w:tc>
        <w:tc>
          <w:tcPr>
            <w:tcW w:w="6662" w:type="dxa"/>
            <w:shd w:val="clear" w:color="auto" w:fill="auto"/>
            <w:noWrap/>
            <w:vAlign w:val="center"/>
            <w:hideMark/>
          </w:tcPr>
          <w:p w:rsidR="005B437C" w:rsidRPr="005B437C" w:rsidRDefault="005B437C" w:rsidP="005B437C">
            <w:pPr>
              <w:rPr>
                <w:rFonts w:asciiTheme="minorHAnsi" w:hAnsiTheme="minorHAnsi"/>
                <w:color w:val="000000"/>
                <w:sz w:val="20"/>
                <w:szCs w:val="20"/>
              </w:rPr>
            </w:pPr>
            <w:r w:rsidRPr="005B437C">
              <w:rPr>
                <w:rFonts w:asciiTheme="minorHAnsi" w:hAnsiTheme="minorHAnsi"/>
                <w:color w:val="000000"/>
                <w:sz w:val="20"/>
                <w:szCs w:val="20"/>
              </w:rPr>
              <w:t>Capsule 50 mg</w:t>
            </w:r>
          </w:p>
        </w:tc>
      </w:tr>
    </w:tbl>
    <w:p w:rsidR="00F52AF1" w:rsidRDefault="00F52AF1" w:rsidP="00DC646A"/>
    <w:p w:rsidR="00721322" w:rsidRDefault="00721322" w:rsidP="00CF0183">
      <w:pPr>
        <w:keepNext/>
        <w:keepLines/>
        <w:widowControl w:val="0"/>
        <w:spacing w:before="120" w:after="60"/>
        <w:rPr>
          <w:b/>
        </w:rPr>
      </w:pPr>
      <w:r>
        <w:rPr>
          <w:b/>
        </w:rPr>
        <w:lastRenderedPageBreak/>
        <w:t xml:space="preserve">Table </w:t>
      </w:r>
      <w:r w:rsidR="006B2AC7">
        <w:rPr>
          <w:b/>
        </w:rPr>
        <w:t>3</w:t>
      </w:r>
      <w:r>
        <w:rPr>
          <w:b/>
        </w:rPr>
        <w:t>.  Forms added for l</w:t>
      </w:r>
      <w:r w:rsidRPr="004D332C">
        <w:rPr>
          <w:b/>
        </w:rPr>
        <w:t xml:space="preserve">isted </w:t>
      </w:r>
      <w:r>
        <w:rPr>
          <w:b/>
        </w:rPr>
        <w:t>d</w:t>
      </w:r>
      <w:r w:rsidRPr="004D332C">
        <w:rPr>
          <w:b/>
        </w:rPr>
        <w:t>rug</w:t>
      </w:r>
      <w:r w:rsidR="00713329">
        <w:rPr>
          <w:b/>
        </w:rPr>
        <w:t xml:space="preserve">s </w:t>
      </w:r>
      <w:r w:rsidR="00761D8F">
        <w:rPr>
          <w:b/>
        </w:rPr>
        <w:t xml:space="preserve">already </w:t>
      </w:r>
      <w:r w:rsidR="00713329">
        <w:rPr>
          <w:b/>
        </w:rPr>
        <w:t>included</w:t>
      </w:r>
    </w:p>
    <w:tbl>
      <w:tblPr>
        <w:tblW w:w="9229"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7"/>
        <w:gridCol w:w="6662"/>
      </w:tblGrid>
      <w:tr w:rsidR="0065058F" w:rsidRPr="00713329" w:rsidTr="002E4FA5">
        <w:trPr>
          <w:trHeight w:val="300"/>
          <w:tblHeader/>
        </w:trPr>
        <w:tc>
          <w:tcPr>
            <w:tcW w:w="2567" w:type="dxa"/>
            <w:tcBorders>
              <w:top w:val="single" w:sz="4" w:space="0" w:color="auto"/>
              <w:bottom w:val="single" w:sz="4" w:space="0" w:color="auto"/>
            </w:tcBorders>
            <w:shd w:val="clear" w:color="auto" w:fill="auto"/>
            <w:noWrap/>
            <w:vAlign w:val="center"/>
          </w:tcPr>
          <w:p w:rsidR="0065058F" w:rsidRPr="00722B64" w:rsidRDefault="0065058F" w:rsidP="002E4FA5">
            <w:pPr>
              <w:rPr>
                <w:rFonts w:asciiTheme="minorHAnsi" w:hAnsiTheme="minorHAnsi"/>
                <w:b/>
                <w:color w:val="000000"/>
                <w:sz w:val="20"/>
                <w:szCs w:val="20"/>
              </w:rPr>
            </w:pPr>
            <w:r w:rsidRPr="00722B64">
              <w:rPr>
                <w:rFonts w:asciiTheme="minorHAnsi" w:hAnsiTheme="minorHAnsi"/>
                <w:b/>
                <w:color w:val="000000"/>
                <w:sz w:val="20"/>
                <w:szCs w:val="20"/>
              </w:rPr>
              <w:t>Listed drug</w:t>
            </w:r>
          </w:p>
        </w:tc>
        <w:tc>
          <w:tcPr>
            <w:tcW w:w="6662" w:type="dxa"/>
            <w:tcBorders>
              <w:top w:val="single" w:sz="4" w:space="0" w:color="auto"/>
              <w:bottom w:val="single" w:sz="4" w:space="0" w:color="auto"/>
            </w:tcBorders>
            <w:shd w:val="clear" w:color="auto" w:fill="auto"/>
            <w:noWrap/>
            <w:vAlign w:val="center"/>
          </w:tcPr>
          <w:p w:rsidR="0065058F" w:rsidRPr="00722B64" w:rsidRDefault="0065058F" w:rsidP="002E4FA5">
            <w:pPr>
              <w:rPr>
                <w:rFonts w:asciiTheme="minorHAnsi" w:hAnsiTheme="minorHAnsi"/>
                <w:b/>
                <w:color w:val="000000"/>
                <w:sz w:val="20"/>
                <w:szCs w:val="20"/>
              </w:rPr>
            </w:pPr>
            <w:r w:rsidRPr="00722B64">
              <w:rPr>
                <w:rFonts w:asciiTheme="minorHAnsi" w:hAnsiTheme="minorHAnsi"/>
                <w:b/>
                <w:color w:val="000000"/>
                <w:sz w:val="20"/>
                <w:szCs w:val="20"/>
              </w:rPr>
              <w:t>Form</w:t>
            </w:r>
          </w:p>
        </w:tc>
      </w:tr>
      <w:tr w:rsidR="0065058F" w:rsidRPr="00713329" w:rsidTr="002E4FA5">
        <w:trPr>
          <w:trHeight w:val="300"/>
        </w:trPr>
        <w:tc>
          <w:tcPr>
            <w:tcW w:w="2567" w:type="dxa"/>
            <w:tcBorders>
              <w:top w:val="single" w:sz="4" w:space="0" w:color="auto"/>
            </w:tcBorders>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Aciclovir</w:t>
            </w:r>
          </w:p>
        </w:tc>
        <w:tc>
          <w:tcPr>
            <w:tcW w:w="6662" w:type="dxa"/>
            <w:tcBorders>
              <w:top w:val="single" w:sz="4" w:space="0" w:color="auto"/>
            </w:tcBorders>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Tablet 800 mg</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Adalimumab</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Injection 40 mg in 0.8 mL pre-filled pen, 6</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Adalimumab</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Injection 40 mg in 0.8 mL pre-filled syringe, 6</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Dabigatran etexilate</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Capsule 75 mg (as mesilate)</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Degarelix</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Powder for injection 120 mg (as acetate), 2, injection set</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Goserelin and bicalutamide</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Pack containing 1 subcutaneous implant containing goserelin 10.8 mg (as acetate) in pre-filled injection syringe and 28 tablets bicalutamide 50 mg</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Goserelin and bicalutamide</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Pack containing 1 subcutaneous implant containing goserelin 10.8 mg (as acetate) in pre-filled injection syringe and 84 tablets bicalutamide 50 mg</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Leuprorelin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I.M. injection (3 month modified release), powder for injection containing leuprorelin acetate 30 mg with diluent in pre-filled dual-chamber syringe</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Leuprorelin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I.M. injection (modified release), powder for injection containing leuprorelin acetate 22.5 mg with diluent in pre-filled dual-chamber syringe</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Leuprorelin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I.M. injection (modified release), powder for injection containing leuprorelin acetate 30 mg with diluent in pre-filled dual-chamber syringe</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Leuprorelin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Suspension for subcutaneous injection (modified release) containing leuprorelin acetate 22.5 mg, injection set</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Leuprorelin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Suspension for subcutaneous injection (modified release) containing leuprorelin acetate 30 mg, injection set</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Leuprorelin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Suspension for subcutaneous injection (modified release) containing leuprorelin acetate 45 mg, injection set</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Leuprorelin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Suspension for subcutaneous injection (modified release) containing leuprorelin acetate 7.5 mg, injection set</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Oestradiol</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Tablet 2 mg</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Oestradiol</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Tablet containing oestradiol valerate 1 mg</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Oestradiol</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Tablet containing oestradiol valerate 2 mg</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Risedronic acid</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Tablet containing risedronate sodium 30 mg</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Testosterone</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I.M. injection containing testosterone undecanoate 1,000 mg in 4 mL</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Testosterone</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Injection containing testosterone enanthate 250 mg in 1 mL</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Testosterone</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Transdermal gel (pump pack) 12.5 mg per 1.25 g dose, 60 doses, 2</w:t>
            </w:r>
          </w:p>
        </w:tc>
      </w:tr>
      <w:tr w:rsidR="0065058F" w:rsidRPr="00713329" w:rsidTr="002E4FA5">
        <w:trPr>
          <w:cantSplit/>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Tiotropium</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Solution for oral inhalation 2.5 micrograms (as bromide monohydrate) per actuation (60 actuations)</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Triptorelin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Powder for I.M. injection (prolonged release) 11.25 mg (as embonate) with solvent, syringe and needles</w:t>
            </w:r>
          </w:p>
        </w:tc>
      </w:tr>
      <w:tr w:rsidR="0065058F" w:rsidRPr="00713329" w:rsidTr="002E4FA5">
        <w:trPr>
          <w:trHeight w:val="300"/>
        </w:trPr>
        <w:tc>
          <w:tcPr>
            <w:tcW w:w="2567"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Triptorelin</w:t>
            </w:r>
          </w:p>
        </w:tc>
        <w:tc>
          <w:tcPr>
            <w:tcW w:w="6662" w:type="dxa"/>
            <w:shd w:val="clear" w:color="auto" w:fill="auto"/>
            <w:noWrap/>
            <w:vAlign w:val="center"/>
            <w:hideMark/>
          </w:tcPr>
          <w:p w:rsidR="0065058F" w:rsidRPr="00713329" w:rsidRDefault="0065058F" w:rsidP="00713329">
            <w:pPr>
              <w:rPr>
                <w:rFonts w:asciiTheme="minorHAnsi" w:hAnsiTheme="minorHAnsi"/>
                <w:color w:val="000000"/>
                <w:sz w:val="20"/>
                <w:szCs w:val="20"/>
              </w:rPr>
            </w:pPr>
            <w:r w:rsidRPr="00713329">
              <w:rPr>
                <w:rFonts w:asciiTheme="minorHAnsi" w:hAnsiTheme="minorHAnsi"/>
                <w:color w:val="000000"/>
                <w:sz w:val="20"/>
                <w:szCs w:val="20"/>
              </w:rPr>
              <w:t>Powder for I.M. injection (prolonged release) 22.5 mg (as embonate) with solvent, syringe and needles</w:t>
            </w:r>
          </w:p>
        </w:tc>
      </w:tr>
    </w:tbl>
    <w:p w:rsidR="00DC646A" w:rsidRDefault="00DC646A" w:rsidP="00DC646A"/>
    <w:p w:rsidR="007F1562" w:rsidRDefault="006B2AC7" w:rsidP="0065058F">
      <w:pPr>
        <w:keepNext/>
        <w:keepLines/>
        <w:spacing w:before="120" w:after="60"/>
        <w:rPr>
          <w:b/>
        </w:rPr>
      </w:pPr>
      <w:r>
        <w:rPr>
          <w:b/>
        </w:rPr>
        <w:t xml:space="preserve">Table 4.  </w:t>
      </w:r>
      <w:r w:rsidR="007F1562">
        <w:rPr>
          <w:b/>
        </w:rPr>
        <w:t xml:space="preserve">Added or amended maximum quantities or </w:t>
      </w:r>
      <w:r w:rsidR="009B6164">
        <w:rPr>
          <w:b/>
        </w:rPr>
        <w:t xml:space="preserve">maximum </w:t>
      </w:r>
      <w:r w:rsidR="007F1562">
        <w:rPr>
          <w:b/>
        </w:rPr>
        <w:t>repeats</w:t>
      </w:r>
    </w:p>
    <w:tbl>
      <w:tblPr>
        <w:tblW w:w="9371" w:type="dxa"/>
        <w:tblInd w:w="93" w:type="dxa"/>
        <w:tblLook w:val="04A0" w:firstRow="1" w:lastRow="0" w:firstColumn="1" w:lastColumn="0" w:noHBand="0" w:noVBand="1"/>
      </w:tblPr>
      <w:tblGrid>
        <w:gridCol w:w="1674"/>
        <w:gridCol w:w="5571"/>
        <w:gridCol w:w="992"/>
        <w:gridCol w:w="1134"/>
      </w:tblGrid>
      <w:tr w:rsidR="009B6164" w:rsidRPr="009B6164" w:rsidTr="009B6164">
        <w:trPr>
          <w:trHeight w:val="300"/>
        </w:trPr>
        <w:tc>
          <w:tcPr>
            <w:tcW w:w="1674" w:type="dxa"/>
            <w:tcBorders>
              <w:top w:val="single" w:sz="4" w:space="0" w:color="auto"/>
              <w:left w:val="single" w:sz="4" w:space="0" w:color="auto"/>
              <w:bottom w:val="single" w:sz="4" w:space="0" w:color="auto"/>
              <w:right w:val="nil"/>
            </w:tcBorders>
            <w:shd w:val="clear" w:color="auto" w:fill="auto"/>
            <w:noWrap/>
            <w:vAlign w:val="center"/>
          </w:tcPr>
          <w:p w:rsidR="009B6164" w:rsidRPr="009B6164" w:rsidRDefault="009B6164" w:rsidP="009B6164">
            <w:pPr>
              <w:keepNext/>
              <w:keepLines/>
              <w:rPr>
                <w:rFonts w:asciiTheme="minorHAnsi" w:hAnsiTheme="minorHAnsi"/>
                <w:b/>
                <w:color w:val="000000"/>
                <w:sz w:val="20"/>
                <w:szCs w:val="20"/>
              </w:rPr>
            </w:pPr>
            <w:r w:rsidRPr="009B6164">
              <w:rPr>
                <w:rFonts w:asciiTheme="minorHAnsi" w:hAnsiTheme="minorHAnsi"/>
                <w:b/>
                <w:color w:val="000000"/>
                <w:sz w:val="20"/>
                <w:szCs w:val="20"/>
              </w:rPr>
              <w:t>Listed drug</w:t>
            </w:r>
          </w:p>
        </w:tc>
        <w:tc>
          <w:tcPr>
            <w:tcW w:w="5571" w:type="dxa"/>
            <w:tcBorders>
              <w:top w:val="single" w:sz="4" w:space="0" w:color="auto"/>
              <w:left w:val="nil"/>
              <w:bottom w:val="single" w:sz="4" w:space="0" w:color="auto"/>
              <w:right w:val="nil"/>
            </w:tcBorders>
            <w:shd w:val="clear" w:color="auto" w:fill="auto"/>
            <w:noWrap/>
            <w:vAlign w:val="center"/>
          </w:tcPr>
          <w:p w:rsidR="009B6164" w:rsidRPr="009B6164" w:rsidRDefault="009B6164" w:rsidP="009B6164">
            <w:pPr>
              <w:keepNext/>
              <w:keepLines/>
              <w:rPr>
                <w:rFonts w:asciiTheme="minorHAnsi" w:hAnsiTheme="minorHAnsi"/>
                <w:b/>
                <w:color w:val="000000"/>
                <w:sz w:val="20"/>
                <w:szCs w:val="20"/>
              </w:rPr>
            </w:pPr>
            <w:r w:rsidRPr="009B6164">
              <w:rPr>
                <w:rFonts w:asciiTheme="minorHAnsi" w:hAnsiTheme="minorHAnsi"/>
                <w:b/>
                <w:color w:val="000000"/>
                <w:sz w:val="20"/>
                <w:szCs w:val="20"/>
              </w:rPr>
              <w:t>Form</w:t>
            </w:r>
          </w:p>
        </w:tc>
        <w:tc>
          <w:tcPr>
            <w:tcW w:w="992" w:type="dxa"/>
            <w:tcBorders>
              <w:top w:val="single" w:sz="4" w:space="0" w:color="auto"/>
              <w:left w:val="nil"/>
              <w:bottom w:val="single" w:sz="4" w:space="0" w:color="auto"/>
              <w:right w:val="nil"/>
            </w:tcBorders>
            <w:shd w:val="clear" w:color="auto" w:fill="auto"/>
            <w:noWrap/>
            <w:vAlign w:val="center"/>
          </w:tcPr>
          <w:p w:rsidR="009B6164" w:rsidRPr="009B6164" w:rsidRDefault="009B6164" w:rsidP="009B6164">
            <w:pPr>
              <w:keepNext/>
              <w:keepLines/>
              <w:ind w:left="-98"/>
              <w:rPr>
                <w:rFonts w:asciiTheme="minorHAnsi" w:hAnsiTheme="minorHAnsi"/>
                <w:b/>
                <w:color w:val="000000"/>
                <w:sz w:val="20"/>
                <w:szCs w:val="20"/>
              </w:rPr>
            </w:pPr>
            <w:r w:rsidRPr="009B6164">
              <w:rPr>
                <w:rFonts w:asciiTheme="minorHAnsi" w:hAnsiTheme="minorHAnsi"/>
                <w:b/>
                <w:color w:val="000000"/>
                <w:sz w:val="20"/>
                <w:szCs w:val="20"/>
              </w:rPr>
              <w:t>Maximum quantity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B6164" w:rsidRPr="009B6164" w:rsidRDefault="009B6164" w:rsidP="009B6164">
            <w:pPr>
              <w:keepNext/>
              <w:keepLines/>
              <w:rPr>
                <w:rFonts w:asciiTheme="minorHAnsi" w:hAnsiTheme="minorHAnsi"/>
                <w:b/>
                <w:color w:val="000000"/>
                <w:sz w:val="20"/>
                <w:szCs w:val="20"/>
              </w:rPr>
            </w:pPr>
            <w:r w:rsidRPr="009B6164">
              <w:rPr>
                <w:rFonts w:asciiTheme="minorHAnsi" w:hAnsiTheme="minorHAnsi"/>
                <w:b/>
                <w:color w:val="000000"/>
                <w:sz w:val="20"/>
                <w:szCs w:val="20"/>
              </w:rPr>
              <w:t>Maximum number of repeats</w:t>
            </w:r>
          </w:p>
        </w:tc>
      </w:tr>
      <w:tr w:rsidR="009B6164" w:rsidRPr="009B6164" w:rsidTr="003976AA">
        <w:trPr>
          <w:trHeight w:val="300"/>
        </w:trPr>
        <w:tc>
          <w:tcPr>
            <w:tcW w:w="1674" w:type="dxa"/>
            <w:tcBorders>
              <w:top w:val="single" w:sz="4" w:space="0" w:color="auto"/>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Adalimumab</w:t>
            </w:r>
          </w:p>
        </w:tc>
        <w:tc>
          <w:tcPr>
            <w:tcW w:w="5571" w:type="dxa"/>
            <w:tcBorders>
              <w:top w:val="single" w:sz="4" w:space="0" w:color="auto"/>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Injection 20 mg in 0.4 mL pre-filled syringe</w:t>
            </w:r>
          </w:p>
        </w:tc>
        <w:tc>
          <w:tcPr>
            <w:tcW w:w="992" w:type="dxa"/>
            <w:tcBorders>
              <w:top w:val="single" w:sz="4" w:space="0" w:color="auto"/>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c>
          <w:tcPr>
            <w:tcW w:w="1134" w:type="dxa"/>
            <w:tcBorders>
              <w:top w:val="single" w:sz="4" w:space="0" w:color="auto"/>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0</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Adalimumab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Injection 20 mg in 0.4 mL pre-filled syringe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Adalimumab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Injection 40 mg in 0.8 mL pre-filled pen</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0</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Adalimumab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Injection 40 mg in 0.8 mL pre-filled pen</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Adalimumab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Injection 40 mg in 0.8 mL pre-filled syringe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0</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Adalimumab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Injection 40 mg in 0.8 mL pre-filled syringe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Apixaban</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2.5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60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0</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Apixaban</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5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28</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0</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Dabigatran etexilate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110 mg (as mesilate)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60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0</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lastRenderedPageBreak/>
              <w:t>Esomeprazole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(enteric) 20 mg (as magnesium)</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Esomeprazole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(enteric) 40 mg (as magnesium)</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Esomeprazole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(enteric coated) 20 mg (as magnesium trihydrate)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Esomeprazole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(enteric coated) 40 mg (as magnesium trihydrate)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Imatinib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100 mg (as mesylate)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60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Imatinib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400 mg (as mesylate)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Lansoprazole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30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28</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Lansoprazole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30 mg (orally disintegrating)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28</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Omeprazole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20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Omeprazole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20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Omeprazole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20 mg (as magnesium)</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Pantoprazole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Sachet containing granules 40 mg (as sodium sesquihydrate)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Pantoprazole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(enteric coated) 40 mg (as sodium sesquihydrate)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Pazopanib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200 mg (as hydrochloride)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90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Pazopanib</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400 mg (as hydrochloride)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60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Rabeprazole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containing rabeprazole sodium 20 mg (enteric coated)</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30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Sapropterin</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(soluble) containing sapropterin dihydrochloride 100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180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0</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Tamoxifen</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Tablet 20 mg (as citrate)</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60</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5</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Temozolomide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100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15</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Temozolomide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140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15</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Temozolomide</w:t>
            </w:r>
          </w:p>
        </w:tc>
        <w:tc>
          <w:tcPr>
            <w:tcW w:w="5571" w:type="dxa"/>
            <w:tcBorders>
              <w:top w:val="nil"/>
              <w:left w:val="nil"/>
              <w:bottom w:val="nil"/>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20 mg</w:t>
            </w:r>
          </w:p>
        </w:tc>
        <w:tc>
          <w:tcPr>
            <w:tcW w:w="992" w:type="dxa"/>
            <w:tcBorders>
              <w:top w:val="nil"/>
              <w:left w:val="nil"/>
              <w:bottom w:val="nil"/>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15</w:t>
            </w:r>
          </w:p>
        </w:tc>
        <w:tc>
          <w:tcPr>
            <w:tcW w:w="1134" w:type="dxa"/>
            <w:tcBorders>
              <w:top w:val="nil"/>
              <w:left w:val="nil"/>
              <w:bottom w:val="nil"/>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r w:rsidR="009B6164" w:rsidRPr="009B6164" w:rsidTr="003976AA">
        <w:trPr>
          <w:trHeight w:val="300"/>
        </w:trPr>
        <w:tc>
          <w:tcPr>
            <w:tcW w:w="1674" w:type="dxa"/>
            <w:tcBorders>
              <w:top w:val="nil"/>
              <w:left w:val="single" w:sz="4" w:space="0" w:color="auto"/>
              <w:bottom w:val="single" w:sz="4" w:space="0" w:color="auto"/>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Temozolomide</w:t>
            </w:r>
          </w:p>
        </w:tc>
        <w:tc>
          <w:tcPr>
            <w:tcW w:w="5571" w:type="dxa"/>
            <w:tcBorders>
              <w:top w:val="nil"/>
              <w:left w:val="nil"/>
              <w:bottom w:val="single" w:sz="4" w:space="0" w:color="auto"/>
              <w:right w:val="nil"/>
            </w:tcBorders>
            <w:shd w:val="clear" w:color="auto" w:fill="auto"/>
            <w:noWrap/>
            <w:vAlign w:val="center"/>
            <w:hideMark/>
          </w:tcPr>
          <w:p w:rsidR="009B6164" w:rsidRPr="009B6164" w:rsidRDefault="009B6164" w:rsidP="009B6164">
            <w:pPr>
              <w:rPr>
                <w:rFonts w:asciiTheme="minorHAnsi" w:hAnsiTheme="minorHAnsi"/>
                <w:color w:val="000000"/>
                <w:sz w:val="20"/>
                <w:szCs w:val="20"/>
              </w:rPr>
            </w:pPr>
            <w:r w:rsidRPr="009B6164">
              <w:rPr>
                <w:rFonts w:asciiTheme="minorHAnsi" w:hAnsiTheme="minorHAnsi"/>
                <w:color w:val="000000"/>
                <w:sz w:val="20"/>
                <w:szCs w:val="20"/>
              </w:rPr>
              <w:t>Capsule 5 mg</w:t>
            </w:r>
          </w:p>
        </w:tc>
        <w:tc>
          <w:tcPr>
            <w:tcW w:w="992" w:type="dxa"/>
            <w:tcBorders>
              <w:top w:val="nil"/>
              <w:left w:val="nil"/>
              <w:bottom w:val="single" w:sz="4" w:space="0" w:color="auto"/>
              <w:right w:val="nil"/>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9B6164" w:rsidRPr="009B6164" w:rsidRDefault="009B6164" w:rsidP="003976AA">
            <w:pPr>
              <w:jc w:val="center"/>
              <w:rPr>
                <w:rFonts w:asciiTheme="minorHAnsi" w:hAnsiTheme="minorHAnsi"/>
                <w:color w:val="000000"/>
                <w:sz w:val="20"/>
                <w:szCs w:val="20"/>
              </w:rPr>
            </w:pPr>
            <w:r w:rsidRPr="009B6164">
              <w:rPr>
                <w:rFonts w:asciiTheme="minorHAnsi" w:hAnsiTheme="minorHAnsi"/>
                <w:color w:val="000000"/>
                <w:sz w:val="20"/>
                <w:szCs w:val="20"/>
              </w:rPr>
              <w:t>2</w:t>
            </w:r>
          </w:p>
        </w:tc>
      </w:tr>
    </w:tbl>
    <w:p w:rsidR="007F1562" w:rsidRDefault="007F1562" w:rsidP="00CF0183">
      <w:pPr>
        <w:rPr>
          <w:b/>
        </w:rPr>
      </w:pPr>
    </w:p>
    <w:p w:rsidR="006B2AC7" w:rsidRDefault="009B6164" w:rsidP="0065058F">
      <w:pPr>
        <w:keepNext/>
        <w:keepLines/>
        <w:spacing w:before="120" w:after="60"/>
        <w:rPr>
          <w:b/>
        </w:rPr>
      </w:pPr>
      <w:r>
        <w:rPr>
          <w:b/>
        </w:rPr>
        <w:t xml:space="preserve">Table 5.  </w:t>
      </w:r>
      <w:r w:rsidR="006B2AC7">
        <w:rPr>
          <w:b/>
        </w:rPr>
        <w:t>Summary of additions and changes</w:t>
      </w:r>
    </w:p>
    <w:tbl>
      <w:tblPr>
        <w:tblW w:w="9371"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3"/>
        <w:gridCol w:w="4967"/>
        <w:gridCol w:w="1067"/>
        <w:gridCol w:w="1134"/>
      </w:tblGrid>
      <w:tr w:rsidR="0065058F" w:rsidRPr="0065058F" w:rsidTr="00CF0183">
        <w:trPr>
          <w:cantSplit/>
          <w:trHeight w:val="300"/>
          <w:tblHeader/>
        </w:trPr>
        <w:tc>
          <w:tcPr>
            <w:tcW w:w="2203" w:type="dxa"/>
            <w:tcBorders>
              <w:top w:val="single" w:sz="4" w:space="0" w:color="auto"/>
              <w:bottom w:val="single" w:sz="4" w:space="0" w:color="auto"/>
            </w:tcBorders>
            <w:shd w:val="clear" w:color="auto" w:fill="auto"/>
            <w:noWrap/>
            <w:vAlign w:val="center"/>
          </w:tcPr>
          <w:p w:rsidR="0065058F" w:rsidRPr="00AC4DE0" w:rsidRDefault="00AC4DE0" w:rsidP="00AC4DE0">
            <w:pPr>
              <w:keepNext/>
              <w:keepLines/>
              <w:jc w:val="center"/>
              <w:rPr>
                <w:rFonts w:asciiTheme="minorHAnsi" w:hAnsiTheme="minorHAnsi"/>
                <w:b/>
                <w:color w:val="000000"/>
                <w:sz w:val="20"/>
                <w:szCs w:val="20"/>
              </w:rPr>
            </w:pPr>
            <w:r w:rsidRPr="00AC4DE0">
              <w:rPr>
                <w:rFonts w:asciiTheme="minorHAnsi" w:hAnsiTheme="minorHAnsi"/>
                <w:b/>
                <w:color w:val="000000"/>
                <w:sz w:val="20"/>
                <w:szCs w:val="20"/>
              </w:rPr>
              <w:t>Listed drug</w:t>
            </w:r>
          </w:p>
        </w:tc>
        <w:tc>
          <w:tcPr>
            <w:tcW w:w="4967" w:type="dxa"/>
            <w:tcBorders>
              <w:top w:val="single" w:sz="4" w:space="0" w:color="auto"/>
              <w:bottom w:val="single" w:sz="4" w:space="0" w:color="auto"/>
            </w:tcBorders>
            <w:shd w:val="clear" w:color="auto" w:fill="auto"/>
            <w:noWrap/>
            <w:vAlign w:val="center"/>
          </w:tcPr>
          <w:p w:rsidR="0065058F" w:rsidRPr="00AC4DE0" w:rsidRDefault="00AC4DE0" w:rsidP="00AC4DE0">
            <w:pPr>
              <w:keepNext/>
              <w:keepLines/>
              <w:jc w:val="center"/>
              <w:rPr>
                <w:rFonts w:asciiTheme="minorHAnsi" w:hAnsiTheme="minorHAnsi"/>
                <w:b/>
                <w:color w:val="000000"/>
                <w:sz w:val="20"/>
                <w:szCs w:val="20"/>
              </w:rPr>
            </w:pPr>
            <w:r w:rsidRPr="00AC4DE0">
              <w:rPr>
                <w:rFonts w:asciiTheme="minorHAnsi" w:hAnsiTheme="minorHAnsi"/>
                <w:b/>
                <w:color w:val="000000"/>
                <w:sz w:val="20"/>
                <w:szCs w:val="20"/>
              </w:rPr>
              <w:t>Form</w:t>
            </w:r>
          </w:p>
        </w:tc>
        <w:tc>
          <w:tcPr>
            <w:tcW w:w="1067" w:type="dxa"/>
            <w:tcBorders>
              <w:top w:val="single" w:sz="4" w:space="0" w:color="auto"/>
              <w:bottom w:val="single" w:sz="4" w:space="0" w:color="auto"/>
            </w:tcBorders>
            <w:shd w:val="clear" w:color="auto" w:fill="auto"/>
            <w:noWrap/>
            <w:vAlign w:val="center"/>
          </w:tcPr>
          <w:p w:rsidR="0065058F" w:rsidRPr="00AC4DE0" w:rsidRDefault="00AC4DE0" w:rsidP="00AC4DE0">
            <w:pPr>
              <w:keepNext/>
              <w:keepLines/>
              <w:ind w:left="-98"/>
              <w:jc w:val="center"/>
              <w:rPr>
                <w:rFonts w:asciiTheme="minorHAnsi" w:hAnsiTheme="minorHAnsi"/>
                <w:b/>
                <w:color w:val="000000"/>
                <w:sz w:val="20"/>
                <w:szCs w:val="20"/>
              </w:rPr>
            </w:pPr>
            <w:r w:rsidRPr="00AC4DE0">
              <w:rPr>
                <w:rFonts w:asciiTheme="minorHAnsi" w:hAnsiTheme="minorHAnsi"/>
                <w:b/>
                <w:color w:val="000000"/>
                <w:sz w:val="20"/>
                <w:szCs w:val="20"/>
              </w:rPr>
              <w:t>Maximum quantity</w:t>
            </w:r>
          </w:p>
        </w:tc>
        <w:tc>
          <w:tcPr>
            <w:tcW w:w="1134" w:type="dxa"/>
            <w:tcBorders>
              <w:top w:val="single" w:sz="4" w:space="0" w:color="auto"/>
              <w:bottom w:val="single" w:sz="4" w:space="0" w:color="auto"/>
            </w:tcBorders>
            <w:shd w:val="clear" w:color="auto" w:fill="auto"/>
            <w:noWrap/>
            <w:vAlign w:val="center"/>
          </w:tcPr>
          <w:p w:rsidR="0065058F" w:rsidRPr="00AC4DE0" w:rsidRDefault="009B6164" w:rsidP="009B6164">
            <w:pPr>
              <w:keepNext/>
              <w:keepLines/>
              <w:jc w:val="center"/>
              <w:rPr>
                <w:rFonts w:asciiTheme="minorHAnsi" w:hAnsiTheme="minorHAnsi"/>
                <w:b/>
                <w:color w:val="000000"/>
                <w:sz w:val="20"/>
                <w:szCs w:val="20"/>
              </w:rPr>
            </w:pPr>
            <w:r>
              <w:rPr>
                <w:rFonts w:asciiTheme="minorHAnsi" w:hAnsiTheme="minorHAnsi"/>
                <w:b/>
                <w:color w:val="000000"/>
                <w:sz w:val="20"/>
                <w:szCs w:val="20"/>
              </w:rPr>
              <w:t>Maximum n</w:t>
            </w:r>
            <w:r w:rsidR="00AC4DE0" w:rsidRPr="00AC4DE0">
              <w:rPr>
                <w:rFonts w:asciiTheme="minorHAnsi" w:hAnsiTheme="minorHAnsi"/>
                <w:b/>
                <w:color w:val="000000"/>
                <w:sz w:val="20"/>
                <w:szCs w:val="20"/>
              </w:rPr>
              <w:t>umber of repeats</w:t>
            </w:r>
          </w:p>
        </w:tc>
      </w:tr>
      <w:tr w:rsidR="00AC4DE0" w:rsidRPr="0065058F" w:rsidTr="00CF0183">
        <w:trPr>
          <w:cantSplit/>
          <w:trHeight w:val="300"/>
        </w:trPr>
        <w:tc>
          <w:tcPr>
            <w:tcW w:w="2203" w:type="dxa"/>
            <w:tcBorders>
              <w:top w:val="single" w:sz="4" w:space="0" w:color="auto"/>
            </w:tcBorders>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Abiraterone</w:t>
            </w:r>
          </w:p>
        </w:tc>
        <w:tc>
          <w:tcPr>
            <w:tcW w:w="4967" w:type="dxa"/>
            <w:tcBorders>
              <w:top w:val="single" w:sz="4" w:space="0" w:color="auto"/>
            </w:tcBorders>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Tablet containing abiraterone acetate 250 mg</w:t>
            </w:r>
          </w:p>
        </w:tc>
        <w:tc>
          <w:tcPr>
            <w:tcW w:w="1067" w:type="dxa"/>
            <w:tcBorders>
              <w:top w:val="single" w:sz="4" w:space="0" w:color="auto"/>
            </w:tcBorders>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tcBorders>
              <w:top w:val="single" w:sz="4" w:space="0" w:color="auto"/>
            </w:tcBorders>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Aciclovir</w:t>
            </w:r>
          </w:p>
        </w:tc>
        <w:tc>
          <w:tcPr>
            <w:tcW w:w="4967"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Tablet 800 mg</w:t>
            </w:r>
          </w:p>
        </w:tc>
        <w:tc>
          <w:tcPr>
            <w:tcW w:w="1067"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Injection 20 mg in 0.4 mL pre-filled syringe</w:t>
            </w:r>
          </w:p>
        </w:tc>
        <w:tc>
          <w:tcPr>
            <w:tcW w:w="1067"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2</w:t>
            </w:r>
          </w:p>
        </w:tc>
        <w:tc>
          <w:tcPr>
            <w:tcW w:w="1134"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Injection 20 mg in 0.4 mL pre-filled syringe</w:t>
            </w:r>
          </w:p>
        </w:tc>
        <w:tc>
          <w:tcPr>
            <w:tcW w:w="1067"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2</w:t>
            </w:r>
          </w:p>
        </w:tc>
        <w:tc>
          <w:tcPr>
            <w:tcW w:w="1134"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keepNext/>
              <w:keepLines/>
              <w:rPr>
                <w:rFonts w:asciiTheme="minorHAnsi" w:hAnsiTheme="minorHAnsi"/>
                <w:color w:val="000000"/>
                <w:sz w:val="20"/>
                <w:szCs w:val="20"/>
              </w:rPr>
            </w:pPr>
            <w:r w:rsidRPr="00AC4DE0">
              <w:rPr>
                <w:rFonts w:asciiTheme="minorHAnsi" w:hAnsiTheme="minorHAnsi"/>
                <w:color w:val="000000"/>
                <w:sz w:val="20"/>
                <w:szCs w:val="20"/>
              </w:rPr>
              <w:t>Injection 40 mg in 0.8 mL pre-filled pen</w:t>
            </w:r>
          </w:p>
        </w:tc>
        <w:tc>
          <w:tcPr>
            <w:tcW w:w="1067"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2</w:t>
            </w:r>
          </w:p>
        </w:tc>
        <w:tc>
          <w:tcPr>
            <w:tcW w:w="1134" w:type="dxa"/>
            <w:shd w:val="clear" w:color="auto" w:fill="auto"/>
            <w:noWrap/>
            <w:vAlign w:val="center"/>
            <w:hideMark/>
          </w:tcPr>
          <w:p w:rsidR="00722B64" w:rsidRPr="00AC4DE0" w:rsidRDefault="00722B64" w:rsidP="00AC4DE0">
            <w:pPr>
              <w:keepNext/>
              <w:keepLines/>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40 mg in 0.8 mL pre-filled pen</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40 mg in 0.8 mL pre-filled pen, 6</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40 mg in 0.8 mL pre-filled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40 mg in 0.8 mL pre-filled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Adalimumab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40 mg in 0.8 mL pre-filled syringe, 6</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Allopurinol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Allopurinol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300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Alogliptin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12.5 mg (as benzoate)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Alogliptin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 (as benzoate)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Alogliptin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6.25 mg (as benzoate)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Alogliptin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12.5 mg alogliptin (as benzoate) with 1 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Alogliptin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12.5 mg alogliptin (as benzoate)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Alogliptin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12.5 mg alogliptin (as benzoate) with 850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Apixaban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Apixaban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Aspirin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112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Aspirin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dispersible, 300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Aurothiomalate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containing sodium aurothiomalate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Aurothiomalate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containing sodium aurothiomalate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Azathioprine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Azathioprine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Benzhexol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benzhexol hydrochloride 2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Benzhexol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benzhexol hydrochloride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Betamethasone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containing betamethasone acetate 3 mg with betamethasone sodium phosphate 3.9 mg in 1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Biperiden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biperiden hydrochloride 2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Bupropion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bupropion hydrochloride 150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Bupropion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bupropion hydrochloride 150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Calcitriol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0.25 microgram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Calcium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600 mg (as carbonate)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240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Calcium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chewable, 500 mg (as carbonate)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240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 (controlled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 (controlled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400 mg (controlled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Carbamazepine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400 mg (controlled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Citalopram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 (as hydrobromide)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Citalopram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40 mg (as hydrobromide)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Clonazepam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Clonazepam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500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Colestipol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Oral powder, sachets containing colestipol hydrochloride 5 g, 120</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Colestipol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Oral powder, sachets containing colestipol hydrochloride 5 g, 120</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Cyproheptadine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cyproheptadine hydrochloride 4 mg (anhydrous)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Dabigatran etexilate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110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Dabigatran etexilate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75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Dabrafenib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Dabrafenib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Dabrafenib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75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Dabrafenib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75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Dapagliflozin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 mg (as propanediol monohydrate)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Dapagliflozin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10 mg dapagliflozin (as propanediol monohydrate)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Dapagliflozin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10 mg dapagliflozin (as propanediol monohydrate)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Dapagliflozin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5 mg dapagliflozin (as propanediol monohydrate)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Dapsone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Dapsone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70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Dasatinib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70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Degarelix</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Powder for injection 120 mg (as acetate), 2, injection set</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Denosumab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60 mg in 1 mL pre-filled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Desmopressin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desmopressin acetate 200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Desmopressin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desmopressin acetate 200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Desmopressin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Wafer 120 micrograms (as acetate)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Desmopressin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Wafer 240 micrograms (as acetate)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(extended release) 100 mg (as succinate)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(extended release) 50 mg (as succinate)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100 mg (as benzoate)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Desvenlafaxine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50 mg (as benzoate)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Digoxin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250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Digoxin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62.5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Dimethyl fumarate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(modified release) 240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Donepezil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donepezil hydrochloride 10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Donepezil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donepezil hydrochloride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Duloxetine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60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Entacapone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Erlotinib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Erlotinib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150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Erlotinib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Escitalopram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 mg (as oxalate)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Escitalopram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 (as oxalate)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Esomeprazole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(enteric) 20 mg (as magnesium)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Esomeprazole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(enteric) 40 mg (as magnesium)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Esomeprazole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(enteric coated) 20 mg (as magnesium trihydrate)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Esomeprazole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(enteric coated) 40 mg (as magnesium trihydrate)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Esomeprazole and clarithromycin and amoxycillin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14 tablets (enteric coated) containing esomeprazole 20 mg (as magnesium trihydrate), 14 tablets clarithromycin 500 mg and 28 capsules amoxycillin 500 mg (as trihydrate)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Ethosuximide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Etonogestrel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Subcutaneous implant 68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Exenatide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solution 10 micrograms per dose in pre-filled pen, 60 doses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Exenatide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solution 5 micrograms per dose in pre-filled pen, 60 doses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Fingolimod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500 micrograms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Fludrocortisone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fludrocortisone acetate 100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Fluvoxamine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fluvoxamine maleate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Fluvoxamine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fluvoxamine maleate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Folic acid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Folic acid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500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Frusemide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Frusemide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Gabapentin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Gabapentin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Gabapentin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400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Gabapentin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Gabapentin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800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Galantamine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(prolonged release) 16 mg (as hydrobromide)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Galantamine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(prolonged release) 24 mg (as hydrobromide)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Galantamine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(prolonged release) 8 mg (as hydrobromide)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Gestrinone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Glatiramer</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containing glatiramer acetate 20 mg in 1 mL single dose pre-filled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Gliclazide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60 mg (modified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Gliclazide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80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Glimepiride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3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Glimepiride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Goserelin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Subcutaneous implant (long acting) 10.8 mg (as acetate) in pre-filled injection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Goserelin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Subcutaneous implant 3.6 mg (as acetate) in pre-filled injection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Goserelin and bicalutamide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1 subcutaneous implant containing goserelin 10.8 mg (as acetate) in pre-filled injection syringe and 28 tablets bicalutamide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Goserelin and bicalutamide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1 subcutaneous implant containing goserelin 10.8 mg (as acetate) in pre-filled injection syringe and 84 tablets bicalutamide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Griseofulvin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Hydrochlorothiazide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Hydrochlorothiazide with amiloride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hydrochlorothiazide 50 mg with amiloride hydrochloride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Hydrochlorothiazide with triamterene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Hydroxocobalamin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1 mg (as acetate) in 1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Hydroxocobalamin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1 mg (as chloride) in 1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Hydroxychloroquine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hydroxychloroquine sulfate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Ibandronic acid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 (as ibandronate sodium monohydrate)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Imatinib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 (as mesylate)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Imatinib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400 mg (as mesylate)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Indapamide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indapamide hemihydrate 1.5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Indapamide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indapamide hemihydrate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aspart</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(human analogue) 100 units per mL, 10 mL vial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aspart</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100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aspart with insulin aspart protamine suspension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30 units-70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detemir</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100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glargine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100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glulisine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(human analogue) 100 units per mL, 10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glulisine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100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isophane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(bovine) 100 units per mL, 10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isophane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(human) 100 units per mL, 10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isophane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cartridges, 100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lispro</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(human analogue) 100 units per mL, 10 mL vial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lispro</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100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lispro with insulin lispro protamine suspension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25 units-75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lispro with insulin lispro protamine suspension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analogue), cartridges, 50 units-50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neutral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(bovine) 100 units per mL, 10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neutral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(human) 100 units per mL, 10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neutral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cartridges, 100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neutral with insulin isophane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(human) 30 units-70 units per mL, 10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neutral with insulin isophane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cartridges, 30 units-70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Insulin neutral with insulin isophane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Injections (human), cartridges, 50 units-50 units per mL, 3 mL, 5</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Isotretinoin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Isotretinoin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Isotretinoin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40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Ketoprofen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200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Ketoprofen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200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Lacosamide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Lacosamide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Lacosamide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Lamotrigine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Lamotrigine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Lamotrigine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Lamotrigine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Lamotrigine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Lansoprazole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Lansoprazole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30 mg (orally disintegrating)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Leuprorelin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I.M. injection (3 month modified release), powder for injection containing leuprorelin acetate 30 mg with diluent in pre-filled dual-chamber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Leuprorelin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I.M. injection (modified release), powder for injection containing leuprorelin acetate 22.5 mg with diluent in pre-filled dual-chamber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Leuprorelin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I.M. injection (modified release), powder for injection containing leuprorelin acetate 30 mg with diluent in pre-filled dual-chamber syringe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Leuprorelin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Suspension for subcutaneous injection (modified release) containing leuprorelin acetate 22.5 mg, injection set</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Leuprorelin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Suspension for subcutaneous injection (modified release) containing leuprorelin acetate 30 mg, injection set</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Leuprorelin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Suspension for subcutaneous injection (modified release) containing leuprorelin acetate 45 mg, injection set</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Leuprorelin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Suspension for subcutaneous injection (modified release) containing leuprorelin acetate 7.5 mg, injection set</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Levetiracetam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Oral solution 100 mg per mL, 300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Levetiracetam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 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Levetiracetam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Levetiracetam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Levodopa with carbidopa and entacapone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mg-25 mg-200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Levodopa with carbidopa and entacapone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125 mg-31.25 mg-200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Levodopa with carbidopa and entacapone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150 mg-37.5 mg-200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Levodopa with carbidopa and entacapone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mg-50 mg-200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Levodopa with carbidopa and entacapone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mg-12.5 mg-200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Levodopa with carbidopa and entacapone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75 mg-18.75 mg-200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Levonorgestrel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Intrauterine drug delivery system 52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Levonorgestrel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Tablets 30 micrograms, 28</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Levonorgestrel with ethinyloestradiol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21 tablets 100 micrograms-20 micrograms and 7 inert tablets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Levonorgestrel with ethinyloestradiol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21 tablets 125 micrograms-50 micrograms and 7 inert tablets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Levonorgestrel with ethinyloestradiol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21 tablets 150 micrograms-30 micrograms and 7 inert tablets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Levonorgestrel with ethinyloestradiol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6 tablets 50 micrograms-30 micrograms, 5 tablets 75 micrograms-40 micrograms, 10 tablets 125 micrograms-30 micrograms and 7 inert tablets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Linagliptin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Linagliptin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2.5 mg linagliptin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Linagliptin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2.5 mg linagliptin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Linagliptin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2.5 mg linagliptin with 850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Liothyronine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liothyronine sodium 20 micrograms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Lisdexamfetamine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containing lisdexamfetamine dimesilate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Medroxyprogesterone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containing medroxyprogesterone acetate 150 mg in 1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Medroxyprogesterone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medroxyprogesterone acetate 10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Medroxyprogesterone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medroxyprogesterone acetate 10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Medroxyprogesterone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medroxyprogesterone acetate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Megestrol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megestrol acetate 160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Meloxicam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Meloxicam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Memantine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memantine hydrochloride 10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Memantine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memantine hydrochloride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(extended release) containing metformin hydrochloride 1 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(extended release) containing metformin hydrochloride 500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metformin hydrochloride 1 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metformin hydrochloride 500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metformin hydrochloride 850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 with glibenclamide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metformin hydrochloride 250 mg with glibenclamide 1.25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 with glibenclamide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metformin hydrochloride 500 mg with glibenclamide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Metformin with glibenclamide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metformin hydrochloride 500 mg with glibenclamide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Methylprednisolone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containing methylprednisolone acetate 40 mg in 1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Mirtazapine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Mirtazapine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45 mg (orally disintegrating)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Moclobemide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Moclobemide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300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Montelukast</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chewable, 4 mg (as sodium)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Montelukast</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chewable, 5 mg (as sodium)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Nafarelin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Nasal spray (pump pack) 200 micrograms (as acetate) per dose, 60 doses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Naproxen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 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Naproxen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 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Naproxen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750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Naproxen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750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Norethisterone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Tablets 350 micrograms, 28</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Norethisterone with ethinyloestradiol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21 tablets 1 mg-35 micrograms and 7 inert tablets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Norethisterone with ethinyloestradiol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21 tablets 500 micrograms-35 micrograms and 7 inert tablets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Norethisterone with mestranol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Pack containing 21 tablets 1 mg-50 micrograms and 7 inert tablets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oestradiol valerate 1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Oestradiol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oestradiol valerate 2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Omeprazole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Omeprazole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Omeprazole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 (as magnesium)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Oxcarbazepine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Oxybutynin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oxybutynin hydrochloride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Oxybutynin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patches 36 mg, 8</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Pantoprazole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Sachet containing granules 40 mg (as sodium sesquihydrate)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Pantoprazole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(enteric coated) 40 mg (as sodium sesquihydrate)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Paracetamol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Paracetamol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665 mg (modified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192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Paroxetine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Paroxetine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Pazopanib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90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Pazopanib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400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Perampanel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 mg (as hemisesquihydrate)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Perampanel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12 mg (as hemisesquihydrate)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Perampanel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 mg (as hemisesquihydrate)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Perampanel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 mg (as hemisesquihydrate)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Perampanel</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8 mg (as hemisesquihydrate)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Phenobarbitone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30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Phenytoin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containing phenytoin sodium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Phenytoin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containing phenytoin sodium 30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Phenytoin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Pioglitazone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45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Pizotifen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500 micrograms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Potassium chloride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600 mg (sustained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Potassium chloride with potassium bicarbonate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effervescent, 14 mmol potassium and 8 mmol 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Pregabalin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Primidone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Propantheline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propantheline bromide 15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Quinagolide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75 micrograms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Rabeprazole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rabeprazole sodium 20 mg (enteric coated)</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Reboxetine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4 mg (as mesilate)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Rifaximin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Risedronic acid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risedronate sodium 30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Rivastigmine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1.5 mg (as hydrogen tartrate)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Rivastigmine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 mg (as hydrogen tartrate)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Rivastigmine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4.5 mg (as hydrogen tartrate)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Rivastigmine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6 mg (as hydrogen tartrate)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Rivastigmine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patch 18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Rivastigmine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patch 27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Rivastigmine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patch 9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Rosiglitazone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8 mg (as maleate)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Rosiglitazone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2 mg rosiglitazone (as maleate) with 1 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Rosiglitazone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2 mg rosiglitazone (as maleate)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Rosiglitazone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4 mg rosiglitazone (as maleate) with 1 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Rosiglitazone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4 mg rosiglitazone (as maleate)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Rotigotine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patch 13.5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Rotigotine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patch 4.5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Rotigotine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patch 9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Sapropterin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(soluble) containing sapropterin dihydrochloride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180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Saxagliptin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Saxagliptin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Saxagliptin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2.5 mg saxagliptin (as hydrochloride)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Saxagliptin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5 mg saxagliptin (as hydrochloride)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Saxagliptin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5 mg saxagliptin (as hydrochloride)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Sertraline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Sertraline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 (as phosphate monohydrate)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 (as phosphate monohydrate)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 (as phosphate monohydrate)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100 mg sitagliptin (as phosphate monohydrate)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(modified release) containing 50 mg sitagliptin (as phosphate monohydrate)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50 mg sitagliptin (as phosphate monohydrate)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50 mg sitagliptin (as phosphate monohydrate)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Sitagliptin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50 mg sitagliptin (as phosphate monohydrate) with 850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Sorafenib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 (as tosylate)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Sorafenib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 (as tosylate)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Sucralfate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equivalent to 1 g anhydrous sucralfate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120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Sulthiame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Sulthiame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37.5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37.5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37.5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37.5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Sunitinib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 (as malate)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Tacrolimus</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0.5 mg (once daily prolonged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Tacrolimus</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 mg (once daily prolonged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Tacrolimus</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 mg (once daily prolonged release)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Tamoxifen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 mg (as citrate)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Temozolomide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Temozolomide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140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Temozolomide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Temozolomide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Terbinafine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Terbinafine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Teriflunomide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14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Testosterone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I.M. injection containing testosterone undecanoate 1,000 mg in 4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Testosterone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containing testosterone enanthate 250 mg in 1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3</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Testosterone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Transdermal gel (pump pack) 12.5 mg per 1.25 g dose, 60 doses, 2</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4</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Tetrabenazine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112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Thyroxine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100 micrograms anhydrous thyroxine sodium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Thyroxine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200 micrograms anhydrous thyroxine sodium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Thyroxine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50 micrograms anhydrous thyroxine sodium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Thyroxine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75 micrograms anhydrous thyroxine sodium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Tiagabine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Tiagabine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15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Tiagabine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Tiludronic acid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 (as tiludronate disodium)</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Tiotropium</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Solution for oral inhalation 2.5 micrograms (as bromide monohydrate) per actuation (60 actuations)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Topiramate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Topiramate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Topiramate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Topiramate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Topiramate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Topiramate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Topiramate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lastRenderedPageBreak/>
              <w:t>Triamcinolone</w:t>
            </w:r>
          </w:p>
        </w:tc>
        <w:tc>
          <w:tcPr>
            <w:tcW w:w="4967" w:type="dxa"/>
            <w:shd w:val="clear" w:color="auto" w:fill="auto"/>
            <w:noWrap/>
            <w:vAlign w:val="center"/>
            <w:hideMark/>
          </w:tcPr>
          <w:p w:rsidR="00722B64" w:rsidRPr="00AC4DE0" w:rsidRDefault="00722B64" w:rsidP="00CF0183">
            <w:pPr>
              <w:rPr>
                <w:rFonts w:asciiTheme="minorHAnsi" w:hAnsiTheme="minorHAnsi"/>
                <w:color w:val="000000"/>
                <w:sz w:val="20"/>
                <w:szCs w:val="20"/>
              </w:rPr>
            </w:pPr>
            <w:r w:rsidRPr="00AC4DE0">
              <w:rPr>
                <w:rFonts w:asciiTheme="minorHAnsi" w:hAnsiTheme="minorHAnsi"/>
                <w:color w:val="000000"/>
                <w:sz w:val="20"/>
                <w:szCs w:val="20"/>
              </w:rPr>
              <w:t>Injection containing triamcinolone acetonide 10 mg in 1</w:t>
            </w:r>
            <w:r w:rsidR="00CF0183">
              <w:rPr>
                <w:rFonts w:asciiTheme="minorHAnsi" w:hAnsiTheme="minorHAnsi"/>
                <w:color w:val="000000"/>
                <w:sz w:val="20"/>
                <w:szCs w:val="20"/>
              </w:rPr>
              <w:t> </w:t>
            </w:r>
            <w:r w:rsidRPr="00AC4DE0">
              <w:rPr>
                <w:rFonts w:asciiTheme="minorHAnsi" w:hAnsiTheme="minorHAnsi"/>
                <w:color w:val="000000"/>
                <w:sz w:val="20"/>
                <w:szCs w:val="20"/>
              </w:rPr>
              <w:t>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Triptorelin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Powder for I.M. injection (prolonged release) 11.25 mg (as embonate) with solvent, syringe and needles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Triptorelin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Powder for I.M. injection (prolonged release) 22.5 mg (as embonate) with solvent, syringe and needles</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Ustekinumab</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Injection 45 mg in 0.5 mL</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Valproic acid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(enteric coated) containing sodium valproate 200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Valproic acid</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(enteric coated) containing sodium valproate 500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Varenicline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Box containing 11 tablets 0.5 mg (as tartrate) and 14 tablets 1 mg (as tartrate) in the first pack and 28 tablets 1 mg (as tartrate) in the second pack</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Varenicline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 mg (as tartrate)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Varenicline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1 mg (as tartrate)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112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0</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(modified release) 150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Venlafaxine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(modified release) 75 mg (as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28</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Vigabatrin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Oral powder, sachet 500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Vigabatrin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100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Vildagliptin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Vildagliptin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50 mg vildagliptin with 1000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Vildagliptin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50 mg vildagliptin with 500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Vildagliptin with metformin</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Tablet containing 50 mg vildagliptin with 850 mg metformin hydrochloride</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60</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Zonisamide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100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112</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Zonisamide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25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r w:rsidR="00AC4DE0" w:rsidRPr="0065058F" w:rsidTr="00CF0183">
        <w:trPr>
          <w:cantSplit/>
          <w:trHeight w:val="300"/>
        </w:trPr>
        <w:tc>
          <w:tcPr>
            <w:tcW w:w="2203"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Zonisamide</w:t>
            </w:r>
          </w:p>
        </w:tc>
        <w:tc>
          <w:tcPr>
            <w:tcW w:w="4967" w:type="dxa"/>
            <w:shd w:val="clear" w:color="auto" w:fill="auto"/>
            <w:noWrap/>
            <w:vAlign w:val="center"/>
            <w:hideMark/>
          </w:tcPr>
          <w:p w:rsidR="00722B64" w:rsidRPr="00AC4DE0" w:rsidRDefault="00722B64" w:rsidP="00AC4DE0">
            <w:pPr>
              <w:rPr>
                <w:rFonts w:asciiTheme="minorHAnsi" w:hAnsiTheme="minorHAnsi"/>
                <w:color w:val="000000"/>
                <w:sz w:val="20"/>
                <w:szCs w:val="20"/>
              </w:rPr>
            </w:pPr>
            <w:r w:rsidRPr="00AC4DE0">
              <w:rPr>
                <w:rFonts w:asciiTheme="minorHAnsi" w:hAnsiTheme="minorHAnsi"/>
                <w:color w:val="000000"/>
                <w:sz w:val="20"/>
                <w:szCs w:val="20"/>
              </w:rPr>
              <w:t>Capsule 50 mg</w:t>
            </w:r>
          </w:p>
        </w:tc>
        <w:tc>
          <w:tcPr>
            <w:tcW w:w="1067"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56</w:t>
            </w:r>
          </w:p>
        </w:tc>
        <w:tc>
          <w:tcPr>
            <w:tcW w:w="1134" w:type="dxa"/>
            <w:shd w:val="clear" w:color="auto" w:fill="auto"/>
            <w:noWrap/>
            <w:vAlign w:val="center"/>
            <w:hideMark/>
          </w:tcPr>
          <w:p w:rsidR="00722B64" w:rsidRPr="00AC4DE0" w:rsidRDefault="00722B64" w:rsidP="00AC4DE0">
            <w:pPr>
              <w:jc w:val="center"/>
              <w:rPr>
                <w:rFonts w:asciiTheme="minorHAnsi" w:hAnsiTheme="minorHAnsi"/>
                <w:color w:val="000000"/>
                <w:sz w:val="20"/>
                <w:szCs w:val="20"/>
              </w:rPr>
            </w:pPr>
            <w:r w:rsidRPr="00AC4DE0">
              <w:rPr>
                <w:rFonts w:asciiTheme="minorHAnsi" w:hAnsiTheme="minorHAnsi"/>
                <w:color w:val="000000"/>
                <w:sz w:val="20"/>
                <w:szCs w:val="20"/>
              </w:rPr>
              <w:t>5</w:t>
            </w:r>
          </w:p>
        </w:tc>
      </w:tr>
    </w:tbl>
    <w:p w:rsidR="00040850" w:rsidRDefault="003976AA" w:rsidP="003976AA">
      <w:pPr>
        <w:pStyle w:val="Heading1"/>
        <w:spacing w:before="240" w:after="60"/>
        <w:rPr>
          <w:rFonts w:ascii="Times New Roman" w:eastAsia="Times New Roman" w:hAnsi="Times New Roman" w:cs="Times New Roman"/>
          <w:sz w:val="24"/>
          <w:szCs w:val="24"/>
          <w:lang w:eastAsia="en-AU"/>
        </w:rPr>
      </w:pPr>
      <w:r w:rsidRPr="003976AA">
        <w:rPr>
          <w:rFonts w:ascii="Times New Roman" w:eastAsia="Times New Roman" w:hAnsi="Times New Roman" w:cs="Times New Roman"/>
          <w:sz w:val="24"/>
          <w:szCs w:val="24"/>
          <w:lang w:eastAsia="en-AU"/>
        </w:rPr>
        <w:t xml:space="preserve">Table </w:t>
      </w:r>
      <w:r w:rsidR="009329BA">
        <w:rPr>
          <w:rFonts w:ascii="Times New Roman" w:eastAsia="Times New Roman" w:hAnsi="Times New Roman" w:cs="Times New Roman"/>
          <w:sz w:val="24"/>
          <w:szCs w:val="24"/>
          <w:lang w:eastAsia="en-AU"/>
        </w:rPr>
        <w:t>6</w:t>
      </w:r>
      <w:r w:rsidRPr="003976A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Deletions</w:t>
      </w:r>
    </w:p>
    <w:tbl>
      <w:tblPr>
        <w:tblW w:w="9371"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5177"/>
        <w:gridCol w:w="1134"/>
        <w:gridCol w:w="1134"/>
      </w:tblGrid>
      <w:tr w:rsidR="003976AA" w:rsidTr="003976AA">
        <w:trPr>
          <w:trHeight w:val="300"/>
        </w:trPr>
        <w:tc>
          <w:tcPr>
            <w:tcW w:w="1926" w:type="dxa"/>
            <w:tcBorders>
              <w:top w:val="single" w:sz="4" w:space="0" w:color="auto"/>
              <w:bottom w:val="single" w:sz="4" w:space="0" w:color="auto"/>
            </w:tcBorders>
            <w:shd w:val="clear" w:color="auto" w:fill="auto"/>
            <w:noWrap/>
            <w:vAlign w:val="center"/>
          </w:tcPr>
          <w:p w:rsidR="003976AA" w:rsidRPr="003976AA" w:rsidRDefault="003976AA" w:rsidP="002E4FA5">
            <w:pPr>
              <w:keepNext/>
              <w:keepLines/>
              <w:rPr>
                <w:rFonts w:asciiTheme="minorHAnsi" w:hAnsiTheme="minorHAnsi"/>
                <w:b/>
                <w:color w:val="000000"/>
                <w:sz w:val="20"/>
                <w:szCs w:val="20"/>
              </w:rPr>
            </w:pPr>
            <w:r w:rsidRPr="003976AA">
              <w:rPr>
                <w:rFonts w:asciiTheme="minorHAnsi" w:hAnsiTheme="minorHAnsi"/>
                <w:b/>
                <w:color w:val="000000"/>
                <w:sz w:val="20"/>
                <w:szCs w:val="20"/>
              </w:rPr>
              <w:t>Listed drug</w:t>
            </w:r>
          </w:p>
        </w:tc>
        <w:tc>
          <w:tcPr>
            <w:tcW w:w="5177" w:type="dxa"/>
            <w:tcBorders>
              <w:top w:val="single" w:sz="4" w:space="0" w:color="auto"/>
              <w:bottom w:val="single" w:sz="4" w:space="0" w:color="auto"/>
            </w:tcBorders>
            <w:shd w:val="clear" w:color="auto" w:fill="auto"/>
            <w:noWrap/>
            <w:vAlign w:val="center"/>
          </w:tcPr>
          <w:p w:rsidR="003976AA" w:rsidRPr="003976AA" w:rsidRDefault="003976AA" w:rsidP="002E4FA5">
            <w:pPr>
              <w:keepNext/>
              <w:keepLines/>
              <w:rPr>
                <w:rFonts w:asciiTheme="minorHAnsi" w:hAnsiTheme="minorHAnsi"/>
                <w:b/>
                <w:color w:val="000000"/>
                <w:sz w:val="20"/>
                <w:szCs w:val="20"/>
              </w:rPr>
            </w:pPr>
            <w:r w:rsidRPr="003976AA">
              <w:rPr>
                <w:rFonts w:asciiTheme="minorHAnsi" w:hAnsiTheme="minorHAnsi"/>
                <w:b/>
                <w:color w:val="000000"/>
                <w:sz w:val="20"/>
                <w:szCs w:val="20"/>
              </w:rPr>
              <w:t>Form</w:t>
            </w:r>
          </w:p>
        </w:tc>
        <w:tc>
          <w:tcPr>
            <w:tcW w:w="1134" w:type="dxa"/>
            <w:tcBorders>
              <w:top w:val="single" w:sz="4" w:space="0" w:color="auto"/>
              <w:bottom w:val="single" w:sz="4" w:space="0" w:color="auto"/>
            </w:tcBorders>
            <w:shd w:val="clear" w:color="auto" w:fill="auto"/>
            <w:noWrap/>
            <w:vAlign w:val="center"/>
          </w:tcPr>
          <w:p w:rsidR="003976AA" w:rsidRPr="003976AA" w:rsidRDefault="003976AA" w:rsidP="003976AA">
            <w:pPr>
              <w:keepNext/>
              <w:keepLines/>
              <w:ind w:left="-98"/>
              <w:jc w:val="center"/>
              <w:rPr>
                <w:rFonts w:asciiTheme="minorHAnsi" w:hAnsiTheme="minorHAnsi"/>
                <w:b/>
                <w:color w:val="000000"/>
                <w:sz w:val="20"/>
                <w:szCs w:val="20"/>
              </w:rPr>
            </w:pPr>
            <w:r w:rsidRPr="003976AA">
              <w:rPr>
                <w:rFonts w:asciiTheme="minorHAnsi" w:hAnsiTheme="minorHAnsi"/>
                <w:b/>
                <w:color w:val="000000"/>
                <w:sz w:val="20"/>
                <w:szCs w:val="20"/>
              </w:rPr>
              <w:t>Maximum quantity</w:t>
            </w:r>
          </w:p>
        </w:tc>
        <w:tc>
          <w:tcPr>
            <w:tcW w:w="1134" w:type="dxa"/>
            <w:tcBorders>
              <w:top w:val="single" w:sz="4" w:space="0" w:color="auto"/>
              <w:bottom w:val="single" w:sz="4" w:space="0" w:color="auto"/>
            </w:tcBorders>
            <w:shd w:val="clear" w:color="auto" w:fill="auto"/>
            <w:noWrap/>
            <w:vAlign w:val="center"/>
          </w:tcPr>
          <w:p w:rsidR="003976AA" w:rsidRPr="003976AA" w:rsidRDefault="003976AA" w:rsidP="003976AA">
            <w:pPr>
              <w:keepNext/>
              <w:keepLines/>
              <w:jc w:val="center"/>
              <w:rPr>
                <w:rFonts w:asciiTheme="minorHAnsi" w:hAnsiTheme="minorHAnsi"/>
                <w:b/>
                <w:color w:val="000000"/>
                <w:sz w:val="20"/>
                <w:szCs w:val="20"/>
              </w:rPr>
            </w:pPr>
            <w:r w:rsidRPr="003976AA">
              <w:rPr>
                <w:rFonts w:asciiTheme="minorHAnsi" w:hAnsiTheme="minorHAnsi"/>
                <w:b/>
                <w:color w:val="000000"/>
                <w:sz w:val="20"/>
                <w:szCs w:val="20"/>
              </w:rPr>
              <w:t>Maximum number of repeats</w:t>
            </w:r>
          </w:p>
        </w:tc>
      </w:tr>
      <w:tr w:rsidR="003976AA" w:rsidTr="003976AA">
        <w:trPr>
          <w:trHeight w:val="300"/>
        </w:trPr>
        <w:tc>
          <w:tcPr>
            <w:tcW w:w="1926" w:type="dxa"/>
            <w:tcBorders>
              <w:top w:val="single" w:sz="4" w:space="0" w:color="auto"/>
            </w:tcBorders>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Aripiprazole</w:t>
            </w:r>
          </w:p>
        </w:tc>
        <w:tc>
          <w:tcPr>
            <w:tcW w:w="5177" w:type="dxa"/>
            <w:tcBorders>
              <w:top w:val="single" w:sz="4" w:space="0" w:color="auto"/>
            </w:tcBorders>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Powder for injection 300 mg (as monohydrate) with diluent</w:t>
            </w:r>
          </w:p>
        </w:tc>
        <w:tc>
          <w:tcPr>
            <w:tcW w:w="1134" w:type="dxa"/>
            <w:tcBorders>
              <w:top w:val="single" w:sz="4" w:space="0" w:color="auto"/>
            </w:tcBorders>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1</w:t>
            </w:r>
          </w:p>
        </w:tc>
        <w:tc>
          <w:tcPr>
            <w:tcW w:w="1134" w:type="dxa"/>
            <w:tcBorders>
              <w:top w:val="single" w:sz="4" w:space="0" w:color="auto"/>
            </w:tcBorders>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5</w:t>
            </w:r>
          </w:p>
        </w:tc>
      </w:tr>
      <w:tr w:rsidR="003976AA" w:rsidTr="003976AA">
        <w:trPr>
          <w:trHeight w:val="300"/>
        </w:trPr>
        <w:tc>
          <w:tcPr>
            <w:tcW w:w="1926"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Aripiprazole</w:t>
            </w:r>
          </w:p>
        </w:tc>
        <w:tc>
          <w:tcPr>
            <w:tcW w:w="5177"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Powder for injection 400 mg (as monohydrate) with diluent</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1</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5</w:t>
            </w:r>
          </w:p>
        </w:tc>
      </w:tr>
      <w:tr w:rsidR="003976AA" w:rsidTr="003976AA">
        <w:trPr>
          <w:trHeight w:val="300"/>
        </w:trPr>
        <w:tc>
          <w:tcPr>
            <w:tcW w:w="1926"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Denosumab</w:t>
            </w:r>
          </w:p>
        </w:tc>
        <w:tc>
          <w:tcPr>
            <w:tcW w:w="5177"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Injection 120 mg in 1.7 mL</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1</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5</w:t>
            </w:r>
          </w:p>
        </w:tc>
      </w:tr>
      <w:tr w:rsidR="003976AA" w:rsidTr="003976AA">
        <w:trPr>
          <w:trHeight w:val="300"/>
        </w:trPr>
        <w:tc>
          <w:tcPr>
            <w:tcW w:w="1926"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Ponatinib</w:t>
            </w:r>
          </w:p>
        </w:tc>
        <w:tc>
          <w:tcPr>
            <w:tcW w:w="5177"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Tablet 15 mg (as hydrochloride)</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60</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5</w:t>
            </w:r>
          </w:p>
        </w:tc>
      </w:tr>
      <w:tr w:rsidR="003976AA" w:rsidTr="003976AA">
        <w:trPr>
          <w:trHeight w:val="300"/>
        </w:trPr>
        <w:tc>
          <w:tcPr>
            <w:tcW w:w="1926"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Ponatinib</w:t>
            </w:r>
          </w:p>
        </w:tc>
        <w:tc>
          <w:tcPr>
            <w:tcW w:w="5177"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Tablet 45 mg (as hydrochloride)</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30</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5</w:t>
            </w:r>
          </w:p>
        </w:tc>
      </w:tr>
      <w:tr w:rsidR="003976AA" w:rsidTr="003976AA">
        <w:trPr>
          <w:trHeight w:val="300"/>
        </w:trPr>
        <w:tc>
          <w:tcPr>
            <w:tcW w:w="1926"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Tofacitinib</w:t>
            </w:r>
          </w:p>
        </w:tc>
        <w:tc>
          <w:tcPr>
            <w:tcW w:w="5177" w:type="dxa"/>
            <w:shd w:val="clear" w:color="auto" w:fill="auto"/>
            <w:noWrap/>
            <w:vAlign w:val="bottom"/>
            <w:hideMark/>
          </w:tcPr>
          <w:p w:rsidR="003976AA" w:rsidRPr="003976AA" w:rsidRDefault="003976AA">
            <w:pPr>
              <w:rPr>
                <w:rFonts w:asciiTheme="minorHAnsi" w:hAnsiTheme="minorHAnsi"/>
                <w:color w:val="000000"/>
                <w:sz w:val="20"/>
                <w:szCs w:val="20"/>
              </w:rPr>
            </w:pPr>
            <w:r w:rsidRPr="003976AA">
              <w:rPr>
                <w:rFonts w:asciiTheme="minorHAnsi" w:hAnsiTheme="minorHAnsi"/>
                <w:color w:val="000000"/>
                <w:sz w:val="20"/>
                <w:szCs w:val="20"/>
              </w:rPr>
              <w:t>Tablet 5 mg</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56</w:t>
            </w:r>
          </w:p>
        </w:tc>
        <w:tc>
          <w:tcPr>
            <w:tcW w:w="1134" w:type="dxa"/>
            <w:shd w:val="clear" w:color="auto" w:fill="auto"/>
            <w:noWrap/>
            <w:vAlign w:val="center"/>
            <w:hideMark/>
          </w:tcPr>
          <w:p w:rsidR="003976AA" w:rsidRPr="003976AA" w:rsidRDefault="003976AA" w:rsidP="003976AA">
            <w:pPr>
              <w:jc w:val="center"/>
              <w:rPr>
                <w:rFonts w:asciiTheme="minorHAnsi" w:hAnsiTheme="minorHAnsi"/>
                <w:color w:val="000000"/>
                <w:sz w:val="20"/>
                <w:szCs w:val="20"/>
              </w:rPr>
            </w:pPr>
            <w:r w:rsidRPr="003976AA">
              <w:rPr>
                <w:rFonts w:asciiTheme="minorHAnsi" w:hAnsiTheme="minorHAnsi"/>
                <w:color w:val="000000"/>
                <w:sz w:val="20"/>
                <w:szCs w:val="20"/>
              </w:rPr>
              <w:t>5</w:t>
            </w:r>
          </w:p>
        </w:tc>
      </w:tr>
    </w:tbl>
    <w:p w:rsidR="003976AA" w:rsidRDefault="003976AA" w:rsidP="003976AA"/>
    <w:p w:rsidR="00B3435C" w:rsidRDefault="00B3435C">
      <w:r>
        <w:br w:type="page"/>
      </w:r>
    </w:p>
    <w:p w:rsidR="00437BEB" w:rsidRPr="002D7210" w:rsidRDefault="00437BEB" w:rsidP="00437BEB">
      <w:pPr>
        <w:spacing w:before="240"/>
        <w:jc w:val="center"/>
        <w:rPr>
          <w:b/>
          <w:sz w:val="28"/>
          <w:szCs w:val="28"/>
        </w:rPr>
      </w:pPr>
      <w:r w:rsidRPr="002D7210">
        <w:rPr>
          <w:b/>
          <w:sz w:val="28"/>
          <w:szCs w:val="28"/>
        </w:rPr>
        <w:lastRenderedPageBreak/>
        <w:t>Statement of Compatibility with Human Rights</w:t>
      </w:r>
    </w:p>
    <w:p w:rsidR="00437BEB" w:rsidRPr="002D7210" w:rsidRDefault="00437BEB" w:rsidP="00437BEB">
      <w:pPr>
        <w:spacing w:before="120" w:after="360"/>
        <w:jc w:val="center"/>
      </w:pPr>
      <w:r w:rsidRPr="002D7210">
        <w:rPr>
          <w:i/>
        </w:rPr>
        <w:t>Prepared in accordance with Part 3 of the Human Rights (Parliamentary Scrutiny) Act 2011</w:t>
      </w:r>
    </w:p>
    <w:p w:rsidR="00437BEB" w:rsidRPr="00B94021" w:rsidRDefault="00437BEB" w:rsidP="00437BEB">
      <w:pPr>
        <w:spacing w:before="120"/>
        <w:ind w:right="-286"/>
        <w:rPr>
          <w:b/>
          <w:i/>
        </w:rPr>
      </w:pPr>
      <w:r w:rsidRPr="002D7210">
        <w:rPr>
          <w:b/>
          <w:i/>
        </w:rPr>
        <w:t xml:space="preserve">National Health (Pharmaceutical </w:t>
      </w:r>
      <w:r>
        <w:rPr>
          <w:b/>
          <w:i/>
        </w:rPr>
        <w:t>b</w:t>
      </w:r>
      <w:r w:rsidRPr="002D7210">
        <w:rPr>
          <w:b/>
          <w:i/>
        </w:rPr>
        <w:t xml:space="preserve">enefits – </w:t>
      </w:r>
      <w:r>
        <w:rPr>
          <w:b/>
          <w:i/>
        </w:rPr>
        <w:t>e</w:t>
      </w:r>
      <w:r w:rsidRPr="002D7210">
        <w:rPr>
          <w:b/>
          <w:i/>
        </w:rPr>
        <w:t>arly </w:t>
      </w:r>
      <w:r>
        <w:rPr>
          <w:b/>
          <w:i/>
        </w:rPr>
        <w:t>s</w:t>
      </w:r>
      <w:r w:rsidRPr="002D7210">
        <w:rPr>
          <w:b/>
          <w:i/>
        </w:rPr>
        <w:t>upply)</w:t>
      </w:r>
      <w:r>
        <w:rPr>
          <w:b/>
          <w:i/>
        </w:rPr>
        <w:t xml:space="preserve"> Instrument 2015 </w:t>
      </w:r>
      <w:r w:rsidRPr="007B541B">
        <w:rPr>
          <w:b/>
        </w:rPr>
        <w:t>(PB 120 of 2015)</w:t>
      </w:r>
    </w:p>
    <w:p w:rsidR="00437BEB" w:rsidRPr="002D7210" w:rsidRDefault="00437BEB" w:rsidP="00437BEB">
      <w:pPr>
        <w:spacing w:before="120" w:after="120"/>
      </w:pPr>
      <w:r w:rsidRPr="002D7210">
        <w:t>This Legislative Instrument is compatible with the human rights and freedoms recognised or declared in the international instruments listed in section</w:t>
      </w:r>
      <w:r>
        <w:t> </w:t>
      </w:r>
      <w:r w:rsidRPr="002D7210">
        <w:t xml:space="preserve">3 of the </w:t>
      </w:r>
      <w:r w:rsidRPr="002D7210">
        <w:rPr>
          <w:i/>
        </w:rPr>
        <w:t>Human Rights (Parliamentary Scrutiny) Act 2011</w:t>
      </w:r>
      <w:r>
        <w:rPr>
          <w:i/>
        </w:rPr>
        <w:t>.</w:t>
      </w:r>
    </w:p>
    <w:p w:rsidR="00437BEB" w:rsidRPr="002D7210" w:rsidRDefault="00437BEB" w:rsidP="00437BEB">
      <w:pPr>
        <w:spacing w:before="120"/>
        <w:rPr>
          <w:b/>
        </w:rPr>
      </w:pPr>
      <w:r w:rsidRPr="002D7210">
        <w:rPr>
          <w:b/>
        </w:rPr>
        <w:t>Overview of the Legislative Instrument</w:t>
      </w:r>
    </w:p>
    <w:p w:rsidR="00437BEB" w:rsidRDefault="00437BEB" w:rsidP="00437BEB">
      <w:pPr>
        <w:spacing w:after="120"/>
        <w:ind w:right="-144"/>
      </w:pPr>
      <w:r w:rsidRPr="002D7210">
        <w:t>Th</w:t>
      </w:r>
      <w:r>
        <w:t xml:space="preserve">is Instrument </w:t>
      </w:r>
      <w:r w:rsidRPr="002D7210">
        <w:t xml:space="preserve">specifies </w:t>
      </w:r>
      <w:r>
        <w:t>the pharmaceutical items that are in pharmaceutical benefits for which Pharmaceutical Benefits Scheme (PBS) safety net entitlements will not apply for early supplies, and to specify the period following a previous supply that constitutes an early supply.</w:t>
      </w:r>
    </w:p>
    <w:p w:rsidR="00437BEB" w:rsidRDefault="00437BEB" w:rsidP="00437BEB">
      <w:pPr>
        <w:spacing w:after="120"/>
      </w:pPr>
      <w:r>
        <w:t>An early supply occurs if a specified pharmaceutical benefit is resupplied within the specified period after a previous supply of the same or an equivalent pharmaceutical benefit.</w:t>
      </w:r>
    </w:p>
    <w:p w:rsidR="00437BEB" w:rsidRDefault="00437BEB" w:rsidP="00437BEB">
      <w:pPr>
        <w:spacing w:after="120"/>
      </w:pPr>
      <w:r>
        <w:t>The effect of being an early supply is that the patient payment for the early supply prescription does not count towards the PBS safety net threshold, and, if the PBS safety net threshold has been reached and PBS safety net would normally allow a concessional or nil contribution, the patient payment and the amount paid by the Commonwealth to the pharmacy or other approved supplier revert to pre-PBS safety net amounts.</w:t>
      </w:r>
    </w:p>
    <w:p w:rsidR="00437BEB" w:rsidRDefault="00437BEB" w:rsidP="00437BEB">
      <w:pPr>
        <w:spacing w:after="120"/>
        <w:rPr>
          <w:snapToGrid w:val="0"/>
          <w:color w:val="000000"/>
        </w:rPr>
      </w:pPr>
      <w:r w:rsidRPr="00CE6754">
        <w:t xml:space="preserve">The </w:t>
      </w:r>
      <w:r>
        <w:t xml:space="preserve">Instrument </w:t>
      </w:r>
      <w:r w:rsidRPr="00CE6754">
        <w:rPr>
          <w:snapToGrid w:val="0"/>
          <w:color w:val="000000"/>
        </w:rPr>
        <w:t>implement</w:t>
      </w:r>
      <w:r>
        <w:rPr>
          <w:snapToGrid w:val="0"/>
          <w:color w:val="000000"/>
        </w:rPr>
        <w:t>s</w:t>
      </w:r>
      <w:r w:rsidRPr="00CE6754">
        <w:rPr>
          <w:snapToGrid w:val="0"/>
          <w:color w:val="000000"/>
        </w:rPr>
        <w:t xml:space="preserve"> </w:t>
      </w:r>
      <w:r>
        <w:rPr>
          <w:snapToGrid w:val="0"/>
          <w:color w:val="000000"/>
        </w:rPr>
        <w:t xml:space="preserve">a measure to expand application of PBS </w:t>
      </w:r>
      <w:r w:rsidRPr="00F66DC9">
        <w:t>safety net early supply rule</w:t>
      </w:r>
      <w:r>
        <w:t xml:space="preserve">s </w:t>
      </w:r>
      <w:r>
        <w:rPr>
          <w:snapToGrid w:val="0"/>
          <w:color w:val="000000"/>
        </w:rPr>
        <w:t xml:space="preserve">contained in </w:t>
      </w:r>
      <w:r w:rsidRPr="00CE6754">
        <w:rPr>
          <w:snapToGrid w:val="0"/>
          <w:color w:val="000000"/>
        </w:rPr>
        <w:t xml:space="preserve">the PBS Access and Sustainability Package (the Package) announced by the Australian Government </w:t>
      </w:r>
      <w:r>
        <w:rPr>
          <w:snapToGrid w:val="0"/>
          <w:color w:val="000000"/>
        </w:rPr>
        <w:t>i</w:t>
      </w:r>
      <w:r w:rsidRPr="00CE6754">
        <w:rPr>
          <w:snapToGrid w:val="0"/>
          <w:color w:val="000000"/>
        </w:rPr>
        <w:t>n May 2015</w:t>
      </w:r>
      <w:r>
        <w:rPr>
          <w:snapToGrid w:val="0"/>
          <w:color w:val="000000"/>
        </w:rPr>
        <w:t>.</w:t>
      </w:r>
    </w:p>
    <w:p w:rsidR="00437BEB" w:rsidRPr="002D7210" w:rsidRDefault="00437BEB" w:rsidP="00437BEB">
      <w:pPr>
        <w:spacing w:before="120"/>
        <w:rPr>
          <w:b/>
        </w:rPr>
      </w:pPr>
      <w:r w:rsidRPr="002D7210">
        <w:rPr>
          <w:b/>
        </w:rPr>
        <w:t>Human rights implications</w:t>
      </w:r>
    </w:p>
    <w:p w:rsidR="00437BEB" w:rsidRPr="002D7210" w:rsidRDefault="00437BEB" w:rsidP="00437BEB">
      <w:pPr>
        <w:spacing w:after="120"/>
      </w:pPr>
      <w:r w:rsidRPr="002D7210">
        <w:t xml:space="preserve">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437BEB" w:rsidRDefault="00437BEB" w:rsidP="00437BEB">
      <w:pPr>
        <w:spacing w:after="120"/>
        <w:ind w:right="-428"/>
      </w:pPr>
      <w:r w:rsidRPr="00CE6754">
        <w:t>The PBS assists with advancement of this human right by</w:t>
      </w:r>
      <w:r w:rsidRPr="00CE6754">
        <w:rPr>
          <w:b/>
          <w:bCs/>
        </w:rPr>
        <w:t xml:space="preserve"> </w:t>
      </w:r>
      <w:r w:rsidRPr="00CE6754">
        <w:t xml:space="preserve">providing subsidised access to medicines for Australians.  </w:t>
      </w:r>
      <w:r w:rsidRPr="002D7210">
        <w:t>The role of the Pharmaceutical Benefits Advisory Committee (PBAC) ensures that decisions about subsidised access to medicines on the PBS are evidence-based.</w:t>
      </w:r>
      <w:r w:rsidRPr="00C37223">
        <w:t xml:space="preserve"> </w:t>
      </w:r>
    </w:p>
    <w:p w:rsidR="00437BEB" w:rsidRDefault="00437BEB" w:rsidP="00437BEB">
      <w:pPr>
        <w:spacing w:after="240"/>
        <w:ind w:right="-2"/>
      </w:pPr>
      <w:r>
        <w:t>The e</w:t>
      </w:r>
      <w:r w:rsidRPr="00C37223">
        <w:t>xtension of safety net early supply rule</w:t>
      </w:r>
      <w:r>
        <w:t>s to apply to a wider range of medicines will mean that safety net benefits will not apply for resupplies of more medicines, if they are obtained as early supplies.  However, this is justified as early supply arrangements support the quality use of medicines and responsible use of PBS entitlements as well as discouraging waste and reducing the quantity of unused medicines in the community.  The extension of early supply will also result in savings to the PBS.  The listing of new and innovative medicines relies on using PBS funding responsibly and keeping the PBS sustainable.</w:t>
      </w:r>
    </w:p>
    <w:p w:rsidR="00437BEB" w:rsidRDefault="00437BEB" w:rsidP="00437BEB">
      <w:pPr>
        <w:spacing w:after="120"/>
      </w:pPr>
      <w:r>
        <w:t xml:space="preserve">The measures in the Package, including early supply </w:t>
      </w:r>
      <w:r w:rsidR="00FE5E82">
        <w:t>changes</w:t>
      </w:r>
      <w:r>
        <w:t xml:space="preserve">, are the result of consultation and negotiation with stakeholders across the PBS supply chain, including </w:t>
      </w:r>
      <w:r w:rsidR="00FE5E82">
        <w:t xml:space="preserve">the pharmaceutical industry, </w:t>
      </w:r>
      <w:r>
        <w:t>pharmacy groups and consumers.  Together, the measures provide a fair and balanced approach</w:t>
      </w:r>
      <w:r w:rsidRPr="00CE6754">
        <w:rPr>
          <w:snapToGrid w:val="0"/>
          <w:color w:val="000000"/>
        </w:rPr>
        <w:t xml:space="preserve"> in which benefits and savings are shared across PBS stakeholders to ensure continued and improved access to medicines for consumers.</w:t>
      </w:r>
      <w:r w:rsidRPr="004B782B">
        <w:rPr>
          <w:highlight w:val="yellow"/>
        </w:rPr>
        <w:t xml:space="preserve"> </w:t>
      </w:r>
    </w:p>
    <w:p w:rsidR="00437BEB" w:rsidRPr="002D7210" w:rsidRDefault="00437BEB" w:rsidP="00437BEB">
      <w:pPr>
        <w:rPr>
          <w:b/>
        </w:rPr>
      </w:pPr>
      <w:r w:rsidRPr="002D7210">
        <w:rPr>
          <w:b/>
        </w:rPr>
        <w:t>Conclusion</w:t>
      </w:r>
    </w:p>
    <w:p w:rsidR="00437BEB" w:rsidRDefault="00437BEB" w:rsidP="00437BEB">
      <w:pPr>
        <w:spacing w:after="240"/>
      </w:pPr>
      <w:r w:rsidRPr="002D7210">
        <w:t>This Legislative Instrument is compatible with human rights because it advances the protection of human rights.</w:t>
      </w:r>
    </w:p>
    <w:p w:rsidR="003976AA" w:rsidRPr="003976AA" w:rsidRDefault="00437BEB" w:rsidP="00437BEB">
      <w:pPr>
        <w:spacing w:after="240"/>
        <w:jc w:val="center"/>
      </w:pPr>
      <w:r w:rsidRPr="00E6524C">
        <w:rPr>
          <w:b/>
        </w:rPr>
        <w:t>The Hon Sussan Ley</w:t>
      </w:r>
      <w:r>
        <w:rPr>
          <w:b/>
        </w:rPr>
        <w:t xml:space="preserve"> MP</w:t>
      </w:r>
      <w:r w:rsidRPr="00E6524C">
        <w:rPr>
          <w:b/>
        </w:rPr>
        <w:t>, Minister for Health</w:t>
      </w:r>
    </w:p>
    <w:sectPr w:rsidR="003976AA" w:rsidRPr="003976AA" w:rsidSect="00F52AF1">
      <w:headerReference w:type="even" r:id="rId9"/>
      <w:headerReference w:type="default" r:id="rId10"/>
      <w:footerReference w:type="even" r:id="rId11"/>
      <w:footerReference w:type="default" r:id="rId12"/>
      <w:headerReference w:type="first" r:id="rId13"/>
      <w:footerReference w:type="first" r:id="rId14"/>
      <w:pgSz w:w="11906" w:h="16838" w:code="9"/>
      <w:pgMar w:top="984" w:right="1418" w:bottom="993" w:left="1418" w:header="567" w:footer="1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35C" w:rsidRDefault="00B3435C">
      <w:r>
        <w:separator/>
      </w:r>
    </w:p>
  </w:endnote>
  <w:endnote w:type="continuationSeparator" w:id="0">
    <w:p w:rsidR="00B3435C" w:rsidRDefault="00B3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5C" w:rsidRDefault="00B3435C"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435C" w:rsidRDefault="00B3435C">
    <w:pPr>
      <w:pStyle w:val="Footer"/>
    </w:pPr>
  </w:p>
  <w:p w:rsidR="00B3435C" w:rsidRDefault="00B343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5C" w:rsidRDefault="00B3435C" w:rsidP="00620A75">
    <w:pPr>
      <w:jc w:val="center"/>
      <w:rPr>
        <w:sz w:val="18"/>
      </w:rPr>
    </w:pPr>
    <w:r w:rsidRPr="0014060B">
      <w:rPr>
        <w:sz w:val="18"/>
      </w:rPr>
      <w:t xml:space="preserve">Explanatory Statement - </w:t>
    </w:r>
    <w:r w:rsidRPr="0014060B">
      <w:rPr>
        <w:i/>
        <w:sz w:val="18"/>
      </w:rPr>
      <w:t>National Health (Pharmaceutical benefits - early supply) Instrument 201</w:t>
    </w:r>
    <w:r>
      <w:rPr>
        <w:i/>
        <w:sz w:val="18"/>
      </w:rPr>
      <w:t>5</w:t>
    </w:r>
    <w:r w:rsidRPr="0014060B">
      <w:rPr>
        <w:i/>
        <w:sz w:val="18"/>
      </w:rPr>
      <w:t xml:space="preserve"> - </w:t>
    </w:r>
    <w:r w:rsidRPr="0014060B">
      <w:rPr>
        <w:sz w:val="18"/>
      </w:rPr>
      <w:t>PB 120 of 2015</w:t>
    </w:r>
  </w:p>
  <w:p w:rsidR="00B3435C" w:rsidRDefault="00B343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5C" w:rsidRDefault="00B34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35C" w:rsidRDefault="00B3435C">
      <w:r>
        <w:separator/>
      </w:r>
    </w:p>
  </w:footnote>
  <w:footnote w:type="continuationSeparator" w:id="0">
    <w:p w:rsidR="00B3435C" w:rsidRDefault="00B34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5C" w:rsidRDefault="00B34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5C" w:rsidRDefault="00B3435C">
    <w:pPr>
      <w:pStyle w:val="Header"/>
      <w:jc w:val="center"/>
    </w:pPr>
    <w:r>
      <w:fldChar w:fldCharType="begin"/>
    </w:r>
    <w:r>
      <w:instrText xml:space="preserve"> PAGE   \* MERGEFORMAT </w:instrText>
    </w:r>
    <w:r>
      <w:fldChar w:fldCharType="separate"/>
    </w:r>
    <w:r w:rsidR="00CC6138">
      <w:rPr>
        <w:noProof/>
      </w:rPr>
      <w:t>26</w:t>
    </w:r>
    <w:r>
      <w:rPr>
        <w:noProof/>
      </w:rPr>
      <w:fldChar w:fldCharType="end"/>
    </w:r>
  </w:p>
  <w:p w:rsidR="00B3435C" w:rsidRDefault="00B343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5C" w:rsidRDefault="00B34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7">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9">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6F7E0B6E"/>
    <w:multiLevelType w:val="hybridMultilevel"/>
    <w:tmpl w:val="3EF25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13"/>
  </w:num>
  <w:num w:numId="6">
    <w:abstractNumId w:val="8"/>
  </w:num>
  <w:num w:numId="7">
    <w:abstractNumId w:val="9"/>
  </w:num>
  <w:num w:numId="8">
    <w:abstractNumId w:val="6"/>
  </w:num>
  <w:num w:numId="9">
    <w:abstractNumId w:val="0"/>
  </w:num>
  <w:num w:numId="10">
    <w:abstractNumId w:val="11"/>
  </w:num>
  <w:num w:numId="11">
    <w:abstractNumId w:val="1"/>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AE"/>
    <w:rsid w:val="00013797"/>
    <w:rsid w:val="00015719"/>
    <w:rsid w:val="0002674E"/>
    <w:rsid w:val="000268C5"/>
    <w:rsid w:val="000279E9"/>
    <w:rsid w:val="00030049"/>
    <w:rsid w:val="00040850"/>
    <w:rsid w:val="00040B64"/>
    <w:rsid w:val="00041A92"/>
    <w:rsid w:val="00041ECA"/>
    <w:rsid w:val="000454A6"/>
    <w:rsid w:val="00045C23"/>
    <w:rsid w:val="00057B15"/>
    <w:rsid w:val="00060283"/>
    <w:rsid w:val="00060E04"/>
    <w:rsid w:val="00061015"/>
    <w:rsid w:val="000669D3"/>
    <w:rsid w:val="00070D15"/>
    <w:rsid w:val="00072A32"/>
    <w:rsid w:val="00074457"/>
    <w:rsid w:val="00083E77"/>
    <w:rsid w:val="00085B7B"/>
    <w:rsid w:val="00086320"/>
    <w:rsid w:val="0008774B"/>
    <w:rsid w:val="000945AE"/>
    <w:rsid w:val="00094847"/>
    <w:rsid w:val="000A10D4"/>
    <w:rsid w:val="000A16E0"/>
    <w:rsid w:val="000A1C40"/>
    <w:rsid w:val="000A2F98"/>
    <w:rsid w:val="000A61A4"/>
    <w:rsid w:val="000A6F95"/>
    <w:rsid w:val="000A6FDF"/>
    <w:rsid w:val="000D14CD"/>
    <w:rsid w:val="000D1ED0"/>
    <w:rsid w:val="000D28E4"/>
    <w:rsid w:val="000D7606"/>
    <w:rsid w:val="000E2146"/>
    <w:rsid w:val="000E2674"/>
    <w:rsid w:val="000E4965"/>
    <w:rsid w:val="000F0374"/>
    <w:rsid w:val="000F3513"/>
    <w:rsid w:val="000F51E7"/>
    <w:rsid w:val="000F7AC0"/>
    <w:rsid w:val="00100899"/>
    <w:rsid w:val="00107878"/>
    <w:rsid w:val="001108D0"/>
    <w:rsid w:val="001138C3"/>
    <w:rsid w:val="001161A1"/>
    <w:rsid w:val="00125B63"/>
    <w:rsid w:val="00130F31"/>
    <w:rsid w:val="0013106F"/>
    <w:rsid w:val="0013311B"/>
    <w:rsid w:val="00140321"/>
    <w:rsid w:val="00142EA2"/>
    <w:rsid w:val="00143679"/>
    <w:rsid w:val="0015127B"/>
    <w:rsid w:val="001528EC"/>
    <w:rsid w:val="00154E79"/>
    <w:rsid w:val="001564FE"/>
    <w:rsid w:val="00161628"/>
    <w:rsid w:val="00163D8A"/>
    <w:rsid w:val="00166957"/>
    <w:rsid w:val="00173E80"/>
    <w:rsid w:val="00175C90"/>
    <w:rsid w:val="001776E5"/>
    <w:rsid w:val="0019065A"/>
    <w:rsid w:val="0019242C"/>
    <w:rsid w:val="001932D1"/>
    <w:rsid w:val="00193FD6"/>
    <w:rsid w:val="00196009"/>
    <w:rsid w:val="001B6126"/>
    <w:rsid w:val="001C2BA4"/>
    <w:rsid w:val="001C3DDE"/>
    <w:rsid w:val="001C59CC"/>
    <w:rsid w:val="001D2696"/>
    <w:rsid w:val="001D48C6"/>
    <w:rsid w:val="001D5454"/>
    <w:rsid w:val="001D59A0"/>
    <w:rsid w:val="001F0571"/>
    <w:rsid w:val="001F4F44"/>
    <w:rsid w:val="001F5349"/>
    <w:rsid w:val="001F6EA4"/>
    <w:rsid w:val="001F7076"/>
    <w:rsid w:val="002047CB"/>
    <w:rsid w:val="0020795D"/>
    <w:rsid w:val="002111AF"/>
    <w:rsid w:val="00215D4E"/>
    <w:rsid w:val="00224CA7"/>
    <w:rsid w:val="00233074"/>
    <w:rsid w:val="00237097"/>
    <w:rsid w:val="002370C6"/>
    <w:rsid w:val="002446D4"/>
    <w:rsid w:val="00256323"/>
    <w:rsid w:val="0026103E"/>
    <w:rsid w:val="002621B8"/>
    <w:rsid w:val="002628CF"/>
    <w:rsid w:val="00264EBD"/>
    <w:rsid w:val="00265B61"/>
    <w:rsid w:val="002724A3"/>
    <w:rsid w:val="00274D37"/>
    <w:rsid w:val="00276EC6"/>
    <w:rsid w:val="002863FA"/>
    <w:rsid w:val="00292AE2"/>
    <w:rsid w:val="002930F6"/>
    <w:rsid w:val="00294BFA"/>
    <w:rsid w:val="002B0A75"/>
    <w:rsid w:val="002C19E9"/>
    <w:rsid w:val="002C1EAE"/>
    <w:rsid w:val="002C271B"/>
    <w:rsid w:val="002C27F5"/>
    <w:rsid w:val="002D1C01"/>
    <w:rsid w:val="002D7210"/>
    <w:rsid w:val="002D7B9E"/>
    <w:rsid w:val="002E4060"/>
    <w:rsid w:val="002E4FA5"/>
    <w:rsid w:val="002E6976"/>
    <w:rsid w:val="002F28E7"/>
    <w:rsid w:val="002F29EC"/>
    <w:rsid w:val="00301AFB"/>
    <w:rsid w:val="003020D0"/>
    <w:rsid w:val="003031D5"/>
    <w:rsid w:val="00305A8C"/>
    <w:rsid w:val="00307DDC"/>
    <w:rsid w:val="00307FD0"/>
    <w:rsid w:val="003123CD"/>
    <w:rsid w:val="00326A95"/>
    <w:rsid w:val="00326D7F"/>
    <w:rsid w:val="00330F68"/>
    <w:rsid w:val="003329D0"/>
    <w:rsid w:val="00334205"/>
    <w:rsid w:val="00334A77"/>
    <w:rsid w:val="00341639"/>
    <w:rsid w:val="00341CAD"/>
    <w:rsid w:val="0035071A"/>
    <w:rsid w:val="0035289B"/>
    <w:rsid w:val="00355092"/>
    <w:rsid w:val="00361B44"/>
    <w:rsid w:val="003654EF"/>
    <w:rsid w:val="00375ADC"/>
    <w:rsid w:val="003764DB"/>
    <w:rsid w:val="00377060"/>
    <w:rsid w:val="00384F10"/>
    <w:rsid w:val="00387644"/>
    <w:rsid w:val="00395874"/>
    <w:rsid w:val="00395E5E"/>
    <w:rsid w:val="00395FF7"/>
    <w:rsid w:val="003976AA"/>
    <w:rsid w:val="0039790B"/>
    <w:rsid w:val="003A1314"/>
    <w:rsid w:val="003A244B"/>
    <w:rsid w:val="003A2CCB"/>
    <w:rsid w:val="003B7A08"/>
    <w:rsid w:val="003C1187"/>
    <w:rsid w:val="003C1AB7"/>
    <w:rsid w:val="003C2DA7"/>
    <w:rsid w:val="003D0592"/>
    <w:rsid w:val="003D172E"/>
    <w:rsid w:val="003D6065"/>
    <w:rsid w:val="003E19C7"/>
    <w:rsid w:val="003E2EB3"/>
    <w:rsid w:val="003E6B76"/>
    <w:rsid w:val="0040185A"/>
    <w:rsid w:val="004042BC"/>
    <w:rsid w:val="00405DA9"/>
    <w:rsid w:val="004119BD"/>
    <w:rsid w:val="00411FB9"/>
    <w:rsid w:val="0041485B"/>
    <w:rsid w:val="00416D84"/>
    <w:rsid w:val="0042108A"/>
    <w:rsid w:val="00426D8A"/>
    <w:rsid w:val="00430DD5"/>
    <w:rsid w:val="00433CD8"/>
    <w:rsid w:val="00437BEB"/>
    <w:rsid w:val="00442149"/>
    <w:rsid w:val="00443865"/>
    <w:rsid w:val="004507DE"/>
    <w:rsid w:val="004532ED"/>
    <w:rsid w:val="00456BFB"/>
    <w:rsid w:val="0047545B"/>
    <w:rsid w:val="00476155"/>
    <w:rsid w:val="00477AF5"/>
    <w:rsid w:val="00480FA3"/>
    <w:rsid w:val="0048433A"/>
    <w:rsid w:val="00492CAC"/>
    <w:rsid w:val="00495267"/>
    <w:rsid w:val="004A0CDB"/>
    <w:rsid w:val="004A0D19"/>
    <w:rsid w:val="004A26C9"/>
    <w:rsid w:val="004A4B29"/>
    <w:rsid w:val="004A4EF8"/>
    <w:rsid w:val="004A7C95"/>
    <w:rsid w:val="004B0878"/>
    <w:rsid w:val="004B2F1B"/>
    <w:rsid w:val="004B3E0C"/>
    <w:rsid w:val="004B418C"/>
    <w:rsid w:val="004C1E1D"/>
    <w:rsid w:val="004C315B"/>
    <w:rsid w:val="004C5F3A"/>
    <w:rsid w:val="004D1765"/>
    <w:rsid w:val="004D535D"/>
    <w:rsid w:val="004E2A0A"/>
    <w:rsid w:val="004F4671"/>
    <w:rsid w:val="004F611D"/>
    <w:rsid w:val="005013D0"/>
    <w:rsid w:val="0050368D"/>
    <w:rsid w:val="005100D0"/>
    <w:rsid w:val="00511BFC"/>
    <w:rsid w:val="00512724"/>
    <w:rsid w:val="00514F77"/>
    <w:rsid w:val="005228A4"/>
    <w:rsid w:val="0052345D"/>
    <w:rsid w:val="00530A86"/>
    <w:rsid w:val="0053108F"/>
    <w:rsid w:val="005345F7"/>
    <w:rsid w:val="00535E74"/>
    <w:rsid w:val="00543E2D"/>
    <w:rsid w:val="00551D3B"/>
    <w:rsid w:val="0055361F"/>
    <w:rsid w:val="005561AE"/>
    <w:rsid w:val="00571E2C"/>
    <w:rsid w:val="005832F5"/>
    <w:rsid w:val="00593779"/>
    <w:rsid w:val="00594134"/>
    <w:rsid w:val="005A7874"/>
    <w:rsid w:val="005B1F1C"/>
    <w:rsid w:val="005B437C"/>
    <w:rsid w:val="005C091E"/>
    <w:rsid w:val="005C7092"/>
    <w:rsid w:val="005D17E7"/>
    <w:rsid w:val="005D492D"/>
    <w:rsid w:val="005D775F"/>
    <w:rsid w:val="005D7F6F"/>
    <w:rsid w:val="005E3B70"/>
    <w:rsid w:val="005E43DE"/>
    <w:rsid w:val="005E58DC"/>
    <w:rsid w:val="005F1818"/>
    <w:rsid w:val="005F1D84"/>
    <w:rsid w:val="005F2EC5"/>
    <w:rsid w:val="005F34A7"/>
    <w:rsid w:val="0060581E"/>
    <w:rsid w:val="00606CF4"/>
    <w:rsid w:val="006106A6"/>
    <w:rsid w:val="00617BB8"/>
    <w:rsid w:val="00620A75"/>
    <w:rsid w:val="00622B86"/>
    <w:rsid w:val="006268A8"/>
    <w:rsid w:val="006273C2"/>
    <w:rsid w:val="00632870"/>
    <w:rsid w:val="00634051"/>
    <w:rsid w:val="0063406D"/>
    <w:rsid w:val="00635426"/>
    <w:rsid w:val="00635AB6"/>
    <w:rsid w:val="00635D3A"/>
    <w:rsid w:val="00637262"/>
    <w:rsid w:val="0063774A"/>
    <w:rsid w:val="00641C69"/>
    <w:rsid w:val="00642B78"/>
    <w:rsid w:val="00645060"/>
    <w:rsid w:val="0065058F"/>
    <w:rsid w:val="00651E8E"/>
    <w:rsid w:val="00666B4B"/>
    <w:rsid w:val="006675EB"/>
    <w:rsid w:val="00674A88"/>
    <w:rsid w:val="00681581"/>
    <w:rsid w:val="006848CE"/>
    <w:rsid w:val="006861E7"/>
    <w:rsid w:val="006874D0"/>
    <w:rsid w:val="006923A5"/>
    <w:rsid w:val="00693E47"/>
    <w:rsid w:val="00696637"/>
    <w:rsid w:val="006A188E"/>
    <w:rsid w:val="006A4359"/>
    <w:rsid w:val="006A6A80"/>
    <w:rsid w:val="006A75F4"/>
    <w:rsid w:val="006A7945"/>
    <w:rsid w:val="006B2AC7"/>
    <w:rsid w:val="006B2EB3"/>
    <w:rsid w:val="006B430C"/>
    <w:rsid w:val="006B4990"/>
    <w:rsid w:val="006B6A4C"/>
    <w:rsid w:val="006B6C91"/>
    <w:rsid w:val="006C27B2"/>
    <w:rsid w:val="006C41FC"/>
    <w:rsid w:val="006C4B62"/>
    <w:rsid w:val="006D04FB"/>
    <w:rsid w:val="006D1FB2"/>
    <w:rsid w:val="006D23D0"/>
    <w:rsid w:val="006D39C6"/>
    <w:rsid w:val="006D7230"/>
    <w:rsid w:val="006E0BFE"/>
    <w:rsid w:val="006E4B2F"/>
    <w:rsid w:val="006E5AC6"/>
    <w:rsid w:val="006E671E"/>
    <w:rsid w:val="006F2F5C"/>
    <w:rsid w:val="006F5D48"/>
    <w:rsid w:val="0070098A"/>
    <w:rsid w:val="007013D1"/>
    <w:rsid w:val="007058F7"/>
    <w:rsid w:val="0071003B"/>
    <w:rsid w:val="00711242"/>
    <w:rsid w:val="00713329"/>
    <w:rsid w:val="00713BA2"/>
    <w:rsid w:val="00714316"/>
    <w:rsid w:val="00716B7B"/>
    <w:rsid w:val="007174B3"/>
    <w:rsid w:val="00721322"/>
    <w:rsid w:val="00722B64"/>
    <w:rsid w:val="00723C08"/>
    <w:rsid w:val="007253ED"/>
    <w:rsid w:val="00733F4B"/>
    <w:rsid w:val="00734216"/>
    <w:rsid w:val="0073641E"/>
    <w:rsid w:val="00743105"/>
    <w:rsid w:val="00743AFA"/>
    <w:rsid w:val="00746AE9"/>
    <w:rsid w:val="00757C5B"/>
    <w:rsid w:val="007604D1"/>
    <w:rsid w:val="00761D8F"/>
    <w:rsid w:val="007663DC"/>
    <w:rsid w:val="00767582"/>
    <w:rsid w:val="0077125E"/>
    <w:rsid w:val="00781511"/>
    <w:rsid w:val="007850CD"/>
    <w:rsid w:val="0078530E"/>
    <w:rsid w:val="0079374F"/>
    <w:rsid w:val="007A3061"/>
    <w:rsid w:val="007A7943"/>
    <w:rsid w:val="007B1F6F"/>
    <w:rsid w:val="007B4A45"/>
    <w:rsid w:val="007B5CE0"/>
    <w:rsid w:val="007B67B1"/>
    <w:rsid w:val="007C1E86"/>
    <w:rsid w:val="007C3C82"/>
    <w:rsid w:val="007D1FFE"/>
    <w:rsid w:val="007E23F2"/>
    <w:rsid w:val="007F1562"/>
    <w:rsid w:val="007F2851"/>
    <w:rsid w:val="007F4D08"/>
    <w:rsid w:val="007F7BC7"/>
    <w:rsid w:val="008111F5"/>
    <w:rsid w:val="00812161"/>
    <w:rsid w:val="00812D1A"/>
    <w:rsid w:val="008208C4"/>
    <w:rsid w:val="0082203A"/>
    <w:rsid w:val="0082699C"/>
    <w:rsid w:val="00827B44"/>
    <w:rsid w:val="00827BF9"/>
    <w:rsid w:val="00832285"/>
    <w:rsid w:val="008405B6"/>
    <w:rsid w:val="00842D5B"/>
    <w:rsid w:val="008444A9"/>
    <w:rsid w:val="00846ABA"/>
    <w:rsid w:val="00847CF9"/>
    <w:rsid w:val="00856E71"/>
    <w:rsid w:val="00857096"/>
    <w:rsid w:val="0087308E"/>
    <w:rsid w:val="0087382A"/>
    <w:rsid w:val="008753A6"/>
    <w:rsid w:val="00881568"/>
    <w:rsid w:val="00886AE4"/>
    <w:rsid w:val="00887536"/>
    <w:rsid w:val="00890AF2"/>
    <w:rsid w:val="00890CA6"/>
    <w:rsid w:val="00890FF8"/>
    <w:rsid w:val="00896729"/>
    <w:rsid w:val="008A2141"/>
    <w:rsid w:val="008A4108"/>
    <w:rsid w:val="008B23B0"/>
    <w:rsid w:val="008B2BC1"/>
    <w:rsid w:val="008B3EEA"/>
    <w:rsid w:val="008B3F11"/>
    <w:rsid w:val="008C4131"/>
    <w:rsid w:val="008C5944"/>
    <w:rsid w:val="008D0FD1"/>
    <w:rsid w:val="008D518C"/>
    <w:rsid w:val="008D6467"/>
    <w:rsid w:val="008D6FCD"/>
    <w:rsid w:val="008E0367"/>
    <w:rsid w:val="008E3F43"/>
    <w:rsid w:val="008F1AC9"/>
    <w:rsid w:val="00906A7F"/>
    <w:rsid w:val="009072BB"/>
    <w:rsid w:val="0090764C"/>
    <w:rsid w:val="00907BE4"/>
    <w:rsid w:val="00910FC1"/>
    <w:rsid w:val="0092062E"/>
    <w:rsid w:val="00920B38"/>
    <w:rsid w:val="00921BEE"/>
    <w:rsid w:val="009223C2"/>
    <w:rsid w:val="00923A84"/>
    <w:rsid w:val="009301B8"/>
    <w:rsid w:val="0093231A"/>
    <w:rsid w:val="009329BA"/>
    <w:rsid w:val="00937B5B"/>
    <w:rsid w:val="009476F6"/>
    <w:rsid w:val="009530B4"/>
    <w:rsid w:val="00953A35"/>
    <w:rsid w:val="00954ED4"/>
    <w:rsid w:val="00955FC2"/>
    <w:rsid w:val="00957162"/>
    <w:rsid w:val="00960FF7"/>
    <w:rsid w:val="00961FE9"/>
    <w:rsid w:val="00975E9D"/>
    <w:rsid w:val="00983A90"/>
    <w:rsid w:val="00986C26"/>
    <w:rsid w:val="00992CC3"/>
    <w:rsid w:val="00994B51"/>
    <w:rsid w:val="00997D36"/>
    <w:rsid w:val="009A1A87"/>
    <w:rsid w:val="009A46FC"/>
    <w:rsid w:val="009B0B59"/>
    <w:rsid w:val="009B19BD"/>
    <w:rsid w:val="009B3EBD"/>
    <w:rsid w:val="009B6164"/>
    <w:rsid w:val="009B7692"/>
    <w:rsid w:val="009C28AF"/>
    <w:rsid w:val="009C28CE"/>
    <w:rsid w:val="009C543B"/>
    <w:rsid w:val="009E46C6"/>
    <w:rsid w:val="009E75B1"/>
    <w:rsid w:val="00A0619A"/>
    <w:rsid w:val="00A07B7B"/>
    <w:rsid w:val="00A26091"/>
    <w:rsid w:val="00A30802"/>
    <w:rsid w:val="00A30F7E"/>
    <w:rsid w:val="00A3419D"/>
    <w:rsid w:val="00A4038A"/>
    <w:rsid w:val="00A4586F"/>
    <w:rsid w:val="00A4639D"/>
    <w:rsid w:val="00A5005A"/>
    <w:rsid w:val="00A51640"/>
    <w:rsid w:val="00A52C3C"/>
    <w:rsid w:val="00A52E35"/>
    <w:rsid w:val="00A55C34"/>
    <w:rsid w:val="00A60C83"/>
    <w:rsid w:val="00A637B4"/>
    <w:rsid w:val="00A656DD"/>
    <w:rsid w:val="00A66E0D"/>
    <w:rsid w:val="00A727D9"/>
    <w:rsid w:val="00A807C3"/>
    <w:rsid w:val="00A82951"/>
    <w:rsid w:val="00A854EE"/>
    <w:rsid w:val="00A90062"/>
    <w:rsid w:val="00A93519"/>
    <w:rsid w:val="00A93682"/>
    <w:rsid w:val="00AB29E9"/>
    <w:rsid w:val="00AB33EC"/>
    <w:rsid w:val="00AB484A"/>
    <w:rsid w:val="00AB7263"/>
    <w:rsid w:val="00AC3BAA"/>
    <w:rsid w:val="00AC4C18"/>
    <w:rsid w:val="00AC4DE0"/>
    <w:rsid w:val="00AC63ED"/>
    <w:rsid w:val="00AD3C13"/>
    <w:rsid w:val="00AD6681"/>
    <w:rsid w:val="00AE1A0A"/>
    <w:rsid w:val="00AE45FC"/>
    <w:rsid w:val="00AE775C"/>
    <w:rsid w:val="00AF04AA"/>
    <w:rsid w:val="00AF5B45"/>
    <w:rsid w:val="00B05145"/>
    <w:rsid w:val="00B06694"/>
    <w:rsid w:val="00B12026"/>
    <w:rsid w:val="00B12A02"/>
    <w:rsid w:val="00B12ED3"/>
    <w:rsid w:val="00B13A36"/>
    <w:rsid w:val="00B151DB"/>
    <w:rsid w:val="00B204CB"/>
    <w:rsid w:val="00B230C1"/>
    <w:rsid w:val="00B25F75"/>
    <w:rsid w:val="00B3435C"/>
    <w:rsid w:val="00B44072"/>
    <w:rsid w:val="00B57CFC"/>
    <w:rsid w:val="00B62ADF"/>
    <w:rsid w:val="00B67364"/>
    <w:rsid w:val="00B73FB0"/>
    <w:rsid w:val="00B74BAC"/>
    <w:rsid w:val="00B7633F"/>
    <w:rsid w:val="00B819C3"/>
    <w:rsid w:val="00B87986"/>
    <w:rsid w:val="00B91698"/>
    <w:rsid w:val="00B91861"/>
    <w:rsid w:val="00B94021"/>
    <w:rsid w:val="00BA246B"/>
    <w:rsid w:val="00BA24F5"/>
    <w:rsid w:val="00BB0CE9"/>
    <w:rsid w:val="00BC0039"/>
    <w:rsid w:val="00BC3232"/>
    <w:rsid w:val="00BD0061"/>
    <w:rsid w:val="00BE5A4B"/>
    <w:rsid w:val="00BE6F73"/>
    <w:rsid w:val="00BF143A"/>
    <w:rsid w:val="00BF6D60"/>
    <w:rsid w:val="00C02793"/>
    <w:rsid w:val="00C3399B"/>
    <w:rsid w:val="00C378A0"/>
    <w:rsid w:val="00C37DCB"/>
    <w:rsid w:val="00C47665"/>
    <w:rsid w:val="00C50AB8"/>
    <w:rsid w:val="00C54116"/>
    <w:rsid w:val="00C55261"/>
    <w:rsid w:val="00C616DA"/>
    <w:rsid w:val="00C633C2"/>
    <w:rsid w:val="00C662BA"/>
    <w:rsid w:val="00C71AD2"/>
    <w:rsid w:val="00C756A3"/>
    <w:rsid w:val="00C76258"/>
    <w:rsid w:val="00C8515F"/>
    <w:rsid w:val="00C87FCC"/>
    <w:rsid w:val="00C94343"/>
    <w:rsid w:val="00C95B12"/>
    <w:rsid w:val="00C96EE3"/>
    <w:rsid w:val="00C96F38"/>
    <w:rsid w:val="00CA0332"/>
    <w:rsid w:val="00CA0E35"/>
    <w:rsid w:val="00CB05F8"/>
    <w:rsid w:val="00CB3317"/>
    <w:rsid w:val="00CB5C9A"/>
    <w:rsid w:val="00CC29A4"/>
    <w:rsid w:val="00CC6138"/>
    <w:rsid w:val="00CC6904"/>
    <w:rsid w:val="00CD09DA"/>
    <w:rsid w:val="00CD176D"/>
    <w:rsid w:val="00CD220A"/>
    <w:rsid w:val="00CD669A"/>
    <w:rsid w:val="00CD7C92"/>
    <w:rsid w:val="00CE3851"/>
    <w:rsid w:val="00CF0183"/>
    <w:rsid w:val="00CF15F0"/>
    <w:rsid w:val="00CF17C3"/>
    <w:rsid w:val="00CF44C6"/>
    <w:rsid w:val="00CF4982"/>
    <w:rsid w:val="00CF5CF1"/>
    <w:rsid w:val="00CF745B"/>
    <w:rsid w:val="00D0024C"/>
    <w:rsid w:val="00D06C5C"/>
    <w:rsid w:val="00D1516C"/>
    <w:rsid w:val="00D179DC"/>
    <w:rsid w:val="00D17E79"/>
    <w:rsid w:val="00D222EE"/>
    <w:rsid w:val="00D30495"/>
    <w:rsid w:val="00D321C3"/>
    <w:rsid w:val="00D36575"/>
    <w:rsid w:val="00D368D6"/>
    <w:rsid w:val="00D36C43"/>
    <w:rsid w:val="00D42901"/>
    <w:rsid w:val="00D44716"/>
    <w:rsid w:val="00D44B11"/>
    <w:rsid w:val="00D45464"/>
    <w:rsid w:val="00D459F2"/>
    <w:rsid w:val="00D521ED"/>
    <w:rsid w:val="00D52335"/>
    <w:rsid w:val="00D5434E"/>
    <w:rsid w:val="00D56867"/>
    <w:rsid w:val="00D601A6"/>
    <w:rsid w:val="00D615F4"/>
    <w:rsid w:val="00D62660"/>
    <w:rsid w:val="00D755E2"/>
    <w:rsid w:val="00D75BE3"/>
    <w:rsid w:val="00D84FC8"/>
    <w:rsid w:val="00D851CD"/>
    <w:rsid w:val="00D8675C"/>
    <w:rsid w:val="00D93727"/>
    <w:rsid w:val="00D93ED2"/>
    <w:rsid w:val="00D94934"/>
    <w:rsid w:val="00D94C4F"/>
    <w:rsid w:val="00D958D7"/>
    <w:rsid w:val="00DA2459"/>
    <w:rsid w:val="00DA7AA6"/>
    <w:rsid w:val="00DA7BEE"/>
    <w:rsid w:val="00DC646A"/>
    <w:rsid w:val="00DD4BE3"/>
    <w:rsid w:val="00DD53E1"/>
    <w:rsid w:val="00DE1D91"/>
    <w:rsid w:val="00DE28E9"/>
    <w:rsid w:val="00DF0C31"/>
    <w:rsid w:val="00DF79AD"/>
    <w:rsid w:val="00E004E1"/>
    <w:rsid w:val="00E1366C"/>
    <w:rsid w:val="00E138CD"/>
    <w:rsid w:val="00E346B0"/>
    <w:rsid w:val="00E35385"/>
    <w:rsid w:val="00E3565D"/>
    <w:rsid w:val="00E45EFA"/>
    <w:rsid w:val="00E51F54"/>
    <w:rsid w:val="00E530B5"/>
    <w:rsid w:val="00E70034"/>
    <w:rsid w:val="00E71A73"/>
    <w:rsid w:val="00E71DAB"/>
    <w:rsid w:val="00E72768"/>
    <w:rsid w:val="00E76215"/>
    <w:rsid w:val="00E76D09"/>
    <w:rsid w:val="00E81650"/>
    <w:rsid w:val="00E821C7"/>
    <w:rsid w:val="00E8706B"/>
    <w:rsid w:val="00E93CDF"/>
    <w:rsid w:val="00EA157B"/>
    <w:rsid w:val="00EA6715"/>
    <w:rsid w:val="00EB461F"/>
    <w:rsid w:val="00EC41F2"/>
    <w:rsid w:val="00ED0EAC"/>
    <w:rsid w:val="00ED2B5A"/>
    <w:rsid w:val="00ED5CFC"/>
    <w:rsid w:val="00EE105E"/>
    <w:rsid w:val="00EE642D"/>
    <w:rsid w:val="00EE6B88"/>
    <w:rsid w:val="00EF4C14"/>
    <w:rsid w:val="00EF5CD6"/>
    <w:rsid w:val="00F01A5D"/>
    <w:rsid w:val="00F05248"/>
    <w:rsid w:val="00F166CB"/>
    <w:rsid w:val="00F17D15"/>
    <w:rsid w:val="00F22670"/>
    <w:rsid w:val="00F26D73"/>
    <w:rsid w:val="00F27B07"/>
    <w:rsid w:val="00F27E7A"/>
    <w:rsid w:val="00F334CC"/>
    <w:rsid w:val="00F3481F"/>
    <w:rsid w:val="00F36F9A"/>
    <w:rsid w:val="00F404E4"/>
    <w:rsid w:val="00F43A2A"/>
    <w:rsid w:val="00F52AF1"/>
    <w:rsid w:val="00F532EF"/>
    <w:rsid w:val="00F54BC3"/>
    <w:rsid w:val="00F570D7"/>
    <w:rsid w:val="00F61421"/>
    <w:rsid w:val="00F62699"/>
    <w:rsid w:val="00F6567A"/>
    <w:rsid w:val="00F760E2"/>
    <w:rsid w:val="00F7610C"/>
    <w:rsid w:val="00F80DF3"/>
    <w:rsid w:val="00F80EEF"/>
    <w:rsid w:val="00F86257"/>
    <w:rsid w:val="00F905F9"/>
    <w:rsid w:val="00F94D6B"/>
    <w:rsid w:val="00FA132F"/>
    <w:rsid w:val="00FA20F0"/>
    <w:rsid w:val="00FA2652"/>
    <w:rsid w:val="00FA4A47"/>
    <w:rsid w:val="00FB1679"/>
    <w:rsid w:val="00FB4513"/>
    <w:rsid w:val="00FB624A"/>
    <w:rsid w:val="00FC1E71"/>
    <w:rsid w:val="00FC6941"/>
    <w:rsid w:val="00FD06F9"/>
    <w:rsid w:val="00FD4951"/>
    <w:rsid w:val="00FD5A35"/>
    <w:rsid w:val="00FD7130"/>
    <w:rsid w:val="00FE001F"/>
    <w:rsid w:val="00FE3B4D"/>
    <w:rsid w:val="00FE4EC8"/>
    <w:rsid w:val="00FE5124"/>
    <w:rsid w:val="00FE520F"/>
    <w:rsid w:val="00FE5E82"/>
    <w:rsid w:val="00FE772D"/>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34051"/>
    <w:pPr>
      <w:spacing w:after="200" w:line="276" w:lineRule="auto"/>
      <w:outlineLvl w:val="0"/>
    </w:pPr>
    <w:rPr>
      <w:rFonts w:ascii="Arial" w:eastAsiaTheme="minorHAnsi" w:hAnsi="Arial" w:cs="Arial"/>
      <w:b/>
      <w:sz w:val="19"/>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51"/>
    <w:rPr>
      <w:rFonts w:ascii="Arial" w:eastAsiaTheme="minorHAnsi" w:hAnsi="Arial" w:cs="Arial"/>
      <w:b/>
      <w:sz w:val="19"/>
      <w:szCs w:val="19"/>
      <w:lang w:eastAsia="en-US"/>
    </w:rPr>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rsid w:val="00F94D6B"/>
    <w:pPr>
      <w:tabs>
        <w:tab w:val="center" w:pos="4153"/>
        <w:tab w:val="right" w:pos="8306"/>
      </w:tabs>
    </w:pPr>
  </w:style>
  <w:style w:type="character" w:customStyle="1" w:styleId="HeaderChar">
    <w:name w:val="Header Char"/>
    <w:link w:val="Header"/>
    <w:uiPriority w:val="99"/>
    <w:rsid w:val="007850CD"/>
    <w:rPr>
      <w:sz w:val="24"/>
      <w:szCs w:val="24"/>
    </w:rPr>
  </w:style>
  <w:style w:type="paragraph" w:styleId="Footer">
    <w:name w:val="footer"/>
    <w:basedOn w:val="Normal"/>
    <w:link w:val="FooterChar"/>
    <w:uiPriority w:val="99"/>
    <w:rsid w:val="00F94D6B"/>
    <w:pPr>
      <w:tabs>
        <w:tab w:val="center" w:pos="4153"/>
        <w:tab w:val="right" w:pos="8306"/>
      </w:tabs>
    </w:pPr>
  </w:style>
  <w:style w:type="character" w:customStyle="1" w:styleId="FooterChar">
    <w:name w:val="Footer Char"/>
    <w:basedOn w:val="DefaultParagraphFont"/>
    <w:link w:val="Footer"/>
    <w:uiPriority w:val="99"/>
    <w:rsid w:val="00EA6715"/>
    <w:rPr>
      <w:sz w:val="24"/>
      <w:szCs w:val="24"/>
    </w:r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paragraph" w:customStyle="1" w:styleId="subsection">
    <w:name w:val="subsection"/>
    <w:aliases w:val="ss"/>
    <w:basedOn w:val="Normal"/>
    <w:link w:val="subsectionChar"/>
    <w:rsid w:val="00DC646A"/>
    <w:pPr>
      <w:tabs>
        <w:tab w:val="right" w:pos="1021"/>
      </w:tabs>
      <w:spacing w:before="180"/>
      <w:ind w:left="1134" w:hanging="1134"/>
    </w:pPr>
    <w:rPr>
      <w:sz w:val="22"/>
      <w:szCs w:val="20"/>
    </w:rPr>
  </w:style>
  <w:style w:type="character" w:customStyle="1" w:styleId="subsectionChar">
    <w:name w:val="subsection Char"/>
    <w:aliases w:val="ss Char"/>
    <w:link w:val="subsection"/>
    <w:rsid w:val="008405B6"/>
    <w:rPr>
      <w:sz w:val="22"/>
    </w:rPr>
  </w:style>
  <w:style w:type="paragraph" w:customStyle="1" w:styleId="Heading6">
    <w:name w:val="Heading6"/>
    <w:basedOn w:val="Normal"/>
    <w:link w:val="Heading6Char"/>
    <w:rsid w:val="00361B44"/>
    <w:pPr>
      <w:keepNext/>
      <w:keepLines/>
      <w:suppressAutoHyphens/>
      <w:spacing w:after="120"/>
      <w:jc w:val="both"/>
    </w:pPr>
    <w:rPr>
      <w:b/>
      <w:sz w:val="20"/>
      <w:szCs w:val="20"/>
    </w:rPr>
  </w:style>
  <w:style w:type="character" w:customStyle="1" w:styleId="Heading6Char">
    <w:name w:val="Heading6 Char"/>
    <w:link w:val="Heading6"/>
    <w:rsid w:val="00361B44"/>
    <w:rPr>
      <w:b/>
    </w:rPr>
  </w:style>
  <w:style w:type="paragraph" w:customStyle="1" w:styleId="Item">
    <w:name w:val="Item"/>
    <w:aliases w:val="i"/>
    <w:basedOn w:val="Normal"/>
    <w:next w:val="ItemHead"/>
    <w:rsid w:val="008405B6"/>
    <w:pPr>
      <w:keepLines/>
      <w:spacing w:before="80"/>
      <w:ind w:left="709"/>
    </w:pPr>
    <w:rPr>
      <w:sz w:val="22"/>
      <w:szCs w:val="20"/>
    </w:rPr>
  </w:style>
  <w:style w:type="paragraph" w:customStyle="1" w:styleId="ItemHead">
    <w:name w:val="ItemHead"/>
    <w:aliases w:val="ih"/>
    <w:basedOn w:val="Normal"/>
    <w:next w:val="Item"/>
    <w:rsid w:val="008405B6"/>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8405B6"/>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8405B6"/>
    <w:pPr>
      <w:tabs>
        <w:tab w:val="right" w:pos="1531"/>
      </w:tabs>
      <w:spacing w:before="40"/>
      <w:ind w:left="1644" w:hanging="1644"/>
    </w:pPr>
    <w:rPr>
      <w:sz w:val="22"/>
      <w:szCs w:val="20"/>
    </w:rPr>
  </w:style>
  <w:style w:type="character" w:customStyle="1" w:styleId="paragraphChar">
    <w:name w:val="paragraph Char"/>
    <w:aliases w:val="a Char"/>
    <w:link w:val="paragraph"/>
    <w:rsid w:val="008405B6"/>
    <w:rPr>
      <w:sz w:val="22"/>
    </w:rPr>
  </w:style>
  <w:style w:type="paragraph" w:styleId="ListParagraph">
    <w:name w:val="List Paragraph"/>
    <w:basedOn w:val="Normal"/>
    <w:uiPriority w:val="34"/>
    <w:qFormat/>
    <w:rsid w:val="00A07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34051"/>
    <w:pPr>
      <w:spacing w:after="200" w:line="276" w:lineRule="auto"/>
      <w:outlineLvl w:val="0"/>
    </w:pPr>
    <w:rPr>
      <w:rFonts w:ascii="Arial" w:eastAsiaTheme="minorHAnsi" w:hAnsi="Arial" w:cs="Arial"/>
      <w:b/>
      <w:sz w:val="19"/>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51"/>
    <w:rPr>
      <w:rFonts w:ascii="Arial" w:eastAsiaTheme="minorHAnsi" w:hAnsi="Arial" w:cs="Arial"/>
      <w:b/>
      <w:sz w:val="19"/>
      <w:szCs w:val="19"/>
      <w:lang w:eastAsia="en-US"/>
    </w:rPr>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rsid w:val="00F94D6B"/>
    <w:pPr>
      <w:tabs>
        <w:tab w:val="center" w:pos="4153"/>
        <w:tab w:val="right" w:pos="8306"/>
      </w:tabs>
    </w:pPr>
  </w:style>
  <w:style w:type="character" w:customStyle="1" w:styleId="HeaderChar">
    <w:name w:val="Header Char"/>
    <w:link w:val="Header"/>
    <w:uiPriority w:val="99"/>
    <w:rsid w:val="007850CD"/>
    <w:rPr>
      <w:sz w:val="24"/>
      <w:szCs w:val="24"/>
    </w:rPr>
  </w:style>
  <w:style w:type="paragraph" w:styleId="Footer">
    <w:name w:val="footer"/>
    <w:basedOn w:val="Normal"/>
    <w:link w:val="FooterChar"/>
    <w:uiPriority w:val="99"/>
    <w:rsid w:val="00F94D6B"/>
    <w:pPr>
      <w:tabs>
        <w:tab w:val="center" w:pos="4153"/>
        <w:tab w:val="right" w:pos="8306"/>
      </w:tabs>
    </w:pPr>
  </w:style>
  <w:style w:type="character" w:customStyle="1" w:styleId="FooterChar">
    <w:name w:val="Footer Char"/>
    <w:basedOn w:val="DefaultParagraphFont"/>
    <w:link w:val="Footer"/>
    <w:uiPriority w:val="99"/>
    <w:rsid w:val="00EA6715"/>
    <w:rPr>
      <w:sz w:val="24"/>
      <w:szCs w:val="24"/>
    </w:r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paragraph" w:customStyle="1" w:styleId="subsection">
    <w:name w:val="subsection"/>
    <w:aliases w:val="ss"/>
    <w:basedOn w:val="Normal"/>
    <w:link w:val="subsectionChar"/>
    <w:rsid w:val="00DC646A"/>
    <w:pPr>
      <w:tabs>
        <w:tab w:val="right" w:pos="1021"/>
      </w:tabs>
      <w:spacing w:before="180"/>
      <w:ind w:left="1134" w:hanging="1134"/>
    </w:pPr>
    <w:rPr>
      <w:sz w:val="22"/>
      <w:szCs w:val="20"/>
    </w:rPr>
  </w:style>
  <w:style w:type="character" w:customStyle="1" w:styleId="subsectionChar">
    <w:name w:val="subsection Char"/>
    <w:aliases w:val="ss Char"/>
    <w:link w:val="subsection"/>
    <w:rsid w:val="008405B6"/>
    <w:rPr>
      <w:sz w:val="22"/>
    </w:rPr>
  </w:style>
  <w:style w:type="paragraph" w:customStyle="1" w:styleId="Heading6">
    <w:name w:val="Heading6"/>
    <w:basedOn w:val="Normal"/>
    <w:link w:val="Heading6Char"/>
    <w:rsid w:val="00361B44"/>
    <w:pPr>
      <w:keepNext/>
      <w:keepLines/>
      <w:suppressAutoHyphens/>
      <w:spacing w:after="120"/>
      <w:jc w:val="both"/>
    </w:pPr>
    <w:rPr>
      <w:b/>
      <w:sz w:val="20"/>
      <w:szCs w:val="20"/>
    </w:rPr>
  </w:style>
  <w:style w:type="character" w:customStyle="1" w:styleId="Heading6Char">
    <w:name w:val="Heading6 Char"/>
    <w:link w:val="Heading6"/>
    <w:rsid w:val="00361B44"/>
    <w:rPr>
      <w:b/>
    </w:rPr>
  </w:style>
  <w:style w:type="paragraph" w:customStyle="1" w:styleId="Item">
    <w:name w:val="Item"/>
    <w:aliases w:val="i"/>
    <w:basedOn w:val="Normal"/>
    <w:next w:val="ItemHead"/>
    <w:rsid w:val="008405B6"/>
    <w:pPr>
      <w:keepLines/>
      <w:spacing w:before="80"/>
      <w:ind w:left="709"/>
    </w:pPr>
    <w:rPr>
      <w:sz w:val="22"/>
      <w:szCs w:val="20"/>
    </w:rPr>
  </w:style>
  <w:style w:type="paragraph" w:customStyle="1" w:styleId="ItemHead">
    <w:name w:val="ItemHead"/>
    <w:aliases w:val="ih"/>
    <w:basedOn w:val="Normal"/>
    <w:next w:val="Item"/>
    <w:rsid w:val="008405B6"/>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8405B6"/>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8405B6"/>
    <w:pPr>
      <w:tabs>
        <w:tab w:val="right" w:pos="1531"/>
      </w:tabs>
      <w:spacing w:before="40"/>
      <w:ind w:left="1644" w:hanging="1644"/>
    </w:pPr>
    <w:rPr>
      <w:sz w:val="22"/>
      <w:szCs w:val="20"/>
    </w:rPr>
  </w:style>
  <w:style w:type="character" w:customStyle="1" w:styleId="paragraphChar">
    <w:name w:val="paragraph Char"/>
    <w:aliases w:val="a Char"/>
    <w:link w:val="paragraph"/>
    <w:rsid w:val="008405B6"/>
    <w:rPr>
      <w:sz w:val="22"/>
    </w:rPr>
  </w:style>
  <w:style w:type="paragraph" w:styleId="ListParagraph">
    <w:name w:val="List Paragraph"/>
    <w:basedOn w:val="Normal"/>
    <w:uiPriority w:val="34"/>
    <w:qFormat/>
    <w:rsid w:val="00A0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4231">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787315111">
      <w:bodyDiv w:val="1"/>
      <w:marLeft w:val="0"/>
      <w:marRight w:val="0"/>
      <w:marTop w:val="0"/>
      <w:marBottom w:val="0"/>
      <w:divBdr>
        <w:top w:val="none" w:sz="0" w:space="0" w:color="auto"/>
        <w:left w:val="none" w:sz="0" w:space="0" w:color="auto"/>
        <w:bottom w:val="none" w:sz="0" w:space="0" w:color="auto"/>
        <w:right w:val="none" w:sz="0" w:space="0" w:color="auto"/>
      </w:divBdr>
    </w:div>
    <w:div w:id="1276592639">
      <w:bodyDiv w:val="1"/>
      <w:marLeft w:val="0"/>
      <w:marRight w:val="0"/>
      <w:marTop w:val="0"/>
      <w:marBottom w:val="0"/>
      <w:divBdr>
        <w:top w:val="none" w:sz="0" w:space="0" w:color="auto"/>
        <w:left w:val="none" w:sz="0" w:space="0" w:color="auto"/>
        <w:bottom w:val="none" w:sz="0" w:space="0" w:color="auto"/>
        <w:right w:val="none" w:sz="0" w:space="0" w:color="auto"/>
      </w:divBdr>
    </w:div>
    <w:div w:id="1368214793">
      <w:bodyDiv w:val="1"/>
      <w:marLeft w:val="0"/>
      <w:marRight w:val="0"/>
      <w:marTop w:val="0"/>
      <w:marBottom w:val="0"/>
      <w:divBdr>
        <w:top w:val="none" w:sz="0" w:space="0" w:color="auto"/>
        <w:left w:val="none" w:sz="0" w:space="0" w:color="auto"/>
        <w:bottom w:val="none" w:sz="0" w:space="0" w:color="auto"/>
        <w:right w:val="none" w:sz="0" w:space="0" w:color="auto"/>
      </w:divBdr>
    </w:div>
    <w:div w:id="1417244323">
      <w:bodyDiv w:val="1"/>
      <w:marLeft w:val="0"/>
      <w:marRight w:val="0"/>
      <w:marTop w:val="0"/>
      <w:marBottom w:val="0"/>
      <w:divBdr>
        <w:top w:val="none" w:sz="0" w:space="0" w:color="auto"/>
        <w:left w:val="none" w:sz="0" w:space="0" w:color="auto"/>
        <w:bottom w:val="none" w:sz="0" w:space="0" w:color="auto"/>
        <w:right w:val="none" w:sz="0" w:space="0" w:color="auto"/>
      </w:divBdr>
    </w:div>
    <w:div w:id="21124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5405-9952-47DC-8B7A-47C5C710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8931</Words>
  <Characters>50909</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59721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Susan Nichols</dc:creator>
  <cp:lastModifiedBy>Salpeter Raoul</cp:lastModifiedBy>
  <cp:revision>2</cp:revision>
  <cp:lastPrinted>2015-12-04T02:54:00Z</cp:lastPrinted>
  <dcterms:created xsi:type="dcterms:W3CDTF">2015-12-23T04:02:00Z</dcterms:created>
  <dcterms:modified xsi:type="dcterms:W3CDTF">2015-12-23T04:02:00Z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