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7C" w:rsidRDefault="00B5287C" w:rsidP="00B5287C">
      <w:pPr>
        <w:jc w:val="center"/>
        <w:rPr>
          <w:rFonts w:cs="Times New Roman"/>
          <w:b/>
          <w:sz w:val="28"/>
          <w:szCs w:val="28"/>
        </w:rPr>
      </w:pPr>
      <w:bookmarkStart w:id="0" w:name="_GoBack"/>
      <w:bookmarkEnd w:id="0"/>
      <w:r>
        <w:rPr>
          <w:rFonts w:cs="Times New Roman"/>
          <w:b/>
          <w:sz w:val="28"/>
          <w:szCs w:val="28"/>
        </w:rPr>
        <w:t>EXPLANATORY STATEMENT</w:t>
      </w:r>
    </w:p>
    <w:p w:rsidR="00B5287C" w:rsidRDefault="00B5287C" w:rsidP="00B5287C">
      <w:pPr>
        <w:jc w:val="center"/>
        <w:rPr>
          <w:rFonts w:cs="Times New Roman"/>
          <w:b/>
          <w:sz w:val="28"/>
          <w:szCs w:val="28"/>
        </w:rPr>
      </w:pPr>
    </w:p>
    <w:p w:rsidR="00B5287C" w:rsidRDefault="00B5287C" w:rsidP="00B5287C">
      <w:pPr>
        <w:jc w:val="center"/>
        <w:rPr>
          <w:rFonts w:cs="Times New Roman"/>
          <w:b/>
          <w:sz w:val="28"/>
          <w:szCs w:val="28"/>
        </w:rPr>
      </w:pPr>
      <w:r>
        <w:rPr>
          <w:rFonts w:cs="Times New Roman"/>
          <w:b/>
          <w:sz w:val="28"/>
          <w:szCs w:val="28"/>
        </w:rPr>
        <w:t>AVIATION TRANSPORT SECURITY (PROHIBITED CARGO –YEMEN) INSTRUMENT 2015</w:t>
      </w:r>
    </w:p>
    <w:p w:rsidR="00B5287C" w:rsidRDefault="00B5287C" w:rsidP="00B5287C">
      <w:pPr>
        <w:jc w:val="center"/>
        <w:rPr>
          <w:rFonts w:cs="Times New Roman"/>
          <w:b/>
          <w:sz w:val="28"/>
          <w:szCs w:val="28"/>
        </w:rPr>
      </w:pPr>
    </w:p>
    <w:p w:rsidR="00B5287C" w:rsidRDefault="00B5287C" w:rsidP="00B5287C">
      <w:pPr>
        <w:jc w:val="center"/>
        <w:rPr>
          <w:rFonts w:cs="Times New Roman"/>
          <w:b/>
          <w:i/>
          <w:sz w:val="28"/>
          <w:szCs w:val="28"/>
        </w:rPr>
      </w:pPr>
      <w:r>
        <w:rPr>
          <w:rFonts w:cs="Times New Roman"/>
          <w:b/>
          <w:i/>
          <w:sz w:val="28"/>
          <w:szCs w:val="28"/>
        </w:rPr>
        <w:t>Aviation Transport Security Act 2004</w:t>
      </w:r>
    </w:p>
    <w:p w:rsidR="00B5287C" w:rsidRDefault="00B5287C" w:rsidP="00B5287C">
      <w:pPr>
        <w:spacing w:before="240" w:after="240"/>
        <w:rPr>
          <w:rFonts w:cs="Times New Roman"/>
          <w:sz w:val="24"/>
          <w:szCs w:val="24"/>
        </w:rPr>
      </w:pPr>
      <w:r w:rsidRPr="00957C4D">
        <w:rPr>
          <w:rFonts w:cs="Times New Roman"/>
          <w:sz w:val="24"/>
          <w:szCs w:val="24"/>
        </w:rPr>
        <w:t xml:space="preserve">The </w:t>
      </w:r>
      <w:r w:rsidRPr="00957C4D">
        <w:rPr>
          <w:rFonts w:cs="Times New Roman"/>
          <w:i/>
          <w:sz w:val="24"/>
          <w:szCs w:val="24"/>
        </w:rPr>
        <w:t>Aviation Transport Security Act 2004</w:t>
      </w:r>
      <w:r w:rsidRPr="00957C4D">
        <w:rPr>
          <w:rFonts w:cs="Times New Roman"/>
          <w:sz w:val="24"/>
          <w:szCs w:val="24"/>
        </w:rPr>
        <w:t xml:space="preserve"> (the Act) establishes a regulatory framework to safeguard against unlawful interference with civil aviation in Australia.  The Act gives effect to Australia’s obligations under Annex 17 to the Convention on International Civil Aviation (Chicago Convention) by establishing a regulatory framework to safeguard against unlawful interference with aviation in Australia.  The Act establishes minimum security requirements for civil aviation in Australia by imposing obligations on persons engaged in civil aviation</w:t>
      </w:r>
      <w:r>
        <w:rPr>
          <w:rFonts w:cs="Times New Roman"/>
          <w:sz w:val="24"/>
          <w:szCs w:val="24"/>
        </w:rPr>
        <w:t>-</w:t>
      </w:r>
      <w:r w:rsidRPr="00957C4D">
        <w:rPr>
          <w:rFonts w:cs="Times New Roman"/>
          <w:sz w:val="24"/>
          <w:szCs w:val="24"/>
        </w:rPr>
        <w:t>re</w:t>
      </w:r>
      <w:r>
        <w:rPr>
          <w:rFonts w:cs="Times New Roman"/>
          <w:sz w:val="24"/>
          <w:szCs w:val="24"/>
        </w:rPr>
        <w:t xml:space="preserve">lated activities, </w:t>
      </w:r>
      <w:r w:rsidRPr="00957C4D">
        <w:rPr>
          <w:rFonts w:cs="Times New Roman"/>
          <w:sz w:val="24"/>
          <w:szCs w:val="24"/>
        </w:rPr>
        <w:t>including activities related to the handling and transport of air cargo.</w:t>
      </w:r>
    </w:p>
    <w:p w:rsidR="00B5287C" w:rsidRDefault="00B5287C" w:rsidP="00B5287C">
      <w:pPr>
        <w:pStyle w:val="Default"/>
      </w:pPr>
      <w:r>
        <w:t xml:space="preserve">In May 2013, the Act was amended </w:t>
      </w:r>
      <w:r w:rsidRPr="00957C4D">
        <w:t>to enable the Minister to prohibit the carriage of certain cargo into Australian territory on an aircraft through the use of a dis</w:t>
      </w:r>
      <w:r>
        <w:t>allowable instrument.  Subsection </w:t>
      </w:r>
      <w:proofErr w:type="gramStart"/>
      <w:r>
        <w:t>65B(</w:t>
      </w:r>
      <w:proofErr w:type="gramEnd"/>
      <w:r>
        <w:t>1) of the Act allows the Minister to prohibit the entry of specified kinds of cargo into Australian territory for the purposes of safeguarding against unlawful interference with aviation.</w:t>
      </w:r>
    </w:p>
    <w:p w:rsidR="00B5287C" w:rsidRDefault="00B5287C" w:rsidP="00B5287C">
      <w:pPr>
        <w:pStyle w:val="Default"/>
      </w:pPr>
    </w:p>
    <w:p w:rsidR="00B5287C" w:rsidRDefault="00B5287C" w:rsidP="00B5287C">
      <w:pPr>
        <w:rPr>
          <w:rFonts w:cs="Times New Roman"/>
          <w:sz w:val="24"/>
          <w:szCs w:val="24"/>
        </w:rPr>
      </w:pPr>
      <w:r>
        <w:rPr>
          <w:rFonts w:cs="Times New Roman"/>
          <w:sz w:val="24"/>
          <w:szCs w:val="24"/>
        </w:rPr>
        <w:t>Subsection </w:t>
      </w:r>
      <w:proofErr w:type="gramStart"/>
      <w:r>
        <w:rPr>
          <w:rFonts w:cs="Times New Roman"/>
          <w:sz w:val="24"/>
          <w:szCs w:val="24"/>
        </w:rPr>
        <w:t>65B(</w:t>
      </w:r>
      <w:proofErr w:type="gramEnd"/>
      <w:r>
        <w:rPr>
          <w:rFonts w:cs="Times New Roman"/>
          <w:sz w:val="24"/>
          <w:szCs w:val="24"/>
        </w:rPr>
        <w:t>2) specifies that, without limiting subsection 65B(1), an instrument made under that subsection may relate to all or any of the following:</w:t>
      </w:r>
    </w:p>
    <w:p w:rsidR="00B5287C" w:rsidRDefault="00B5287C" w:rsidP="00B5287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some or all of a class of persons to whom the Act applies;</w:t>
      </w:r>
    </w:p>
    <w:p w:rsidR="00B5287C" w:rsidRDefault="00B5287C" w:rsidP="00B5287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cargo originating from a particular country;</w:t>
      </w:r>
    </w:p>
    <w:p w:rsidR="00B5287C" w:rsidRDefault="00B5287C" w:rsidP="00B5287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cargo transiting through a particular country;</w:t>
      </w:r>
    </w:p>
    <w:p w:rsidR="00B5287C" w:rsidRDefault="00B5287C" w:rsidP="00B5287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cargo packaged in a particular way;</w:t>
      </w:r>
    </w:p>
    <w:p w:rsidR="00B5287C" w:rsidRDefault="00B5287C" w:rsidP="00B5287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cargo that meets, or is more or less than, a specified weight; and</w:t>
      </w:r>
    </w:p>
    <w:p w:rsidR="00B5287C" w:rsidRDefault="00B5287C" w:rsidP="00B5287C">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cargo</w:t>
      </w:r>
      <w:proofErr w:type="gramEnd"/>
      <w:r>
        <w:rPr>
          <w:rFonts w:ascii="Times New Roman" w:hAnsi="Times New Roman" w:cs="Times New Roman"/>
          <w:sz w:val="24"/>
          <w:szCs w:val="24"/>
        </w:rPr>
        <w:t xml:space="preserve"> that comes within a specified weight range.</w:t>
      </w:r>
    </w:p>
    <w:p w:rsidR="00B5287C" w:rsidRDefault="00B5287C" w:rsidP="00B5287C">
      <w:pPr>
        <w:pStyle w:val="NoSpacing"/>
        <w:rPr>
          <w:rFonts w:cs="Times New Roman"/>
          <w:sz w:val="24"/>
          <w:szCs w:val="24"/>
        </w:rPr>
      </w:pPr>
      <w:r w:rsidRPr="00E7500B">
        <w:rPr>
          <w:rFonts w:cs="Times New Roman"/>
          <w:sz w:val="24"/>
          <w:szCs w:val="24"/>
        </w:rPr>
        <w:t>The purpose of the Aviation Transport Security (</w:t>
      </w:r>
      <w:r>
        <w:rPr>
          <w:rFonts w:cs="Times New Roman"/>
          <w:sz w:val="24"/>
          <w:szCs w:val="24"/>
        </w:rPr>
        <w:t>Prohibited</w:t>
      </w:r>
      <w:r w:rsidRPr="00E7500B">
        <w:rPr>
          <w:rFonts w:cs="Times New Roman"/>
          <w:sz w:val="24"/>
          <w:szCs w:val="24"/>
        </w:rPr>
        <w:t xml:space="preserve"> Cargo</w:t>
      </w:r>
      <w:r>
        <w:rPr>
          <w:rFonts w:cs="Times New Roman"/>
          <w:sz w:val="24"/>
          <w:szCs w:val="24"/>
        </w:rPr>
        <w:t xml:space="preserve"> – Yemen</w:t>
      </w:r>
      <w:r w:rsidRPr="00E7500B">
        <w:rPr>
          <w:rFonts w:cs="Times New Roman"/>
          <w:sz w:val="24"/>
          <w:szCs w:val="24"/>
        </w:rPr>
        <w:t>) Instrument 2015</w:t>
      </w:r>
      <w:r>
        <w:rPr>
          <w:rFonts w:cs="Times New Roman"/>
          <w:sz w:val="24"/>
          <w:szCs w:val="24"/>
        </w:rPr>
        <w:t xml:space="preserve"> </w:t>
      </w:r>
      <w:r w:rsidRPr="00E7500B">
        <w:rPr>
          <w:rFonts w:cs="Times New Roman"/>
          <w:sz w:val="24"/>
          <w:szCs w:val="24"/>
        </w:rPr>
        <w:t xml:space="preserve">is </w:t>
      </w:r>
      <w:r>
        <w:rPr>
          <w:rFonts w:cs="Times New Roman"/>
          <w:sz w:val="24"/>
          <w:szCs w:val="24"/>
        </w:rPr>
        <w:t xml:space="preserve">to prohibit all </w:t>
      </w:r>
      <w:r w:rsidRPr="00E7500B">
        <w:rPr>
          <w:rFonts w:cs="Times New Roman"/>
          <w:sz w:val="24"/>
          <w:szCs w:val="24"/>
        </w:rPr>
        <w:t>cargo originating from</w:t>
      </w:r>
      <w:r>
        <w:rPr>
          <w:rFonts w:cs="Times New Roman"/>
          <w:sz w:val="24"/>
          <w:szCs w:val="24"/>
        </w:rPr>
        <w:t>,</w:t>
      </w:r>
      <w:r w:rsidRPr="00E7500B">
        <w:rPr>
          <w:rFonts w:cs="Times New Roman"/>
          <w:sz w:val="24"/>
          <w:szCs w:val="24"/>
        </w:rPr>
        <w:t xml:space="preserve"> or transiting through</w:t>
      </w:r>
      <w:r>
        <w:rPr>
          <w:rFonts w:cs="Times New Roman"/>
          <w:sz w:val="24"/>
          <w:szCs w:val="24"/>
        </w:rPr>
        <w:t xml:space="preserve">, the </w:t>
      </w:r>
      <w:r w:rsidRPr="00CD376E">
        <w:rPr>
          <w:rFonts w:cs="Times New Roman"/>
          <w:sz w:val="24"/>
          <w:szCs w:val="24"/>
        </w:rPr>
        <w:t>Republic of Yemen from entry into Australian territory</w:t>
      </w:r>
      <w:r>
        <w:rPr>
          <w:rFonts w:cs="Times New Roman"/>
          <w:sz w:val="24"/>
          <w:szCs w:val="24"/>
        </w:rPr>
        <w:t>.</w:t>
      </w:r>
    </w:p>
    <w:p w:rsidR="00B5287C" w:rsidRDefault="00B5287C" w:rsidP="00B5287C">
      <w:pPr>
        <w:pStyle w:val="NoSpacing"/>
        <w:rPr>
          <w:rFonts w:cs="Times New Roman"/>
          <w:sz w:val="24"/>
          <w:szCs w:val="24"/>
        </w:rPr>
      </w:pPr>
    </w:p>
    <w:p w:rsidR="00B5287C" w:rsidRPr="00BC6E5D" w:rsidRDefault="00B5287C" w:rsidP="00B5287C">
      <w:pPr>
        <w:pStyle w:val="NoSpacing"/>
        <w:rPr>
          <w:rFonts w:cs="Times New Roman"/>
          <w:sz w:val="24"/>
          <w:szCs w:val="24"/>
        </w:rPr>
      </w:pPr>
      <w:r w:rsidRPr="00BC6E5D">
        <w:rPr>
          <w:rFonts w:cs="Times New Roman"/>
          <w:sz w:val="24"/>
          <w:szCs w:val="24"/>
        </w:rPr>
        <w:t>This instrument applies to aviation industry participants, as defined in the Act.</w:t>
      </w:r>
    </w:p>
    <w:p w:rsidR="00B5287C" w:rsidRPr="00CD376E" w:rsidRDefault="00B5287C" w:rsidP="00B5287C">
      <w:pPr>
        <w:pStyle w:val="NoSpacing"/>
        <w:rPr>
          <w:rFonts w:cs="Times New Roman"/>
          <w:sz w:val="24"/>
          <w:szCs w:val="24"/>
        </w:rPr>
      </w:pPr>
    </w:p>
    <w:p w:rsidR="00B5287C" w:rsidRPr="00ED20D8" w:rsidRDefault="00B5287C" w:rsidP="00B5287C">
      <w:pPr>
        <w:rPr>
          <w:rFonts w:cs="Times New Roman"/>
          <w:sz w:val="24"/>
          <w:szCs w:val="24"/>
        </w:rPr>
      </w:pPr>
      <w:r w:rsidRPr="00D23BAC">
        <w:rPr>
          <w:rFonts w:cs="Times New Roman"/>
          <w:sz w:val="24"/>
          <w:szCs w:val="24"/>
        </w:rPr>
        <w:t>Failure to comply with this instrument is an offence under section</w:t>
      </w:r>
      <w:r>
        <w:rPr>
          <w:rFonts w:cs="Times New Roman"/>
          <w:sz w:val="24"/>
          <w:szCs w:val="24"/>
        </w:rPr>
        <w:t> </w:t>
      </w:r>
      <w:r w:rsidRPr="00D23BAC">
        <w:rPr>
          <w:rFonts w:cs="Times New Roman"/>
          <w:sz w:val="24"/>
          <w:szCs w:val="24"/>
        </w:rPr>
        <w:t>65C of the Act.</w:t>
      </w:r>
    </w:p>
    <w:p w:rsidR="00B5287C" w:rsidRDefault="00B5287C" w:rsidP="00B5287C">
      <w:pPr>
        <w:spacing w:before="100" w:beforeAutospacing="1" w:after="100" w:afterAutospacing="1" w:line="240" w:lineRule="auto"/>
        <w:rPr>
          <w:rFonts w:eastAsia="Times New Roman" w:cs="Times New Roman"/>
          <w:i/>
          <w:iCs/>
          <w:sz w:val="24"/>
          <w:szCs w:val="24"/>
          <w:lang w:eastAsia="en-AU"/>
        </w:rPr>
      </w:pPr>
      <w:r w:rsidRPr="00957C4D">
        <w:rPr>
          <w:rFonts w:eastAsia="Times New Roman" w:cs="Times New Roman"/>
          <w:sz w:val="24"/>
          <w:szCs w:val="24"/>
          <w:lang w:eastAsia="en-AU"/>
        </w:rPr>
        <w:t xml:space="preserve">This instrument is a legislative Instrument for the purpose of the </w:t>
      </w:r>
      <w:r>
        <w:rPr>
          <w:rFonts w:eastAsia="Times New Roman" w:cs="Times New Roman"/>
          <w:i/>
          <w:iCs/>
          <w:sz w:val="24"/>
          <w:szCs w:val="24"/>
          <w:lang w:eastAsia="en-AU"/>
        </w:rPr>
        <w:t>Legislative Instruments Act </w:t>
      </w:r>
      <w:r w:rsidRPr="00957C4D">
        <w:rPr>
          <w:rFonts w:eastAsia="Times New Roman" w:cs="Times New Roman"/>
          <w:i/>
          <w:iCs/>
          <w:sz w:val="24"/>
          <w:szCs w:val="24"/>
          <w:lang w:eastAsia="en-AU"/>
        </w:rPr>
        <w:t>200</w:t>
      </w:r>
      <w:r>
        <w:rPr>
          <w:rFonts w:eastAsia="Times New Roman" w:cs="Times New Roman"/>
          <w:i/>
          <w:iCs/>
          <w:sz w:val="24"/>
          <w:szCs w:val="24"/>
          <w:lang w:eastAsia="en-AU"/>
        </w:rPr>
        <w:t>3.</w:t>
      </w:r>
    </w:p>
    <w:p w:rsidR="00B5287C" w:rsidRPr="00ED20D8" w:rsidRDefault="00B5287C" w:rsidP="00B5287C">
      <w:pPr>
        <w:spacing w:before="100" w:beforeAutospacing="1" w:after="100" w:afterAutospacing="1" w:line="240" w:lineRule="auto"/>
        <w:rPr>
          <w:rFonts w:eastAsia="Times New Roman" w:cs="Times New Roman"/>
          <w:sz w:val="24"/>
          <w:szCs w:val="24"/>
          <w:lang w:eastAsia="en-AU"/>
        </w:rPr>
      </w:pPr>
      <w:r w:rsidRPr="00957C4D">
        <w:rPr>
          <w:rFonts w:eastAsia="Times New Roman" w:cs="Times New Roman"/>
          <w:sz w:val="24"/>
          <w:szCs w:val="24"/>
          <w:lang w:eastAsia="en-AU"/>
        </w:rPr>
        <w:t>This instrument commences o</w:t>
      </w:r>
      <w:r>
        <w:rPr>
          <w:rFonts w:eastAsia="Times New Roman" w:cs="Times New Roman"/>
          <w:sz w:val="24"/>
          <w:szCs w:val="24"/>
          <w:lang w:eastAsia="en-AU"/>
        </w:rPr>
        <w:t>n the day after registration.</w:t>
      </w:r>
    </w:p>
    <w:p w:rsidR="00B5287C" w:rsidRDefault="00B5287C" w:rsidP="00B5287C">
      <w:pPr>
        <w:rPr>
          <w:rFonts w:cs="Times New Roman"/>
          <w:b/>
          <w:sz w:val="24"/>
          <w:szCs w:val="24"/>
        </w:rPr>
      </w:pPr>
      <w:r>
        <w:rPr>
          <w:rFonts w:cs="Times New Roman"/>
          <w:b/>
          <w:sz w:val="24"/>
          <w:szCs w:val="24"/>
        </w:rPr>
        <w:t>Consultation</w:t>
      </w:r>
    </w:p>
    <w:p w:rsidR="00B5287C" w:rsidRDefault="00B5287C" w:rsidP="00B5287C">
      <w:pPr>
        <w:rPr>
          <w:rFonts w:cs="Times New Roman"/>
          <w:sz w:val="24"/>
          <w:szCs w:val="24"/>
        </w:rPr>
      </w:pPr>
      <w:r>
        <w:rPr>
          <w:rFonts w:cs="Times New Roman"/>
          <w:b/>
          <w:sz w:val="24"/>
          <w:szCs w:val="24"/>
        </w:rPr>
        <w:br/>
      </w:r>
      <w:r>
        <w:rPr>
          <w:rFonts w:cs="Times New Roman"/>
          <w:sz w:val="24"/>
          <w:szCs w:val="24"/>
        </w:rPr>
        <w:t xml:space="preserve">The Minister for Infrastructure and Regional Development has consulted with the Foreign Affairs Minister and the Trade Minister.  Other consultations were not undertaken as this legislative instrument is required as a matter of urgency and because of an issue of national </w:t>
      </w:r>
      <w:r>
        <w:rPr>
          <w:rFonts w:cs="Times New Roman"/>
          <w:sz w:val="24"/>
          <w:szCs w:val="24"/>
        </w:rPr>
        <w:lastRenderedPageBreak/>
        <w:t>security.  These are both grounds for exemption to undertake consultation under paragraphs 18(2</w:t>
      </w:r>
      <w:proofErr w:type="gramStart"/>
      <w:r>
        <w:rPr>
          <w:rFonts w:cs="Times New Roman"/>
          <w:sz w:val="24"/>
          <w:szCs w:val="24"/>
        </w:rPr>
        <w:t>)(</w:t>
      </w:r>
      <w:proofErr w:type="gramEnd"/>
      <w:r>
        <w:rPr>
          <w:rFonts w:cs="Times New Roman"/>
          <w:sz w:val="24"/>
          <w:szCs w:val="24"/>
        </w:rPr>
        <w:t xml:space="preserve">b) and 18(2)(d) of the </w:t>
      </w:r>
      <w:r>
        <w:rPr>
          <w:rFonts w:cs="Times New Roman"/>
          <w:i/>
          <w:sz w:val="24"/>
          <w:szCs w:val="24"/>
        </w:rPr>
        <w:t>Legislative Instruments Act 2003</w:t>
      </w:r>
      <w:r>
        <w:rPr>
          <w:rFonts w:cs="Times New Roman"/>
          <w:sz w:val="24"/>
          <w:szCs w:val="24"/>
        </w:rPr>
        <w:t xml:space="preserve"> respectively.</w:t>
      </w:r>
    </w:p>
    <w:p w:rsidR="00B5287C" w:rsidRDefault="00B5287C" w:rsidP="00B5287C">
      <w:pPr>
        <w:rPr>
          <w:rFonts w:cs="Times New Roman"/>
          <w:sz w:val="24"/>
          <w:szCs w:val="24"/>
        </w:rPr>
      </w:pPr>
    </w:p>
    <w:p w:rsidR="00B5287C" w:rsidRPr="00ED20D8" w:rsidRDefault="00B5287C" w:rsidP="00B5287C">
      <w:pPr>
        <w:pStyle w:val="NoSpacing"/>
        <w:jc w:val="right"/>
        <w:rPr>
          <w:rFonts w:cs="Times New Roman"/>
          <w:sz w:val="24"/>
          <w:szCs w:val="24"/>
        </w:rPr>
      </w:pPr>
      <w:r w:rsidRPr="00ED20D8">
        <w:rPr>
          <w:rFonts w:cs="Times New Roman"/>
          <w:sz w:val="24"/>
          <w:szCs w:val="24"/>
        </w:rPr>
        <w:t>Authority:</w:t>
      </w:r>
    </w:p>
    <w:p w:rsidR="00B5287C" w:rsidRPr="00ED20D8" w:rsidRDefault="00B5287C" w:rsidP="00B5287C">
      <w:pPr>
        <w:pStyle w:val="NoSpacing"/>
        <w:jc w:val="right"/>
        <w:rPr>
          <w:rFonts w:cs="Times New Roman"/>
          <w:sz w:val="24"/>
          <w:szCs w:val="24"/>
        </w:rPr>
      </w:pPr>
      <w:r w:rsidRPr="00ED20D8">
        <w:rPr>
          <w:rFonts w:cs="Times New Roman"/>
          <w:sz w:val="24"/>
          <w:szCs w:val="24"/>
        </w:rPr>
        <w:t>Subsection </w:t>
      </w:r>
      <w:proofErr w:type="gramStart"/>
      <w:r w:rsidRPr="00ED20D8">
        <w:rPr>
          <w:rFonts w:cs="Times New Roman"/>
          <w:sz w:val="24"/>
          <w:szCs w:val="24"/>
        </w:rPr>
        <w:t>65B(</w:t>
      </w:r>
      <w:proofErr w:type="gramEnd"/>
      <w:r w:rsidRPr="00ED20D8">
        <w:rPr>
          <w:rFonts w:cs="Times New Roman"/>
          <w:sz w:val="24"/>
          <w:szCs w:val="24"/>
        </w:rPr>
        <w:t>2) of the</w:t>
      </w:r>
    </w:p>
    <w:p w:rsidR="00B5287C" w:rsidRPr="00ED20D8" w:rsidRDefault="00B5287C" w:rsidP="00B5287C">
      <w:pPr>
        <w:pStyle w:val="NoSpacing"/>
        <w:jc w:val="right"/>
        <w:rPr>
          <w:rFonts w:cs="Times New Roman"/>
          <w:i/>
          <w:sz w:val="24"/>
          <w:szCs w:val="24"/>
        </w:rPr>
      </w:pPr>
      <w:r w:rsidRPr="00ED20D8">
        <w:rPr>
          <w:rFonts w:cs="Times New Roman"/>
          <w:i/>
          <w:sz w:val="24"/>
          <w:szCs w:val="24"/>
        </w:rPr>
        <w:t>Aviation Transport Security Act 2004</w:t>
      </w:r>
    </w:p>
    <w:p w:rsidR="00B5287C" w:rsidRDefault="00B5287C" w:rsidP="00B5287C">
      <w:pPr>
        <w:rPr>
          <w:rFonts w:cs="Times New Roman"/>
          <w:sz w:val="24"/>
          <w:szCs w:val="24"/>
        </w:rPr>
      </w:pPr>
    </w:p>
    <w:p w:rsidR="00B5287C" w:rsidRDefault="00B5287C" w:rsidP="00B5287C">
      <w:pPr>
        <w:rPr>
          <w:rFonts w:cs="Times New Roman"/>
          <w:sz w:val="24"/>
          <w:szCs w:val="24"/>
        </w:rPr>
      </w:pPr>
      <w:r>
        <w:rPr>
          <w:rFonts w:cs="Times New Roman"/>
          <w:sz w:val="24"/>
          <w:szCs w:val="24"/>
        </w:rPr>
        <w:br w:type="page"/>
      </w:r>
    </w:p>
    <w:p w:rsidR="00B5287C" w:rsidRDefault="00B5287C" w:rsidP="00B5287C">
      <w:pPr>
        <w:jc w:val="right"/>
        <w:rPr>
          <w:rFonts w:cs="Times New Roman"/>
          <w:b/>
          <w:sz w:val="24"/>
          <w:szCs w:val="24"/>
          <w:u w:val="single"/>
        </w:rPr>
      </w:pPr>
      <w:r w:rsidRPr="00A50F49">
        <w:rPr>
          <w:rFonts w:cs="Times New Roman"/>
          <w:b/>
          <w:sz w:val="24"/>
          <w:szCs w:val="24"/>
          <w:u w:val="single"/>
        </w:rPr>
        <w:lastRenderedPageBreak/>
        <w:t>ATTACHMENT</w:t>
      </w:r>
    </w:p>
    <w:p w:rsidR="00B5287C" w:rsidRPr="00A50F49" w:rsidRDefault="00B5287C" w:rsidP="00B5287C">
      <w:pPr>
        <w:jc w:val="right"/>
        <w:rPr>
          <w:rFonts w:cs="Times New Roman"/>
          <w:b/>
          <w:sz w:val="24"/>
          <w:szCs w:val="24"/>
          <w:u w:val="single"/>
        </w:rPr>
      </w:pPr>
    </w:p>
    <w:p w:rsidR="00B5287C" w:rsidRDefault="00B5287C" w:rsidP="00B5287C">
      <w:pPr>
        <w:jc w:val="center"/>
        <w:rPr>
          <w:rFonts w:cs="Times New Roman"/>
          <w:b/>
          <w:sz w:val="28"/>
          <w:szCs w:val="28"/>
        </w:rPr>
      </w:pPr>
      <w:r w:rsidRPr="00932388">
        <w:rPr>
          <w:rFonts w:cs="Times New Roman"/>
          <w:b/>
          <w:sz w:val="28"/>
          <w:szCs w:val="28"/>
        </w:rPr>
        <w:t>Statement of Compatibility with Human Rights</w:t>
      </w:r>
    </w:p>
    <w:p w:rsidR="00B5287C" w:rsidRPr="00932388" w:rsidRDefault="00B5287C" w:rsidP="00B5287C">
      <w:pPr>
        <w:jc w:val="center"/>
        <w:rPr>
          <w:rFonts w:cs="Times New Roman"/>
          <w:b/>
          <w:sz w:val="28"/>
          <w:szCs w:val="28"/>
        </w:rPr>
      </w:pPr>
    </w:p>
    <w:p w:rsidR="00B5287C" w:rsidRDefault="00B5287C" w:rsidP="00B5287C">
      <w:pPr>
        <w:jc w:val="center"/>
        <w:rPr>
          <w:rFonts w:cs="Times New Roman"/>
          <w:i/>
          <w:sz w:val="24"/>
          <w:szCs w:val="24"/>
        </w:rPr>
      </w:pPr>
      <w:r>
        <w:rPr>
          <w:rFonts w:cs="Times New Roman"/>
          <w:i/>
          <w:sz w:val="24"/>
          <w:szCs w:val="24"/>
        </w:rPr>
        <w:t>Prepared in accordance with Part 3 of the Human Rights (Parliamentary Scrutiny) Act 2011</w:t>
      </w:r>
    </w:p>
    <w:p w:rsidR="00B5287C" w:rsidRDefault="00B5287C" w:rsidP="00B5287C">
      <w:pPr>
        <w:jc w:val="center"/>
        <w:rPr>
          <w:rFonts w:cs="Times New Roman"/>
          <w:i/>
          <w:sz w:val="24"/>
          <w:szCs w:val="24"/>
        </w:rPr>
      </w:pPr>
    </w:p>
    <w:p w:rsidR="00B5287C" w:rsidRDefault="00B5287C" w:rsidP="00B5287C">
      <w:pPr>
        <w:rPr>
          <w:rFonts w:cs="Times New Roman"/>
          <w:b/>
          <w:sz w:val="24"/>
          <w:szCs w:val="24"/>
        </w:rPr>
      </w:pPr>
      <w:r w:rsidRPr="00BC6E5D">
        <w:rPr>
          <w:rFonts w:cs="Times New Roman"/>
          <w:b/>
          <w:sz w:val="24"/>
          <w:szCs w:val="24"/>
        </w:rPr>
        <w:t>Aviation Transport Security (Prohibited Cargo –</w:t>
      </w:r>
      <w:r>
        <w:rPr>
          <w:rFonts w:cs="Times New Roman"/>
          <w:b/>
          <w:sz w:val="24"/>
          <w:szCs w:val="24"/>
        </w:rPr>
        <w:t xml:space="preserve"> Yemen) Instrument 2015</w:t>
      </w:r>
    </w:p>
    <w:p w:rsidR="00B5287C" w:rsidRPr="00BC6E5D" w:rsidRDefault="00B5287C" w:rsidP="00B5287C">
      <w:pPr>
        <w:rPr>
          <w:rFonts w:cs="Times New Roman"/>
          <w:b/>
          <w:sz w:val="24"/>
          <w:szCs w:val="24"/>
        </w:rPr>
      </w:pPr>
    </w:p>
    <w:p w:rsidR="00B5287C" w:rsidRDefault="00B5287C" w:rsidP="00B5287C">
      <w:pPr>
        <w:rPr>
          <w:rFonts w:cs="Times New Roman"/>
          <w:sz w:val="24"/>
          <w:szCs w:val="24"/>
        </w:rPr>
      </w:pPr>
      <w:r>
        <w:rPr>
          <w:rFonts w:cs="Times New Roman"/>
          <w:sz w:val="24"/>
          <w:szCs w:val="24"/>
        </w:rPr>
        <w:t xml:space="preserve">This Legislative Instrument is compatible with the human rights and freedoms recognised or declared in the international instruments listed in section 3 of the </w:t>
      </w:r>
      <w:r>
        <w:rPr>
          <w:rFonts w:cs="Times New Roman"/>
          <w:i/>
          <w:sz w:val="24"/>
          <w:szCs w:val="24"/>
        </w:rPr>
        <w:t>Human Rights (Parliamentary Scrutiny) Act 2011</w:t>
      </w:r>
      <w:r>
        <w:rPr>
          <w:rFonts w:cs="Times New Roman"/>
          <w:sz w:val="24"/>
          <w:szCs w:val="24"/>
        </w:rPr>
        <w:t>.</w:t>
      </w:r>
      <w:r>
        <w:rPr>
          <w:rFonts w:cs="Times New Roman"/>
          <w:sz w:val="24"/>
          <w:szCs w:val="24"/>
        </w:rPr>
        <w:br/>
      </w:r>
      <w:r>
        <w:rPr>
          <w:rFonts w:cs="Times New Roman"/>
          <w:sz w:val="24"/>
          <w:szCs w:val="24"/>
        </w:rPr>
        <w:br/>
      </w:r>
      <w:r w:rsidRPr="00761CD8">
        <w:rPr>
          <w:rFonts w:cs="Times New Roman"/>
          <w:b/>
          <w:sz w:val="24"/>
          <w:szCs w:val="24"/>
        </w:rPr>
        <w:t>Overview of the legislative instrument</w:t>
      </w:r>
      <w:r w:rsidRPr="00761CD8">
        <w:rPr>
          <w:rFonts w:cs="Times New Roman"/>
          <w:sz w:val="24"/>
          <w:szCs w:val="24"/>
        </w:rPr>
        <w:br/>
      </w:r>
      <w:r>
        <w:rPr>
          <w:rFonts w:cs="Times New Roman"/>
          <w:sz w:val="24"/>
          <w:szCs w:val="24"/>
        </w:rPr>
        <w:t xml:space="preserve">This Legislative Instrument prohibits all </w:t>
      </w:r>
      <w:r w:rsidRPr="00E7500B">
        <w:rPr>
          <w:rFonts w:cs="Times New Roman"/>
          <w:sz w:val="24"/>
          <w:szCs w:val="24"/>
        </w:rPr>
        <w:t>cargo originating from</w:t>
      </w:r>
      <w:r>
        <w:rPr>
          <w:rFonts w:cs="Times New Roman"/>
          <w:sz w:val="24"/>
          <w:szCs w:val="24"/>
        </w:rPr>
        <w:t>,</w:t>
      </w:r>
      <w:r w:rsidRPr="00E7500B">
        <w:rPr>
          <w:rFonts w:cs="Times New Roman"/>
          <w:sz w:val="24"/>
          <w:szCs w:val="24"/>
        </w:rPr>
        <w:t xml:space="preserve"> or transiting through</w:t>
      </w:r>
      <w:r>
        <w:rPr>
          <w:rFonts w:cs="Times New Roman"/>
          <w:sz w:val="24"/>
          <w:szCs w:val="24"/>
        </w:rPr>
        <w:t xml:space="preserve">, </w:t>
      </w:r>
      <w:r w:rsidRPr="00CD376E">
        <w:rPr>
          <w:rFonts w:cs="Times New Roman"/>
          <w:sz w:val="24"/>
          <w:szCs w:val="24"/>
        </w:rPr>
        <w:t>the Republic of Yemen from entry into Australian territory</w:t>
      </w:r>
      <w:r>
        <w:rPr>
          <w:rFonts w:cs="Times New Roman"/>
          <w:sz w:val="24"/>
          <w:szCs w:val="24"/>
        </w:rPr>
        <w:t>.</w:t>
      </w:r>
    </w:p>
    <w:p w:rsidR="00B5287C" w:rsidRDefault="00B5287C" w:rsidP="00B5287C">
      <w:pPr>
        <w:rPr>
          <w:rFonts w:cs="Times New Roman"/>
          <w:sz w:val="24"/>
          <w:szCs w:val="24"/>
        </w:rPr>
      </w:pPr>
      <w:r>
        <w:rPr>
          <w:rFonts w:cs="Times New Roman"/>
          <w:sz w:val="24"/>
          <w:szCs w:val="24"/>
        </w:rPr>
        <w:br/>
      </w:r>
      <w:r w:rsidRPr="00761CD8">
        <w:rPr>
          <w:rFonts w:cs="Times New Roman"/>
          <w:b/>
          <w:sz w:val="24"/>
          <w:szCs w:val="24"/>
        </w:rPr>
        <w:t>Human rights implications</w:t>
      </w:r>
      <w:r w:rsidRPr="00761CD8">
        <w:rPr>
          <w:rFonts w:cs="Times New Roman"/>
          <w:sz w:val="24"/>
          <w:szCs w:val="24"/>
        </w:rPr>
        <w:br/>
      </w:r>
      <w:proofErr w:type="gramStart"/>
      <w:r>
        <w:rPr>
          <w:rFonts w:cs="Times New Roman"/>
          <w:sz w:val="24"/>
          <w:szCs w:val="24"/>
        </w:rPr>
        <w:t>This</w:t>
      </w:r>
      <w:proofErr w:type="gramEnd"/>
      <w:r>
        <w:rPr>
          <w:rFonts w:cs="Times New Roman"/>
          <w:sz w:val="24"/>
          <w:szCs w:val="24"/>
        </w:rPr>
        <w:t xml:space="preserve"> legislative instrument does not engage any of the applicable rights or freedoms.</w:t>
      </w:r>
      <w:r>
        <w:rPr>
          <w:rFonts w:cs="Times New Roman"/>
          <w:sz w:val="24"/>
          <w:szCs w:val="24"/>
        </w:rPr>
        <w:br/>
      </w:r>
      <w:r>
        <w:rPr>
          <w:rFonts w:cs="Times New Roman"/>
          <w:sz w:val="24"/>
          <w:szCs w:val="24"/>
        </w:rPr>
        <w:br/>
      </w:r>
      <w:r>
        <w:rPr>
          <w:rFonts w:cs="Times New Roman"/>
          <w:b/>
          <w:sz w:val="24"/>
          <w:szCs w:val="24"/>
        </w:rPr>
        <w:t>Conclusion</w:t>
      </w:r>
      <w:r>
        <w:rPr>
          <w:rFonts w:cs="Times New Roman"/>
          <w:b/>
          <w:sz w:val="24"/>
          <w:szCs w:val="24"/>
        </w:rPr>
        <w:br/>
      </w:r>
      <w:proofErr w:type="gramStart"/>
      <w:r>
        <w:rPr>
          <w:rFonts w:cs="Times New Roman"/>
          <w:sz w:val="24"/>
          <w:szCs w:val="24"/>
        </w:rPr>
        <w:t>This</w:t>
      </w:r>
      <w:proofErr w:type="gramEnd"/>
      <w:r>
        <w:rPr>
          <w:rFonts w:cs="Times New Roman"/>
          <w:sz w:val="24"/>
          <w:szCs w:val="24"/>
        </w:rPr>
        <w:t xml:space="preserve"> legislative instrument is compatible with human rights as it does not raise any human rights issues.</w:t>
      </w:r>
    </w:p>
    <w:p w:rsidR="00B5287C" w:rsidRPr="009257E7" w:rsidRDefault="00B5287C" w:rsidP="00B5287C">
      <w:pPr>
        <w:jc w:val="cente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t>WARREN TRUSS</w:t>
      </w:r>
      <w:r>
        <w:rPr>
          <w:rFonts w:cs="Times New Roman"/>
          <w:sz w:val="24"/>
          <w:szCs w:val="24"/>
        </w:rPr>
        <w:br/>
        <w:t>Minister for Infrastructure and Regional Development</w:t>
      </w:r>
    </w:p>
    <w:p w:rsidR="0023334C" w:rsidRDefault="0023334C">
      <w:pPr>
        <w:pStyle w:val="NoSpacing"/>
      </w:pPr>
    </w:p>
    <w:sectPr w:rsidR="002333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5E8" w:rsidRDefault="000D35E8" w:rsidP="0030181D">
      <w:pPr>
        <w:spacing w:line="240" w:lineRule="auto"/>
      </w:pPr>
      <w:r>
        <w:separator/>
      </w:r>
    </w:p>
  </w:endnote>
  <w:endnote w:type="continuationSeparator" w:id="0">
    <w:p w:rsidR="000D35E8" w:rsidRDefault="000D35E8" w:rsidP="00301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5E8" w:rsidRDefault="000D35E8" w:rsidP="0030181D">
      <w:pPr>
        <w:spacing w:line="240" w:lineRule="auto"/>
      </w:pPr>
      <w:r>
        <w:separator/>
      </w:r>
    </w:p>
  </w:footnote>
  <w:footnote w:type="continuationSeparator" w:id="0">
    <w:p w:rsidR="000D35E8" w:rsidRDefault="000D35E8" w:rsidP="003018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2974"/>
    <w:multiLevelType w:val="hybridMultilevel"/>
    <w:tmpl w:val="F8466272"/>
    <w:lvl w:ilvl="0" w:tplc="5524CD9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nsid w:val="16AD29E3"/>
    <w:multiLevelType w:val="hybridMultilevel"/>
    <w:tmpl w:val="4CD62FF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210C7326"/>
    <w:multiLevelType w:val="hybridMultilevel"/>
    <w:tmpl w:val="70CA84B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4B1E7968"/>
    <w:multiLevelType w:val="hybridMultilevel"/>
    <w:tmpl w:val="D6E0D6E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nsid w:val="642412D4"/>
    <w:multiLevelType w:val="hybridMultilevel"/>
    <w:tmpl w:val="DE6C7BCC"/>
    <w:lvl w:ilvl="0" w:tplc="75F80F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CE60B05"/>
    <w:multiLevelType w:val="hybridMultilevel"/>
    <w:tmpl w:val="E2126226"/>
    <w:lvl w:ilvl="0" w:tplc="3C6091D4">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E8"/>
    <w:rsid w:val="00076266"/>
    <w:rsid w:val="000D35E8"/>
    <w:rsid w:val="00131060"/>
    <w:rsid w:val="00134806"/>
    <w:rsid w:val="00147315"/>
    <w:rsid w:val="00165F2E"/>
    <w:rsid w:val="001A3F02"/>
    <w:rsid w:val="0023334C"/>
    <w:rsid w:val="00285104"/>
    <w:rsid w:val="002E71E8"/>
    <w:rsid w:val="002F2C42"/>
    <w:rsid w:val="0030181D"/>
    <w:rsid w:val="003D79A2"/>
    <w:rsid w:val="00722E79"/>
    <w:rsid w:val="007D255C"/>
    <w:rsid w:val="007D74AF"/>
    <w:rsid w:val="008278A1"/>
    <w:rsid w:val="00A13373"/>
    <w:rsid w:val="00AC483B"/>
    <w:rsid w:val="00AF79B8"/>
    <w:rsid w:val="00B32744"/>
    <w:rsid w:val="00B437FB"/>
    <w:rsid w:val="00B452A1"/>
    <w:rsid w:val="00B5287C"/>
    <w:rsid w:val="00BB1FF0"/>
    <w:rsid w:val="00CB20C7"/>
    <w:rsid w:val="00CB5AFD"/>
    <w:rsid w:val="00D1217C"/>
    <w:rsid w:val="00D2097B"/>
    <w:rsid w:val="00D340C7"/>
    <w:rsid w:val="00DC3CAE"/>
    <w:rsid w:val="00E72B68"/>
    <w:rsid w:val="00EF12E7"/>
    <w:rsid w:val="00F00B2C"/>
    <w:rsid w:val="00F65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71E8"/>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2E71E8"/>
    <w:pPr>
      <w:spacing w:line="240" w:lineRule="auto"/>
    </w:pPr>
    <w:rPr>
      <w:rFonts w:eastAsia="Times New Roman" w:cs="Times New Roman"/>
      <w:b/>
      <w:sz w:val="40"/>
      <w:lang w:eastAsia="en-AU"/>
    </w:rPr>
  </w:style>
  <w:style w:type="paragraph" w:customStyle="1" w:styleId="CompiledMadeUnder">
    <w:name w:val="CompiledMadeUnder"/>
    <w:basedOn w:val="Normal"/>
    <w:next w:val="Normal"/>
    <w:rsid w:val="002E71E8"/>
    <w:rPr>
      <w:rFonts w:eastAsia="Times New Roman" w:cs="Times New Roman"/>
      <w:i/>
      <w:sz w:val="24"/>
      <w:szCs w:val="24"/>
      <w:lang w:eastAsia="en-AU"/>
    </w:rPr>
  </w:style>
  <w:style w:type="paragraph" w:customStyle="1" w:styleId="MadeunderText">
    <w:name w:val="MadeunderText"/>
    <w:basedOn w:val="Normal"/>
    <w:next w:val="CompiledMadeUnder"/>
    <w:rsid w:val="002E71E8"/>
    <w:pPr>
      <w:spacing w:before="240"/>
    </w:pPr>
    <w:rPr>
      <w:rFonts w:eastAsia="Times New Roman" w:cs="Times New Roman"/>
      <w:sz w:val="24"/>
      <w:szCs w:val="24"/>
      <w:lang w:eastAsia="en-AU"/>
    </w:rPr>
  </w:style>
  <w:style w:type="character" w:customStyle="1" w:styleId="CharSectno">
    <w:name w:val="CharSectno"/>
    <w:basedOn w:val="DefaultParagraphFont"/>
    <w:qFormat/>
    <w:rsid w:val="002E71E8"/>
  </w:style>
  <w:style w:type="paragraph" w:customStyle="1" w:styleId="ActHead5">
    <w:name w:val="ActHead 5"/>
    <w:aliases w:val="s"/>
    <w:basedOn w:val="Normal"/>
    <w:next w:val="subsection"/>
    <w:qFormat/>
    <w:rsid w:val="002E71E8"/>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2E71E8"/>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2E71E8"/>
    <w:pPr>
      <w:spacing w:before="180" w:line="240" w:lineRule="auto"/>
      <w:ind w:left="1134"/>
    </w:pPr>
    <w:rPr>
      <w:rFonts w:eastAsia="Times New Roman" w:cs="Times New Roman"/>
      <w:lang w:eastAsia="en-AU"/>
    </w:rPr>
  </w:style>
  <w:style w:type="paragraph" w:styleId="NoSpacing">
    <w:name w:val="No Spacing"/>
    <w:uiPriority w:val="1"/>
    <w:qFormat/>
    <w:rsid w:val="002E71E8"/>
    <w:pPr>
      <w:spacing w:after="0" w:line="240" w:lineRule="auto"/>
    </w:pPr>
    <w:rPr>
      <w:rFonts w:ascii="Times New Roman" w:hAnsi="Times New Roman"/>
      <w:szCs w:val="20"/>
    </w:rPr>
  </w:style>
  <w:style w:type="paragraph" w:customStyle="1" w:styleId="SignCoverPageEnd">
    <w:name w:val="SignCoverPageEnd"/>
    <w:basedOn w:val="Normal"/>
    <w:next w:val="Normal"/>
    <w:rsid w:val="00DC3CAE"/>
    <w:pPr>
      <w:keepNext/>
      <w:pBdr>
        <w:bottom w:val="single" w:sz="4" w:space="12" w:color="auto"/>
      </w:pBdr>
      <w:tabs>
        <w:tab w:val="left" w:pos="3402"/>
      </w:tabs>
      <w:spacing w:line="300" w:lineRule="atLeast"/>
      <w:ind w:right="397"/>
    </w:pPr>
    <w:rPr>
      <w:rFonts w:eastAsia="Times New Roman" w:cs="Times New Roman"/>
      <w:lang w:eastAsia="en-AU"/>
    </w:rPr>
  </w:style>
  <w:style w:type="paragraph" w:styleId="Header">
    <w:name w:val="header"/>
    <w:basedOn w:val="Normal"/>
    <w:link w:val="HeaderChar"/>
    <w:uiPriority w:val="99"/>
    <w:unhideWhenUsed/>
    <w:rsid w:val="0030181D"/>
    <w:pPr>
      <w:tabs>
        <w:tab w:val="center" w:pos="4513"/>
        <w:tab w:val="right" w:pos="9026"/>
      </w:tabs>
      <w:spacing w:line="240" w:lineRule="auto"/>
    </w:pPr>
  </w:style>
  <w:style w:type="character" w:customStyle="1" w:styleId="HeaderChar">
    <w:name w:val="Header Char"/>
    <w:basedOn w:val="DefaultParagraphFont"/>
    <w:link w:val="Header"/>
    <w:uiPriority w:val="99"/>
    <w:rsid w:val="0030181D"/>
    <w:rPr>
      <w:rFonts w:ascii="Times New Roman" w:hAnsi="Times New Roman"/>
      <w:szCs w:val="20"/>
    </w:rPr>
  </w:style>
  <w:style w:type="paragraph" w:styleId="Footer">
    <w:name w:val="footer"/>
    <w:basedOn w:val="Normal"/>
    <w:link w:val="FooterChar"/>
    <w:uiPriority w:val="99"/>
    <w:unhideWhenUsed/>
    <w:rsid w:val="0030181D"/>
    <w:pPr>
      <w:tabs>
        <w:tab w:val="center" w:pos="4513"/>
        <w:tab w:val="right" w:pos="9026"/>
      </w:tabs>
      <w:spacing w:line="240" w:lineRule="auto"/>
    </w:pPr>
  </w:style>
  <w:style w:type="character" w:customStyle="1" w:styleId="FooterChar">
    <w:name w:val="Footer Char"/>
    <w:basedOn w:val="DefaultParagraphFont"/>
    <w:link w:val="Footer"/>
    <w:uiPriority w:val="99"/>
    <w:rsid w:val="0030181D"/>
    <w:rPr>
      <w:rFonts w:ascii="Times New Roman" w:hAnsi="Times New Roman"/>
      <w:szCs w:val="20"/>
    </w:rPr>
  </w:style>
  <w:style w:type="paragraph" w:styleId="BalloonText">
    <w:name w:val="Balloon Text"/>
    <w:basedOn w:val="Normal"/>
    <w:link w:val="BalloonTextChar"/>
    <w:uiPriority w:val="99"/>
    <w:semiHidden/>
    <w:unhideWhenUsed/>
    <w:rsid w:val="00A13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373"/>
    <w:rPr>
      <w:rFonts w:ascii="Tahoma" w:hAnsi="Tahoma" w:cs="Tahoma"/>
      <w:sz w:val="16"/>
      <w:szCs w:val="16"/>
    </w:rPr>
  </w:style>
  <w:style w:type="paragraph" w:styleId="ListParagraph">
    <w:name w:val="List Paragraph"/>
    <w:basedOn w:val="Normal"/>
    <w:uiPriority w:val="34"/>
    <w:qFormat/>
    <w:rsid w:val="00B5287C"/>
    <w:pPr>
      <w:spacing w:after="200" w:line="276" w:lineRule="auto"/>
      <w:ind w:left="720"/>
      <w:contextualSpacing/>
    </w:pPr>
    <w:rPr>
      <w:rFonts w:asciiTheme="minorHAnsi" w:hAnsiTheme="minorHAnsi"/>
      <w:szCs w:val="22"/>
    </w:rPr>
  </w:style>
  <w:style w:type="paragraph" w:customStyle="1" w:styleId="Default">
    <w:name w:val="Default"/>
    <w:rsid w:val="00B5287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71E8"/>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2E71E8"/>
    <w:pPr>
      <w:spacing w:line="240" w:lineRule="auto"/>
    </w:pPr>
    <w:rPr>
      <w:rFonts w:eastAsia="Times New Roman" w:cs="Times New Roman"/>
      <w:b/>
      <w:sz w:val="40"/>
      <w:lang w:eastAsia="en-AU"/>
    </w:rPr>
  </w:style>
  <w:style w:type="paragraph" w:customStyle="1" w:styleId="CompiledMadeUnder">
    <w:name w:val="CompiledMadeUnder"/>
    <w:basedOn w:val="Normal"/>
    <w:next w:val="Normal"/>
    <w:rsid w:val="002E71E8"/>
    <w:rPr>
      <w:rFonts w:eastAsia="Times New Roman" w:cs="Times New Roman"/>
      <w:i/>
      <w:sz w:val="24"/>
      <w:szCs w:val="24"/>
      <w:lang w:eastAsia="en-AU"/>
    </w:rPr>
  </w:style>
  <w:style w:type="paragraph" w:customStyle="1" w:styleId="MadeunderText">
    <w:name w:val="MadeunderText"/>
    <w:basedOn w:val="Normal"/>
    <w:next w:val="CompiledMadeUnder"/>
    <w:rsid w:val="002E71E8"/>
    <w:pPr>
      <w:spacing w:before="240"/>
    </w:pPr>
    <w:rPr>
      <w:rFonts w:eastAsia="Times New Roman" w:cs="Times New Roman"/>
      <w:sz w:val="24"/>
      <w:szCs w:val="24"/>
      <w:lang w:eastAsia="en-AU"/>
    </w:rPr>
  </w:style>
  <w:style w:type="character" w:customStyle="1" w:styleId="CharSectno">
    <w:name w:val="CharSectno"/>
    <w:basedOn w:val="DefaultParagraphFont"/>
    <w:qFormat/>
    <w:rsid w:val="002E71E8"/>
  </w:style>
  <w:style w:type="paragraph" w:customStyle="1" w:styleId="ActHead5">
    <w:name w:val="ActHead 5"/>
    <w:aliases w:val="s"/>
    <w:basedOn w:val="Normal"/>
    <w:next w:val="subsection"/>
    <w:qFormat/>
    <w:rsid w:val="002E71E8"/>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2E71E8"/>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2E71E8"/>
    <w:pPr>
      <w:spacing w:before="180" w:line="240" w:lineRule="auto"/>
      <w:ind w:left="1134"/>
    </w:pPr>
    <w:rPr>
      <w:rFonts w:eastAsia="Times New Roman" w:cs="Times New Roman"/>
      <w:lang w:eastAsia="en-AU"/>
    </w:rPr>
  </w:style>
  <w:style w:type="paragraph" w:styleId="NoSpacing">
    <w:name w:val="No Spacing"/>
    <w:uiPriority w:val="1"/>
    <w:qFormat/>
    <w:rsid w:val="002E71E8"/>
    <w:pPr>
      <w:spacing w:after="0" w:line="240" w:lineRule="auto"/>
    </w:pPr>
    <w:rPr>
      <w:rFonts w:ascii="Times New Roman" w:hAnsi="Times New Roman"/>
      <w:szCs w:val="20"/>
    </w:rPr>
  </w:style>
  <w:style w:type="paragraph" w:customStyle="1" w:styleId="SignCoverPageEnd">
    <w:name w:val="SignCoverPageEnd"/>
    <w:basedOn w:val="Normal"/>
    <w:next w:val="Normal"/>
    <w:rsid w:val="00DC3CAE"/>
    <w:pPr>
      <w:keepNext/>
      <w:pBdr>
        <w:bottom w:val="single" w:sz="4" w:space="12" w:color="auto"/>
      </w:pBdr>
      <w:tabs>
        <w:tab w:val="left" w:pos="3402"/>
      </w:tabs>
      <w:spacing w:line="300" w:lineRule="atLeast"/>
      <w:ind w:right="397"/>
    </w:pPr>
    <w:rPr>
      <w:rFonts w:eastAsia="Times New Roman" w:cs="Times New Roman"/>
      <w:lang w:eastAsia="en-AU"/>
    </w:rPr>
  </w:style>
  <w:style w:type="paragraph" w:styleId="Header">
    <w:name w:val="header"/>
    <w:basedOn w:val="Normal"/>
    <w:link w:val="HeaderChar"/>
    <w:uiPriority w:val="99"/>
    <w:unhideWhenUsed/>
    <w:rsid w:val="0030181D"/>
    <w:pPr>
      <w:tabs>
        <w:tab w:val="center" w:pos="4513"/>
        <w:tab w:val="right" w:pos="9026"/>
      </w:tabs>
      <w:spacing w:line="240" w:lineRule="auto"/>
    </w:pPr>
  </w:style>
  <w:style w:type="character" w:customStyle="1" w:styleId="HeaderChar">
    <w:name w:val="Header Char"/>
    <w:basedOn w:val="DefaultParagraphFont"/>
    <w:link w:val="Header"/>
    <w:uiPriority w:val="99"/>
    <w:rsid w:val="0030181D"/>
    <w:rPr>
      <w:rFonts w:ascii="Times New Roman" w:hAnsi="Times New Roman"/>
      <w:szCs w:val="20"/>
    </w:rPr>
  </w:style>
  <w:style w:type="paragraph" w:styleId="Footer">
    <w:name w:val="footer"/>
    <w:basedOn w:val="Normal"/>
    <w:link w:val="FooterChar"/>
    <w:uiPriority w:val="99"/>
    <w:unhideWhenUsed/>
    <w:rsid w:val="0030181D"/>
    <w:pPr>
      <w:tabs>
        <w:tab w:val="center" w:pos="4513"/>
        <w:tab w:val="right" w:pos="9026"/>
      </w:tabs>
      <w:spacing w:line="240" w:lineRule="auto"/>
    </w:pPr>
  </w:style>
  <w:style w:type="character" w:customStyle="1" w:styleId="FooterChar">
    <w:name w:val="Footer Char"/>
    <w:basedOn w:val="DefaultParagraphFont"/>
    <w:link w:val="Footer"/>
    <w:uiPriority w:val="99"/>
    <w:rsid w:val="0030181D"/>
    <w:rPr>
      <w:rFonts w:ascii="Times New Roman" w:hAnsi="Times New Roman"/>
      <w:szCs w:val="20"/>
    </w:rPr>
  </w:style>
  <w:style w:type="paragraph" w:styleId="BalloonText">
    <w:name w:val="Balloon Text"/>
    <w:basedOn w:val="Normal"/>
    <w:link w:val="BalloonTextChar"/>
    <w:uiPriority w:val="99"/>
    <w:semiHidden/>
    <w:unhideWhenUsed/>
    <w:rsid w:val="00A13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373"/>
    <w:rPr>
      <w:rFonts w:ascii="Tahoma" w:hAnsi="Tahoma" w:cs="Tahoma"/>
      <w:sz w:val="16"/>
      <w:szCs w:val="16"/>
    </w:rPr>
  </w:style>
  <w:style w:type="paragraph" w:styleId="ListParagraph">
    <w:name w:val="List Paragraph"/>
    <w:basedOn w:val="Normal"/>
    <w:uiPriority w:val="34"/>
    <w:qFormat/>
    <w:rsid w:val="00B5287C"/>
    <w:pPr>
      <w:spacing w:after="200" w:line="276" w:lineRule="auto"/>
      <w:ind w:left="720"/>
      <w:contextualSpacing/>
    </w:pPr>
    <w:rPr>
      <w:rFonts w:asciiTheme="minorHAnsi" w:hAnsiTheme="minorHAnsi"/>
      <w:szCs w:val="22"/>
    </w:rPr>
  </w:style>
  <w:style w:type="paragraph" w:customStyle="1" w:styleId="Default">
    <w:name w:val="Default"/>
    <w:rsid w:val="00B528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48513">
      <w:bodyDiv w:val="1"/>
      <w:marLeft w:val="0"/>
      <w:marRight w:val="0"/>
      <w:marTop w:val="0"/>
      <w:marBottom w:val="0"/>
      <w:divBdr>
        <w:top w:val="none" w:sz="0" w:space="0" w:color="auto"/>
        <w:left w:val="none" w:sz="0" w:space="0" w:color="auto"/>
        <w:bottom w:val="none" w:sz="0" w:space="0" w:color="auto"/>
        <w:right w:val="none" w:sz="0" w:space="0" w:color="auto"/>
      </w:divBdr>
      <w:divsChild>
        <w:div w:id="183832913">
          <w:marLeft w:val="0"/>
          <w:marRight w:val="0"/>
          <w:marTop w:val="0"/>
          <w:marBottom w:val="0"/>
          <w:divBdr>
            <w:top w:val="none" w:sz="0" w:space="0" w:color="auto"/>
            <w:left w:val="none" w:sz="0" w:space="0" w:color="auto"/>
            <w:bottom w:val="none" w:sz="0" w:space="0" w:color="auto"/>
            <w:right w:val="none" w:sz="0" w:space="0" w:color="auto"/>
          </w:divBdr>
          <w:divsChild>
            <w:div w:id="1255673353">
              <w:marLeft w:val="0"/>
              <w:marRight w:val="0"/>
              <w:marTop w:val="0"/>
              <w:marBottom w:val="0"/>
              <w:divBdr>
                <w:top w:val="none" w:sz="0" w:space="0" w:color="auto"/>
                <w:left w:val="none" w:sz="0" w:space="0" w:color="auto"/>
                <w:bottom w:val="none" w:sz="0" w:space="0" w:color="auto"/>
                <w:right w:val="none" w:sz="0" w:space="0" w:color="auto"/>
              </w:divBdr>
              <w:divsChild>
                <w:div w:id="480734181">
                  <w:marLeft w:val="0"/>
                  <w:marRight w:val="0"/>
                  <w:marTop w:val="0"/>
                  <w:marBottom w:val="0"/>
                  <w:divBdr>
                    <w:top w:val="none" w:sz="0" w:space="0" w:color="auto"/>
                    <w:left w:val="none" w:sz="0" w:space="0" w:color="auto"/>
                    <w:bottom w:val="none" w:sz="0" w:space="0" w:color="auto"/>
                    <w:right w:val="none" w:sz="0" w:space="0" w:color="auto"/>
                  </w:divBdr>
                  <w:divsChild>
                    <w:div w:id="1010528234">
                      <w:marLeft w:val="0"/>
                      <w:marRight w:val="0"/>
                      <w:marTop w:val="0"/>
                      <w:marBottom w:val="0"/>
                      <w:divBdr>
                        <w:top w:val="none" w:sz="0" w:space="0" w:color="auto"/>
                        <w:left w:val="none" w:sz="0" w:space="0" w:color="auto"/>
                        <w:bottom w:val="none" w:sz="0" w:space="0" w:color="auto"/>
                        <w:right w:val="none" w:sz="0" w:space="0" w:color="auto"/>
                      </w:divBdr>
                      <w:divsChild>
                        <w:div w:id="836847232">
                          <w:marLeft w:val="0"/>
                          <w:marRight w:val="0"/>
                          <w:marTop w:val="0"/>
                          <w:marBottom w:val="0"/>
                          <w:divBdr>
                            <w:top w:val="none" w:sz="0" w:space="0" w:color="auto"/>
                            <w:left w:val="none" w:sz="0" w:space="0" w:color="auto"/>
                            <w:bottom w:val="none" w:sz="0" w:space="0" w:color="auto"/>
                            <w:right w:val="none" w:sz="0" w:space="0" w:color="auto"/>
                          </w:divBdr>
                          <w:divsChild>
                            <w:div w:id="1939176515">
                              <w:marLeft w:val="0"/>
                              <w:marRight w:val="0"/>
                              <w:marTop w:val="0"/>
                              <w:marBottom w:val="0"/>
                              <w:divBdr>
                                <w:top w:val="single" w:sz="6" w:space="0" w:color="828282"/>
                                <w:left w:val="single" w:sz="6" w:space="0" w:color="828282"/>
                                <w:bottom w:val="single" w:sz="6" w:space="0" w:color="828282"/>
                                <w:right w:val="single" w:sz="6" w:space="0" w:color="828282"/>
                              </w:divBdr>
                              <w:divsChild>
                                <w:div w:id="838614023">
                                  <w:marLeft w:val="0"/>
                                  <w:marRight w:val="0"/>
                                  <w:marTop w:val="0"/>
                                  <w:marBottom w:val="0"/>
                                  <w:divBdr>
                                    <w:top w:val="none" w:sz="0" w:space="0" w:color="auto"/>
                                    <w:left w:val="none" w:sz="0" w:space="0" w:color="auto"/>
                                    <w:bottom w:val="none" w:sz="0" w:space="0" w:color="auto"/>
                                    <w:right w:val="none" w:sz="0" w:space="0" w:color="auto"/>
                                  </w:divBdr>
                                  <w:divsChild>
                                    <w:div w:id="1570000082">
                                      <w:marLeft w:val="0"/>
                                      <w:marRight w:val="0"/>
                                      <w:marTop w:val="0"/>
                                      <w:marBottom w:val="0"/>
                                      <w:divBdr>
                                        <w:top w:val="none" w:sz="0" w:space="0" w:color="auto"/>
                                        <w:left w:val="none" w:sz="0" w:space="0" w:color="auto"/>
                                        <w:bottom w:val="none" w:sz="0" w:space="0" w:color="auto"/>
                                        <w:right w:val="none" w:sz="0" w:space="0" w:color="auto"/>
                                      </w:divBdr>
                                      <w:divsChild>
                                        <w:div w:id="56169612">
                                          <w:marLeft w:val="0"/>
                                          <w:marRight w:val="0"/>
                                          <w:marTop w:val="0"/>
                                          <w:marBottom w:val="0"/>
                                          <w:divBdr>
                                            <w:top w:val="none" w:sz="0" w:space="0" w:color="auto"/>
                                            <w:left w:val="none" w:sz="0" w:space="0" w:color="auto"/>
                                            <w:bottom w:val="none" w:sz="0" w:space="0" w:color="auto"/>
                                            <w:right w:val="none" w:sz="0" w:space="0" w:color="auto"/>
                                          </w:divBdr>
                                          <w:divsChild>
                                            <w:div w:id="536939557">
                                              <w:marLeft w:val="0"/>
                                              <w:marRight w:val="0"/>
                                              <w:marTop w:val="0"/>
                                              <w:marBottom w:val="0"/>
                                              <w:divBdr>
                                                <w:top w:val="none" w:sz="0" w:space="0" w:color="auto"/>
                                                <w:left w:val="none" w:sz="0" w:space="0" w:color="auto"/>
                                                <w:bottom w:val="none" w:sz="0" w:space="0" w:color="auto"/>
                                                <w:right w:val="none" w:sz="0" w:space="0" w:color="auto"/>
                                              </w:divBdr>
                                              <w:divsChild>
                                                <w:div w:id="1052921228">
                                                  <w:marLeft w:val="0"/>
                                                  <w:marRight w:val="0"/>
                                                  <w:marTop w:val="0"/>
                                                  <w:marBottom w:val="0"/>
                                                  <w:divBdr>
                                                    <w:top w:val="none" w:sz="0" w:space="0" w:color="auto"/>
                                                    <w:left w:val="none" w:sz="0" w:space="0" w:color="auto"/>
                                                    <w:bottom w:val="none" w:sz="0" w:space="0" w:color="auto"/>
                                                    <w:right w:val="none" w:sz="0" w:space="0" w:color="auto"/>
                                                  </w:divBdr>
                                                  <w:divsChild>
                                                    <w:div w:id="2055032936">
                                                      <w:marLeft w:val="0"/>
                                                      <w:marRight w:val="0"/>
                                                      <w:marTop w:val="0"/>
                                                      <w:marBottom w:val="0"/>
                                                      <w:divBdr>
                                                        <w:top w:val="none" w:sz="0" w:space="0" w:color="auto"/>
                                                        <w:left w:val="none" w:sz="0" w:space="0" w:color="auto"/>
                                                        <w:bottom w:val="none" w:sz="0" w:space="0" w:color="auto"/>
                                                        <w:right w:val="none" w:sz="0" w:space="0" w:color="auto"/>
                                                      </w:divBdr>
                                                      <w:divsChild>
                                                        <w:div w:id="1351836495">
                                                          <w:marLeft w:val="0"/>
                                                          <w:marRight w:val="0"/>
                                                          <w:marTop w:val="0"/>
                                                          <w:marBottom w:val="0"/>
                                                          <w:divBdr>
                                                            <w:top w:val="none" w:sz="0" w:space="0" w:color="auto"/>
                                                            <w:left w:val="none" w:sz="0" w:space="0" w:color="auto"/>
                                                            <w:bottom w:val="none" w:sz="0" w:space="0" w:color="auto"/>
                                                            <w:right w:val="none" w:sz="0" w:space="0" w:color="auto"/>
                                                          </w:divBdr>
                                                          <w:divsChild>
                                                            <w:div w:id="1320385346">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07978-9DBD-49A8-A253-0CD186D0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Maydanov Marina</dc:creator>
  <cp:lastModifiedBy>dking</cp:lastModifiedBy>
  <cp:revision>3</cp:revision>
  <cp:lastPrinted>2015-11-20T01:17:00Z</cp:lastPrinted>
  <dcterms:created xsi:type="dcterms:W3CDTF">2015-12-16T00:34:00Z</dcterms:created>
  <dcterms:modified xsi:type="dcterms:W3CDTF">2015-12-16T00:37:00Z</dcterms:modified>
</cp:coreProperties>
</file>