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70E4" w14:textId="77777777"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Compiled Auditing Standard"/>
        <w:tblDescription w:val="Identification that the document is an AUASB Compiled Auditing Standard, ASA number and month of issue"/>
      </w:tblPr>
      <w:tblGrid>
        <w:gridCol w:w="4536"/>
        <w:gridCol w:w="4536"/>
      </w:tblGrid>
      <w:tr w:rsidR="004D4D03" w14:paraId="7639DF21" w14:textId="77777777" w:rsidTr="00DE45DA">
        <w:tc>
          <w:tcPr>
            <w:tcW w:w="4536" w:type="dxa"/>
          </w:tcPr>
          <w:p w14:paraId="6D439A11" w14:textId="77777777" w:rsidR="004D4D03" w:rsidRPr="00983F64" w:rsidRDefault="00983F64" w:rsidP="00983F64">
            <w:pPr>
              <w:pStyle w:val="CoverNumber"/>
              <w:jc w:val="left"/>
              <w:rPr>
                <w:caps w:val="0"/>
              </w:rPr>
            </w:pPr>
            <w:r w:rsidRPr="00983F64">
              <w:rPr>
                <w:caps w:val="0"/>
              </w:rPr>
              <w:t>Compiled Auditing Standard</w:t>
            </w:r>
          </w:p>
        </w:tc>
        <w:tc>
          <w:tcPr>
            <w:tcW w:w="4536" w:type="dxa"/>
          </w:tcPr>
          <w:p w14:paraId="557A7AB5" w14:textId="18383078" w:rsidR="004D4D03" w:rsidRDefault="00090F5F">
            <w:pPr>
              <w:pStyle w:val="CoverNumber"/>
            </w:pPr>
            <w:r>
              <w:fldChar w:fldCharType="begin" w:fldLock="1"/>
            </w:r>
            <w:r>
              <w:instrText xml:space="preserve"> REF DocType \* charformat </w:instrText>
            </w:r>
            <w:r w:rsidR="00983F64">
              <w:instrText xml:space="preserve"> \* MERGEFORMAT </w:instrText>
            </w:r>
            <w:r>
              <w:fldChar w:fldCharType="separate"/>
            </w:r>
            <w:r w:rsidR="00E45644" w:rsidRPr="00E45644">
              <w:t>ASA</w:t>
            </w:r>
            <w:r>
              <w:fldChar w:fldCharType="end"/>
            </w:r>
            <w:r w:rsidR="007B449F">
              <w:t xml:space="preserve"> </w:t>
            </w:r>
            <w:r w:rsidR="007B449F">
              <w:fldChar w:fldCharType="begin" w:fldLock="1"/>
            </w:r>
            <w:r w:rsidR="007B449F">
              <w:instrText xml:space="preserve"> REF DocNo \* cha</w:instrText>
            </w:r>
            <w:r w:rsidR="00E861E3">
              <w:instrText>R</w:instrText>
            </w:r>
            <w:r w:rsidR="007B449F">
              <w:instrText xml:space="preserve">format </w:instrText>
            </w:r>
            <w:r w:rsidR="00983F64">
              <w:instrText xml:space="preserve"> \* MERGEFORMAT </w:instrText>
            </w:r>
            <w:r w:rsidR="007B449F">
              <w:fldChar w:fldCharType="separate"/>
            </w:r>
            <w:r w:rsidR="00D572E6">
              <w:t>57</w:t>
            </w:r>
            <w:r w:rsidR="00E45644" w:rsidRPr="00E45644">
              <w:t>0</w:t>
            </w:r>
            <w:r w:rsidR="007B449F">
              <w:fldChar w:fldCharType="end"/>
            </w:r>
          </w:p>
          <w:p w14:paraId="56C24765" w14:textId="56CEC507" w:rsidR="004D4D03" w:rsidRDefault="004D4D03" w:rsidP="00C2643A">
            <w:pPr>
              <w:pStyle w:val="CoverDate"/>
            </w:pPr>
            <w:r>
              <w:t>(</w:t>
            </w:r>
            <w:r w:rsidR="003775AB">
              <w:t>December</w:t>
            </w:r>
            <w:r w:rsidR="001F7CEB">
              <w:t xml:space="preserve"> 202</w:t>
            </w:r>
            <w:r w:rsidR="006F2725">
              <w:t>1</w:t>
            </w:r>
            <w:r>
              <w:t>)</w:t>
            </w:r>
          </w:p>
        </w:tc>
      </w:tr>
    </w:tbl>
    <w:bookmarkStart w:id="0" w:name="DocTypeLong"/>
    <w:p w14:paraId="2531F558" w14:textId="7FA448AC" w:rsidR="004D4D03" w:rsidRDefault="00912E22">
      <w:pPr>
        <w:pStyle w:val="CoverTitle"/>
      </w:pPr>
      <w:sdt>
        <w:sdtPr>
          <w:rPr>
            <w:i w:val="0"/>
          </w:rPr>
          <w:id w:val="-1359804843"/>
          <w:lock w:val="contentLocked"/>
          <w:placeholder>
            <w:docPart w:val="DefaultPlaceholder_1082065158"/>
          </w:placeholder>
          <w:group/>
        </w:sdtPr>
        <w:sdtEndPr/>
        <w:sdtContent>
          <w:r w:rsidR="00CA4546">
            <w:rPr>
              <w:i w:val="0"/>
            </w:rPr>
            <w:t>Auditing Standard</w:t>
          </w:r>
          <w:bookmarkEnd w:id="0"/>
        </w:sdtContent>
      </w:sdt>
      <w:r w:rsidR="006E419A" w:rsidRPr="000D243E">
        <w:rPr>
          <w:i w:val="0"/>
        </w:rPr>
        <w:t xml:space="preserve"> </w:t>
      </w:r>
      <w:bookmarkStart w:id="1" w:name="DocType"/>
      <w:sdt>
        <w:sdtPr>
          <w:rPr>
            <w:i w:val="0"/>
          </w:rPr>
          <w:id w:val="-129639220"/>
          <w:lock w:val="contentLocked"/>
          <w:placeholder>
            <w:docPart w:val="DefaultPlaceholder_1082065158"/>
          </w:placeholder>
          <w:group/>
        </w:sdtPr>
        <w:sdtEndPr/>
        <w:sdtContent>
          <w:r w:rsidR="00CA4546">
            <w:rPr>
              <w:i w:val="0"/>
            </w:rPr>
            <w:t>ASA</w:t>
          </w:r>
          <w:bookmarkEnd w:id="1"/>
        </w:sdtContent>
      </w:sdt>
      <w:r w:rsidR="004D4D03" w:rsidRPr="000D243E">
        <w:rPr>
          <w:i w:val="0"/>
        </w:rPr>
        <w:t> </w:t>
      </w:r>
      <w:bookmarkStart w:id="2" w:name="DocNo"/>
      <w:r w:rsidR="00067CFB">
        <w:rPr>
          <w:i w:val="0"/>
        </w:rPr>
        <w:t>57</w:t>
      </w:r>
      <w:r w:rsidR="00CA4546">
        <w:rPr>
          <w:i w:val="0"/>
        </w:rPr>
        <w:t>0</w:t>
      </w:r>
      <w:bookmarkEnd w:id="2"/>
      <w:r w:rsidR="004D4D03" w:rsidRPr="000D243E">
        <w:br/>
      </w:r>
      <w:r w:rsidR="00067CFB">
        <w:t>Going Concern</w:t>
      </w:r>
    </w:p>
    <w:p w14:paraId="089DEA4B" w14:textId="5FC4D034" w:rsidR="00645F31" w:rsidRDefault="00645F31" w:rsidP="00267FDD">
      <w:pPr>
        <w:pStyle w:val="CoverSubTitle"/>
        <w:ind w:right="-142"/>
      </w:pPr>
      <w:r>
        <w:t xml:space="preserve">This </w:t>
      </w:r>
      <w:r w:rsidR="00267FDD">
        <w:t xml:space="preserve">compilation was prepared on </w:t>
      </w:r>
      <w:r w:rsidR="006F2725">
        <w:t>1</w:t>
      </w:r>
      <w:r w:rsidR="00994929">
        <w:t>0</w:t>
      </w:r>
      <w:r w:rsidR="00E33E10">
        <w:t xml:space="preserve"> November </w:t>
      </w:r>
      <w:r w:rsidR="006F2725">
        <w:t>2021</w:t>
      </w:r>
      <w:r w:rsidR="00267FDD">
        <w:t xml:space="preserve"> </w:t>
      </w:r>
      <w:proofErr w:type="gramStart"/>
      <w:r w:rsidR="00267FDD">
        <w:t>taking into account</w:t>
      </w:r>
      <w:proofErr w:type="gramEnd"/>
      <w:r w:rsidR="00267FDD">
        <w:t xml:space="preserve"> amendments made by ASA 20</w:t>
      </w:r>
      <w:r w:rsidR="0072058F">
        <w:t>20-2</w:t>
      </w:r>
      <w:r w:rsidR="00E33E10">
        <w:t>,</w:t>
      </w:r>
      <w:r w:rsidR="006F2725">
        <w:t xml:space="preserve"> ASA 2020-1</w:t>
      </w:r>
      <w:r w:rsidR="00E33E10">
        <w:t xml:space="preserve"> and ASA 2021-5</w:t>
      </w:r>
      <w:r>
        <w:t>.</w:t>
      </w:r>
    </w:p>
    <w:p w14:paraId="2D31F100" w14:textId="79C0A88B" w:rsidR="00645F31" w:rsidRDefault="00645F31" w:rsidP="00267FDD">
      <w:pPr>
        <w:pStyle w:val="CoverSubTitle"/>
        <w:spacing w:before="360"/>
        <w:ind w:right="-142"/>
      </w:pPr>
      <w:r>
        <w:t>Compilation n</w:t>
      </w:r>
      <w:r w:rsidR="00C2643A">
        <w:t>umber:</w:t>
      </w:r>
      <w:r w:rsidR="00C2643A">
        <w:tab/>
      </w:r>
      <w:r w:rsidR="006F2725">
        <w:t>2</w:t>
      </w:r>
    </w:p>
    <w:p w14:paraId="6FF757DA" w14:textId="57628622" w:rsidR="00645F31" w:rsidRDefault="00645F31" w:rsidP="00645F31">
      <w:pPr>
        <w:pStyle w:val="CoverSubTitle"/>
        <w:spacing w:before="120"/>
        <w:ind w:right="-142"/>
      </w:pPr>
      <w:r>
        <w:t>Compilation date:</w:t>
      </w:r>
      <w:r w:rsidR="00C2643A">
        <w:tab/>
      </w:r>
      <w:r w:rsidR="006F2725">
        <w:t>1</w:t>
      </w:r>
      <w:r w:rsidR="003775AB">
        <w:t>4</w:t>
      </w:r>
      <w:r w:rsidR="006F2725">
        <w:t xml:space="preserve"> </w:t>
      </w:r>
      <w:r w:rsidR="003775AB">
        <w:t>December</w:t>
      </w:r>
      <w:r w:rsidR="006F2725">
        <w:t xml:space="preserve"> 2021</w:t>
      </w:r>
    </w:p>
    <w:p w14:paraId="2C674CB4" w14:textId="77777777" w:rsidR="004D4D03" w:rsidRDefault="00983F64" w:rsidP="00267FDD">
      <w:pPr>
        <w:pStyle w:val="CoverSubTitle"/>
        <w:spacing w:before="360"/>
        <w:ind w:right="-142"/>
      </w:pPr>
      <w:r>
        <w:t>Prepared</w:t>
      </w:r>
      <w:r w:rsidR="004D4D03">
        <w:t xml:space="preserve"> by the </w:t>
      </w:r>
      <w:r w:rsidR="004D4D03">
        <w:rPr>
          <w:b/>
          <w:bCs/>
        </w:rPr>
        <w:t>Auditing and Assurance Standards Board</w:t>
      </w:r>
    </w:p>
    <w:p w14:paraId="11F64D11" w14:textId="77777777" w:rsidR="004D4D03" w:rsidRDefault="00D51EB7">
      <w:pPr>
        <w:sectPr w:rsidR="004D4D03" w:rsidSect="006D2111">
          <w:headerReference w:type="even" r:id="rId11"/>
          <w:headerReference w:type="default" r:id="rId12"/>
          <w:headerReference w:type="first" r:id="rId13"/>
          <w:pgSz w:w="11907" w:h="16840" w:code="9"/>
          <w:pgMar w:top="2268" w:right="1418" w:bottom="1701" w:left="1418" w:header="992" w:footer="992" w:gutter="0"/>
          <w:cols w:space="720"/>
        </w:sectPr>
      </w:pPr>
      <w:r>
        <w:rPr>
          <w:noProof/>
          <w:lang w:eastAsia="en-AU"/>
        </w:rPr>
        <w:drawing>
          <wp:anchor distT="0" distB="0" distL="114300" distR="114300" simplePos="0" relativeHeight="251658240" behindDoc="0" locked="0" layoutInCell="1" allowOverlap="1" wp14:anchorId="5A37BFDA" wp14:editId="55F93841">
            <wp:simplePos x="0" y="0"/>
            <wp:positionH relativeFrom="margin">
              <wp:align>left</wp:align>
            </wp:positionH>
            <wp:positionV relativeFrom="margin">
              <wp:align>bottom</wp:align>
            </wp:positionV>
            <wp:extent cx="4392000" cy="867600"/>
            <wp:effectExtent l="0" t="0" r="8890" b="8890"/>
            <wp:wrapTopAndBottom/>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73714" w14:textId="77777777" w:rsidR="004D4D03" w:rsidRDefault="004D4D03" w:rsidP="009960AD">
      <w:pPr>
        <w:pStyle w:val="Heading5"/>
        <w:ind w:right="-284"/>
      </w:pPr>
      <w:r>
        <w:lastRenderedPageBreak/>
        <w:t xml:space="preserve">Obtaining a Copy of this </w:t>
      </w:r>
      <w:r w:rsidR="00912E22">
        <w:fldChar w:fldCharType="begin" w:fldLock="1"/>
      </w:r>
      <w:r w:rsidR="00912E22">
        <w:instrText xml:space="preserve"> REF DocTypeLong \* charformat </w:instrText>
      </w:r>
      <w:r w:rsidR="00912E22">
        <w:fldChar w:fldCharType="separate"/>
      </w:r>
      <w:r w:rsidR="00E45644" w:rsidRPr="00E45644">
        <w:t>Auditing Standard</w:t>
      </w:r>
      <w:r w:rsidR="00912E22">
        <w:fldChar w:fldCharType="end"/>
      </w:r>
    </w:p>
    <w:p w14:paraId="1708D30F" w14:textId="77777777" w:rsidR="004D4D03" w:rsidRDefault="000A628D" w:rsidP="006014A0">
      <w:pPr>
        <w:pStyle w:val="ParaPlain"/>
      </w:pPr>
      <w:r>
        <w:t>The most recently compiled versions of</w:t>
      </w:r>
      <w:r w:rsidR="001D6F8F">
        <w:t xml:space="preserve"> </w:t>
      </w:r>
      <w:bookmarkStart w:id="3" w:name="DocTypeLongPlural"/>
      <w:r w:rsidR="00CA4546">
        <w:t>Auditing Standards</w:t>
      </w:r>
      <w:bookmarkEnd w:id="3"/>
      <w:r>
        <w:t>, original Standards and amending Standards (see Compilation Details) are</w:t>
      </w:r>
      <w:r w:rsidR="004D4D03">
        <w:t xml:space="preserve"> available on the </w:t>
      </w:r>
      <w:r w:rsidR="002F6C85">
        <w:t>AUASB website: www.auasb.gov.au</w:t>
      </w:r>
    </w:p>
    <w:p w14:paraId="4895A34A" w14:textId="77777777" w:rsidR="004D4D03" w:rsidRDefault="007B60DF" w:rsidP="007B60DF">
      <w:pPr>
        <w:pStyle w:val="Heading5"/>
      </w:pPr>
      <w:r w:rsidRPr="00287D3A">
        <w:t>Contact Details</w:t>
      </w:r>
    </w:p>
    <w:tbl>
      <w:tblPr>
        <w:tblW w:w="0" w:type="auto"/>
        <w:tblCellMar>
          <w:left w:w="0" w:type="dxa"/>
        </w:tblCellMar>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4D4D03" w14:paraId="4CB11075" w14:textId="77777777" w:rsidTr="00267FDD">
        <w:tc>
          <w:tcPr>
            <w:tcW w:w="4536" w:type="dxa"/>
            <w:tcMar>
              <w:right w:w="28" w:type="dxa"/>
            </w:tcMar>
          </w:tcPr>
          <w:p w14:paraId="2FA63A9B" w14:textId="77777777" w:rsidR="004D4D03" w:rsidRDefault="004D4D03">
            <w:r>
              <w:t>Auditing and Assurance Standards Board</w:t>
            </w:r>
          </w:p>
          <w:p w14:paraId="1723154B" w14:textId="77777777" w:rsidR="00076484" w:rsidRDefault="001C020C">
            <w:r>
              <w:t xml:space="preserve">Podium </w:t>
            </w:r>
            <w:r w:rsidR="00076484">
              <w:t>Level</w:t>
            </w:r>
          </w:p>
          <w:p w14:paraId="37F48E93" w14:textId="77777777" w:rsidR="004D4D03" w:rsidRDefault="00076484">
            <w:r>
              <w:t xml:space="preserve">Level 14, 530 Collins </w:t>
            </w:r>
            <w:r w:rsidR="004D4D03">
              <w:t>Street</w:t>
            </w:r>
          </w:p>
          <w:p w14:paraId="3C0E7D50" w14:textId="77777777" w:rsidR="004D4D03" w:rsidRDefault="004D4D03">
            <w:r>
              <w:t>Melbourne   Victoria   3000</w:t>
            </w:r>
          </w:p>
          <w:p w14:paraId="12EA2CB9" w14:textId="77777777" w:rsidR="004D4D03" w:rsidRDefault="004D4D03">
            <w:r>
              <w:t>AUSTRALIA</w:t>
            </w:r>
          </w:p>
        </w:tc>
        <w:tc>
          <w:tcPr>
            <w:tcW w:w="4536" w:type="dxa"/>
          </w:tcPr>
          <w:p w14:paraId="3CC273B3" w14:textId="77777777" w:rsidR="004D4D03" w:rsidRDefault="004D4D03">
            <w:pPr>
              <w:tabs>
                <w:tab w:val="left" w:pos="743"/>
              </w:tabs>
            </w:pPr>
            <w:r>
              <w:t>Phone:</w:t>
            </w:r>
            <w:r>
              <w:tab/>
              <w:t>(03) 8080 7400</w:t>
            </w:r>
          </w:p>
          <w:p w14:paraId="0ADD603D" w14:textId="77777777" w:rsidR="004D4D03" w:rsidRDefault="00223FCA">
            <w:pPr>
              <w:tabs>
                <w:tab w:val="left" w:pos="743"/>
              </w:tabs>
            </w:pPr>
            <w:r>
              <w:t>E</w:t>
            </w:r>
            <w:r>
              <w:noBreakHyphen/>
              <w:t>m</w:t>
            </w:r>
            <w:r w:rsidR="004D4D03">
              <w:t>ail:</w:t>
            </w:r>
            <w:r w:rsidR="004D4D03">
              <w:tab/>
              <w:t>enquiries@auasb.gov.au</w:t>
            </w:r>
          </w:p>
          <w:p w14:paraId="69C1BF34" w14:textId="77777777" w:rsidR="004D4D03" w:rsidRDefault="004D4D03" w:rsidP="00A64680">
            <w:pPr>
              <w:spacing w:before="240"/>
              <w:rPr>
                <w:b/>
                <w:bCs/>
              </w:rPr>
            </w:pPr>
            <w:r>
              <w:rPr>
                <w:b/>
                <w:bCs/>
              </w:rPr>
              <w:t>Postal Address:</w:t>
            </w:r>
          </w:p>
          <w:p w14:paraId="48D10CD3" w14:textId="77777777" w:rsidR="004D4D03" w:rsidRDefault="004D4D03">
            <w:r>
              <w:t>PO Box 204</w:t>
            </w:r>
          </w:p>
          <w:p w14:paraId="16E5D9D0" w14:textId="77777777" w:rsidR="004D4D03" w:rsidRDefault="004D4D03">
            <w:r>
              <w:t>Collins Street West</w:t>
            </w:r>
          </w:p>
          <w:p w14:paraId="0AE1CE44" w14:textId="77777777" w:rsidR="004D4D03" w:rsidRDefault="004D4D03">
            <w:r>
              <w:t>Melbourne   Victoria   8007</w:t>
            </w:r>
          </w:p>
          <w:p w14:paraId="13B2C80B" w14:textId="77777777" w:rsidR="004D4D03" w:rsidRDefault="004D4D03">
            <w:r>
              <w:t>AUSTRALIA</w:t>
            </w:r>
          </w:p>
        </w:tc>
      </w:tr>
    </w:tbl>
    <w:p w14:paraId="3FD136C4" w14:textId="77777777" w:rsidR="004D4D03" w:rsidRDefault="004D4D03" w:rsidP="00CA4546">
      <w:pPr>
        <w:pStyle w:val="Heading5"/>
        <w:spacing w:before="3240"/>
      </w:pPr>
      <w:r>
        <w:t>COPYRIGHT</w:t>
      </w:r>
    </w:p>
    <w:p w14:paraId="582EC402" w14:textId="1E9AC327" w:rsidR="00CA4546" w:rsidRPr="00F740E2" w:rsidRDefault="00CA4546">
      <w:pPr>
        <w:pStyle w:val="ParaPlain"/>
        <w:rPr>
          <w:sz w:val="18"/>
          <w:szCs w:val="18"/>
        </w:rPr>
      </w:pPr>
      <w:bookmarkStart w:id="4" w:name="CopyrightIntl"/>
      <w:r w:rsidRPr="00F740E2">
        <w:rPr>
          <w:sz w:val="18"/>
          <w:szCs w:val="18"/>
        </w:rPr>
        <w:t xml:space="preserve">© </w:t>
      </w:r>
      <w:bookmarkStart w:id="5" w:name="Copyright"/>
      <w:r w:rsidR="006F2725">
        <w:rPr>
          <w:sz w:val="18"/>
          <w:szCs w:val="18"/>
        </w:rPr>
        <w:t>2021</w:t>
      </w:r>
      <w:r w:rsidR="006F2725" w:rsidRPr="00F740E2">
        <w:rPr>
          <w:sz w:val="18"/>
          <w:szCs w:val="18"/>
        </w:rPr>
        <w:t xml:space="preserve"> </w:t>
      </w:r>
      <w:r>
        <w:rPr>
          <w:sz w:val="18"/>
          <w:szCs w:val="18"/>
        </w:rPr>
        <w:t>Commonwealth of Australia</w:t>
      </w:r>
      <w:bookmarkEnd w:id="5"/>
      <w:r w:rsidRPr="00F740E2">
        <w:rPr>
          <w:sz w:val="18"/>
          <w:szCs w:val="18"/>
        </w:rPr>
        <w:t xml:space="preserve">.  The text, </w:t>
      </w:r>
      <w:proofErr w:type="gramStart"/>
      <w:r w:rsidRPr="00F740E2">
        <w:rPr>
          <w:sz w:val="18"/>
          <w:szCs w:val="18"/>
        </w:rPr>
        <w:t>graphics</w:t>
      </w:r>
      <w:proofErr w:type="gramEnd"/>
      <w:r w:rsidRPr="00F740E2">
        <w:rPr>
          <w:sz w:val="18"/>
          <w:szCs w:val="18"/>
        </w:rPr>
        <w:t xml:space="preserve"> and layout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00E45644" w:rsidRPr="00E45644">
        <w:rPr>
          <w:sz w:val="18"/>
          <w:szCs w:val="18"/>
        </w:rPr>
        <w:t>Auditing Standard</w:t>
      </w:r>
      <w:r w:rsidRPr="00B55710">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6" w:name="AUASBFull"/>
      <w:r w:rsidRPr="00F740E2">
        <w:rPr>
          <w:sz w:val="18"/>
          <w:szCs w:val="18"/>
        </w:rPr>
        <w:t>Australian Auditing and Assurance Standards Board (AUASB)</w:t>
      </w:r>
      <w:bookmarkEnd w:id="6"/>
      <w:r w:rsidRPr="00F740E2">
        <w:rPr>
          <w:sz w:val="18"/>
          <w:szCs w:val="18"/>
        </w:rPr>
        <w:t>.</w:t>
      </w:r>
    </w:p>
    <w:p w14:paraId="15227385" w14:textId="07094EAD" w:rsidR="00CA4546" w:rsidRPr="00F740E2" w:rsidRDefault="00CA4546">
      <w:pPr>
        <w:pStyle w:val="ParaPlain"/>
        <w:rPr>
          <w:sz w:val="18"/>
          <w:szCs w:val="18"/>
        </w:rPr>
      </w:pPr>
      <w:r w:rsidRPr="00F740E2">
        <w:rPr>
          <w:sz w:val="18"/>
          <w:szCs w:val="18"/>
        </w:rPr>
        <w:t xml:space="preserve">Requests and enquiries concerning reproduction and rights for commercial purposes within Australia should be addressed to the </w:t>
      </w:r>
      <w:r w:rsidR="00914849">
        <w:rPr>
          <w:sz w:val="18"/>
          <w:szCs w:val="18"/>
        </w:rPr>
        <w:t>Technical</w:t>
      </w:r>
      <w:r w:rsidR="00914849" w:rsidRPr="00F740E2">
        <w:rPr>
          <w:sz w:val="18"/>
          <w:szCs w:val="18"/>
        </w:rPr>
        <w:t xml:space="preserve"> </w:t>
      </w:r>
      <w:r w:rsidRPr="00F740E2">
        <w:rPr>
          <w:sz w:val="18"/>
          <w:szCs w:val="18"/>
        </w:rPr>
        <w:t>Director, Auditing and Assurance Standards Board, PO Box 204, Collins Street West, Melbourne</w:t>
      </w:r>
      <w:r>
        <w:rPr>
          <w:sz w:val="18"/>
          <w:szCs w:val="18"/>
        </w:rPr>
        <w:t>, Victoria </w:t>
      </w:r>
      <w:r w:rsidRPr="00F740E2">
        <w:rPr>
          <w:sz w:val="18"/>
          <w:szCs w:val="18"/>
        </w:rPr>
        <w:t xml:space="preserve">8007 or sent to </w:t>
      </w:r>
      <w:hyperlink r:id="rId15" w:history="1">
        <w:r w:rsidRPr="00F740E2">
          <w:rPr>
            <w:rStyle w:val="Hyperlink"/>
            <w:sz w:val="18"/>
            <w:szCs w:val="18"/>
          </w:rPr>
          <w:t>enquiries@auasb.gov.au</w:t>
        </w:r>
      </w:hyperlink>
      <w:r w:rsidRPr="00F740E2">
        <w:rPr>
          <w:sz w:val="18"/>
          <w:szCs w:val="18"/>
        </w:rPr>
        <w:t xml:space="preserve">.  Otherwise, no part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00E45644" w:rsidRPr="00E45644">
        <w:rPr>
          <w:sz w:val="18"/>
          <w:szCs w:val="18"/>
        </w:rPr>
        <w:t>Auditing Standard</w:t>
      </w:r>
      <w:r w:rsidRPr="00B55710">
        <w:rPr>
          <w:sz w:val="18"/>
          <w:szCs w:val="18"/>
        </w:rPr>
        <w:fldChar w:fldCharType="end"/>
      </w:r>
      <w:r w:rsidRPr="00B55710">
        <w:rPr>
          <w:sz w:val="18"/>
          <w:szCs w:val="18"/>
        </w:rPr>
        <w:t xml:space="preserve"> </w:t>
      </w:r>
      <w:r w:rsidRPr="00F740E2">
        <w:rPr>
          <w:sz w:val="18"/>
          <w:szCs w:val="18"/>
        </w:rPr>
        <w:t xml:space="preserve">may be reproduced, </w:t>
      </w:r>
      <w:proofErr w:type="gramStart"/>
      <w:r w:rsidRPr="00F740E2">
        <w:rPr>
          <w:sz w:val="18"/>
          <w:szCs w:val="18"/>
        </w:rPr>
        <w:t>stored</w:t>
      </w:r>
      <w:proofErr w:type="gramEnd"/>
      <w:r w:rsidRPr="00F740E2">
        <w:rPr>
          <w:sz w:val="18"/>
          <w:szCs w:val="18"/>
        </w:rPr>
        <w:t xml:space="preserve"> or transmitted in any form or by any means without the prior written permission of the AUASB except as permitted by law.</w:t>
      </w:r>
    </w:p>
    <w:p w14:paraId="65B67348" w14:textId="77777777" w:rsidR="00CA4546" w:rsidRPr="00F740E2" w:rsidRDefault="00CA4546">
      <w:pPr>
        <w:pStyle w:val="ParaPlain"/>
        <w:rPr>
          <w:sz w:val="18"/>
          <w:szCs w:val="18"/>
        </w:rPr>
      </w:pPr>
      <w:r w:rsidRPr="00F740E2">
        <w:rPr>
          <w:sz w:val="18"/>
          <w:szCs w:val="18"/>
        </w:rPr>
        <w:t xml:space="preserve">This </w:t>
      </w:r>
      <w:r w:rsidRPr="00F740E2">
        <w:rPr>
          <w:sz w:val="18"/>
          <w:szCs w:val="18"/>
        </w:rPr>
        <w:fldChar w:fldCharType="begin" w:fldLock="1"/>
      </w:r>
      <w:r w:rsidRPr="00F740E2">
        <w:rPr>
          <w:sz w:val="18"/>
          <w:szCs w:val="18"/>
        </w:rPr>
        <w:instrText xml:space="preserve"> REF DocTypeLong \* charformat  </w:instrText>
      </w:r>
      <w:r w:rsidRPr="00F740E2">
        <w:rPr>
          <w:sz w:val="18"/>
          <w:szCs w:val="18"/>
        </w:rPr>
        <w:fldChar w:fldCharType="separate"/>
      </w:r>
      <w:r w:rsidR="00E45644" w:rsidRPr="00E45644">
        <w:rPr>
          <w:sz w:val="18"/>
          <w:szCs w:val="18"/>
        </w:rPr>
        <w:t>Auditing Standard</w:t>
      </w:r>
      <w:r w:rsidRPr="00F740E2">
        <w:rPr>
          <w:sz w:val="18"/>
          <w:szCs w:val="18"/>
        </w:rPr>
        <w:fldChar w:fldCharType="end"/>
      </w:r>
      <w:r w:rsidRPr="00F740E2">
        <w:rPr>
          <w:sz w:val="18"/>
          <w:szCs w:val="18"/>
        </w:rPr>
        <w:t xml:space="preserve"> reproduces substantial part</w:t>
      </w:r>
      <w:r>
        <w:rPr>
          <w:sz w:val="18"/>
          <w:szCs w:val="18"/>
        </w:rPr>
        <w:t>s</w:t>
      </w:r>
      <w:r w:rsidRPr="00F740E2">
        <w:rPr>
          <w:sz w:val="18"/>
          <w:szCs w:val="18"/>
        </w:rPr>
        <w:t xml:space="preserve"> of the corresponding International Standard on </w:t>
      </w:r>
      <w:r w:rsidRPr="00F740E2">
        <w:rPr>
          <w:sz w:val="18"/>
          <w:szCs w:val="18"/>
        </w:rPr>
        <w:fldChar w:fldCharType="begin" w:fldLock="1"/>
      </w:r>
      <w:r w:rsidRPr="00F740E2">
        <w:rPr>
          <w:sz w:val="18"/>
          <w:szCs w:val="18"/>
        </w:rPr>
        <w:instrText xml:space="preserve"> REF</w:instrText>
      </w:r>
      <w:r>
        <w:rPr>
          <w:sz w:val="18"/>
          <w:szCs w:val="18"/>
        </w:rPr>
        <w:instrText xml:space="preserve"> DocTypeIntlLong \* charformat </w:instrText>
      </w:r>
      <w:r w:rsidRPr="00F740E2">
        <w:rPr>
          <w:sz w:val="18"/>
          <w:szCs w:val="18"/>
        </w:rPr>
        <w:instrText xml:space="preserve"> </w:instrText>
      </w:r>
      <w:r w:rsidRPr="00F740E2">
        <w:rPr>
          <w:sz w:val="18"/>
          <w:szCs w:val="18"/>
        </w:rPr>
        <w:fldChar w:fldCharType="separate"/>
      </w:r>
      <w:r w:rsidR="00E45644" w:rsidRPr="00E45644">
        <w:rPr>
          <w:sz w:val="18"/>
          <w:szCs w:val="18"/>
        </w:rPr>
        <w:t>Auditing</w:t>
      </w:r>
      <w:r w:rsidRPr="00F740E2">
        <w:rPr>
          <w:sz w:val="18"/>
          <w:szCs w:val="18"/>
        </w:rPr>
        <w:fldChar w:fldCharType="end"/>
      </w:r>
      <w:r w:rsidRPr="00F740E2">
        <w:rPr>
          <w:sz w:val="18"/>
          <w:szCs w:val="18"/>
        </w:rPr>
        <w:t xml:space="preserve"> issued by the International Auditing and Assurance Standards Board (IAASB) and published by the International Federation of Accountants (IFAC), in the manner described in the statement on Conformity with International Standards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00E45644" w:rsidRPr="00E45644">
        <w:rPr>
          <w:sz w:val="18"/>
          <w:szCs w:val="18"/>
        </w:rPr>
        <w:t>Auditing</w:t>
      </w:r>
      <w:r w:rsidRPr="00F740E2">
        <w:rPr>
          <w:sz w:val="18"/>
          <w:szCs w:val="18"/>
        </w:rPr>
        <w:fldChar w:fldCharType="end"/>
      </w:r>
      <w:r w:rsidRPr="00F740E2">
        <w:rPr>
          <w:sz w:val="18"/>
          <w:szCs w:val="18"/>
        </w:rPr>
        <w:t xml:space="preserve">.  The AUASB acknowledges that IFAC is the owner of copyright in the International Standard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00E45644" w:rsidRPr="00E45644">
        <w:rPr>
          <w:sz w:val="18"/>
          <w:szCs w:val="18"/>
        </w:rPr>
        <w:t>Auditing</w:t>
      </w:r>
      <w:r w:rsidRPr="00F740E2">
        <w:rPr>
          <w:sz w:val="18"/>
          <w:szCs w:val="18"/>
        </w:rPr>
        <w:fldChar w:fldCharType="end"/>
      </w:r>
      <w:r w:rsidRPr="00F740E2">
        <w:rPr>
          <w:sz w:val="18"/>
          <w:szCs w:val="18"/>
        </w:rPr>
        <w:t xml:space="preserve"> incorporated in this </w:t>
      </w:r>
      <w:r w:rsidRPr="00F740E2">
        <w:rPr>
          <w:sz w:val="18"/>
          <w:szCs w:val="18"/>
        </w:rPr>
        <w:fldChar w:fldCharType="begin" w:fldLock="1"/>
      </w:r>
      <w:r>
        <w:rPr>
          <w:sz w:val="18"/>
          <w:szCs w:val="18"/>
        </w:rPr>
        <w:instrText xml:space="preserve"> REF DocTypeLong \* charformat</w:instrText>
      </w:r>
      <w:r w:rsidRPr="00F740E2">
        <w:rPr>
          <w:sz w:val="18"/>
          <w:szCs w:val="18"/>
        </w:rPr>
        <w:fldChar w:fldCharType="separate"/>
      </w:r>
      <w:r w:rsidR="00E45644" w:rsidRPr="00E45644">
        <w:rPr>
          <w:sz w:val="18"/>
          <w:szCs w:val="18"/>
        </w:rPr>
        <w:t>Auditing Standard</w:t>
      </w:r>
      <w:r w:rsidRPr="00F740E2">
        <w:rPr>
          <w:sz w:val="18"/>
          <w:szCs w:val="18"/>
        </w:rPr>
        <w:fldChar w:fldCharType="end"/>
      </w:r>
      <w:r w:rsidRPr="00F740E2">
        <w:rPr>
          <w:sz w:val="18"/>
          <w:szCs w:val="18"/>
        </w:rPr>
        <w:t xml:space="preserve"> throughout the world.</w:t>
      </w:r>
    </w:p>
    <w:p w14:paraId="23717350" w14:textId="77777777" w:rsidR="00CA4546" w:rsidRPr="00F740E2" w:rsidRDefault="00CA4546">
      <w:pPr>
        <w:pStyle w:val="ParaPlain"/>
        <w:rPr>
          <w:sz w:val="18"/>
          <w:szCs w:val="18"/>
        </w:rPr>
      </w:pPr>
      <w:r w:rsidRPr="00F740E2">
        <w:rPr>
          <w:sz w:val="18"/>
          <w:szCs w:val="18"/>
        </w:rPr>
        <w:t>All existing rights in this material are reserved outside Australia.  Reproduction outside Australia in unaltered form (retaining this notice) is permitted for personal and no</w:t>
      </w:r>
      <w:r w:rsidR="00223FCA" w:rsidRPr="00F740E2">
        <w:rPr>
          <w:sz w:val="18"/>
          <w:szCs w:val="18"/>
        </w:rPr>
        <w:t>n</w:t>
      </w:r>
      <w:r w:rsidR="00223FCA">
        <w:rPr>
          <w:sz w:val="18"/>
          <w:szCs w:val="18"/>
        </w:rPr>
        <w:noBreakHyphen/>
      </w:r>
      <w:r w:rsidR="00223FCA" w:rsidRPr="00F740E2">
        <w:rPr>
          <w:sz w:val="18"/>
          <w:szCs w:val="18"/>
        </w:rPr>
        <w:t>c</w:t>
      </w:r>
      <w:r w:rsidRPr="00F740E2">
        <w:rPr>
          <w:sz w:val="18"/>
          <w:szCs w:val="18"/>
        </w:rPr>
        <w:t>ommercial use only.</w:t>
      </w:r>
    </w:p>
    <w:p w14:paraId="52619BF4" w14:textId="0B1BE4B8" w:rsidR="00CA4546" w:rsidRPr="00F740E2" w:rsidRDefault="00CA4546">
      <w:pPr>
        <w:pStyle w:val="ParaPlain"/>
        <w:rPr>
          <w:sz w:val="18"/>
          <w:szCs w:val="18"/>
        </w:rPr>
      </w:pPr>
      <w:r w:rsidRPr="00F740E2">
        <w:rPr>
          <w:sz w:val="18"/>
          <w:szCs w:val="18"/>
        </w:rPr>
        <w:t xml:space="preserve">Further information and requests for authorisation to reproduce this </w:t>
      </w:r>
      <w:r w:rsidRPr="00F740E2">
        <w:rPr>
          <w:sz w:val="18"/>
          <w:szCs w:val="18"/>
        </w:rPr>
        <w:fldChar w:fldCharType="begin" w:fldLock="1"/>
      </w:r>
      <w:r w:rsidRPr="00F740E2">
        <w:rPr>
          <w:sz w:val="18"/>
          <w:szCs w:val="18"/>
        </w:rPr>
        <w:instrText xml:space="preserve"> RE</w:instrText>
      </w:r>
      <w:r>
        <w:rPr>
          <w:sz w:val="18"/>
          <w:szCs w:val="18"/>
        </w:rPr>
        <w:instrText>F DocTypeLong \* charformat</w:instrText>
      </w:r>
      <w:r w:rsidRPr="00F740E2">
        <w:rPr>
          <w:sz w:val="18"/>
          <w:szCs w:val="18"/>
        </w:rPr>
        <w:instrText xml:space="preserve"> </w:instrText>
      </w:r>
      <w:r w:rsidRPr="00F740E2">
        <w:rPr>
          <w:sz w:val="18"/>
          <w:szCs w:val="18"/>
        </w:rPr>
        <w:fldChar w:fldCharType="separate"/>
      </w:r>
      <w:r w:rsidR="00E45644" w:rsidRPr="00E45644">
        <w:rPr>
          <w:sz w:val="18"/>
          <w:szCs w:val="18"/>
        </w:rPr>
        <w:t>Auditing Standard</w:t>
      </w:r>
      <w:r w:rsidRPr="00F740E2">
        <w:rPr>
          <w:sz w:val="18"/>
          <w:szCs w:val="18"/>
        </w:rPr>
        <w:fldChar w:fldCharType="end"/>
      </w:r>
      <w:r w:rsidRPr="00F740E2">
        <w:rPr>
          <w:sz w:val="18"/>
          <w:szCs w:val="18"/>
        </w:rPr>
        <w:t xml:space="preserve"> for commercial purposes outside Australia should be addressed to the </w:t>
      </w:r>
      <w:r w:rsidR="00914849">
        <w:rPr>
          <w:sz w:val="18"/>
          <w:szCs w:val="18"/>
        </w:rPr>
        <w:t>Technical</w:t>
      </w:r>
      <w:r w:rsidR="00914849" w:rsidRPr="00F740E2">
        <w:rPr>
          <w:sz w:val="18"/>
          <w:szCs w:val="18"/>
        </w:rPr>
        <w:t xml:space="preserve"> </w:t>
      </w:r>
      <w:r w:rsidRPr="00F740E2">
        <w:rPr>
          <w:sz w:val="18"/>
          <w:szCs w:val="18"/>
        </w:rPr>
        <w:t>Director, Auditing and As</w:t>
      </w:r>
      <w:r>
        <w:rPr>
          <w:sz w:val="18"/>
          <w:szCs w:val="18"/>
        </w:rPr>
        <w:t>surance Standards Board, PO Box </w:t>
      </w:r>
      <w:r w:rsidRPr="00F740E2">
        <w:rPr>
          <w:sz w:val="18"/>
          <w:szCs w:val="18"/>
        </w:rPr>
        <w:t>204, Collins Street West, Melbourne</w:t>
      </w:r>
      <w:r>
        <w:rPr>
          <w:sz w:val="18"/>
          <w:szCs w:val="18"/>
        </w:rPr>
        <w:t>,</w:t>
      </w:r>
      <w:r w:rsidRPr="00F740E2">
        <w:rPr>
          <w:sz w:val="18"/>
          <w:szCs w:val="18"/>
        </w:rPr>
        <w:t xml:space="preserve"> Vi</w:t>
      </w:r>
      <w:r>
        <w:rPr>
          <w:sz w:val="18"/>
          <w:szCs w:val="18"/>
        </w:rPr>
        <w:t>ctoria </w:t>
      </w:r>
      <w:r w:rsidRPr="00F740E2">
        <w:rPr>
          <w:sz w:val="18"/>
          <w:szCs w:val="18"/>
        </w:rPr>
        <w:t xml:space="preserve">8007 or sent to </w:t>
      </w:r>
      <w:hyperlink r:id="rId16" w:history="1">
        <w:r w:rsidRPr="00F740E2">
          <w:rPr>
            <w:rStyle w:val="Hyperlink"/>
            <w:sz w:val="18"/>
            <w:szCs w:val="18"/>
          </w:rPr>
          <w:t>enquiries@auasb.gov.au</w:t>
        </w:r>
      </w:hyperlink>
      <w:r w:rsidRPr="00F740E2">
        <w:rPr>
          <w:sz w:val="18"/>
          <w:szCs w:val="18"/>
        </w:rPr>
        <w:t>.  Any decision to approve a request may also require the agreement of IFAC.</w:t>
      </w:r>
    </w:p>
    <w:bookmarkEnd w:id="4"/>
    <w:p w14:paraId="05A8BBF5" w14:textId="77777777" w:rsidR="004D4D03" w:rsidRDefault="004D4D03" w:rsidP="009842C7">
      <w:pPr>
        <w:spacing w:before="200"/>
      </w:pPr>
      <w:r>
        <w:t xml:space="preserve">ISSN </w:t>
      </w:r>
      <w:bookmarkStart w:id="7" w:name="ISSN"/>
      <w:r w:rsidR="00CA4546">
        <w:t>183</w:t>
      </w:r>
      <w:r w:rsidR="00223FCA">
        <w:t>3</w:t>
      </w:r>
      <w:r w:rsidR="00223FCA">
        <w:noBreakHyphen/>
        <w:t>4</w:t>
      </w:r>
      <w:r w:rsidR="00CA4546">
        <w:t>393</w:t>
      </w:r>
      <w:bookmarkEnd w:id="7"/>
    </w:p>
    <w:p w14:paraId="353F5117" w14:textId="77777777" w:rsidR="004D4D03" w:rsidRDefault="004D4D03" w:rsidP="00DE45DA">
      <w:pPr>
        <w:pStyle w:val="Heading1"/>
        <w:keepNext w:val="0"/>
        <w:pageBreakBefore/>
      </w:pPr>
      <w:r w:rsidRPr="00610525">
        <w:lastRenderedPageBreak/>
        <w:t>CONTENTS</w:t>
      </w:r>
    </w:p>
    <w:p w14:paraId="5916A3D7" w14:textId="77777777" w:rsidR="006D2111" w:rsidRDefault="006D2111" w:rsidP="00CA2F5C">
      <w:pPr>
        <w:pStyle w:val="ParaPlain"/>
      </w:pPr>
      <w:r>
        <w:t>COMPILATION DETAILS</w:t>
      </w:r>
    </w:p>
    <w:p w14:paraId="549849B1" w14:textId="77777777" w:rsidR="00534AE8" w:rsidRDefault="00534AE8" w:rsidP="00CA2F5C">
      <w:pPr>
        <w:pStyle w:val="ParaPlain"/>
      </w:pPr>
      <w:r>
        <w:t>AUTHORITY STATEMENT</w:t>
      </w:r>
    </w:p>
    <w:p w14:paraId="714FFC4A" w14:textId="77777777" w:rsidR="00CA2F5C" w:rsidRPr="00CA2F5C" w:rsidRDefault="00CA2F5C" w:rsidP="00CA2F5C">
      <w:pPr>
        <w:pStyle w:val="ParaPlain"/>
      </w:pPr>
      <w:r>
        <w:t xml:space="preserve">CONFORMITY WITH INTERNATIONAL STANDARDS ON </w:t>
      </w:r>
      <w:r w:rsidR="00912E22">
        <w:fldChar w:fldCharType="begin" w:fldLock="1"/>
      </w:r>
      <w:r w:rsidR="00912E22">
        <w:instrText xml:space="preserve"> REF DocTypeIntlLong \* Upper \* charformat </w:instrText>
      </w:r>
      <w:r w:rsidR="00912E22">
        <w:fldChar w:fldCharType="separate"/>
      </w:r>
      <w:r w:rsidR="00E45644">
        <w:t>AUDITING</w:t>
      </w:r>
      <w:r w:rsidR="00912E22">
        <w:fldChar w:fldCharType="end"/>
      </w:r>
    </w:p>
    <w:p w14:paraId="248E9FCA" w14:textId="77777777" w:rsidR="004D4D03" w:rsidRDefault="004D4D03" w:rsidP="00590D81">
      <w:pPr>
        <w:jc w:val="right"/>
        <w:rPr>
          <w:i/>
          <w:iCs/>
        </w:rPr>
      </w:pPr>
      <w:r>
        <w:rPr>
          <w:i/>
          <w:iCs/>
        </w:rPr>
        <w:t>Paragraphs</w:t>
      </w:r>
    </w:p>
    <w:p w14:paraId="5AB40B71" w14:textId="70F176F7" w:rsidR="00351009" w:rsidRDefault="00351009" w:rsidP="00351009">
      <w:pPr>
        <w:pStyle w:val="TOC2"/>
      </w:pPr>
      <w:bookmarkStart w:id="8" w:name="TOCRange"/>
      <w:r w:rsidRPr="00351009">
        <w:rPr>
          <w:b/>
        </w:rPr>
        <w:t>Application</w:t>
      </w:r>
      <w:r>
        <w:tab/>
      </w:r>
      <w:proofErr w:type="spellStart"/>
      <w:r>
        <w:t>Aus</w:t>
      </w:r>
      <w:proofErr w:type="spellEnd"/>
      <w:r>
        <w:t xml:space="preserve"> 0.1-Aus 0.2</w:t>
      </w:r>
    </w:p>
    <w:p w14:paraId="3C4883AD" w14:textId="62E651FD" w:rsidR="00351009" w:rsidRDefault="00351009" w:rsidP="00351009">
      <w:pPr>
        <w:pStyle w:val="TOC2"/>
      </w:pPr>
      <w:r w:rsidRPr="00351009">
        <w:rPr>
          <w:b/>
        </w:rPr>
        <w:t>Operative Date</w:t>
      </w:r>
      <w:r>
        <w:tab/>
      </w:r>
      <w:proofErr w:type="spellStart"/>
      <w:r>
        <w:t>Aus</w:t>
      </w:r>
      <w:proofErr w:type="spellEnd"/>
      <w:r>
        <w:t> 0.3</w:t>
      </w:r>
    </w:p>
    <w:p w14:paraId="559D0B38" w14:textId="27347025" w:rsidR="00351009" w:rsidRDefault="00351009" w:rsidP="00351009">
      <w:pPr>
        <w:pStyle w:val="TOC2"/>
      </w:pPr>
      <w:r w:rsidRPr="00351009">
        <w:rPr>
          <w:b/>
        </w:rPr>
        <w:t>Introduction</w:t>
      </w:r>
    </w:p>
    <w:bookmarkEnd w:id="8"/>
    <w:p w14:paraId="7EE920E6" w14:textId="77777777" w:rsidR="00351009" w:rsidRPr="00351009" w:rsidRDefault="00351009" w:rsidP="00351009">
      <w:pPr>
        <w:tabs>
          <w:tab w:val="right" w:leader="dot" w:pos="9071"/>
        </w:tabs>
        <w:spacing w:before="120"/>
        <w:ind w:left="142" w:right="1417" w:hanging="142"/>
      </w:pPr>
      <w:r w:rsidRPr="00351009">
        <w:t>Scope of this Auditing Standard</w:t>
      </w:r>
      <w:r w:rsidRPr="00351009">
        <w:tab/>
        <w:t>1</w:t>
      </w:r>
    </w:p>
    <w:p w14:paraId="50A01835" w14:textId="77777777" w:rsidR="00351009" w:rsidRPr="00351009" w:rsidRDefault="00351009" w:rsidP="00351009">
      <w:pPr>
        <w:tabs>
          <w:tab w:val="right" w:leader="dot" w:pos="9071"/>
        </w:tabs>
        <w:spacing w:before="120"/>
        <w:ind w:left="142" w:right="1417" w:hanging="142"/>
      </w:pPr>
      <w:r w:rsidRPr="00351009">
        <w:t>Going Concern Basis of Accounting</w:t>
      </w:r>
      <w:r w:rsidRPr="00351009">
        <w:tab/>
        <w:t>2</w:t>
      </w:r>
    </w:p>
    <w:p w14:paraId="28CD7E73" w14:textId="77777777" w:rsidR="00351009" w:rsidRPr="00351009" w:rsidRDefault="00351009" w:rsidP="00351009">
      <w:pPr>
        <w:tabs>
          <w:tab w:val="right" w:leader="dot" w:pos="9071"/>
        </w:tabs>
        <w:spacing w:before="120"/>
        <w:ind w:left="142" w:right="1417" w:hanging="142"/>
      </w:pPr>
      <w:r w:rsidRPr="00351009">
        <w:t>Responsibility for Assessment of the Entity’s Ability to Continue as a Going Concern</w:t>
      </w:r>
      <w:r w:rsidRPr="00351009">
        <w:tab/>
        <w:t>3-7</w:t>
      </w:r>
    </w:p>
    <w:p w14:paraId="6E78C968" w14:textId="77777777" w:rsidR="00351009" w:rsidRPr="00351009" w:rsidRDefault="00351009" w:rsidP="00351009">
      <w:pPr>
        <w:tabs>
          <w:tab w:val="right" w:leader="dot" w:pos="9071"/>
        </w:tabs>
        <w:spacing w:before="120"/>
        <w:ind w:left="142" w:right="1417" w:hanging="142"/>
      </w:pPr>
      <w:r w:rsidRPr="00351009">
        <w:t>Effective Date</w:t>
      </w:r>
      <w:r w:rsidRPr="00351009">
        <w:tab/>
        <w:t>8</w:t>
      </w:r>
    </w:p>
    <w:p w14:paraId="2AD38D80" w14:textId="77777777" w:rsidR="00351009" w:rsidRPr="00351009" w:rsidRDefault="00351009" w:rsidP="00351009">
      <w:pPr>
        <w:tabs>
          <w:tab w:val="right" w:leader="dot" w:pos="9071"/>
        </w:tabs>
        <w:spacing w:before="120"/>
        <w:ind w:left="142" w:right="1417" w:hanging="142"/>
      </w:pPr>
      <w:r w:rsidRPr="00351009">
        <w:rPr>
          <w:b/>
        </w:rPr>
        <w:t>Objectives</w:t>
      </w:r>
      <w:r w:rsidRPr="00351009">
        <w:tab/>
        <w:t>9</w:t>
      </w:r>
    </w:p>
    <w:p w14:paraId="10E81E93" w14:textId="77777777" w:rsidR="00351009" w:rsidRPr="00351009" w:rsidRDefault="00351009" w:rsidP="00351009">
      <w:pPr>
        <w:tabs>
          <w:tab w:val="right" w:leader="dot" w:pos="9071"/>
        </w:tabs>
        <w:spacing w:before="120"/>
        <w:ind w:left="142" w:right="1417" w:hanging="142"/>
      </w:pPr>
      <w:r w:rsidRPr="00351009">
        <w:rPr>
          <w:b/>
        </w:rPr>
        <w:t>Requirements</w:t>
      </w:r>
    </w:p>
    <w:p w14:paraId="33E9B449" w14:textId="77777777" w:rsidR="00351009" w:rsidRPr="00351009" w:rsidRDefault="00351009" w:rsidP="00351009">
      <w:pPr>
        <w:tabs>
          <w:tab w:val="right" w:leader="dot" w:pos="9071"/>
        </w:tabs>
        <w:spacing w:before="120"/>
        <w:ind w:left="142" w:right="1417" w:hanging="142"/>
      </w:pPr>
      <w:r w:rsidRPr="00351009">
        <w:t>Risk Assessment Procedures and Related Activities</w:t>
      </w:r>
      <w:r w:rsidRPr="00351009">
        <w:tab/>
        <w:t>10-11</w:t>
      </w:r>
    </w:p>
    <w:p w14:paraId="27B627EB" w14:textId="77777777" w:rsidR="00351009" w:rsidRPr="00351009" w:rsidRDefault="00351009" w:rsidP="00351009">
      <w:pPr>
        <w:tabs>
          <w:tab w:val="right" w:leader="dot" w:pos="9071"/>
        </w:tabs>
        <w:spacing w:before="120"/>
        <w:ind w:left="142" w:right="1417" w:hanging="142"/>
      </w:pPr>
      <w:r w:rsidRPr="00351009">
        <w:t>Evaluating Management’s Assessment</w:t>
      </w:r>
      <w:r w:rsidRPr="00351009">
        <w:tab/>
        <w:t>12-14</w:t>
      </w:r>
    </w:p>
    <w:p w14:paraId="12261C38" w14:textId="77777777" w:rsidR="00351009" w:rsidRPr="00351009" w:rsidRDefault="00351009" w:rsidP="00351009">
      <w:pPr>
        <w:tabs>
          <w:tab w:val="right" w:leader="dot" w:pos="9071"/>
        </w:tabs>
        <w:spacing w:before="120"/>
        <w:ind w:left="142" w:right="1417" w:hanging="142"/>
      </w:pPr>
      <w:r w:rsidRPr="00351009">
        <w:t>Period beyond Management’s Assessment</w:t>
      </w:r>
      <w:r w:rsidRPr="00351009">
        <w:tab/>
        <w:t>15</w:t>
      </w:r>
    </w:p>
    <w:p w14:paraId="5B154C83" w14:textId="77777777" w:rsidR="00351009" w:rsidRPr="00351009" w:rsidRDefault="00351009" w:rsidP="00351009">
      <w:pPr>
        <w:tabs>
          <w:tab w:val="right" w:leader="dot" w:pos="9071"/>
        </w:tabs>
        <w:spacing w:before="120"/>
        <w:ind w:left="142" w:right="1417" w:hanging="142"/>
      </w:pPr>
      <w:r w:rsidRPr="00351009">
        <w:t>Additional Audit Procedures When Events or Conditions are Identified</w:t>
      </w:r>
      <w:r w:rsidRPr="00351009">
        <w:tab/>
        <w:t>16</w:t>
      </w:r>
    </w:p>
    <w:p w14:paraId="5B2511F5" w14:textId="77777777" w:rsidR="00351009" w:rsidRPr="00351009" w:rsidRDefault="00351009" w:rsidP="00351009">
      <w:pPr>
        <w:tabs>
          <w:tab w:val="right" w:leader="dot" w:pos="9071"/>
        </w:tabs>
        <w:spacing w:before="120"/>
        <w:ind w:left="142" w:right="1417" w:hanging="142"/>
      </w:pPr>
      <w:r w:rsidRPr="00351009">
        <w:t>Auditor Conclusions</w:t>
      </w:r>
      <w:r w:rsidRPr="00351009">
        <w:tab/>
        <w:t>17-20</w:t>
      </w:r>
    </w:p>
    <w:p w14:paraId="382ED213" w14:textId="77777777" w:rsidR="00351009" w:rsidRPr="00351009" w:rsidRDefault="00351009" w:rsidP="00351009">
      <w:pPr>
        <w:tabs>
          <w:tab w:val="right" w:leader="dot" w:pos="9071"/>
        </w:tabs>
        <w:spacing w:before="120"/>
        <w:ind w:left="142" w:right="1417" w:hanging="142"/>
      </w:pPr>
      <w:r w:rsidRPr="00351009">
        <w:t>Implications for the Auditor’s Report</w:t>
      </w:r>
      <w:r w:rsidRPr="00351009">
        <w:tab/>
        <w:t>21-24</w:t>
      </w:r>
    </w:p>
    <w:p w14:paraId="773DF638" w14:textId="77777777" w:rsidR="00351009" w:rsidRPr="00351009" w:rsidRDefault="00351009" w:rsidP="00351009">
      <w:pPr>
        <w:tabs>
          <w:tab w:val="right" w:leader="dot" w:pos="9071"/>
        </w:tabs>
        <w:spacing w:before="120"/>
        <w:ind w:left="142" w:right="1417" w:hanging="142"/>
      </w:pPr>
      <w:r w:rsidRPr="00351009">
        <w:t>Communication with Those Charged with Governance</w:t>
      </w:r>
      <w:r w:rsidRPr="00351009">
        <w:tab/>
        <w:t>25</w:t>
      </w:r>
    </w:p>
    <w:p w14:paraId="1F1BC1F3" w14:textId="77777777" w:rsidR="00351009" w:rsidRPr="00351009" w:rsidRDefault="00351009" w:rsidP="00351009">
      <w:pPr>
        <w:tabs>
          <w:tab w:val="right" w:leader="dot" w:pos="9071"/>
        </w:tabs>
        <w:spacing w:before="120"/>
        <w:ind w:left="142" w:right="1417" w:hanging="142"/>
      </w:pPr>
      <w:r w:rsidRPr="00351009">
        <w:t>Significant Delay in the Approval of Financial Report</w:t>
      </w:r>
      <w:r w:rsidRPr="00351009">
        <w:tab/>
        <w:t>26</w:t>
      </w:r>
    </w:p>
    <w:p w14:paraId="06EC47A5" w14:textId="77777777" w:rsidR="00351009" w:rsidRPr="00351009" w:rsidRDefault="00351009" w:rsidP="00351009">
      <w:pPr>
        <w:tabs>
          <w:tab w:val="right" w:leader="dot" w:pos="9071"/>
        </w:tabs>
        <w:spacing w:before="120"/>
        <w:ind w:left="142" w:right="1417" w:hanging="142"/>
      </w:pPr>
      <w:r w:rsidRPr="00351009">
        <w:rPr>
          <w:b/>
        </w:rPr>
        <w:t>Application and Other Explanatory Material</w:t>
      </w:r>
    </w:p>
    <w:p w14:paraId="3185398B" w14:textId="77777777" w:rsidR="00351009" w:rsidRPr="00351009" w:rsidRDefault="00351009" w:rsidP="00351009">
      <w:pPr>
        <w:tabs>
          <w:tab w:val="right" w:leader="dot" w:pos="9071"/>
        </w:tabs>
        <w:spacing w:before="120"/>
        <w:ind w:left="142" w:right="1417" w:hanging="142"/>
      </w:pPr>
      <w:r w:rsidRPr="00351009">
        <w:t>Scope of this Auditing Standard</w:t>
      </w:r>
      <w:r w:rsidRPr="00351009">
        <w:tab/>
        <w:t>A1</w:t>
      </w:r>
    </w:p>
    <w:p w14:paraId="5EFD509A" w14:textId="77777777" w:rsidR="00351009" w:rsidRPr="00351009" w:rsidRDefault="00351009" w:rsidP="00351009">
      <w:pPr>
        <w:tabs>
          <w:tab w:val="right" w:leader="dot" w:pos="9071"/>
        </w:tabs>
        <w:spacing w:before="120"/>
        <w:ind w:left="142" w:right="1417" w:hanging="142"/>
      </w:pPr>
      <w:r w:rsidRPr="00351009">
        <w:t>Going Concern Basis of Accounting</w:t>
      </w:r>
      <w:r w:rsidRPr="00351009">
        <w:tab/>
        <w:t>A2</w:t>
      </w:r>
    </w:p>
    <w:p w14:paraId="370A0C3F" w14:textId="77777777" w:rsidR="00351009" w:rsidRPr="00351009" w:rsidRDefault="00351009" w:rsidP="00351009">
      <w:pPr>
        <w:tabs>
          <w:tab w:val="right" w:leader="dot" w:pos="9071"/>
        </w:tabs>
        <w:spacing w:before="120"/>
        <w:ind w:left="142" w:right="1417" w:hanging="142"/>
      </w:pPr>
      <w:r w:rsidRPr="00351009">
        <w:t>Risk Assessment Procedures and Related Activities</w:t>
      </w:r>
      <w:r w:rsidRPr="00351009">
        <w:tab/>
        <w:t>A3-A7</w:t>
      </w:r>
    </w:p>
    <w:p w14:paraId="1784A0BC" w14:textId="77777777" w:rsidR="00351009" w:rsidRPr="00351009" w:rsidRDefault="00351009" w:rsidP="00351009">
      <w:pPr>
        <w:tabs>
          <w:tab w:val="right" w:leader="dot" w:pos="9071"/>
        </w:tabs>
        <w:spacing w:before="120"/>
        <w:ind w:left="142" w:right="1417" w:hanging="142"/>
      </w:pPr>
      <w:r w:rsidRPr="00351009">
        <w:t>Evaluating Management’s Assessment</w:t>
      </w:r>
      <w:r w:rsidRPr="00351009">
        <w:tab/>
        <w:t>A8-A13</w:t>
      </w:r>
    </w:p>
    <w:p w14:paraId="56170996" w14:textId="77777777" w:rsidR="00351009" w:rsidRPr="00351009" w:rsidRDefault="00351009" w:rsidP="00351009">
      <w:pPr>
        <w:tabs>
          <w:tab w:val="right" w:leader="dot" w:pos="9071"/>
        </w:tabs>
        <w:spacing w:before="120"/>
        <w:ind w:left="142" w:right="1417" w:hanging="142"/>
      </w:pPr>
      <w:r w:rsidRPr="00351009">
        <w:t>Period beyond Management’s Assessment</w:t>
      </w:r>
      <w:r w:rsidRPr="00351009">
        <w:tab/>
        <w:t>A14-Aus A15.1</w:t>
      </w:r>
    </w:p>
    <w:p w14:paraId="4CD7AFA9" w14:textId="77777777" w:rsidR="00351009" w:rsidRPr="00351009" w:rsidRDefault="00351009" w:rsidP="00351009">
      <w:pPr>
        <w:tabs>
          <w:tab w:val="right" w:leader="dot" w:pos="9071"/>
        </w:tabs>
        <w:spacing w:before="120"/>
        <w:ind w:left="142" w:right="1417" w:hanging="142"/>
      </w:pPr>
      <w:r w:rsidRPr="00351009">
        <w:t>Additional Audit Procedures When Events or Conditions are Identified</w:t>
      </w:r>
      <w:r w:rsidRPr="00351009">
        <w:tab/>
        <w:t>A16-A20</w:t>
      </w:r>
    </w:p>
    <w:p w14:paraId="097ABD04" w14:textId="77777777" w:rsidR="00351009" w:rsidRPr="00351009" w:rsidRDefault="00351009" w:rsidP="00351009">
      <w:pPr>
        <w:tabs>
          <w:tab w:val="right" w:leader="dot" w:pos="9071"/>
        </w:tabs>
        <w:spacing w:before="120"/>
        <w:ind w:left="142" w:right="1417" w:hanging="142"/>
      </w:pPr>
      <w:r w:rsidRPr="00351009">
        <w:t>Auditor Conclusions</w:t>
      </w:r>
      <w:r w:rsidRPr="00351009">
        <w:tab/>
        <w:t>A21-A25</w:t>
      </w:r>
    </w:p>
    <w:p w14:paraId="44B1F508" w14:textId="77777777" w:rsidR="00351009" w:rsidRPr="00351009" w:rsidRDefault="00351009" w:rsidP="00351009">
      <w:pPr>
        <w:tabs>
          <w:tab w:val="right" w:leader="dot" w:pos="9071"/>
        </w:tabs>
        <w:spacing w:before="120"/>
        <w:ind w:left="142" w:right="1417" w:hanging="142"/>
      </w:pPr>
      <w:r w:rsidRPr="00351009">
        <w:t>Implications for the Auditor’s Report</w:t>
      </w:r>
      <w:r w:rsidRPr="00351009">
        <w:tab/>
        <w:t>A26-Aus A35.1</w:t>
      </w:r>
    </w:p>
    <w:p w14:paraId="7A11FEAE" w14:textId="77777777" w:rsidR="00351009" w:rsidRPr="00351009" w:rsidRDefault="00351009" w:rsidP="00351009">
      <w:pPr>
        <w:tabs>
          <w:tab w:val="left" w:leader="dot" w:pos="8278"/>
          <w:tab w:val="left" w:pos="9072"/>
        </w:tabs>
        <w:spacing w:before="120"/>
        <w:ind w:left="142" w:right="1134" w:hanging="142"/>
      </w:pPr>
      <w:r w:rsidRPr="00351009">
        <w:t>[</w:t>
      </w:r>
      <w:proofErr w:type="spellStart"/>
      <w:r w:rsidRPr="00351009">
        <w:t>Aus</w:t>
      </w:r>
      <w:proofErr w:type="spellEnd"/>
      <w:r w:rsidRPr="00351009">
        <w:t>] Appendix 1: Linking Going Concern Considerations and Types of Audit Opinions</w:t>
      </w:r>
    </w:p>
    <w:p w14:paraId="1F64640E" w14:textId="77777777" w:rsidR="00351009" w:rsidRPr="00351009" w:rsidRDefault="00351009" w:rsidP="00351009">
      <w:pPr>
        <w:tabs>
          <w:tab w:val="left" w:leader="dot" w:pos="8278"/>
          <w:tab w:val="left" w:pos="9072"/>
        </w:tabs>
        <w:spacing w:before="120"/>
        <w:ind w:left="142" w:right="1134" w:hanging="142"/>
      </w:pPr>
      <w:r w:rsidRPr="00351009">
        <w:t>Appendix 2: Illustrations of Auditor’s Reports Relating to Going Concern</w:t>
      </w:r>
    </w:p>
    <w:p w14:paraId="59432372" w14:textId="77777777" w:rsidR="00DD6627" w:rsidRDefault="00DD6627">
      <w:pPr>
        <w:pStyle w:val="ContentsItem"/>
      </w:pPr>
    </w:p>
    <w:p w14:paraId="7FB3AA98" w14:textId="77777777" w:rsidR="00237187" w:rsidRDefault="004D4D03" w:rsidP="00237187">
      <w:pPr>
        <w:pStyle w:val="ParaPlain"/>
      </w:pPr>
      <w:r>
        <w:br w:type="page"/>
      </w:r>
    </w:p>
    <w:p w14:paraId="2AA495C9" w14:textId="77777777" w:rsidR="00534AE8" w:rsidRDefault="00534AE8" w:rsidP="00534AE8">
      <w:pPr>
        <w:pStyle w:val="Heading1"/>
      </w:pPr>
      <w:r>
        <w:lastRenderedPageBreak/>
        <w:t>COMPILATION DETAILS</w:t>
      </w:r>
    </w:p>
    <w:p w14:paraId="07131092" w14:textId="06ADC617" w:rsidR="00534AE8" w:rsidRDefault="00534AE8" w:rsidP="00534AE8">
      <w:pPr>
        <w:pStyle w:val="Heading3"/>
      </w:pPr>
      <w:r w:rsidRPr="00103CAE">
        <w:rPr>
          <w:i w:val="0"/>
        </w:rPr>
        <w:fldChar w:fldCharType="begin" w:fldLock="1"/>
      </w:r>
      <w:r w:rsidRPr="00103CAE">
        <w:rPr>
          <w:i w:val="0"/>
        </w:rPr>
        <w:instrText xml:space="preserve"> REF DocTypeLong \* charformat  \* MERGEFORMAT </w:instrText>
      </w:r>
      <w:r w:rsidRPr="00103CAE">
        <w:rPr>
          <w:i w:val="0"/>
        </w:rPr>
        <w:fldChar w:fldCharType="separate"/>
      </w:r>
      <w:r w:rsidR="00E45644" w:rsidRPr="00103CAE">
        <w:rPr>
          <w:i w:val="0"/>
        </w:rPr>
        <w:t>Auditing Standard</w:t>
      </w:r>
      <w:r w:rsidRPr="00103CAE">
        <w:rPr>
          <w:i w:val="0"/>
        </w:rPr>
        <w:fldChar w:fldCharType="end"/>
      </w:r>
      <w:r w:rsidRPr="00103CAE">
        <w:rPr>
          <w:i w:val="0"/>
        </w:rPr>
        <w:t xml:space="preserve"> </w:t>
      </w:r>
      <w:r w:rsidRPr="00103CAE">
        <w:rPr>
          <w:i w:val="0"/>
        </w:rPr>
        <w:fldChar w:fldCharType="begin" w:fldLock="1"/>
      </w:r>
      <w:r w:rsidRPr="00103CAE">
        <w:rPr>
          <w:i w:val="0"/>
        </w:rPr>
        <w:instrText xml:space="preserve"> REF DocType \* charformat  \* MERGEFORMAT </w:instrText>
      </w:r>
      <w:r w:rsidRPr="00103CAE">
        <w:rPr>
          <w:i w:val="0"/>
        </w:rPr>
        <w:fldChar w:fldCharType="separate"/>
      </w:r>
      <w:r w:rsidR="00E45644" w:rsidRPr="00103CAE">
        <w:rPr>
          <w:i w:val="0"/>
        </w:rPr>
        <w:t>ASA</w:t>
      </w:r>
      <w:r w:rsidRPr="00103CAE">
        <w:rPr>
          <w:i w:val="0"/>
        </w:rPr>
        <w:fldChar w:fldCharType="end"/>
      </w:r>
      <w:r w:rsidRPr="00103CAE">
        <w:rPr>
          <w:i w:val="0"/>
        </w:rPr>
        <w:t xml:space="preserve"> </w:t>
      </w:r>
      <w:r w:rsidR="00103CAE">
        <w:rPr>
          <w:i w:val="0"/>
        </w:rPr>
        <w:t xml:space="preserve">570 </w:t>
      </w:r>
      <w:r w:rsidR="00103CAE">
        <w:rPr>
          <w:iCs w:val="0"/>
        </w:rPr>
        <w:t>Going Concern</w:t>
      </w:r>
      <w:r>
        <w:t xml:space="preserve"> </w:t>
      </w:r>
      <w:r w:rsidR="00FA3DFC">
        <w:rPr>
          <w:i w:val="0"/>
        </w:rPr>
        <w:t>(</w:t>
      </w:r>
      <w:r w:rsidRPr="00D75BF4">
        <w:rPr>
          <w:i w:val="0"/>
        </w:rPr>
        <w:t>as Amended</w:t>
      </w:r>
      <w:r w:rsidR="00FA3DFC">
        <w:rPr>
          <w:i w:val="0"/>
        </w:rPr>
        <w:t>)</w:t>
      </w:r>
    </w:p>
    <w:p w14:paraId="016F6EA2" w14:textId="425816F6" w:rsidR="00534AE8" w:rsidRDefault="00534AE8" w:rsidP="00534AE8">
      <w:pPr>
        <w:pStyle w:val="ParaPlain"/>
      </w:pPr>
      <w:r>
        <w:t xml:space="preserve">This compilation </w:t>
      </w:r>
      <w:proofErr w:type="gramStart"/>
      <w:r>
        <w:t>takes into account</w:t>
      </w:r>
      <w:proofErr w:type="gramEnd"/>
      <w:r>
        <w:t xml:space="preserve"> amendments made up to and including </w:t>
      </w:r>
      <w:r w:rsidR="00994929">
        <w:t xml:space="preserve">5 November </w:t>
      </w:r>
      <w:r w:rsidR="00B6537D">
        <w:t xml:space="preserve">2021 </w:t>
      </w:r>
      <w:r>
        <w:t xml:space="preserve">and was prepared on </w:t>
      </w:r>
      <w:r w:rsidR="00834E25">
        <w:t>1</w:t>
      </w:r>
      <w:r w:rsidR="00994929">
        <w:t>0</w:t>
      </w:r>
      <w:r w:rsidR="00834E25">
        <w:t xml:space="preserve"> </w:t>
      </w:r>
      <w:r w:rsidR="00B6537D">
        <w:t>November</w:t>
      </w:r>
      <w:r w:rsidR="00834E25">
        <w:t xml:space="preserve"> 2021</w:t>
      </w:r>
      <w:r>
        <w:t xml:space="preserve"> by the Auditing and Assurance Standards Board (AUASB).</w:t>
      </w:r>
    </w:p>
    <w:p w14:paraId="2AF3FC2B" w14:textId="33B7848C" w:rsidR="00534AE8" w:rsidRDefault="00534AE8" w:rsidP="00534AE8">
      <w:pPr>
        <w:pStyle w:val="ParaPlain"/>
      </w:pPr>
      <w:r>
        <w:t xml:space="preserve">This compilation is not a separate </w:t>
      </w:r>
      <w:r w:rsidR="00912E22">
        <w:fldChar w:fldCharType="begin" w:fldLock="1"/>
      </w:r>
      <w:r w:rsidR="00912E22">
        <w:instrText xml:space="preserve"> REF DocTypeLong \* charformat </w:instrText>
      </w:r>
      <w:r w:rsidR="00912E22">
        <w:fldChar w:fldCharType="separate"/>
      </w:r>
      <w:r w:rsidR="00E45644" w:rsidRPr="00E45644">
        <w:t>Auditing Standard</w:t>
      </w:r>
      <w:r w:rsidR="00912E22">
        <w:fldChar w:fldCharType="end"/>
      </w:r>
      <w:r>
        <w:t xml:space="preserve"> made by the AUASB.  Instead, it is a representation of </w:t>
      </w:r>
      <w:r w:rsidR="00912E22">
        <w:fldChar w:fldCharType="begin" w:fldLock="1"/>
      </w:r>
      <w:r w:rsidR="00912E22">
        <w:instrText xml:space="preserve"> REF DocType \* charformat  \* MERGEFORMAT </w:instrText>
      </w:r>
      <w:r w:rsidR="00912E22">
        <w:fldChar w:fldCharType="separate"/>
      </w:r>
      <w:r w:rsidR="00E45644" w:rsidRPr="00F63447">
        <w:t>ASA</w:t>
      </w:r>
      <w:r w:rsidR="00912E22">
        <w:fldChar w:fldCharType="end"/>
      </w:r>
      <w:r w:rsidR="006D2111" w:rsidRPr="00F63447">
        <w:t> </w:t>
      </w:r>
      <w:r w:rsidR="00912E22">
        <w:fldChar w:fldCharType="begin" w:fldLock="1"/>
      </w:r>
      <w:r w:rsidR="00912E22">
        <w:instrText xml:space="preserve"> REF DocNo \* charformat  \* MERGEFORMAT </w:instrText>
      </w:r>
      <w:r w:rsidR="00912E22">
        <w:fldChar w:fldCharType="separate"/>
      </w:r>
      <w:r w:rsidR="00F63447" w:rsidRPr="00F63447">
        <w:t>57</w:t>
      </w:r>
      <w:r w:rsidR="00E45644" w:rsidRPr="00F63447">
        <w:t>0</w:t>
      </w:r>
      <w:r w:rsidR="00912E22">
        <w:fldChar w:fldCharType="end"/>
      </w:r>
      <w:r w:rsidRPr="00F63447">
        <w:t xml:space="preserve"> (</w:t>
      </w:r>
      <w:r w:rsidR="005C026F">
        <w:t>December 2015</w:t>
      </w:r>
      <w:r w:rsidRPr="00F63447">
        <w:t>)</w:t>
      </w:r>
      <w:r>
        <w:t xml:space="preserve"> as amended by</w:t>
      </w:r>
      <w:r w:rsidR="00FA3DFC">
        <w:t xml:space="preserve"> </w:t>
      </w:r>
      <w:r w:rsidR="00912E22">
        <w:fldChar w:fldCharType="begin" w:fldLock="1"/>
      </w:r>
      <w:r w:rsidR="00912E22">
        <w:instrText xml:space="preserve"> REF AmendMult \* cha</w:instrText>
      </w:r>
      <w:r w:rsidR="00912E22">
        <w:instrText xml:space="preserve">rformat </w:instrText>
      </w:r>
      <w:r w:rsidR="00912E22">
        <w:fldChar w:fldCharType="separate"/>
      </w:r>
      <w:r w:rsidR="00E45644">
        <w:t>other Auditing Standard</w:t>
      </w:r>
      <w:r w:rsidR="00912E22">
        <w:fldChar w:fldCharType="end"/>
      </w:r>
      <w:r w:rsidR="00834E25">
        <w:t>s</w:t>
      </w:r>
      <w:r>
        <w:t xml:space="preserve"> which </w:t>
      </w:r>
      <w:r w:rsidR="00834E25">
        <w:t xml:space="preserve">are </w:t>
      </w:r>
      <w:r>
        <w:t>listed in the Table below.</w:t>
      </w:r>
    </w:p>
    <w:p w14:paraId="6D1DC3C1" w14:textId="77777777" w:rsidR="00534AE8" w:rsidRDefault="00534AE8" w:rsidP="00FA3DFC">
      <w:pPr>
        <w:pStyle w:val="Heading5"/>
      </w:pPr>
      <w:r>
        <w:t>Table of Standards</w:t>
      </w:r>
    </w:p>
    <w:tbl>
      <w:tblPr>
        <w:tblStyle w:val="TableGrid"/>
        <w:tblW w:w="9066" w:type="dxa"/>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534AE8" w:rsidRPr="00D75BF4" w14:paraId="019023F4" w14:textId="77777777" w:rsidTr="004D150F">
        <w:trPr>
          <w:cantSplit/>
          <w:tblHeader/>
        </w:trPr>
        <w:tc>
          <w:tcPr>
            <w:tcW w:w="3022" w:type="dxa"/>
            <w:shd w:val="clear" w:color="auto" w:fill="D9D9D9" w:themeFill="background1" w:themeFillShade="D9"/>
          </w:tcPr>
          <w:p w14:paraId="29EBA90E" w14:textId="77777777" w:rsidR="00534AE8" w:rsidRPr="00D75BF4" w:rsidRDefault="00534AE8" w:rsidP="00A667A4">
            <w:pPr>
              <w:pStyle w:val="TableHeading"/>
            </w:pPr>
            <w:r>
              <w:t>Standard</w:t>
            </w:r>
          </w:p>
        </w:tc>
        <w:tc>
          <w:tcPr>
            <w:tcW w:w="3022" w:type="dxa"/>
            <w:shd w:val="clear" w:color="auto" w:fill="D9D9D9" w:themeFill="background1" w:themeFillShade="D9"/>
          </w:tcPr>
          <w:p w14:paraId="50C1498A" w14:textId="77777777" w:rsidR="00534AE8" w:rsidRPr="00D75BF4" w:rsidRDefault="00534AE8" w:rsidP="00A667A4">
            <w:pPr>
              <w:pStyle w:val="TableHeading"/>
            </w:pPr>
            <w:r>
              <w:t>Date made</w:t>
            </w:r>
          </w:p>
        </w:tc>
        <w:tc>
          <w:tcPr>
            <w:tcW w:w="3022" w:type="dxa"/>
            <w:shd w:val="clear" w:color="auto" w:fill="D9D9D9" w:themeFill="background1" w:themeFillShade="D9"/>
          </w:tcPr>
          <w:p w14:paraId="222F099A" w14:textId="77777777" w:rsidR="00534AE8" w:rsidRPr="00D75BF4" w:rsidRDefault="00534AE8" w:rsidP="00A667A4">
            <w:pPr>
              <w:pStyle w:val="TableHeading"/>
            </w:pPr>
            <w:r>
              <w:t>Operative Date</w:t>
            </w:r>
          </w:p>
        </w:tc>
      </w:tr>
      <w:tr w:rsidR="00FA3DFC" w14:paraId="626F4CE2" w14:textId="77777777" w:rsidTr="004D150F">
        <w:trPr>
          <w:cantSplit/>
        </w:trPr>
        <w:tc>
          <w:tcPr>
            <w:tcW w:w="3022" w:type="dxa"/>
          </w:tcPr>
          <w:p w14:paraId="11BFF44D" w14:textId="61430237" w:rsidR="00FA3DFC" w:rsidRPr="005319FC" w:rsidRDefault="002A61AE" w:rsidP="00A667A4">
            <w:pPr>
              <w:pStyle w:val="TableRow"/>
            </w:pPr>
            <w:r w:rsidRPr="005319FC">
              <w:fldChar w:fldCharType="begin" w:fldLock="1"/>
            </w:r>
            <w:r w:rsidRPr="005319FC">
              <w:instrText xml:space="preserve"> REF DocType \* charformat </w:instrText>
            </w:r>
            <w:r w:rsidR="00A667A4" w:rsidRPr="005319FC">
              <w:instrText xml:space="preserve"> \* MERGEFORMAT </w:instrText>
            </w:r>
            <w:r w:rsidRPr="005319FC">
              <w:fldChar w:fldCharType="separate"/>
            </w:r>
            <w:r w:rsidR="00E45644" w:rsidRPr="005319FC">
              <w:t>ASA</w:t>
            </w:r>
            <w:r w:rsidRPr="005319FC">
              <w:fldChar w:fldCharType="end"/>
            </w:r>
            <w:r w:rsidR="00FA3DFC" w:rsidRPr="005319FC">
              <w:t xml:space="preserve"> </w:t>
            </w:r>
            <w:r w:rsidR="00FA3DFC" w:rsidRPr="005319FC">
              <w:fldChar w:fldCharType="begin" w:fldLock="1"/>
            </w:r>
            <w:r w:rsidR="00FA3DFC" w:rsidRPr="005319FC">
              <w:instrText xml:space="preserve"> REF DocNo \* charformat </w:instrText>
            </w:r>
            <w:r w:rsidR="00A667A4" w:rsidRPr="005319FC">
              <w:instrText xml:space="preserve"> \* MERGEFORMAT </w:instrText>
            </w:r>
            <w:r w:rsidR="00FA3DFC" w:rsidRPr="005319FC">
              <w:fldChar w:fldCharType="separate"/>
            </w:r>
            <w:r w:rsidR="005319FC" w:rsidRPr="005319FC">
              <w:t>57</w:t>
            </w:r>
            <w:r w:rsidR="00E45644" w:rsidRPr="005319FC">
              <w:t>0</w:t>
            </w:r>
            <w:r w:rsidR="00FA3DFC" w:rsidRPr="005319FC">
              <w:fldChar w:fldCharType="end"/>
            </w:r>
            <w:r w:rsidR="00FA3DFC" w:rsidRPr="005319FC">
              <w:tab/>
              <w:t>[A]</w:t>
            </w:r>
          </w:p>
        </w:tc>
        <w:tc>
          <w:tcPr>
            <w:tcW w:w="3022" w:type="dxa"/>
          </w:tcPr>
          <w:p w14:paraId="0C0BEB58" w14:textId="3C5722B6" w:rsidR="00FA3DFC" w:rsidRDefault="005C026F" w:rsidP="00A667A4">
            <w:pPr>
              <w:pStyle w:val="TableRow"/>
            </w:pPr>
            <w:r>
              <w:t>1 December 2015</w:t>
            </w:r>
            <w:r w:rsidR="005319FC">
              <w:t xml:space="preserve"> </w:t>
            </w:r>
          </w:p>
        </w:tc>
        <w:tc>
          <w:tcPr>
            <w:tcW w:w="3022" w:type="dxa"/>
          </w:tcPr>
          <w:p w14:paraId="405044E1" w14:textId="269E45F0" w:rsidR="00FA3DFC" w:rsidRDefault="00267FDD" w:rsidP="001C020C">
            <w:pPr>
              <w:pStyle w:val="TableRow"/>
            </w:pPr>
            <w:bookmarkStart w:id="9" w:name="BaseOpDateText"/>
            <w:r>
              <w:t>F</w:t>
            </w:r>
            <w:r w:rsidR="00CA4546">
              <w:t xml:space="preserve">inancial reporting periods </w:t>
            </w:r>
            <w:r w:rsidR="005C026F">
              <w:t>ending</w:t>
            </w:r>
            <w:r w:rsidR="00CA4546">
              <w:t xml:space="preserve"> on or after</w:t>
            </w:r>
            <w:bookmarkEnd w:id="9"/>
            <w:r w:rsidR="00ED5942">
              <w:t xml:space="preserve"> </w:t>
            </w:r>
            <w:bookmarkStart w:id="10" w:name="BaseOpDate"/>
            <w:r w:rsidR="00CA4546">
              <w:t>1</w:t>
            </w:r>
            <w:r w:rsidR="005319FC">
              <w:t>5</w:t>
            </w:r>
            <w:r w:rsidR="00CA4546">
              <w:t> </w:t>
            </w:r>
            <w:r w:rsidR="005319FC">
              <w:t>December</w:t>
            </w:r>
            <w:r w:rsidR="00CA4546">
              <w:t> 201</w:t>
            </w:r>
            <w:bookmarkEnd w:id="10"/>
            <w:r w:rsidR="005319FC">
              <w:t>6</w:t>
            </w:r>
          </w:p>
        </w:tc>
      </w:tr>
      <w:tr w:rsidR="00CA4546" w14:paraId="6692D71A" w14:textId="77777777" w:rsidTr="004D150F">
        <w:trPr>
          <w:cantSplit/>
        </w:trPr>
        <w:tc>
          <w:tcPr>
            <w:tcW w:w="3022" w:type="dxa"/>
          </w:tcPr>
          <w:p w14:paraId="62E553DD" w14:textId="14062816" w:rsidR="00CA4546" w:rsidRDefault="00CA4546" w:rsidP="00A667A4">
            <w:pPr>
              <w:pStyle w:val="TableRow"/>
            </w:pPr>
            <w:r>
              <w:t>ASA </w:t>
            </w:r>
            <w:r w:rsidR="004D150F">
              <w:t>2020-2</w:t>
            </w:r>
            <w:r>
              <w:tab/>
              <w:t>[B]</w:t>
            </w:r>
          </w:p>
        </w:tc>
        <w:tc>
          <w:tcPr>
            <w:tcW w:w="3022" w:type="dxa"/>
          </w:tcPr>
          <w:p w14:paraId="12CF365B" w14:textId="485B9B10" w:rsidR="00CA4546" w:rsidRDefault="004D150F" w:rsidP="00A667A4">
            <w:pPr>
              <w:pStyle w:val="TableRow"/>
            </w:pPr>
            <w:r>
              <w:t>30 June 2020</w:t>
            </w:r>
          </w:p>
        </w:tc>
        <w:tc>
          <w:tcPr>
            <w:tcW w:w="3022" w:type="dxa"/>
          </w:tcPr>
          <w:p w14:paraId="3264F835" w14:textId="0FB330A7" w:rsidR="00CA4546" w:rsidRDefault="00267FDD" w:rsidP="001C020C">
            <w:pPr>
              <w:pStyle w:val="TableRow"/>
            </w:pPr>
            <w:r>
              <w:t>F</w:t>
            </w:r>
            <w:r w:rsidR="00CA4546">
              <w:t xml:space="preserve">inancial reporting periods </w:t>
            </w:r>
            <w:r w:rsidR="004D150F">
              <w:t>ending on or after 15</w:t>
            </w:r>
            <w:r w:rsidR="0055257C">
              <w:t> </w:t>
            </w:r>
            <w:r w:rsidR="004D150F">
              <w:t>July</w:t>
            </w:r>
            <w:r w:rsidR="0055257C">
              <w:t> </w:t>
            </w:r>
            <w:r w:rsidR="004D150F">
              <w:t>2020</w:t>
            </w:r>
          </w:p>
        </w:tc>
      </w:tr>
      <w:tr w:rsidR="00834E25" w14:paraId="60B92D7B" w14:textId="77777777" w:rsidTr="004D150F">
        <w:trPr>
          <w:cantSplit/>
        </w:trPr>
        <w:tc>
          <w:tcPr>
            <w:tcW w:w="3022" w:type="dxa"/>
          </w:tcPr>
          <w:p w14:paraId="15CBD6AD" w14:textId="52485641" w:rsidR="00834E25" w:rsidRDefault="00834E25" w:rsidP="00A667A4">
            <w:pPr>
              <w:pStyle w:val="TableRow"/>
            </w:pPr>
            <w:r>
              <w:t>ASA 2020-1</w:t>
            </w:r>
            <w:r>
              <w:tab/>
              <w:t>[C]</w:t>
            </w:r>
          </w:p>
        </w:tc>
        <w:tc>
          <w:tcPr>
            <w:tcW w:w="3022" w:type="dxa"/>
          </w:tcPr>
          <w:p w14:paraId="47F7679D" w14:textId="2365F4E5" w:rsidR="00834E25" w:rsidRDefault="00520044" w:rsidP="00A667A4">
            <w:pPr>
              <w:pStyle w:val="TableRow"/>
            </w:pPr>
            <w:r>
              <w:t>3 March 2020</w:t>
            </w:r>
          </w:p>
        </w:tc>
        <w:tc>
          <w:tcPr>
            <w:tcW w:w="3022" w:type="dxa"/>
          </w:tcPr>
          <w:p w14:paraId="794ED7C9" w14:textId="2394EABF" w:rsidR="00834E25" w:rsidRDefault="00F27B5D" w:rsidP="001C020C">
            <w:pPr>
              <w:pStyle w:val="TableRow"/>
            </w:pPr>
            <w:r>
              <w:t>Financial reporting periods commencing on or after 15</w:t>
            </w:r>
            <w:r w:rsidR="000604F5">
              <w:t> </w:t>
            </w:r>
            <w:r>
              <w:t>December 2021</w:t>
            </w:r>
            <w:r w:rsidR="00E74E62">
              <w:rPr>
                <w:rStyle w:val="FootnoteReference"/>
              </w:rPr>
              <w:footnoteReference w:customMarkFollows="1" w:id="2"/>
              <w:t>*</w:t>
            </w:r>
          </w:p>
        </w:tc>
      </w:tr>
      <w:tr w:rsidR="009565E8" w14:paraId="7D696BB4" w14:textId="77777777" w:rsidTr="004D150F">
        <w:trPr>
          <w:cantSplit/>
        </w:trPr>
        <w:tc>
          <w:tcPr>
            <w:tcW w:w="3022" w:type="dxa"/>
          </w:tcPr>
          <w:p w14:paraId="640481EF" w14:textId="1E85697E" w:rsidR="009565E8" w:rsidRDefault="009565E8" w:rsidP="00A667A4">
            <w:pPr>
              <w:pStyle w:val="TableRow"/>
            </w:pPr>
            <w:r>
              <w:t>ASA 2021-5</w:t>
            </w:r>
            <w:r>
              <w:tab/>
              <w:t>[D]</w:t>
            </w:r>
          </w:p>
        </w:tc>
        <w:tc>
          <w:tcPr>
            <w:tcW w:w="3022" w:type="dxa"/>
          </w:tcPr>
          <w:p w14:paraId="1BF9A018" w14:textId="1ACE75AF" w:rsidR="009565E8" w:rsidRDefault="005A7612" w:rsidP="00A667A4">
            <w:pPr>
              <w:pStyle w:val="TableRow"/>
            </w:pPr>
            <w:r>
              <w:t>5 November 2021</w:t>
            </w:r>
          </w:p>
        </w:tc>
        <w:tc>
          <w:tcPr>
            <w:tcW w:w="3022" w:type="dxa"/>
          </w:tcPr>
          <w:p w14:paraId="527F6C45" w14:textId="2E4132DA" w:rsidR="009565E8" w:rsidRDefault="009565E8" w:rsidP="001C020C">
            <w:pPr>
              <w:pStyle w:val="TableRow"/>
            </w:pPr>
            <w:r>
              <w:t>Financial reporting periods commencing on or after 15 December 2021</w:t>
            </w:r>
          </w:p>
        </w:tc>
      </w:tr>
    </w:tbl>
    <w:p w14:paraId="244B43AB" w14:textId="77777777" w:rsidR="00FA3DFC" w:rsidRDefault="00FA3DFC" w:rsidP="00FA3DFC"/>
    <w:p w14:paraId="766FC68B" w14:textId="653F299B" w:rsidR="00FA3DFC" w:rsidRDefault="00FA3DFC" w:rsidP="00FA3DFC">
      <w:pPr>
        <w:pStyle w:val="ParaPlain"/>
        <w:ind w:left="709" w:hanging="709"/>
      </w:pPr>
      <w:r>
        <w:t>[A]</w:t>
      </w:r>
      <w:r>
        <w:tab/>
        <w:t>Federal Register of Legislati</w:t>
      </w:r>
      <w:r w:rsidR="00386C56">
        <w:t>on</w:t>
      </w:r>
      <w:r>
        <w:t xml:space="preserve"> – registration number</w:t>
      </w:r>
      <w:r w:rsidR="00C06A9F">
        <w:t xml:space="preserve"> </w:t>
      </w:r>
      <w:r w:rsidR="005C026F" w:rsidRPr="005C026F">
        <w:t>F2015L02015</w:t>
      </w:r>
      <w:r>
        <w:t xml:space="preserve">, </w:t>
      </w:r>
      <w:bookmarkStart w:id="11" w:name="FRLIDateA"/>
      <w:r w:rsidR="00CA4546">
        <w:t>1</w:t>
      </w:r>
      <w:r w:rsidR="005C026F">
        <w:t>5</w:t>
      </w:r>
      <w:r w:rsidR="00CA4546">
        <w:t> </w:t>
      </w:r>
      <w:bookmarkEnd w:id="11"/>
      <w:r w:rsidR="005C026F">
        <w:t>December 2015</w:t>
      </w:r>
    </w:p>
    <w:p w14:paraId="3920B104" w14:textId="33B89C88" w:rsidR="00FA3DFC" w:rsidRDefault="00FA3DFC" w:rsidP="00FA3DFC">
      <w:pPr>
        <w:pStyle w:val="ParaPlain"/>
        <w:ind w:left="709" w:hanging="709"/>
      </w:pPr>
      <w:r>
        <w:t>[B]</w:t>
      </w:r>
      <w:r>
        <w:tab/>
      </w:r>
      <w:r w:rsidR="00C813E8" w:rsidRPr="00C813E8">
        <w:t>Federal Register of Legislation – registration number F2020L00885, 7 July 2020</w:t>
      </w:r>
    </w:p>
    <w:p w14:paraId="4C59E154" w14:textId="12682666" w:rsidR="00F27B5D" w:rsidRDefault="00F27B5D" w:rsidP="00FA3DFC">
      <w:pPr>
        <w:pStyle w:val="ParaPlain"/>
        <w:ind w:left="709" w:hanging="709"/>
      </w:pPr>
      <w:r>
        <w:t>[C]</w:t>
      </w:r>
      <w:r>
        <w:tab/>
      </w:r>
      <w:r w:rsidRPr="00C813E8">
        <w:t>Federal Register of Legislation – registration number F</w:t>
      </w:r>
      <w:r w:rsidR="00DD6A99" w:rsidRPr="00DD6A99">
        <w:t>2020L00252</w:t>
      </w:r>
      <w:r w:rsidRPr="00C813E8">
        <w:t xml:space="preserve">, </w:t>
      </w:r>
      <w:r w:rsidR="00DD6A99">
        <w:t>13 March 2020</w:t>
      </w:r>
    </w:p>
    <w:p w14:paraId="14A9507D" w14:textId="34C82FF2" w:rsidR="005C026F" w:rsidRDefault="009565E8" w:rsidP="00FA3DFC">
      <w:pPr>
        <w:pStyle w:val="ParaPlain"/>
        <w:ind w:left="709" w:hanging="709"/>
      </w:pPr>
      <w:r>
        <w:t>[D]</w:t>
      </w:r>
      <w:r>
        <w:tab/>
      </w:r>
      <w:r w:rsidRPr="00C813E8">
        <w:t>Federal Register of Legislation – registration number F</w:t>
      </w:r>
      <w:r w:rsidRPr="00DD6A99">
        <w:t>202</w:t>
      </w:r>
      <w:r>
        <w:t>1</w:t>
      </w:r>
      <w:r w:rsidRPr="00DD6A99">
        <w:t>L</w:t>
      </w:r>
      <w:r w:rsidR="005A7612" w:rsidRPr="005A7612">
        <w:t>01525</w:t>
      </w:r>
      <w:r w:rsidRPr="00C813E8">
        <w:t xml:space="preserve">, </w:t>
      </w:r>
      <w:r w:rsidR="005A7612" w:rsidRPr="00F34A6B">
        <w:t xml:space="preserve">8 November </w:t>
      </w:r>
      <w:r w:rsidRPr="005A7612">
        <w:t>2021</w:t>
      </w:r>
    </w:p>
    <w:p w14:paraId="68C20412" w14:textId="77777777" w:rsidR="00FA3DFC" w:rsidRDefault="00FA3DFC" w:rsidP="00267FDD">
      <w:pPr>
        <w:pStyle w:val="Heading5"/>
        <w:spacing w:after="120"/>
      </w:pPr>
      <w:r>
        <w:t>Table of Amendments</w:t>
      </w:r>
    </w:p>
    <w:tbl>
      <w:tblPr>
        <w:tblStyle w:val="TableGrid"/>
        <w:tblW w:w="9066" w:type="dxa"/>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FA3DFC" w:rsidRPr="00D75BF4" w14:paraId="6EC86E4E" w14:textId="77777777" w:rsidTr="00C813E8">
        <w:trPr>
          <w:cantSplit/>
          <w:tblHeader/>
        </w:trPr>
        <w:tc>
          <w:tcPr>
            <w:tcW w:w="3022" w:type="dxa"/>
            <w:shd w:val="clear" w:color="auto" w:fill="D9D9D9" w:themeFill="background1" w:themeFillShade="D9"/>
          </w:tcPr>
          <w:p w14:paraId="76230997" w14:textId="77777777" w:rsidR="00FA3DFC" w:rsidRPr="00D75BF4" w:rsidRDefault="00FA3DFC" w:rsidP="00A667A4">
            <w:pPr>
              <w:pStyle w:val="TableHeading"/>
            </w:pPr>
            <w:r>
              <w:t>Paragraph affected</w:t>
            </w:r>
          </w:p>
        </w:tc>
        <w:tc>
          <w:tcPr>
            <w:tcW w:w="3022" w:type="dxa"/>
            <w:shd w:val="clear" w:color="auto" w:fill="D9D9D9" w:themeFill="background1" w:themeFillShade="D9"/>
          </w:tcPr>
          <w:p w14:paraId="3933EB01" w14:textId="77777777" w:rsidR="00FA3DFC" w:rsidRPr="00D75BF4" w:rsidRDefault="00FA3DFC" w:rsidP="00A667A4">
            <w:pPr>
              <w:pStyle w:val="TableHeading"/>
            </w:pPr>
            <w:r>
              <w:t>How affected</w:t>
            </w:r>
          </w:p>
        </w:tc>
        <w:tc>
          <w:tcPr>
            <w:tcW w:w="3022" w:type="dxa"/>
            <w:shd w:val="clear" w:color="auto" w:fill="D9D9D9" w:themeFill="background1" w:themeFillShade="D9"/>
          </w:tcPr>
          <w:p w14:paraId="17CB56AA" w14:textId="77777777" w:rsidR="00FA3DFC" w:rsidRPr="00D75BF4" w:rsidRDefault="00FA3DFC" w:rsidP="00A667A4">
            <w:pPr>
              <w:pStyle w:val="TableHeading"/>
            </w:pPr>
            <w:r>
              <w:t>By … [paragraph]</w:t>
            </w:r>
          </w:p>
        </w:tc>
      </w:tr>
      <w:tr w:rsidR="00C47C7F" w14:paraId="58A1E6B3" w14:textId="77777777" w:rsidTr="00C813E8">
        <w:trPr>
          <w:cantSplit/>
        </w:trPr>
        <w:tc>
          <w:tcPr>
            <w:tcW w:w="3022" w:type="dxa"/>
          </w:tcPr>
          <w:p w14:paraId="1A3C892B" w14:textId="440F8ADB" w:rsidR="00C47C7F" w:rsidRDefault="00C47C7F" w:rsidP="00267FDD">
            <w:pPr>
              <w:pStyle w:val="TableRow"/>
            </w:pPr>
            <w:r>
              <w:t>A</w:t>
            </w:r>
            <w:r w:rsidR="005C026F">
              <w:t>ppendix 2</w:t>
            </w:r>
          </w:p>
        </w:tc>
        <w:tc>
          <w:tcPr>
            <w:tcW w:w="3022" w:type="dxa"/>
          </w:tcPr>
          <w:p w14:paraId="1F670094" w14:textId="77777777" w:rsidR="00C47C7F" w:rsidRDefault="00C47C7F" w:rsidP="00267FDD">
            <w:pPr>
              <w:pStyle w:val="TableRow"/>
            </w:pPr>
            <w:r>
              <w:t>Amended</w:t>
            </w:r>
          </w:p>
        </w:tc>
        <w:tc>
          <w:tcPr>
            <w:tcW w:w="3022" w:type="dxa"/>
          </w:tcPr>
          <w:p w14:paraId="4D8DEBF5" w14:textId="2B0E7D2C" w:rsidR="00C47C7F" w:rsidRDefault="00223FCA" w:rsidP="00267FDD">
            <w:pPr>
              <w:pStyle w:val="TableRow"/>
            </w:pPr>
            <w:r>
              <w:t>ASA 2</w:t>
            </w:r>
            <w:r w:rsidR="00C47C7F">
              <w:t>0</w:t>
            </w:r>
            <w:r w:rsidR="005C026F">
              <w:t>20-2</w:t>
            </w:r>
            <w:r w:rsidR="00C47C7F">
              <w:t xml:space="preserve"> [</w:t>
            </w:r>
            <w:r w:rsidR="005C026F">
              <w:t>41</w:t>
            </w:r>
            <w:r w:rsidR="00C47C7F">
              <w:t>]</w:t>
            </w:r>
            <w:r w:rsidR="005C026F">
              <w:t xml:space="preserve"> to [44]</w:t>
            </w:r>
          </w:p>
        </w:tc>
      </w:tr>
      <w:tr w:rsidR="00DD6A99" w14:paraId="17C40144" w14:textId="77777777" w:rsidTr="00C813E8">
        <w:trPr>
          <w:cantSplit/>
        </w:trPr>
        <w:tc>
          <w:tcPr>
            <w:tcW w:w="3022" w:type="dxa"/>
          </w:tcPr>
          <w:p w14:paraId="1369518D" w14:textId="7092C3B2" w:rsidR="00DD6A99" w:rsidRDefault="00FD388B" w:rsidP="00267FDD">
            <w:pPr>
              <w:pStyle w:val="TableRow"/>
            </w:pPr>
            <w:r>
              <w:t>10</w:t>
            </w:r>
            <w:r w:rsidR="00780E09">
              <w:br/>
              <w:t xml:space="preserve">Footnote </w:t>
            </w:r>
            <w:r>
              <w:t>3</w:t>
            </w:r>
          </w:p>
        </w:tc>
        <w:tc>
          <w:tcPr>
            <w:tcW w:w="3022" w:type="dxa"/>
          </w:tcPr>
          <w:p w14:paraId="4A6A448C" w14:textId="31FEB2A1" w:rsidR="00DD6A99" w:rsidRDefault="00FD388B" w:rsidP="00267FDD">
            <w:pPr>
              <w:pStyle w:val="TableRow"/>
            </w:pPr>
            <w:r>
              <w:t>Amended</w:t>
            </w:r>
          </w:p>
        </w:tc>
        <w:tc>
          <w:tcPr>
            <w:tcW w:w="3022" w:type="dxa"/>
          </w:tcPr>
          <w:p w14:paraId="69D47CC8" w14:textId="4FBFD71C" w:rsidR="00DD6A99" w:rsidRDefault="00FD388B" w:rsidP="00267FDD">
            <w:pPr>
              <w:pStyle w:val="TableRow"/>
            </w:pPr>
            <w:r>
              <w:t>ASA 2020-1 [190]</w:t>
            </w:r>
          </w:p>
        </w:tc>
      </w:tr>
      <w:tr w:rsidR="009941AE" w14:paraId="7D1DD224" w14:textId="77777777" w:rsidTr="00C813E8">
        <w:trPr>
          <w:cantSplit/>
        </w:trPr>
        <w:tc>
          <w:tcPr>
            <w:tcW w:w="3022" w:type="dxa"/>
          </w:tcPr>
          <w:p w14:paraId="32B9D371" w14:textId="59CB8394" w:rsidR="009941AE" w:rsidRDefault="009941AE" w:rsidP="00267FDD">
            <w:pPr>
              <w:pStyle w:val="TableRow"/>
            </w:pPr>
            <w:r>
              <w:t>A7</w:t>
            </w:r>
            <w:r>
              <w:br/>
              <w:t>Footnote 10</w:t>
            </w:r>
          </w:p>
        </w:tc>
        <w:tc>
          <w:tcPr>
            <w:tcW w:w="3022" w:type="dxa"/>
          </w:tcPr>
          <w:p w14:paraId="1DF175E3" w14:textId="6E858BEB" w:rsidR="009941AE" w:rsidRDefault="009941AE" w:rsidP="00267FDD">
            <w:pPr>
              <w:pStyle w:val="TableRow"/>
            </w:pPr>
            <w:r>
              <w:t>Amended</w:t>
            </w:r>
          </w:p>
        </w:tc>
        <w:tc>
          <w:tcPr>
            <w:tcW w:w="3022" w:type="dxa"/>
          </w:tcPr>
          <w:p w14:paraId="53444527" w14:textId="129FA703" w:rsidR="009941AE" w:rsidRDefault="009941AE" w:rsidP="00267FDD">
            <w:pPr>
              <w:pStyle w:val="TableRow"/>
            </w:pPr>
            <w:r>
              <w:t>ASA 2020-1 [191]</w:t>
            </w:r>
          </w:p>
        </w:tc>
      </w:tr>
      <w:tr w:rsidR="00035DBF" w14:paraId="075183B8" w14:textId="77777777" w:rsidTr="00C813E8">
        <w:trPr>
          <w:cantSplit/>
        </w:trPr>
        <w:tc>
          <w:tcPr>
            <w:tcW w:w="3022" w:type="dxa"/>
          </w:tcPr>
          <w:p w14:paraId="39C52B6D" w14:textId="3608FB1A" w:rsidR="00035DBF" w:rsidRDefault="00035DBF" w:rsidP="00267FDD">
            <w:pPr>
              <w:pStyle w:val="TableRow"/>
            </w:pPr>
            <w:r>
              <w:t xml:space="preserve">Appendix </w:t>
            </w:r>
            <w:r w:rsidR="003C3B16">
              <w:t>2</w:t>
            </w:r>
            <w:r>
              <w:br/>
            </w:r>
            <w:r w:rsidR="003C3B16">
              <w:t>[</w:t>
            </w:r>
            <w:proofErr w:type="spellStart"/>
            <w:r w:rsidR="003C3B16">
              <w:t>Aus</w:t>
            </w:r>
            <w:proofErr w:type="spellEnd"/>
            <w:r w:rsidR="003C3B16">
              <w:t>] Illustration 4A</w:t>
            </w:r>
          </w:p>
        </w:tc>
        <w:tc>
          <w:tcPr>
            <w:tcW w:w="3022" w:type="dxa"/>
          </w:tcPr>
          <w:p w14:paraId="5C1FC598" w14:textId="529490EB" w:rsidR="00035DBF" w:rsidRDefault="003C3B16" w:rsidP="00267FDD">
            <w:pPr>
              <w:pStyle w:val="TableRow"/>
            </w:pPr>
            <w:r>
              <w:t>Amended</w:t>
            </w:r>
          </w:p>
        </w:tc>
        <w:tc>
          <w:tcPr>
            <w:tcW w:w="3022" w:type="dxa"/>
          </w:tcPr>
          <w:p w14:paraId="49EC3F9F" w14:textId="40211D81" w:rsidR="00035DBF" w:rsidRDefault="003C3B16" w:rsidP="00267FDD">
            <w:pPr>
              <w:pStyle w:val="TableRow"/>
            </w:pPr>
            <w:r>
              <w:t>ASA 2021-5 [25]</w:t>
            </w:r>
          </w:p>
        </w:tc>
      </w:tr>
    </w:tbl>
    <w:p w14:paraId="624F8ACA" w14:textId="77777777" w:rsidR="006D2111" w:rsidRDefault="006D2111" w:rsidP="006D2111">
      <w:pPr>
        <w:pStyle w:val="Heading2"/>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AUTHORITY STATEMENT</w:t>
      </w:r>
    </w:p>
    <w:p w14:paraId="2F51F919" w14:textId="55061D3D" w:rsidR="00423728" w:rsidRDefault="00912E22" w:rsidP="00423728">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fldChar w:fldCharType="begin" w:fldLock="1"/>
      </w:r>
      <w:r>
        <w:instrText xml:space="preserve"> REF DocTypeLong \* charformat </w:instrText>
      </w:r>
      <w:r>
        <w:fldChar w:fldCharType="separate"/>
      </w:r>
      <w:r w:rsidR="00423728">
        <w:t>Auditing Standard</w:t>
      </w:r>
      <w:r>
        <w:fldChar w:fldCharType="end"/>
      </w:r>
      <w:r w:rsidR="00423728">
        <w:t xml:space="preserve"> </w:t>
      </w:r>
      <w:r>
        <w:fldChar w:fldCharType="begin" w:fldLock="1"/>
      </w:r>
      <w:r>
        <w:instrText xml:space="preserve"> REF DocType \* charformat </w:instrText>
      </w:r>
      <w:r>
        <w:fldChar w:fldCharType="separate"/>
      </w:r>
      <w:r w:rsidR="00423728">
        <w:t>ASA</w:t>
      </w:r>
      <w:r>
        <w:fldChar w:fldCharType="end"/>
      </w:r>
      <w:r w:rsidR="00423728">
        <w:t> </w:t>
      </w:r>
      <w:r>
        <w:fldChar w:fldCharType="begin" w:fldLock="1"/>
      </w:r>
      <w:r>
        <w:instrText xml:space="preserve"> REF DocNo \* charformat </w:instrText>
      </w:r>
      <w:r>
        <w:fldChar w:fldCharType="separate"/>
      </w:r>
      <w:r w:rsidR="00423728">
        <w:t>570</w:t>
      </w:r>
      <w:r>
        <w:fldChar w:fldCharType="end"/>
      </w:r>
      <w:r w:rsidR="00423728">
        <w:t xml:space="preserve"> </w:t>
      </w:r>
      <w:r w:rsidR="00423728">
        <w:rPr>
          <w:i/>
          <w:iCs/>
        </w:rPr>
        <w:fldChar w:fldCharType="begin" w:fldLock="1"/>
      </w:r>
      <w:r w:rsidR="00423728">
        <w:rPr>
          <w:i/>
          <w:iCs/>
        </w:rPr>
        <w:instrText xml:space="preserve"> REF DocTitle \* charformat </w:instrText>
      </w:r>
      <w:r w:rsidR="00423728">
        <w:rPr>
          <w:i/>
          <w:iCs/>
        </w:rPr>
        <w:fldChar w:fldCharType="separate"/>
      </w:r>
      <w:r w:rsidR="00423728" w:rsidRPr="00615E18">
        <w:rPr>
          <w:i/>
          <w:iCs/>
        </w:rPr>
        <w:t>Going Concern</w:t>
      </w:r>
      <w:r w:rsidR="00423728">
        <w:rPr>
          <w:i/>
          <w:iCs/>
        </w:rPr>
        <w:fldChar w:fldCharType="end"/>
      </w:r>
      <w:r w:rsidR="00423728">
        <w:t xml:space="preserve"> </w:t>
      </w:r>
      <w:r w:rsidR="005C026F" w:rsidRPr="005C026F">
        <w:t xml:space="preserve">(as amended to </w:t>
      </w:r>
      <w:r w:rsidR="005A7612">
        <w:t>5 November 2021</w:t>
      </w:r>
      <w:r w:rsidR="005C026F" w:rsidRPr="005C026F">
        <w:t xml:space="preserve">) is set out in paragraphs </w:t>
      </w:r>
      <w:proofErr w:type="spellStart"/>
      <w:r w:rsidR="005C026F" w:rsidRPr="005C026F">
        <w:t>Aus</w:t>
      </w:r>
      <w:proofErr w:type="spellEnd"/>
      <w:r w:rsidR="005C026F" w:rsidRPr="005C026F">
        <w:t xml:space="preserve"> 0.1 to </w:t>
      </w:r>
      <w:proofErr w:type="spellStart"/>
      <w:r w:rsidR="005C026F" w:rsidRPr="005C026F">
        <w:t>A</w:t>
      </w:r>
      <w:r w:rsidR="005C026F">
        <w:t>us</w:t>
      </w:r>
      <w:proofErr w:type="spellEnd"/>
      <w:r w:rsidR="005C026F">
        <w:t xml:space="preserve"> A35.1</w:t>
      </w:r>
      <w:r w:rsidR="005C026F" w:rsidRPr="005C026F">
        <w:t xml:space="preserve"> and Appendices 1 </w:t>
      </w:r>
      <w:r w:rsidR="005C026F">
        <w:t>and</w:t>
      </w:r>
      <w:r w:rsidR="005C026F" w:rsidRPr="005C026F">
        <w:t xml:space="preserve"> </w:t>
      </w:r>
      <w:r w:rsidR="005C026F">
        <w:t>2</w:t>
      </w:r>
      <w:r w:rsidR="00423728">
        <w:t>.</w:t>
      </w:r>
    </w:p>
    <w:p w14:paraId="76CE0ED1" w14:textId="17C72DFB" w:rsidR="00423728" w:rsidRPr="00782360" w:rsidRDefault="00423728" w:rsidP="00423728">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rPr>
          <w:i/>
        </w:rPr>
      </w:pPr>
      <w:r>
        <w:t xml:space="preserve">This </w:t>
      </w:r>
      <w:r w:rsidR="00912E22">
        <w:fldChar w:fldCharType="begin" w:fldLock="1"/>
      </w:r>
      <w:r w:rsidR="00912E22">
        <w:instrText xml:space="preserve"> REF DocTypeLong \* charformat </w:instrText>
      </w:r>
      <w:r w:rsidR="00912E22">
        <w:fldChar w:fldCharType="separate"/>
      </w:r>
      <w:r>
        <w:t>Auditing Standard</w:t>
      </w:r>
      <w:r w:rsidR="00912E22">
        <w:fldChar w:fldCharType="end"/>
      </w:r>
      <w:r>
        <w:t xml:space="preserve"> is to be read in conjunction with ASA 101 </w:t>
      </w:r>
      <w:r>
        <w:rPr>
          <w:i/>
        </w:rPr>
        <w:t xml:space="preserve">Preamble to </w:t>
      </w:r>
      <w:r w:rsidR="003C3B16">
        <w:rPr>
          <w:i/>
        </w:rPr>
        <w:t>AUASB</w:t>
      </w:r>
      <w:r>
        <w:rPr>
          <w:i/>
        </w:rPr>
        <w:t xml:space="preserve"> Standards</w:t>
      </w:r>
      <w:r>
        <w:t xml:space="preserve">, which sets out </w:t>
      </w:r>
      <w:r w:rsidR="007831BC">
        <w:t xml:space="preserve">how AUASB Standards </w:t>
      </w:r>
      <w:r>
        <w:t xml:space="preserve">are to be understood, </w:t>
      </w:r>
      <w:proofErr w:type="gramStart"/>
      <w:r>
        <w:t>interpreted</w:t>
      </w:r>
      <w:proofErr w:type="gramEnd"/>
      <w:r>
        <w:t xml:space="preserve"> and applied.  This </w:t>
      </w:r>
      <w:r w:rsidR="00912E22">
        <w:fldChar w:fldCharType="begin" w:fldLock="1"/>
      </w:r>
      <w:r w:rsidR="00912E22">
        <w:instrText xml:space="preserve"> REF DocTypeL</w:instrText>
      </w:r>
      <w:r w:rsidR="00912E22">
        <w:instrText xml:space="preserve">ong \* charformat </w:instrText>
      </w:r>
      <w:r w:rsidR="00912E22">
        <w:fldChar w:fldCharType="separate"/>
      </w:r>
      <w:r>
        <w:t>Auditing Standard</w:t>
      </w:r>
      <w:r w:rsidR="00912E22">
        <w:fldChar w:fldCharType="end"/>
      </w:r>
      <w:r>
        <w:t xml:space="preserve"> is to be read also in conjunction with ASA 200 </w:t>
      </w:r>
      <w:r>
        <w:rPr>
          <w:i/>
        </w:rPr>
        <w:t>Overall Objectives of the Independent Auditor and the Conduct of an Audit in Accordance with Australian Auditing Standards.</w:t>
      </w:r>
    </w:p>
    <w:p w14:paraId="6B522587" w14:textId="7AB95D98" w:rsidR="0017077A" w:rsidRDefault="0017077A" w:rsidP="00760CA1">
      <w:pPr>
        <w:pStyle w:val="ParaPlain"/>
        <w:tabs>
          <w:tab w:val="right" w:pos="9072"/>
        </w:tabs>
        <w:spacing w:before="1800"/>
      </w:pPr>
    </w:p>
    <w:p w14:paraId="49768DD3" w14:textId="77777777" w:rsidR="00FA3DFC" w:rsidRDefault="00FA3DFC" w:rsidP="00FA3DFC">
      <w:pPr>
        <w:pStyle w:val="Heading5"/>
        <w:pageBreakBefore/>
      </w:pPr>
      <w:r>
        <w:lastRenderedPageBreak/>
        <w:t xml:space="preserve">Conformity with International Standards on </w:t>
      </w:r>
      <w:bookmarkStart w:id="12" w:name="DocTypeIntlLong"/>
      <w:r w:rsidR="00CA4546">
        <w:t>Auditing</w:t>
      </w:r>
      <w:bookmarkEnd w:id="12"/>
    </w:p>
    <w:p w14:paraId="0D33D1C5" w14:textId="77777777" w:rsidR="00A47E9D" w:rsidRPr="00A47E9D" w:rsidRDefault="00A47E9D" w:rsidP="00A47E9D">
      <w:pPr>
        <w:spacing w:after="200"/>
      </w:pPr>
      <w:bookmarkStart w:id="13" w:name="AutoTextConform"/>
      <w:bookmarkStart w:id="14" w:name="AddReqY"/>
      <w:bookmarkEnd w:id="13"/>
      <w:r w:rsidRPr="00A47E9D">
        <w:t xml:space="preserve">This </w:t>
      </w:r>
      <w:r w:rsidR="00912E22">
        <w:fldChar w:fldCharType="begin" w:fldLock="1"/>
      </w:r>
      <w:r w:rsidR="00912E22">
        <w:instrText xml:space="preserve"> REF DocTypeLong \* charformat </w:instrText>
      </w:r>
      <w:r w:rsidR="00912E22">
        <w:fldChar w:fldCharType="separate"/>
      </w:r>
      <w:r w:rsidRPr="00A47E9D">
        <w:t>Auditing Standard</w:t>
      </w:r>
      <w:r w:rsidR="00912E22">
        <w:fldChar w:fldCharType="end"/>
      </w:r>
      <w:r w:rsidRPr="00A47E9D">
        <w:t xml:space="preserve"> conforms with International Standard on </w:t>
      </w:r>
      <w:r w:rsidR="00912E22">
        <w:fldChar w:fldCharType="begin" w:fldLock="1"/>
      </w:r>
      <w:r w:rsidR="00912E22">
        <w:instrText xml:space="preserve"> REF DocTypeIntlLong \* charformat </w:instrText>
      </w:r>
      <w:r w:rsidR="00912E22">
        <w:fldChar w:fldCharType="separate"/>
      </w:r>
      <w:r w:rsidRPr="00A47E9D">
        <w:t>Auditing</w:t>
      </w:r>
      <w:r w:rsidR="00912E22">
        <w:fldChar w:fldCharType="end"/>
      </w:r>
      <w:r w:rsidRPr="00A47E9D">
        <w:t xml:space="preserve"> </w:t>
      </w:r>
      <w:bookmarkStart w:id="15" w:name="DocTypeIntl"/>
      <w:r w:rsidRPr="00A47E9D">
        <w:t>ISA</w:t>
      </w:r>
      <w:bookmarkEnd w:id="15"/>
      <w:r w:rsidRPr="00A47E9D">
        <w:t> </w:t>
      </w:r>
      <w:bookmarkStart w:id="16" w:name="DocNoIntl"/>
      <w:r w:rsidRPr="00A47E9D">
        <w:t>570</w:t>
      </w:r>
      <w:bookmarkEnd w:id="16"/>
      <w:r w:rsidRPr="00A47E9D">
        <w:t xml:space="preserve"> </w:t>
      </w:r>
      <w:bookmarkStart w:id="17" w:name="DocTitleIntl"/>
      <w:r w:rsidRPr="00A47E9D">
        <w:rPr>
          <w:i/>
        </w:rPr>
        <w:t>Going Concern</w:t>
      </w:r>
      <w:bookmarkEnd w:id="17"/>
      <w:r w:rsidRPr="00A47E9D">
        <w:t xml:space="preserve"> issued by the International Auditing and Assurance Standards Board (IAASB), an independent standard</w:t>
      </w:r>
      <w:r w:rsidRPr="00A47E9D">
        <w:noBreakHyphen/>
        <w:t>setting board of the International Federation of Accountants (IFAC).</w:t>
      </w:r>
    </w:p>
    <w:p w14:paraId="1803363B" w14:textId="77777777" w:rsidR="00A47E9D" w:rsidRPr="00A47E9D" w:rsidRDefault="00A47E9D" w:rsidP="00A47E9D">
      <w:pPr>
        <w:spacing w:after="200"/>
      </w:pPr>
      <w:r w:rsidRPr="00A47E9D">
        <w:t xml:space="preserve">Paragraphs that have been added to this </w:t>
      </w:r>
      <w:r w:rsidR="00912E22">
        <w:fldChar w:fldCharType="begin" w:fldLock="1"/>
      </w:r>
      <w:r w:rsidR="00912E22">
        <w:instrText xml:space="preserve"> REF DocTypeLong \* charformat </w:instrText>
      </w:r>
      <w:r w:rsidR="00912E22">
        <w:fldChar w:fldCharType="separate"/>
      </w:r>
      <w:r w:rsidRPr="00A47E9D">
        <w:t>Auditing Standard</w:t>
      </w:r>
      <w:r w:rsidR="00912E22">
        <w:fldChar w:fldCharType="end"/>
      </w:r>
      <w:r w:rsidRPr="00A47E9D">
        <w:t xml:space="preserve"> (and do not appear in the text of the equivalent </w:t>
      </w:r>
      <w:r w:rsidR="00912E22">
        <w:fldChar w:fldCharType="begin" w:fldLock="1"/>
      </w:r>
      <w:r w:rsidR="00912E22">
        <w:instrText xml:space="preserve"> REF DocTypeIntl \* charforma</w:instrText>
      </w:r>
      <w:r w:rsidR="00912E22">
        <w:instrText xml:space="preserve">t </w:instrText>
      </w:r>
      <w:r w:rsidR="00912E22">
        <w:fldChar w:fldCharType="separate"/>
      </w:r>
      <w:r w:rsidRPr="00A47E9D">
        <w:t>ISA</w:t>
      </w:r>
      <w:r w:rsidR="00912E22">
        <w:fldChar w:fldCharType="end"/>
      </w:r>
      <w:r w:rsidRPr="00A47E9D">
        <w:t>) are identified with the prefix “</w:t>
      </w:r>
      <w:proofErr w:type="spellStart"/>
      <w:r w:rsidRPr="00A47E9D">
        <w:t>Aus</w:t>
      </w:r>
      <w:proofErr w:type="spellEnd"/>
      <w:r w:rsidRPr="00A47E9D">
        <w:t>”.</w:t>
      </w:r>
    </w:p>
    <w:p w14:paraId="4E4429BC" w14:textId="77777777" w:rsidR="00A47E9D" w:rsidRPr="00A47E9D" w:rsidRDefault="00A47E9D" w:rsidP="00A47E9D">
      <w:pPr>
        <w:spacing w:after="200"/>
      </w:pPr>
      <w:r w:rsidRPr="00A47E9D">
        <w:t xml:space="preserve">The following requirements are additional to </w:t>
      </w:r>
      <w:r w:rsidR="00912E22">
        <w:fldChar w:fldCharType="begin" w:fldLock="1"/>
      </w:r>
      <w:r w:rsidR="00912E22">
        <w:instrText xml:space="preserve"> REF DocTypeIntl \* charformat </w:instrText>
      </w:r>
      <w:r w:rsidR="00912E22">
        <w:fldChar w:fldCharType="separate"/>
      </w:r>
      <w:r w:rsidRPr="00A47E9D">
        <w:t>ISA</w:t>
      </w:r>
      <w:r w:rsidR="00912E22">
        <w:fldChar w:fldCharType="end"/>
      </w:r>
      <w:r w:rsidRPr="00A47E9D">
        <w:t> </w:t>
      </w:r>
      <w:r w:rsidRPr="00A47E9D">
        <w:fldChar w:fldCharType="begin" w:fldLock="1"/>
      </w:r>
      <w:r w:rsidRPr="00A47E9D">
        <w:instrText xml:space="preserve">REF DocNoIntl \* charformat </w:instrText>
      </w:r>
      <w:r w:rsidRPr="00A47E9D">
        <w:fldChar w:fldCharType="separate"/>
      </w:r>
      <w:r w:rsidRPr="00A47E9D">
        <w:t>570</w:t>
      </w:r>
      <w:r w:rsidRPr="00A47E9D">
        <w:fldChar w:fldCharType="end"/>
      </w:r>
      <w:r w:rsidRPr="00A47E9D">
        <w:t>:</w:t>
      </w:r>
    </w:p>
    <w:p w14:paraId="2801E2E5" w14:textId="77777777" w:rsidR="00A47E9D" w:rsidRPr="00A47E9D" w:rsidRDefault="00A47E9D" w:rsidP="00975517">
      <w:pPr>
        <w:numPr>
          <w:ilvl w:val="0"/>
          <w:numId w:val="35"/>
        </w:numPr>
        <w:tabs>
          <w:tab w:val="clear" w:pos="0"/>
          <w:tab w:val="num" w:pos="709"/>
        </w:tabs>
        <w:spacing w:after="200"/>
        <w:outlineLvl w:val="0"/>
      </w:pPr>
      <w:r w:rsidRPr="00A47E9D">
        <w:t xml:space="preserve">Paragraph </w:t>
      </w:r>
      <w:proofErr w:type="spellStart"/>
      <w:r w:rsidRPr="00A47E9D">
        <w:t>Aus</w:t>
      </w:r>
      <w:proofErr w:type="spellEnd"/>
      <w:r w:rsidRPr="00A47E9D">
        <w:t xml:space="preserve"> 3.1 refers to requirements under the </w:t>
      </w:r>
      <w:r w:rsidRPr="00A47E9D">
        <w:rPr>
          <w:i/>
        </w:rPr>
        <w:t>Corporations Act 2001</w:t>
      </w:r>
      <w:r w:rsidRPr="00A47E9D">
        <w:t>.</w:t>
      </w:r>
    </w:p>
    <w:p w14:paraId="6B6A3D9C" w14:textId="77777777" w:rsidR="00A47E9D" w:rsidRPr="00A47E9D" w:rsidRDefault="00A47E9D" w:rsidP="00975517">
      <w:pPr>
        <w:numPr>
          <w:ilvl w:val="0"/>
          <w:numId w:val="35"/>
        </w:numPr>
        <w:tabs>
          <w:tab w:val="clear" w:pos="0"/>
          <w:tab w:val="num" w:pos="709"/>
        </w:tabs>
        <w:spacing w:after="200"/>
        <w:outlineLvl w:val="0"/>
      </w:pPr>
      <w:r w:rsidRPr="00A47E9D">
        <w:t xml:space="preserve">Paragraph </w:t>
      </w:r>
      <w:proofErr w:type="spellStart"/>
      <w:r w:rsidRPr="00A47E9D">
        <w:t>Aus</w:t>
      </w:r>
      <w:proofErr w:type="spellEnd"/>
      <w:r w:rsidRPr="00A47E9D">
        <w:t xml:space="preserve"> 13.1 requires the auditor to assess the appropriateness of management’s going concern assumption for the relevant period.</w:t>
      </w:r>
    </w:p>
    <w:p w14:paraId="65CA8261" w14:textId="77777777" w:rsidR="00A47E9D" w:rsidRPr="00A47E9D" w:rsidRDefault="00A47E9D" w:rsidP="00975517">
      <w:pPr>
        <w:numPr>
          <w:ilvl w:val="0"/>
          <w:numId w:val="35"/>
        </w:numPr>
        <w:tabs>
          <w:tab w:val="clear" w:pos="0"/>
          <w:tab w:val="num" w:pos="709"/>
        </w:tabs>
        <w:spacing w:after="200"/>
        <w:outlineLvl w:val="0"/>
      </w:pPr>
      <w:r w:rsidRPr="00A47E9D">
        <w:t xml:space="preserve">Paragraph </w:t>
      </w:r>
      <w:proofErr w:type="spellStart"/>
      <w:r w:rsidRPr="00A47E9D">
        <w:t>Aus</w:t>
      </w:r>
      <w:proofErr w:type="spellEnd"/>
      <w:r w:rsidRPr="00A47E9D">
        <w:t xml:space="preserve"> 13.2 defines the relevant period to be approximately twelve months from the date of the auditor’s current report to the expected date of the auditor’s report for the next reporting period.</w:t>
      </w:r>
    </w:p>
    <w:p w14:paraId="24F8B50E" w14:textId="77777777" w:rsidR="00A47E9D" w:rsidRPr="00A47E9D" w:rsidRDefault="00A47E9D" w:rsidP="00975517">
      <w:pPr>
        <w:spacing w:after="200"/>
        <w:outlineLvl w:val="0"/>
      </w:pPr>
      <w:r w:rsidRPr="00A47E9D">
        <w:t xml:space="preserve">ISA 570 requires the auditor to consider the appropriateness of management’s going concern for a period of at least twelve months from the date of the financial statements. </w:t>
      </w:r>
    </w:p>
    <w:p w14:paraId="7446B08D" w14:textId="77777777" w:rsidR="00A47E9D" w:rsidRPr="00A47E9D" w:rsidRDefault="00A47E9D" w:rsidP="00975517">
      <w:pPr>
        <w:spacing w:after="200"/>
      </w:pPr>
      <w:r w:rsidRPr="00A47E9D">
        <w:t xml:space="preserve">The following application and other explanatory material are additional to </w:t>
      </w:r>
      <w:r w:rsidR="00912E22">
        <w:fldChar w:fldCharType="begin" w:fldLock="1"/>
      </w:r>
      <w:r w:rsidR="00912E22">
        <w:instrText xml:space="preserve"> REF DocTypeIntl \* charformat </w:instrText>
      </w:r>
      <w:r w:rsidR="00912E22">
        <w:fldChar w:fldCharType="separate"/>
      </w:r>
      <w:r w:rsidRPr="00A47E9D">
        <w:t>ISA</w:t>
      </w:r>
      <w:r w:rsidR="00912E22">
        <w:fldChar w:fldCharType="end"/>
      </w:r>
      <w:r w:rsidRPr="00A47E9D">
        <w:t> </w:t>
      </w:r>
      <w:r w:rsidRPr="00A47E9D">
        <w:fldChar w:fldCharType="begin" w:fldLock="1"/>
      </w:r>
      <w:r w:rsidRPr="00A47E9D">
        <w:instrText xml:space="preserve">REF DocNoIntl \* charformat </w:instrText>
      </w:r>
      <w:r w:rsidRPr="00A47E9D">
        <w:fldChar w:fldCharType="separate"/>
      </w:r>
      <w:r w:rsidRPr="00A47E9D">
        <w:t>570</w:t>
      </w:r>
      <w:r w:rsidRPr="00A47E9D">
        <w:fldChar w:fldCharType="end"/>
      </w:r>
      <w:r w:rsidRPr="00A47E9D">
        <w:t>:</w:t>
      </w:r>
    </w:p>
    <w:p w14:paraId="56F00297" w14:textId="77777777" w:rsidR="00A47E9D" w:rsidRPr="00A47E9D" w:rsidRDefault="00A47E9D" w:rsidP="00975517">
      <w:pPr>
        <w:numPr>
          <w:ilvl w:val="0"/>
          <w:numId w:val="35"/>
        </w:numPr>
        <w:tabs>
          <w:tab w:val="clear" w:pos="0"/>
          <w:tab w:val="num" w:pos="709"/>
        </w:tabs>
        <w:spacing w:after="200"/>
        <w:outlineLvl w:val="0"/>
      </w:pPr>
      <w:r w:rsidRPr="00A47E9D">
        <w:t xml:space="preserve">Paragraph </w:t>
      </w:r>
      <w:proofErr w:type="spellStart"/>
      <w:r w:rsidRPr="00A47E9D">
        <w:t>Aus</w:t>
      </w:r>
      <w:proofErr w:type="spellEnd"/>
      <w:r w:rsidRPr="00A47E9D">
        <w:t xml:space="preserve"> A15.1 contains application material around the auditor’s responsibility in the period beyond management’s assessment.</w:t>
      </w:r>
    </w:p>
    <w:p w14:paraId="50A02DF3" w14:textId="77777777" w:rsidR="00A47E9D" w:rsidRPr="00A47E9D" w:rsidRDefault="00A47E9D" w:rsidP="00975517">
      <w:pPr>
        <w:numPr>
          <w:ilvl w:val="0"/>
          <w:numId w:val="35"/>
        </w:numPr>
        <w:tabs>
          <w:tab w:val="clear" w:pos="0"/>
          <w:tab w:val="num" w:pos="709"/>
        </w:tabs>
        <w:spacing w:after="200"/>
        <w:outlineLvl w:val="0"/>
      </w:pPr>
      <w:proofErr w:type="spellStart"/>
      <w:r w:rsidRPr="00A47E9D">
        <w:t>Aus</w:t>
      </w:r>
      <w:proofErr w:type="spellEnd"/>
      <w:r w:rsidRPr="00A47E9D">
        <w:t xml:space="preserve"> A21.1/[</w:t>
      </w:r>
      <w:proofErr w:type="spellStart"/>
      <w:r w:rsidRPr="00A47E9D">
        <w:t>Aus</w:t>
      </w:r>
      <w:proofErr w:type="spellEnd"/>
      <w:r w:rsidRPr="00A47E9D">
        <w:t>] Appendix 1 contains an explanatory diagram mapping going concern considerations and types of audit opinions.</w:t>
      </w:r>
    </w:p>
    <w:p w14:paraId="2C0FADFA" w14:textId="77777777" w:rsidR="00A47E9D" w:rsidRPr="00A47E9D" w:rsidRDefault="00A47E9D" w:rsidP="00975517">
      <w:pPr>
        <w:numPr>
          <w:ilvl w:val="0"/>
          <w:numId w:val="35"/>
        </w:numPr>
        <w:tabs>
          <w:tab w:val="clear" w:pos="0"/>
          <w:tab w:val="num" w:pos="709"/>
        </w:tabs>
        <w:spacing w:after="200"/>
        <w:outlineLvl w:val="0"/>
      </w:pPr>
      <w:r w:rsidRPr="00A47E9D">
        <w:t>Appendix 2 contains [</w:t>
      </w:r>
      <w:proofErr w:type="spellStart"/>
      <w:r w:rsidRPr="00A47E9D">
        <w:t>Aus</w:t>
      </w:r>
      <w:proofErr w:type="spellEnd"/>
      <w:r w:rsidRPr="00A47E9D">
        <w:t>] Illustration 1A, [</w:t>
      </w:r>
      <w:proofErr w:type="spellStart"/>
      <w:r w:rsidRPr="00A47E9D">
        <w:t>Aus</w:t>
      </w:r>
      <w:proofErr w:type="spellEnd"/>
      <w:r w:rsidRPr="00A47E9D">
        <w:t>] Illustration 2A, [</w:t>
      </w:r>
      <w:proofErr w:type="spellStart"/>
      <w:r w:rsidRPr="00A47E9D">
        <w:t>Aus</w:t>
      </w:r>
      <w:proofErr w:type="spellEnd"/>
      <w:r w:rsidRPr="00A47E9D">
        <w:t>] Illustration 3A and [</w:t>
      </w:r>
      <w:proofErr w:type="spellStart"/>
      <w:r w:rsidRPr="00A47E9D">
        <w:t>Aus</w:t>
      </w:r>
      <w:proofErr w:type="spellEnd"/>
      <w:r w:rsidRPr="00A47E9D">
        <w:t xml:space="preserve">] Illustration 4A example auditors’ reports that conform with the requirements of the </w:t>
      </w:r>
      <w:r w:rsidRPr="00A47E9D">
        <w:rPr>
          <w:i/>
        </w:rPr>
        <w:t>Corporations Act 2001</w:t>
      </w:r>
      <w:r w:rsidRPr="00A47E9D">
        <w:t>.</w:t>
      </w:r>
    </w:p>
    <w:p w14:paraId="70921C78" w14:textId="77777777" w:rsidR="00A47E9D" w:rsidRPr="00A47E9D" w:rsidRDefault="00A47E9D" w:rsidP="00A47E9D">
      <w:pPr>
        <w:spacing w:after="200"/>
      </w:pPr>
      <w:r w:rsidRPr="00A47E9D">
        <w:t xml:space="preserve">This </w:t>
      </w:r>
      <w:r w:rsidR="00912E22">
        <w:fldChar w:fldCharType="begin" w:fldLock="1"/>
      </w:r>
      <w:r w:rsidR="00912E22">
        <w:instrText xml:space="preserve"> REF DocTypeLong \* charformat </w:instrText>
      </w:r>
      <w:r w:rsidR="00912E22">
        <w:fldChar w:fldCharType="separate"/>
      </w:r>
      <w:r w:rsidRPr="00A47E9D">
        <w:t>Auditing Standard</w:t>
      </w:r>
      <w:r w:rsidR="00912E22">
        <w:fldChar w:fldCharType="end"/>
      </w:r>
      <w:r w:rsidRPr="00A47E9D">
        <w:t xml:space="preserve"> incorporates terminology and definitions used in Australia.</w:t>
      </w:r>
    </w:p>
    <w:p w14:paraId="305B20D4" w14:textId="77777777" w:rsidR="00A47E9D" w:rsidRPr="00A47E9D" w:rsidRDefault="00A47E9D" w:rsidP="00A47E9D">
      <w:pPr>
        <w:spacing w:after="200"/>
      </w:pPr>
      <w:r w:rsidRPr="00A47E9D">
        <w:t xml:space="preserve">Compliance with this </w:t>
      </w:r>
      <w:r w:rsidR="00912E22">
        <w:fldChar w:fldCharType="begin" w:fldLock="1"/>
      </w:r>
      <w:r w:rsidR="00912E22">
        <w:instrText xml:space="preserve"> REF DocTypeLong \* charformat </w:instrText>
      </w:r>
      <w:r w:rsidR="00912E22">
        <w:fldChar w:fldCharType="separate"/>
      </w:r>
      <w:r w:rsidRPr="00A47E9D">
        <w:t>Auditing Standard</w:t>
      </w:r>
      <w:r w:rsidR="00912E22">
        <w:fldChar w:fldCharType="end"/>
      </w:r>
      <w:r w:rsidRPr="00A47E9D">
        <w:t xml:space="preserve"> enables compliance with </w:t>
      </w:r>
      <w:r w:rsidR="00912E22">
        <w:fldChar w:fldCharType="begin" w:fldLock="1"/>
      </w:r>
      <w:r w:rsidR="00912E22">
        <w:instrText xml:space="preserve"> REF DocTypeIntl \* charformat </w:instrText>
      </w:r>
      <w:r w:rsidR="00912E22">
        <w:fldChar w:fldCharType="separate"/>
      </w:r>
      <w:r w:rsidRPr="00A47E9D">
        <w:t>ISA</w:t>
      </w:r>
      <w:r w:rsidR="00912E22">
        <w:fldChar w:fldCharType="end"/>
      </w:r>
      <w:r w:rsidRPr="00A47E9D">
        <w:t> </w:t>
      </w:r>
      <w:r w:rsidRPr="00A47E9D">
        <w:fldChar w:fldCharType="begin" w:fldLock="1"/>
      </w:r>
      <w:r w:rsidRPr="00A47E9D">
        <w:instrText xml:space="preserve">REF DocNoIntl \* charformat </w:instrText>
      </w:r>
      <w:r w:rsidRPr="00A47E9D">
        <w:fldChar w:fldCharType="separate"/>
      </w:r>
      <w:r w:rsidRPr="00A47E9D">
        <w:t>570</w:t>
      </w:r>
      <w:r w:rsidRPr="00A47E9D">
        <w:fldChar w:fldCharType="end"/>
      </w:r>
      <w:r w:rsidRPr="00A47E9D">
        <w:t>.</w:t>
      </w:r>
    </w:p>
    <w:bookmarkEnd w:id="14"/>
    <w:p w14:paraId="4CFF4A8E" w14:textId="77777777" w:rsidR="006D2111" w:rsidRDefault="006D2111"/>
    <w:p w14:paraId="78DBF87B" w14:textId="77777777" w:rsidR="004D4D03" w:rsidRDefault="004D4D03">
      <w:pPr>
        <w:sectPr w:rsidR="004D4D03" w:rsidSect="006D2111">
          <w:headerReference w:type="default" r:id="rId17"/>
          <w:footerReference w:type="default" r:id="rId18"/>
          <w:headerReference w:type="first" r:id="rId19"/>
          <w:footerReference w:type="first" r:id="rId20"/>
          <w:pgSz w:w="11907" w:h="16840" w:code="9"/>
          <w:pgMar w:top="2268" w:right="1418" w:bottom="1701" w:left="1418" w:header="992" w:footer="992" w:gutter="0"/>
          <w:cols w:space="720"/>
          <w:titlePg/>
        </w:sectPr>
      </w:pPr>
    </w:p>
    <w:p w14:paraId="29D89127" w14:textId="7A8187A0" w:rsidR="00293EDF" w:rsidRPr="00293EDF" w:rsidRDefault="00293EDF" w:rsidP="00225B8E">
      <w:pPr>
        <w:pStyle w:val="ParaPlain"/>
        <w:pBdr>
          <w:top w:val="single" w:sz="4" w:space="6" w:color="auto"/>
          <w:left w:val="single" w:sz="4" w:space="4" w:color="auto"/>
          <w:bottom w:val="single" w:sz="4" w:space="6" w:color="auto"/>
          <w:right w:val="single" w:sz="4" w:space="4" w:color="auto"/>
        </w:pBdr>
        <w:jc w:val="center"/>
        <w:rPr>
          <w:caps/>
        </w:rPr>
      </w:pPr>
      <w:r w:rsidRPr="00686B9D">
        <w:rPr>
          <w:caps/>
        </w:rPr>
        <w:lastRenderedPageBreak/>
        <w:fldChar w:fldCharType="begin" w:fldLock="1"/>
      </w:r>
      <w:r w:rsidRPr="00686B9D">
        <w:rPr>
          <w:caps/>
        </w:rPr>
        <w:instrText xml:space="preserve"> REF DocTypeLong \* charformat  \* MERGEFORMAT </w:instrText>
      </w:r>
      <w:r w:rsidRPr="00686B9D">
        <w:rPr>
          <w:caps/>
        </w:rPr>
        <w:fldChar w:fldCharType="separate"/>
      </w:r>
      <w:r w:rsidR="00E45644" w:rsidRPr="00686B9D">
        <w:rPr>
          <w:caps/>
        </w:rPr>
        <w:t>Auditing Standard</w:t>
      </w:r>
      <w:r w:rsidRPr="00686B9D">
        <w:rPr>
          <w:caps/>
        </w:rPr>
        <w:fldChar w:fldCharType="end"/>
      </w:r>
      <w:r w:rsidRPr="00686B9D">
        <w:rPr>
          <w:caps/>
        </w:rPr>
        <w:t xml:space="preserve"> </w:t>
      </w:r>
      <w:r w:rsidRPr="00686B9D">
        <w:rPr>
          <w:caps/>
        </w:rPr>
        <w:fldChar w:fldCharType="begin" w:fldLock="1"/>
      </w:r>
      <w:r w:rsidRPr="00686B9D">
        <w:rPr>
          <w:caps/>
        </w:rPr>
        <w:instrText xml:space="preserve"> REF DocType \* charformat  \* MERGEFORMAT </w:instrText>
      </w:r>
      <w:r w:rsidRPr="00686B9D">
        <w:rPr>
          <w:caps/>
        </w:rPr>
        <w:fldChar w:fldCharType="separate"/>
      </w:r>
      <w:r w:rsidR="00E45644" w:rsidRPr="00686B9D">
        <w:rPr>
          <w:caps/>
        </w:rPr>
        <w:t>ASA</w:t>
      </w:r>
      <w:r w:rsidRPr="00686B9D">
        <w:rPr>
          <w:caps/>
        </w:rPr>
        <w:fldChar w:fldCharType="end"/>
      </w:r>
      <w:r w:rsidR="00EB165B" w:rsidRPr="00686B9D">
        <w:rPr>
          <w:caps/>
        </w:rPr>
        <w:t> </w:t>
      </w:r>
      <w:r w:rsidR="00686B9D" w:rsidRPr="00686B9D">
        <w:rPr>
          <w:caps/>
        </w:rPr>
        <w:t>570</w:t>
      </w:r>
    </w:p>
    <w:p w14:paraId="7445526B" w14:textId="284AA463" w:rsidR="00293EDF" w:rsidRDefault="00293EDF" w:rsidP="00225B8E">
      <w:pPr>
        <w:pStyle w:val="ParaPlain"/>
        <w:pBdr>
          <w:top w:val="single" w:sz="4" w:space="6" w:color="auto"/>
          <w:left w:val="single" w:sz="4" w:space="4" w:color="auto"/>
          <w:bottom w:val="single" w:sz="4" w:space="6" w:color="auto"/>
          <w:right w:val="single" w:sz="4" w:space="4" w:color="auto"/>
        </w:pBdr>
      </w:pPr>
      <w:r>
        <w:t xml:space="preserve">The Auditing and Assurance Standards Board (AUASB) made </w:t>
      </w:r>
      <w:r w:rsidR="00912E22">
        <w:fldChar w:fldCharType="begin" w:fldLock="1"/>
      </w:r>
      <w:r w:rsidR="00912E22">
        <w:instrText xml:space="preserve"> REF DocTypeLong \* charformat </w:instrText>
      </w:r>
      <w:r w:rsidR="00912E22">
        <w:fldChar w:fldCharType="separate"/>
      </w:r>
      <w:r w:rsidR="00E45644" w:rsidRPr="00E45644">
        <w:t>Auditing Standard</w:t>
      </w:r>
      <w:r w:rsidR="00912E22">
        <w:fldChar w:fldCharType="end"/>
      </w:r>
      <w:r>
        <w:t xml:space="preserve"> </w:t>
      </w:r>
      <w:r w:rsidR="004D150F" w:rsidRPr="00E87017">
        <w:fldChar w:fldCharType="begin" w:fldLock="1"/>
      </w:r>
      <w:r w:rsidR="004D150F" w:rsidRPr="00E87017">
        <w:instrText xml:space="preserve"> REF DocType \* charformat </w:instrText>
      </w:r>
      <w:r w:rsidR="00C813E8" w:rsidRPr="00E87017">
        <w:instrText xml:space="preserve"> \* MERGEFORMAT </w:instrText>
      </w:r>
      <w:r w:rsidR="004D150F" w:rsidRPr="00E87017">
        <w:fldChar w:fldCharType="separate"/>
      </w:r>
      <w:r w:rsidR="00E45644" w:rsidRPr="00E87017">
        <w:t>ASA</w:t>
      </w:r>
      <w:r w:rsidR="004D150F" w:rsidRPr="00E87017">
        <w:fldChar w:fldCharType="end"/>
      </w:r>
      <w:r w:rsidR="006D2111" w:rsidRPr="00E87017">
        <w:t> </w:t>
      </w:r>
      <w:r w:rsidR="004D150F" w:rsidRPr="00E87017">
        <w:fldChar w:fldCharType="begin" w:fldLock="1"/>
      </w:r>
      <w:r w:rsidR="004D150F" w:rsidRPr="00E87017">
        <w:instrText xml:space="preserve"> REF DocNo \* charformat </w:instrText>
      </w:r>
      <w:r w:rsidR="00C813E8" w:rsidRPr="00E87017">
        <w:instrText xml:space="preserve"> \* MERGEFORMAT </w:instrText>
      </w:r>
      <w:r w:rsidR="004D150F" w:rsidRPr="00E87017">
        <w:fldChar w:fldCharType="separate"/>
      </w:r>
      <w:r w:rsidR="00686B9D" w:rsidRPr="00E87017">
        <w:t>57</w:t>
      </w:r>
      <w:r w:rsidR="00E45644" w:rsidRPr="00E87017">
        <w:t>0</w:t>
      </w:r>
      <w:r w:rsidR="004D150F" w:rsidRPr="00E87017">
        <w:fldChar w:fldCharType="end"/>
      </w:r>
      <w:r w:rsidRPr="00E87017">
        <w:t xml:space="preserve"> </w:t>
      </w:r>
      <w:r w:rsidR="00E87017">
        <w:rPr>
          <w:i/>
        </w:rPr>
        <w:t>Going Concern</w:t>
      </w:r>
      <w:r w:rsidR="00EB165B">
        <w:t xml:space="preserve"> pursuant to section </w:t>
      </w:r>
      <w:r>
        <w:t xml:space="preserve">227B of the </w:t>
      </w:r>
      <w:r>
        <w:rPr>
          <w:i/>
        </w:rPr>
        <w:t xml:space="preserve">Australian Securities and Investments </w:t>
      </w:r>
      <w:r w:rsidR="00223FCA">
        <w:rPr>
          <w:i/>
        </w:rPr>
        <w:t>Commission Act 2001</w:t>
      </w:r>
      <w:r>
        <w:t xml:space="preserve"> and section</w:t>
      </w:r>
      <w:r w:rsidR="00EB165B">
        <w:t> </w:t>
      </w:r>
      <w:r>
        <w:t xml:space="preserve">336 of the </w:t>
      </w:r>
      <w:r w:rsidR="00223FCA">
        <w:rPr>
          <w:i/>
        </w:rPr>
        <w:t>Corporations Act 2001</w:t>
      </w:r>
      <w:r>
        <w:t xml:space="preserve">, on </w:t>
      </w:r>
      <w:r w:rsidR="005C026F">
        <w:t>1 December 2015</w:t>
      </w:r>
      <w:r>
        <w:t>.</w:t>
      </w:r>
    </w:p>
    <w:p w14:paraId="2277B721" w14:textId="1E12A2EA" w:rsidR="00225B8E" w:rsidRDefault="00293EDF" w:rsidP="00225B8E">
      <w:pPr>
        <w:pStyle w:val="ParaPlain"/>
        <w:pBdr>
          <w:top w:val="single" w:sz="4" w:space="6" w:color="auto"/>
          <w:left w:val="single" w:sz="4" w:space="4" w:color="auto"/>
          <w:bottom w:val="single" w:sz="4" w:space="6" w:color="auto"/>
          <w:right w:val="single" w:sz="4" w:space="4" w:color="auto"/>
        </w:pBdr>
      </w:pPr>
      <w:r>
        <w:t xml:space="preserve">This compiled version of </w:t>
      </w:r>
      <w:r w:rsidR="004D150F" w:rsidRPr="00872090">
        <w:fldChar w:fldCharType="begin" w:fldLock="1"/>
      </w:r>
      <w:r w:rsidR="004D150F" w:rsidRPr="00872090">
        <w:instrText xml:space="preserve"> REF DocType \* charformat </w:instrText>
      </w:r>
      <w:r w:rsidR="00C813E8" w:rsidRPr="00872090">
        <w:instrText xml:space="preserve"> \* MERGEFORMAT </w:instrText>
      </w:r>
      <w:r w:rsidR="004D150F" w:rsidRPr="00872090">
        <w:fldChar w:fldCharType="separate"/>
      </w:r>
      <w:r w:rsidR="00E45644" w:rsidRPr="00872090">
        <w:t>ASA</w:t>
      </w:r>
      <w:r w:rsidR="004D150F" w:rsidRPr="00872090">
        <w:fldChar w:fldCharType="end"/>
      </w:r>
      <w:r w:rsidR="006D2111" w:rsidRPr="00872090">
        <w:t> </w:t>
      </w:r>
      <w:r w:rsidR="004D150F" w:rsidRPr="00872090">
        <w:fldChar w:fldCharType="begin" w:fldLock="1"/>
      </w:r>
      <w:r w:rsidR="004D150F" w:rsidRPr="00872090">
        <w:instrText xml:space="preserve"> REF DocNo \* charformat </w:instrText>
      </w:r>
      <w:r w:rsidR="00C813E8" w:rsidRPr="00872090">
        <w:instrText xml:space="preserve"> \* MERGEFORMAT </w:instrText>
      </w:r>
      <w:r w:rsidR="004D150F" w:rsidRPr="00872090">
        <w:fldChar w:fldCharType="separate"/>
      </w:r>
      <w:r w:rsidR="00E87017" w:rsidRPr="00872090">
        <w:t>57</w:t>
      </w:r>
      <w:r w:rsidR="00E45644" w:rsidRPr="00872090">
        <w:t>0</w:t>
      </w:r>
      <w:r w:rsidR="004D150F" w:rsidRPr="00872090">
        <w:fldChar w:fldCharType="end"/>
      </w:r>
      <w:r w:rsidRPr="00872090">
        <w:t xml:space="preserve"> i</w:t>
      </w:r>
      <w:r>
        <w:t xml:space="preserve">ncorporates subsequent amendments </w:t>
      </w:r>
      <w:r w:rsidR="00FA3DFC">
        <w:t xml:space="preserve">contained in </w:t>
      </w:r>
      <w:bookmarkStart w:id="18" w:name="AmendMult"/>
      <w:r w:rsidR="00FA3DFC">
        <w:t>other Auditing Standard</w:t>
      </w:r>
      <w:bookmarkEnd w:id="18"/>
      <w:r w:rsidR="00AE0E88">
        <w:t>s</w:t>
      </w:r>
      <w:r w:rsidR="00FA3DFC">
        <w:t xml:space="preserve"> made by the AUASB</w:t>
      </w:r>
      <w:r>
        <w:t xml:space="preserve"> up to and including </w:t>
      </w:r>
      <w:r w:rsidR="007831BC">
        <w:t>5 November 2021</w:t>
      </w:r>
      <w:r w:rsidR="00ED64A1">
        <w:t xml:space="preserve"> </w:t>
      </w:r>
      <w:r>
        <w:t>(see Compilation Details).</w:t>
      </w:r>
    </w:p>
    <w:p w14:paraId="65B921F6" w14:textId="464A9F31" w:rsidR="004D4D03" w:rsidRPr="007E2487" w:rsidRDefault="00B00722" w:rsidP="004547FF">
      <w:pPr>
        <w:pStyle w:val="Heading2"/>
        <w:spacing w:before="240"/>
      </w:pPr>
      <w:r w:rsidRPr="007E2487">
        <w:fldChar w:fldCharType="begin" w:fldLock="1"/>
      </w:r>
      <w:r w:rsidRPr="007E2487">
        <w:instrText xml:space="preserve"> REF DocTypeLong </w:instrText>
      </w:r>
      <w:r w:rsidR="00701FC3" w:rsidRPr="007E2487">
        <w:instrText>\</w:instrText>
      </w:r>
      <w:r w:rsidRPr="007E2487">
        <w:instrText xml:space="preserve">* charformat </w:instrText>
      </w:r>
      <w:r w:rsidR="00C813E8" w:rsidRPr="007E2487">
        <w:instrText xml:space="preserve"> \* MERGEFORMAT </w:instrText>
      </w:r>
      <w:r w:rsidRPr="007E2487">
        <w:fldChar w:fldCharType="separate"/>
      </w:r>
      <w:r w:rsidR="00E45644" w:rsidRPr="007E2487">
        <w:t>Auditing Standard</w:t>
      </w:r>
      <w:r w:rsidRPr="007E2487">
        <w:fldChar w:fldCharType="end"/>
      </w:r>
      <w:r w:rsidR="00880310" w:rsidRPr="007E2487">
        <w:t xml:space="preserve"> </w:t>
      </w:r>
      <w:r w:rsidR="004D150F" w:rsidRPr="007E2487">
        <w:fldChar w:fldCharType="begin" w:fldLock="1"/>
      </w:r>
      <w:r w:rsidR="004D150F" w:rsidRPr="007E2487">
        <w:instrText xml:space="preserve"> REF DocType \* charformat </w:instrText>
      </w:r>
      <w:r w:rsidR="00C813E8" w:rsidRPr="007E2487">
        <w:instrText xml:space="preserve"> \* MERGEFORMAT </w:instrText>
      </w:r>
      <w:r w:rsidR="004D150F" w:rsidRPr="007E2487">
        <w:fldChar w:fldCharType="separate"/>
      </w:r>
      <w:r w:rsidR="00E45644" w:rsidRPr="007E2487">
        <w:t>ASA</w:t>
      </w:r>
      <w:r w:rsidR="004D150F" w:rsidRPr="007E2487">
        <w:fldChar w:fldCharType="end"/>
      </w:r>
      <w:r w:rsidR="00995437" w:rsidRPr="007E2487">
        <w:t> </w:t>
      </w:r>
      <w:r w:rsidR="004D150F" w:rsidRPr="007E2487">
        <w:fldChar w:fldCharType="begin" w:fldLock="1"/>
      </w:r>
      <w:r w:rsidR="004D150F" w:rsidRPr="007E2487">
        <w:instrText xml:space="preserve"> REF DocNo \* charformat </w:instrText>
      </w:r>
      <w:r w:rsidR="00C813E8" w:rsidRPr="007E2487">
        <w:instrText xml:space="preserve"> \* MERGEFORMAT </w:instrText>
      </w:r>
      <w:r w:rsidR="004D150F" w:rsidRPr="007E2487">
        <w:fldChar w:fldCharType="separate"/>
      </w:r>
      <w:r w:rsidR="007E2487" w:rsidRPr="007E2487">
        <w:t>57</w:t>
      </w:r>
      <w:r w:rsidR="00E45644" w:rsidRPr="007E2487">
        <w:t>0</w:t>
      </w:r>
      <w:r w:rsidR="004D150F" w:rsidRPr="007E2487">
        <w:fldChar w:fldCharType="end"/>
      </w:r>
    </w:p>
    <w:p w14:paraId="0A58C452" w14:textId="5905145B" w:rsidR="004D4D03" w:rsidRDefault="004D150F">
      <w:pPr>
        <w:pStyle w:val="Heading3"/>
      </w:pPr>
      <w:r w:rsidRPr="007E2487">
        <w:fldChar w:fldCharType="begin" w:fldLock="1"/>
      </w:r>
      <w:r w:rsidRPr="007E2487">
        <w:instrText xml:space="preserve"> REF DocTitle  \* charformat </w:instrText>
      </w:r>
      <w:r w:rsidR="00C813E8" w:rsidRPr="007E2487">
        <w:instrText xml:space="preserve"> \* MERGEFORMAT </w:instrText>
      </w:r>
      <w:r w:rsidRPr="007E2487">
        <w:fldChar w:fldCharType="separate"/>
      </w:r>
      <w:r w:rsidR="007E2487" w:rsidRPr="007E2487">
        <w:t>Going Concern</w:t>
      </w:r>
      <w:r w:rsidRPr="007E2487">
        <w:fldChar w:fldCharType="end"/>
      </w:r>
    </w:p>
    <w:p w14:paraId="0A702B20" w14:textId="77777777" w:rsidR="004D4D03" w:rsidRDefault="00301C19">
      <w:pPr>
        <w:pStyle w:val="Heading5"/>
      </w:pPr>
      <w:bookmarkStart w:id="19" w:name="TOCStart"/>
      <w:bookmarkEnd w:id="19"/>
      <w:r>
        <w:t>Application</w:t>
      </w:r>
    </w:p>
    <w:p w14:paraId="0C3319FC" w14:textId="77777777" w:rsidR="00CA4546" w:rsidRDefault="00CA4546" w:rsidP="00F0700A">
      <w:pPr>
        <w:pStyle w:val="AusParaLevel1"/>
      </w:pPr>
      <w:proofErr w:type="spellStart"/>
      <w:r>
        <w:t>Aus</w:t>
      </w:r>
      <w:proofErr w:type="spellEnd"/>
      <w:r>
        <w:t xml:space="preserve"> 0.1</w:t>
      </w:r>
      <w:r>
        <w:tab/>
        <w:t>This Auditing Standard applies to:</w:t>
      </w:r>
    </w:p>
    <w:p w14:paraId="1F78843B" w14:textId="77777777" w:rsidR="00CA4546" w:rsidRDefault="00CA4546" w:rsidP="00F0700A">
      <w:pPr>
        <w:pStyle w:val="AusParaLevel2"/>
      </w:pPr>
      <w:r>
        <w:t>(a)</w:t>
      </w:r>
      <w:r>
        <w:tab/>
        <w:t>an audit of a financial report for a financial year, or an audit of a financial report for a hal</w:t>
      </w:r>
      <w:r w:rsidR="00223FCA">
        <w:t>f</w:t>
      </w:r>
      <w:r w:rsidR="00223FCA">
        <w:noBreakHyphen/>
        <w:t>y</w:t>
      </w:r>
      <w:r>
        <w:t xml:space="preserve">ear, in accordance with the </w:t>
      </w:r>
      <w:r w:rsidR="00223FCA">
        <w:rPr>
          <w:i/>
        </w:rPr>
        <w:t>Corporations Act 2001</w:t>
      </w:r>
      <w:r>
        <w:t>; and</w:t>
      </w:r>
    </w:p>
    <w:p w14:paraId="6D75A14D" w14:textId="77777777" w:rsidR="00CA4546" w:rsidRDefault="00CA4546" w:rsidP="00F0700A">
      <w:pPr>
        <w:pStyle w:val="AusParaLevel2"/>
      </w:pPr>
      <w:r>
        <w:t>(b)</w:t>
      </w:r>
      <w:r>
        <w:tab/>
        <w:t>an audit of a financial report, or a complete set of financial statements, for any other purpose.</w:t>
      </w:r>
    </w:p>
    <w:p w14:paraId="54B9E6F4" w14:textId="77777777" w:rsidR="00CA4546" w:rsidRDefault="00CA4546" w:rsidP="00F0700A">
      <w:pPr>
        <w:pStyle w:val="AusParaLevel1"/>
      </w:pPr>
      <w:proofErr w:type="spellStart"/>
      <w:r>
        <w:t>Aus</w:t>
      </w:r>
      <w:proofErr w:type="spellEnd"/>
      <w:r>
        <w:t xml:space="preserve"> 0.2</w:t>
      </w:r>
      <w:r>
        <w:tab/>
        <w:t>This Auditing Standard also applies, as appropriate, to an audit of other historical financial information.</w:t>
      </w:r>
    </w:p>
    <w:p w14:paraId="0D24BFB9" w14:textId="166BCC39" w:rsidR="00005192" w:rsidRDefault="0008431E" w:rsidP="00232733">
      <w:pPr>
        <w:pStyle w:val="Heading5"/>
      </w:pPr>
      <w:r>
        <w:t>Operative</w:t>
      </w:r>
      <w:r w:rsidR="004D4D03">
        <w:t xml:space="preserve"> Date</w:t>
      </w:r>
    </w:p>
    <w:p w14:paraId="7EABBD0B" w14:textId="7BC0B450" w:rsidR="00CE16EF" w:rsidRPr="00FB22DD" w:rsidRDefault="00CE16EF" w:rsidP="00CE16EF">
      <w:pPr>
        <w:pStyle w:val="AusParaLevel1"/>
        <w:rPr>
          <w:sz w:val="18"/>
          <w:szCs w:val="18"/>
        </w:rPr>
      </w:pPr>
      <w:proofErr w:type="spellStart"/>
      <w:r>
        <w:t>Aus</w:t>
      </w:r>
      <w:proofErr w:type="spellEnd"/>
      <w:r>
        <w:t> 0.</w:t>
      </w:r>
      <w:bookmarkStart w:id="20" w:name="OpDateAusNo"/>
      <w:r>
        <w:t>3</w:t>
      </w:r>
      <w:bookmarkEnd w:id="20"/>
      <w:r>
        <w:tab/>
        <w:t xml:space="preserve">This </w:t>
      </w:r>
      <w:r>
        <w:fldChar w:fldCharType="begin" w:fldLock="1"/>
      </w:r>
      <w:r>
        <w:instrText xml:space="preserve"> REF DocTypeLong \* charformat</w:instrText>
      </w:r>
      <w:r>
        <w:fldChar w:fldCharType="separate"/>
      </w:r>
      <w:r>
        <w:t>Auditing Standard</w:t>
      </w:r>
      <w:r>
        <w:fldChar w:fldCharType="end"/>
      </w:r>
      <w:r>
        <w:t xml:space="preserve"> is operative for </w:t>
      </w:r>
      <w:bookmarkStart w:id="21" w:name="OpDateText"/>
      <w:r>
        <w:t>financial reporting periods ending on or after</w:t>
      </w:r>
      <w:bookmarkEnd w:id="21"/>
      <w:r>
        <w:t xml:space="preserve"> </w:t>
      </w:r>
      <w:bookmarkStart w:id="22" w:name="OpDate"/>
      <w:r>
        <w:t>15 December 2016</w:t>
      </w:r>
      <w:bookmarkEnd w:id="22"/>
      <w:r>
        <w:t>.</w:t>
      </w:r>
      <w:r w:rsidR="00571A1C">
        <w:t xml:space="preserve">  </w:t>
      </w:r>
      <w:r w:rsidR="00571A1C">
        <w:rPr>
          <w:sz w:val="18"/>
          <w:szCs w:val="18"/>
        </w:rPr>
        <w:t>[Note: For operative dates of paragraphs changed or added by an Amending Standard, see Compilation Details.]</w:t>
      </w:r>
    </w:p>
    <w:p w14:paraId="06F8E4E0" w14:textId="77777777" w:rsidR="00427474" w:rsidRPr="0008431E" w:rsidRDefault="00427474" w:rsidP="00427474">
      <w:pPr>
        <w:pStyle w:val="Heading5"/>
      </w:pPr>
      <w:r>
        <w:t>Introduction</w:t>
      </w:r>
    </w:p>
    <w:p w14:paraId="7576A065" w14:textId="77777777" w:rsidR="00A728C6" w:rsidRPr="0008431E" w:rsidRDefault="00A728C6" w:rsidP="00A728C6">
      <w:pPr>
        <w:pStyle w:val="Heading6"/>
      </w:pPr>
      <w:r>
        <w:t xml:space="preserve">Scope of this </w:t>
      </w:r>
      <w:r>
        <w:fldChar w:fldCharType="begin" w:fldLock="1"/>
      </w:r>
      <w:r>
        <w:instrText xml:space="preserve"> REF DocTypeLong \* charformat</w:instrText>
      </w:r>
      <w:r>
        <w:fldChar w:fldCharType="separate"/>
      </w:r>
      <w:r>
        <w:t>Auditing Standard</w:t>
      </w:r>
      <w:r>
        <w:fldChar w:fldCharType="end"/>
      </w:r>
    </w:p>
    <w:p w14:paraId="6CB85E5F" w14:textId="7AEC9826" w:rsidR="00005192" w:rsidRDefault="00F76EE8" w:rsidP="002E31D4">
      <w:pPr>
        <w:numPr>
          <w:ilvl w:val="0"/>
          <w:numId w:val="38"/>
        </w:numPr>
        <w:spacing w:after="200"/>
      </w:pPr>
      <w:r w:rsidRPr="00F76EE8">
        <w:t xml:space="preserve">This Auditing Standard deals with the auditor’s responsibilities in the audit of financial report relating to going concern and the implications for the auditor’s report.  </w:t>
      </w:r>
      <w:r w:rsidRPr="00F76EE8">
        <w:rPr>
          <w:sz w:val="18"/>
        </w:rPr>
        <w:t>(Ref: Para. A1)</w:t>
      </w:r>
      <w:r w:rsidRPr="00F76EE8">
        <w:t xml:space="preserve"> </w:t>
      </w:r>
    </w:p>
    <w:p w14:paraId="517EC282" w14:textId="1CE30B57" w:rsidR="00427474" w:rsidRDefault="002E31D4" w:rsidP="00964350">
      <w:pPr>
        <w:pStyle w:val="Heading6"/>
      </w:pPr>
      <w:r w:rsidRPr="00D00BA0">
        <w:t>Going Concern Basis of Accounting</w:t>
      </w:r>
    </w:p>
    <w:p w14:paraId="428F029C" w14:textId="4822A85F" w:rsidR="00964350" w:rsidRDefault="00964350" w:rsidP="00B93A5F">
      <w:pPr>
        <w:numPr>
          <w:ilvl w:val="0"/>
          <w:numId w:val="38"/>
        </w:numPr>
        <w:spacing w:after="200"/>
      </w:pPr>
      <w:bookmarkStart w:id="23" w:name="_Ref354219005"/>
      <w:r w:rsidRPr="00964350">
        <w:t xml:space="preserve">Under the going concern basis of accounting, the financial report is prepared on the assumption that the entity is a going concern and will continue its operations for the foreseeable future.  General purpose financial reports are prepared using the going concern basis of accounting, unless management either intends to liquidate the entity or to cease </w:t>
      </w:r>
      <w:proofErr w:type="gramStart"/>
      <w:r w:rsidRPr="00964350">
        <w:t>operations, or</w:t>
      </w:r>
      <w:proofErr w:type="gramEnd"/>
      <w:r w:rsidRPr="00964350">
        <w:t xml:space="preserve"> has no realistic alternative but to do so.  Special purpose financial reports may or may not be prepared in accordance with a financial reporting framework for which the going concern basis of accounting is relevant (e.g., the going concern basis of accounting is not relevant for some financial reports prepared on a tax basis in particular jurisdictions).  When the use of the going concern basis of accounting is appropriate, assets and liabilities are recorded on the basis that the entity will be able to realise its assets and discharge its liabilities in the normal course of business.  </w:t>
      </w:r>
      <w:bookmarkEnd w:id="23"/>
      <w:r w:rsidRPr="00964350">
        <w:rPr>
          <w:sz w:val="18"/>
        </w:rPr>
        <w:t>(Ref: Para. A2)</w:t>
      </w:r>
    </w:p>
    <w:p w14:paraId="7D94DB93" w14:textId="77777777" w:rsidR="00B93A5F" w:rsidRPr="00D00BA0" w:rsidRDefault="00B93A5F" w:rsidP="00B93A5F">
      <w:pPr>
        <w:pStyle w:val="Heading6"/>
      </w:pPr>
      <w:r w:rsidRPr="00D00BA0">
        <w:lastRenderedPageBreak/>
        <w:t>Responsibility for Assessment of the Entity’s Ability to Continue as a Going Concern</w:t>
      </w:r>
    </w:p>
    <w:p w14:paraId="2AF60ACB" w14:textId="18E1892F" w:rsidR="00964350" w:rsidRDefault="004A5984" w:rsidP="0091735B">
      <w:pPr>
        <w:numPr>
          <w:ilvl w:val="0"/>
          <w:numId w:val="38"/>
        </w:numPr>
        <w:spacing w:after="200"/>
      </w:pPr>
      <w:r w:rsidRPr="004A5984">
        <w:t xml:space="preserve">Some financial reporting frameworks contain an explicit requirement for management to make a specific assessment of the entity’s ability to continue as a going concern, and standards regarding matters to be considered and disclosures to be made in connection with going concern.  For example, Australian Accounting Standard AASB 101 requires management to </w:t>
      </w:r>
      <w:proofErr w:type="gramStart"/>
      <w:r w:rsidRPr="004A5984">
        <w:t>make an assessment of</w:t>
      </w:r>
      <w:proofErr w:type="gramEnd"/>
      <w:r w:rsidRPr="004A5984">
        <w:t xml:space="preserve"> an entity’s ability to continue as a going concern.</w:t>
      </w:r>
      <w:r w:rsidRPr="004A5984">
        <w:rPr>
          <w:vertAlign w:val="superscript"/>
        </w:rPr>
        <w:footnoteReference w:id="3"/>
      </w:r>
      <w:r w:rsidRPr="004A5984">
        <w:t xml:space="preserve">  The detailed requirements regarding management’s responsibility to assess the entity’s ability to continue as a going concern and related financial statement disclosures may also be set out in law or regulation.</w:t>
      </w:r>
    </w:p>
    <w:p w14:paraId="381D0B8B" w14:textId="34F9C73B" w:rsidR="00964350" w:rsidRDefault="0091735B" w:rsidP="00273DEF">
      <w:pPr>
        <w:pStyle w:val="AusParaLevel1"/>
      </w:pPr>
      <w:proofErr w:type="spellStart"/>
      <w:r>
        <w:t>Aus</w:t>
      </w:r>
      <w:proofErr w:type="spellEnd"/>
      <w:r>
        <w:t> </w:t>
      </w:r>
      <w:r w:rsidR="00912E22">
        <w:fldChar w:fldCharType="begin" w:fldLock="1"/>
      </w:r>
      <w:r w:rsidR="00912E22">
        <w:instrText xml:space="preserve"> STYLEREF ParaLevel1 \n \* MERGEFORMAT </w:instrText>
      </w:r>
      <w:r w:rsidR="00912E22">
        <w:fldChar w:fldCharType="separate"/>
      </w:r>
      <w:r>
        <w:rPr>
          <w:noProof/>
        </w:rPr>
        <w:t>3</w:t>
      </w:r>
      <w:r w:rsidR="00912E22">
        <w:rPr>
          <w:noProof/>
        </w:rPr>
        <w:fldChar w:fldCharType="end"/>
      </w:r>
      <w:r>
        <w:t>.</w:t>
      </w:r>
      <w:r w:rsidR="00912E22">
        <w:fldChar w:fldCharType="begin" w:fldLock="1"/>
      </w:r>
      <w:r w:rsidR="00912E22">
        <w:instrText xml:space="preserve"> SEQ AUS1 \r1 \* MERGEFORMAT </w:instrText>
      </w:r>
      <w:r w:rsidR="00912E22">
        <w:fldChar w:fldCharType="separate"/>
      </w:r>
      <w:r>
        <w:rPr>
          <w:noProof/>
        </w:rPr>
        <w:t>1</w:t>
      </w:r>
      <w:r w:rsidR="00912E22">
        <w:rPr>
          <w:noProof/>
        </w:rPr>
        <w:fldChar w:fldCharType="end"/>
      </w:r>
      <w:r>
        <w:tab/>
        <w:t>Australian Accounting Standards</w:t>
      </w:r>
      <w:r>
        <w:rPr>
          <w:rStyle w:val="FootnoteReference"/>
        </w:rPr>
        <w:footnoteReference w:customMarkFollows="1" w:id="4"/>
        <w:t>*</w:t>
      </w:r>
      <w:r>
        <w:t xml:space="preserve"> require management to </w:t>
      </w:r>
      <w:proofErr w:type="gramStart"/>
      <w:r>
        <w:t>make an assessment of</w:t>
      </w:r>
      <w:proofErr w:type="gramEnd"/>
      <w:r>
        <w:t xml:space="preserve"> an entity’s ability to continue as a going concern.  In addition, certain legislation, such as the </w:t>
      </w:r>
      <w:r>
        <w:rPr>
          <w:i/>
        </w:rPr>
        <w:t>Corporations Act 2001</w:t>
      </w:r>
      <w:r>
        <w:rPr>
          <w:rStyle w:val="FootnoteReference"/>
          <w:i/>
        </w:rPr>
        <w:footnoteReference w:customMarkFollows="1" w:id="5"/>
        <w:t>#</w:t>
      </w:r>
      <w:r>
        <w:t>, requires a formal statement as to the solvency of the entity to be made by those charged with governance and included as part of the financial report upon which the auditor’s opinion is expressed.</w:t>
      </w:r>
    </w:p>
    <w:p w14:paraId="282E0F69" w14:textId="0D80ED9A" w:rsidR="00964350" w:rsidRDefault="00273DEF" w:rsidP="004220A6">
      <w:pPr>
        <w:numPr>
          <w:ilvl w:val="0"/>
          <w:numId w:val="38"/>
        </w:numPr>
        <w:spacing w:after="200"/>
      </w:pPr>
      <w:r w:rsidRPr="00273DEF">
        <w:t>In other financial reporting frameworks, there may be no explicit requirement for management to make a specific assessment of the entity’s ability to continue as a going concern.  Nevertheless, where the going concern basis of accounting is a fundamental principle in the preparation of a financial report as discussed in paragraph </w:t>
      </w:r>
      <w:r w:rsidRPr="00273DEF">
        <w:fldChar w:fldCharType="begin" w:fldLock="1"/>
      </w:r>
      <w:r w:rsidRPr="00273DEF">
        <w:instrText xml:space="preserve"> REF _Ref354219005 \r \h  \* MERGEFORMAT </w:instrText>
      </w:r>
      <w:r w:rsidRPr="00273DEF">
        <w:fldChar w:fldCharType="separate"/>
      </w:r>
      <w:r w:rsidRPr="00273DEF">
        <w:t>2</w:t>
      </w:r>
      <w:r w:rsidRPr="00273DEF">
        <w:fldChar w:fldCharType="end"/>
      </w:r>
      <w:r w:rsidRPr="00273DEF">
        <w:t xml:space="preserve"> of this Auditing Standard, the preparation of the financial report requires management to assess the entity’s ability to continue as a going concern even if the financial reporting framework does not include an explicit requirement to do so.</w:t>
      </w:r>
    </w:p>
    <w:p w14:paraId="6FD8A9C3" w14:textId="0C6C423C" w:rsidR="00964350" w:rsidRDefault="004220A6" w:rsidP="00B07D5B">
      <w:pPr>
        <w:numPr>
          <w:ilvl w:val="0"/>
          <w:numId w:val="38"/>
        </w:numPr>
        <w:spacing w:after="200"/>
      </w:pPr>
      <w:r w:rsidRPr="004220A6">
        <w:t>Management’s assessment of the entity’s ability to continue as a going concern involves making a judgement, at a particular point in time, about inherently uncertain future outcomes of events or conditions.  The following factors are relevant to that judgement:</w:t>
      </w:r>
    </w:p>
    <w:p w14:paraId="69DC940E" w14:textId="77777777" w:rsidR="00B07D5B" w:rsidRPr="00B07D5B" w:rsidRDefault="00B07D5B" w:rsidP="00B07D5B">
      <w:pPr>
        <w:numPr>
          <w:ilvl w:val="0"/>
          <w:numId w:val="35"/>
        </w:numPr>
        <w:spacing w:after="200"/>
        <w:ind w:left="1418"/>
        <w:outlineLvl w:val="0"/>
      </w:pPr>
      <w:r w:rsidRPr="00B07D5B">
        <w:t xml:space="preserve">The degree of uncertainty associated with the outcome of an event or condition increases significantly the further into the future an event or condition or the outcome occurs.  For that reason, most financial reporting frameworks that require an explicit management assessment specify the period for which management is required to </w:t>
      </w:r>
      <w:proofErr w:type="gramStart"/>
      <w:r w:rsidRPr="00B07D5B">
        <w:t>take into account</w:t>
      </w:r>
      <w:proofErr w:type="gramEnd"/>
      <w:r w:rsidRPr="00B07D5B">
        <w:t xml:space="preserve"> all available information.</w:t>
      </w:r>
    </w:p>
    <w:p w14:paraId="4E28CE9A" w14:textId="77777777" w:rsidR="00B07D5B" w:rsidRPr="00B07D5B" w:rsidRDefault="00B07D5B" w:rsidP="00B07D5B">
      <w:pPr>
        <w:numPr>
          <w:ilvl w:val="0"/>
          <w:numId w:val="35"/>
        </w:numPr>
        <w:spacing w:after="200"/>
        <w:ind w:left="1418"/>
        <w:outlineLvl w:val="0"/>
      </w:pPr>
      <w:r w:rsidRPr="00B07D5B">
        <w:t>The size and complexity of the entity, the nature and condition of its business and the degree to which it is affected by external factors affect the judgement regarding the outcome of events or conditions.</w:t>
      </w:r>
    </w:p>
    <w:p w14:paraId="1755E4DB" w14:textId="03406DC4" w:rsidR="00964350" w:rsidRDefault="00B07D5B" w:rsidP="00E73974">
      <w:pPr>
        <w:numPr>
          <w:ilvl w:val="0"/>
          <w:numId w:val="35"/>
        </w:numPr>
        <w:spacing w:after="200"/>
        <w:ind w:left="1418"/>
        <w:outlineLvl w:val="0"/>
      </w:pPr>
      <w:r w:rsidRPr="00B07D5B">
        <w:t>Any judgement about the future is based on information available at the time at which the judgement is made.  Subsequent events may result in outcomes that are inconsistent with judgements that were reasonable at the time they were made.</w:t>
      </w:r>
    </w:p>
    <w:p w14:paraId="172FFC61" w14:textId="2ECE6F3E" w:rsidR="00964350" w:rsidRDefault="00E73974" w:rsidP="008F7D8C">
      <w:pPr>
        <w:pStyle w:val="Heading7"/>
      </w:pPr>
      <w:r w:rsidRPr="00D00BA0">
        <w:t>Responsibilities of the Auditor</w:t>
      </w:r>
    </w:p>
    <w:p w14:paraId="2740288A" w14:textId="68AED82A" w:rsidR="00964350" w:rsidRDefault="008F7D8C" w:rsidP="0008034F">
      <w:pPr>
        <w:numPr>
          <w:ilvl w:val="0"/>
          <w:numId w:val="38"/>
        </w:numPr>
        <w:spacing w:after="200"/>
      </w:pPr>
      <w:r w:rsidRPr="008F7D8C">
        <w:t>The auditor’s responsibilities are to obtain sufficient appropriate audit evidence regarding, and conclude on, the appropriateness of management’s use of the going concern basis of accounting in the preparation of the financial report, and to conclude, based on the audit evidence obtained, whether a material uncertainty exists about the entity’s ability to continue as a going concern.  These responsibilities exist even if the financial reporting framework used in the preparation of the financial report does not include an explicit requirement for management to make a specific assessment of the entity’s ability to continue as a going concern.</w:t>
      </w:r>
    </w:p>
    <w:p w14:paraId="73CDDD9B" w14:textId="7EAFB5DE" w:rsidR="00964350" w:rsidRDefault="0008034F" w:rsidP="00924A1E">
      <w:pPr>
        <w:numPr>
          <w:ilvl w:val="0"/>
          <w:numId w:val="38"/>
        </w:numPr>
        <w:spacing w:after="200"/>
      </w:pPr>
      <w:r w:rsidRPr="0008034F">
        <w:lastRenderedPageBreak/>
        <w:t>However, as described in ASA 200,</w:t>
      </w:r>
      <w:r w:rsidRPr="0008034F">
        <w:rPr>
          <w:vertAlign w:val="superscript"/>
        </w:rPr>
        <w:footnoteReference w:id="6"/>
      </w:r>
      <w:r w:rsidRPr="0008034F">
        <w:t xml:space="preserve"> the potential effects of inherent limitations on the auditor’s ability to detect material misstatements are greater for future events or conditions that may cause an entity to cease to continue as a going concern.  The auditor cannot predict such future events or conditions.  Accordingly, the absence of any reference to a material uncertainty about the entity’s ability to continue as a going concern in an auditor’s report cannot be viewed as a guarantee as to the entity’s ability to continue as a going concern.</w:t>
      </w:r>
    </w:p>
    <w:p w14:paraId="21750400" w14:textId="35C930B8" w:rsidR="00964350" w:rsidRDefault="00924A1E" w:rsidP="006D527E">
      <w:pPr>
        <w:pStyle w:val="Heading6"/>
      </w:pPr>
      <w:r w:rsidRPr="00D00BA0">
        <w:t>Effective Date</w:t>
      </w:r>
    </w:p>
    <w:p w14:paraId="783BCCCE" w14:textId="197B9A38" w:rsidR="00964350" w:rsidRDefault="006D527E" w:rsidP="00810413">
      <w:pPr>
        <w:numPr>
          <w:ilvl w:val="0"/>
          <w:numId w:val="38"/>
        </w:numPr>
        <w:spacing w:after="200"/>
      </w:pPr>
      <w:r w:rsidRPr="006D527E">
        <w:t xml:space="preserve">[Deleted by the AUASB.  Refer </w:t>
      </w:r>
      <w:proofErr w:type="spellStart"/>
      <w:r w:rsidRPr="006D527E">
        <w:t>Aus</w:t>
      </w:r>
      <w:proofErr w:type="spellEnd"/>
      <w:r w:rsidRPr="006D527E">
        <w:t> 0.3]</w:t>
      </w:r>
    </w:p>
    <w:p w14:paraId="393D8F54" w14:textId="34CC4583" w:rsidR="00995D01" w:rsidRDefault="00810413" w:rsidP="00EE0F1D">
      <w:pPr>
        <w:pStyle w:val="Heading5"/>
      </w:pPr>
      <w:r w:rsidRPr="00D00BA0">
        <w:t>Objective</w:t>
      </w:r>
      <w:r>
        <w:t>s</w:t>
      </w:r>
    </w:p>
    <w:p w14:paraId="4FA10311" w14:textId="636D18B0" w:rsidR="00995D01" w:rsidRDefault="00EE0F1D" w:rsidP="001F0411">
      <w:pPr>
        <w:numPr>
          <w:ilvl w:val="0"/>
          <w:numId w:val="38"/>
        </w:numPr>
        <w:spacing w:after="200"/>
      </w:pPr>
      <w:r w:rsidRPr="00EE0F1D">
        <w:t>The objectives of the auditor are:</w:t>
      </w:r>
    </w:p>
    <w:p w14:paraId="6F4A2EB7" w14:textId="77777777" w:rsidR="001F0411" w:rsidRPr="001F0411" w:rsidRDefault="001F0411" w:rsidP="001F0411">
      <w:pPr>
        <w:numPr>
          <w:ilvl w:val="1"/>
          <w:numId w:val="38"/>
        </w:numPr>
        <w:spacing w:after="200"/>
      </w:pPr>
      <w:r w:rsidRPr="001F0411">
        <w:t xml:space="preserve">To obtain sufficient appropriate audit evidence regarding, and conclude on, the appropriateness of management’s use of the going concern basis of accounting in the preparation of the financial </w:t>
      </w:r>
      <w:proofErr w:type="gramStart"/>
      <w:r w:rsidRPr="001F0411">
        <w:t>report;</w:t>
      </w:r>
      <w:proofErr w:type="gramEnd"/>
      <w:r w:rsidRPr="001F0411">
        <w:t xml:space="preserve"> </w:t>
      </w:r>
    </w:p>
    <w:p w14:paraId="0BEF0371" w14:textId="77777777" w:rsidR="001F0411" w:rsidRPr="001F0411" w:rsidRDefault="001F0411" w:rsidP="001F0411">
      <w:pPr>
        <w:numPr>
          <w:ilvl w:val="1"/>
          <w:numId w:val="38"/>
        </w:numPr>
        <w:spacing w:after="200"/>
      </w:pPr>
      <w:r w:rsidRPr="001F0411">
        <w:t xml:space="preserve">To conclude, based on the audit evidence obtained, whether a material uncertainty exists related to events or conditions that may cast significant doubt on the entity’s ability to continue as a going concern; and </w:t>
      </w:r>
    </w:p>
    <w:p w14:paraId="593841F6" w14:textId="573E92DC" w:rsidR="00995D01" w:rsidRDefault="001F0411" w:rsidP="00993B40">
      <w:pPr>
        <w:numPr>
          <w:ilvl w:val="1"/>
          <w:numId w:val="38"/>
        </w:numPr>
        <w:spacing w:after="200"/>
      </w:pPr>
      <w:r w:rsidRPr="001F0411">
        <w:t>To report in accordance with this Auditing Standard.</w:t>
      </w:r>
    </w:p>
    <w:p w14:paraId="743F26DA" w14:textId="7F9E9B3A" w:rsidR="00995D01" w:rsidRDefault="00993B40" w:rsidP="0060029B">
      <w:pPr>
        <w:pStyle w:val="Heading5"/>
      </w:pPr>
      <w:r w:rsidRPr="00CC4208">
        <w:t>Requirements</w:t>
      </w:r>
    </w:p>
    <w:p w14:paraId="7CF7FAFE" w14:textId="78020CC4" w:rsidR="00995D01" w:rsidRDefault="0060029B" w:rsidP="009A38CD">
      <w:pPr>
        <w:pStyle w:val="Heading6"/>
      </w:pPr>
      <w:r w:rsidRPr="00CC4208">
        <w:t xml:space="preserve">Risk Assessment Procedures and Related Activities </w:t>
      </w:r>
    </w:p>
    <w:p w14:paraId="499910C2" w14:textId="4B822E14" w:rsidR="00995D01" w:rsidRDefault="009A38CD" w:rsidP="00B9642C">
      <w:pPr>
        <w:numPr>
          <w:ilvl w:val="0"/>
          <w:numId w:val="38"/>
        </w:numPr>
        <w:spacing w:after="200"/>
      </w:pPr>
      <w:bookmarkStart w:id="24" w:name="_Ref354219015"/>
      <w:r w:rsidRPr="009A38CD">
        <w:t>When performing risk assessment procedures as required by ASA 315</w:t>
      </w:r>
      <w:r w:rsidRPr="009A38CD">
        <w:rPr>
          <w:vertAlign w:val="superscript"/>
        </w:rPr>
        <w:footnoteReference w:id="7"/>
      </w:r>
      <w:r w:rsidRPr="009A38CD">
        <w:t xml:space="preserve"> the auditor shall consider whether events or conditions exist that may cast significant doubt on the entity’s ability to continue as a going concern.  In so doing, the auditor shall determine whether management has already performed a preliminary assessment of the entity’s ability to continue as a going concern, and: </w:t>
      </w:r>
      <w:bookmarkEnd w:id="24"/>
      <w:r w:rsidRPr="009A38CD">
        <w:rPr>
          <w:sz w:val="18"/>
        </w:rPr>
        <w:t>(Ref: Para. A3–A6)</w:t>
      </w:r>
    </w:p>
    <w:p w14:paraId="3D788C7B" w14:textId="77777777" w:rsidR="00B9642C" w:rsidRPr="00B9642C" w:rsidRDefault="00B9642C" w:rsidP="00B9642C">
      <w:pPr>
        <w:numPr>
          <w:ilvl w:val="1"/>
          <w:numId w:val="38"/>
        </w:numPr>
        <w:spacing w:after="200"/>
      </w:pPr>
      <w:r w:rsidRPr="00B9642C">
        <w:t>If such an assessment has been performed, the auditor shall discuss the assessment with management and determine whether management has identified events or conditions that, individually or collectively, may cast significant doubt on the entity’s ability to continue as a going concern and, if so, management’s plans to address them; or</w:t>
      </w:r>
    </w:p>
    <w:p w14:paraId="6E16CD0D" w14:textId="6896D114" w:rsidR="00995D01" w:rsidRDefault="00B9642C" w:rsidP="00D44D63">
      <w:pPr>
        <w:numPr>
          <w:ilvl w:val="1"/>
          <w:numId w:val="38"/>
        </w:numPr>
        <w:spacing w:after="200"/>
      </w:pPr>
      <w:r w:rsidRPr="00B9642C">
        <w:t xml:space="preserve">If such an assessment has not yet been performed, the auditor shall discuss with management the basis for the intended use of the going concern basis of </w:t>
      </w:r>
      <w:proofErr w:type="gramStart"/>
      <w:r w:rsidRPr="00B9642C">
        <w:t>accounting, and</w:t>
      </w:r>
      <w:proofErr w:type="gramEnd"/>
      <w:r w:rsidRPr="00B9642C">
        <w:t xml:space="preserve"> enquire of management whether events or conditions exist that, individually or collectively, may cast significant doubt on the entity’s ability to continue as a going concern.  </w:t>
      </w:r>
    </w:p>
    <w:p w14:paraId="5BFBC09C" w14:textId="348CFCC1" w:rsidR="00995D01" w:rsidRDefault="00D44D63" w:rsidP="00D332F9">
      <w:pPr>
        <w:numPr>
          <w:ilvl w:val="0"/>
          <w:numId w:val="38"/>
        </w:numPr>
        <w:spacing w:after="200"/>
      </w:pPr>
      <w:bookmarkStart w:id="25" w:name="_Ref354219026"/>
      <w:r w:rsidRPr="00D44D63">
        <w:t xml:space="preserve">The auditor shall remain alert throughout the audit for audit evidence of events or conditions that may cast significant doubt on the entity’s ability to continue as a going concern.  </w:t>
      </w:r>
      <w:bookmarkEnd w:id="25"/>
      <w:r w:rsidRPr="00D44D63">
        <w:rPr>
          <w:sz w:val="18"/>
        </w:rPr>
        <w:t>(Ref: Para. A7)</w:t>
      </w:r>
    </w:p>
    <w:p w14:paraId="2FA52A5D" w14:textId="5DBBFFDF" w:rsidR="00995D01" w:rsidRDefault="00D332F9" w:rsidP="00294647">
      <w:pPr>
        <w:pStyle w:val="Heading6"/>
      </w:pPr>
      <w:r w:rsidRPr="002B5E75">
        <w:lastRenderedPageBreak/>
        <w:t xml:space="preserve">Evaluating Management’s Assessment </w:t>
      </w:r>
    </w:p>
    <w:p w14:paraId="1A5AA256" w14:textId="5F6D0E0D" w:rsidR="00995D01" w:rsidRDefault="00294647" w:rsidP="002E1C6E">
      <w:pPr>
        <w:numPr>
          <w:ilvl w:val="0"/>
          <w:numId w:val="38"/>
        </w:numPr>
        <w:spacing w:after="200"/>
      </w:pPr>
      <w:bookmarkStart w:id="26" w:name="_Ref354219036"/>
      <w:r w:rsidRPr="00294647">
        <w:t xml:space="preserve">The auditor shall evaluate management’s assessment of the entity’s ability to continue as a going concern.  </w:t>
      </w:r>
      <w:bookmarkEnd w:id="26"/>
      <w:r w:rsidRPr="00294647">
        <w:rPr>
          <w:sz w:val="18"/>
        </w:rPr>
        <w:t>(Ref: Para. A8–A10, A12–A13)</w:t>
      </w:r>
    </w:p>
    <w:p w14:paraId="6B3661D8" w14:textId="4E4049EA" w:rsidR="002E1C6E" w:rsidRDefault="002E1C6E" w:rsidP="002E1C6E">
      <w:pPr>
        <w:numPr>
          <w:ilvl w:val="0"/>
          <w:numId w:val="38"/>
        </w:numPr>
        <w:spacing w:after="200"/>
      </w:pPr>
      <w:bookmarkStart w:id="27" w:name="_Ref354219051"/>
      <w:r w:rsidRPr="002E1C6E">
        <w:t xml:space="preserve">[Deleted by the AUASB.  Refer </w:t>
      </w:r>
      <w:proofErr w:type="spellStart"/>
      <w:r w:rsidRPr="002E1C6E">
        <w:t>Aus</w:t>
      </w:r>
      <w:proofErr w:type="spellEnd"/>
      <w:r w:rsidRPr="002E1C6E">
        <w:t> 13.1</w:t>
      </w:r>
      <w:r w:rsidRPr="002E1C6E">
        <w:rPr>
          <w:strike/>
          <w:vertAlign w:val="superscript"/>
        </w:rPr>
        <w:footnoteReference w:id="8"/>
      </w:r>
      <w:r w:rsidRPr="002E1C6E">
        <w:t xml:space="preserve">] </w:t>
      </w:r>
      <w:bookmarkEnd w:id="27"/>
    </w:p>
    <w:p w14:paraId="3B9470D2" w14:textId="102BF48F" w:rsidR="00995D01" w:rsidRDefault="002E1C6E" w:rsidP="002E1C6E">
      <w:pPr>
        <w:pStyle w:val="AusParaLevel1"/>
      </w:pPr>
      <w:proofErr w:type="spellStart"/>
      <w:r>
        <w:t>Aus</w:t>
      </w:r>
      <w:proofErr w:type="spellEnd"/>
      <w:r>
        <w:t xml:space="preserve"> 13.1</w:t>
      </w:r>
      <w:r>
        <w:tab/>
      </w:r>
      <w:r w:rsidRPr="00CC4208">
        <w:t xml:space="preserve">In evaluating management’s assessment of the entity’s ability to continue as a going concern, the auditor shall </w:t>
      </w:r>
      <w:r>
        <w:t>consider the relevant p</w:t>
      </w:r>
      <w:r w:rsidRPr="00CC4208">
        <w:t>eriod</w:t>
      </w:r>
      <w:r>
        <w:t xml:space="preserve"> as defined in paragraph </w:t>
      </w:r>
      <w:proofErr w:type="spellStart"/>
      <w:r>
        <w:t>Aus</w:t>
      </w:r>
      <w:proofErr w:type="spellEnd"/>
      <w:r>
        <w:t xml:space="preserve"> 13.2 of this Auditing Standard, which may be the same or may differ from that </w:t>
      </w:r>
      <w:r w:rsidRPr="00CC4208">
        <w:t>used by management to make its assessment as required by the applicable financial reporting fr</w:t>
      </w:r>
      <w:r>
        <w:t>amework</w:t>
      </w:r>
      <w:r w:rsidRPr="00CC4208">
        <w:t xml:space="preserve">.  If management’s assessment of the entity’s ability to continue as a going concern covers less than </w:t>
      </w:r>
      <w:r>
        <w:t xml:space="preserve">the relevant period, </w:t>
      </w:r>
      <w:r w:rsidRPr="00CC4208">
        <w:t xml:space="preserve">the auditor shall request management to extend its assessment period to </w:t>
      </w:r>
      <w:r>
        <w:t>correspond to the relevant period used by the auditor</w:t>
      </w:r>
      <w:r w:rsidRPr="00AA37E9">
        <w:rPr>
          <w:rStyle w:val="RefParas"/>
        </w:rPr>
        <w:t xml:space="preserve">.  </w:t>
      </w:r>
      <w:r w:rsidRPr="00861A27">
        <w:rPr>
          <w:rStyle w:val="RefParas"/>
        </w:rPr>
        <w:t>(</w:t>
      </w:r>
      <w:r>
        <w:rPr>
          <w:rStyle w:val="RefParas"/>
        </w:rPr>
        <w:t>Ref: </w:t>
      </w:r>
      <w:r w:rsidRPr="002B5E75">
        <w:rPr>
          <w:rStyle w:val="RefParas"/>
        </w:rPr>
        <w:t>Para. A11–A13</w:t>
      </w:r>
      <w:r>
        <w:rPr>
          <w:rStyle w:val="RefParas"/>
        </w:rPr>
        <w:t>)</w:t>
      </w:r>
    </w:p>
    <w:p w14:paraId="3D14E6E7" w14:textId="57CF2CEB" w:rsidR="00964350" w:rsidRDefault="002E1C6E" w:rsidP="002E1C6E">
      <w:pPr>
        <w:pStyle w:val="AusParaLevel1"/>
      </w:pPr>
      <w:proofErr w:type="spellStart"/>
      <w:r>
        <w:t>Aus</w:t>
      </w:r>
      <w:proofErr w:type="spellEnd"/>
      <w:r>
        <w:t> 13.2</w:t>
      </w:r>
      <w:r>
        <w:tab/>
        <w:t>Relevant period means the period of approximately twelve months from the date of the auditor’s current report to the expected date of the auditor’s report for:</w:t>
      </w:r>
    </w:p>
    <w:p w14:paraId="76D3F97A" w14:textId="77777777" w:rsidR="002E1C6E" w:rsidRDefault="002E1C6E" w:rsidP="002E1C6E">
      <w:pPr>
        <w:pStyle w:val="AusParaLevel2"/>
      </w:pPr>
      <w:r>
        <w:t>(</w:t>
      </w:r>
      <w:r w:rsidR="00912E22">
        <w:fldChar w:fldCharType="begin" w:fldLock="1"/>
      </w:r>
      <w:r w:rsidR="00912E22">
        <w:instrText xml:space="preserve"> SEQ AUS2 \r1 \* alphabetic \* MERGEFORMAT </w:instrText>
      </w:r>
      <w:r w:rsidR="00912E22">
        <w:fldChar w:fldCharType="separate"/>
      </w:r>
      <w:r>
        <w:rPr>
          <w:noProof/>
        </w:rPr>
        <w:t>a</w:t>
      </w:r>
      <w:r w:rsidR="00912E22">
        <w:rPr>
          <w:noProof/>
        </w:rPr>
        <w:fldChar w:fldCharType="end"/>
      </w:r>
      <w:r>
        <w:t>)</w:t>
      </w:r>
      <w:r>
        <w:tab/>
        <w:t>the next annual reporting date in the case of an annual financial report; or</w:t>
      </w:r>
    </w:p>
    <w:p w14:paraId="3D16AA6B" w14:textId="77777777" w:rsidR="002E1C6E" w:rsidRDefault="002E1C6E" w:rsidP="002E1C6E">
      <w:pPr>
        <w:pStyle w:val="AusParaLevel2"/>
      </w:pPr>
      <w:r>
        <w:t>(</w:t>
      </w:r>
      <w:r w:rsidR="00912E22">
        <w:fldChar w:fldCharType="begin" w:fldLock="1"/>
      </w:r>
      <w:r w:rsidR="00912E22">
        <w:instrText xml:space="preserve"> SEQ AUS2 \* alphabetic \* MERGEFORMAT </w:instrText>
      </w:r>
      <w:r w:rsidR="00912E22">
        <w:fldChar w:fldCharType="separate"/>
      </w:r>
      <w:r>
        <w:rPr>
          <w:noProof/>
        </w:rPr>
        <w:t>b</w:t>
      </w:r>
      <w:r w:rsidR="00912E22">
        <w:rPr>
          <w:noProof/>
        </w:rPr>
        <w:fldChar w:fldCharType="end"/>
      </w:r>
      <w:r>
        <w:t>)</w:t>
      </w:r>
      <w:r>
        <w:tab/>
        <w:t>the corresponding reporting period for the following year in the case of an interim financial reporting period.</w:t>
      </w:r>
    </w:p>
    <w:p w14:paraId="7B8CA7C0" w14:textId="774AEB60" w:rsidR="002E1C6E" w:rsidRDefault="002E1C6E" w:rsidP="002E1C6E">
      <w:pPr>
        <w:numPr>
          <w:ilvl w:val="0"/>
          <w:numId w:val="38"/>
        </w:numPr>
        <w:spacing w:after="200"/>
      </w:pPr>
      <w:r w:rsidRPr="002E1C6E">
        <w:t xml:space="preserve">In evaluating management’s assessment, the auditor shall consider whether management’s assessment includes all relevant information of which the auditor is aware </w:t>
      </w:r>
      <w:proofErr w:type="gramStart"/>
      <w:r w:rsidRPr="002E1C6E">
        <w:t>as a result of</w:t>
      </w:r>
      <w:proofErr w:type="gramEnd"/>
      <w:r w:rsidRPr="002E1C6E">
        <w:t xml:space="preserve"> the audit.</w:t>
      </w:r>
    </w:p>
    <w:p w14:paraId="76ABE8E9" w14:textId="6BBC2F0B" w:rsidR="002E1C6E" w:rsidRDefault="002E1C6E" w:rsidP="002E1C6E">
      <w:pPr>
        <w:pStyle w:val="Heading6"/>
      </w:pPr>
      <w:r w:rsidRPr="00CC4208">
        <w:t xml:space="preserve">Period beyond Management’s Assessment </w:t>
      </w:r>
    </w:p>
    <w:p w14:paraId="44DDBFD2" w14:textId="262940C7" w:rsidR="002E1C6E" w:rsidRDefault="002E1C6E" w:rsidP="002E1C6E">
      <w:pPr>
        <w:numPr>
          <w:ilvl w:val="0"/>
          <w:numId w:val="38"/>
        </w:numPr>
        <w:spacing w:after="200"/>
      </w:pPr>
      <w:bookmarkStart w:id="28" w:name="_Ref354219084"/>
      <w:r w:rsidRPr="002E1C6E">
        <w:t xml:space="preserve">The auditor shall enquire of management as to its knowledge of events or conditions beyond the period of management’s assessment that may cast significant doubt on the entity’s ability to continue as a going concern.  </w:t>
      </w:r>
      <w:bookmarkEnd w:id="28"/>
      <w:r w:rsidRPr="002E1C6E">
        <w:rPr>
          <w:sz w:val="18"/>
        </w:rPr>
        <w:t>(Ref: Para. A14–</w:t>
      </w:r>
      <w:proofErr w:type="spellStart"/>
      <w:r w:rsidRPr="002E1C6E">
        <w:rPr>
          <w:sz w:val="18"/>
        </w:rPr>
        <w:t>Aus</w:t>
      </w:r>
      <w:proofErr w:type="spellEnd"/>
      <w:r w:rsidRPr="002E1C6E">
        <w:rPr>
          <w:sz w:val="18"/>
        </w:rPr>
        <w:t> A15.1)</w:t>
      </w:r>
    </w:p>
    <w:p w14:paraId="58D714C0" w14:textId="624241CB" w:rsidR="002E1C6E" w:rsidRDefault="002E1C6E" w:rsidP="009C6C4D">
      <w:pPr>
        <w:pStyle w:val="Heading6"/>
      </w:pPr>
      <w:r w:rsidRPr="002B5E75">
        <w:t xml:space="preserve">Additional Audit Procedures When Events or Conditions </w:t>
      </w:r>
      <w:r w:rsidRPr="00935D1F">
        <w:t>a</w:t>
      </w:r>
      <w:r w:rsidRPr="002B5E75">
        <w:t xml:space="preserve">re Identified </w:t>
      </w:r>
    </w:p>
    <w:p w14:paraId="21F41630" w14:textId="09049F22" w:rsidR="002E1C6E" w:rsidRDefault="009C6C4D" w:rsidP="009C6C4D">
      <w:pPr>
        <w:numPr>
          <w:ilvl w:val="0"/>
          <w:numId w:val="38"/>
        </w:numPr>
        <w:spacing w:after="200"/>
      </w:pPr>
      <w:bookmarkStart w:id="29" w:name="_Ref354219100"/>
      <w:r w:rsidRPr="009C6C4D">
        <w:t xml:space="preserve">If events or conditions have been identified that may cast significant doubt on the entity’s ability to continue as a going concern, the auditor shall obtain sufficient appropriate audit evidence to determine whether or not a material uncertainty exists related to events or conditions that may cast significant doubt on the entity’s ability to continue as a going concern (hereinafter referred to as “material uncertainty”) through performing additional audit procedures, including consideration of mitigating factors.  These procedures shall include: </w:t>
      </w:r>
      <w:bookmarkEnd w:id="29"/>
      <w:r w:rsidRPr="009C6C4D">
        <w:rPr>
          <w:sz w:val="18"/>
        </w:rPr>
        <w:t>(Ref: Para. A16)</w:t>
      </w:r>
    </w:p>
    <w:p w14:paraId="36475ED2" w14:textId="77777777" w:rsidR="009C6C4D" w:rsidRPr="009C6C4D" w:rsidRDefault="009C6C4D" w:rsidP="009C6C4D">
      <w:pPr>
        <w:numPr>
          <w:ilvl w:val="1"/>
          <w:numId w:val="38"/>
        </w:numPr>
        <w:spacing w:after="200"/>
      </w:pPr>
      <w:r w:rsidRPr="009C6C4D">
        <w:t xml:space="preserve">Where management has not yet performed an assessment of the entity’s ability to continue as a going concern, requesting management to make its assessment.  </w:t>
      </w:r>
    </w:p>
    <w:p w14:paraId="6B0D5D60" w14:textId="77777777" w:rsidR="009C6C4D" w:rsidRPr="009C6C4D" w:rsidRDefault="009C6C4D" w:rsidP="009C6C4D">
      <w:pPr>
        <w:numPr>
          <w:ilvl w:val="1"/>
          <w:numId w:val="38"/>
        </w:numPr>
        <w:spacing w:after="200"/>
      </w:pPr>
      <w:r w:rsidRPr="009C6C4D">
        <w:t xml:space="preserve">Evaluating management’s plans for future actions in relation to its going concern assessment, whether the outcome of these plans is likely to improve the situation and whether management’s plans are feasible in the circumstances.  </w:t>
      </w:r>
      <w:r w:rsidRPr="009C6C4D">
        <w:rPr>
          <w:sz w:val="18"/>
        </w:rPr>
        <w:t>(Ref: Para. A17)</w:t>
      </w:r>
    </w:p>
    <w:p w14:paraId="2E1C060D" w14:textId="59A52C60" w:rsidR="002E1C6E" w:rsidRDefault="009C6C4D" w:rsidP="009C6C4D">
      <w:pPr>
        <w:numPr>
          <w:ilvl w:val="1"/>
          <w:numId w:val="38"/>
        </w:numPr>
        <w:spacing w:after="200"/>
      </w:pPr>
      <w:r w:rsidRPr="009C6C4D">
        <w:t xml:space="preserve">Where the entity has prepared a cash flow forecast, and analysis of the forecast is a significant factor in considering the future outcome of events or conditions in the evaluation of management’s plans for future actions: </w:t>
      </w:r>
      <w:r w:rsidRPr="009C6C4D">
        <w:rPr>
          <w:sz w:val="18"/>
        </w:rPr>
        <w:t>(Ref: Para. A18–A19)</w:t>
      </w:r>
    </w:p>
    <w:p w14:paraId="550A5D64" w14:textId="77777777" w:rsidR="009C6C4D" w:rsidRPr="009C6C4D" w:rsidRDefault="009C6C4D" w:rsidP="009C6C4D">
      <w:pPr>
        <w:numPr>
          <w:ilvl w:val="2"/>
          <w:numId w:val="38"/>
        </w:numPr>
        <w:spacing w:after="200"/>
      </w:pPr>
      <w:r w:rsidRPr="009C6C4D">
        <w:lastRenderedPageBreak/>
        <w:t>Evaluating the reliability of the underlying data generated to prepare the forecast; and</w:t>
      </w:r>
    </w:p>
    <w:p w14:paraId="7B904DA7" w14:textId="4830AA50" w:rsidR="002E1C6E" w:rsidRDefault="009C6C4D" w:rsidP="009C6C4D">
      <w:pPr>
        <w:numPr>
          <w:ilvl w:val="2"/>
          <w:numId w:val="38"/>
        </w:numPr>
        <w:spacing w:after="200"/>
      </w:pPr>
      <w:r w:rsidRPr="009C6C4D">
        <w:t>Determining whether there is adequate support for the assumptions underlying the forecast.</w:t>
      </w:r>
    </w:p>
    <w:p w14:paraId="10043E9E" w14:textId="77777777" w:rsidR="009C6C4D" w:rsidRPr="009C6C4D" w:rsidRDefault="009C6C4D" w:rsidP="009C6C4D">
      <w:pPr>
        <w:numPr>
          <w:ilvl w:val="1"/>
          <w:numId w:val="38"/>
        </w:numPr>
        <w:spacing w:after="200"/>
      </w:pPr>
      <w:r w:rsidRPr="009C6C4D">
        <w:t>Considering whether any additional facts or information have become available since the date on which management made its assessment.</w:t>
      </w:r>
    </w:p>
    <w:p w14:paraId="1A8C9C6B" w14:textId="4968EF96" w:rsidR="002E1C6E" w:rsidRDefault="009C6C4D" w:rsidP="009C6C4D">
      <w:pPr>
        <w:numPr>
          <w:ilvl w:val="1"/>
          <w:numId w:val="38"/>
        </w:numPr>
        <w:spacing w:after="200"/>
      </w:pPr>
      <w:r w:rsidRPr="009C6C4D">
        <w:t xml:space="preserve">Requesting written representations from management and, where appropriate, those charged with governance, regarding their plans for future actions and the feasibility of these plans.  </w:t>
      </w:r>
      <w:r w:rsidRPr="009C6C4D">
        <w:rPr>
          <w:sz w:val="18"/>
        </w:rPr>
        <w:t>(Ref: Para. A20)</w:t>
      </w:r>
    </w:p>
    <w:p w14:paraId="14CF86DF" w14:textId="1EDF8874" w:rsidR="002E1C6E" w:rsidRDefault="009C6C4D" w:rsidP="00E06DB7">
      <w:pPr>
        <w:pStyle w:val="Heading6"/>
      </w:pPr>
      <w:r w:rsidRPr="00F06B9C">
        <w:t xml:space="preserve">Auditor Conclusions </w:t>
      </w:r>
    </w:p>
    <w:p w14:paraId="38DCD2F7" w14:textId="0B32AC4D" w:rsidR="002E1C6E" w:rsidRDefault="00E06DB7" w:rsidP="00E06DB7">
      <w:pPr>
        <w:numPr>
          <w:ilvl w:val="0"/>
          <w:numId w:val="38"/>
        </w:numPr>
        <w:spacing w:after="200"/>
      </w:pPr>
      <w:r w:rsidRPr="00E06DB7">
        <w:t>The auditor shall evaluate whether sufficient appropriate audit evidence has been obtained regarding, and shall conclude on, the appropriateness of management’s use of the going concern basis of accounting in the preparation of the financial report.</w:t>
      </w:r>
    </w:p>
    <w:p w14:paraId="3AF4FAAE" w14:textId="76C7D7FA" w:rsidR="002E1C6E" w:rsidRDefault="00E06DB7" w:rsidP="00E06DB7">
      <w:pPr>
        <w:numPr>
          <w:ilvl w:val="0"/>
          <w:numId w:val="38"/>
        </w:numPr>
        <w:spacing w:after="200"/>
      </w:pPr>
      <w:bookmarkStart w:id="30" w:name="_Ref360461474"/>
      <w:r w:rsidRPr="00E06DB7">
        <w:t xml:space="preserve">Based on the audit evidence obtained, the auditor shall conclude whether, in the auditor’s judgement, a material uncertainty exists related to events or conditions that, individually or collectively, may cast significant doubt on the entity’s ability to continue as a going concern.  A material uncertainty exists when the magnitude of its potential impact and likelihood of occurrence is such that, in the auditor’s judgement, appropriate disclosure of the nature and implications of the uncertainty is necessary for: </w:t>
      </w:r>
      <w:bookmarkEnd w:id="30"/>
      <w:r w:rsidRPr="00E06DB7">
        <w:rPr>
          <w:sz w:val="18"/>
        </w:rPr>
        <w:t>(Ref: Para. A21</w:t>
      </w:r>
      <w:r w:rsidRPr="00E06DB7">
        <w:rPr>
          <w:sz w:val="18"/>
        </w:rPr>
        <w:sym w:font="Symbol" w:char="F02D"/>
      </w:r>
      <w:r w:rsidRPr="00E06DB7">
        <w:rPr>
          <w:sz w:val="18"/>
        </w:rPr>
        <w:t>A22)</w:t>
      </w:r>
    </w:p>
    <w:p w14:paraId="7CBF06C8" w14:textId="77777777" w:rsidR="00E06DB7" w:rsidRPr="00E06DB7" w:rsidRDefault="00E06DB7" w:rsidP="00E06DB7">
      <w:pPr>
        <w:numPr>
          <w:ilvl w:val="1"/>
          <w:numId w:val="38"/>
        </w:numPr>
        <w:spacing w:after="200"/>
      </w:pPr>
      <w:r w:rsidRPr="00E06DB7">
        <w:t xml:space="preserve">In the case of a fair presentation financial reporting framework, the fair presentation of the financial report, or </w:t>
      </w:r>
    </w:p>
    <w:p w14:paraId="6C95E408" w14:textId="641EB856" w:rsidR="002E1C6E" w:rsidRDefault="00E06DB7" w:rsidP="00E06DB7">
      <w:pPr>
        <w:numPr>
          <w:ilvl w:val="1"/>
          <w:numId w:val="38"/>
        </w:numPr>
        <w:spacing w:after="200"/>
      </w:pPr>
      <w:r w:rsidRPr="00E06DB7">
        <w:t>In the case of a compliance framework, the financial report not to be misleading.</w:t>
      </w:r>
    </w:p>
    <w:p w14:paraId="0D2F4434" w14:textId="633933A6" w:rsidR="002E1C6E" w:rsidRDefault="00E06DB7" w:rsidP="00E06DB7">
      <w:pPr>
        <w:pStyle w:val="Heading7"/>
      </w:pPr>
      <w:r w:rsidRPr="00F06B9C">
        <w:t>Adequacy of Disclosures When Events or Conditions Have Been Identified and a Material Uncertainty Exists</w:t>
      </w:r>
    </w:p>
    <w:p w14:paraId="7A06957F" w14:textId="6F36BAB1" w:rsidR="002E1C6E" w:rsidRDefault="00E06DB7" w:rsidP="00E06DB7">
      <w:pPr>
        <w:numPr>
          <w:ilvl w:val="0"/>
          <w:numId w:val="38"/>
        </w:numPr>
        <w:spacing w:after="200"/>
      </w:pPr>
      <w:r w:rsidRPr="00E06DB7">
        <w:t xml:space="preserve">If the auditor concludes that management’s use of the going concern basis of accounting is appropriate in the circumstances but a material uncertainty exists, the auditor shall determine whether the financial report: </w:t>
      </w:r>
      <w:r w:rsidRPr="00E06DB7">
        <w:rPr>
          <w:sz w:val="18"/>
        </w:rPr>
        <w:t>(Ref: Para. A22‒A23)</w:t>
      </w:r>
      <w:r w:rsidRPr="00E06DB7">
        <w:t xml:space="preserve"> </w:t>
      </w:r>
    </w:p>
    <w:p w14:paraId="0A0243D8" w14:textId="72ABDF5A" w:rsidR="002E1C6E" w:rsidRDefault="00E06DB7" w:rsidP="00E06DB7">
      <w:pPr>
        <w:numPr>
          <w:ilvl w:val="1"/>
          <w:numId w:val="38"/>
        </w:numPr>
        <w:spacing w:after="200"/>
      </w:pPr>
      <w:r w:rsidRPr="00E06DB7">
        <w:t>Adequately discloses the principal events or conditions that may cast significant doubt on the entity’s ability to continue as a going concern and management’s plans to deal with these events or conditions; and</w:t>
      </w:r>
    </w:p>
    <w:p w14:paraId="325EDA8A" w14:textId="5D22983D" w:rsidR="002E1C6E" w:rsidRDefault="00E06DB7" w:rsidP="00E06DB7">
      <w:pPr>
        <w:numPr>
          <w:ilvl w:val="1"/>
          <w:numId w:val="38"/>
        </w:numPr>
        <w:spacing w:after="200"/>
      </w:pPr>
      <w:r w:rsidRPr="00E06DB7">
        <w:t xml:space="preserve">Discloses clearly that there is a material uncertainty related to events or conditions that may cast significant doubt on the entity’s ability to continue as a going concern and, therefore, that it may be unable to realise its assets and discharge its liabilities in the normal course of business.  </w:t>
      </w:r>
    </w:p>
    <w:p w14:paraId="05895A3E" w14:textId="34763032" w:rsidR="00E06DB7" w:rsidRDefault="00E06DB7" w:rsidP="00E06DB7">
      <w:pPr>
        <w:pStyle w:val="Heading7"/>
      </w:pPr>
      <w:r w:rsidRPr="00F06B9C">
        <w:t>Adequacy of Disclosures When Events or Conditions Have Been Identified but No Material Uncertainty Exists</w:t>
      </w:r>
    </w:p>
    <w:p w14:paraId="5793A459" w14:textId="205E4B81" w:rsidR="00E06DB7" w:rsidRDefault="00E06DB7" w:rsidP="00E06DB7">
      <w:pPr>
        <w:numPr>
          <w:ilvl w:val="0"/>
          <w:numId w:val="38"/>
        </w:numPr>
        <w:spacing w:after="200"/>
      </w:pPr>
      <w:r w:rsidRPr="00E06DB7">
        <w:t xml:space="preserve">If events or conditions have been identified that may cast significant doubt on the entity’s ability to continue as a going concern but, based on the audit evidence obtained the auditor concludes that no material uncertainty exists, the auditor shall evaluate whether, in view of the requirements of the applicable financial reporting framework, the financial report provide adequate disclosures about these events or conditions.  </w:t>
      </w:r>
      <w:r w:rsidRPr="00E06DB7">
        <w:rPr>
          <w:sz w:val="18"/>
        </w:rPr>
        <w:t xml:space="preserve">(Ref: Para. A24–A25) </w:t>
      </w:r>
    </w:p>
    <w:p w14:paraId="76ED0FB0" w14:textId="3C6FF08D" w:rsidR="00E06DB7" w:rsidRDefault="00E06DB7" w:rsidP="00E06DB7">
      <w:pPr>
        <w:pStyle w:val="Heading6"/>
      </w:pPr>
      <w:r w:rsidRPr="00F06B9C">
        <w:lastRenderedPageBreak/>
        <w:t>Implications for the Auditor’s Report</w:t>
      </w:r>
    </w:p>
    <w:p w14:paraId="624D466E" w14:textId="129FC64D" w:rsidR="00E06DB7" w:rsidRDefault="00E06DB7" w:rsidP="00E06DB7">
      <w:pPr>
        <w:pStyle w:val="Heading7"/>
      </w:pPr>
      <w:r w:rsidRPr="00F06B9C">
        <w:t>Use of Going Concern Basis of Accounting Is Inappropriate</w:t>
      </w:r>
    </w:p>
    <w:p w14:paraId="49FB6565" w14:textId="03498381" w:rsidR="00E06DB7" w:rsidRDefault="00E06DB7" w:rsidP="00E06DB7">
      <w:pPr>
        <w:numPr>
          <w:ilvl w:val="0"/>
          <w:numId w:val="38"/>
        </w:numPr>
        <w:spacing w:after="200"/>
      </w:pPr>
      <w:r w:rsidRPr="00E06DB7">
        <w:t xml:space="preserve">If the financial report has been prepared using the going concern basis of accounting but, in the auditor’s judgement, management’s use of the going concern basis of accounting in the preparation of the financial report is inappropriate, the auditor shall express an adverse opinion.  </w:t>
      </w:r>
      <w:r w:rsidRPr="00E06DB7">
        <w:rPr>
          <w:sz w:val="18"/>
        </w:rPr>
        <w:t>(Ref: Para. A26–A27)</w:t>
      </w:r>
    </w:p>
    <w:p w14:paraId="4B582C7A" w14:textId="77777777" w:rsidR="00E06DB7" w:rsidRPr="00F06B9C" w:rsidRDefault="00E06DB7" w:rsidP="00E06DB7">
      <w:pPr>
        <w:pStyle w:val="Heading7"/>
      </w:pPr>
      <w:r w:rsidRPr="00F06B9C">
        <w:t>Use of Going Concern Basis of Accounting Is Appropriate but a Material Uncertainty Exists</w:t>
      </w:r>
    </w:p>
    <w:p w14:paraId="6D24C389" w14:textId="77777777" w:rsidR="00E06DB7" w:rsidRPr="00E06DB7" w:rsidRDefault="00E06DB7" w:rsidP="00480E5B">
      <w:pPr>
        <w:pStyle w:val="Heading8"/>
      </w:pPr>
      <w:r w:rsidRPr="00E06DB7">
        <w:t>Adequate Disclosure of a Material Uncertainty Is Made in the Financial Report</w:t>
      </w:r>
    </w:p>
    <w:p w14:paraId="28B7F449" w14:textId="4A5A547B" w:rsidR="00E06DB7" w:rsidRDefault="00E06DB7" w:rsidP="00E06DB7">
      <w:pPr>
        <w:numPr>
          <w:ilvl w:val="0"/>
          <w:numId w:val="38"/>
        </w:numPr>
        <w:spacing w:after="200"/>
      </w:pPr>
      <w:bookmarkStart w:id="31" w:name="_Ref354219162"/>
      <w:bookmarkStart w:id="32" w:name="_Ref356545432"/>
      <w:bookmarkStart w:id="33" w:name="_Ref357144834"/>
      <w:r w:rsidRPr="00E06DB7">
        <w:t>If adequate disclosure about the material uncertainty is made in the financial report, the auditor shall express an unmodified opinion and the auditor’s report shall include a separate section under the heading “Material Uncertainty Related to Going Concern” to:</w:t>
      </w:r>
      <w:bookmarkEnd w:id="31"/>
      <w:bookmarkEnd w:id="32"/>
      <w:r w:rsidRPr="00E06DB7">
        <w:t xml:space="preserve"> </w:t>
      </w:r>
      <w:bookmarkEnd w:id="33"/>
      <w:r w:rsidRPr="00E06DB7">
        <w:rPr>
          <w:sz w:val="18"/>
        </w:rPr>
        <w:t>(Ref: Para. A28</w:t>
      </w:r>
      <w:r w:rsidRPr="00E06DB7">
        <w:rPr>
          <w:sz w:val="18"/>
        </w:rPr>
        <w:noBreakHyphen/>
        <w:t>A31, A34)</w:t>
      </w:r>
    </w:p>
    <w:p w14:paraId="49D58491" w14:textId="099CCCEE" w:rsidR="00E06DB7" w:rsidRDefault="00E06DB7" w:rsidP="00E06DB7">
      <w:pPr>
        <w:numPr>
          <w:ilvl w:val="1"/>
          <w:numId w:val="38"/>
        </w:numPr>
        <w:spacing w:after="200"/>
      </w:pPr>
      <w:r w:rsidRPr="00E06DB7">
        <w:t>Draw attention to the note in the financial report that discloses the matters set out in paragraph 19 of this Auditing Standard; and</w:t>
      </w:r>
    </w:p>
    <w:p w14:paraId="2E4592B3" w14:textId="491F957A" w:rsidR="00E06DB7" w:rsidRDefault="00E06DB7" w:rsidP="00E06DB7">
      <w:pPr>
        <w:numPr>
          <w:ilvl w:val="1"/>
          <w:numId w:val="38"/>
        </w:numPr>
        <w:spacing w:after="200"/>
      </w:pPr>
      <w:r w:rsidRPr="00E06DB7">
        <w:t>State that these events or conditions indicate that a material uncertainty exists that may cast significant doubt on the entity’s ability to continue as a going concern and that the auditor’s opinion is not modified in respect of the matter.</w:t>
      </w:r>
    </w:p>
    <w:p w14:paraId="76C0AB69" w14:textId="25B24CD8" w:rsidR="00E06DB7" w:rsidRPr="00CF7C02" w:rsidRDefault="00480E5B" w:rsidP="00480E5B">
      <w:pPr>
        <w:pStyle w:val="Heading8"/>
        <w:rPr>
          <w:highlight w:val="yellow"/>
        </w:rPr>
      </w:pPr>
      <w:r w:rsidRPr="00480E5B">
        <w:t>Adequate Disclosure of a Material Uncertainty Is Not Made in the Financial Report</w:t>
      </w:r>
    </w:p>
    <w:p w14:paraId="4A4FB9D8" w14:textId="77777777" w:rsidR="00480E5B" w:rsidRPr="00F06B9C" w:rsidRDefault="00480E5B" w:rsidP="00480E5B">
      <w:pPr>
        <w:pStyle w:val="ParaLevel1"/>
      </w:pPr>
      <w:bookmarkStart w:id="34" w:name="_Ref356290344"/>
      <w:bookmarkStart w:id="35" w:name="_Ref356546646"/>
      <w:bookmarkStart w:id="36" w:name="_Ref357145000"/>
      <w:r w:rsidRPr="00F06B9C">
        <w:t xml:space="preserve">If adequate disclosure about the material uncertainty is not made in the </w:t>
      </w:r>
      <w:r>
        <w:t>financial report</w:t>
      </w:r>
      <w:r w:rsidRPr="00F06B9C">
        <w:t>, the auditor shall:</w:t>
      </w:r>
      <w:bookmarkEnd w:id="34"/>
      <w:bookmarkEnd w:id="35"/>
      <w:r w:rsidRPr="00F06B9C">
        <w:t xml:space="preserve"> </w:t>
      </w:r>
      <w:bookmarkEnd w:id="36"/>
      <w:r w:rsidRPr="000A7CD7">
        <w:rPr>
          <w:rStyle w:val="RefParas"/>
        </w:rPr>
        <w:t>(</w:t>
      </w:r>
      <w:r>
        <w:rPr>
          <w:rStyle w:val="RefParas"/>
        </w:rPr>
        <w:t>Ref: Para</w:t>
      </w:r>
      <w:r w:rsidRPr="002B5E75">
        <w:rPr>
          <w:rStyle w:val="RefParas"/>
        </w:rPr>
        <w:t>. A32–A34)</w:t>
      </w:r>
    </w:p>
    <w:p w14:paraId="256D1F11" w14:textId="77777777" w:rsidR="00E06DB7" w:rsidRPr="00E06DB7" w:rsidRDefault="00E06DB7" w:rsidP="00E06DB7">
      <w:pPr>
        <w:numPr>
          <w:ilvl w:val="1"/>
          <w:numId w:val="38"/>
        </w:numPr>
        <w:spacing w:after="200"/>
      </w:pPr>
      <w:r w:rsidRPr="00E06DB7">
        <w:t>Express a qualified opinion or adverse opinion, as appropriate, in accordance with ASA 705</w:t>
      </w:r>
      <w:r w:rsidRPr="00E06DB7">
        <w:rPr>
          <w:vertAlign w:val="superscript"/>
        </w:rPr>
        <w:footnoteReference w:id="9"/>
      </w:r>
      <w:r w:rsidRPr="00E06DB7">
        <w:t>; and</w:t>
      </w:r>
    </w:p>
    <w:p w14:paraId="5A745C46" w14:textId="3BAF5EA0" w:rsidR="00E06DB7" w:rsidRDefault="00E06DB7" w:rsidP="00E06DB7">
      <w:pPr>
        <w:numPr>
          <w:ilvl w:val="1"/>
          <w:numId w:val="38"/>
        </w:numPr>
        <w:spacing w:after="200"/>
      </w:pPr>
      <w:r w:rsidRPr="00E06DB7">
        <w:t xml:space="preserve">In the Basis for Qualified (Adverse) Opinion section of the auditor’s report, state that a material uncertainty exists that may cast significant doubt on the entity’s ability to continue as a going concern and that the financial report does not adequately disclose this matter.  </w:t>
      </w:r>
    </w:p>
    <w:p w14:paraId="7D05C5BE" w14:textId="5CED2829" w:rsidR="00E06DB7" w:rsidRDefault="00E06DB7" w:rsidP="00E06DB7">
      <w:pPr>
        <w:pStyle w:val="Heading8"/>
      </w:pPr>
      <w:r w:rsidRPr="00F06B9C">
        <w:t>Management Unwilling to Make or Extend Its Assessment</w:t>
      </w:r>
    </w:p>
    <w:p w14:paraId="049CECDC" w14:textId="4E91EDB8" w:rsidR="00E06DB7" w:rsidRDefault="00E06DB7" w:rsidP="00E06DB7">
      <w:pPr>
        <w:numPr>
          <w:ilvl w:val="0"/>
          <w:numId w:val="38"/>
        </w:numPr>
        <w:spacing w:after="200"/>
      </w:pPr>
      <w:r w:rsidRPr="00E06DB7">
        <w:t xml:space="preserve">If management is unwilling to make or extend its assessment when requested to do so by the auditor, the auditor shall consider the implications for the auditor’s report.  </w:t>
      </w:r>
      <w:r w:rsidRPr="00E06DB7">
        <w:br/>
      </w:r>
      <w:r w:rsidRPr="00E06DB7">
        <w:rPr>
          <w:sz w:val="18"/>
        </w:rPr>
        <w:t>(Ref: Para. A35-Aus A35.1)</w:t>
      </w:r>
    </w:p>
    <w:p w14:paraId="7FA6F158" w14:textId="1398192A" w:rsidR="00E06DB7" w:rsidRDefault="00E06DB7" w:rsidP="00E06DB7">
      <w:pPr>
        <w:pStyle w:val="Heading6"/>
      </w:pPr>
      <w:r w:rsidRPr="009057EA">
        <w:t>Communication with Those Charged with Governance</w:t>
      </w:r>
    </w:p>
    <w:p w14:paraId="1FD6B163" w14:textId="0714CA14" w:rsidR="00E06DB7" w:rsidRDefault="00E06DB7" w:rsidP="00E06DB7">
      <w:pPr>
        <w:numPr>
          <w:ilvl w:val="0"/>
          <w:numId w:val="38"/>
        </w:numPr>
        <w:spacing w:after="200"/>
      </w:pPr>
      <w:r w:rsidRPr="00E06DB7">
        <w:t>Unless all those charged with governance are involved in managing the entity,</w:t>
      </w:r>
      <w:r w:rsidRPr="00E06DB7">
        <w:rPr>
          <w:vertAlign w:val="superscript"/>
        </w:rPr>
        <w:footnoteReference w:id="10"/>
      </w:r>
      <w:r w:rsidRPr="00E06DB7">
        <w:t xml:space="preserve"> the auditor shall communicate with those charged with governance events or conditions identified that may cast significant doubt on the entity’s ability to continue as a going concern.  Such communication with those charged with governance shall include the following:</w:t>
      </w:r>
    </w:p>
    <w:p w14:paraId="49FB7685" w14:textId="77777777" w:rsidR="00E06DB7" w:rsidRPr="00E06DB7" w:rsidRDefault="00E06DB7" w:rsidP="00E06DB7">
      <w:pPr>
        <w:numPr>
          <w:ilvl w:val="1"/>
          <w:numId w:val="38"/>
        </w:numPr>
        <w:spacing w:after="200"/>
      </w:pPr>
      <w:r w:rsidRPr="00E06DB7">
        <w:t xml:space="preserve">Whether the events or conditions constitute a material </w:t>
      </w:r>
      <w:proofErr w:type="gramStart"/>
      <w:r w:rsidRPr="00E06DB7">
        <w:t>uncertainty;</w:t>
      </w:r>
      <w:proofErr w:type="gramEnd"/>
    </w:p>
    <w:p w14:paraId="4EFE97D8" w14:textId="77777777" w:rsidR="00E06DB7" w:rsidRPr="00E06DB7" w:rsidRDefault="00E06DB7" w:rsidP="00E06DB7">
      <w:pPr>
        <w:numPr>
          <w:ilvl w:val="1"/>
          <w:numId w:val="38"/>
        </w:numPr>
        <w:spacing w:after="200"/>
      </w:pPr>
      <w:r w:rsidRPr="00E06DB7">
        <w:t xml:space="preserve">Whether management’s use of the going concern basis of accounting is appropriate in the preparation of the financial </w:t>
      </w:r>
      <w:proofErr w:type="gramStart"/>
      <w:r w:rsidRPr="00E06DB7">
        <w:t>report;</w:t>
      </w:r>
      <w:proofErr w:type="gramEnd"/>
      <w:r w:rsidRPr="00E06DB7">
        <w:t xml:space="preserve"> </w:t>
      </w:r>
    </w:p>
    <w:p w14:paraId="181416E8" w14:textId="77777777" w:rsidR="00E06DB7" w:rsidRPr="00E06DB7" w:rsidRDefault="00E06DB7" w:rsidP="00E06DB7">
      <w:pPr>
        <w:numPr>
          <w:ilvl w:val="1"/>
          <w:numId w:val="38"/>
        </w:numPr>
        <w:spacing w:after="200"/>
      </w:pPr>
      <w:r w:rsidRPr="00E06DB7">
        <w:lastRenderedPageBreak/>
        <w:t>The adequacy of related disclosures in the financial report; and</w:t>
      </w:r>
    </w:p>
    <w:p w14:paraId="1AAC9379" w14:textId="3FF9AEBD" w:rsidR="00E06DB7" w:rsidRDefault="00E06DB7" w:rsidP="00E06DB7">
      <w:pPr>
        <w:numPr>
          <w:ilvl w:val="1"/>
          <w:numId w:val="38"/>
        </w:numPr>
        <w:spacing w:after="200"/>
      </w:pPr>
      <w:r w:rsidRPr="00E06DB7">
        <w:t>Where applicable, the implications for the auditor’s report.</w:t>
      </w:r>
    </w:p>
    <w:p w14:paraId="3B024D01" w14:textId="77777777" w:rsidR="00E06DB7" w:rsidRPr="009057EA" w:rsidRDefault="00E06DB7" w:rsidP="00E06DB7">
      <w:pPr>
        <w:pStyle w:val="Heading6"/>
      </w:pPr>
      <w:r w:rsidRPr="009057EA">
        <w:t xml:space="preserve">Significant Delay in the Approval of </w:t>
      </w:r>
      <w:r>
        <w:t>Financial Report</w:t>
      </w:r>
    </w:p>
    <w:p w14:paraId="13A6F573" w14:textId="6503A1CB" w:rsidR="00E06DB7" w:rsidRDefault="00E06DB7" w:rsidP="00E06DB7">
      <w:pPr>
        <w:numPr>
          <w:ilvl w:val="0"/>
          <w:numId w:val="38"/>
        </w:numPr>
        <w:spacing w:after="480"/>
      </w:pPr>
      <w:r w:rsidRPr="00E06DB7">
        <w:t>If there is significant delay in the approval of the financial report by management or those charged with governance after the date of the financial report, the auditor shall enquire as to the reasons for the delay.  If the auditor believes that the delay could be related to events or conditions relating to the going concern assessment, the auditor shall perform those additional audit procedures necessary, as described in paragraph 16 of this Auditing Standard, as well as consider the effect on the auditor’s conclusion regarding the existence of a material uncertainty, as described in paragraph 18 of this Auditing Standard.</w:t>
      </w:r>
    </w:p>
    <w:p w14:paraId="0A8A9F37" w14:textId="32F3275E" w:rsidR="00E06DB7" w:rsidRDefault="00E06DB7" w:rsidP="00E06DB7">
      <w:pPr>
        <w:pStyle w:val="ParaPlain"/>
        <w:jc w:val="center"/>
      </w:pPr>
      <w:r w:rsidRPr="009057EA">
        <w:t>* * *</w:t>
      </w:r>
    </w:p>
    <w:p w14:paraId="353A0C01" w14:textId="77777777" w:rsidR="00E06DB7" w:rsidRDefault="00E06DB7">
      <w:pPr>
        <w:spacing w:line="240" w:lineRule="auto"/>
      </w:pPr>
      <w:r>
        <w:br w:type="page"/>
      </w:r>
    </w:p>
    <w:p w14:paraId="19141841" w14:textId="48AB233A" w:rsidR="00E06DB7" w:rsidRDefault="00E06DB7" w:rsidP="00E06DB7">
      <w:pPr>
        <w:pStyle w:val="Heading5"/>
      </w:pPr>
      <w:r w:rsidRPr="009057EA">
        <w:lastRenderedPageBreak/>
        <w:t>Application and Other Explanatory Materia</w:t>
      </w:r>
      <w:r>
        <w:t>l</w:t>
      </w:r>
    </w:p>
    <w:p w14:paraId="7320CC62" w14:textId="669A92A7" w:rsidR="00E06DB7" w:rsidRDefault="00E06DB7" w:rsidP="00E06DB7">
      <w:pPr>
        <w:pStyle w:val="Heading6"/>
      </w:pPr>
      <w:r w:rsidRPr="009057EA">
        <w:t xml:space="preserve">Scope of this </w:t>
      </w:r>
      <w:r>
        <w:t>Auditing Standard</w:t>
      </w:r>
      <w:r w:rsidRPr="009057EA">
        <w:t xml:space="preserve"> </w:t>
      </w:r>
      <w:r w:rsidRPr="00577AF5">
        <w:rPr>
          <w:rStyle w:val="RefParas"/>
          <w:b w:val="0"/>
        </w:rPr>
        <w:t>(</w:t>
      </w:r>
      <w:r w:rsidRPr="002B5E75">
        <w:rPr>
          <w:rStyle w:val="RefParas"/>
          <w:b w:val="0"/>
        </w:rPr>
        <w:t>Ref: Para 1)</w:t>
      </w:r>
    </w:p>
    <w:p w14:paraId="5E17E073" w14:textId="3CE3426F" w:rsidR="00E06DB7" w:rsidRDefault="00E06DB7" w:rsidP="00677589">
      <w:pPr>
        <w:pStyle w:val="AParaLevel1"/>
        <w:ind w:left="709"/>
      </w:pPr>
      <w:r w:rsidRPr="002B5E75">
        <w:t>ASA 701</w:t>
      </w:r>
      <w:r w:rsidRPr="002B5E75">
        <w:rPr>
          <w:vertAlign w:val="superscript"/>
        </w:rPr>
        <w:footnoteReference w:id="11"/>
      </w:r>
      <w:r w:rsidRPr="002B5E75">
        <w:t xml:space="preserve"> deals with the auditor’s responsibility to communicate key audit matters in the auditor’s report.  That Auditing Standard acknowledges that, when ASA 701 applies, matters relating to going concern may be determined to be key audit </w:t>
      </w:r>
      <w:proofErr w:type="gramStart"/>
      <w:r w:rsidRPr="002B5E75">
        <w:t>matters, and</w:t>
      </w:r>
      <w:proofErr w:type="gramEnd"/>
      <w:r w:rsidRPr="002B5E75">
        <w:t xml:space="preserve"> explains that a material uncertainty related to events or conditions that may cast significant doubt on the entity’s ability to continue as a going concern is, by its nature, a key audit matter.</w:t>
      </w:r>
      <w:r w:rsidRPr="002B5E75">
        <w:rPr>
          <w:vertAlign w:val="superscript"/>
        </w:rPr>
        <w:footnoteReference w:id="12"/>
      </w:r>
    </w:p>
    <w:p w14:paraId="0DA81C11" w14:textId="1F7DAE56" w:rsidR="00E06DB7" w:rsidRDefault="00E06DB7" w:rsidP="008B1DBC">
      <w:pPr>
        <w:pStyle w:val="Heading6"/>
      </w:pPr>
      <w:r w:rsidRPr="002B5E75">
        <w:t xml:space="preserve">Going Concern Basis of Accounting </w:t>
      </w:r>
      <w:r w:rsidRPr="002B5E75">
        <w:rPr>
          <w:rStyle w:val="RefParas"/>
          <w:b w:val="0"/>
        </w:rPr>
        <w:t>(Ref: Para. </w:t>
      </w:r>
      <w:r w:rsidRPr="002B5E75">
        <w:rPr>
          <w:rStyle w:val="RefParas"/>
          <w:b w:val="0"/>
        </w:rPr>
        <w:fldChar w:fldCharType="begin" w:fldLock="1"/>
      </w:r>
      <w:r w:rsidRPr="002B5E75">
        <w:rPr>
          <w:rStyle w:val="RefParas"/>
          <w:b w:val="0"/>
        </w:rPr>
        <w:instrText xml:space="preserve"> REF _Ref354219005 \r \h  \* MERGEFORMAT </w:instrText>
      </w:r>
      <w:r w:rsidRPr="002B5E75">
        <w:rPr>
          <w:rStyle w:val="RefParas"/>
          <w:b w:val="0"/>
        </w:rPr>
      </w:r>
      <w:r w:rsidRPr="002B5E75">
        <w:rPr>
          <w:rStyle w:val="RefParas"/>
          <w:b w:val="0"/>
        </w:rPr>
        <w:fldChar w:fldCharType="separate"/>
      </w:r>
      <w:r w:rsidRPr="002B5E75">
        <w:rPr>
          <w:rStyle w:val="RefParas"/>
          <w:b w:val="0"/>
        </w:rPr>
        <w:t>2</w:t>
      </w:r>
      <w:r w:rsidRPr="002B5E75">
        <w:rPr>
          <w:rStyle w:val="RefParas"/>
          <w:b w:val="0"/>
        </w:rPr>
        <w:fldChar w:fldCharType="end"/>
      </w:r>
      <w:r w:rsidRPr="002B5E75">
        <w:rPr>
          <w:rStyle w:val="RefParas"/>
          <w:b w:val="0"/>
        </w:rPr>
        <w:t>)</w:t>
      </w:r>
    </w:p>
    <w:p w14:paraId="6ABCADF8" w14:textId="06C2C1FC" w:rsidR="00E06DB7" w:rsidRDefault="008B1DBC" w:rsidP="008B1DBC">
      <w:pPr>
        <w:pStyle w:val="Heading7"/>
      </w:pPr>
      <w:r w:rsidRPr="002B5E75">
        <w:t>Considerations Specific to Public Sector Entities</w:t>
      </w:r>
      <w:r w:rsidRPr="009057EA">
        <w:t xml:space="preserve"> </w:t>
      </w:r>
    </w:p>
    <w:p w14:paraId="1A30FA61" w14:textId="5EF8C942" w:rsidR="00E06DB7" w:rsidRDefault="008B1DBC" w:rsidP="00677589">
      <w:pPr>
        <w:pStyle w:val="AParaLevel1"/>
        <w:ind w:left="709"/>
      </w:pPr>
      <w:bookmarkStart w:id="37" w:name="_Ref354218799"/>
      <w:r w:rsidRPr="009057EA">
        <w:t xml:space="preserve">Management’s use of the going concern basis of accounting is also relevant to public sector entities.  For example, </w:t>
      </w:r>
      <w:r>
        <w:t>Australian</w:t>
      </w:r>
      <w:r w:rsidRPr="009057EA">
        <w:t xml:space="preserve"> Accounting Standard</w:t>
      </w:r>
      <w:r>
        <w:t xml:space="preserve"> AASB </w:t>
      </w:r>
      <w:r w:rsidRPr="009057EA">
        <w:t>1</w:t>
      </w:r>
      <w:r>
        <w:t>01</w:t>
      </w:r>
      <w:r w:rsidRPr="009057EA">
        <w:t xml:space="preserve"> addresses the issue of the ability of public sector entities to continue as going concerns.</w:t>
      </w:r>
      <w:r w:rsidRPr="005C13EA">
        <w:rPr>
          <w:vertAlign w:val="superscript"/>
        </w:rPr>
        <w:footnoteReference w:id="13"/>
      </w:r>
      <w:r w:rsidRPr="009057EA">
        <w:t xml:space="preserve"> </w:t>
      </w:r>
      <w:r>
        <w:t xml:space="preserve"> </w:t>
      </w:r>
      <w:r w:rsidRPr="009057EA">
        <w:t>Going concern risks may arise, but are not limited to, situations where public sector entities operate on a for</w:t>
      </w:r>
      <w:r w:rsidRPr="009057EA">
        <w:noBreakHyphen/>
        <w:t>profit basis, where government support may be reduced or withd</w:t>
      </w:r>
      <w:r>
        <w:t>rawn, or in the case of privatis</w:t>
      </w:r>
      <w:r w:rsidRPr="009057EA">
        <w:t>ation.  Events or conditions that may cast significant doubt on an entity’s ability to continue as a going concern in the public sector may include situations where the public sector entity lacks funding for its continued existence or when policy decisions are made that affect the services provided by the public sector entity.</w:t>
      </w:r>
      <w:bookmarkEnd w:id="37"/>
    </w:p>
    <w:p w14:paraId="5D54D8D9" w14:textId="77777777" w:rsidR="008B1DBC" w:rsidRPr="008B1DBC" w:rsidRDefault="008B1DBC" w:rsidP="00677589">
      <w:pPr>
        <w:pStyle w:val="Heading6"/>
      </w:pPr>
      <w:r w:rsidRPr="008B1DBC">
        <w:t>Risk Assessment Procedures and Related Activities</w:t>
      </w:r>
    </w:p>
    <w:p w14:paraId="1B0FF671" w14:textId="77777777" w:rsidR="008B1DBC" w:rsidRPr="008B1DBC" w:rsidRDefault="008B1DBC" w:rsidP="00677589">
      <w:pPr>
        <w:pStyle w:val="Heading7"/>
      </w:pPr>
      <w:r w:rsidRPr="008B1DBC">
        <w:t xml:space="preserve">Events or Conditions That May Cast Significant Doubt on the Entity’s Ability to Continue as a Going Concern </w:t>
      </w:r>
      <w:r w:rsidRPr="00677589">
        <w:rPr>
          <w:rStyle w:val="RefParas"/>
          <w:i w:val="0"/>
        </w:rPr>
        <w:t>(Ref: Para. </w:t>
      </w:r>
      <w:r w:rsidRPr="00677589">
        <w:rPr>
          <w:rStyle w:val="RefParas"/>
          <w:i w:val="0"/>
        </w:rPr>
        <w:fldChar w:fldCharType="begin" w:fldLock="1"/>
      </w:r>
      <w:r w:rsidRPr="00677589">
        <w:rPr>
          <w:rStyle w:val="RefParas"/>
          <w:i w:val="0"/>
        </w:rPr>
        <w:instrText xml:space="preserve"> REF _Ref354219015 \r \h  \* MERGEFORMAT </w:instrText>
      </w:r>
      <w:r w:rsidRPr="00677589">
        <w:rPr>
          <w:rStyle w:val="RefParas"/>
          <w:i w:val="0"/>
        </w:rPr>
      </w:r>
      <w:r w:rsidRPr="00677589">
        <w:rPr>
          <w:rStyle w:val="RefParas"/>
          <w:i w:val="0"/>
        </w:rPr>
        <w:fldChar w:fldCharType="separate"/>
      </w:r>
      <w:r w:rsidRPr="00677589">
        <w:rPr>
          <w:rStyle w:val="RefParas"/>
          <w:i w:val="0"/>
        </w:rPr>
        <w:t>10</w:t>
      </w:r>
      <w:r w:rsidRPr="00677589">
        <w:rPr>
          <w:rStyle w:val="RefParas"/>
          <w:i w:val="0"/>
        </w:rPr>
        <w:fldChar w:fldCharType="end"/>
      </w:r>
      <w:r w:rsidRPr="00677589">
        <w:rPr>
          <w:rStyle w:val="RefParas"/>
          <w:i w:val="0"/>
        </w:rPr>
        <w:t>)</w:t>
      </w:r>
    </w:p>
    <w:p w14:paraId="5B7C3ADF" w14:textId="77777777" w:rsidR="00677589" w:rsidRDefault="008B1DBC" w:rsidP="00677589">
      <w:pPr>
        <w:pStyle w:val="AParaLevel1"/>
        <w:ind w:left="709"/>
      </w:pPr>
      <w:bookmarkStart w:id="38" w:name="_Ref354218815"/>
      <w:r w:rsidRPr="008B1DBC">
        <w:t>The following are examples of events or conditions that, individually or collectively, may cast significant doubt on the entity’s ability to continue as a going concern.  This listing is not all</w:t>
      </w:r>
      <w:r w:rsidRPr="008B1DBC">
        <w:noBreakHyphen/>
        <w:t>inclusive nor does the existence of one or more of the items always signify that a material uncertainty exists.</w:t>
      </w:r>
      <w:bookmarkEnd w:id="38"/>
    </w:p>
    <w:p w14:paraId="41FD85FC" w14:textId="7BE00066" w:rsidR="00E06DB7" w:rsidRDefault="008B1DBC" w:rsidP="00677589">
      <w:pPr>
        <w:pStyle w:val="AParaLevel1"/>
        <w:numPr>
          <w:ilvl w:val="0"/>
          <w:numId w:val="0"/>
        </w:numPr>
        <w:ind w:left="709"/>
      </w:pPr>
      <w:r w:rsidRPr="008B1DBC">
        <w:t>Financial</w:t>
      </w:r>
    </w:p>
    <w:p w14:paraId="3800BFAE" w14:textId="77777777" w:rsidR="008B1DBC" w:rsidRPr="008B1DBC" w:rsidRDefault="008B1DBC" w:rsidP="00677589">
      <w:pPr>
        <w:pStyle w:val="ListBullet"/>
        <w:ind w:left="1418"/>
      </w:pPr>
      <w:r w:rsidRPr="008B1DBC">
        <w:t>Net liability or net current liability position.</w:t>
      </w:r>
    </w:p>
    <w:p w14:paraId="0FC64ACF" w14:textId="77777777" w:rsidR="008B1DBC" w:rsidRPr="008B1DBC" w:rsidRDefault="008B1DBC" w:rsidP="00677589">
      <w:pPr>
        <w:pStyle w:val="ListBullet"/>
        <w:ind w:left="1418"/>
      </w:pPr>
      <w:r w:rsidRPr="008B1DBC">
        <w:t>Fixed</w:t>
      </w:r>
      <w:r w:rsidRPr="008B1DBC">
        <w:noBreakHyphen/>
        <w:t>term borrowings approaching maturity without realistic prospects of renewal or repayment; or excessive reliance on short</w:t>
      </w:r>
      <w:r w:rsidRPr="008B1DBC">
        <w:noBreakHyphen/>
        <w:t>term borrowings to finance long</w:t>
      </w:r>
      <w:r w:rsidRPr="008B1DBC">
        <w:noBreakHyphen/>
        <w:t>term assets.</w:t>
      </w:r>
    </w:p>
    <w:p w14:paraId="45309D73" w14:textId="77777777" w:rsidR="008B1DBC" w:rsidRPr="008B1DBC" w:rsidRDefault="008B1DBC" w:rsidP="00677589">
      <w:pPr>
        <w:pStyle w:val="ListBullet"/>
        <w:ind w:left="1418"/>
      </w:pPr>
      <w:r w:rsidRPr="008B1DBC">
        <w:t>Indications of withdrawal of financial support by creditors.</w:t>
      </w:r>
    </w:p>
    <w:p w14:paraId="75150BBB" w14:textId="77777777" w:rsidR="008B1DBC" w:rsidRPr="008B1DBC" w:rsidRDefault="008B1DBC" w:rsidP="00677589">
      <w:pPr>
        <w:pStyle w:val="ListBullet"/>
        <w:ind w:left="1418"/>
      </w:pPr>
      <w:r w:rsidRPr="008B1DBC">
        <w:t>Negative operating cash flows indicated by historical or prospective financial report.</w:t>
      </w:r>
    </w:p>
    <w:p w14:paraId="437005A9" w14:textId="77777777" w:rsidR="008B1DBC" w:rsidRPr="008B1DBC" w:rsidRDefault="008B1DBC" w:rsidP="00677589">
      <w:pPr>
        <w:pStyle w:val="ListBullet"/>
        <w:ind w:left="1418"/>
      </w:pPr>
      <w:r w:rsidRPr="008B1DBC">
        <w:t>Adverse key financial ratios.</w:t>
      </w:r>
    </w:p>
    <w:p w14:paraId="3B9600A2" w14:textId="77777777" w:rsidR="008B1DBC" w:rsidRPr="008B1DBC" w:rsidRDefault="008B1DBC" w:rsidP="00677589">
      <w:pPr>
        <w:pStyle w:val="ListBullet"/>
        <w:ind w:left="1418"/>
      </w:pPr>
      <w:r w:rsidRPr="008B1DBC">
        <w:t>Substantial operating losses or significant deterioration in the value of assets used to generate cash flows.</w:t>
      </w:r>
    </w:p>
    <w:p w14:paraId="04A31156" w14:textId="77777777" w:rsidR="008B1DBC" w:rsidRPr="008B1DBC" w:rsidRDefault="008B1DBC" w:rsidP="00677589">
      <w:pPr>
        <w:pStyle w:val="ListBullet"/>
        <w:ind w:left="1418"/>
      </w:pPr>
      <w:r w:rsidRPr="008B1DBC">
        <w:t>Arrears or discontinuance of dividends.</w:t>
      </w:r>
    </w:p>
    <w:p w14:paraId="7EDCB27B" w14:textId="77777777" w:rsidR="008B1DBC" w:rsidRPr="008B1DBC" w:rsidRDefault="008B1DBC" w:rsidP="00677589">
      <w:pPr>
        <w:pStyle w:val="ListBullet"/>
        <w:ind w:left="1418"/>
      </w:pPr>
      <w:r w:rsidRPr="008B1DBC">
        <w:t>Inability to pay creditors on due dates.</w:t>
      </w:r>
    </w:p>
    <w:p w14:paraId="73B81942" w14:textId="77777777" w:rsidR="008B1DBC" w:rsidRPr="008B1DBC" w:rsidRDefault="008B1DBC" w:rsidP="00677589">
      <w:pPr>
        <w:pStyle w:val="ListBullet"/>
        <w:ind w:left="1418"/>
      </w:pPr>
      <w:r w:rsidRPr="008B1DBC">
        <w:lastRenderedPageBreak/>
        <w:t>Inability to comply with the terms of loan agreements.</w:t>
      </w:r>
    </w:p>
    <w:p w14:paraId="78ADED7D" w14:textId="77777777" w:rsidR="008B1DBC" w:rsidRPr="008B1DBC" w:rsidRDefault="008B1DBC" w:rsidP="00677589">
      <w:pPr>
        <w:pStyle w:val="ListBullet"/>
        <w:ind w:left="1418"/>
      </w:pPr>
      <w:r w:rsidRPr="008B1DBC">
        <w:t>Change from credit to cash</w:t>
      </w:r>
      <w:r w:rsidRPr="008B1DBC">
        <w:noBreakHyphen/>
        <w:t>on</w:t>
      </w:r>
      <w:r w:rsidRPr="008B1DBC">
        <w:noBreakHyphen/>
        <w:t>delivery transactions with suppliers.</w:t>
      </w:r>
    </w:p>
    <w:p w14:paraId="33F75590" w14:textId="5B191C1F" w:rsidR="00E06DB7" w:rsidRDefault="008B1DBC" w:rsidP="00677589">
      <w:pPr>
        <w:pStyle w:val="ListBullet"/>
        <w:ind w:left="1418"/>
      </w:pPr>
      <w:r w:rsidRPr="008B1DBC">
        <w:t>Inability to obtain financing for essential new product development or other essential investments.</w:t>
      </w:r>
    </w:p>
    <w:p w14:paraId="155A4F6F" w14:textId="77777777" w:rsidR="008B1DBC" w:rsidRPr="008B1DBC" w:rsidRDefault="008B1DBC" w:rsidP="00677589">
      <w:pPr>
        <w:pStyle w:val="AParaLevel1"/>
        <w:numPr>
          <w:ilvl w:val="0"/>
          <w:numId w:val="0"/>
        </w:numPr>
        <w:ind w:left="709"/>
      </w:pPr>
      <w:r w:rsidRPr="008B1DBC">
        <w:t>Operating</w:t>
      </w:r>
    </w:p>
    <w:p w14:paraId="44A61F94" w14:textId="77777777" w:rsidR="008B1DBC" w:rsidRPr="008B1DBC" w:rsidRDefault="008B1DBC" w:rsidP="008B1DBC">
      <w:pPr>
        <w:numPr>
          <w:ilvl w:val="0"/>
          <w:numId w:val="35"/>
        </w:numPr>
        <w:spacing w:after="200"/>
        <w:ind w:left="1418"/>
        <w:outlineLvl w:val="0"/>
      </w:pPr>
      <w:r w:rsidRPr="008B1DBC">
        <w:t>Management intentions to liquidate the entity or to cease operations.</w:t>
      </w:r>
    </w:p>
    <w:p w14:paraId="34164AD5" w14:textId="77777777" w:rsidR="008B1DBC" w:rsidRPr="008B1DBC" w:rsidRDefault="008B1DBC" w:rsidP="008B1DBC">
      <w:pPr>
        <w:numPr>
          <w:ilvl w:val="0"/>
          <w:numId w:val="35"/>
        </w:numPr>
        <w:spacing w:after="200"/>
        <w:ind w:left="1418"/>
        <w:outlineLvl w:val="0"/>
      </w:pPr>
      <w:r w:rsidRPr="008B1DBC">
        <w:t>Loss of key management without replacement.</w:t>
      </w:r>
    </w:p>
    <w:p w14:paraId="56418D97" w14:textId="77777777" w:rsidR="008B1DBC" w:rsidRPr="008B1DBC" w:rsidRDefault="008B1DBC" w:rsidP="008B1DBC">
      <w:pPr>
        <w:numPr>
          <w:ilvl w:val="0"/>
          <w:numId w:val="35"/>
        </w:numPr>
        <w:spacing w:after="200"/>
        <w:ind w:left="1418"/>
        <w:outlineLvl w:val="0"/>
      </w:pPr>
      <w:r w:rsidRPr="008B1DBC">
        <w:t>Loss of a major market, key customer(s), franchise, licence, or principal supplier(s).</w:t>
      </w:r>
    </w:p>
    <w:p w14:paraId="2BE1CD3F" w14:textId="77777777" w:rsidR="008B1DBC" w:rsidRPr="008B1DBC" w:rsidRDefault="008B1DBC" w:rsidP="008B1DBC">
      <w:pPr>
        <w:numPr>
          <w:ilvl w:val="0"/>
          <w:numId w:val="35"/>
        </w:numPr>
        <w:spacing w:after="200"/>
        <w:ind w:left="1418"/>
        <w:outlineLvl w:val="0"/>
      </w:pPr>
      <w:r w:rsidRPr="008B1DBC">
        <w:t xml:space="preserve">Labour difficulties.  </w:t>
      </w:r>
    </w:p>
    <w:p w14:paraId="108BB93D" w14:textId="77777777" w:rsidR="008B1DBC" w:rsidRPr="008B1DBC" w:rsidRDefault="008B1DBC" w:rsidP="008B1DBC">
      <w:pPr>
        <w:numPr>
          <w:ilvl w:val="0"/>
          <w:numId w:val="35"/>
        </w:numPr>
        <w:spacing w:after="200"/>
        <w:ind w:left="1418"/>
        <w:outlineLvl w:val="0"/>
      </w:pPr>
      <w:r w:rsidRPr="008B1DBC">
        <w:t>Shortages of important supplies.</w:t>
      </w:r>
    </w:p>
    <w:p w14:paraId="640F4605" w14:textId="6457C7E5" w:rsidR="00E06DB7" w:rsidRDefault="008B1DBC" w:rsidP="00E06DB7">
      <w:pPr>
        <w:numPr>
          <w:ilvl w:val="0"/>
          <w:numId w:val="35"/>
        </w:numPr>
        <w:spacing w:after="200"/>
        <w:ind w:left="1418"/>
        <w:outlineLvl w:val="0"/>
      </w:pPr>
      <w:r w:rsidRPr="008B1DBC">
        <w:t>Emergence of a highly successful competitor.</w:t>
      </w:r>
    </w:p>
    <w:p w14:paraId="68012EC7" w14:textId="77777777" w:rsidR="008B1DBC" w:rsidRPr="008B1DBC" w:rsidRDefault="008B1DBC" w:rsidP="00677589">
      <w:pPr>
        <w:pStyle w:val="AParaLevel1"/>
        <w:numPr>
          <w:ilvl w:val="0"/>
          <w:numId w:val="0"/>
        </w:numPr>
        <w:ind w:left="709"/>
      </w:pPr>
      <w:r w:rsidRPr="008B1DBC">
        <w:t xml:space="preserve">Other </w:t>
      </w:r>
    </w:p>
    <w:p w14:paraId="106C7205" w14:textId="77777777" w:rsidR="008B1DBC" w:rsidRPr="008B1DBC" w:rsidRDefault="008B1DBC" w:rsidP="008B1DBC">
      <w:pPr>
        <w:numPr>
          <w:ilvl w:val="0"/>
          <w:numId w:val="35"/>
        </w:numPr>
        <w:spacing w:after="200"/>
        <w:ind w:left="1418"/>
        <w:outlineLvl w:val="0"/>
      </w:pPr>
      <w:r w:rsidRPr="008B1DBC">
        <w:t>Non</w:t>
      </w:r>
      <w:r w:rsidRPr="008B1DBC">
        <w:noBreakHyphen/>
        <w:t>compliance with capital or other statutory or regulatory requirements, such as solvency or liquidity requirements for financial institutions.</w:t>
      </w:r>
    </w:p>
    <w:p w14:paraId="2B5EE89C" w14:textId="77777777" w:rsidR="008B1DBC" w:rsidRPr="008B1DBC" w:rsidRDefault="008B1DBC" w:rsidP="008B1DBC">
      <w:pPr>
        <w:numPr>
          <w:ilvl w:val="0"/>
          <w:numId w:val="35"/>
        </w:numPr>
        <w:spacing w:after="200"/>
        <w:ind w:left="1418"/>
        <w:outlineLvl w:val="0"/>
      </w:pPr>
      <w:r w:rsidRPr="008B1DBC">
        <w:t>Pending legal or regulatory proceedings against the entity that may, if successful, result in claims that the entity is unlikely to be able to satisfy.</w:t>
      </w:r>
    </w:p>
    <w:p w14:paraId="730E6463" w14:textId="77777777" w:rsidR="008B1DBC" w:rsidRPr="008B1DBC" w:rsidRDefault="008B1DBC" w:rsidP="008B1DBC">
      <w:pPr>
        <w:numPr>
          <w:ilvl w:val="0"/>
          <w:numId w:val="35"/>
        </w:numPr>
        <w:spacing w:after="200"/>
        <w:ind w:left="1418"/>
        <w:outlineLvl w:val="0"/>
      </w:pPr>
      <w:r w:rsidRPr="008B1DBC">
        <w:t>Changes in law or regulation or government policy expected to adversely affect the entity.</w:t>
      </w:r>
    </w:p>
    <w:p w14:paraId="080200F8" w14:textId="43806573" w:rsidR="00E06DB7" w:rsidRDefault="008B1DBC" w:rsidP="00E06DB7">
      <w:pPr>
        <w:numPr>
          <w:ilvl w:val="0"/>
          <w:numId w:val="35"/>
        </w:numPr>
        <w:spacing w:after="200"/>
        <w:ind w:left="1418"/>
        <w:outlineLvl w:val="0"/>
      </w:pPr>
      <w:r w:rsidRPr="008B1DBC">
        <w:t>Uninsured or underinsured catastrophes when they occur.</w:t>
      </w:r>
    </w:p>
    <w:p w14:paraId="277D51C1" w14:textId="436D1583" w:rsidR="00E06DB7" w:rsidRDefault="008B1DBC" w:rsidP="008B1DBC">
      <w:pPr>
        <w:pStyle w:val="ParaPlain"/>
        <w:ind w:left="709"/>
      </w:pPr>
      <w:r w:rsidRPr="009057EA">
        <w:t>The significance of such events or conditions often can be mitigated by other factors.  For example, the effect of an entity being unable to make its normal debt repayments may be counter</w:t>
      </w:r>
      <w:r w:rsidRPr="009057EA">
        <w:noBreakHyphen/>
        <w:t>balanced by management’s plans to maintain adequate cash flows by alternative means, such as by disposing of assets, rescheduling loan repayments, or obtaining additional capital.  Similarly, the loss of a principal supplier may be mitigated by the availability of a suitable alternative source of supply.</w:t>
      </w:r>
    </w:p>
    <w:p w14:paraId="202CBF11" w14:textId="3F92300E" w:rsidR="00E06DB7" w:rsidRDefault="008B1DBC" w:rsidP="00677589">
      <w:pPr>
        <w:pStyle w:val="AParaLevel1"/>
        <w:ind w:left="709"/>
      </w:pPr>
      <w:r w:rsidRPr="009057EA">
        <w:t>The risk assessment p</w:t>
      </w:r>
      <w:r>
        <w:t>rocedures required by paragraph </w:t>
      </w:r>
      <w:r w:rsidRPr="009057EA">
        <w:fldChar w:fldCharType="begin" w:fldLock="1"/>
      </w:r>
      <w:r w:rsidRPr="009057EA">
        <w:instrText xml:space="preserve"> REF _Ref354219015 \r \h  \* MERGEFORMAT </w:instrText>
      </w:r>
      <w:r w:rsidRPr="009057EA">
        <w:fldChar w:fldCharType="separate"/>
      </w:r>
      <w:r>
        <w:t>10</w:t>
      </w:r>
      <w:r w:rsidRPr="009057EA">
        <w:fldChar w:fldCharType="end"/>
      </w:r>
      <w:r w:rsidRPr="009057EA">
        <w:t xml:space="preserve"> help the auditor to determine whether management’s use of the going concern basis of accounting is likely to be an important issue and its impact on planning the audit.  These procedures also allow for more timely discussions with management, including a discussion of management’s plans and resolution of any identified going concern issues.</w:t>
      </w:r>
    </w:p>
    <w:p w14:paraId="5E4E8D62" w14:textId="77777777" w:rsidR="008B1DBC" w:rsidRPr="009057EA" w:rsidRDefault="008B1DBC" w:rsidP="008B1DBC">
      <w:pPr>
        <w:pStyle w:val="Heading7"/>
      </w:pPr>
      <w:r w:rsidRPr="009057EA">
        <w:t xml:space="preserve">Considerations Specific to Smaller Entities </w:t>
      </w:r>
      <w:r w:rsidRPr="004A621A">
        <w:rPr>
          <w:rStyle w:val="RefParas"/>
          <w:i w:val="0"/>
        </w:rPr>
        <w:t>(</w:t>
      </w:r>
      <w:r>
        <w:rPr>
          <w:rStyle w:val="RefParas"/>
          <w:i w:val="0"/>
        </w:rPr>
        <w:t>Ref: </w:t>
      </w:r>
      <w:r w:rsidRPr="002B5E75">
        <w:rPr>
          <w:rStyle w:val="RefParas"/>
          <w:i w:val="0"/>
        </w:rPr>
        <w:t>Para. </w:t>
      </w:r>
      <w:r w:rsidRPr="002B5E75">
        <w:rPr>
          <w:rStyle w:val="RefParas"/>
          <w:i w:val="0"/>
        </w:rPr>
        <w:fldChar w:fldCharType="begin" w:fldLock="1"/>
      </w:r>
      <w:r w:rsidRPr="002B5E75">
        <w:rPr>
          <w:rStyle w:val="RefParas"/>
          <w:i w:val="0"/>
        </w:rPr>
        <w:instrText xml:space="preserve"> REF _Ref354219015 \r \h  \* MERGEFORMAT </w:instrText>
      </w:r>
      <w:r w:rsidRPr="002B5E75">
        <w:rPr>
          <w:rStyle w:val="RefParas"/>
          <w:i w:val="0"/>
        </w:rPr>
      </w:r>
      <w:r w:rsidRPr="002B5E75">
        <w:rPr>
          <w:rStyle w:val="RefParas"/>
          <w:i w:val="0"/>
        </w:rPr>
        <w:fldChar w:fldCharType="separate"/>
      </w:r>
      <w:r w:rsidRPr="002B5E75">
        <w:rPr>
          <w:rStyle w:val="RefParas"/>
          <w:i w:val="0"/>
        </w:rPr>
        <w:t>10</w:t>
      </w:r>
      <w:r w:rsidRPr="002B5E75">
        <w:rPr>
          <w:rStyle w:val="RefParas"/>
          <w:i w:val="0"/>
        </w:rPr>
        <w:fldChar w:fldCharType="end"/>
      </w:r>
      <w:r w:rsidRPr="002B5E75">
        <w:rPr>
          <w:rStyle w:val="RefParas"/>
          <w:i w:val="0"/>
        </w:rPr>
        <w:t>)</w:t>
      </w:r>
    </w:p>
    <w:p w14:paraId="0692E30A" w14:textId="77777777" w:rsidR="008B1DBC" w:rsidRPr="009057EA" w:rsidRDefault="008B1DBC" w:rsidP="00677589">
      <w:pPr>
        <w:pStyle w:val="AParaLevel1"/>
        <w:ind w:left="709"/>
      </w:pPr>
      <w:r w:rsidRPr="009057EA">
        <w:t xml:space="preserve">The size of an entity may affect its ability to withstand adverse conditions.  Small entities may be able to respond quickly to exploit </w:t>
      </w:r>
      <w:proofErr w:type="gramStart"/>
      <w:r w:rsidRPr="009057EA">
        <w:t>opportunities, but</w:t>
      </w:r>
      <w:proofErr w:type="gramEnd"/>
      <w:r w:rsidRPr="009057EA">
        <w:t xml:space="preserve"> may lack reserves to sustain operations.</w:t>
      </w:r>
    </w:p>
    <w:p w14:paraId="4C1CA277" w14:textId="77777777" w:rsidR="008B1DBC" w:rsidRPr="009057EA" w:rsidRDefault="008B1DBC" w:rsidP="00677589">
      <w:pPr>
        <w:pStyle w:val="AParaLevel1"/>
        <w:ind w:left="709"/>
      </w:pPr>
      <w:bookmarkStart w:id="39" w:name="_Ref354218827"/>
      <w:r w:rsidRPr="009057EA">
        <w:t xml:space="preserve">Conditions of </w:t>
      </w:r>
      <w:proofErr w:type="gramStart"/>
      <w:r w:rsidRPr="009057EA">
        <w:t>particular relevance</w:t>
      </w:r>
      <w:proofErr w:type="gramEnd"/>
      <w:r w:rsidRPr="009057EA">
        <w:t xml:space="preserve"> to small entities include the risk that banks and other lenders may cease to support the entity, as well as the possible loss of a principal supplier, major customer, key employee, or the</w:t>
      </w:r>
      <w:r>
        <w:t xml:space="preserve"> right to operate under a licenc</w:t>
      </w:r>
      <w:r w:rsidRPr="009057EA">
        <w:t>e, franchise or other legal agreement.</w:t>
      </w:r>
      <w:bookmarkEnd w:id="39"/>
    </w:p>
    <w:p w14:paraId="0191930A" w14:textId="77777777" w:rsidR="008B1DBC" w:rsidRPr="002B5E75" w:rsidRDefault="008B1DBC" w:rsidP="008B1DBC">
      <w:pPr>
        <w:pStyle w:val="Heading7"/>
      </w:pPr>
      <w:r w:rsidRPr="009057EA">
        <w:lastRenderedPageBreak/>
        <w:t xml:space="preserve">Remaining Alert throughout the Audit for Audit Evidence about Events or Conditions </w:t>
      </w:r>
      <w:r w:rsidRPr="00BE2CA2">
        <w:rPr>
          <w:rStyle w:val="RefParas"/>
          <w:i w:val="0"/>
        </w:rPr>
        <w:t>(</w:t>
      </w:r>
      <w:r w:rsidRPr="002B5E75">
        <w:rPr>
          <w:rStyle w:val="RefParas"/>
          <w:i w:val="0"/>
        </w:rPr>
        <w:t>Ref: Para. </w:t>
      </w:r>
      <w:r w:rsidRPr="002B5E75">
        <w:rPr>
          <w:rStyle w:val="RefParas"/>
          <w:i w:val="0"/>
        </w:rPr>
        <w:fldChar w:fldCharType="begin" w:fldLock="1"/>
      </w:r>
      <w:r w:rsidRPr="002B5E75">
        <w:rPr>
          <w:rStyle w:val="RefParas"/>
          <w:i w:val="0"/>
        </w:rPr>
        <w:instrText xml:space="preserve"> REF _Ref354219026 \r \h  \* MERGEFORMAT </w:instrText>
      </w:r>
      <w:r w:rsidRPr="002B5E75">
        <w:rPr>
          <w:rStyle w:val="RefParas"/>
          <w:i w:val="0"/>
        </w:rPr>
      </w:r>
      <w:r w:rsidRPr="002B5E75">
        <w:rPr>
          <w:rStyle w:val="RefParas"/>
          <w:i w:val="0"/>
        </w:rPr>
        <w:fldChar w:fldCharType="separate"/>
      </w:r>
      <w:r w:rsidRPr="002B5E75">
        <w:rPr>
          <w:rStyle w:val="RefParas"/>
          <w:i w:val="0"/>
        </w:rPr>
        <w:t>11</w:t>
      </w:r>
      <w:r w:rsidRPr="002B5E75">
        <w:rPr>
          <w:rStyle w:val="RefParas"/>
          <w:i w:val="0"/>
        </w:rPr>
        <w:fldChar w:fldCharType="end"/>
      </w:r>
      <w:r w:rsidRPr="002B5E75">
        <w:rPr>
          <w:rStyle w:val="RefParas"/>
          <w:i w:val="0"/>
        </w:rPr>
        <w:t>)</w:t>
      </w:r>
    </w:p>
    <w:p w14:paraId="036D6CF8" w14:textId="3E6DF9FF" w:rsidR="00E06DB7" w:rsidRDefault="008B1DBC" w:rsidP="00677589">
      <w:pPr>
        <w:pStyle w:val="AParaLevel1"/>
        <w:ind w:left="709"/>
      </w:pPr>
      <w:bookmarkStart w:id="40" w:name="_Ref354218833"/>
      <w:r w:rsidRPr="002B5E75">
        <w:t>ASA 315 requires the auditor to revise the auditor’s risk assessment and modify the further planned audit procedures accordingly when additional audit evidence is obtained during the course of the audit that affects the auditor’s assessment of risk.</w:t>
      </w:r>
      <w:r w:rsidRPr="002B5E75">
        <w:rPr>
          <w:vertAlign w:val="superscript"/>
        </w:rPr>
        <w:footnoteReference w:id="14"/>
      </w:r>
      <w:r w:rsidRPr="002B5E75">
        <w:t xml:space="preserve">  If events or conditions that may cast significant doubt on the entity’s ability to continue as a going concern are identified after the auditor’s risk assessments are made, in addition to performing the procedures in paragraph 16, the auditor’s assessment of the risks of material misstatement may need to be revised.  The existence of such events or conditions may also affect the nature, </w:t>
      </w:r>
      <w:proofErr w:type="gramStart"/>
      <w:r w:rsidRPr="002B5E75">
        <w:t>timing</w:t>
      </w:r>
      <w:proofErr w:type="gramEnd"/>
      <w:r w:rsidRPr="002B5E75">
        <w:t xml:space="preserve"> and extent of the auditor’s further procedures in response to the assessed risks.  ASA 330</w:t>
      </w:r>
      <w:r w:rsidRPr="002B5E75">
        <w:rPr>
          <w:vertAlign w:val="superscript"/>
        </w:rPr>
        <w:footnoteReference w:id="15"/>
      </w:r>
      <w:r w:rsidRPr="002B5E75">
        <w:t xml:space="preserve"> establishes requirements and provides guidance on this issue.</w:t>
      </w:r>
      <w:bookmarkEnd w:id="40"/>
    </w:p>
    <w:p w14:paraId="5E804A3D" w14:textId="77777777" w:rsidR="008B1DBC" w:rsidRPr="002B5E75" w:rsidRDefault="008B1DBC" w:rsidP="008B1DBC">
      <w:pPr>
        <w:pStyle w:val="Heading6"/>
      </w:pPr>
      <w:r w:rsidRPr="002B5E75">
        <w:t xml:space="preserve">Evaluating Management’s Assessment </w:t>
      </w:r>
    </w:p>
    <w:p w14:paraId="7AACF0C8" w14:textId="77777777" w:rsidR="008B1DBC" w:rsidRPr="009057EA" w:rsidRDefault="008B1DBC" w:rsidP="008B1DBC">
      <w:pPr>
        <w:pStyle w:val="Heading7"/>
      </w:pPr>
      <w:r w:rsidRPr="002B5E75">
        <w:t xml:space="preserve">Management’s Assessment and Supporting Analysis and the Auditor’s Evaluation </w:t>
      </w:r>
      <w:r w:rsidRPr="002B5E75">
        <w:rPr>
          <w:rStyle w:val="RefParas"/>
          <w:i w:val="0"/>
        </w:rPr>
        <w:t>(Ref: Para. </w:t>
      </w:r>
      <w:r w:rsidRPr="002B5E75">
        <w:rPr>
          <w:rStyle w:val="RefParas"/>
          <w:i w:val="0"/>
        </w:rPr>
        <w:fldChar w:fldCharType="begin" w:fldLock="1"/>
      </w:r>
      <w:r w:rsidRPr="002B5E75">
        <w:rPr>
          <w:rStyle w:val="RefParas"/>
          <w:i w:val="0"/>
        </w:rPr>
        <w:instrText xml:space="preserve"> REF _Ref354219036 \r \h  \* MERGEFORMAT </w:instrText>
      </w:r>
      <w:r w:rsidRPr="002B5E75">
        <w:rPr>
          <w:rStyle w:val="RefParas"/>
          <w:i w:val="0"/>
        </w:rPr>
      </w:r>
      <w:r w:rsidRPr="002B5E75">
        <w:rPr>
          <w:rStyle w:val="RefParas"/>
          <w:i w:val="0"/>
        </w:rPr>
        <w:fldChar w:fldCharType="separate"/>
      </w:r>
      <w:r w:rsidRPr="002B5E75">
        <w:rPr>
          <w:rStyle w:val="RefParas"/>
          <w:i w:val="0"/>
        </w:rPr>
        <w:t>12</w:t>
      </w:r>
      <w:r w:rsidRPr="002B5E75">
        <w:rPr>
          <w:rStyle w:val="RefParas"/>
          <w:i w:val="0"/>
        </w:rPr>
        <w:fldChar w:fldCharType="end"/>
      </w:r>
      <w:r w:rsidRPr="002B5E75">
        <w:rPr>
          <w:rStyle w:val="RefParas"/>
          <w:i w:val="0"/>
        </w:rPr>
        <w:t>)</w:t>
      </w:r>
    </w:p>
    <w:p w14:paraId="579E14B4" w14:textId="77777777" w:rsidR="008B1DBC" w:rsidRPr="009057EA" w:rsidRDefault="008B1DBC" w:rsidP="00677589">
      <w:pPr>
        <w:pStyle w:val="AParaLevel1"/>
        <w:ind w:left="709"/>
      </w:pPr>
      <w:bookmarkStart w:id="41" w:name="_Ref354218842"/>
      <w:r w:rsidRPr="009057EA">
        <w:t>Management’s assessment of the entity’s ability to continue as a going concern is a key part of the auditor’s consideration of management’s use of the going concern basis of accounting.</w:t>
      </w:r>
      <w:bookmarkEnd w:id="41"/>
    </w:p>
    <w:p w14:paraId="668D1488" w14:textId="77777777" w:rsidR="008B1DBC" w:rsidRPr="009057EA" w:rsidRDefault="008B1DBC" w:rsidP="00677589">
      <w:pPr>
        <w:pStyle w:val="AParaLevel1"/>
        <w:ind w:left="709"/>
      </w:pPr>
      <w:r w:rsidRPr="009057EA">
        <w:t xml:space="preserve">It is not the auditor’s responsibility to rectify the lack of analysis by management.  In some circumstances, however, the lack of detailed analysis by management to support its assessment may not prevent the auditor from concluding whether management’s use of the going concern basis of accounting is appropriate in the circumstances.  For example, when there is a history of profitable operations and a ready access to financial resources, management may make its assessment without detailed analysis.  In this case, the auditor’s evaluation of the appropriateness of management’s assessment may be made without performing detailed evaluation procedures if the auditor’s other audit procedures are sufficient to enable the auditor to conclude whether management’s use of the going concern basis of accounting in the preparation of the </w:t>
      </w:r>
      <w:r>
        <w:t>financial report</w:t>
      </w:r>
      <w:r w:rsidRPr="009057EA">
        <w:t xml:space="preserve"> is appropriate in the circumstances.</w:t>
      </w:r>
    </w:p>
    <w:p w14:paraId="70634B54" w14:textId="1769E566" w:rsidR="00E06DB7" w:rsidRDefault="008B1DBC" w:rsidP="00677589">
      <w:pPr>
        <w:pStyle w:val="AParaLevel1"/>
        <w:ind w:left="709"/>
      </w:pPr>
      <w:bookmarkStart w:id="42" w:name="_Ref354218848"/>
      <w:r w:rsidRPr="009057EA">
        <w:t>In other circumstances, evaluating management’s assessment of the entity’s ability to continue as a going co</w:t>
      </w:r>
      <w:r>
        <w:t>ncern, as required by paragraph </w:t>
      </w:r>
      <w:r w:rsidRPr="009057EA">
        <w:fldChar w:fldCharType="begin" w:fldLock="1"/>
      </w:r>
      <w:r w:rsidRPr="009057EA">
        <w:instrText xml:space="preserve"> REF _Ref354219036 \r \h  \* MERGEFORMAT </w:instrText>
      </w:r>
      <w:r w:rsidRPr="009057EA">
        <w:fldChar w:fldCharType="separate"/>
      </w:r>
      <w:r>
        <w:t>12</w:t>
      </w:r>
      <w:r w:rsidRPr="009057EA">
        <w:fldChar w:fldCharType="end"/>
      </w:r>
      <w:r w:rsidRPr="009057EA">
        <w:t>, may include an evaluation of the process management followed to make its assessment, the assumptions on which the assessment is based and management’s plans for future action and whether management’s plans are feasible in the circumstances.</w:t>
      </w:r>
      <w:bookmarkEnd w:id="42"/>
    </w:p>
    <w:p w14:paraId="2ED25060" w14:textId="77777777" w:rsidR="008B1DBC" w:rsidRPr="009057EA" w:rsidRDefault="008B1DBC" w:rsidP="008B1DBC">
      <w:pPr>
        <w:pStyle w:val="Heading7"/>
      </w:pPr>
      <w:r w:rsidRPr="009057EA">
        <w:t>The Period of Manag</w:t>
      </w:r>
      <w:r>
        <w:t xml:space="preserve">ement’s Assessment </w:t>
      </w:r>
      <w:r w:rsidRPr="00F40E98">
        <w:rPr>
          <w:rStyle w:val="RefParas"/>
          <w:i w:val="0"/>
        </w:rPr>
        <w:t>(</w:t>
      </w:r>
      <w:r>
        <w:rPr>
          <w:rStyle w:val="RefParas"/>
          <w:i w:val="0"/>
        </w:rPr>
        <w:t>Ref: </w:t>
      </w:r>
      <w:r w:rsidRPr="002B5E75">
        <w:rPr>
          <w:rStyle w:val="RefParas"/>
          <w:i w:val="0"/>
        </w:rPr>
        <w:t>Para. </w:t>
      </w:r>
      <w:proofErr w:type="spellStart"/>
      <w:r w:rsidRPr="002B5E75">
        <w:rPr>
          <w:rStyle w:val="RefParas"/>
          <w:i w:val="0"/>
        </w:rPr>
        <w:t>Aus</w:t>
      </w:r>
      <w:proofErr w:type="spellEnd"/>
      <w:r>
        <w:rPr>
          <w:rStyle w:val="RefParas"/>
          <w:i w:val="0"/>
        </w:rPr>
        <w:t xml:space="preserve"> </w:t>
      </w:r>
      <w:r w:rsidRPr="002B5E75">
        <w:rPr>
          <w:rStyle w:val="RefParas"/>
          <w:i w:val="0"/>
        </w:rPr>
        <w:fldChar w:fldCharType="begin" w:fldLock="1"/>
      </w:r>
      <w:r w:rsidRPr="002B5E75">
        <w:rPr>
          <w:rStyle w:val="RefParas"/>
          <w:i w:val="0"/>
        </w:rPr>
        <w:instrText xml:space="preserve"> REF _Ref354219051 \r \h  \* MERGEFORMAT </w:instrText>
      </w:r>
      <w:r w:rsidRPr="002B5E75">
        <w:rPr>
          <w:rStyle w:val="RefParas"/>
          <w:i w:val="0"/>
        </w:rPr>
      </w:r>
      <w:r w:rsidRPr="002B5E75">
        <w:rPr>
          <w:rStyle w:val="RefParas"/>
          <w:i w:val="0"/>
        </w:rPr>
        <w:fldChar w:fldCharType="separate"/>
      </w:r>
      <w:r w:rsidRPr="002B5E75">
        <w:rPr>
          <w:rStyle w:val="RefParas"/>
          <w:i w:val="0"/>
        </w:rPr>
        <w:t>13</w:t>
      </w:r>
      <w:r w:rsidRPr="002B5E75">
        <w:rPr>
          <w:rStyle w:val="RefParas"/>
          <w:i w:val="0"/>
        </w:rPr>
        <w:fldChar w:fldCharType="end"/>
      </w:r>
      <w:r w:rsidRPr="002B5E75">
        <w:rPr>
          <w:rStyle w:val="RefParas"/>
          <w:i w:val="0"/>
        </w:rPr>
        <w:t>.1–</w:t>
      </w:r>
      <w:proofErr w:type="spellStart"/>
      <w:r w:rsidRPr="002B5E75">
        <w:rPr>
          <w:rStyle w:val="RefParas"/>
          <w:i w:val="0"/>
        </w:rPr>
        <w:t>Aus</w:t>
      </w:r>
      <w:proofErr w:type="spellEnd"/>
      <w:r w:rsidRPr="002B5E75">
        <w:rPr>
          <w:rStyle w:val="RefParas"/>
          <w:i w:val="0"/>
        </w:rPr>
        <w:t> A13.2)</w:t>
      </w:r>
    </w:p>
    <w:p w14:paraId="5562302A" w14:textId="77777777" w:rsidR="008B1DBC" w:rsidRPr="009057EA" w:rsidRDefault="008B1DBC" w:rsidP="00677589">
      <w:pPr>
        <w:pStyle w:val="AParaLevel1"/>
        <w:ind w:left="709"/>
      </w:pPr>
      <w:bookmarkStart w:id="43" w:name="_Ref354218866"/>
      <w:r w:rsidRPr="009057EA">
        <w:t xml:space="preserve">Most financial reporting frameworks requiring an explicit management assessment specify the period for which management is required to </w:t>
      </w:r>
      <w:proofErr w:type="gramStart"/>
      <w:r w:rsidRPr="009057EA">
        <w:t>take into account</w:t>
      </w:r>
      <w:proofErr w:type="gramEnd"/>
      <w:r w:rsidRPr="009057EA">
        <w:t xml:space="preserve"> all available information.</w:t>
      </w:r>
      <w:r w:rsidRPr="004A3B2E">
        <w:rPr>
          <w:vertAlign w:val="superscript"/>
        </w:rPr>
        <w:footnoteReference w:id="16"/>
      </w:r>
      <w:bookmarkEnd w:id="43"/>
    </w:p>
    <w:p w14:paraId="32DEAB6D" w14:textId="77777777" w:rsidR="008B1DBC" w:rsidRPr="009057EA" w:rsidRDefault="008B1DBC" w:rsidP="008B1DBC">
      <w:pPr>
        <w:pStyle w:val="Heading7"/>
      </w:pPr>
      <w:r w:rsidRPr="009057EA">
        <w:t>Considerations Specific t</w:t>
      </w:r>
      <w:r>
        <w:t xml:space="preserve">o Smaller Entities </w:t>
      </w:r>
      <w:r w:rsidRPr="00E61B1C">
        <w:rPr>
          <w:rStyle w:val="RefParas"/>
          <w:i w:val="0"/>
        </w:rPr>
        <w:t>(</w:t>
      </w:r>
      <w:r>
        <w:rPr>
          <w:rStyle w:val="RefParas"/>
          <w:i w:val="0"/>
        </w:rPr>
        <w:t>Ref: </w:t>
      </w:r>
      <w:r w:rsidRPr="002B5E75">
        <w:rPr>
          <w:rStyle w:val="RefParas"/>
          <w:i w:val="0"/>
        </w:rPr>
        <w:t>Para. </w:t>
      </w:r>
      <w:r w:rsidRPr="002B5E75">
        <w:rPr>
          <w:rStyle w:val="RefParas"/>
          <w:i w:val="0"/>
        </w:rPr>
        <w:fldChar w:fldCharType="begin" w:fldLock="1"/>
      </w:r>
      <w:r w:rsidRPr="002B5E75">
        <w:rPr>
          <w:rStyle w:val="RefParas"/>
          <w:i w:val="0"/>
        </w:rPr>
        <w:instrText xml:space="preserve"> REF _Ref354219036 \r \h  \* MERGEFORMAT </w:instrText>
      </w:r>
      <w:r w:rsidRPr="002B5E75">
        <w:rPr>
          <w:rStyle w:val="RefParas"/>
          <w:i w:val="0"/>
        </w:rPr>
      </w:r>
      <w:r w:rsidRPr="002B5E75">
        <w:rPr>
          <w:rStyle w:val="RefParas"/>
          <w:i w:val="0"/>
        </w:rPr>
        <w:fldChar w:fldCharType="separate"/>
      </w:r>
      <w:r w:rsidRPr="002B5E75">
        <w:rPr>
          <w:rStyle w:val="RefParas"/>
          <w:i w:val="0"/>
        </w:rPr>
        <w:t>12</w:t>
      </w:r>
      <w:r w:rsidRPr="002B5E75">
        <w:rPr>
          <w:rStyle w:val="RefParas"/>
          <w:i w:val="0"/>
        </w:rPr>
        <w:fldChar w:fldCharType="end"/>
      </w:r>
      <w:r w:rsidRPr="002B5E75">
        <w:rPr>
          <w:rStyle w:val="RefParas"/>
          <w:i w:val="0"/>
        </w:rPr>
        <w:t>–</w:t>
      </w:r>
      <w:proofErr w:type="spellStart"/>
      <w:r w:rsidRPr="002B5E75">
        <w:rPr>
          <w:rStyle w:val="RefParas"/>
          <w:i w:val="0"/>
        </w:rPr>
        <w:t>Aus</w:t>
      </w:r>
      <w:proofErr w:type="spellEnd"/>
      <w:r w:rsidRPr="002B5E75">
        <w:rPr>
          <w:rStyle w:val="RefParas"/>
          <w:i w:val="0"/>
        </w:rPr>
        <w:t xml:space="preserve"> </w:t>
      </w:r>
      <w:r w:rsidRPr="002B5E75">
        <w:rPr>
          <w:rStyle w:val="RefParas"/>
          <w:i w:val="0"/>
        </w:rPr>
        <w:fldChar w:fldCharType="begin" w:fldLock="1"/>
      </w:r>
      <w:r w:rsidRPr="002B5E75">
        <w:rPr>
          <w:rStyle w:val="RefParas"/>
          <w:i w:val="0"/>
        </w:rPr>
        <w:instrText xml:space="preserve"> REF _Ref354219051 \r \h  \* MERGEFORMAT </w:instrText>
      </w:r>
      <w:r w:rsidRPr="002B5E75">
        <w:rPr>
          <w:rStyle w:val="RefParas"/>
          <w:i w:val="0"/>
        </w:rPr>
      </w:r>
      <w:r w:rsidRPr="002B5E75">
        <w:rPr>
          <w:rStyle w:val="RefParas"/>
          <w:i w:val="0"/>
        </w:rPr>
        <w:fldChar w:fldCharType="separate"/>
      </w:r>
      <w:r w:rsidRPr="002B5E75">
        <w:rPr>
          <w:rStyle w:val="RefParas"/>
          <w:i w:val="0"/>
        </w:rPr>
        <w:t>13</w:t>
      </w:r>
      <w:r w:rsidRPr="002B5E75">
        <w:rPr>
          <w:rStyle w:val="RefParas"/>
          <w:i w:val="0"/>
        </w:rPr>
        <w:fldChar w:fldCharType="end"/>
      </w:r>
      <w:r w:rsidRPr="002B5E75">
        <w:rPr>
          <w:rStyle w:val="RefParas"/>
          <w:i w:val="0"/>
        </w:rPr>
        <w:t>.2)</w:t>
      </w:r>
    </w:p>
    <w:p w14:paraId="23634B38" w14:textId="77777777" w:rsidR="008B1DBC" w:rsidRPr="009057EA" w:rsidRDefault="008B1DBC" w:rsidP="00677589">
      <w:pPr>
        <w:pStyle w:val="AParaLevel1"/>
        <w:ind w:left="709"/>
      </w:pPr>
      <w:bookmarkStart w:id="44" w:name="_Ref354218852"/>
      <w:r w:rsidRPr="009057EA">
        <w:t>In many cases, the management of smaller entities may not have prepared a detailed assessment of the entity’s ability to continue as a going concern, but instead may rely on in</w:t>
      </w:r>
      <w:r w:rsidRPr="009057EA">
        <w:noBreakHyphen/>
        <w:t xml:space="preserve">depth knowledge of the business and anticipated </w:t>
      </w:r>
      <w:proofErr w:type="gramStart"/>
      <w:r w:rsidRPr="009057EA">
        <w:t>future prospects</w:t>
      </w:r>
      <w:proofErr w:type="gramEnd"/>
      <w:r w:rsidRPr="009057EA">
        <w:t>.  Nevertheless, in accordance with the requirements, the auditor needs to evaluate management’s assessment of the entity’s ability to continue as a going concern.  For smaller entities, it may be appropriate to discuss the medium and long</w:t>
      </w:r>
      <w:r w:rsidRPr="009057EA">
        <w:noBreakHyphen/>
        <w:t xml:space="preserve">term financing of the entity with management, </w:t>
      </w:r>
      <w:proofErr w:type="gramStart"/>
      <w:r w:rsidRPr="009057EA">
        <w:t>provided that</w:t>
      </w:r>
      <w:proofErr w:type="gramEnd"/>
      <w:r w:rsidRPr="009057EA">
        <w:t xml:space="preserve"> management’s contentions can be corroborated by sufficient documentary evidence and are not inconsistent with the auditor’s understanding of the entity.  Therefor</w:t>
      </w:r>
      <w:r>
        <w:t xml:space="preserve">e, the requirement in </w:t>
      </w:r>
      <w:r w:rsidRPr="002B5E75">
        <w:t>paragraph </w:t>
      </w:r>
      <w:proofErr w:type="spellStart"/>
      <w:r w:rsidRPr="002B5E75">
        <w:t>Aus</w:t>
      </w:r>
      <w:proofErr w:type="spellEnd"/>
      <w:r w:rsidRPr="002B5E75">
        <w:t xml:space="preserve"> </w:t>
      </w:r>
      <w:r w:rsidRPr="002B5E75">
        <w:fldChar w:fldCharType="begin" w:fldLock="1"/>
      </w:r>
      <w:r w:rsidRPr="002B5E75">
        <w:instrText xml:space="preserve"> REF _Ref354219051 \r \h  \* MERGEFORMAT </w:instrText>
      </w:r>
      <w:r w:rsidRPr="002B5E75">
        <w:fldChar w:fldCharType="separate"/>
      </w:r>
      <w:r w:rsidRPr="002B5E75">
        <w:t>13</w:t>
      </w:r>
      <w:r w:rsidRPr="002B5E75">
        <w:fldChar w:fldCharType="end"/>
      </w:r>
      <w:r w:rsidRPr="002B5E75">
        <w:t>.1 for the auditor</w:t>
      </w:r>
      <w:r w:rsidRPr="009057EA">
        <w:t xml:space="preserve"> to request management to extend its assessment may, for example, be satisfied by discussion, </w:t>
      </w:r>
      <w:r>
        <w:t>enquiry</w:t>
      </w:r>
      <w:r w:rsidRPr="009057EA">
        <w:t xml:space="preserve"> and inspection of supporting documentation, for </w:t>
      </w:r>
      <w:r w:rsidRPr="009057EA">
        <w:lastRenderedPageBreak/>
        <w:t>example, orders received for future supply, evaluated as to their feasibility or otherwise substantiated.</w:t>
      </w:r>
      <w:bookmarkEnd w:id="44"/>
    </w:p>
    <w:p w14:paraId="410705D9" w14:textId="6152619B" w:rsidR="00E06DB7" w:rsidRDefault="008B1DBC" w:rsidP="00677589">
      <w:pPr>
        <w:pStyle w:val="AParaLevel1"/>
        <w:ind w:left="709"/>
      </w:pPr>
      <w:bookmarkStart w:id="45" w:name="_Ref354218857"/>
      <w:r w:rsidRPr="009057EA">
        <w:t>Continued support by owner</w:t>
      </w:r>
      <w:r w:rsidRPr="009057EA">
        <w:noBreakHyphen/>
        <w:t>managers is often important to smaller entities’ ability to continue as a going concern.  Where a small entity is largely financed by a loan from the owner</w:t>
      </w:r>
      <w:r w:rsidRPr="009057EA">
        <w:noBreakHyphen/>
        <w:t>manager, it may be important that these funds are not withdrawn.  For example, the continuance of a small entity in financial difficulty may be dependent on the owner</w:t>
      </w:r>
      <w:r w:rsidRPr="009057EA">
        <w:noBreakHyphen/>
        <w:t xml:space="preserve">manager subordinating a loan to the entity in </w:t>
      </w:r>
      <w:r>
        <w:t>favour</w:t>
      </w:r>
      <w:r w:rsidRPr="009057EA">
        <w:t xml:space="preserve"> of banks or other creditors, or the owner</w:t>
      </w:r>
      <w:r w:rsidRPr="009057EA">
        <w:noBreakHyphen/>
        <w:t>manager supporting a loan for the entity by providing a guarantee with his or her personal assets as collateral.  In such circumstances, the auditor may obtain appropriate documentary evidence of the subordination of the owner</w:t>
      </w:r>
      <w:r w:rsidRPr="009057EA">
        <w:noBreakHyphen/>
        <w:t>manager’s loan or of the guarantee.  Where an entity is dependent on additional support from the owner</w:t>
      </w:r>
      <w:r w:rsidRPr="009057EA">
        <w:noBreakHyphen/>
        <w:t>manager, the auditor may evaluate the owner</w:t>
      </w:r>
      <w:r w:rsidRPr="009057EA">
        <w:noBreakHyphen/>
        <w:t>manager’s ability to meet the obligation under the support arrangement.  In addition, the auditor may request written confirmation of the terms and conditions attaching to such support and the owner</w:t>
      </w:r>
      <w:r w:rsidRPr="009057EA">
        <w:noBreakHyphen/>
        <w:t>manager’s intention or understanding.</w:t>
      </w:r>
      <w:bookmarkEnd w:id="45"/>
    </w:p>
    <w:p w14:paraId="1A7A5BEB" w14:textId="77777777" w:rsidR="008B1DBC" w:rsidRPr="009057EA" w:rsidRDefault="008B1DBC" w:rsidP="00F1421A">
      <w:pPr>
        <w:pStyle w:val="Heading6"/>
      </w:pPr>
      <w:r w:rsidRPr="009057EA">
        <w:t xml:space="preserve">Period beyond Management’s Assessment </w:t>
      </w:r>
      <w:r w:rsidRPr="00D24D3D">
        <w:rPr>
          <w:rStyle w:val="RefParas"/>
          <w:b w:val="0"/>
        </w:rPr>
        <w:t>(</w:t>
      </w:r>
      <w:r w:rsidRPr="002B5E75">
        <w:rPr>
          <w:rStyle w:val="RefParas"/>
          <w:b w:val="0"/>
        </w:rPr>
        <w:t>Ref: Para. </w:t>
      </w:r>
      <w:r w:rsidRPr="002B5E75">
        <w:rPr>
          <w:rStyle w:val="RefParas"/>
          <w:b w:val="0"/>
        </w:rPr>
        <w:fldChar w:fldCharType="begin" w:fldLock="1"/>
      </w:r>
      <w:r w:rsidRPr="002B5E75">
        <w:rPr>
          <w:rStyle w:val="RefParas"/>
          <w:b w:val="0"/>
        </w:rPr>
        <w:instrText xml:space="preserve"> REF _Ref354219084 \r \h  \* MERGEFORMAT </w:instrText>
      </w:r>
      <w:r w:rsidRPr="002B5E75">
        <w:rPr>
          <w:rStyle w:val="RefParas"/>
          <w:b w:val="0"/>
        </w:rPr>
      </w:r>
      <w:r w:rsidRPr="002B5E75">
        <w:rPr>
          <w:rStyle w:val="RefParas"/>
          <w:b w:val="0"/>
        </w:rPr>
        <w:fldChar w:fldCharType="separate"/>
      </w:r>
      <w:r w:rsidRPr="002B5E75">
        <w:rPr>
          <w:rStyle w:val="RefParas"/>
          <w:b w:val="0"/>
        </w:rPr>
        <w:t>15</w:t>
      </w:r>
      <w:r w:rsidRPr="002B5E75">
        <w:rPr>
          <w:rStyle w:val="RefParas"/>
          <w:b w:val="0"/>
        </w:rPr>
        <w:fldChar w:fldCharType="end"/>
      </w:r>
      <w:r w:rsidRPr="002B5E75">
        <w:rPr>
          <w:rStyle w:val="RefParas"/>
          <w:b w:val="0"/>
        </w:rPr>
        <w:t>)</w:t>
      </w:r>
    </w:p>
    <w:p w14:paraId="63251678" w14:textId="77777777" w:rsidR="008B1DBC" w:rsidRPr="009057EA" w:rsidRDefault="008B1DBC" w:rsidP="00677589">
      <w:pPr>
        <w:pStyle w:val="AParaLevel1"/>
        <w:ind w:left="709"/>
      </w:pPr>
      <w:bookmarkStart w:id="46" w:name="_Ref354218879"/>
      <w:r w:rsidRPr="009057EA">
        <w:t xml:space="preserve">As required by paragraph </w:t>
      </w:r>
      <w:r w:rsidRPr="009057EA">
        <w:fldChar w:fldCharType="begin" w:fldLock="1"/>
      </w:r>
      <w:r w:rsidRPr="009057EA">
        <w:instrText xml:space="preserve"> REF _Ref354219026 \r \h  \* MERGEFORMAT </w:instrText>
      </w:r>
      <w:r w:rsidRPr="009057EA">
        <w:fldChar w:fldCharType="separate"/>
      </w:r>
      <w:r>
        <w:t>11</w:t>
      </w:r>
      <w:r w:rsidRPr="009057EA">
        <w:fldChar w:fldCharType="end"/>
      </w:r>
      <w:r w:rsidRPr="009057EA">
        <w:t xml:space="preserve">, the auditor remains alert to the possibility that there may be known events, scheduled or otherwise, or conditions that will occur beyond the period of assessment used by management that may bring into question the appropriateness of management’s use of the going concern basis of accounting in preparing the </w:t>
      </w:r>
      <w:r>
        <w:t>financial report</w:t>
      </w:r>
      <w:r w:rsidRPr="009057EA">
        <w:t>.  Since the degree of uncertainty associated with the outcome of an event or condition increases as the event or condition is further into the future, in considering events or conditions further in the future, the indications of going concern issues need to be significant before the auditor needs to consider taking further action.  If such events or conditions are identified, the auditor may need to request management to evaluate the potential significance of the event or condition on its assessment of the entity’s ability to continue as a going concern.  In these circumstances, the procedures in paragraph 16 apply.</w:t>
      </w:r>
      <w:bookmarkEnd w:id="46"/>
    </w:p>
    <w:p w14:paraId="20DBDA1B" w14:textId="77777777" w:rsidR="008B1DBC" w:rsidRDefault="008B1DBC" w:rsidP="00677589">
      <w:pPr>
        <w:pStyle w:val="AParaLevel1"/>
        <w:ind w:left="709"/>
      </w:pPr>
      <w:bookmarkStart w:id="47" w:name="_Ref354218884"/>
      <w:r>
        <w:t xml:space="preserve">[Deleted by the AUASB.  Refer </w:t>
      </w:r>
      <w:proofErr w:type="spellStart"/>
      <w:r>
        <w:t>Aus</w:t>
      </w:r>
      <w:proofErr w:type="spellEnd"/>
      <w:r>
        <w:t> A15.1]</w:t>
      </w:r>
      <w:bookmarkEnd w:id="47"/>
    </w:p>
    <w:p w14:paraId="5BD73064" w14:textId="27AD2E32" w:rsidR="00F1421A" w:rsidRDefault="008B1DBC" w:rsidP="00F1421A">
      <w:pPr>
        <w:pStyle w:val="AusParaLevel1"/>
      </w:pPr>
      <w:proofErr w:type="spellStart"/>
      <w:r>
        <w:t>Aus</w:t>
      </w:r>
      <w:proofErr w:type="spellEnd"/>
      <w:r>
        <w:t> A15.1</w:t>
      </w:r>
      <w:r>
        <w:tab/>
      </w:r>
      <w:r w:rsidRPr="009057EA">
        <w:t xml:space="preserve">Other than </w:t>
      </w:r>
      <w:r>
        <w:t>enquiry</w:t>
      </w:r>
      <w:r w:rsidRPr="009057EA">
        <w:t xml:space="preserve"> of management, the auditor does not have a responsibility to perform any other audit procedures to identify events or conditions that may cast significant doubt on the entity’s ability to continue as a going concern beyond the period assessed by management, w</w:t>
      </w:r>
      <w:r>
        <w:t>hich, as discussed in paragraph </w:t>
      </w:r>
      <w:proofErr w:type="spellStart"/>
      <w:r>
        <w:t>Aus</w:t>
      </w:r>
      <w:proofErr w:type="spellEnd"/>
      <w:r>
        <w:t> 13.2</w:t>
      </w:r>
      <w:r w:rsidRPr="009057EA">
        <w:t xml:space="preserve">, </w:t>
      </w:r>
      <w:r>
        <w:t xml:space="preserve">is approximately </w:t>
      </w:r>
      <w:r w:rsidRPr="009057EA">
        <w:t xml:space="preserve">twelve months from the date of the </w:t>
      </w:r>
      <w:r>
        <w:t>auditors’ report on the current financial report</w:t>
      </w:r>
      <w:r w:rsidRPr="009057EA">
        <w:t>.</w:t>
      </w:r>
    </w:p>
    <w:p w14:paraId="3B3A2392" w14:textId="77777777" w:rsidR="00F1421A" w:rsidRPr="00F1421A" w:rsidRDefault="00F1421A" w:rsidP="00677589">
      <w:pPr>
        <w:pStyle w:val="Heading6"/>
      </w:pPr>
      <w:r w:rsidRPr="00F1421A">
        <w:t xml:space="preserve">Additional Audit Procedures When Events or Conditions are Identified </w:t>
      </w:r>
      <w:r w:rsidRPr="00677589">
        <w:rPr>
          <w:rStyle w:val="RefParas"/>
          <w:b w:val="0"/>
        </w:rPr>
        <w:t>(Ref: Para. 16)</w:t>
      </w:r>
    </w:p>
    <w:p w14:paraId="40735A33" w14:textId="77777777" w:rsidR="00F1421A" w:rsidRPr="00F1421A" w:rsidRDefault="00F1421A" w:rsidP="00F1421A">
      <w:pPr>
        <w:numPr>
          <w:ilvl w:val="0"/>
          <w:numId w:val="37"/>
        </w:numPr>
        <w:spacing w:after="200"/>
        <w:ind w:left="709"/>
        <w:outlineLvl w:val="0"/>
      </w:pPr>
      <w:bookmarkStart w:id="48" w:name="_Ref354218888"/>
      <w:r w:rsidRPr="00F1421A">
        <w:t>Audit procedures that are relevant to the requirement in paragraph 16 may include the following:</w:t>
      </w:r>
      <w:bookmarkEnd w:id="48"/>
    </w:p>
    <w:p w14:paraId="24583F47" w14:textId="77777777" w:rsidR="00F1421A" w:rsidRPr="00F1421A" w:rsidRDefault="00F1421A" w:rsidP="00F1421A">
      <w:pPr>
        <w:numPr>
          <w:ilvl w:val="0"/>
          <w:numId w:val="35"/>
        </w:numPr>
        <w:spacing w:after="200"/>
        <w:ind w:left="1418"/>
        <w:outlineLvl w:val="0"/>
      </w:pPr>
      <w:r w:rsidRPr="00F1421A">
        <w:t xml:space="preserve">Analysing and discussing cash flow, </w:t>
      </w:r>
      <w:proofErr w:type="gramStart"/>
      <w:r w:rsidRPr="00F1421A">
        <w:t>profit</w:t>
      </w:r>
      <w:proofErr w:type="gramEnd"/>
      <w:r w:rsidRPr="00F1421A">
        <w:t xml:space="preserve"> and other relevant forecasts with management.</w:t>
      </w:r>
    </w:p>
    <w:p w14:paraId="68805E15" w14:textId="77777777" w:rsidR="00F1421A" w:rsidRPr="00F1421A" w:rsidRDefault="00F1421A" w:rsidP="00F1421A">
      <w:pPr>
        <w:numPr>
          <w:ilvl w:val="0"/>
          <w:numId w:val="35"/>
        </w:numPr>
        <w:spacing w:after="200"/>
        <w:ind w:left="1418"/>
        <w:outlineLvl w:val="0"/>
      </w:pPr>
      <w:r w:rsidRPr="00F1421A">
        <w:t>Analysing and discussing the entity’s latest available interim financial report.</w:t>
      </w:r>
    </w:p>
    <w:p w14:paraId="1FA63CEC" w14:textId="77777777" w:rsidR="00F1421A" w:rsidRPr="00F1421A" w:rsidRDefault="00F1421A" w:rsidP="00F1421A">
      <w:pPr>
        <w:numPr>
          <w:ilvl w:val="0"/>
          <w:numId w:val="35"/>
        </w:numPr>
        <w:spacing w:after="200"/>
        <w:ind w:left="1418"/>
        <w:outlineLvl w:val="0"/>
      </w:pPr>
      <w:r w:rsidRPr="00F1421A">
        <w:t xml:space="preserve">Reading the terms of debentures and loan agreements and determining whether any have been breached.  </w:t>
      </w:r>
    </w:p>
    <w:p w14:paraId="477BF5C9" w14:textId="77777777" w:rsidR="00F1421A" w:rsidRPr="00F1421A" w:rsidRDefault="00F1421A" w:rsidP="00F1421A">
      <w:pPr>
        <w:numPr>
          <w:ilvl w:val="0"/>
          <w:numId w:val="35"/>
        </w:numPr>
        <w:spacing w:after="200"/>
        <w:ind w:left="1418"/>
        <w:outlineLvl w:val="0"/>
      </w:pPr>
      <w:r w:rsidRPr="00F1421A">
        <w:t>Reading minutes of the meetings of shareholders, those charged with governance and relevant committees for reference to financing difficulties.</w:t>
      </w:r>
    </w:p>
    <w:p w14:paraId="799107DE" w14:textId="77777777" w:rsidR="00F1421A" w:rsidRPr="00F1421A" w:rsidRDefault="00F1421A" w:rsidP="00F1421A">
      <w:pPr>
        <w:numPr>
          <w:ilvl w:val="0"/>
          <w:numId w:val="35"/>
        </w:numPr>
        <w:spacing w:after="200"/>
        <w:ind w:left="1418"/>
        <w:outlineLvl w:val="0"/>
      </w:pPr>
      <w:r w:rsidRPr="00F1421A">
        <w:t>Enquiring of the entity’s legal counsel regarding the existence of litigation and claims and the reasonableness of management’s assessments of their outcome and the estimate of their financial implications.</w:t>
      </w:r>
    </w:p>
    <w:p w14:paraId="4BE7C669" w14:textId="77777777" w:rsidR="00F1421A" w:rsidRPr="00F1421A" w:rsidRDefault="00F1421A" w:rsidP="00F1421A">
      <w:pPr>
        <w:numPr>
          <w:ilvl w:val="0"/>
          <w:numId w:val="35"/>
        </w:numPr>
        <w:spacing w:after="200"/>
        <w:ind w:left="1418"/>
        <w:outlineLvl w:val="0"/>
      </w:pPr>
      <w:r w:rsidRPr="00F1421A">
        <w:lastRenderedPageBreak/>
        <w:t xml:space="preserve">Confirming the existence, </w:t>
      </w:r>
      <w:proofErr w:type="gramStart"/>
      <w:r w:rsidRPr="00F1421A">
        <w:t>legality</w:t>
      </w:r>
      <w:proofErr w:type="gramEnd"/>
      <w:r w:rsidRPr="00F1421A">
        <w:t xml:space="preserve"> and enforceability of arrangements to provide or maintain financial support with related and third parties and assessing the financial ability of such parties to provide additional funds.</w:t>
      </w:r>
    </w:p>
    <w:p w14:paraId="15B3803D" w14:textId="77777777" w:rsidR="00F1421A" w:rsidRPr="00F1421A" w:rsidRDefault="00F1421A" w:rsidP="00F1421A">
      <w:pPr>
        <w:numPr>
          <w:ilvl w:val="0"/>
          <w:numId w:val="35"/>
        </w:numPr>
        <w:spacing w:after="200"/>
        <w:ind w:left="1418"/>
        <w:outlineLvl w:val="0"/>
      </w:pPr>
      <w:r w:rsidRPr="00F1421A">
        <w:t>Evaluating the entity’s plans to deal with unfilled customer orders.</w:t>
      </w:r>
    </w:p>
    <w:p w14:paraId="224B72B0" w14:textId="77777777" w:rsidR="00F1421A" w:rsidRPr="00F1421A" w:rsidRDefault="00F1421A" w:rsidP="00F1421A">
      <w:pPr>
        <w:numPr>
          <w:ilvl w:val="0"/>
          <w:numId w:val="35"/>
        </w:numPr>
        <w:spacing w:after="200"/>
        <w:ind w:left="1418"/>
        <w:outlineLvl w:val="0"/>
      </w:pPr>
      <w:r w:rsidRPr="00F1421A">
        <w:t>Performing audit procedures regarding subsequent events to identify those that either mitigate or otherwise affect the entity’s ability to continue as a going concern.</w:t>
      </w:r>
    </w:p>
    <w:p w14:paraId="437B8B33" w14:textId="77777777" w:rsidR="00F1421A" w:rsidRPr="00F1421A" w:rsidRDefault="00F1421A" w:rsidP="00F1421A">
      <w:pPr>
        <w:numPr>
          <w:ilvl w:val="0"/>
          <w:numId w:val="35"/>
        </w:numPr>
        <w:spacing w:after="200"/>
        <w:ind w:left="1418"/>
        <w:outlineLvl w:val="0"/>
      </w:pPr>
      <w:r w:rsidRPr="00F1421A">
        <w:t xml:space="preserve">Confirming the existence, </w:t>
      </w:r>
      <w:proofErr w:type="gramStart"/>
      <w:r w:rsidRPr="00F1421A">
        <w:t>terms</w:t>
      </w:r>
      <w:proofErr w:type="gramEnd"/>
      <w:r w:rsidRPr="00F1421A">
        <w:t xml:space="preserve"> and adequacy of borrowing facilities.</w:t>
      </w:r>
    </w:p>
    <w:p w14:paraId="75980561" w14:textId="77777777" w:rsidR="00F1421A" w:rsidRPr="00F1421A" w:rsidRDefault="00F1421A" w:rsidP="00F1421A">
      <w:pPr>
        <w:numPr>
          <w:ilvl w:val="0"/>
          <w:numId w:val="35"/>
        </w:numPr>
        <w:spacing w:after="200"/>
        <w:ind w:left="1418"/>
        <w:outlineLvl w:val="0"/>
      </w:pPr>
      <w:r w:rsidRPr="00F1421A">
        <w:t>Obtaining and reviewing reports of regulatory actions.</w:t>
      </w:r>
    </w:p>
    <w:p w14:paraId="636F2DBA" w14:textId="62BEB0CA" w:rsidR="00F1421A" w:rsidRDefault="00F1421A" w:rsidP="00F1421A">
      <w:pPr>
        <w:numPr>
          <w:ilvl w:val="0"/>
          <w:numId w:val="35"/>
        </w:numPr>
        <w:spacing w:after="200"/>
        <w:ind w:left="1418"/>
        <w:outlineLvl w:val="0"/>
      </w:pPr>
      <w:r w:rsidRPr="00F1421A">
        <w:t>Determining the adequacy of support for any planned disposals of assets.</w:t>
      </w:r>
    </w:p>
    <w:p w14:paraId="54063B6A" w14:textId="77777777" w:rsidR="00F1421A" w:rsidRPr="00F1421A" w:rsidRDefault="00F1421A" w:rsidP="00677589">
      <w:pPr>
        <w:pStyle w:val="Heading7"/>
      </w:pPr>
      <w:r w:rsidRPr="00F1421A">
        <w:t xml:space="preserve">Evaluating Management’s Plans for Future Actions </w:t>
      </w:r>
      <w:r w:rsidRPr="00677589">
        <w:rPr>
          <w:rStyle w:val="RefParas"/>
          <w:i w:val="0"/>
        </w:rPr>
        <w:t>(Ref: Para. 16(b))</w:t>
      </w:r>
    </w:p>
    <w:p w14:paraId="0E222E59" w14:textId="77777777" w:rsidR="00F1421A" w:rsidRPr="00F1421A" w:rsidRDefault="00F1421A" w:rsidP="00F1421A">
      <w:pPr>
        <w:numPr>
          <w:ilvl w:val="0"/>
          <w:numId w:val="37"/>
        </w:numPr>
        <w:spacing w:after="200"/>
        <w:ind w:left="709"/>
        <w:outlineLvl w:val="0"/>
      </w:pPr>
      <w:bookmarkStart w:id="49" w:name="_Ref354218895"/>
      <w:r w:rsidRPr="00F1421A">
        <w:t xml:space="preserve">Evaluating management’s plans for future actions may include enquiries of management as to its plans for future action, including, for example, its plans to liquidate assets, borrow money or restructure debt, </w:t>
      </w:r>
      <w:proofErr w:type="gramStart"/>
      <w:r w:rsidRPr="00F1421A">
        <w:t>reduce</w:t>
      </w:r>
      <w:proofErr w:type="gramEnd"/>
      <w:r w:rsidRPr="00F1421A">
        <w:t xml:space="preserve"> or delay expenditures, or increase capital.</w:t>
      </w:r>
      <w:bookmarkEnd w:id="49"/>
    </w:p>
    <w:p w14:paraId="5058C1D5" w14:textId="77777777" w:rsidR="00F1421A" w:rsidRPr="00F1421A" w:rsidRDefault="00F1421A" w:rsidP="00677589">
      <w:pPr>
        <w:pStyle w:val="Heading7"/>
      </w:pPr>
      <w:r w:rsidRPr="00F1421A">
        <w:t xml:space="preserve">The Period of Management’s Assessment </w:t>
      </w:r>
      <w:r w:rsidRPr="00677589">
        <w:rPr>
          <w:rStyle w:val="RefParas"/>
          <w:i w:val="0"/>
        </w:rPr>
        <w:t>(Ref: Para. 16(c))</w:t>
      </w:r>
    </w:p>
    <w:p w14:paraId="7810D660" w14:textId="77777777" w:rsidR="00F1421A" w:rsidRPr="00F1421A" w:rsidRDefault="00F1421A" w:rsidP="00F1421A">
      <w:pPr>
        <w:numPr>
          <w:ilvl w:val="0"/>
          <w:numId w:val="37"/>
        </w:numPr>
        <w:spacing w:after="200"/>
        <w:ind w:left="709"/>
        <w:outlineLvl w:val="0"/>
      </w:pPr>
      <w:bookmarkStart w:id="50" w:name="_Ref354218900"/>
      <w:r w:rsidRPr="00F1421A">
        <w:t>In addition to the procedures required in paragraph 16(c), the auditor may compare:</w:t>
      </w:r>
      <w:bookmarkEnd w:id="50"/>
    </w:p>
    <w:p w14:paraId="38FD2473" w14:textId="77777777" w:rsidR="00F1421A" w:rsidRPr="00F1421A" w:rsidRDefault="00F1421A" w:rsidP="00F1421A">
      <w:pPr>
        <w:numPr>
          <w:ilvl w:val="0"/>
          <w:numId w:val="35"/>
        </w:numPr>
        <w:spacing w:after="200"/>
        <w:ind w:left="1418"/>
        <w:outlineLvl w:val="0"/>
      </w:pPr>
      <w:r w:rsidRPr="00F1421A">
        <w:t>The prospective financial information for recent prior periods with historical results; and</w:t>
      </w:r>
    </w:p>
    <w:p w14:paraId="626C281E" w14:textId="77777777" w:rsidR="00F1421A" w:rsidRPr="00F1421A" w:rsidRDefault="00F1421A" w:rsidP="00F1421A">
      <w:pPr>
        <w:numPr>
          <w:ilvl w:val="0"/>
          <w:numId w:val="35"/>
        </w:numPr>
        <w:spacing w:after="200"/>
        <w:ind w:left="1418"/>
        <w:outlineLvl w:val="0"/>
      </w:pPr>
      <w:r w:rsidRPr="00F1421A">
        <w:t xml:space="preserve">The prospective financial information for the current period with results achieved to date.  </w:t>
      </w:r>
    </w:p>
    <w:p w14:paraId="6A4BE6A8" w14:textId="77777777" w:rsidR="00F1421A" w:rsidRPr="00F1421A" w:rsidRDefault="00F1421A" w:rsidP="00F1421A">
      <w:pPr>
        <w:numPr>
          <w:ilvl w:val="0"/>
          <w:numId w:val="37"/>
        </w:numPr>
        <w:spacing w:after="200"/>
        <w:ind w:left="709"/>
        <w:outlineLvl w:val="0"/>
      </w:pPr>
      <w:bookmarkStart w:id="51" w:name="_Ref354218907"/>
      <w:r w:rsidRPr="00F1421A">
        <w:t>Where management’s assumptions include continued support by third parties, whether through the subordination of loans, commitments to maintain or provide additional funding, or guarantees, and such support is important to an entity’s ability to continue as a going concern, the auditor may need to consider requesting written confirmation (including of terms and conditions) from those third parties and to obtain evidence of their ability to provide such support.</w:t>
      </w:r>
      <w:bookmarkEnd w:id="51"/>
    </w:p>
    <w:p w14:paraId="7CDC9A1D" w14:textId="77777777" w:rsidR="00F1421A" w:rsidRPr="0067005E" w:rsidRDefault="00F1421A" w:rsidP="0067005E">
      <w:pPr>
        <w:pStyle w:val="Heading7"/>
        <w:rPr>
          <w:rStyle w:val="RefParas"/>
          <w:i w:val="0"/>
        </w:rPr>
      </w:pPr>
      <w:r w:rsidRPr="00F1421A">
        <w:t xml:space="preserve">Written Representations </w:t>
      </w:r>
      <w:r w:rsidRPr="0067005E">
        <w:rPr>
          <w:rStyle w:val="RefParas"/>
          <w:i w:val="0"/>
        </w:rPr>
        <w:t>(Ref: Para. 16(e))</w:t>
      </w:r>
    </w:p>
    <w:p w14:paraId="4194DE7B" w14:textId="3F06391B" w:rsidR="00F1421A" w:rsidRDefault="00F1421A" w:rsidP="00F1421A">
      <w:pPr>
        <w:numPr>
          <w:ilvl w:val="0"/>
          <w:numId w:val="37"/>
        </w:numPr>
        <w:spacing w:after="200"/>
        <w:ind w:left="709"/>
        <w:outlineLvl w:val="0"/>
      </w:pPr>
      <w:r w:rsidRPr="00F1421A">
        <w:t>The auditor may consider it appropriate to obtain specific written representations beyond those required in paragraph 16 in support of audit evidence obtained regarding management’s plans for future actions in relation to its going concern assessment and the feasibility of those plans.</w:t>
      </w:r>
    </w:p>
    <w:p w14:paraId="21D54AA5" w14:textId="77777777" w:rsidR="00F1421A" w:rsidRPr="00F1421A" w:rsidRDefault="00F1421A" w:rsidP="0067005E">
      <w:pPr>
        <w:pStyle w:val="Heading6"/>
      </w:pPr>
      <w:r w:rsidRPr="00F1421A">
        <w:t xml:space="preserve">Auditor Conclusions </w:t>
      </w:r>
    </w:p>
    <w:p w14:paraId="0E9D727D" w14:textId="77777777" w:rsidR="00F1421A" w:rsidRPr="00F1421A" w:rsidRDefault="00F1421A" w:rsidP="00F1421A">
      <w:pPr>
        <w:keepNext/>
        <w:spacing w:after="200"/>
        <w:outlineLvl w:val="6"/>
        <w:rPr>
          <w:i/>
          <w:iCs/>
          <w:szCs w:val="24"/>
        </w:rPr>
      </w:pPr>
      <w:bookmarkStart w:id="52" w:name="_Ref354218918"/>
      <w:r w:rsidRPr="00F1421A">
        <w:rPr>
          <w:i/>
          <w:iCs/>
          <w:szCs w:val="24"/>
        </w:rPr>
        <w:t xml:space="preserve">Material Uncertainty Related to Events or Conditions that May Cast Significant Doubt on the Entity’s Ability to Continue as a Going Concern </w:t>
      </w:r>
      <w:bookmarkStart w:id="53" w:name="_Ref357144647"/>
      <w:r w:rsidRPr="00F1421A">
        <w:rPr>
          <w:iCs/>
          <w:sz w:val="18"/>
          <w:szCs w:val="24"/>
        </w:rPr>
        <w:t>(Ref: Para. 18‒19)</w:t>
      </w:r>
    </w:p>
    <w:p w14:paraId="493DD105" w14:textId="77777777" w:rsidR="00F1421A" w:rsidRPr="00F1421A" w:rsidRDefault="00F1421A" w:rsidP="00F1421A">
      <w:pPr>
        <w:numPr>
          <w:ilvl w:val="0"/>
          <w:numId w:val="37"/>
        </w:numPr>
        <w:spacing w:after="200"/>
        <w:ind w:left="709"/>
        <w:outlineLvl w:val="0"/>
      </w:pPr>
      <w:r w:rsidRPr="00F1421A">
        <w:t>The phrase “material uncertainty” is used in Australian Accounting Standard AASB 101 in discussing the uncertainties related to events or conditions which may cast significant doubt on the entity’s ability to continue as a going concern that should be disclosed in the financial report.  In some other financial reporting frameworks, the phrase “significant uncertainty” is used in similar circumstances.</w:t>
      </w:r>
      <w:bookmarkEnd w:id="52"/>
      <w:bookmarkEnd w:id="53"/>
    </w:p>
    <w:p w14:paraId="63887BB7" w14:textId="77777777" w:rsidR="00F1421A" w:rsidRPr="00F1421A" w:rsidRDefault="00F1421A" w:rsidP="00F1421A">
      <w:pPr>
        <w:spacing w:after="200"/>
        <w:ind w:left="1418" w:hanging="1418"/>
      </w:pPr>
      <w:proofErr w:type="spellStart"/>
      <w:r w:rsidRPr="00F1421A">
        <w:t>Aus</w:t>
      </w:r>
      <w:proofErr w:type="spellEnd"/>
      <w:r w:rsidRPr="00F1421A">
        <w:t> </w:t>
      </w:r>
      <w:r w:rsidR="00912E22">
        <w:fldChar w:fldCharType="begin" w:fldLock="1"/>
      </w:r>
      <w:r w:rsidR="00912E22">
        <w:instrText xml:space="preserve"> STYLEREF AParaLevel1 \n \* MERGEFORMAT </w:instrText>
      </w:r>
      <w:r w:rsidR="00912E22">
        <w:fldChar w:fldCharType="separate"/>
      </w:r>
      <w:r w:rsidRPr="00F1421A">
        <w:rPr>
          <w:noProof/>
        </w:rPr>
        <w:t>A21</w:t>
      </w:r>
      <w:r w:rsidR="00912E22">
        <w:rPr>
          <w:noProof/>
        </w:rPr>
        <w:fldChar w:fldCharType="end"/>
      </w:r>
      <w:r w:rsidRPr="00F1421A">
        <w:t>.</w:t>
      </w:r>
      <w:r w:rsidR="00912E22">
        <w:fldChar w:fldCharType="begin" w:fldLock="1"/>
      </w:r>
      <w:r w:rsidR="00912E22">
        <w:instrText xml:space="preserve"> SEQ AUSA1 \r1 \* MERGEFORMA</w:instrText>
      </w:r>
      <w:r w:rsidR="00912E22">
        <w:instrText xml:space="preserve">T </w:instrText>
      </w:r>
      <w:r w:rsidR="00912E22">
        <w:fldChar w:fldCharType="separate"/>
      </w:r>
      <w:r w:rsidRPr="00F1421A">
        <w:rPr>
          <w:noProof/>
        </w:rPr>
        <w:t>1</w:t>
      </w:r>
      <w:r w:rsidR="00912E22">
        <w:rPr>
          <w:noProof/>
        </w:rPr>
        <w:fldChar w:fldCharType="end"/>
      </w:r>
      <w:r w:rsidRPr="00F1421A">
        <w:tab/>
        <w:t>Refer to [</w:t>
      </w:r>
      <w:proofErr w:type="spellStart"/>
      <w:r w:rsidRPr="00F1421A">
        <w:t>Aus</w:t>
      </w:r>
      <w:proofErr w:type="spellEnd"/>
      <w:r w:rsidRPr="00F1421A">
        <w:t>] Appendix 1 for a diagrammatic illustration of the links between going concern considerations and the types of audit opinions.</w:t>
      </w:r>
    </w:p>
    <w:p w14:paraId="05FEFF97" w14:textId="77777777" w:rsidR="00F1421A" w:rsidRPr="00F1421A" w:rsidRDefault="00F1421A" w:rsidP="00F1421A">
      <w:pPr>
        <w:keepNext/>
        <w:spacing w:after="200"/>
        <w:outlineLvl w:val="6"/>
        <w:rPr>
          <w:iCs/>
          <w:szCs w:val="24"/>
        </w:rPr>
      </w:pPr>
      <w:r w:rsidRPr="00F1421A">
        <w:rPr>
          <w:i/>
          <w:iCs/>
          <w:szCs w:val="24"/>
        </w:rPr>
        <w:lastRenderedPageBreak/>
        <w:t xml:space="preserve">Adequacy of Disclosure when Events or Conditions Have Been Identified and a Material Uncertainty Exists </w:t>
      </w:r>
      <w:r w:rsidRPr="00F1421A">
        <w:rPr>
          <w:iCs/>
          <w:sz w:val="18"/>
          <w:szCs w:val="24"/>
        </w:rPr>
        <w:t>(Ref: Para. 18‒19)</w:t>
      </w:r>
    </w:p>
    <w:p w14:paraId="229FEABF" w14:textId="77777777" w:rsidR="00F1421A" w:rsidRPr="00F1421A" w:rsidRDefault="00F1421A" w:rsidP="00F1421A">
      <w:pPr>
        <w:numPr>
          <w:ilvl w:val="0"/>
          <w:numId w:val="37"/>
        </w:numPr>
        <w:spacing w:after="200"/>
        <w:ind w:left="709"/>
        <w:outlineLvl w:val="0"/>
      </w:pPr>
      <w:r w:rsidRPr="00F1421A">
        <w:t xml:space="preserve">Paragraph 18 explains that a material uncertainty exists when the magnitude of the potential impact of the events or conditions and the likelihood of occurrence is such that appropriate disclosure is necessary to achieve fair presentation (for fair presentation frameworks) or for the financial report not to be misleading (for compliance frameworks).  The auditor is required by paragraph 18 to conclude whether such a material uncertainty exists regardless of whether or how the applicable financial reporting framework defines a material uncertainty.  </w:t>
      </w:r>
    </w:p>
    <w:p w14:paraId="6BFD5F46" w14:textId="77777777" w:rsidR="00F1421A" w:rsidRPr="00F1421A" w:rsidRDefault="00F1421A" w:rsidP="00F1421A">
      <w:pPr>
        <w:numPr>
          <w:ilvl w:val="0"/>
          <w:numId w:val="37"/>
        </w:numPr>
        <w:spacing w:after="200"/>
        <w:ind w:left="709"/>
        <w:outlineLvl w:val="0"/>
      </w:pPr>
      <w:r w:rsidRPr="00F1421A">
        <w:t>Paragraph 19 requires the auditor to determine whether the financial statement disclosures address the matters set forth in that paragraph.  This determination is in addition to the auditor determining whether disclosures about a material uncertainty, required by the applicable financial reporting framework, are adequate.  Disclosures required by some financial reporting frameworks that are in addition to matters set forth in paragraph 19 may include disclosures about:</w:t>
      </w:r>
    </w:p>
    <w:p w14:paraId="723D01FA" w14:textId="77777777" w:rsidR="00F1421A" w:rsidRPr="00F1421A" w:rsidRDefault="00F1421A" w:rsidP="00F1421A">
      <w:pPr>
        <w:numPr>
          <w:ilvl w:val="0"/>
          <w:numId w:val="35"/>
        </w:numPr>
        <w:spacing w:after="200"/>
        <w:ind w:left="1418"/>
        <w:outlineLvl w:val="0"/>
      </w:pPr>
      <w:r w:rsidRPr="00F1421A">
        <w:t>Management’s evaluation of the significance of the events or conditions relating to the entity’s ability to meet its obligations; or</w:t>
      </w:r>
    </w:p>
    <w:p w14:paraId="2981D646" w14:textId="77777777" w:rsidR="00F1421A" w:rsidRPr="00F1421A" w:rsidRDefault="00F1421A" w:rsidP="00F1421A">
      <w:pPr>
        <w:numPr>
          <w:ilvl w:val="0"/>
          <w:numId w:val="35"/>
        </w:numPr>
        <w:spacing w:after="200"/>
        <w:ind w:left="1418"/>
        <w:outlineLvl w:val="0"/>
      </w:pPr>
      <w:r w:rsidRPr="00F1421A">
        <w:t>Significant judgements made by management as part of its assessment of the entity’s ability to continue as a going concern.</w:t>
      </w:r>
    </w:p>
    <w:p w14:paraId="7505F80B" w14:textId="77777777" w:rsidR="00F1421A" w:rsidRPr="00F1421A" w:rsidRDefault="00F1421A" w:rsidP="00F1421A">
      <w:pPr>
        <w:spacing w:after="200"/>
        <w:ind w:left="709"/>
      </w:pPr>
      <w:r w:rsidRPr="00F1421A">
        <w:t>Some financial reporting frameworks may provide additional guidance regarding management’s consideration of disclosures about the magnitude of the potential impact of the principal events or conditions, and the likelihood and timing of their occurrence.</w:t>
      </w:r>
    </w:p>
    <w:p w14:paraId="0109BC2E" w14:textId="77777777" w:rsidR="00F1421A" w:rsidRPr="00F1421A" w:rsidRDefault="00F1421A" w:rsidP="00F1421A">
      <w:pPr>
        <w:keepNext/>
        <w:spacing w:after="200"/>
        <w:outlineLvl w:val="6"/>
        <w:rPr>
          <w:i/>
          <w:iCs/>
          <w:szCs w:val="24"/>
        </w:rPr>
      </w:pPr>
      <w:r w:rsidRPr="00F1421A">
        <w:rPr>
          <w:i/>
          <w:iCs/>
          <w:szCs w:val="24"/>
        </w:rPr>
        <w:t xml:space="preserve">Adequacy of Disclosures When Events or Conditions Have Been Identified but No Material Uncertainty Exists </w:t>
      </w:r>
      <w:r w:rsidRPr="00F1421A">
        <w:rPr>
          <w:iCs/>
          <w:sz w:val="18"/>
          <w:szCs w:val="24"/>
        </w:rPr>
        <w:t>(Ref: Para. 20)</w:t>
      </w:r>
    </w:p>
    <w:p w14:paraId="6D84DFB0" w14:textId="77777777" w:rsidR="00F1421A" w:rsidRPr="00F1421A" w:rsidRDefault="00F1421A" w:rsidP="00F1421A">
      <w:pPr>
        <w:numPr>
          <w:ilvl w:val="0"/>
          <w:numId w:val="37"/>
        </w:numPr>
        <w:spacing w:after="200"/>
        <w:ind w:left="709"/>
        <w:outlineLvl w:val="0"/>
      </w:pPr>
      <w:r w:rsidRPr="00F1421A">
        <w:t xml:space="preserve">Even when no material uncertainty exists, paragraph 20 requires the auditor to evaluate whether, in view of the requirements of the applicable financial reporting framework, the financial report provides adequate disclosure about events or conditions that may cast significant doubt on the entity’s ability to continue as a going concern.  Some financial reporting frameworks may address disclosures about: </w:t>
      </w:r>
    </w:p>
    <w:p w14:paraId="1D865EDF" w14:textId="77777777" w:rsidR="00F1421A" w:rsidRPr="00F1421A" w:rsidRDefault="00F1421A" w:rsidP="00F1421A">
      <w:pPr>
        <w:numPr>
          <w:ilvl w:val="0"/>
          <w:numId w:val="35"/>
        </w:numPr>
        <w:spacing w:after="200"/>
        <w:ind w:left="1418"/>
        <w:outlineLvl w:val="0"/>
      </w:pPr>
      <w:r w:rsidRPr="00F1421A">
        <w:t xml:space="preserve">Principal events or </w:t>
      </w:r>
      <w:proofErr w:type="gramStart"/>
      <w:r w:rsidRPr="00F1421A">
        <w:t>conditions;</w:t>
      </w:r>
      <w:proofErr w:type="gramEnd"/>
    </w:p>
    <w:p w14:paraId="46F260A9" w14:textId="77777777" w:rsidR="00F1421A" w:rsidRPr="00F1421A" w:rsidRDefault="00F1421A" w:rsidP="00F1421A">
      <w:pPr>
        <w:numPr>
          <w:ilvl w:val="0"/>
          <w:numId w:val="35"/>
        </w:numPr>
        <w:spacing w:after="200"/>
        <w:ind w:left="1418"/>
        <w:outlineLvl w:val="0"/>
      </w:pPr>
      <w:r w:rsidRPr="00F1421A">
        <w:t xml:space="preserve">Management’s evaluation of the significance of those events or conditions in relation to the entity’s ability to meet its </w:t>
      </w:r>
      <w:proofErr w:type="gramStart"/>
      <w:r w:rsidRPr="00F1421A">
        <w:t>obligations;</w:t>
      </w:r>
      <w:proofErr w:type="gramEnd"/>
    </w:p>
    <w:p w14:paraId="5B731074" w14:textId="77777777" w:rsidR="00F1421A" w:rsidRPr="00F1421A" w:rsidRDefault="00F1421A" w:rsidP="00F1421A">
      <w:pPr>
        <w:numPr>
          <w:ilvl w:val="0"/>
          <w:numId w:val="35"/>
        </w:numPr>
        <w:spacing w:after="200"/>
        <w:ind w:left="1418"/>
        <w:outlineLvl w:val="0"/>
      </w:pPr>
      <w:r w:rsidRPr="00F1421A">
        <w:t>Management’s plans that mitigate the effect of these events or conditions; or</w:t>
      </w:r>
    </w:p>
    <w:p w14:paraId="684B22E8" w14:textId="77777777" w:rsidR="00F1421A" w:rsidRPr="00F1421A" w:rsidRDefault="00F1421A" w:rsidP="00F1421A">
      <w:pPr>
        <w:numPr>
          <w:ilvl w:val="0"/>
          <w:numId w:val="35"/>
        </w:numPr>
        <w:spacing w:after="200"/>
        <w:ind w:left="1418"/>
        <w:outlineLvl w:val="0"/>
      </w:pPr>
      <w:r w:rsidRPr="00F1421A">
        <w:t>Significant judgements made by management as part of its assessment of the entity’s ability to continue as a going concern.</w:t>
      </w:r>
    </w:p>
    <w:p w14:paraId="25870649" w14:textId="77777777" w:rsidR="00F1421A" w:rsidRPr="00F1421A" w:rsidRDefault="00F1421A" w:rsidP="00F1421A">
      <w:pPr>
        <w:numPr>
          <w:ilvl w:val="0"/>
          <w:numId w:val="37"/>
        </w:numPr>
        <w:spacing w:after="200"/>
        <w:ind w:left="709"/>
        <w:outlineLvl w:val="0"/>
      </w:pPr>
      <w:r w:rsidRPr="00F1421A">
        <w:t>When the financial report is prepared in accordance with a fair presentation framework, the auditor’s evaluation as to whether the financial report achieves fair presentation includes the consideration of the overall presentation, structure and content of the financial report, and whether the financial report, including the related notes, represent the underlying transactions and events in a manner that achieves fair presentation.</w:t>
      </w:r>
      <w:r w:rsidRPr="00F1421A">
        <w:rPr>
          <w:vertAlign w:val="superscript"/>
        </w:rPr>
        <w:footnoteReference w:id="17"/>
      </w:r>
      <w:r w:rsidRPr="00F1421A">
        <w:t xml:space="preserve">  Depending on the facts and circumstances, the auditor may determine that additional disclosures are necessary to achieve fair presentation.  This may be the case, for example, when events or conditions have been identified that may cast significant doubt on the entity’s ability to continue as a going concern but, based on the audit evidence obtained, the auditor concludes that no material uncertainty </w:t>
      </w:r>
      <w:r w:rsidRPr="00F1421A">
        <w:lastRenderedPageBreak/>
        <w:t>exists, and no disclosures are explicitly required by the applicable financial reporting framework regarding these circumstances.</w:t>
      </w:r>
    </w:p>
    <w:p w14:paraId="632407C4" w14:textId="77777777" w:rsidR="00F1421A" w:rsidRPr="00F1421A" w:rsidRDefault="00F1421A" w:rsidP="00F1421A">
      <w:pPr>
        <w:keepNext/>
        <w:spacing w:after="200"/>
        <w:outlineLvl w:val="5"/>
        <w:rPr>
          <w:b/>
          <w:iCs/>
          <w:szCs w:val="22"/>
        </w:rPr>
      </w:pPr>
      <w:r w:rsidRPr="00F1421A">
        <w:rPr>
          <w:b/>
          <w:iCs/>
          <w:szCs w:val="22"/>
        </w:rPr>
        <w:t xml:space="preserve">Implications for the Auditor’s Report </w:t>
      </w:r>
    </w:p>
    <w:p w14:paraId="784AD160" w14:textId="77777777" w:rsidR="00F1421A" w:rsidRPr="00F1421A" w:rsidRDefault="00F1421A" w:rsidP="00F1421A">
      <w:pPr>
        <w:keepNext/>
        <w:spacing w:after="200"/>
        <w:outlineLvl w:val="6"/>
        <w:rPr>
          <w:i/>
          <w:iCs/>
          <w:szCs w:val="24"/>
        </w:rPr>
      </w:pPr>
      <w:r w:rsidRPr="00F1421A">
        <w:rPr>
          <w:i/>
          <w:iCs/>
          <w:szCs w:val="24"/>
        </w:rPr>
        <w:t xml:space="preserve">Use of Going Concern Basis of Accounting is Inappropriate </w:t>
      </w:r>
      <w:r w:rsidRPr="00F1421A">
        <w:rPr>
          <w:iCs/>
          <w:sz w:val="18"/>
          <w:szCs w:val="24"/>
        </w:rPr>
        <w:t>(Ref: Para. 21)</w:t>
      </w:r>
    </w:p>
    <w:p w14:paraId="694F54A5" w14:textId="77777777" w:rsidR="00F1421A" w:rsidRPr="00F1421A" w:rsidRDefault="00F1421A" w:rsidP="00232733">
      <w:pPr>
        <w:numPr>
          <w:ilvl w:val="0"/>
          <w:numId w:val="37"/>
        </w:numPr>
        <w:spacing w:after="200"/>
        <w:ind w:left="709"/>
        <w:outlineLvl w:val="0"/>
      </w:pPr>
      <w:bookmarkStart w:id="54" w:name="_Ref357144674"/>
      <w:r w:rsidRPr="00F1421A">
        <w:t xml:space="preserve">If the financial report has been prepared using the going concern basis of accounting but, in the auditor’s judgement, management’s use of the going concern basis of accounting in the financial report is inappropriate, the requirement in paragraph 21 for the auditor to express an adverse opinion applies regardless of </w:t>
      </w:r>
      <w:proofErr w:type="gramStart"/>
      <w:r w:rsidRPr="00F1421A">
        <w:t>whether or not</w:t>
      </w:r>
      <w:proofErr w:type="gramEnd"/>
      <w:r w:rsidRPr="00F1421A">
        <w:t xml:space="preserve"> the financial report includes disclosure of the inappropriateness of management’s use of the going concern basis of accounting.</w:t>
      </w:r>
    </w:p>
    <w:p w14:paraId="236F390D" w14:textId="77777777" w:rsidR="00F1421A" w:rsidRPr="00F1421A" w:rsidRDefault="00F1421A" w:rsidP="00232733">
      <w:pPr>
        <w:numPr>
          <w:ilvl w:val="0"/>
          <w:numId w:val="37"/>
        </w:numPr>
        <w:spacing w:after="200"/>
        <w:ind w:left="709"/>
        <w:outlineLvl w:val="0"/>
      </w:pPr>
      <w:r w:rsidRPr="00F1421A">
        <w:t>When the use of the going concern basis of accounting is not appropriate in the circumstances, management may be required, or may elect, to prepare the financial report on another basis (e.g., liquidation basis).  The auditor may be able to perform an audit of that financial report provided that the auditor determines that the other basis of accounting is acceptable in the circumstances.  The auditor may be able to express an unmodified opinion on that financial report, provided there is adequate disclosure therein about the basis of accounting on which the financial report is prepared, but may consider it appropriate or necessary to include an Emphasis of Matter paragraph in accordance with ASA 706</w:t>
      </w:r>
      <w:r w:rsidRPr="00F1421A">
        <w:rPr>
          <w:vertAlign w:val="superscript"/>
        </w:rPr>
        <w:footnoteReference w:id="18"/>
      </w:r>
      <w:r w:rsidRPr="00F1421A">
        <w:t xml:space="preserve"> in the auditor’s report to draw the user’s attention to that alternative basis of accounting and the reasons for its use.  </w:t>
      </w:r>
    </w:p>
    <w:p w14:paraId="7CEC6BE7" w14:textId="77777777" w:rsidR="00F1421A" w:rsidRPr="00F1421A" w:rsidRDefault="00F1421A" w:rsidP="00232733">
      <w:pPr>
        <w:keepNext/>
        <w:spacing w:after="200"/>
        <w:outlineLvl w:val="6"/>
        <w:rPr>
          <w:i/>
          <w:iCs/>
          <w:szCs w:val="24"/>
        </w:rPr>
      </w:pPr>
      <w:r w:rsidRPr="00F1421A">
        <w:rPr>
          <w:i/>
          <w:iCs/>
          <w:szCs w:val="24"/>
        </w:rPr>
        <w:t xml:space="preserve">Use of the Going Concern Basis of Accounting Is Appropriate but a Material Uncertainty Exists </w:t>
      </w:r>
      <w:r w:rsidRPr="00F1421A">
        <w:rPr>
          <w:iCs/>
          <w:sz w:val="18"/>
          <w:szCs w:val="24"/>
        </w:rPr>
        <w:t>(Ref: Para. 22‒23)</w:t>
      </w:r>
    </w:p>
    <w:p w14:paraId="14F4885D" w14:textId="77777777" w:rsidR="00F1421A" w:rsidRPr="00F1421A" w:rsidRDefault="00F1421A" w:rsidP="00232733">
      <w:pPr>
        <w:numPr>
          <w:ilvl w:val="0"/>
          <w:numId w:val="37"/>
        </w:numPr>
        <w:spacing w:after="200"/>
        <w:ind w:left="709"/>
        <w:outlineLvl w:val="0"/>
      </w:pPr>
      <w:r w:rsidRPr="00F1421A">
        <w:t>The identification of a material uncertainty is a matter that is important to users’ understanding of the financial report.  The use of a separate section with a heading that includes reference to the fact that a material uncertainty related to going concern exists alerts users to this circumstance.</w:t>
      </w:r>
    </w:p>
    <w:p w14:paraId="04200C9D" w14:textId="77777777" w:rsidR="00F1421A" w:rsidRPr="00F1421A" w:rsidRDefault="00F1421A" w:rsidP="00232733">
      <w:pPr>
        <w:numPr>
          <w:ilvl w:val="0"/>
          <w:numId w:val="37"/>
        </w:numPr>
        <w:spacing w:after="200"/>
        <w:ind w:left="709"/>
        <w:outlineLvl w:val="0"/>
      </w:pPr>
      <w:r w:rsidRPr="00F1421A">
        <w:t>Appendix 2 provides illustrations of the statements that are required to be included in the auditor’s report on the financial report when Australian Accounting Standards are the applicable financial reporting framework.  If an applicable financial reporting framework other than Australian Accounting Standards is used, the illustrative statements presented in Appendix 2 may need to be adapted to reflect the application of the other financial reporting framework in the circumstances.</w:t>
      </w:r>
      <w:bookmarkEnd w:id="54"/>
    </w:p>
    <w:p w14:paraId="5C9098AF" w14:textId="77777777" w:rsidR="00F1421A" w:rsidRPr="00F1421A" w:rsidRDefault="00F1421A" w:rsidP="00232733">
      <w:pPr>
        <w:numPr>
          <w:ilvl w:val="0"/>
          <w:numId w:val="37"/>
        </w:numPr>
        <w:spacing w:after="200"/>
        <w:ind w:left="709"/>
        <w:outlineLvl w:val="0"/>
      </w:pPr>
      <w:r w:rsidRPr="00F1421A">
        <w:t xml:space="preserve">Paragraph 22 establishes the minimum information required to be presented in the auditor’s report in each of the circumstances described.  The auditor may provide additional information to supplement the required statements, for example to explain: </w:t>
      </w:r>
    </w:p>
    <w:p w14:paraId="323E4D83" w14:textId="77777777" w:rsidR="00F1421A" w:rsidRPr="00F1421A" w:rsidRDefault="00F1421A" w:rsidP="00232733">
      <w:pPr>
        <w:numPr>
          <w:ilvl w:val="0"/>
          <w:numId w:val="35"/>
        </w:numPr>
        <w:spacing w:after="200"/>
        <w:ind w:left="1418"/>
        <w:outlineLvl w:val="0"/>
      </w:pPr>
      <w:r w:rsidRPr="00F1421A">
        <w:t>That the existence of a material uncertainty is fundamental to users’ understanding of the financial report;</w:t>
      </w:r>
      <w:r w:rsidRPr="00F1421A">
        <w:rPr>
          <w:vertAlign w:val="superscript"/>
        </w:rPr>
        <w:footnoteReference w:id="19"/>
      </w:r>
      <w:r w:rsidRPr="00F1421A">
        <w:t xml:space="preserve"> or </w:t>
      </w:r>
    </w:p>
    <w:p w14:paraId="1B306F90" w14:textId="77777777" w:rsidR="00F1421A" w:rsidRPr="00F1421A" w:rsidRDefault="00F1421A" w:rsidP="00232733">
      <w:pPr>
        <w:numPr>
          <w:ilvl w:val="0"/>
          <w:numId w:val="35"/>
        </w:numPr>
        <w:spacing w:after="200"/>
        <w:ind w:left="1418"/>
        <w:outlineLvl w:val="0"/>
      </w:pPr>
      <w:r w:rsidRPr="00F1421A">
        <w:t xml:space="preserve">How the matter was addressed in the audit.  </w:t>
      </w:r>
      <w:r w:rsidRPr="00F1421A">
        <w:rPr>
          <w:sz w:val="18"/>
        </w:rPr>
        <w:t>(Ref: Para. A1)</w:t>
      </w:r>
    </w:p>
    <w:p w14:paraId="2C349A0A" w14:textId="77777777" w:rsidR="00F1421A" w:rsidRPr="00F1421A" w:rsidRDefault="00F1421A" w:rsidP="00232733">
      <w:pPr>
        <w:keepNext/>
        <w:spacing w:after="200"/>
        <w:outlineLvl w:val="7"/>
        <w:rPr>
          <w:iCs/>
          <w:szCs w:val="22"/>
        </w:rPr>
      </w:pPr>
      <w:r w:rsidRPr="00F1421A">
        <w:rPr>
          <w:iCs/>
          <w:szCs w:val="22"/>
        </w:rPr>
        <w:t xml:space="preserve">Adequate Disclosure of a Material Uncertainty Is Made in the Financial Report </w:t>
      </w:r>
      <w:r w:rsidRPr="00F1421A">
        <w:rPr>
          <w:iCs/>
          <w:sz w:val="18"/>
          <w:szCs w:val="22"/>
        </w:rPr>
        <w:t>(Ref: Para. 22)</w:t>
      </w:r>
    </w:p>
    <w:p w14:paraId="79064A58" w14:textId="77777777" w:rsidR="00F1421A" w:rsidRPr="00F1421A" w:rsidRDefault="00F1421A" w:rsidP="00232733">
      <w:pPr>
        <w:numPr>
          <w:ilvl w:val="0"/>
          <w:numId w:val="37"/>
        </w:numPr>
        <w:spacing w:after="200"/>
        <w:ind w:left="709"/>
        <w:outlineLvl w:val="0"/>
      </w:pPr>
      <w:bookmarkStart w:id="55" w:name="_Ref358278430"/>
      <w:bookmarkStart w:id="56" w:name="_Ref354218930"/>
      <w:bookmarkStart w:id="57" w:name="_Ref356289798"/>
      <w:bookmarkStart w:id="58" w:name="_Ref356294072"/>
      <w:r w:rsidRPr="00F1421A">
        <w:t>[</w:t>
      </w:r>
      <w:proofErr w:type="spellStart"/>
      <w:r w:rsidRPr="00F1421A">
        <w:t>Aus</w:t>
      </w:r>
      <w:proofErr w:type="spellEnd"/>
      <w:r w:rsidRPr="00F1421A">
        <w:t xml:space="preserve">] Illustration 1A of Appendix 2 is an example of an auditor’s report when the auditor has obtained sufficient appropriate audit evidence regarding the appropriateness of management’s use of the going concern basis of </w:t>
      </w:r>
      <w:proofErr w:type="gramStart"/>
      <w:r w:rsidRPr="00F1421A">
        <w:t>accounting</w:t>
      </w:r>
      <w:proofErr w:type="gramEnd"/>
      <w:r w:rsidRPr="00F1421A">
        <w:t xml:space="preserve"> but a material uncertainty exists and disclosure is adequate in the </w:t>
      </w:r>
      <w:bookmarkEnd w:id="55"/>
      <w:r w:rsidRPr="00F1421A">
        <w:t xml:space="preserve">financial report.  The Appendix of ASA 700 also includes illustrative wording to be included in the auditor’s report for all entities in relation to going concern to describe the </w:t>
      </w:r>
      <w:r w:rsidRPr="00F1421A">
        <w:lastRenderedPageBreak/>
        <w:t xml:space="preserve">respective responsibilities of those responsible for the financial report and the auditor in relation to going concern. </w:t>
      </w:r>
      <w:bookmarkEnd w:id="56"/>
      <w:bookmarkEnd w:id="57"/>
      <w:bookmarkEnd w:id="58"/>
    </w:p>
    <w:p w14:paraId="015F1493" w14:textId="77777777" w:rsidR="00F1421A" w:rsidRPr="00F1421A" w:rsidRDefault="00F1421A" w:rsidP="00232733">
      <w:pPr>
        <w:keepNext/>
        <w:spacing w:after="200"/>
        <w:outlineLvl w:val="7"/>
        <w:rPr>
          <w:iCs/>
          <w:szCs w:val="22"/>
        </w:rPr>
      </w:pPr>
      <w:r w:rsidRPr="00F1421A">
        <w:rPr>
          <w:iCs/>
          <w:szCs w:val="22"/>
        </w:rPr>
        <w:t xml:space="preserve">Adequate Disclosure of a Material Uncertainty Is Not Made in the Financial Report </w:t>
      </w:r>
      <w:r w:rsidRPr="00F1421A">
        <w:rPr>
          <w:iCs/>
          <w:sz w:val="18"/>
          <w:szCs w:val="22"/>
        </w:rPr>
        <w:t>(Ref: Para. 23)</w:t>
      </w:r>
    </w:p>
    <w:p w14:paraId="37A4EF98" w14:textId="77777777" w:rsidR="00F1421A" w:rsidRPr="00F1421A" w:rsidRDefault="00F1421A" w:rsidP="00232733">
      <w:pPr>
        <w:numPr>
          <w:ilvl w:val="0"/>
          <w:numId w:val="37"/>
        </w:numPr>
        <w:spacing w:after="200"/>
        <w:ind w:left="709"/>
        <w:outlineLvl w:val="0"/>
      </w:pPr>
      <w:r w:rsidRPr="00F1421A">
        <w:t>[</w:t>
      </w:r>
      <w:proofErr w:type="spellStart"/>
      <w:r w:rsidRPr="00F1421A">
        <w:t>Aus</w:t>
      </w:r>
      <w:proofErr w:type="spellEnd"/>
      <w:r w:rsidRPr="00F1421A">
        <w:t xml:space="preserve">] Illustrations 2A and 3A of Appendix 2 are examples of auditor’s reports containing qualified and adverse opinions, respectively, when the auditor has obtained sufficient appropriate audit evidence regarding the appropriateness of the management’s use of the going concern basis of </w:t>
      </w:r>
      <w:proofErr w:type="gramStart"/>
      <w:r w:rsidRPr="00F1421A">
        <w:t>accounting</w:t>
      </w:r>
      <w:proofErr w:type="gramEnd"/>
      <w:r w:rsidRPr="00F1421A">
        <w:t xml:space="preserve"> but adequate disclosure of a material uncertainty is not made in the financial report.</w:t>
      </w:r>
    </w:p>
    <w:p w14:paraId="4D8869CB" w14:textId="77777777" w:rsidR="00F1421A" w:rsidRPr="00F1421A" w:rsidRDefault="00F1421A" w:rsidP="00232733">
      <w:pPr>
        <w:numPr>
          <w:ilvl w:val="0"/>
          <w:numId w:val="37"/>
        </w:numPr>
        <w:spacing w:after="200"/>
        <w:ind w:left="709"/>
        <w:outlineLvl w:val="0"/>
      </w:pPr>
      <w:r w:rsidRPr="00F1421A">
        <w:t xml:space="preserve">In situations involving multiple uncertainties that are significant to the financial </w:t>
      </w:r>
      <w:proofErr w:type="gramStart"/>
      <w:r w:rsidRPr="00F1421A">
        <w:t>report as a whole, the</w:t>
      </w:r>
      <w:proofErr w:type="gramEnd"/>
      <w:r w:rsidRPr="00F1421A">
        <w:t xml:space="preserve"> auditor may consider it appropriate in extremely rare cases to express a disclaimer of opinion instead of including the statements required by paragraph 22.  ASA 705 provides guidance on this issue.</w:t>
      </w:r>
      <w:r w:rsidRPr="00F1421A">
        <w:rPr>
          <w:vertAlign w:val="superscript"/>
        </w:rPr>
        <w:footnoteReference w:id="20"/>
      </w:r>
    </w:p>
    <w:p w14:paraId="054F724E" w14:textId="77777777" w:rsidR="00F1421A" w:rsidRPr="00F1421A" w:rsidRDefault="00F1421A" w:rsidP="00232733">
      <w:pPr>
        <w:spacing w:after="200"/>
        <w:ind w:left="1418" w:hanging="1418"/>
      </w:pPr>
      <w:proofErr w:type="spellStart"/>
      <w:r w:rsidRPr="00F1421A">
        <w:t>Aus</w:t>
      </w:r>
      <w:proofErr w:type="spellEnd"/>
      <w:r w:rsidRPr="00F1421A">
        <w:t> </w:t>
      </w:r>
      <w:r w:rsidR="00912E22">
        <w:fldChar w:fldCharType="begin" w:fldLock="1"/>
      </w:r>
      <w:r w:rsidR="00912E22">
        <w:instrText xml:space="preserve"> STYLEREF AParaLevel1 \n \* MERGEFORMAT </w:instrText>
      </w:r>
      <w:r w:rsidR="00912E22">
        <w:fldChar w:fldCharType="separate"/>
      </w:r>
      <w:r w:rsidRPr="00F1421A">
        <w:rPr>
          <w:noProof/>
        </w:rPr>
        <w:t>A33</w:t>
      </w:r>
      <w:r w:rsidR="00912E22">
        <w:rPr>
          <w:noProof/>
        </w:rPr>
        <w:fldChar w:fldCharType="end"/>
      </w:r>
      <w:r w:rsidRPr="00F1421A">
        <w:t>.</w:t>
      </w:r>
      <w:r w:rsidR="00912E22">
        <w:fldChar w:fldCharType="begin" w:fldLock="1"/>
      </w:r>
      <w:r w:rsidR="00912E22">
        <w:instrText xml:space="preserve"> SEQ AUSA1 \r1 \* MERGEFORMAT </w:instrText>
      </w:r>
      <w:r w:rsidR="00912E22">
        <w:fldChar w:fldCharType="separate"/>
      </w:r>
      <w:r w:rsidRPr="00F1421A">
        <w:rPr>
          <w:noProof/>
        </w:rPr>
        <w:t>1</w:t>
      </w:r>
      <w:r w:rsidR="00912E22">
        <w:rPr>
          <w:noProof/>
        </w:rPr>
        <w:fldChar w:fldCharType="end"/>
      </w:r>
      <w:r w:rsidRPr="00F1421A">
        <w:tab/>
        <w:t>[</w:t>
      </w:r>
      <w:proofErr w:type="spellStart"/>
      <w:r w:rsidRPr="00F1421A">
        <w:t>Aus</w:t>
      </w:r>
      <w:proofErr w:type="spellEnd"/>
      <w:r w:rsidRPr="00F1421A">
        <w:t>] Illustration 4A of Appendix 2 is an example of an auditor’s report containing a disclaimer of opinion, when the auditor has not obtained sufficient appropriate audit evidence regarding the appropriateness of the management’s use of the going concern basis of accounting.</w:t>
      </w:r>
    </w:p>
    <w:p w14:paraId="53E0E0D8" w14:textId="77777777" w:rsidR="00F1421A" w:rsidRPr="00F1421A" w:rsidRDefault="00F1421A" w:rsidP="00232733">
      <w:pPr>
        <w:keepNext/>
        <w:spacing w:after="200"/>
        <w:outlineLvl w:val="7"/>
        <w:rPr>
          <w:iCs/>
          <w:szCs w:val="22"/>
        </w:rPr>
      </w:pPr>
      <w:r w:rsidRPr="00F1421A">
        <w:rPr>
          <w:iCs/>
          <w:szCs w:val="22"/>
        </w:rPr>
        <w:t xml:space="preserve">Communication with Regulators </w:t>
      </w:r>
      <w:r w:rsidRPr="00F1421A">
        <w:rPr>
          <w:iCs/>
          <w:sz w:val="18"/>
          <w:szCs w:val="22"/>
        </w:rPr>
        <w:t>(Ref: Para. 22</w:t>
      </w:r>
      <w:r w:rsidRPr="00F1421A">
        <w:rPr>
          <w:iCs/>
          <w:sz w:val="18"/>
          <w:szCs w:val="22"/>
        </w:rPr>
        <w:sym w:font="Symbol" w:char="F02D"/>
      </w:r>
      <w:r w:rsidRPr="00F1421A">
        <w:rPr>
          <w:iCs/>
          <w:sz w:val="18"/>
          <w:szCs w:val="22"/>
        </w:rPr>
        <w:t>23)</w:t>
      </w:r>
    </w:p>
    <w:p w14:paraId="751E9562" w14:textId="77777777" w:rsidR="00F1421A" w:rsidRPr="00F1421A" w:rsidRDefault="00F1421A" w:rsidP="00232733">
      <w:pPr>
        <w:numPr>
          <w:ilvl w:val="0"/>
          <w:numId w:val="37"/>
        </w:numPr>
        <w:spacing w:after="200"/>
        <w:ind w:left="709"/>
        <w:outlineLvl w:val="0"/>
      </w:pPr>
      <w:r w:rsidRPr="00F1421A">
        <w:t>When the auditor of a regulated entity considers that it may be necessary to include a reference to going concern matters in the auditor’s report, the auditor may have a duty to communicate with the applicable regulatory, enforcement or supervisory authorities.</w:t>
      </w:r>
    </w:p>
    <w:p w14:paraId="3155C56A" w14:textId="77777777" w:rsidR="00F1421A" w:rsidRPr="00F1421A" w:rsidRDefault="00F1421A" w:rsidP="00232733">
      <w:pPr>
        <w:keepNext/>
        <w:spacing w:after="200"/>
        <w:outlineLvl w:val="7"/>
        <w:rPr>
          <w:iCs/>
          <w:szCs w:val="22"/>
        </w:rPr>
      </w:pPr>
      <w:r w:rsidRPr="00F1421A">
        <w:rPr>
          <w:iCs/>
          <w:szCs w:val="22"/>
        </w:rPr>
        <w:t xml:space="preserve">Management Unwilling to Make or Extend Its Assessment </w:t>
      </w:r>
      <w:r w:rsidRPr="00F1421A">
        <w:rPr>
          <w:iCs/>
          <w:sz w:val="18"/>
          <w:szCs w:val="22"/>
        </w:rPr>
        <w:t>(Ref: Para. 24)</w:t>
      </w:r>
    </w:p>
    <w:p w14:paraId="4283543E" w14:textId="77777777" w:rsidR="00F1421A" w:rsidRPr="00F1421A" w:rsidRDefault="00F1421A" w:rsidP="00232733">
      <w:pPr>
        <w:numPr>
          <w:ilvl w:val="0"/>
          <w:numId w:val="37"/>
        </w:numPr>
        <w:spacing w:after="200"/>
        <w:ind w:left="709"/>
        <w:outlineLvl w:val="0"/>
      </w:pPr>
      <w:bookmarkStart w:id="59" w:name="_Ref354218960"/>
      <w:r w:rsidRPr="00F1421A">
        <w:t>In certain circumstances, the auditor may believe it necessary to request management to make or extend its assessment.  If management is unwilling to do so, a qualified opinion or a disclaimer of opinion in the auditor’s report may be appropriate, because it may not be possible for the auditor to obtain sufficient appropriate audit evidence regarding management’s use of the going concern basis of accounting in the preparation of the financial report, such as audit evidence regarding the existence of plans management has put in place or the existence of other mitigating factors.</w:t>
      </w:r>
      <w:bookmarkStart w:id="60" w:name="TOCEnd"/>
      <w:bookmarkEnd w:id="59"/>
      <w:bookmarkEnd w:id="60"/>
    </w:p>
    <w:p w14:paraId="4343951B" w14:textId="77777777" w:rsidR="00F1421A" w:rsidRPr="00F1421A" w:rsidRDefault="00F1421A" w:rsidP="00232733">
      <w:pPr>
        <w:keepNext/>
        <w:spacing w:after="200"/>
        <w:outlineLvl w:val="7"/>
        <w:rPr>
          <w:iCs/>
          <w:szCs w:val="22"/>
        </w:rPr>
      </w:pPr>
      <w:r w:rsidRPr="00F1421A">
        <w:rPr>
          <w:iCs/>
          <w:szCs w:val="22"/>
        </w:rPr>
        <w:t xml:space="preserve">Other Considerations </w:t>
      </w:r>
      <w:r w:rsidRPr="00F1421A">
        <w:rPr>
          <w:iCs/>
          <w:sz w:val="18"/>
          <w:szCs w:val="22"/>
        </w:rPr>
        <w:t>(Ref. Para. 24)</w:t>
      </w:r>
    </w:p>
    <w:p w14:paraId="63E9F7D3" w14:textId="0295E7A0" w:rsidR="00232733" w:rsidRDefault="00F1421A" w:rsidP="00232733">
      <w:pPr>
        <w:spacing w:after="200"/>
        <w:ind w:left="1418" w:hanging="1418"/>
      </w:pPr>
      <w:proofErr w:type="spellStart"/>
      <w:r w:rsidRPr="00F1421A">
        <w:t>Aus</w:t>
      </w:r>
      <w:proofErr w:type="spellEnd"/>
      <w:r w:rsidRPr="00F1421A">
        <w:t> </w:t>
      </w:r>
      <w:r w:rsidR="00912E22">
        <w:fldChar w:fldCharType="begin" w:fldLock="1"/>
      </w:r>
      <w:r w:rsidR="00912E22">
        <w:instrText xml:space="preserve"> STYLEREF AParaLevel1 \n \* MERGEFORMAT </w:instrText>
      </w:r>
      <w:r w:rsidR="00912E22">
        <w:fldChar w:fldCharType="separate"/>
      </w:r>
      <w:r w:rsidRPr="00F1421A">
        <w:rPr>
          <w:noProof/>
        </w:rPr>
        <w:t>A35</w:t>
      </w:r>
      <w:r w:rsidR="00912E22">
        <w:rPr>
          <w:noProof/>
        </w:rPr>
        <w:fldChar w:fldCharType="end"/>
      </w:r>
      <w:r w:rsidRPr="00F1421A">
        <w:t>.</w:t>
      </w:r>
      <w:r w:rsidR="00912E22">
        <w:fldChar w:fldCharType="begin" w:fldLock="1"/>
      </w:r>
      <w:r w:rsidR="00912E22">
        <w:instrText xml:space="preserve"> SEQ AUSA1 \r1 \* MERGEFORMAT </w:instrText>
      </w:r>
      <w:r w:rsidR="00912E22">
        <w:fldChar w:fldCharType="separate"/>
      </w:r>
      <w:r w:rsidRPr="00F1421A">
        <w:rPr>
          <w:noProof/>
        </w:rPr>
        <w:t>1</w:t>
      </w:r>
      <w:r w:rsidR="00912E22">
        <w:rPr>
          <w:noProof/>
        </w:rPr>
        <w:fldChar w:fldCharType="end"/>
      </w:r>
      <w:r w:rsidRPr="00F1421A">
        <w:tab/>
        <w:t xml:space="preserve">An auditor is required under the </w:t>
      </w:r>
      <w:r w:rsidRPr="00F1421A">
        <w:rPr>
          <w:i/>
        </w:rPr>
        <w:t>Corporations Act 2001</w:t>
      </w:r>
      <w:r w:rsidRPr="00F1421A">
        <w:rPr>
          <w:i/>
          <w:vertAlign w:val="superscript"/>
        </w:rPr>
        <w:footnoteReference w:customMarkFollows="1" w:id="21"/>
        <w:t>*</w:t>
      </w:r>
      <w:r w:rsidRPr="00F1421A">
        <w:t xml:space="preserve"> (the Act) to notify the Australian Securities and Investments Commission (ASIC) if the auditor, when conducting an audit, becomes aware of certain circumstances specified in the Act.  ASIC</w:t>
      </w:r>
      <w:r w:rsidRPr="00F1421A">
        <w:rPr>
          <w:vertAlign w:val="superscript"/>
        </w:rPr>
        <w:footnoteReference w:customMarkFollows="1" w:id="22"/>
        <w:t>#</w:t>
      </w:r>
      <w:r w:rsidRPr="00F1421A">
        <w:t xml:space="preserve"> provides guidance to help auditors comply with their obligations under the, such as reporting suspected insolvent trading.</w:t>
      </w:r>
    </w:p>
    <w:p w14:paraId="4BE38904" w14:textId="77777777" w:rsidR="00232733" w:rsidRDefault="00232733">
      <w:pPr>
        <w:spacing w:line="240" w:lineRule="auto"/>
      </w:pPr>
      <w:r>
        <w:br w:type="page"/>
      </w:r>
    </w:p>
    <w:p w14:paraId="3F0088CB" w14:textId="77777777" w:rsidR="00232733" w:rsidRDefault="00232733" w:rsidP="00232733">
      <w:pPr>
        <w:pStyle w:val="AppendixTop"/>
      </w:pPr>
      <w:r w:rsidRPr="003F24B6">
        <w:lastRenderedPageBreak/>
        <w:t>[</w:t>
      </w:r>
      <w:proofErr w:type="spellStart"/>
      <w:r w:rsidRPr="003F24B6">
        <w:t>Aus</w:t>
      </w:r>
      <w:proofErr w:type="spellEnd"/>
      <w:r w:rsidRPr="003F24B6">
        <w:t>] Appendix 1</w:t>
      </w:r>
    </w:p>
    <w:p w14:paraId="128CB395" w14:textId="77777777" w:rsidR="00232733" w:rsidRDefault="00232733" w:rsidP="00232733">
      <w:pPr>
        <w:pStyle w:val="AppendixRef"/>
      </w:pPr>
      <w:r w:rsidRPr="00D52308">
        <w:rPr>
          <w:rStyle w:val="RefParas"/>
        </w:rPr>
        <w:t>(</w:t>
      </w:r>
      <w:r>
        <w:rPr>
          <w:rStyle w:val="RefParas"/>
        </w:rPr>
        <w:t>Ref: </w:t>
      </w:r>
      <w:r w:rsidRPr="00A41FD8">
        <w:rPr>
          <w:rStyle w:val="RefParas"/>
        </w:rPr>
        <w:t>Para. </w:t>
      </w:r>
      <w:proofErr w:type="spellStart"/>
      <w:r w:rsidRPr="00A41FD8">
        <w:rPr>
          <w:rStyle w:val="RefParas"/>
        </w:rPr>
        <w:t>Aus</w:t>
      </w:r>
      <w:proofErr w:type="spellEnd"/>
      <w:r w:rsidRPr="00A41FD8">
        <w:rPr>
          <w:rStyle w:val="RefParas"/>
        </w:rPr>
        <w:t xml:space="preserve"> A21.1)</w:t>
      </w:r>
    </w:p>
    <w:p w14:paraId="3AD21AD2" w14:textId="77777777" w:rsidR="00232733" w:rsidRDefault="00232733" w:rsidP="00232733">
      <w:pPr>
        <w:pStyle w:val="AppendixHeading"/>
      </w:pPr>
      <w:r>
        <w:t>LINKING GOING CONCERN CONSIDERATIONS AND TYPES OF AUDIT OPINIONS</w:t>
      </w:r>
    </w:p>
    <w:p w14:paraId="295BACE7" w14:textId="77777777" w:rsidR="00232733" w:rsidRDefault="00232733" w:rsidP="00232733">
      <w:pPr>
        <w:pStyle w:val="ParaPlain"/>
      </w:pPr>
      <w:r w:rsidRPr="00A56069">
        <w:rPr>
          <w:rFonts w:eastAsia="MS Mincho"/>
          <w:b/>
          <w:bCs/>
          <w:caps/>
          <w:noProof/>
          <w:kern w:val="8"/>
          <w:sz w:val="24"/>
          <w:u w:val="single"/>
          <w:lang w:eastAsia="en-AU"/>
        </w:rPr>
        <mc:AlternateContent>
          <mc:Choice Requires="wpg">
            <w:drawing>
              <wp:anchor distT="0" distB="0" distL="114300" distR="114300" simplePos="0" relativeHeight="251658242" behindDoc="0" locked="0" layoutInCell="1" allowOverlap="1" wp14:anchorId="7603E866" wp14:editId="0EF77E4E">
                <wp:simplePos x="0" y="0"/>
                <wp:positionH relativeFrom="column">
                  <wp:posOffset>-463108</wp:posOffset>
                </wp:positionH>
                <wp:positionV relativeFrom="paragraph">
                  <wp:posOffset>-773</wp:posOffset>
                </wp:positionV>
                <wp:extent cx="6445996" cy="6668135"/>
                <wp:effectExtent l="0" t="0" r="50165" b="18415"/>
                <wp:wrapNone/>
                <wp:docPr id="347" name="Group 347" descr="table with text boxes" title="Aus Appendix 1 LINKING GOING CONCERN CONSIDERATIONS AND TYPES OF AUDIT OPINIONS"/>
                <wp:cNvGraphicFramePr/>
                <a:graphic xmlns:a="http://schemas.openxmlformats.org/drawingml/2006/main">
                  <a:graphicData uri="http://schemas.microsoft.com/office/word/2010/wordprocessingGroup">
                    <wpg:wgp>
                      <wpg:cNvGrpSpPr/>
                      <wpg:grpSpPr>
                        <a:xfrm>
                          <a:off x="0" y="0"/>
                          <a:ext cx="6445996" cy="6668135"/>
                          <a:chOff x="49982" y="-42156"/>
                          <a:chExt cx="6342215" cy="7209769"/>
                        </a:xfrm>
                      </wpg:grpSpPr>
                      <wps:wsp>
                        <wps:cNvPr id="348" name="Text Box 348" descr="table with text boxes" title="Aus Appendix 1 LINKING GOING CONCERN CONSIDERATIONS AND TYPES OF AUDIT OPINIONS"/>
                        <wps:cNvSpPr txBox="1">
                          <a:spLocks noChangeArrowheads="1"/>
                        </wps:cNvSpPr>
                        <wps:spPr bwMode="auto">
                          <a:xfrm>
                            <a:off x="100357" y="-42152"/>
                            <a:ext cx="1911316" cy="957592"/>
                          </a:xfrm>
                          <a:prstGeom prst="rect">
                            <a:avLst/>
                          </a:prstGeom>
                          <a:solidFill>
                            <a:srgbClr val="FFFFFF"/>
                          </a:solidFill>
                          <a:ln w="9525">
                            <a:solidFill>
                              <a:srgbClr val="000000"/>
                            </a:solidFill>
                            <a:miter lim="800000"/>
                            <a:headEnd/>
                            <a:tailEnd/>
                          </a:ln>
                        </wps:spPr>
                        <wps:txbx>
                          <w:txbxContent>
                            <w:p w14:paraId="21B03C57" w14:textId="77777777" w:rsidR="00CF7C02" w:rsidRPr="00C94CC7" w:rsidRDefault="00CF7C02" w:rsidP="00232733">
                              <w:pPr>
                                <w:spacing w:before="40"/>
                                <w:jc w:val="center"/>
                                <w:rPr>
                                  <w:sz w:val="18"/>
                                  <w:szCs w:val="18"/>
                                </w:rPr>
                              </w:pPr>
                              <w:r w:rsidRPr="00C94CC7">
                                <w:rPr>
                                  <w:sz w:val="18"/>
                                  <w:szCs w:val="18"/>
                                </w:rPr>
                                <w:t>Do</w:t>
                              </w:r>
                              <w:r>
                                <w:rPr>
                                  <w:sz w:val="18"/>
                                  <w:szCs w:val="18"/>
                                </w:rPr>
                                <w:t xml:space="preserve"> the risk assessment procedures</w:t>
                              </w:r>
                              <w:r w:rsidRPr="00C94CC7">
                                <w:rPr>
                                  <w:sz w:val="18"/>
                                  <w:szCs w:val="18"/>
                                </w:rPr>
                                <w:t xml:space="preserve"> identify any events or conditions that may cast significant doubt on the entity’s ability to continue as a going concern (GC)? </w:t>
                              </w:r>
                              <w:r w:rsidRPr="005F7A9F">
                                <w:rPr>
                                  <w:sz w:val="16"/>
                                  <w:szCs w:val="16"/>
                                </w:rPr>
                                <w:t>(</w:t>
                              </w:r>
                              <w:r>
                                <w:rPr>
                                  <w:sz w:val="16"/>
                                  <w:szCs w:val="16"/>
                                </w:rPr>
                                <w:t xml:space="preserve">Ref: </w:t>
                              </w:r>
                              <w:r w:rsidRPr="00A41FD8">
                                <w:rPr>
                                  <w:sz w:val="16"/>
                                  <w:szCs w:val="16"/>
                                </w:rPr>
                                <w:t>Para. 10)</w:t>
                              </w:r>
                            </w:p>
                          </w:txbxContent>
                        </wps:txbx>
                        <wps:bodyPr rot="0" vert="horz" wrap="square" lIns="91440" tIns="45720" rIns="91440" bIns="45720" anchor="t" anchorCtr="0" upright="1">
                          <a:noAutofit/>
                        </wps:bodyPr>
                      </wps:wsp>
                      <wps:wsp>
                        <wps:cNvPr id="349" name="Text Box 349" descr="text box" title="Aus Appendix 1"/>
                        <wps:cNvSpPr txBox="1">
                          <a:spLocks noChangeArrowheads="1"/>
                        </wps:cNvSpPr>
                        <wps:spPr bwMode="auto">
                          <a:xfrm>
                            <a:off x="2512266" y="-42156"/>
                            <a:ext cx="1238250" cy="932719"/>
                          </a:xfrm>
                          <a:prstGeom prst="rect">
                            <a:avLst/>
                          </a:prstGeom>
                          <a:solidFill>
                            <a:srgbClr val="FFFFFF"/>
                          </a:solidFill>
                          <a:ln w="9525">
                            <a:solidFill>
                              <a:srgbClr val="000000"/>
                            </a:solidFill>
                            <a:miter lim="800000"/>
                            <a:headEnd/>
                            <a:tailEnd/>
                          </a:ln>
                        </wps:spPr>
                        <wps:txbx>
                          <w:txbxContent>
                            <w:p w14:paraId="0107917B" w14:textId="77777777" w:rsidR="00CF7C02" w:rsidRDefault="00CF7C02" w:rsidP="00232733">
                              <w:pPr>
                                <w:spacing w:before="40"/>
                                <w:jc w:val="center"/>
                                <w:rPr>
                                  <w:sz w:val="18"/>
                                  <w:szCs w:val="18"/>
                                </w:rPr>
                              </w:pPr>
                              <w:r w:rsidRPr="00C94CC7">
                                <w:rPr>
                                  <w:sz w:val="18"/>
                                  <w:szCs w:val="18"/>
                                </w:rPr>
                                <w:t xml:space="preserve">Do the results of other audit procedures support the initial risk assessment? </w:t>
                              </w:r>
                            </w:p>
                            <w:p w14:paraId="1A64BC35" w14:textId="77777777" w:rsidR="00CF7C02" w:rsidRPr="00CA60C1" w:rsidRDefault="00CF7C02" w:rsidP="00232733">
                              <w:pPr>
                                <w:jc w:val="center"/>
                                <w:rPr>
                                  <w:sz w:val="16"/>
                                  <w:szCs w:val="16"/>
                                </w:rPr>
                              </w:pPr>
                              <w:r w:rsidRPr="00CA60C1">
                                <w:rPr>
                                  <w:sz w:val="16"/>
                                  <w:szCs w:val="16"/>
                                </w:rPr>
                                <w:t>(Ref: Para</w:t>
                              </w:r>
                              <w:r w:rsidRPr="00A41FD8">
                                <w:rPr>
                                  <w:sz w:val="16"/>
                                  <w:szCs w:val="16"/>
                                </w:rPr>
                                <w:t>. 10-11)</w:t>
                              </w:r>
                            </w:p>
                          </w:txbxContent>
                        </wps:txbx>
                        <wps:bodyPr rot="0" vert="horz" wrap="square" lIns="91440" tIns="45720" rIns="91440" bIns="45720" anchor="t" anchorCtr="0" upright="1">
                          <a:noAutofit/>
                        </wps:bodyPr>
                      </wps:wsp>
                      <wps:wsp>
                        <wps:cNvPr id="350" name="Text Box 350" descr="text box" title="Aus Appendix 1"/>
                        <wps:cNvSpPr txBox="1">
                          <a:spLocks noChangeArrowheads="1"/>
                        </wps:cNvSpPr>
                        <wps:spPr bwMode="auto">
                          <a:xfrm>
                            <a:off x="4246880" y="237067"/>
                            <a:ext cx="1219200" cy="432435"/>
                          </a:xfrm>
                          <a:prstGeom prst="rect">
                            <a:avLst/>
                          </a:prstGeom>
                          <a:solidFill>
                            <a:srgbClr val="4F81BD">
                              <a:lumMod val="40000"/>
                              <a:lumOff val="60000"/>
                            </a:srgbClr>
                          </a:solidFill>
                          <a:ln w="9525">
                            <a:solidFill>
                              <a:srgbClr val="000000"/>
                            </a:solidFill>
                            <a:miter lim="800000"/>
                            <a:headEnd/>
                            <a:tailEnd/>
                          </a:ln>
                        </wps:spPr>
                        <wps:txbx>
                          <w:txbxContent>
                            <w:p w14:paraId="2594EA4A" w14:textId="77777777" w:rsidR="00CF7C02" w:rsidRPr="00FE4E4F" w:rsidRDefault="00CF7C02" w:rsidP="00232733">
                              <w:pPr>
                                <w:spacing w:before="80"/>
                                <w:jc w:val="center"/>
                                <w:rPr>
                                  <w:sz w:val="18"/>
                                  <w:szCs w:val="18"/>
                                  <w:u w:val="single"/>
                                </w:rPr>
                              </w:pPr>
                              <w:r>
                                <w:rPr>
                                  <w:sz w:val="18"/>
                                  <w:szCs w:val="18"/>
                                </w:rPr>
                                <w:t>Unmodified opinion</w:t>
                              </w:r>
                            </w:p>
                          </w:txbxContent>
                        </wps:txbx>
                        <wps:bodyPr rot="0" vert="horz" wrap="square" lIns="91440" tIns="45720" rIns="91440" bIns="45720" anchor="t" anchorCtr="0" upright="1">
                          <a:noAutofit/>
                        </wps:bodyPr>
                      </wps:wsp>
                      <wps:wsp>
                        <wps:cNvPr id="351" name="Text Box 351" descr="table with text boxes" title="Aus Appendix 1 LINKING GOING CONCERN CONSIDERATIONS AND TYPES OF AUDIT OPINIONS"/>
                        <wps:cNvSpPr txBox="1">
                          <a:spLocks noChangeArrowheads="1"/>
                        </wps:cNvSpPr>
                        <wps:spPr bwMode="auto">
                          <a:xfrm>
                            <a:off x="161714" y="2462309"/>
                            <a:ext cx="1849966" cy="672253"/>
                          </a:xfrm>
                          <a:prstGeom prst="rect">
                            <a:avLst/>
                          </a:prstGeom>
                          <a:solidFill>
                            <a:srgbClr val="FFFFFF"/>
                          </a:solidFill>
                          <a:ln w="9525">
                            <a:solidFill>
                              <a:srgbClr val="000000"/>
                            </a:solidFill>
                            <a:miter lim="800000"/>
                            <a:headEnd/>
                            <a:tailEnd/>
                          </a:ln>
                        </wps:spPr>
                        <wps:txbx>
                          <w:txbxContent>
                            <w:p w14:paraId="5CECDE3A" w14:textId="77777777" w:rsidR="00CF7C02" w:rsidRDefault="00CF7C02" w:rsidP="00232733">
                              <w:pPr>
                                <w:spacing w:before="40"/>
                                <w:jc w:val="center"/>
                                <w:rPr>
                                  <w:sz w:val="18"/>
                                  <w:szCs w:val="18"/>
                                </w:rPr>
                              </w:pPr>
                              <w:r>
                                <w:rPr>
                                  <w:sz w:val="18"/>
                                  <w:szCs w:val="18"/>
                                </w:rPr>
                                <w:t>Does the a</w:t>
                              </w:r>
                              <w:r w:rsidRPr="00FE4E4F">
                                <w:rPr>
                                  <w:sz w:val="18"/>
                                  <w:szCs w:val="18"/>
                                </w:rPr>
                                <w:t>uditor</w:t>
                              </w:r>
                              <w:r>
                                <w:rPr>
                                  <w:sz w:val="18"/>
                                  <w:szCs w:val="18"/>
                                </w:rPr>
                                <w:t xml:space="preserve"> conclude </w:t>
                              </w:r>
                              <w:r w:rsidRPr="00FE4E4F">
                                <w:rPr>
                                  <w:sz w:val="18"/>
                                  <w:szCs w:val="18"/>
                                </w:rPr>
                                <w:t xml:space="preserve">that a material uncertainty exists? </w:t>
                              </w:r>
                            </w:p>
                            <w:p w14:paraId="06164841" w14:textId="77777777" w:rsidR="00CF7C02" w:rsidRPr="003E30B4" w:rsidRDefault="00CF7C02" w:rsidP="00232733">
                              <w:pPr>
                                <w:jc w:val="center"/>
                                <w:rPr>
                                  <w:sz w:val="16"/>
                                  <w:szCs w:val="16"/>
                                </w:rPr>
                              </w:pPr>
                              <w:r w:rsidRPr="003E30B4">
                                <w:rPr>
                                  <w:sz w:val="16"/>
                                  <w:szCs w:val="16"/>
                                </w:rPr>
                                <w:t>(</w:t>
                              </w:r>
                              <w:r>
                                <w:rPr>
                                  <w:sz w:val="16"/>
                                  <w:szCs w:val="16"/>
                                </w:rPr>
                                <w:t xml:space="preserve">Ref: </w:t>
                              </w:r>
                              <w:r w:rsidRPr="003E30B4">
                                <w:rPr>
                                  <w:sz w:val="16"/>
                                  <w:szCs w:val="16"/>
                                </w:rPr>
                                <w:t>Para</w:t>
                              </w:r>
                              <w:r w:rsidRPr="00A41FD8">
                                <w:rPr>
                                  <w:sz w:val="16"/>
                                  <w:szCs w:val="16"/>
                                </w:rPr>
                                <w:t>. 18)</w:t>
                              </w:r>
                            </w:p>
                          </w:txbxContent>
                        </wps:txbx>
                        <wps:bodyPr rot="0" vert="horz" wrap="square" lIns="91440" tIns="45720" rIns="91440" bIns="45720" anchor="t" anchorCtr="0" upright="1">
                          <a:noAutofit/>
                        </wps:bodyPr>
                      </wps:wsp>
                      <wps:wsp>
                        <wps:cNvPr id="352" name="Straight Arrow Connector 352" descr="directional arrow" title="Aus Appendix 1"/>
                        <wps:cNvCnPr>
                          <a:cxnSpLocks noChangeShapeType="1"/>
                        </wps:cNvCnPr>
                        <wps:spPr bwMode="auto">
                          <a:xfrm>
                            <a:off x="2030731" y="596031"/>
                            <a:ext cx="491489"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3" name="Straight Arrow Connector 353" descr="directional arrow" title="Aus Appendix 1"/>
                        <wps:cNvCnPr>
                          <a:cxnSpLocks noChangeShapeType="1"/>
                        </wps:cNvCnPr>
                        <wps:spPr bwMode="auto">
                          <a:xfrm>
                            <a:off x="3765973" y="365760"/>
                            <a:ext cx="4857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4" name="Text Box 354" descr="table with text boxes" title="Aus Appendix 1 LINKING GOING CONCERN CONSIDERATIONS AND TYPES OF AUDIT OPINIONS"/>
                        <wps:cNvSpPr txBox="1">
                          <a:spLocks noChangeArrowheads="1"/>
                        </wps:cNvSpPr>
                        <wps:spPr bwMode="auto">
                          <a:xfrm>
                            <a:off x="119406" y="1161348"/>
                            <a:ext cx="1911316" cy="1057578"/>
                          </a:xfrm>
                          <a:prstGeom prst="rect">
                            <a:avLst/>
                          </a:prstGeom>
                          <a:solidFill>
                            <a:srgbClr val="FFFFFF"/>
                          </a:solidFill>
                          <a:ln w="9525">
                            <a:solidFill>
                              <a:srgbClr val="000000"/>
                            </a:solidFill>
                            <a:miter lim="800000"/>
                            <a:headEnd/>
                            <a:tailEnd/>
                          </a:ln>
                        </wps:spPr>
                        <wps:txbx>
                          <w:txbxContent>
                            <w:p w14:paraId="1FDE9412" w14:textId="77777777" w:rsidR="00CF7C02" w:rsidRPr="00FE4E4F" w:rsidRDefault="00CF7C02" w:rsidP="00232733">
                              <w:pPr>
                                <w:spacing w:before="120"/>
                                <w:jc w:val="center"/>
                                <w:rPr>
                                  <w:sz w:val="18"/>
                                  <w:szCs w:val="18"/>
                                </w:rPr>
                              </w:pPr>
                              <w:r>
                                <w:rPr>
                                  <w:sz w:val="18"/>
                                  <w:szCs w:val="18"/>
                                </w:rPr>
                                <w:t xml:space="preserve">Can the auditor obtain through </w:t>
                              </w:r>
                              <w:r w:rsidRPr="00AE5582">
                                <w:rPr>
                                  <w:i/>
                                  <w:sz w:val="18"/>
                                  <w:szCs w:val="18"/>
                                </w:rPr>
                                <w:t>additional</w:t>
                              </w:r>
                              <w:r>
                                <w:rPr>
                                  <w:sz w:val="18"/>
                                  <w:szCs w:val="18"/>
                                </w:rPr>
                                <w:t xml:space="preserve"> audit procedures</w:t>
                              </w:r>
                              <w:r w:rsidRPr="00FE4E4F">
                                <w:rPr>
                                  <w:b/>
                                  <w:sz w:val="18"/>
                                  <w:szCs w:val="18"/>
                                </w:rPr>
                                <w:t xml:space="preserve"> </w:t>
                              </w:r>
                              <w:r w:rsidRPr="00FE4E4F">
                                <w:rPr>
                                  <w:sz w:val="18"/>
                                  <w:szCs w:val="18"/>
                                </w:rPr>
                                <w:t xml:space="preserve">sufficient appropriate audit evidence to </w:t>
                              </w:r>
                              <w:r>
                                <w:rPr>
                                  <w:sz w:val="18"/>
                                  <w:szCs w:val="18"/>
                                </w:rPr>
                                <w:t>conclude</w:t>
                              </w:r>
                              <w:r w:rsidRPr="00FE4E4F">
                                <w:rPr>
                                  <w:sz w:val="18"/>
                                  <w:szCs w:val="18"/>
                                </w:rPr>
                                <w:t xml:space="preserve"> whether a material uncertainty exists?</w:t>
                              </w:r>
                              <w:r>
                                <w:rPr>
                                  <w:sz w:val="18"/>
                                  <w:szCs w:val="18"/>
                                </w:rPr>
                                <w:t xml:space="preserve"> </w:t>
                              </w:r>
                              <w:r>
                                <w:rPr>
                                  <w:sz w:val="16"/>
                                  <w:szCs w:val="16"/>
                                </w:rPr>
                                <w:t>(Ref: Para</w:t>
                              </w:r>
                              <w:r w:rsidRPr="00A41FD8">
                                <w:rPr>
                                  <w:sz w:val="16"/>
                                  <w:szCs w:val="16"/>
                                </w:rPr>
                                <w:t>. 16)</w:t>
                              </w:r>
                            </w:p>
                          </w:txbxContent>
                        </wps:txbx>
                        <wps:bodyPr rot="0" vert="horz" wrap="square" lIns="91440" tIns="45720" rIns="91440" bIns="45720" anchor="t" anchorCtr="0" upright="1">
                          <a:noAutofit/>
                        </wps:bodyPr>
                      </wps:wsp>
                      <wps:wsp>
                        <wps:cNvPr id="355" name="Text Box 355" descr="table with text boxes" title="Aus Appendix 1 LINKING GOING CONCERN CONSIDERATIONS AND TYPES OF AUDIT OPINIONS"/>
                        <wps:cNvSpPr txBox="1">
                          <a:spLocks noChangeArrowheads="1"/>
                        </wps:cNvSpPr>
                        <wps:spPr bwMode="auto">
                          <a:xfrm>
                            <a:off x="2485813" y="1381759"/>
                            <a:ext cx="1323975" cy="1308528"/>
                          </a:xfrm>
                          <a:prstGeom prst="rect">
                            <a:avLst/>
                          </a:prstGeom>
                          <a:solidFill>
                            <a:srgbClr val="FFFFFF"/>
                          </a:solidFill>
                          <a:ln w="9525">
                            <a:solidFill>
                              <a:srgbClr val="000000"/>
                            </a:solidFill>
                            <a:miter lim="800000"/>
                            <a:headEnd/>
                            <a:tailEnd/>
                          </a:ln>
                        </wps:spPr>
                        <wps:txbx>
                          <w:txbxContent>
                            <w:p w14:paraId="38E341B1" w14:textId="77777777" w:rsidR="00CF7C02" w:rsidRDefault="00CF7C02" w:rsidP="00232733">
                              <w:pPr>
                                <w:spacing w:before="40"/>
                                <w:jc w:val="center"/>
                                <w:rPr>
                                  <w:sz w:val="18"/>
                                  <w:szCs w:val="18"/>
                                </w:rPr>
                              </w:pPr>
                              <w:r w:rsidRPr="00FE4E4F">
                                <w:rPr>
                                  <w:sz w:val="18"/>
                                  <w:szCs w:val="18"/>
                                </w:rPr>
                                <w:t xml:space="preserve">Is the lack of </w:t>
                              </w:r>
                              <w:r>
                                <w:rPr>
                                  <w:sz w:val="18"/>
                                  <w:szCs w:val="18"/>
                                </w:rPr>
                                <w:t xml:space="preserve">sufficient appropriate </w:t>
                              </w:r>
                              <w:r w:rsidRPr="00FE4E4F">
                                <w:rPr>
                                  <w:sz w:val="18"/>
                                  <w:szCs w:val="18"/>
                                </w:rPr>
                                <w:t>audit evidence due to management unwilling to make, or extend, their GC assessment?</w:t>
                              </w:r>
                            </w:p>
                            <w:p w14:paraId="015C0443" w14:textId="77777777" w:rsidR="00CF7C02" w:rsidRPr="00F025C3" w:rsidRDefault="00CF7C02" w:rsidP="00232733">
                              <w:pPr>
                                <w:jc w:val="center"/>
                                <w:rPr>
                                  <w:sz w:val="16"/>
                                  <w:szCs w:val="16"/>
                                </w:rPr>
                              </w:pPr>
                              <w:r w:rsidRPr="00F025C3">
                                <w:rPr>
                                  <w:sz w:val="16"/>
                                  <w:szCs w:val="16"/>
                                </w:rPr>
                                <w:t>(</w:t>
                              </w:r>
                              <w:r>
                                <w:rPr>
                                  <w:sz w:val="16"/>
                                  <w:szCs w:val="16"/>
                                </w:rPr>
                                <w:t xml:space="preserve">Ref: </w:t>
                              </w:r>
                              <w:r w:rsidRPr="00F025C3">
                                <w:rPr>
                                  <w:sz w:val="16"/>
                                  <w:szCs w:val="16"/>
                                </w:rPr>
                                <w:t>Para</w:t>
                              </w:r>
                              <w:r w:rsidRPr="00A41FD8">
                                <w:rPr>
                                  <w:sz w:val="16"/>
                                  <w:szCs w:val="16"/>
                                </w:rPr>
                                <w:t>. 24)</w:t>
                              </w:r>
                            </w:p>
                          </w:txbxContent>
                        </wps:txbx>
                        <wps:bodyPr rot="0" vert="horz" wrap="square" lIns="91440" tIns="45720" rIns="91440" bIns="45720" anchor="t" anchorCtr="0" upright="1">
                          <a:noAutofit/>
                        </wps:bodyPr>
                      </wps:wsp>
                      <wps:wsp>
                        <wps:cNvPr id="356" name="Text Box 356" descr="text box" title="Aus Appendix 1"/>
                        <wps:cNvSpPr txBox="1">
                          <a:spLocks noChangeArrowheads="1"/>
                        </wps:cNvSpPr>
                        <wps:spPr bwMode="auto">
                          <a:xfrm>
                            <a:off x="4251675" y="927889"/>
                            <a:ext cx="1280172" cy="690656"/>
                          </a:xfrm>
                          <a:prstGeom prst="rect">
                            <a:avLst/>
                          </a:prstGeom>
                          <a:solidFill>
                            <a:srgbClr val="1F497D">
                              <a:lumMod val="40000"/>
                              <a:lumOff val="60000"/>
                            </a:srgbClr>
                          </a:solidFill>
                          <a:ln w="9525">
                            <a:solidFill>
                              <a:srgbClr val="000000"/>
                            </a:solidFill>
                            <a:miter lim="800000"/>
                            <a:headEnd/>
                            <a:tailEnd/>
                          </a:ln>
                        </wps:spPr>
                        <wps:txbx>
                          <w:txbxContent>
                            <w:p w14:paraId="421C3377" w14:textId="77777777" w:rsidR="00CF7C02" w:rsidRDefault="00CF7C02" w:rsidP="00232733">
                              <w:pPr>
                                <w:jc w:val="center"/>
                                <w:rPr>
                                  <w:sz w:val="18"/>
                                  <w:szCs w:val="18"/>
                                </w:rPr>
                              </w:pPr>
                              <w:r w:rsidRPr="00FE4E4F">
                                <w:rPr>
                                  <w:sz w:val="18"/>
                                  <w:szCs w:val="18"/>
                                </w:rPr>
                                <w:t xml:space="preserve">Qualified or </w:t>
                              </w:r>
                              <w:r>
                                <w:rPr>
                                  <w:sz w:val="18"/>
                                  <w:szCs w:val="18"/>
                                </w:rPr>
                                <w:t>D</w:t>
                              </w:r>
                              <w:r w:rsidRPr="00FE4E4F">
                                <w:rPr>
                                  <w:sz w:val="18"/>
                                  <w:szCs w:val="18"/>
                                </w:rPr>
                                <w:t>isclaimer of Opinion (Limitation of Scope)</w:t>
                              </w:r>
                            </w:p>
                            <w:p w14:paraId="4EEF2DC1" w14:textId="77777777" w:rsidR="00CF7C02" w:rsidRPr="00E0281C" w:rsidRDefault="00CF7C02" w:rsidP="00232733">
                              <w:pPr>
                                <w:jc w:val="center"/>
                                <w:rPr>
                                  <w:sz w:val="16"/>
                                  <w:szCs w:val="16"/>
                                </w:rPr>
                              </w:pPr>
                              <w:r w:rsidRPr="00E0281C">
                                <w:rPr>
                                  <w:sz w:val="16"/>
                                  <w:szCs w:val="16"/>
                                </w:rPr>
                                <w:t>(</w:t>
                              </w:r>
                              <w:r>
                                <w:rPr>
                                  <w:sz w:val="16"/>
                                  <w:szCs w:val="16"/>
                                </w:rPr>
                                <w:t xml:space="preserve">Ref: </w:t>
                              </w:r>
                              <w:r w:rsidRPr="00E0281C">
                                <w:rPr>
                                  <w:sz w:val="16"/>
                                  <w:szCs w:val="16"/>
                                </w:rPr>
                                <w:t xml:space="preserve">Para. </w:t>
                              </w:r>
                              <w:r w:rsidRPr="00A41FD8">
                                <w:rPr>
                                  <w:sz w:val="16"/>
                                  <w:szCs w:val="16"/>
                                </w:rPr>
                                <w:t>A35)</w:t>
                              </w:r>
                            </w:p>
                          </w:txbxContent>
                        </wps:txbx>
                        <wps:bodyPr rot="0" vert="horz" wrap="square" lIns="91440" tIns="45720" rIns="91440" bIns="45720" anchor="t" anchorCtr="0" upright="1">
                          <a:noAutofit/>
                        </wps:bodyPr>
                      </wps:wsp>
                      <wps:wsp>
                        <wps:cNvPr id="357" name="Text Box 357" descr="text box" title="Aus Appendix 1"/>
                        <wps:cNvSpPr txBox="1">
                          <a:spLocks noChangeArrowheads="1"/>
                        </wps:cNvSpPr>
                        <wps:spPr bwMode="auto">
                          <a:xfrm>
                            <a:off x="4246881" y="1690047"/>
                            <a:ext cx="1292013" cy="621666"/>
                          </a:xfrm>
                          <a:prstGeom prst="rect">
                            <a:avLst/>
                          </a:prstGeom>
                          <a:solidFill>
                            <a:srgbClr val="1F497D">
                              <a:lumMod val="40000"/>
                              <a:lumOff val="60000"/>
                            </a:srgbClr>
                          </a:solidFill>
                          <a:ln w="9525">
                            <a:solidFill>
                              <a:srgbClr val="000000"/>
                            </a:solidFill>
                            <a:miter lim="800000"/>
                            <a:headEnd/>
                            <a:tailEnd/>
                          </a:ln>
                        </wps:spPr>
                        <wps:txbx>
                          <w:txbxContent>
                            <w:p w14:paraId="48BB1C08" w14:textId="77777777" w:rsidR="00CF7C02" w:rsidRPr="00CA60C1" w:rsidRDefault="00CF7C02" w:rsidP="00232733">
                              <w:pPr>
                                <w:jc w:val="center"/>
                                <w:rPr>
                                  <w:sz w:val="16"/>
                                  <w:szCs w:val="16"/>
                                </w:rPr>
                              </w:pPr>
                              <w:r>
                                <w:rPr>
                                  <w:sz w:val="18"/>
                                  <w:szCs w:val="18"/>
                                </w:rPr>
                                <w:t xml:space="preserve">Refer to ASA 705 to determine implications </w:t>
                              </w:r>
                              <w:r w:rsidRPr="00CA60C1">
                                <w:rPr>
                                  <w:sz w:val="16"/>
                                  <w:szCs w:val="16"/>
                                </w:rPr>
                                <w:t xml:space="preserve">(Ref: </w:t>
                              </w:r>
                              <w:r w:rsidRPr="00A41FD8">
                                <w:rPr>
                                  <w:sz w:val="16"/>
                                  <w:szCs w:val="16"/>
                                </w:rPr>
                                <w:t>Para. 23)</w:t>
                              </w:r>
                            </w:p>
                          </w:txbxContent>
                        </wps:txbx>
                        <wps:bodyPr rot="0" vert="horz" wrap="square" lIns="91440" tIns="45720" rIns="91440" bIns="45720" anchor="t" anchorCtr="0" upright="1">
                          <a:noAutofit/>
                        </wps:bodyPr>
                      </wps:wsp>
                      <wps:wsp>
                        <wps:cNvPr id="358" name="Text Box 358" descr="text box" title="Aus Appendix 1"/>
                        <wps:cNvSpPr txBox="1">
                          <a:spLocks noChangeArrowheads="1"/>
                        </wps:cNvSpPr>
                        <wps:spPr bwMode="auto">
                          <a:xfrm>
                            <a:off x="119380" y="4295098"/>
                            <a:ext cx="1886870" cy="696815"/>
                          </a:xfrm>
                          <a:prstGeom prst="rect">
                            <a:avLst/>
                          </a:prstGeom>
                          <a:solidFill>
                            <a:srgbClr val="FFFFFF"/>
                          </a:solidFill>
                          <a:ln w="9525">
                            <a:solidFill>
                              <a:srgbClr val="000000"/>
                            </a:solidFill>
                            <a:miter lim="800000"/>
                            <a:headEnd/>
                            <a:tailEnd/>
                          </a:ln>
                        </wps:spPr>
                        <wps:txbx>
                          <w:txbxContent>
                            <w:p w14:paraId="4D2F2D5B" w14:textId="77777777" w:rsidR="00CF7C02" w:rsidRDefault="00CF7C02" w:rsidP="00232733">
                              <w:pPr>
                                <w:jc w:val="center"/>
                                <w:rPr>
                                  <w:sz w:val="18"/>
                                  <w:szCs w:val="18"/>
                                </w:rPr>
                              </w:pPr>
                              <w:r>
                                <w:rPr>
                                  <w:sz w:val="18"/>
                                  <w:szCs w:val="18"/>
                                </w:rPr>
                                <w:t>Are appropriate</w:t>
                              </w:r>
                              <w:r w:rsidRPr="00FE4E4F">
                                <w:rPr>
                                  <w:sz w:val="18"/>
                                  <w:szCs w:val="18"/>
                                </w:rPr>
                                <w:t xml:space="preserve"> disclosure</w:t>
                              </w:r>
                              <w:r>
                                <w:rPr>
                                  <w:sz w:val="18"/>
                                  <w:szCs w:val="18"/>
                                </w:rPr>
                                <w:t>s made</w:t>
                              </w:r>
                              <w:r w:rsidRPr="00FE4E4F">
                                <w:rPr>
                                  <w:sz w:val="18"/>
                                  <w:szCs w:val="18"/>
                                </w:rPr>
                                <w:t xml:space="preserve"> in the financial statements </w:t>
                              </w:r>
                              <w:r>
                                <w:rPr>
                                  <w:sz w:val="18"/>
                                  <w:szCs w:val="18"/>
                                </w:rPr>
                                <w:t xml:space="preserve">relating to the </w:t>
                              </w:r>
                              <w:r w:rsidRPr="00FE4E4F">
                                <w:rPr>
                                  <w:sz w:val="18"/>
                                  <w:szCs w:val="18"/>
                                </w:rPr>
                                <w:t>material uncertainty?</w:t>
                              </w:r>
                            </w:p>
                            <w:p w14:paraId="25EBDCB8" w14:textId="77777777" w:rsidR="00CF7C02" w:rsidRPr="003E30B4" w:rsidRDefault="00CF7C02" w:rsidP="00232733">
                              <w:pPr>
                                <w:jc w:val="center"/>
                                <w:rPr>
                                  <w:sz w:val="16"/>
                                  <w:szCs w:val="16"/>
                                </w:rPr>
                              </w:pPr>
                              <w:r w:rsidRPr="003E30B4">
                                <w:rPr>
                                  <w:sz w:val="16"/>
                                  <w:szCs w:val="16"/>
                                </w:rPr>
                                <w:t>(</w:t>
                              </w:r>
                              <w:r>
                                <w:rPr>
                                  <w:sz w:val="16"/>
                                  <w:szCs w:val="16"/>
                                </w:rPr>
                                <w:t>Ref</w:t>
                              </w:r>
                              <w:r w:rsidRPr="00A41FD8">
                                <w:rPr>
                                  <w:sz w:val="16"/>
                                  <w:szCs w:val="16"/>
                                </w:rPr>
                                <w:t>: Para. 19)</w:t>
                              </w:r>
                            </w:p>
                            <w:p w14:paraId="647F3E75" w14:textId="77777777" w:rsidR="00CF7C02" w:rsidRPr="00FE4E4F" w:rsidRDefault="00CF7C02" w:rsidP="00232733">
                              <w:pPr>
                                <w:jc w:val="center"/>
                                <w:rPr>
                                  <w:sz w:val="18"/>
                                  <w:szCs w:val="18"/>
                                </w:rPr>
                              </w:pPr>
                            </w:p>
                          </w:txbxContent>
                        </wps:txbx>
                        <wps:bodyPr rot="0" vert="horz" wrap="square" lIns="91440" tIns="45720" rIns="91440" bIns="45720" anchor="t" anchorCtr="0" upright="1">
                          <a:noAutofit/>
                        </wps:bodyPr>
                      </wps:wsp>
                      <wps:wsp>
                        <wps:cNvPr id="359" name="Text Box 359" descr="text box" title="Aus Appendix 1"/>
                        <wps:cNvSpPr txBox="1">
                          <a:spLocks noChangeArrowheads="1"/>
                        </wps:cNvSpPr>
                        <wps:spPr bwMode="auto">
                          <a:xfrm>
                            <a:off x="3914822" y="6109407"/>
                            <a:ext cx="884780" cy="866963"/>
                          </a:xfrm>
                          <a:prstGeom prst="rect">
                            <a:avLst/>
                          </a:prstGeom>
                          <a:solidFill>
                            <a:srgbClr val="1F497D">
                              <a:lumMod val="40000"/>
                              <a:lumOff val="60000"/>
                            </a:srgbClr>
                          </a:solidFill>
                          <a:ln w="9525">
                            <a:solidFill>
                              <a:srgbClr val="000000"/>
                            </a:solidFill>
                            <a:miter lim="800000"/>
                            <a:headEnd/>
                            <a:tailEnd/>
                          </a:ln>
                        </wps:spPr>
                        <wps:txbx>
                          <w:txbxContent>
                            <w:p w14:paraId="008BF084" w14:textId="77777777" w:rsidR="00CF7C02" w:rsidRDefault="00CF7C02" w:rsidP="00232733">
                              <w:pPr>
                                <w:jc w:val="center"/>
                                <w:rPr>
                                  <w:sz w:val="18"/>
                                  <w:szCs w:val="18"/>
                                </w:rPr>
                              </w:pPr>
                              <w:r w:rsidRPr="00FE4E4F">
                                <w:rPr>
                                  <w:sz w:val="18"/>
                                  <w:szCs w:val="18"/>
                                </w:rPr>
                                <w:t>Adverse opinion (GC basis inappropriate)</w:t>
                              </w:r>
                            </w:p>
                            <w:p w14:paraId="13969B8C" w14:textId="77777777" w:rsidR="00CF7C02" w:rsidRPr="00F025C3" w:rsidRDefault="00CF7C02" w:rsidP="00232733">
                              <w:pPr>
                                <w:jc w:val="center"/>
                                <w:rPr>
                                  <w:sz w:val="16"/>
                                  <w:szCs w:val="16"/>
                                </w:rPr>
                              </w:pPr>
                              <w:r w:rsidRPr="00F025C3">
                                <w:rPr>
                                  <w:sz w:val="16"/>
                                  <w:szCs w:val="16"/>
                                </w:rPr>
                                <w:t>(</w:t>
                              </w:r>
                              <w:r>
                                <w:rPr>
                                  <w:sz w:val="16"/>
                                  <w:szCs w:val="16"/>
                                </w:rPr>
                                <w:t xml:space="preserve">Ref: </w:t>
                              </w:r>
                              <w:r w:rsidRPr="00A41FD8">
                                <w:rPr>
                                  <w:sz w:val="16"/>
                                  <w:szCs w:val="16"/>
                                </w:rPr>
                                <w:t>Para. 21)</w:t>
                              </w:r>
                            </w:p>
                            <w:p w14:paraId="13DA080E" w14:textId="77777777" w:rsidR="00CF7C02" w:rsidRPr="00FE4E4F" w:rsidRDefault="00CF7C02" w:rsidP="00232733">
                              <w:pPr>
                                <w:jc w:val="center"/>
                                <w:rPr>
                                  <w:sz w:val="18"/>
                                  <w:szCs w:val="18"/>
                                </w:rPr>
                              </w:pPr>
                            </w:p>
                          </w:txbxContent>
                        </wps:txbx>
                        <wps:bodyPr rot="0" vert="horz" wrap="square" lIns="91440" tIns="45720" rIns="91440" bIns="45720" anchor="t" anchorCtr="0" upright="1">
                          <a:noAutofit/>
                        </wps:bodyPr>
                      </wps:wsp>
                      <wps:wsp>
                        <wps:cNvPr id="360" name="Text Box 360" descr="text box" title="Aus Appendix 1"/>
                        <wps:cNvSpPr txBox="1">
                          <a:spLocks noChangeArrowheads="1"/>
                        </wps:cNvSpPr>
                        <wps:spPr bwMode="auto">
                          <a:xfrm>
                            <a:off x="49982" y="6178982"/>
                            <a:ext cx="959227" cy="988631"/>
                          </a:xfrm>
                          <a:prstGeom prst="rect">
                            <a:avLst/>
                          </a:prstGeom>
                          <a:solidFill>
                            <a:srgbClr val="1F497D">
                              <a:lumMod val="40000"/>
                              <a:lumOff val="60000"/>
                            </a:srgbClr>
                          </a:solidFill>
                          <a:ln w="9525">
                            <a:solidFill>
                              <a:srgbClr val="000000"/>
                            </a:solidFill>
                            <a:miter lim="800000"/>
                            <a:headEnd/>
                            <a:tailEnd/>
                          </a:ln>
                        </wps:spPr>
                        <wps:txbx>
                          <w:txbxContent>
                            <w:p w14:paraId="2E73B6EC" w14:textId="77777777" w:rsidR="00CF7C02" w:rsidRDefault="00CF7C02" w:rsidP="00232733">
                              <w:pPr>
                                <w:jc w:val="center"/>
                                <w:rPr>
                                  <w:sz w:val="18"/>
                                  <w:szCs w:val="18"/>
                                </w:rPr>
                              </w:pPr>
                              <w:r>
                                <w:rPr>
                                  <w:sz w:val="18"/>
                                  <w:szCs w:val="18"/>
                                </w:rPr>
                                <w:t xml:space="preserve">Unmodified opinion and include Material Uncertainty section </w:t>
                              </w:r>
                            </w:p>
                            <w:p w14:paraId="283D55EA" w14:textId="77777777" w:rsidR="00CF7C02" w:rsidRPr="00AB4B59" w:rsidRDefault="00CF7C02" w:rsidP="00232733">
                              <w:pPr>
                                <w:jc w:val="center"/>
                                <w:rPr>
                                  <w:sz w:val="16"/>
                                  <w:szCs w:val="16"/>
                                </w:rPr>
                              </w:pPr>
                              <w:r w:rsidRPr="00AB4B59">
                                <w:rPr>
                                  <w:sz w:val="16"/>
                                  <w:szCs w:val="16"/>
                                </w:rPr>
                                <w:t>(Ref: Para</w:t>
                              </w:r>
                              <w:r w:rsidRPr="00A41FD8">
                                <w:rPr>
                                  <w:sz w:val="16"/>
                                  <w:szCs w:val="16"/>
                                </w:rPr>
                                <w:t>. 22)</w:t>
                              </w:r>
                            </w:p>
                          </w:txbxContent>
                        </wps:txbx>
                        <wps:bodyPr rot="0" vert="horz" wrap="square" lIns="91440" tIns="45720" rIns="91440" bIns="45720" anchor="t" anchorCtr="0" upright="1">
                          <a:noAutofit/>
                        </wps:bodyPr>
                      </wps:wsp>
                      <wps:wsp>
                        <wps:cNvPr id="361" name="Text Box 361" descr="text box" title="Aus Appendix 1"/>
                        <wps:cNvSpPr txBox="1">
                          <a:spLocks noChangeArrowheads="1"/>
                        </wps:cNvSpPr>
                        <wps:spPr bwMode="auto">
                          <a:xfrm>
                            <a:off x="1087625" y="6307046"/>
                            <a:ext cx="869970" cy="855564"/>
                          </a:xfrm>
                          <a:prstGeom prst="rect">
                            <a:avLst/>
                          </a:prstGeom>
                          <a:solidFill>
                            <a:srgbClr val="1F497D">
                              <a:lumMod val="40000"/>
                              <a:lumOff val="60000"/>
                            </a:srgbClr>
                          </a:solidFill>
                          <a:ln w="9525">
                            <a:solidFill>
                              <a:srgbClr val="000000"/>
                            </a:solidFill>
                            <a:miter lim="800000"/>
                            <a:headEnd/>
                            <a:tailEnd/>
                          </a:ln>
                        </wps:spPr>
                        <wps:txbx>
                          <w:txbxContent>
                            <w:p w14:paraId="5415A97E" w14:textId="77777777" w:rsidR="00CF7C02" w:rsidRPr="0091537A" w:rsidRDefault="00CF7C02" w:rsidP="00232733">
                              <w:pPr>
                                <w:jc w:val="center"/>
                                <w:rPr>
                                  <w:sz w:val="16"/>
                                  <w:szCs w:val="16"/>
                                </w:rPr>
                              </w:pPr>
                              <w:r w:rsidRPr="0091537A">
                                <w:rPr>
                                  <w:sz w:val="16"/>
                                  <w:szCs w:val="16"/>
                                </w:rPr>
                                <w:t>Qualified or Adverse opinion (inadequate disclosure)</w:t>
                              </w:r>
                            </w:p>
                            <w:p w14:paraId="5E1420CC" w14:textId="77777777" w:rsidR="00CF7C02" w:rsidRPr="00AB4B59" w:rsidRDefault="00CF7C02" w:rsidP="00232733">
                              <w:pPr>
                                <w:jc w:val="center"/>
                                <w:rPr>
                                  <w:sz w:val="16"/>
                                  <w:szCs w:val="16"/>
                                </w:rPr>
                              </w:pPr>
                              <w:r w:rsidRPr="00AB4B59">
                                <w:rPr>
                                  <w:sz w:val="16"/>
                                  <w:szCs w:val="16"/>
                                </w:rPr>
                                <w:t>(Ref: Para</w:t>
                              </w:r>
                              <w:r>
                                <w:rPr>
                                  <w:sz w:val="16"/>
                                  <w:szCs w:val="16"/>
                                </w:rPr>
                                <w:t>.</w:t>
                              </w:r>
                              <w:r w:rsidRPr="00AB4B59">
                                <w:rPr>
                                  <w:sz w:val="16"/>
                                  <w:szCs w:val="16"/>
                                </w:rPr>
                                <w:t xml:space="preserve"> </w:t>
                              </w:r>
                              <w:r w:rsidRPr="00A41FD8">
                                <w:rPr>
                                  <w:sz w:val="16"/>
                                  <w:szCs w:val="16"/>
                                </w:rPr>
                                <w:t>23</w:t>
                              </w:r>
                              <w:r w:rsidRPr="00AB4B59">
                                <w:rPr>
                                  <w:sz w:val="16"/>
                                  <w:szCs w:val="16"/>
                                </w:rPr>
                                <w:t>)</w:t>
                              </w:r>
                            </w:p>
                          </w:txbxContent>
                        </wps:txbx>
                        <wps:bodyPr rot="0" vert="horz" wrap="square" lIns="91440" tIns="45720" rIns="91440" bIns="45720" anchor="t" anchorCtr="0" upright="1">
                          <a:noAutofit/>
                        </wps:bodyPr>
                      </wps:wsp>
                      <wps:wsp>
                        <wps:cNvPr id="362" name="Straight Arrow Connector 362" descr="directional arrow" title="directional arrow"/>
                        <wps:cNvCnPr>
                          <a:cxnSpLocks noChangeShapeType="1"/>
                          <a:stCxn id="354" idx="3"/>
                        </wps:cNvCnPr>
                        <wps:spPr bwMode="auto">
                          <a:xfrm flipV="1">
                            <a:off x="2030722" y="1689951"/>
                            <a:ext cx="455091" cy="1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3" name="Straight Arrow Connector 363" descr="directional arrow" title="Aus Appendix 1"/>
                        <wps:cNvCnPr>
                          <a:cxnSpLocks noChangeShapeType="1"/>
                        </wps:cNvCnPr>
                        <wps:spPr bwMode="auto">
                          <a:xfrm flipH="1">
                            <a:off x="965058" y="920988"/>
                            <a:ext cx="71" cy="2403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64" name="Straight Arrow Connector 364" descr="directional arrow" title="Aus Appendix 1"/>
                        <wps:cNvCnPr>
                          <a:cxnSpLocks noChangeShapeType="1"/>
                        </wps:cNvCnPr>
                        <wps:spPr bwMode="auto">
                          <a:xfrm>
                            <a:off x="965200" y="2219045"/>
                            <a:ext cx="0" cy="2379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65" name="Text Box 365" descr="Yes box" title="Aus Appendix 1"/>
                        <wps:cNvSpPr txBox="1">
                          <a:spLocks noChangeArrowheads="1"/>
                        </wps:cNvSpPr>
                        <wps:spPr bwMode="auto">
                          <a:xfrm>
                            <a:off x="1030106" y="923292"/>
                            <a:ext cx="227948" cy="238125"/>
                          </a:xfrm>
                          <a:prstGeom prst="rect">
                            <a:avLst/>
                          </a:prstGeom>
                          <a:solidFill>
                            <a:srgbClr val="00B050"/>
                          </a:solidFill>
                          <a:ln w="6350">
                            <a:solidFill>
                              <a:srgbClr val="00B050"/>
                            </a:solidFill>
                            <a:miter lim="800000"/>
                            <a:headEnd/>
                            <a:tailEnd/>
                          </a:ln>
                        </wps:spPr>
                        <wps:txbx>
                          <w:txbxContent>
                            <w:p w14:paraId="453B2859" w14:textId="77777777" w:rsidR="00CF7C02" w:rsidRPr="00D6088A" w:rsidRDefault="00CF7C02" w:rsidP="00232733">
                              <w:pPr>
                                <w:spacing w:line="240" w:lineRule="auto"/>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66" name="Text Box 366" descr="no box" title="Aus Appendix 1"/>
                        <wps:cNvSpPr txBox="1">
                          <a:spLocks/>
                        </wps:cNvSpPr>
                        <wps:spPr>
                          <a:xfrm>
                            <a:off x="3197401" y="928291"/>
                            <a:ext cx="205528" cy="270510"/>
                          </a:xfrm>
                          <a:prstGeom prst="rect">
                            <a:avLst/>
                          </a:prstGeom>
                          <a:solidFill>
                            <a:srgbClr val="FF0000"/>
                          </a:solidFill>
                          <a:ln w="6350">
                            <a:noFill/>
                          </a:ln>
                          <a:effectLst/>
                        </wps:spPr>
                        <wps:txbx>
                          <w:txbxContent>
                            <w:p w14:paraId="0987A9F0" w14:textId="77777777" w:rsidR="00CF7C02" w:rsidRPr="00D6088A" w:rsidRDefault="00CF7C02" w:rsidP="00232733">
                              <w:pPr>
                                <w:ind w:hanging="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7" name="Straight Arrow Connector 367" descr="directional arrow" title="Aus Appendix 1"/>
                        <wps:cNvCnPr>
                          <a:cxnSpLocks noChangeShapeType="1"/>
                        </wps:cNvCnPr>
                        <wps:spPr bwMode="auto">
                          <a:xfrm>
                            <a:off x="3819999" y="1754192"/>
                            <a:ext cx="66672"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68" name="Straight Arrow Connector 368" descr="directional arrow" title="Aus Appendix 1"/>
                        <wps:cNvCnPr>
                          <a:cxnSpLocks noChangeShapeType="1"/>
                        </wps:cNvCnPr>
                        <wps:spPr bwMode="auto">
                          <a:xfrm>
                            <a:off x="3894667" y="1418928"/>
                            <a:ext cx="36703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69" name="Straight Arrow Connector 369" descr="directional arrow" title="Aus Appendix 1"/>
                        <wps:cNvCnPr>
                          <a:cxnSpLocks noChangeShapeType="1"/>
                        </wps:cNvCnPr>
                        <wps:spPr bwMode="auto">
                          <a:xfrm>
                            <a:off x="3887893" y="1984587"/>
                            <a:ext cx="35306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70" name="Text Box 370" descr="table with text boxes" title="Aus Appendix 1 LINKING GOING CONCERN CONSIDERATIONS AND TYPES OF AUDIT OPINIONS"/>
                        <wps:cNvSpPr txBox="1">
                          <a:spLocks noChangeArrowheads="1"/>
                        </wps:cNvSpPr>
                        <wps:spPr bwMode="auto">
                          <a:xfrm>
                            <a:off x="2385059" y="3292356"/>
                            <a:ext cx="1289050" cy="859696"/>
                          </a:xfrm>
                          <a:prstGeom prst="rect">
                            <a:avLst/>
                          </a:prstGeom>
                          <a:solidFill>
                            <a:srgbClr val="FFFFFF"/>
                          </a:solidFill>
                          <a:ln w="9525">
                            <a:solidFill>
                              <a:srgbClr val="000000"/>
                            </a:solidFill>
                            <a:miter lim="800000"/>
                            <a:headEnd/>
                            <a:tailEnd/>
                          </a:ln>
                        </wps:spPr>
                        <wps:txbx>
                          <w:txbxContent>
                            <w:p w14:paraId="348F1A3B" w14:textId="77777777" w:rsidR="00CF7C02" w:rsidRPr="00FE4E4F" w:rsidRDefault="00CF7C02" w:rsidP="00232733">
                              <w:pPr>
                                <w:jc w:val="center"/>
                                <w:rPr>
                                  <w:sz w:val="18"/>
                                  <w:szCs w:val="18"/>
                                </w:rPr>
                              </w:pPr>
                              <w:r>
                                <w:rPr>
                                  <w:sz w:val="18"/>
                                  <w:szCs w:val="18"/>
                                </w:rPr>
                                <w:t xml:space="preserve">Has management </w:t>
                              </w:r>
                              <w:r w:rsidRPr="00FE4E4F">
                                <w:rPr>
                                  <w:sz w:val="18"/>
                                  <w:szCs w:val="18"/>
                                </w:rPr>
                                <w:t xml:space="preserve">prepared </w:t>
                              </w:r>
                              <w:r>
                                <w:rPr>
                                  <w:sz w:val="18"/>
                                  <w:szCs w:val="18"/>
                                </w:rPr>
                                <w:t>the financial report using the</w:t>
                              </w:r>
                              <w:r w:rsidRPr="00FE4E4F">
                                <w:rPr>
                                  <w:sz w:val="18"/>
                                  <w:szCs w:val="18"/>
                                </w:rPr>
                                <w:t xml:space="preserve"> GC basis</w:t>
                              </w:r>
                              <w:r>
                                <w:rPr>
                                  <w:sz w:val="18"/>
                                  <w:szCs w:val="18"/>
                                </w:rPr>
                                <w:t xml:space="preserve"> of accounting</w:t>
                              </w:r>
                              <w:r w:rsidRPr="00FE4E4F">
                                <w:rPr>
                                  <w:sz w:val="18"/>
                                  <w:szCs w:val="18"/>
                                </w:rPr>
                                <w:t>?</w:t>
                              </w:r>
                            </w:p>
                          </w:txbxContent>
                        </wps:txbx>
                        <wps:bodyPr rot="0" vert="horz" wrap="square" lIns="91440" tIns="45720" rIns="91440" bIns="45720" anchor="t" anchorCtr="0" upright="1">
                          <a:noAutofit/>
                        </wps:bodyPr>
                      </wps:wsp>
                      <wps:wsp>
                        <wps:cNvPr id="371" name="Elbow Connector 371" descr="directional arrow" title="Aus Appendix 1"/>
                        <wps:cNvCnPr>
                          <a:cxnSpLocks noChangeShapeType="1"/>
                          <a:stCxn id="349" idx="2"/>
                        </wps:cNvCnPr>
                        <wps:spPr bwMode="auto">
                          <a:xfrm rot="5400000">
                            <a:off x="2364324" y="556773"/>
                            <a:ext cx="433223" cy="1100804"/>
                          </a:xfrm>
                          <a:prstGeom prst="bentConnector2">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2" name="Text Box 372" descr="text box" title="Aus Appendix 1"/>
                        <wps:cNvSpPr txBox="1">
                          <a:spLocks noChangeArrowheads="1"/>
                        </wps:cNvSpPr>
                        <wps:spPr bwMode="auto">
                          <a:xfrm>
                            <a:off x="2234776" y="4774066"/>
                            <a:ext cx="1456267" cy="803086"/>
                          </a:xfrm>
                          <a:prstGeom prst="rect">
                            <a:avLst/>
                          </a:prstGeom>
                          <a:solidFill>
                            <a:srgbClr val="FFFFFF"/>
                          </a:solidFill>
                          <a:ln w="9525">
                            <a:solidFill>
                              <a:srgbClr val="000000"/>
                            </a:solidFill>
                            <a:miter lim="800000"/>
                            <a:headEnd/>
                            <a:tailEnd/>
                          </a:ln>
                        </wps:spPr>
                        <wps:txbx>
                          <w:txbxContent>
                            <w:p w14:paraId="70EE0C31" w14:textId="77777777" w:rsidR="00CF7C02" w:rsidRPr="00FE4E4F" w:rsidRDefault="00CF7C02" w:rsidP="00232733">
                              <w:pPr>
                                <w:jc w:val="center"/>
                                <w:rPr>
                                  <w:sz w:val="18"/>
                                  <w:szCs w:val="18"/>
                                </w:rPr>
                              </w:pPr>
                              <w:r w:rsidRPr="00FE4E4F">
                                <w:rPr>
                                  <w:sz w:val="18"/>
                                  <w:szCs w:val="18"/>
                                </w:rPr>
                                <w:t>Is there adequate disclosure in the financial statements of the alternative basis</w:t>
                              </w:r>
                              <w:r>
                                <w:rPr>
                                  <w:sz w:val="18"/>
                                  <w:szCs w:val="18"/>
                                </w:rPr>
                                <w:t xml:space="preserve"> used</w:t>
                              </w:r>
                              <w:r w:rsidRPr="00FE4E4F">
                                <w:rPr>
                                  <w:sz w:val="18"/>
                                  <w:szCs w:val="18"/>
                                </w:rPr>
                                <w:t>?</w:t>
                              </w:r>
                            </w:p>
                          </w:txbxContent>
                        </wps:txbx>
                        <wps:bodyPr rot="0" vert="horz" wrap="square" lIns="91440" tIns="45720" rIns="91440" bIns="45720" anchor="t" anchorCtr="0" upright="1">
                          <a:noAutofit/>
                        </wps:bodyPr>
                      </wps:wsp>
                      <wps:wsp>
                        <wps:cNvPr id="373" name="Text Box 373" descr="text box" title="Aus Appendix 1"/>
                        <wps:cNvSpPr txBox="1">
                          <a:spLocks noChangeArrowheads="1"/>
                        </wps:cNvSpPr>
                        <wps:spPr bwMode="auto">
                          <a:xfrm>
                            <a:off x="2744017" y="6101355"/>
                            <a:ext cx="1110665" cy="866986"/>
                          </a:xfrm>
                          <a:prstGeom prst="rect">
                            <a:avLst/>
                          </a:prstGeom>
                          <a:solidFill>
                            <a:srgbClr val="1F497D">
                              <a:lumMod val="40000"/>
                              <a:lumOff val="60000"/>
                            </a:srgbClr>
                          </a:solidFill>
                          <a:ln w="9525">
                            <a:solidFill>
                              <a:srgbClr val="000000"/>
                            </a:solidFill>
                            <a:miter lim="800000"/>
                            <a:headEnd/>
                            <a:tailEnd/>
                          </a:ln>
                        </wps:spPr>
                        <wps:txbx>
                          <w:txbxContent>
                            <w:p w14:paraId="7756ADEE" w14:textId="77777777" w:rsidR="00CF7C02" w:rsidRPr="00FE4E4F" w:rsidRDefault="00CF7C02" w:rsidP="00232733">
                              <w:pPr>
                                <w:spacing w:before="40"/>
                                <w:jc w:val="center"/>
                                <w:rPr>
                                  <w:sz w:val="18"/>
                                  <w:szCs w:val="18"/>
                                </w:rPr>
                              </w:pPr>
                              <w:r>
                                <w:rPr>
                                  <w:sz w:val="18"/>
                                  <w:szCs w:val="18"/>
                                </w:rPr>
                                <w:t xml:space="preserve">Unmodified opinion </w:t>
                              </w:r>
                              <w:r w:rsidRPr="00FE4E4F">
                                <w:rPr>
                                  <w:sz w:val="18"/>
                                  <w:szCs w:val="18"/>
                                </w:rPr>
                                <w:t>Emphasis of Matter Paragraph</w:t>
                              </w:r>
                            </w:p>
                            <w:p w14:paraId="535B86A9" w14:textId="77777777" w:rsidR="00CF7C02" w:rsidRPr="00FE4E4F" w:rsidRDefault="00CF7C02" w:rsidP="00232733">
                              <w:pPr>
                                <w:jc w:val="center"/>
                                <w:rPr>
                                  <w:sz w:val="16"/>
                                  <w:szCs w:val="16"/>
                                </w:rPr>
                              </w:pPr>
                              <w:r>
                                <w:rPr>
                                  <w:sz w:val="16"/>
                                  <w:szCs w:val="16"/>
                                </w:rPr>
                                <w:t>(Ref: Para</w:t>
                              </w:r>
                              <w:r w:rsidRPr="00A41FD8">
                                <w:rPr>
                                  <w:sz w:val="16"/>
                                  <w:szCs w:val="16"/>
                                </w:rPr>
                                <w:t>. A27)</w:t>
                              </w:r>
                            </w:p>
                          </w:txbxContent>
                        </wps:txbx>
                        <wps:bodyPr rot="0" vert="horz" wrap="square" lIns="91440" tIns="45720" rIns="91440" bIns="45720" anchor="t" anchorCtr="0" upright="1">
                          <a:noAutofit/>
                        </wps:bodyPr>
                      </wps:wsp>
                      <wps:wsp>
                        <wps:cNvPr id="374" name="Text Box 374" descr="text box" title="Aus Appendix 1"/>
                        <wps:cNvSpPr txBox="1">
                          <a:spLocks noChangeArrowheads="1"/>
                        </wps:cNvSpPr>
                        <wps:spPr bwMode="auto">
                          <a:xfrm>
                            <a:off x="4882510" y="6380453"/>
                            <a:ext cx="705744" cy="587889"/>
                          </a:xfrm>
                          <a:prstGeom prst="rect">
                            <a:avLst/>
                          </a:prstGeom>
                          <a:solidFill>
                            <a:srgbClr val="1F497D">
                              <a:lumMod val="40000"/>
                              <a:lumOff val="60000"/>
                            </a:srgbClr>
                          </a:solidFill>
                          <a:ln w="9525">
                            <a:solidFill>
                              <a:srgbClr val="000000"/>
                            </a:solidFill>
                            <a:miter lim="800000"/>
                            <a:headEnd/>
                            <a:tailEnd/>
                          </a:ln>
                        </wps:spPr>
                        <wps:txbx>
                          <w:txbxContent>
                            <w:p w14:paraId="7949DD54" w14:textId="77777777" w:rsidR="00CF7C02" w:rsidRPr="00FE4E4F" w:rsidRDefault="00CF7C02" w:rsidP="00232733">
                              <w:pPr>
                                <w:spacing w:before="40"/>
                                <w:jc w:val="center"/>
                                <w:rPr>
                                  <w:sz w:val="18"/>
                                  <w:szCs w:val="18"/>
                                </w:rPr>
                              </w:pPr>
                              <w:r>
                                <w:rPr>
                                  <w:sz w:val="18"/>
                                  <w:szCs w:val="18"/>
                                </w:rPr>
                                <w:t>Refer to ASA 705</w:t>
                              </w:r>
                            </w:p>
                          </w:txbxContent>
                        </wps:txbx>
                        <wps:bodyPr rot="0" vert="horz" wrap="square" lIns="91440" tIns="45720" rIns="91440" bIns="45720" anchor="t" anchorCtr="0" upright="1">
                          <a:noAutofit/>
                        </wps:bodyPr>
                      </wps:wsp>
                      <wps:wsp>
                        <wps:cNvPr id="375" name="Text Box 375" descr="text box" title="Aus Appendix 1"/>
                        <wps:cNvSpPr txBox="1"/>
                        <wps:spPr>
                          <a:xfrm>
                            <a:off x="4251569" y="2412748"/>
                            <a:ext cx="1730774" cy="1014571"/>
                          </a:xfrm>
                          <a:prstGeom prst="rect">
                            <a:avLst/>
                          </a:prstGeom>
                          <a:solidFill>
                            <a:sysClr val="window" lastClr="FFFFFF"/>
                          </a:solidFill>
                          <a:ln w="6350">
                            <a:solidFill>
                              <a:prstClr val="black"/>
                            </a:solidFill>
                          </a:ln>
                          <a:effectLst/>
                        </wps:spPr>
                        <wps:txbx>
                          <w:txbxContent>
                            <w:p w14:paraId="21BCDADA" w14:textId="77777777" w:rsidR="00CF7C02" w:rsidRPr="00C94CC7" w:rsidRDefault="00CF7C02" w:rsidP="00232733">
                              <w:pPr>
                                <w:jc w:val="center"/>
                                <w:rPr>
                                  <w:sz w:val="18"/>
                                  <w:szCs w:val="18"/>
                                </w:rPr>
                              </w:pPr>
                              <w:r>
                                <w:rPr>
                                  <w:sz w:val="18"/>
                                  <w:szCs w:val="18"/>
                                </w:rPr>
                                <w:t>Does the applicable financial reporting framework require specific disclosure of the identified events or conditions that do not result in a material uncertainty? (</w:t>
                              </w:r>
                              <w:r>
                                <w:rPr>
                                  <w:sz w:val="16"/>
                                  <w:szCs w:val="16"/>
                                </w:rPr>
                                <w:t xml:space="preserve">Ref: </w:t>
                              </w:r>
                              <w:r w:rsidRPr="00766A6B">
                                <w:rPr>
                                  <w:sz w:val="16"/>
                                  <w:szCs w:val="16"/>
                                </w:rPr>
                                <w:t>Para</w:t>
                              </w:r>
                              <w:r w:rsidRPr="00A41FD8">
                                <w:rPr>
                                  <w:sz w:val="16"/>
                                  <w:szCs w:val="16"/>
                                </w:rPr>
                                <w:t>.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6" name="Text Box 376" descr="text box" title="Aus Appendix 1"/>
                        <wps:cNvSpPr txBox="1"/>
                        <wps:spPr>
                          <a:xfrm>
                            <a:off x="4262352" y="3697816"/>
                            <a:ext cx="1773445" cy="856582"/>
                          </a:xfrm>
                          <a:prstGeom prst="rect">
                            <a:avLst/>
                          </a:prstGeom>
                          <a:solidFill>
                            <a:sysClr val="window" lastClr="FFFFFF"/>
                          </a:solidFill>
                          <a:ln w="6350">
                            <a:solidFill>
                              <a:prstClr val="black"/>
                            </a:solidFill>
                          </a:ln>
                          <a:effectLst/>
                        </wps:spPr>
                        <wps:txbx>
                          <w:txbxContent>
                            <w:p w14:paraId="65249012" w14:textId="77777777" w:rsidR="00CF7C02" w:rsidRPr="00DF4415" w:rsidRDefault="00CF7C02" w:rsidP="00232733">
                              <w:pPr>
                                <w:jc w:val="center"/>
                                <w:rPr>
                                  <w:sz w:val="18"/>
                                  <w:szCs w:val="18"/>
                                </w:rPr>
                              </w:pPr>
                              <w:r>
                                <w:rPr>
                                  <w:sz w:val="18"/>
                                  <w:szCs w:val="18"/>
                                </w:rPr>
                                <w:t>Does the auditor consider that a</w:t>
                              </w:r>
                              <w:r w:rsidRPr="00DF4415">
                                <w:rPr>
                                  <w:sz w:val="18"/>
                                  <w:szCs w:val="18"/>
                                </w:rPr>
                                <w:t xml:space="preserve">ppropriate disclosures </w:t>
                              </w:r>
                              <w:r>
                                <w:rPr>
                                  <w:sz w:val="18"/>
                                  <w:szCs w:val="18"/>
                                </w:rPr>
                                <w:t xml:space="preserve">have been </w:t>
                              </w:r>
                              <w:r w:rsidRPr="00DF4415">
                                <w:rPr>
                                  <w:sz w:val="18"/>
                                  <w:szCs w:val="18"/>
                                </w:rPr>
                                <w:t>ma</w:t>
                              </w:r>
                              <w:r>
                                <w:rPr>
                                  <w:sz w:val="18"/>
                                  <w:szCs w:val="18"/>
                                </w:rPr>
                                <w:t xml:space="preserve">de in the financial report in accordance with the applicable framework? </w:t>
                              </w:r>
                              <w:r w:rsidRPr="00F025C3">
                                <w:rPr>
                                  <w:sz w:val="16"/>
                                  <w:szCs w:val="16"/>
                                </w:rPr>
                                <w:t>(</w:t>
                              </w:r>
                              <w:r>
                                <w:rPr>
                                  <w:sz w:val="16"/>
                                  <w:szCs w:val="16"/>
                                </w:rPr>
                                <w:t xml:space="preserve">Ref: </w:t>
                              </w:r>
                              <w:r w:rsidRPr="00A41FD8">
                                <w:rPr>
                                  <w:sz w:val="16"/>
                                  <w:szCs w:val="16"/>
                                </w:rPr>
                                <w:t>Para. 20</w:t>
                              </w:r>
                              <w:r w:rsidRPr="00F025C3">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7" name="Text Box 377" descr="text box" title="Aus Appendix 1"/>
                        <wps:cNvSpPr txBox="1"/>
                        <wps:spPr>
                          <a:xfrm>
                            <a:off x="4637551" y="4658936"/>
                            <a:ext cx="1344289" cy="554187"/>
                          </a:xfrm>
                          <a:prstGeom prst="rect">
                            <a:avLst/>
                          </a:prstGeom>
                          <a:solidFill>
                            <a:sysClr val="window" lastClr="FFFFFF"/>
                          </a:solidFill>
                          <a:ln w="6350">
                            <a:solidFill>
                              <a:prstClr val="black"/>
                            </a:solidFill>
                          </a:ln>
                          <a:effectLst/>
                        </wps:spPr>
                        <wps:txbx>
                          <w:txbxContent>
                            <w:p w14:paraId="46B7E931" w14:textId="77777777" w:rsidR="00CF7C02" w:rsidRPr="00DF4415" w:rsidRDefault="00CF7C02" w:rsidP="00232733">
                              <w:pPr>
                                <w:jc w:val="center"/>
                                <w:rPr>
                                  <w:sz w:val="18"/>
                                  <w:szCs w:val="18"/>
                                </w:rPr>
                              </w:pPr>
                              <w:r>
                                <w:rPr>
                                  <w:sz w:val="18"/>
                                  <w:szCs w:val="18"/>
                                </w:rPr>
                                <w:t>Has m</w:t>
                              </w:r>
                              <w:r w:rsidRPr="00DF4415">
                                <w:rPr>
                                  <w:sz w:val="18"/>
                                  <w:szCs w:val="18"/>
                                </w:rPr>
                                <w:t>anagement amend</w:t>
                              </w:r>
                              <w:r>
                                <w:rPr>
                                  <w:sz w:val="18"/>
                                  <w:szCs w:val="18"/>
                                </w:rPr>
                                <w:t>ed</w:t>
                              </w:r>
                              <w:r w:rsidRPr="00DF4415">
                                <w:rPr>
                                  <w:sz w:val="18"/>
                                  <w:szCs w:val="18"/>
                                </w:rPr>
                                <w:t xml:space="preserve"> disclosures appropriately?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8" name="Text Box 378" descr="text box" title="Aus Appendix 1"/>
                        <wps:cNvSpPr txBox="1"/>
                        <wps:spPr>
                          <a:xfrm>
                            <a:off x="2021029" y="6104102"/>
                            <a:ext cx="662940" cy="866776"/>
                          </a:xfrm>
                          <a:prstGeom prst="rect">
                            <a:avLst/>
                          </a:prstGeom>
                          <a:solidFill>
                            <a:srgbClr val="1F497D">
                              <a:lumMod val="40000"/>
                              <a:lumOff val="60000"/>
                            </a:srgbClr>
                          </a:solidFill>
                          <a:ln w="6350">
                            <a:solidFill>
                              <a:prstClr val="black"/>
                            </a:solidFill>
                          </a:ln>
                          <a:effectLst/>
                        </wps:spPr>
                        <wps:txbx>
                          <w:txbxContent>
                            <w:p w14:paraId="1879D0CC" w14:textId="77777777" w:rsidR="00CF7C02" w:rsidRPr="00F025C3" w:rsidRDefault="00CF7C02" w:rsidP="00232733">
                              <w:pPr>
                                <w:spacing w:before="240"/>
                                <w:jc w:val="center"/>
                                <w:rPr>
                                  <w:sz w:val="18"/>
                                  <w:szCs w:val="18"/>
                                </w:rPr>
                              </w:pPr>
                              <w:r>
                                <w:rPr>
                                  <w:sz w:val="18"/>
                                  <w:szCs w:val="18"/>
                                </w:rPr>
                                <w:t>Refer to ASA 705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9" name="Text Box 379" descr="table with text boxes" title="Aus Appendix 1 LINKING GOING CONCERN CONSIDERATIONS AND TYPES OF AUDIT OPINIONS"/>
                        <wps:cNvSpPr txBox="1"/>
                        <wps:spPr>
                          <a:xfrm>
                            <a:off x="690880" y="5296969"/>
                            <a:ext cx="1320588" cy="691696"/>
                          </a:xfrm>
                          <a:prstGeom prst="rect">
                            <a:avLst/>
                          </a:prstGeom>
                          <a:solidFill>
                            <a:sysClr val="window" lastClr="FFFFFF"/>
                          </a:solidFill>
                          <a:ln w="6350">
                            <a:solidFill>
                              <a:prstClr val="black"/>
                            </a:solidFill>
                          </a:ln>
                          <a:effectLst/>
                        </wps:spPr>
                        <wps:txbx>
                          <w:txbxContent>
                            <w:p w14:paraId="144BED57" w14:textId="77777777" w:rsidR="00CF7C02" w:rsidRPr="009D1124" w:rsidRDefault="00CF7C02" w:rsidP="00232733">
                              <w:pPr>
                                <w:jc w:val="center"/>
                                <w:rPr>
                                  <w:sz w:val="18"/>
                                  <w:szCs w:val="18"/>
                                </w:rPr>
                              </w:pPr>
                              <w:r>
                                <w:rPr>
                                  <w:sz w:val="18"/>
                                  <w:szCs w:val="18"/>
                                </w:rPr>
                                <w:t>Has m</w:t>
                              </w:r>
                              <w:r w:rsidRPr="009D1124">
                                <w:rPr>
                                  <w:sz w:val="18"/>
                                  <w:szCs w:val="18"/>
                                </w:rPr>
                                <w:t>anagement amend</w:t>
                              </w:r>
                              <w:r>
                                <w:rPr>
                                  <w:sz w:val="18"/>
                                  <w:szCs w:val="18"/>
                                </w:rPr>
                                <w:t>ed</w:t>
                              </w:r>
                              <w:r w:rsidRPr="009D1124">
                                <w:rPr>
                                  <w:sz w:val="18"/>
                                  <w:szCs w:val="18"/>
                                </w:rPr>
                                <w:t xml:space="preserve"> disclosures appropriately?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0" name="Text Box 380" descr="yes box" title="Aus Appendix 1"/>
                        <wps:cNvSpPr txBox="1">
                          <a:spLocks noChangeArrowheads="1"/>
                        </wps:cNvSpPr>
                        <wps:spPr bwMode="auto">
                          <a:xfrm>
                            <a:off x="3894667" y="243840"/>
                            <a:ext cx="219075" cy="238125"/>
                          </a:xfrm>
                          <a:prstGeom prst="rect">
                            <a:avLst/>
                          </a:prstGeom>
                          <a:solidFill>
                            <a:srgbClr val="00B050"/>
                          </a:solidFill>
                          <a:ln w="6350">
                            <a:solidFill>
                              <a:srgbClr val="00B050"/>
                            </a:solidFill>
                            <a:miter lim="800000"/>
                            <a:headEnd/>
                            <a:tailEnd/>
                          </a:ln>
                        </wps:spPr>
                        <wps:txbx>
                          <w:txbxContent>
                            <w:p w14:paraId="3FDCE42B" w14:textId="77777777" w:rsidR="00CF7C02" w:rsidRPr="00D6088A" w:rsidRDefault="00CF7C02" w:rsidP="00232733">
                              <w:pPr>
                                <w:spacing w:line="240" w:lineRule="auto"/>
                                <w:ind w:hanging="120"/>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81" name="Text Box 381" descr="no box" title="Aus Appendix 1"/>
                        <wps:cNvSpPr txBox="1">
                          <a:spLocks/>
                        </wps:cNvSpPr>
                        <wps:spPr>
                          <a:xfrm>
                            <a:off x="2175510" y="1788160"/>
                            <a:ext cx="186690" cy="270510"/>
                          </a:xfrm>
                          <a:prstGeom prst="rect">
                            <a:avLst/>
                          </a:prstGeom>
                          <a:solidFill>
                            <a:srgbClr val="FF0000"/>
                          </a:solidFill>
                          <a:ln w="6350">
                            <a:noFill/>
                          </a:ln>
                          <a:effectLst/>
                        </wps:spPr>
                        <wps:txbx>
                          <w:txbxContent>
                            <w:p w14:paraId="182A1CFE" w14:textId="77777777" w:rsidR="00CF7C02" w:rsidRPr="00D6088A" w:rsidRDefault="00CF7C02" w:rsidP="00232733">
                              <w:pPr>
                                <w:ind w:hanging="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2" name="Text Box 382" descr="no box" title="Aus Appendix 1"/>
                        <wps:cNvSpPr txBox="1">
                          <a:spLocks/>
                        </wps:cNvSpPr>
                        <wps:spPr>
                          <a:xfrm>
                            <a:off x="3942080" y="1889760"/>
                            <a:ext cx="171873" cy="270510"/>
                          </a:xfrm>
                          <a:prstGeom prst="rect">
                            <a:avLst/>
                          </a:prstGeom>
                          <a:solidFill>
                            <a:srgbClr val="FF0000"/>
                          </a:solidFill>
                          <a:ln w="6350">
                            <a:noFill/>
                          </a:ln>
                          <a:effectLst/>
                        </wps:spPr>
                        <wps:txbx>
                          <w:txbxContent>
                            <w:p w14:paraId="22A6E7CF" w14:textId="77777777" w:rsidR="00CF7C02" w:rsidRPr="00D6088A" w:rsidRDefault="00CF7C02" w:rsidP="00232733">
                              <w:pPr>
                                <w:ind w:hanging="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3" name="Text Box 383" descr="yes box" title="Aus Appendix 1"/>
                        <wps:cNvSpPr txBox="1">
                          <a:spLocks noChangeArrowheads="1"/>
                        </wps:cNvSpPr>
                        <wps:spPr bwMode="auto">
                          <a:xfrm>
                            <a:off x="3942080" y="1259840"/>
                            <a:ext cx="168910" cy="238125"/>
                          </a:xfrm>
                          <a:prstGeom prst="rect">
                            <a:avLst/>
                          </a:prstGeom>
                          <a:solidFill>
                            <a:srgbClr val="00B050"/>
                          </a:solidFill>
                          <a:ln w="6350">
                            <a:solidFill>
                              <a:srgbClr val="00B050"/>
                            </a:solidFill>
                            <a:miter lim="800000"/>
                            <a:headEnd/>
                            <a:tailEnd/>
                          </a:ln>
                        </wps:spPr>
                        <wps:txbx>
                          <w:txbxContent>
                            <w:p w14:paraId="7817B821" w14:textId="77777777" w:rsidR="00CF7C02" w:rsidRPr="00D6088A" w:rsidRDefault="00CF7C02" w:rsidP="00232733">
                              <w:pPr>
                                <w:spacing w:line="240" w:lineRule="auto"/>
                                <w:ind w:hanging="120"/>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84" name="Straight Connector 384" descr="directional arrow" title="Aus Appendix 1"/>
                        <wps:cNvCnPr/>
                        <wps:spPr>
                          <a:xfrm>
                            <a:off x="3887827" y="1418928"/>
                            <a:ext cx="0" cy="565658"/>
                          </a:xfrm>
                          <a:prstGeom prst="line">
                            <a:avLst/>
                          </a:prstGeom>
                          <a:noFill/>
                          <a:ln w="9525" cap="flat" cmpd="sng" algn="ctr">
                            <a:solidFill>
                              <a:sysClr val="windowText" lastClr="000000">
                                <a:shade val="95000"/>
                                <a:satMod val="105000"/>
                              </a:sysClr>
                            </a:solidFill>
                            <a:prstDash val="solid"/>
                          </a:ln>
                          <a:effectLst/>
                        </wps:spPr>
                        <wps:bodyPr/>
                      </wps:wsp>
                      <wps:wsp>
                        <wps:cNvPr id="385" name="Text Box 385" descr="yes box" title="Aus Appendix 1"/>
                        <wps:cNvSpPr txBox="1">
                          <a:spLocks noChangeArrowheads="1"/>
                        </wps:cNvSpPr>
                        <wps:spPr bwMode="auto">
                          <a:xfrm>
                            <a:off x="1073674" y="2218916"/>
                            <a:ext cx="168910" cy="238125"/>
                          </a:xfrm>
                          <a:prstGeom prst="rect">
                            <a:avLst/>
                          </a:prstGeom>
                          <a:solidFill>
                            <a:srgbClr val="00B050"/>
                          </a:solidFill>
                          <a:ln w="6350">
                            <a:solidFill>
                              <a:srgbClr val="00B050"/>
                            </a:solidFill>
                            <a:miter lim="800000"/>
                            <a:headEnd/>
                            <a:tailEnd/>
                          </a:ln>
                        </wps:spPr>
                        <wps:txbx>
                          <w:txbxContent>
                            <w:p w14:paraId="40FFB237" w14:textId="77777777" w:rsidR="00CF7C02" w:rsidRPr="00D6088A" w:rsidRDefault="00CF7C02" w:rsidP="00232733">
                              <w:pPr>
                                <w:spacing w:line="240" w:lineRule="auto"/>
                                <w:ind w:hanging="120"/>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86" name="Text Box 386" descr="no box" title="Aus Appendix 1"/>
                        <wps:cNvSpPr txBox="1">
                          <a:spLocks/>
                        </wps:cNvSpPr>
                        <wps:spPr>
                          <a:xfrm>
                            <a:off x="2203032" y="2863819"/>
                            <a:ext cx="268840" cy="270510"/>
                          </a:xfrm>
                          <a:prstGeom prst="rect">
                            <a:avLst/>
                          </a:prstGeom>
                          <a:solidFill>
                            <a:srgbClr val="FF0000"/>
                          </a:solidFill>
                          <a:ln w="6350">
                            <a:noFill/>
                          </a:ln>
                          <a:effectLst/>
                        </wps:spPr>
                        <wps:txbx>
                          <w:txbxContent>
                            <w:p w14:paraId="2C64B4EF" w14:textId="77777777" w:rsidR="00CF7C02" w:rsidRPr="00D6088A" w:rsidRDefault="00CF7C02" w:rsidP="00232733">
                              <w:pPr>
                                <w:jc w:val="center"/>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Straight Arrow Connector 387" descr="directional arrow" title="Aus Appendix 1"/>
                        <wps:cNvCnPr>
                          <a:stCxn id="351" idx="3"/>
                        </wps:cNvCnPr>
                        <wps:spPr>
                          <a:xfrm flipV="1">
                            <a:off x="2011680" y="2798273"/>
                            <a:ext cx="2228427" cy="163"/>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88" name="Text Box 388" descr="no box" title="Aus Appendix 1"/>
                        <wps:cNvSpPr txBox="1">
                          <a:spLocks noChangeArrowheads="1"/>
                        </wps:cNvSpPr>
                        <wps:spPr bwMode="auto">
                          <a:xfrm>
                            <a:off x="6075887" y="4217615"/>
                            <a:ext cx="154940" cy="238125"/>
                          </a:xfrm>
                          <a:prstGeom prst="rect">
                            <a:avLst/>
                          </a:prstGeom>
                          <a:solidFill>
                            <a:srgbClr val="00B050"/>
                          </a:solidFill>
                          <a:ln w="6350">
                            <a:solidFill>
                              <a:srgbClr val="00B050"/>
                            </a:solidFill>
                            <a:miter lim="800000"/>
                            <a:headEnd/>
                            <a:tailEnd/>
                          </a:ln>
                        </wps:spPr>
                        <wps:txbx>
                          <w:txbxContent>
                            <w:p w14:paraId="2E7DFD35"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89" name="Text Box 389" descr="no box" title="Aus Appendix 1"/>
                        <wps:cNvSpPr txBox="1">
                          <a:spLocks/>
                        </wps:cNvSpPr>
                        <wps:spPr>
                          <a:xfrm>
                            <a:off x="6117186" y="3032831"/>
                            <a:ext cx="195580" cy="270510"/>
                          </a:xfrm>
                          <a:prstGeom prst="rect">
                            <a:avLst/>
                          </a:prstGeom>
                          <a:solidFill>
                            <a:srgbClr val="FF0000"/>
                          </a:solidFill>
                          <a:ln w="6350">
                            <a:noFill/>
                          </a:ln>
                          <a:effectLst/>
                        </wps:spPr>
                        <wps:txbx>
                          <w:txbxContent>
                            <w:p w14:paraId="32679F90" w14:textId="77777777" w:rsidR="00CF7C02" w:rsidRPr="00D6088A" w:rsidRDefault="00CF7C02" w:rsidP="00232733">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0" name="Text Box 390" descr="no box" title="Aus Appendix 1"/>
                        <wps:cNvSpPr txBox="1">
                          <a:spLocks noChangeArrowheads="1"/>
                        </wps:cNvSpPr>
                        <wps:spPr bwMode="auto">
                          <a:xfrm>
                            <a:off x="6035906" y="4888574"/>
                            <a:ext cx="154940" cy="238125"/>
                          </a:xfrm>
                          <a:prstGeom prst="rect">
                            <a:avLst/>
                          </a:prstGeom>
                          <a:solidFill>
                            <a:srgbClr val="00B050"/>
                          </a:solidFill>
                          <a:ln w="6350">
                            <a:solidFill>
                              <a:srgbClr val="00B050"/>
                            </a:solidFill>
                            <a:miter lim="800000"/>
                            <a:headEnd/>
                            <a:tailEnd/>
                          </a:ln>
                        </wps:spPr>
                        <wps:txbx>
                          <w:txbxContent>
                            <w:p w14:paraId="4C6131D3" w14:textId="77777777" w:rsidR="00CF7C02" w:rsidRPr="00D6088A" w:rsidRDefault="00CF7C02" w:rsidP="00232733">
                              <w:pPr>
                                <w:spacing w:line="240" w:lineRule="auto"/>
                                <w:ind w:left="-120"/>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91" name="Straight Arrow Connector 391" descr="directional arrow" title="Aus Appendix 1"/>
                        <wps:cNvCnPr/>
                        <wps:spPr>
                          <a:xfrm>
                            <a:off x="5991935" y="2973501"/>
                            <a:ext cx="400262" cy="1693"/>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92" name="Straight Arrow Connector 392" descr="directional arrow" title="directional arrow"/>
                        <wps:cNvCnPr/>
                        <wps:spPr>
                          <a:xfrm flipV="1">
                            <a:off x="6035901" y="4152053"/>
                            <a:ext cx="320588" cy="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93" name="Straight Arrow Connector 393" descr="directional arrow" title="Aus Appendix 1"/>
                        <wps:cNvCnPr/>
                        <wps:spPr>
                          <a:xfrm flipV="1">
                            <a:off x="5978598" y="4807145"/>
                            <a:ext cx="392899" cy="8"/>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94" name="Text Box 394" descr="yes box" title="Aus Appendix 1"/>
                        <wps:cNvSpPr txBox="1">
                          <a:spLocks noChangeArrowheads="1"/>
                        </wps:cNvSpPr>
                        <wps:spPr bwMode="auto">
                          <a:xfrm>
                            <a:off x="5140969" y="3449300"/>
                            <a:ext cx="154940" cy="238125"/>
                          </a:xfrm>
                          <a:prstGeom prst="rect">
                            <a:avLst/>
                          </a:prstGeom>
                          <a:solidFill>
                            <a:srgbClr val="00B050"/>
                          </a:solidFill>
                          <a:ln w="6350">
                            <a:solidFill>
                              <a:srgbClr val="00B050"/>
                            </a:solidFill>
                            <a:miter lim="800000"/>
                            <a:headEnd/>
                            <a:tailEnd/>
                          </a:ln>
                        </wps:spPr>
                        <wps:txbx>
                          <w:txbxContent>
                            <w:p w14:paraId="47C155AD"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395" name="Straight Arrow Connector 395" descr="directional arrow" title="Aus Appendix 1"/>
                        <wps:cNvCnPr/>
                        <wps:spPr>
                          <a:xfrm>
                            <a:off x="5060995" y="3449295"/>
                            <a:ext cx="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98" name="Straight Arrow Connector 398" descr="directional arrow" title="Aus Appendix 1"/>
                        <wps:cNvCnPr/>
                        <wps:spPr>
                          <a:xfrm>
                            <a:off x="5101304" y="5213123"/>
                            <a:ext cx="0" cy="116699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99" name="Text Box 399" descr="no box" title="Aus Appendix 1"/>
                        <wps:cNvSpPr txBox="1">
                          <a:spLocks/>
                        </wps:cNvSpPr>
                        <wps:spPr>
                          <a:xfrm>
                            <a:off x="5140969" y="5316571"/>
                            <a:ext cx="195580" cy="270510"/>
                          </a:xfrm>
                          <a:prstGeom prst="rect">
                            <a:avLst/>
                          </a:prstGeom>
                          <a:solidFill>
                            <a:srgbClr val="FF0000"/>
                          </a:solidFill>
                          <a:ln w="6350">
                            <a:noFill/>
                          </a:ln>
                          <a:effectLst/>
                        </wps:spPr>
                        <wps:txbx>
                          <w:txbxContent>
                            <w:p w14:paraId="5F00A882" w14:textId="77777777" w:rsidR="00CF7C02" w:rsidRPr="00D6088A" w:rsidRDefault="00CF7C02" w:rsidP="00232733">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0" name="Text Box 400" descr="no box" title="Aus Appendix 1 "/>
                        <wps:cNvSpPr txBox="1">
                          <a:spLocks/>
                        </wps:cNvSpPr>
                        <wps:spPr>
                          <a:xfrm>
                            <a:off x="2097952" y="3770013"/>
                            <a:ext cx="195580" cy="270510"/>
                          </a:xfrm>
                          <a:prstGeom prst="rect">
                            <a:avLst/>
                          </a:prstGeom>
                          <a:solidFill>
                            <a:srgbClr val="FF0000"/>
                          </a:solidFill>
                          <a:ln w="6350">
                            <a:noFill/>
                          </a:ln>
                          <a:effectLst/>
                        </wps:spPr>
                        <wps:txbx>
                          <w:txbxContent>
                            <w:p w14:paraId="374D7B30" w14:textId="77777777" w:rsidR="00CF7C02" w:rsidRPr="00D6088A" w:rsidRDefault="00CF7C02" w:rsidP="00232733">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1" name="Text Box 401" descr="yes box" title="Aus Appendix 1"/>
                        <wps:cNvSpPr txBox="1">
                          <a:spLocks noChangeArrowheads="1"/>
                        </wps:cNvSpPr>
                        <wps:spPr bwMode="auto">
                          <a:xfrm>
                            <a:off x="1082040" y="3153773"/>
                            <a:ext cx="195580" cy="238125"/>
                          </a:xfrm>
                          <a:prstGeom prst="rect">
                            <a:avLst/>
                          </a:prstGeom>
                          <a:solidFill>
                            <a:srgbClr val="00B050"/>
                          </a:solidFill>
                          <a:ln w="6350">
                            <a:solidFill>
                              <a:srgbClr val="00B050"/>
                            </a:solidFill>
                            <a:miter lim="800000"/>
                            <a:headEnd/>
                            <a:tailEnd/>
                          </a:ln>
                        </wps:spPr>
                        <wps:txbx>
                          <w:txbxContent>
                            <w:p w14:paraId="327BB2DC"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403" name="Straight Arrow Connector 403" descr="directional arrow" title="directional arrow"/>
                        <wps:cNvCnPr/>
                        <wps:spPr>
                          <a:xfrm>
                            <a:off x="1831360" y="3697816"/>
                            <a:ext cx="553699"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04" name="Text Box 404" descr="yes" title="Aus Appendix 1"/>
                        <wps:cNvSpPr txBox="1">
                          <a:spLocks noChangeArrowheads="1"/>
                        </wps:cNvSpPr>
                        <wps:spPr bwMode="auto">
                          <a:xfrm>
                            <a:off x="1087641" y="3995052"/>
                            <a:ext cx="154940" cy="238125"/>
                          </a:xfrm>
                          <a:prstGeom prst="rect">
                            <a:avLst/>
                          </a:prstGeom>
                          <a:solidFill>
                            <a:srgbClr val="00B050"/>
                          </a:solidFill>
                          <a:ln w="6350">
                            <a:solidFill>
                              <a:srgbClr val="00B050"/>
                            </a:solidFill>
                            <a:miter lim="800000"/>
                            <a:headEnd/>
                            <a:tailEnd/>
                          </a:ln>
                        </wps:spPr>
                        <wps:txbx>
                          <w:txbxContent>
                            <w:p w14:paraId="4E897444"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405" name="Straight Arrow Connector 405" descr="directional arrow" title="directional arrow"/>
                        <wps:cNvCnPr/>
                        <wps:spPr>
                          <a:xfrm>
                            <a:off x="964962" y="4040523"/>
                            <a:ext cx="0" cy="243364"/>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06" name="Straight Arrow Connector 406" descr="directional arrow" title="Aus Appendix 1"/>
                        <wps:cNvCnPr/>
                        <wps:spPr>
                          <a:xfrm>
                            <a:off x="313268" y="5002186"/>
                            <a:ext cx="0" cy="1177384"/>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07" name="Text Box 407" descr="yes box" title="Aus Appendix 1"/>
                        <wps:cNvSpPr txBox="1">
                          <a:spLocks noChangeArrowheads="1"/>
                        </wps:cNvSpPr>
                        <wps:spPr bwMode="auto">
                          <a:xfrm>
                            <a:off x="331047" y="5126699"/>
                            <a:ext cx="154940" cy="238125"/>
                          </a:xfrm>
                          <a:prstGeom prst="rect">
                            <a:avLst/>
                          </a:prstGeom>
                          <a:solidFill>
                            <a:srgbClr val="00B050"/>
                          </a:solidFill>
                          <a:ln w="6350">
                            <a:solidFill>
                              <a:srgbClr val="00B050"/>
                            </a:solidFill>
                            <a:miter lim="800000"/>
                            <a:headEnd/>
                            <a:tailEnd/>
                          </a:ln>
                        </wps:spPr>
                        <wps:txbx>
                          <w:txbxContent>
                            <w:p w14:paraId="0A3E4673"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408" name="Text Box 408" descr="yes box" title="Aus Appendix 1"/>
                        <wps:cNvSpPr txBox="1">
                          <a:spLocks noChangeArrowheads="1"/>
                        </wps:cNvSpPr>
                        <wps:spPr bwMode="auto">
                          <a:xfrm>
                            <a:off x="3765973" y="3770013"/>
                            <a:ext cx="167587" cy="249252"/>
                          </a:xfrm>
                          <a:prstGeom prst="rect">
                            <a:avLst/>
                          </a:prstGeom>
                          <a:solidFill>
                            <a:srgbClr val="00B050"/>
                          </a:solidFill>
                          <a:ln w="6350">
                            <a:solidFill>
                              <a:srgbClr val="00B050"/>
                            </a:solidFill>
                            <a:miter lim="800000"/>
                            <a:headEnd/>
                            <a:tailEnd/>
                          </a:ln>
                        </wps:spPr>
                        <wps:txbx>
                          <w:txbxContent>
                            <w:p w14:paraId="122152EB"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409" name="Text Box 409" descr="no box" title="Aus Appendix 1 "/>
                        <wps:cNvSpPr txBox="1">
                          <a:spLocks/>
                        </wps:cNvSpPr>
                        <wps:spPr>
                          <a:xfrm>
                            <a:off x="3019075" y="4283887"/>
                            <a:ext cx="195580" cy="270510"/>
                          </a:xfrm>
                          <a:prstGeom prst="rect">
                            <a:avLst/>
                          </a:prstGeom>
                          <a:solidFill>
                            <a:srgbClr val="FF0000"/>
                          </a:solidFill>
                          <a:ln w="6350">
                            <a:noFill/>
                          </a:ln>
                          <a:effectLst/>
                        </wps:spPr>
                        <wps:txbx>
                          <w:txbxContent>
                            <w:p w14:paraId="2376AA22" w14:textId="77777777" w:rsidR="00CF7C02" w:rsidRPr="00D6088A" w:rsidRDefault="00CF7C02" w:rsidP="00232733">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0" name="Text Box 410" descr="no box" title="Aus Appendix 1"/>
                        <wps:cNvSpPr txBox="1">
                          <a:spLocks/>
                        </wps:cNvSpPr>
                        <wps:spPr>
                          <a:xfrm>
                            <a:off x="1151890" y="4992169"/>
                            <a:ext cx="195580" cy="270510"/>
                          </a:xfrm>
                          <a:prstGeom prst="rect">
                            <a:avLst/>
                          </a:prstGeom>
                          <a:solidFill>
                            <a:srgbClr val="FF0000"/>
                          </a:solidFill>
                          <a:ln w="6350">
                            <a:noFill/>
                          </a:ln>
                          <a:effectLst/>
                        </wps:spPr>
                        <wps:txbx>
                          <w:txbxContent>
                            <w:p w14:paraId="1A69AD00" w14:textId="77777777" w:rsidR="00CF7C02" w:rsidRPr="00D6088A" w:rsidRDefault="00CF7C02" w:rsidP="00232733">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1" name="Straight Arrow Connector 411"/>
                        <wps:cNvCnPr/>
                        <wps:spPr>
                          <a:xfrm>
                            <a:off x="965200" y="4992169"/>
                            <a:ext cx="0" cy="3048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12" name="Straight Arrow Connector 412" descr="directional arrow" title="Aus appendix 1"/>
                        <wps:cNvCnPr/>
                        <wps:spPr>
                          <a:xfrm flipH="1">
                            <a:off x="313268" y="5642187"/>
                            <a:ext cx="377612"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13" name="Text Box 413" descr="yes box" title="Aus Appendix 1"/>
                        <wps:cNvSpPr txBox="1">
                          <a:spLocks noChangeArrowheads="1"/>
                        </wps:cNvSpPr>
                        <wps:spPr bwMode="auto">
                          <a:xfrm>
                            <a:off x="416688" y="5688481"/>
                            <a:ext cx="198839" cy="238125"/>
                          </a:xfrm>
                          <a:prstGeom prst="rect">
                            <a:avLst/>
                          </a:prstGeom>
                          <a:solidFill>
                            <a:srgbClr val="00B050"/>
                          </a:solidFill>
                          <a:ln w="6350">
                            <a:solidFill>
                              <a:srgbClr val="00B050"/>
                            </a:solidFill>
                            <a:miter lim="800000"/>
                            <a:headEnd/>
                            <a:tailEnd/>
                          </a:ln>
                        </wps:spPr>
                        <wps:txbx>
                          <w:txbxContent>
                            <w:p w14:paraId="631E99E3"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414" name="Straight Arrow Connector 414" descr="directional arrow" title="Aus Appendix 1"/>
                        <wps:cNvCnPr/>
                        <wps:spPr>
                          <a:xfrm>
                            <a:off x="1456267" y="5993972"/>
                            <a:ext cx="0" cy="29930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15" name="Text Box 415" descr="no box" title="Aus Appendix 1"/>
                        <wps:cNvSpPr txBox="1">
                          <a:spLocks/>
                        </wps:cNvSpPr>
                        <wps:spPr>
                          <a:xfrm>
                            <a:off x="1550247" y="6020925"/>
                            <a:ext cx="195580" cy="259417"/>
                          </a:xfrm>
                          <a:prstGeom prst="rect">
                            <a:avLst/>
                          </a:prstGeom>
                          <a:solidFill>
                            <a:srgbClr val="FF0000"/>
                          </a:solidFill>
                          <a:ln w="6350">
                            <a:noFill/>
                          </a:ln>
                          <a:effectLst/>
                        </wps:spPr>
                        <wps:txbx>
                          <w:txbxContent>
                            <w:p w14:paraId="28027ED8" w14:textId="77777777" w:rsidR="00CF7C02" w:rsidRPr="00D6088A" w:rsidRDefault="00CF7C02" w:rsidP="00232733">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6" name="Straight Arrow Connector 416" descr="directional arrow" title="Aus Appendix 1"/>
                        <wps:cNvCnPr/>
                        <wps:spPr>
                          <a:xfrm>
                            <a:off x="3346027" y="5587359"/>
                            <a:ext cx="0" cy="51241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17" name="Text Box 417" descr="yes box" title="Aus Appendix 1"/>
                        <wps:cNvSpPr txBox="1">
                          <a:spLocks noChangeArrowheads="1"/>
                        </wps:cNvSpPr>
                        <wps:spPr bwMode="auto">
                          <a:xfrm>
                            <a:off x="3404868" y="5735531"/>
                            <a:ext cx="189654" cy="238125"/>
                          </a:xfrm>
                          <a:prstGeom prst="rect">
                            <a:avLst/>
                          </a:prstGeom>
                          <a:solidFill>
                            <a:srgbClr val="00B050"/>
                          </a:solidFill>
                          <a:ln w="6350">
                            <a:solidFill>
                              <a:srgbClr val="00B050"/>
                            </a:solidFill>
                            <a:miter lim="800000"/>
                            <a:headEnd/>
                            <a:tailEnd/>
                          </a:ln>
                        </wps:spPr>
                        <wps:txbx>
                          <w:txbxContent>
                            <w:p w14:paraId="02C8F518"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wps:txbx>
                        <wps:bodyPr rot="0" vert="horz" wrap="square" lIns="91440" tIns="45720" rIns="91440" bIns="45720" anchor="t" anchorCtr="0" upright="1">
                          <a:noAutofit/>
                        </wps:bodyPr>
                      </wps:wsp>
                      <wps:wsp>
                        <wps:cNvPr id="418" name="Straight Arrow Connector 418" descr="directional arrow" title="Aus Appendix 1"/>
                        <wps:cNvCnPr/>
                        <wps:spPr>
                          <a:xfrm>
                            <a:off x="2472086" y="5587074"/>
                            <a:ext cx="0" cy="517028"/>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19" name="Text Box 419" descr="no box" title="Aus Appendix 1"/>
                        <wps:cNvSpPr txBox="1">
                          <a:spLocks/>
                        </wps:cNvSpPr>
                        <wps:spPr>
                          <a:xfrm>
                            <a:off x="2522220" y="5703146"/>
                            <a:ext cx="195580" cy="270510"/>
                          </a:xfrm>
                          <a:prstGeom prst="rect">
                            <a:avLst/>
                          </a:prstGeom>
                          <a:solidFill>
                            <a:srgbClr val="FF0000"/>
                          </a:solidFill>
                          <a:ln w="6350">
                            <a:noFill/>
                          </a:ln>
                          <a:effectLst/>
                        </wps:spPr>
                        <wps:txbx>
                          <w:txbxContent>
                            <w:p w14:paraId="726F5E46" w14:textId="77777777" w:rsidR="00CF7C02" w:rsidRPr="00D6088A" w:rsidRDefault="00CF7C02" w:rsidP="00232733">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03E866" id="Group 347" o:spid="_x0000_s1026" alt="Title: Aus Appendix 1 LINKING GOING CONCERN CONSIDERATIONS AND TYPES OF AUDIT OPINIONS - Description: table with text boxes" style="position:absolute;margin-left:-36.45pt;margin-top:-.05pt;width:507.55pt;height:525.05pt;z-index:251658242;mso-width-relative:margin;mso-height-relative:margin" coordorigin="499,-421" coordsize="63422,72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">
                <v:shapetype id="_x0000_t202" coordsize="21600,21600" o:spt="202" path="m,l,21600r21600,l21600,xe">
                  <v:stroke joinstyle="miter"/>
                  <v:path gradientshapeok="t" o:connecttype="rect"/>
                </v:shapetype>
                <v:shape id="Text Box 348" o:spid="_x0000_s1027" type="#_x0000_t202" alt="table with text boxes" style="position:absolute;left:1003;top:-421;width:19113;height:9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">
                  <v:textbox>
                    <w:txbxContent>
                      <w:p w14:paraId="21B03C57" w14:textId="77777777" w:rsidR="00CF7C02" w:rsidRPr="00C94CC7" w:rsidRDefault="00CF7C02" w:rsidP="00232733">
                        <w:pPr>
                          <w:spacing w:before="40"/>
                          <w:jc w:val="center"/>
                          <w:rPr>
                            <w:sz w:val="18"/>
                            <w:szCs w:val="18"/>
                          </w:rPr>
                        </w:pPr>
                        <w:r w:rsidRPr="00C94CC7">
                          <w:rPr>
                            <w:sz w:val="18"/>
                            <w:szCs w:val="18"/>
                          </w:rPr>
                          <w:t>Do</w:t>
                        </w:r>
                        <w:r>
                          <w:rPr>
                            <w:sz w:val="18"/>
                            <w:szCs w:val="18"/>
                          </w:rPr>
                          <w:t xml:space="preserve"> the risk assessment procedures</w:t>
                        </w:r>
                        <w:r w:rsidRPr="00C94CC7">
                          <w:rPr>
                            <w:sz w:val="18"/>
                            <w:szCs w:val="18"/>
                          </w:rPr>
                          <w:t xml:space="preserve"> identify any events or conditions that may cast significant doubt on the entity’s ability to continue as a going concern (GC)? </w:t>
                        </w:r>
                        <w:r w:rsidRPr="005F7A9F">
                          <w:rPr>
                            <w:sz w:val="16"/>
                            <w:szCs w:val="16"/>
                          </w:rPr>
                          <w:t>(</w:t>
                        </w:r>
                        <w:r>
                          <w:rPr>
                            <w:sz w:val="16"/>
                            <w:szCs w:val="16"/>
                          </w:rPr>
                          <w:t xml:space="preserve">Ref: </w:t>
                        </w:r>
                        <w:r w:rsidRPr="00A41FD8">
                          <w:rPr>
                            <w:sz w:val="16"/>
                            <w:szCs w:val="16"/>
                          </w:rPr>
                          <w:t>Para. 10)</w:t>
                        </w:r>
                      </w:p>
                    </w:txbxContent>
                  </v:textbox>
                </v:shape>
                <v:shape id="Text Box 349" o:spid="_x0000_s1028" type="#_x0000_t202" alt="text box" style="position:absolute;left:25122;top:-421;width:12383;height:9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">
                  <v:textbox>
                    <w:txbxContent>
                      <w:p w14:paraId="0107917B" w14:textId="77777777" w:rsidR="00CF7C02" w:rsidRDefault="00CF7C02" w:rsidP="00232733">
                        <w:pPr>
                          <w:spacing w:before="40"/>
                          <w:jc w:val="center"/>
                          <w:rPr>
                            <w:sz w:val="18"/>
                            <w:szCs w:val="18"/>
                          </w:rPr>
                        </w:pPr>
                        <w:r w:rsidRPr="00C94CC7">
                          <w:rPr>
                            <w:sz w:val="18"/>
                            <w:szCs w:val="18"/>
                          </w:rPr>
                          <w:t xml:space="preserve">Do the results of other audit procedures support the initial risk assessment? </w:t>
                        </w:r>
                      </w:p>
                      <w:p w14:paraId="1A64BC35" w14:textId="77777777" w:rsidR="00CF7C02" w:rsidRPr="00CA60C1" w:rsidRDefault="00CF7C02" w:rsidP="00232733">
                        <w:pPr>
                          <w:jc w:val="center"/>
                          <w:rPr>
                            <w:sz w:val="16"/>
                            <w:szCs w:val="16"/>
                          </w:rPr>
                        </w:pPr>
                        <w:r w:rsidRPr="00CA60C1">
                          <w:rPr>
                            <w:sz w:val="16"/>
                            <w:szCs w:val="16"/>
                          </w:rPr>
                          <w:t>(Ref: Para</w:t>
                        </w:r>
                        <w:r w:rsidRPr="00A41FD8">
                          <w:rPr>
                            <w:sz w:val="16"/>
                            <w:szCs w:val="16"/>
                          </w:rPr>
                          <w:t>. 10-11)</w:t>
                        </w:r>
                      </w:p>
                    </w:txbxContent>
                  </v:textbox>
                </v:shape>
                <v:shape id="Text Box 350" o:spid="_x0000_s1029" type="#_x0000_t202" alt="text box" style="position:absolute;left:42468;top:2370;width:12192;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" fillcolor="#b9cde5">
                  <v:textbox>
                    <w:txbxContent>
                      <w:p w14:paraId="2594EA4A" w14:textId="77777777" w:rsidR="00CF7C02" w:rsidRPr="00FE4E4F" w:rsidRDefault="00CF7C02" w:rsidP="00232733">
                        <w:pPr>
                          <w:spacing w:before="80"/>
                          <w:jc w:val="center"/>
                          <w:rPr>
                            <w:sz w:val="18"/>
                            <w:szCs w:val="18"/>
                            <w:u w:val="single"/>
                          </w:rPr>
                        </w:pPr>
                        <w:r>
                          <w:rPr>
                            <w:sz w:val="18"/>
                            <w:szCs w:val="18"/>
                          </w:rPr>
                          <w:t>Unmodified opinion</w:t>
                        </w:r>
                      </w:p>
                    </w:txbxContent>
                  </v:textbox>
                </v:shape>
                <v:shape id="Text Box 351" o:spid="_x0000_s1030" type="#_x0000_t202" alt="table with text boxes" style="position:absolute;left:1617;top:24623;width:18499;height:6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">
                  <v:textbox>
                    <w:txbxContent>
                      <w:p w14:paraId="5CECDE3A" w14:textId="77777777" w:rsidR="00CF7C02" w:rsidRDefault="00CF7C02" w:rsidP="00232733">
                        <w:pPr>
                          <w:spacing w:before="40"/>
                          <w:jc w:val="center"/>
                          <w:rPr>
                            <w:sz w:val="18"/>
                            <w:szCs w:val="18"/>
                          </w:rPr>
                        </w:pPr>
                        <w:r>
                          <w:rPr>
                            <w:sz w:val="18"/>
                            <w:szCs w:val="18"/>
                          </w:rPr>
                          <w:t>Does the a</w:t>
                        </w:r>
                        <w:r w:rsidRPr="00FE4E4F">
                          <w:rPr>
                            <w:sz w:val="18"/>
                            <w:szCs w:val="18"/>
                          </w:rPr>
                          <w:t>uditor</w:t>
                        </w:r>
                        <w:r>
                          <w:rPr>
                            <w:sz w:val="18"/>
                            <w:szCs w:val="18"/>
                          </w:rPr>
                          <w:t xml:space="preserve"> conclude </w:t>
                        </w:r>
                        <w:r w:rsidRPr="00FE4E4F">
                          <w:rPr>
                            <w:sz w:val="18"/>
                            <w:szCs w:val="18"/>
                          </w:rPr>
                          <w:t xml:space="preserve">that a material uncertainty exists? </w:t>
                        </w:r>
                      </w:p>
                      <w:p w14:paraId="06164841" w14:textId="77777777" w:rsidR="00CF7C02" w:rsidRPr="003E30B4" w:rsidRDefault="00CF7C02" w:rsidP="00232733">
                        <w:pPr>
                          <w:jc w:val="center"/>
                          <w:rPr>
                            <w:sz w:val="16"/>
                            <w:szCs w:val="16"/>
                          </w:rPr>
                        </w:pPr>
                        <w:r w:rsidRPr="003E30B4">
                          <w:rPr>
                            <w:sz w:val="16"/>
                            <w:szCs w:val="16"/>
                          </w:rPr>
                          <w:t>(</w:t>
                        </w:r>
                        <w:r>
                          <w:rPr>
                            <w:sz w:val="16"/>
                            <w:szCs w:val="16"/>
                          </w:rPr>
                          <w:t xml:space="preserve">Ref: </w:t>
                        </w:r>
                        <w:r w:rsidRPr="003E30B4">
                          <w:rPr>
                            <w:sz w:val="16"/>
                            <w:szCs w:val="16"/>
                          </w:rPr>
                          <w:t>Para</w:t>
                        </w:r>
                        <w:r w:rsidRPr="00A41FD8">
                          <w:rPr>
                            <w:sz w:val="16"/>
                            <w:szCs w:val="16"/>
                          </w:rPr>
                          <w:t>. 18)</w:t>
                        </w:r>
                      </w:p>
                    </w:txbxContent>
                  </v:textbox>
                </v:shape>
                <v:shapetype id="_x0000_t32" coordsize="21600,21600" o:spt="32" o:oned="t" path="m,l21600,21600e" filled="f">
                  <v:path arrowok="t" fillok="f" o:connecttype="none"/>
                  <o:lock v:ext="edit" shapetype="t"/>
                </v:shapetype>
                <v:shape id="Straight Arrow Connector 352" o:spid="_x0000_s1031" type="#_x0000_t32" alt="directional arrow" style="position:absolute;left:20307;top:5960;width:491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">
                  <v:stroke endarrow="block"/>
                </v:shape>
                <v:shape id="Straight Arrow Connector 353" o:spid="_x0000_s1032" type="#_x0000_t32" alt="directional arrow" style="position:absolute;left:37659;top:3657;width:485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">
                  <v:stroke endarrow="block"/>
                </v:shape>
                <v:shape id="Text Box 354" o:spid="_x0000_s1033" type="#_x0000_t202" alt="table with text boxes" style="position:absolute;left:1194;top:11613;width:19113;height:10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">
                  <v:textbox>
                    <w:txbxContent>
                      <w:p w14:paraId="1FDE9412" w14:textId="77777777" w:rsidR="00CF7C02" w:rsidRPr="00FE4E4F" w:rsidRDefault="00CF7C02" w:rsidP="00232733">
                        <w:pPr>
                          <w:spacing w:before="120"/>
                          <w:jc w:val="center"/>
                          <w:rPr>
                            <w:sz w:val="18"/>
                            <w:szCs w:val="18"/>
                          </w:rPr>
                        </w:pPr>
                        <w:r>
                          <w:rPr>
                            <w:sz w:val="18"/>
                            <w:szCs w:val="18"/>
                          </w:rPr>
                          <w:t xml:space="preserve">Can the auditor obtain through </w:t>
                        </w:r>
                        <w:r w:rsidRPr="00AE5582">
                          <w:rPr>
                            <w:i/>
                            <w:sz w:val="18"/>
                            <w:szCs w:val="18"/>
                          </w:rPr>
                          <w:t>additional</w:t>
                        </w:r>
                        <w:r>
                          <w:rPr>
                            <w:sz w:val="18"/>
                            <w:szCs w:val="18"/>
                          </w:rPr>
                          <w:t xml:space="preserve"> audit procedures</w:t>
                        </w:r>
                        <w:r w:rsidRPr="00FE4E4F">
                          <w:rPr>
                            <w:b/>
                            <w:sz w:val="18"/>
                            <w:szCs w:val="18"/>
                          </w:rPr>
                          <w:t xml:space="preserve"> </w:t>
                        </w:r>
                        <w:r w:rsidRPr="00FE4E4F">
                          <w:rPr>
                            <w:sz w:val="18"/>
                            <w:szCs w:val="18"/>
                          </w:rPr>
                          <w:t xml:space="preserve">sufficient appropriate audit evidence to </w:t>
                        </w:r>
                        <w:r>
                          <w:rPr>
                            <w:sz w:val="18"/>
                            <w:szCs w:val="18"/>
                          </w:rPr>
                          <w:t>conclude</w:t>
                        </w:r>
                        <w:r w:rsidRPr="00FE4E4F">
                          <w:rPr>
                            <w:sz w:val="18"/>
                            <w:szCs w:val="18"/>
                          </w:rPr>
                          <w:t xml:space="preserve"> whether a material uncertainty exists?</w:t>
                        </w:r>
                        <w:r>
                          <w:rPr>
                            <w:sz w:val="18"/>
                            <w:szCs w:val="18"/>
                          </w:rPr>
                          <w:t xml:space="preserve"> </w:t>
                        </w:r>
                        <w:r>
                          <w:rPr>
                            <w:sz w:val="16"/>
                            <w:szCs w:val="16"/>
                          </w:rPr>
                          <w:t>(Ref: Para</w:t>
                        </w:r>
                        <w:r w:rsidRPr="00A41FD8">
                          <w:rPr>
                            <w:sz w:val="16"/>
                            <w:szCs w:val="16"/>
                          </w:rPr>
                          <w:t>. 16)</w:t>
                        </w:r>
                      </w:p>
                    </w:txbxContent>
                  </v:textbox>
                </v:shape>
                <v:shape id="Text Box 355" o:spid="_x0000_s1034" type="#_x0000_t202" alt="table with text boxes" style="position:absolute;left:24858;top:13817;width:13239;height:13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">
                  <v:textbox>
                    <w:txbxContent>
                      <w:p w14:paraId="38E341B1" w14:textId="77777777" w:rsidR="00CF7C02" w:rsidRDefault="00CF7C02" w:rsidP="00232733">
                        <w:pPr>
                          <w:spacing w:before="40"/>
                          <w:jc w:val="center"/>
                          <w:rPr>
                            <w:sz w:val="18"/>
                            <w:szCs w:val="18"/>
                          </w:rPr>
                        </w:pPr>
                        <w:r w:rsidRPr="00FE4E4F">
                          <w:rPr>
                            <w:sz w:val="18"/>
                            <w:szCs w:val="18"/>
                          </w:rPr>
                          <w:t xml:space="preserve">Is the lack of </w:t>
                        </w:r>
                        <w:r>
                          <w:rPr>
                            <w:sz w:val="18"/>
                            <w:szCs w:val="18"/>
                          </w:rPr>
                          <w:t xml:space="preserve">sufficient appropriate </w:t>
                        </w:r>
                        <w:r w:rsidRPr="00FE4E4F">
                          <w:rPr>
                            <w:sz w:val="18"/>
                            <w:szCs w:val="18"/>
                          </w:rPr>
                          <w:t>audit evidence due to management unwilling to make, or extend, their GC assessment?</w:t>
                        </w:r>
                      </w:p>
                      <w:p w14:paraId="015C0443" w14:textId="77777777" w:rsidR="00CF7C02" w:rsidRPr="00F025C3" w:rsidRDefault="00CF7C02" w:rsidP="00232733">
                        <w:pPr>
                          <w:jc w:val="center"/>
                          <w:rPr>
                            <w:sz w:val="16"/>
                            <w:szCs w:val="16"/>
                          </w:rPr>
                        </w:pPr>
                        <w:r w:rsidRPr="00F025C3">
                          <w:rPr>
                            <w:sz w:val="16"/>
                            <w:szCs w:val="16"/>
                          </w:rPr>
                          <w:t>(</w:t>
                        </w:r>
                        <w:r>
                          <w:rPr>
                            <w:sz w:val="16"/>
                            <w:szCs w:val="16"/>
                          </w:rPr>
                          <w:t xml:space="preserve">Ref: </w:t>
                        </w:r>
                        <w:r w:rsidRPr="00F025C3">
                          <w:rPr>
                            <w:sz w:val="16"/>
                            <w:szCs w:val="16"/>
                          </w:rPr>
                          <w:t>Para</w:t>
                        </w:r>
                        <w:r w:rsidRPr="00A41FD8">
                          <w:rPr>
                            <w:sz w:val="16"/>
                            <w:szCs w:val="16"/>
                          </w:rPr>
                          <w:t>. 24)</w:t>
                        </w:r>
                      </w:p>
                    </w:txbxContent>
                  </v:textbox>
                </v:shape>
                <v:shape id="Text Box 356" o:spid="_x0000_s1035" type="#_x0000_t202" alt="text box" style="position:absolute;left:42516;top:9278;width:12802;height:6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" fillcolor="#8eb4e3">
                  <v:textbox>
                    <w:txbxContent>
                      <w:p w14:paraId="421C3377" w14:textId="77777777" w:rsidR="00CF7C02" w:rsidRDefault="00CF7C02" w:rsidP="00232733">
                        <w:pPr>
                          <w:jc w:val="center"/>
                          <w:rPr>
                            <w:sz w:val="18"/>
                            <w:szCs w:val="18"/>
                          </w:rPr>
                        </w:pPr>
                        <w:r w:rsidRPr="00FE4E4F">
                          <w:rPr>
                            <w:sz w:val="18"/>
                            <w:szCs w:val="18"/>
                          </w:rPr>
                          <w:t xml:space="preserve">Qualified or </w:t>
                        </w:r>
                        <w:r>
                          <w:rPr>
                            <w:sz w:val="18"/>
                            <w:szCs w:val="18"/>
                          </w:rPr>
                          <w:t>D</w:t>
                        </w:r>
                        <w:r w:rsidRPr="00FE4E4F">
                          <w:rPr>
                            <w:sz w:val="18"/>
                            <w:szCs w:val="18"/>
                          </w:rPr>
                          <w:t>isclaimer of Opinion (Limitation of Scope)</w:t>
                        </w:r>
                      </w:p>
                      <w:p w14:paraId="4EEF2DC1" w14:textId="77777777" w:rsidR="00CF7C02" w:rsidRPr="00E0281C" w:rsidRDefault="00CF7C02" w:rsidP="00232733">
                        <w:pPr>
                          <w:jc w:val="center"/>
                          <w:rPr>
                            <w:sz w:val="16"/>
                            <w:szCs w:val="16"/>
                          </w:rPr>
                        </w:pPr>
                        <w:r w:rsidRPr="00E0281C">
                          <w:rPr>
                            <w:sz w:val="16"/>
                            <w:szCs w:val="16"/>
                          </w:rPr>
                          <w:t>(</w:t>
                        </w:r>
                        <w:r>
                          <w:rPr>
                            <w:sz w:val="16"/>
                            <w:szCs w:val="16"/>
                          </w:rPr>
                          <w:t xml:space="preserve">Ref: </w:t>
                        </w:r>
                        <w:r w:rsidRPr="00E0281C">
                          <w:rPr>
                            <w:sz w:val="16"/>
                            <w:szCs w:val="16"/>
                          </w:rPr>
                          <w:t xml:space="preserve">Para. </w:t>
                        </w:r>
                        <w:r w:rsidRPr="00A41FD8">
                          <w:rPr>
                            <w:sz w:val="16"/>
                            <w:szCs w:val="16"/>
                          </w:rPr>
                          <w:t>A35)</w:t>
                        </w:r>
                      </w:p>
                    </w:txbxContent>
                  </v:textbox>
                </v:shape>
                <v:shape id="Text Box 357" o:spid="_x0000_s1036" type="#_x0000_t202" alt="text box" style="position:absolute;left:42468;top:16900;width:12920;height:6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" fillcolor="#8eb4e3">
                  <v:textbox>
                    <w:txbxContent>
                      <w:p w14:paraId="48BB1C08" w14:textId="77777777" w:rsidR="00CF7C02" w:rsidRPr="00CA60C1" w:rsidRDefault="00CF7C02" w:rsidP="00232733">
                        <w:pPr>
                          <w:jc w:val="center"/>
                          <w:rPr>
                            <w:sz w:val="16"/>
                            <w:szCs w:val="16"/>
                          </w:rPr>
                        </w:pPr>
                        <w:r>
                          <w:rPr>
                            <w:sz w:val="18"/>
                            <w:szCs w:val="18"/>
                          </w:rPr>
                          <w:t xml:space="preserve">Refer to ASA 705 to determine implications </w:t>
                        </w:r>
                        <w:r w:rsidRPr="00CA60C1">
                          <w:rPr>
                            <w:sz w:val="16"/>
                            <w:szCs w:val="16"/>
                          </w:rPr>
                          <w:t xml:space="preserve">(Ref: </w:t>
                        </w:r>
                        <w:r w:rsidRPr="00A41FD8">
                          <w:rPr>
                            <w:sz w:val="16"/>
                            <w:szCs w:val="16"/>
                          </w:rPr>
                          <w:t>Para. 23)</w:t>
                        </w:r>
                      </w:p>
                    </w:txbxContent>
                  </v:textbox>
                </v:shape>
                <v:shape id="Text Box 358" o:spid="_x0000_s1037" type="#_x0000_t202" alt="text box" style="position:absolute;left:1193;top:42950;width:18869;height:6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">
                  <v:textbox>
                    <w:txbxContent>
                      <w:p w14:paraId="4D2F2D5B" w14:textId="77777777" w:rsidR="00CF7C02" w:rsidRDefault="00CF7C02" w:rsidP="00232733">
                        <w:pPr>
                          <w:jc w:val="center"/>
                          <w:rPr>
                            <w:sz w:val="18"/>
                            <w:szCs w:val="18"/>
                          </w:rPr>
                        </w:pPr>
                        <w:r>
                          <w:rPr>
                            <w:sz w:val="18"/>
                            <w:szCs w:val="18"/>
                          </w:rPr>
                          <w:t>Are appropriate</w:t>
                        </w:r>
                        <w:r w:rsidRPr="00FE4E4F">
                          <w:rPr>
                            <w:sz w:val="18"/>
                            <w:szCs w:val="18"/>
                          </w:rPr>
                          <w:t xml:space="preserve"> disclosure</w:t>
                        </w:r>
                        <w:r>
                          <w:rPr>
                            <w:sz w:val="18"/>
                            <w:szCs w:val="18"/>
                          </w:rPr>
                          <w:t>s made</w:t>
                        </w:r>
                        <w:r w:rsidRPr="00FE4E4F">
                          <w:rPr>
                            <w:sz w:val="18"/>
                            <w:szCs w:val="18"/>
                          </w:rPr>
                          <w:t xml:space="preserve"> in the financial statements </w:t>
                        </w:r>
                        <w:r>
                          <w:rPr>
                            <w:sz w:val="18"/>
                            <w:szCs w:val="18"/>
                          </w:rPr>
                          <w:t xml:space="preserve">relating to the </w:t>
                        </w:r>
                        <w:r w:rsidRPr="00FE4E4F">
                          <w:rPr>
                            <w:sz w:val="18"/>
                            <w:szCs w:val="18"/>
                          </w:rPr>
                          <w:t>material uncertainty?</w:t>
                        </w:r>
                      </w:p>
                      <w:p w14:paraId="25EBDCB8" w14:textId="77777777" w:rsidR="00CF7C02" w:rsidRPr="003E30B4" w:rsidRDefault="00CF7C02" w:rsidP="00232733">
                        <w:pPr>
                          <w:jc w:val="center"/>
                          <w:rPr>
                            <w:sz w:val="16"/>
                            <w:szCs w:val="16"/>
                          </w:rPr>
                        </w:pPr>
                        <w:r w:rsidRPr="003E30B4">
                          <w:rPr>
                            <w:sz w:val="16"/>
                            <w:szCs w:val="16"/>
                          </w:rPr>
                          <w:t>(</w:t>
                        </w:r>
                        <w:r>
                          <w:rPr>
                            <w:sz w:val="16"/>
                            <w:szCs w:val="16"/>
                          </w:rPr>
                          <w:t>Ref</w:t>
                        </w:r>
                        <w:r w:rsidRPr="00A41FD8">
                          <w:rPr>
                            <w:sz w:val="16"/>
                            <w:szCs w:val="16"/>
                          </w:rPr>
                          <w:t>: Para. 19)</w:t>
                        </w:r>
                      </w:p>
                      <w:p w14:paraId="647F3E75" w14:textId="77777777" w:rsidR="00CF7C02" w:rsidRPr="00FE4E4F" w:rsidRDefault="00CF7C02" w:rsidP="00232733">
                        <w:pPr>
                          <w:jc w:val="center"/>
                          <w:rPr>
                            <w:sz w:val="18"/>
                            <w:szCs w:val="18"/>
                          </w:rPr>
                        </w:pPr>
                      </w:p>
                    </w:txbxContent>
                  </v:textbox>
                </v:shape>
                <v:shape id="Text Box 359" o:spid="_x0000_s1038" type="#_x0000_t202" alt="text box" style="position:absolute;left:39148;top:61094;width:8848;height: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" fillcolor="#8eb4e3">
                  <v:textbox>
                    <w:txbxContent>
                      <w:p w14:paraId="008BF084" w14:textId="77777777" w:rsidR="00CF7C02" w:rsidRDefault="00CF7C02" w:rsidP="00232733">
                        <w:pPr>
                          <w:jc w:val="center"/>
                          <w:rPr>
                            <w:sz w:val="18"/>
                            <w:szCs w:val="18"/>
                          </w:rPr>
                        </w:pPr>
                        <w:r w:rsidRPr="00FE4E4F">
                          <w:rPr>
                            <w:sz w:val="18"/>
                            <w:szCs w:val="18"/>
                          </w:rPr>
                          <w:t>Adverse opinion (GC basis inappropriate)</w:t>
                        </w:r>
                      </w:p>
                      <w:p w14:paraId="13969B8C" w14:textId="77777777" w:rsidR="00CF7C02" w:rsidRPr="00F025C3" w:rsidRDefault="00CF7C02" w:rsidP="00232733">
                        <w:pPr>
                          <w:jc w:val="center"/>
                          <w:rPr>
                            <w:sz w:val="16"/>
                            <w:szCs w:val="16"/>
                          </w:rPr>
                        </w:pPr>
                        <w:r w:rsidRPr="00F025C3">
                          <w:rPr>
                            <w:sz w:val="16"/>
                            <w:szCs w:val="16"/>
                          </w:rPr>
                          <w:t>(</w:t>
                        </w:r>
                        <w:r>
                          <w:rPr>
                            <w:sz w:val="16"/>
                            <w:szCs w:val="16"/>
                          </w:rPr>
                          <w:t xml:space="preserve">Ref: </w:t>
                        </w:r>
                        <w:r w:rsidRPr="00A41FD8">
                          <w:rPr>
                            <w:sz w:val="16"/>
                            <w:szCs w:val="16"/>
                          </w:rPr>
                          <w:t>Para. 21)</w:t>
                        </w:r>
                      </w:p>
                      <w:p w14:paraId="13DA080E" w14:textId="77777777" w:rsidR="00CF7C02" w:rsidRPr="00FE4E4F" w:rsidRDefault="00CF7C02" w:rsidP="00232733">
                        <w:pPr>
                          <w:jc w:val="center"/>
                          <w:rPr>
                            <w:sz w:val="18"/>
                            <w:szCs w:val="18"/>
                          </w:rPr>
                        </w:pPr>
                      </w:p>
                    </w:txbxContent>
                  </v:textbox>
                </v:shape>
                <v:shape id="Text Box 360" o:spid="_x0000_s1039" type="#_x0000_t202" alt="text box" style="position:absolute;left:499;top:61789;width:9593;height:9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" fillcolor="#8eb4e3">
                  <v:textbox>
                    <w:txbxContent>
                      <w:p w14:paraId="2E73B6EC" w14:textId="77777777" w:rsidR="00CF7C02" w:rsidRDefault="00CF7C02" w:rsidP="00232733">
                        <w:pPr>
                          <w:jc w:val="center"/>
                          <w:rPr>
                            <w:sz w:val="18"/>
                            <w:szCs w:val="18"/>
                          </w:rPr>
                        </w:pPr>
                        <w:r>
                          <w:rPr>
                            <w:sz w:val="18"/>
                            <w:szCs w:val="18"/>
                          </w:rPr>
                          <w:t xml:space="preserve">Unmodified opinion and include Material Uncertainty section </w:t>
                        </w:r>
                      </w:p>
                      <w:p w14:paraId="283D55EA" w14:textId="77777777" w:rsidR="00CF7C02" w:rsidRPr="00AB4B59" w:rsidRDefault="00CF7C02" w:rsidP="00232733">
                        <w:pPr>
                          <w:jc w:val="center"/>
                          <w:rPr>
                            <w:sz w:val="16"/>
                            <w:szCs w:val="16"/>
                          </w:rPr>
                        </w:pPr>
                        <w:r w:rsidRPr="00AB4B59">
                          <w:rPr>
                            <w:sz w:val="16"/>
                            <w:szCs w:val="16"/>
                          </w:rPr>
                          <w:t>(Ref: Para</w:t>
                        </w:r>
                        <w:r w:rsidRPr="00A41FD8">
                          <w:rPr>
                            <w:sz w:val="16"/>
                            <w:szCs w:val="16"/>
                          </w:rPr>
                          <w:t>. 22)</w:t>
                        </w:r>
                      </w:p>
                    </w:txbxContent>
                  </v:textbox>
                </v:shape>
                <v:shape id="Text Box 361" o:spid="_x0000_s1040" type="#_x0000_t202" alt="text box" style="position:absolute;left:10876;top:63070;width:8699;height:8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" fillcolor="#8eb4e3">
                  <v:textbox>
                    <w:txbxContent>
                      <w:p w14:paraId="5415A97E" w14:textId="77777777" w:rsidR="00CF7C02" w:rsidRPr="0091537A" w:rsidRDefault="00CF7C02" w:rsidP="00232733">
                        <w:pPr>
                          <w:jc w:val="center"/>
                          <w:rPr>
                            <w:sz w:val="16"/>
                            <w:szCs w:val="16"/>
                          </w:rPr>
                        </w:pPr>
                        <w:r w:rsidRPr="0091537A">
                          <w:rPr>
                            <w:sz w:val="16"/>
                            <w:szCs w:val="16"/>
                          </w:rPr>
                          <w:t>Qualified or Adverse opinion (inadequate disclosure)</w:t>
                        </w:r>
                      </w:p>
                      <w:p w14:paraId="5E1420CC" w14:textId="77777777" w:rsidR="00CF7C02" w:rsidRPr="00AB4B59" w:rsidRDefault="00CF7C02" w:rsidP="00232733">
                        <w:pPr>
                          <w:jc w:val="center"/>
                          <w:rPr>
                            <w:sz w:val="16"/>
                            <w:szCs w:val="16"/>
                          </w:rPr>
                        </w:pPr>
                        <w:r w:rsidRPr="00AB4B59">
                          <w:rPr>
                            <w:sz w:val="16"/>
                            <w:szCs w:val="16"/>
                          </w:rPr>
                          <w:t>(Ref: Para</w:t>
                        </w:r>
                        <w:r>
                          <w:rPr>
                            <w:sz w:val="16"/>
                            <w:szCs w:val="16"/>
                          </w:rPr>
                          <w:t>.</w:t>
                        </w:r>
                        <w:r w:rsidRPr="00AB4B59">
                          <w:rPr>
                            <w:sz w:val="16"/>
                            <w:szCs w:val="16"/>
                          </w:rPr>
                          <w:t xml:space="preserve"> </w:t>
                        </w:r>
                        <w:r w:rsidRPr="00A41FD8">
                          <w:rPr>
                            <w:sz w:val="16"/>
                            <w:szCs w:val="16"/>
                          </w:rPr>
                          <w:t>23</w:t>
                        </w:r>
                        <w:r w:rsidRPr="00AB4B59">
                          <w:rPr>
                            <w:sz w:val="16"/>
                            <w:szCs w:val="16"/>
                          </w:rPr>
                          <w:t>)</w:t>
                        </w:r>
                      </w:p>
                    </w:txbxContent>
                  </v:textbox>
                </v:shape>
                <v:shape id="Straight Arrow Connector 362" o:spid="_x0000_s1041" type="#_x0000_t32" alt="directional arrow" style="position:absolute;left:20307;top:16899;width:4551;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">
                  <v:stroke endarrow="block"/>
                </v:shape>
                <v:shape id="Straight Arrow Connector 363" o:spid="_x0000_s1042" type="#_x0000_t32" alt="directional arrow" style="position:absolute;left:9650;top:9209;width:1;height:24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">
                  <v:stroke endarrow="block"/>
                </v:shape>
                <v:shape id="Straight Arrow Connector 364" o:spid="_x0000_s1043" type="#_x0000_t32" alt="directional arrow" style="position:absolute;left:9652;top:22190;width:0;height:2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">
                  <v:stroke endarrow="block"/>
                </v:shape>
                <v:shape id="Text Box 365" o:spid="_x0000_s1044" type="#_x0000_t202" alt="Yes box" style="position:absolute;left:10301;top:9232;width:227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" fillcolor="#00b050" strokecolor="#00b050" strokeweight=".5pt">
                  <v:textbox>
                    <w:txbxContent>
                      <w:p w14:paraId="453B2859" w14:textId="77777777" w:rsidR="00CF7C02" w:rsidRPr="00D6088A" w:rsidRDefault="00CF7C02" w:rsidP="00232733">
                        <w:pPr>
                          <w:spacing w:line="240" w:lineRule="auto"/>
                          <w:jc w:val="center"/>
                          <w:rPr>
                            <w:color w:val="FFFFFF" w:themeColor="background1"/>
                          </w:rPr>
                        </w:pPr>
                        <w:r w:rsidRPr="00D6088A">
                          <w:rPr>
                            <w:color w:val="FFFFFF" w:themeColor="background1"/>
                          </w:rPr>
                          <w:t>Y</w:t>
                        </w:r>
                      </w:p>
                    </w:txbxContent>
                  </v:textbox>
                </v:shape>
                <v:shape id="Text Box 366" o:spid="_x0000_s1045" type="#_x0000_t202" alt="no box" style="position:absolute;left:31974;top:9282;width:2055;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" fillcolor="red" stroked="f" strokeweight=".5pt">
                  <v:textbox>
                    <w:txbxContent>
                      <w:p w14:paraId="0987A9F0" w14:textId="77777777" w:rsidR="00CF7C02" w:rsidRPr="00D6088A" w:rsidRDefault="00CF7C02" w:rsidP="00232733">
                        <w:pPr>
                          <w:ind w:hanging="120"/>
                          <w:rPr>
                            <w:color w:val="FFFFFF" w:themeColor="background1"/>
                          </w:rPr>
                        </w:pPr>
                        <w:r w:rsidRPr="00D6088A">
                          <w:rPr>
                            <w:color w:val="FFFFFF" w:themeColor="background1"/>
                          </w:rPr>
                          <w:t>N</w:t>
                        </w:r>
                      </w:p>
                    </w:txbxContent>
                  </v:textbox>
                </v:shape>
                <v:shape id="Straight Arrow Connector 367" o:spid="_x0000_s1046" type="#_x0000_t32" alt="directional arrow" style="position:absolute;left:38199;top:17541;width: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"/>
                <v:shape id="Straight Arrow Connector 368" o:spid="_x0000_s1047" type="#_x0000_t32" alt="directional arrow" style="position:absolute;left:38946;top:14189;width:36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">
                  <v:stroke endarrow="block"/>
                </v:shape>
                <v:shape id="Straight Arrow Connector 369" o:spid="_x0000_s1048" type="#_x0000_t32" alt="directional arrow" style="position:absolute;left:38878;top:19845;width:3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">
                  <v:stroke endarrow="block"/>
                </v:shape>
                <v:shape id="Text Box 370" o:spid="_x0000_s1049" type="#_x0000_t202" alt="table with text boxes" style="position:absolute;left:23850;top:32923;width:12891;height:8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">
                  <v:textbox>
                    <w:txbxContent>
                      <w:p w14:paraId="348F1A3B" w14:textId="77777777" w:rsidR="00CF7C02" w:rsidRPr="00FE4E4F" w:rsidRDefault="00CF7C02" w:rsidP="00232733">
                        <w:pPr>
                          <w:jc w:val="center"/>
                          <w:rPr>
                            <w:sz w:val="18"/>
                            <w:szCs w:val="18"/>
                          </w:rPr>
                        </w:pPr>
                        <w:r>
                          <w:rPr>
                            <w:sz w:val="18"/>
                            <w:szCs w:val="18"/>
                          </w:rPr>
                          <w:t xml:space="preserve">Has management </w:t>
                        </w:r>
                        <w:r w:rsidRPr="00FE4E4F">
                          <w:rPr>
                            <w:sz w:val="18"/>
                            <w:szCs w:val="18"/>
                          </w:rPr>
                          <w:t xml:space="preserve">prepared </w:t>
                        </w:r>
                        <w:r>
                          <w:rPr>
                            <w:sz w:val="18"/>
                            <w:szCs w:val="18"/>
                          </w:rPr>
                          <w:t>the financial report using the</w:t>
                        </w:r>
                        <w:r w:rsidRPr="00FE4E4F">
                          <w:rPr>
                            <w:sz w:val="18"/>
                            <w:szCs w:val="18"/>
                          </w:rPr>
                          <w:t xml:space="preserve"> GC basis</w:t>
                        </w:r>
                        <w:r>
                          <w:rPr>
                            <w:sz w:val="18"/>
                            <w:szCs w:val="18"/>
                          </w:rPr>
                          <w:t xml:space="preserve"> of accounting</w:t>
                        </w:r>
                        <w:r w:rsidRPr="00FE4E4F">
                          <w:rPr>
                            <w:sz w:val="18"/>
                            <w:szCs w:val="18"/>
                          </w:rPr>
                          <w:t>?</w:t>
                        </w:r>
                      </w:p>
                    </w:txbxContent>
                  </v:textbox>
                </v:shape>
                <v:shapetype id="_x0000_t33" coordsize="21600,21600" o:spt="33" o:oned="t" path="m,l21600,r,21600e" filled="f">
                  <v:stroke joinstyle="miter"/>
                  <v:path arrowok="t" fillok="f" o:connecttype="none"/>
                  <o:lock v:ext="edit" shapetype="t"/>
                </v:shapetype>
                <v:shape id="Elbow Connector 371" o:spid="_x0000_s1050" type="#_x0000_t33" alt="directional arrow" style="position:absolute;left:23643;top:5567;width:4332;height:1100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">
                  <v:stroke endarrow="block" joinstyle="round"/>
                </v:shape>
                <v:shape id="Text Box 372" o:spid="_x0000_s1051" type="#_x0000_t202" alt="text box" style="position:absolute;left:22347;top:47740;width:14563;height:8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">
                  <v:textbox>
                    <w:txbxContent>
                      <w:p w14:paraId="70EE0C31" w14:textId="77777777" w:rsidR="00CF7C02" w:rsidRPr="00FE4E4F" w:rsidRDefault="00CF7C02" w:rsidP="00232733">
                        <w:pPr>
                          <w:jc w:val="center"/>
                          <w:rPr>
                            <w:sz w:val="18"/>
                            <w:szCs w:val="18"/>
                          </w:rPr>
                        </w:pPr>
                        <w:r w:rsidRPr="00FE4E4F">
                          <w:rPr>
                            <w:sz w:val="18"/>
                            <w:szCs w:val="18"/>
                          </w:rPr>
                          <w:t>Is there adequate disclosure in the financial statements of the alternative basis</w:t>
                        </w:r>
                        <w:r>
                          <w:rPr>
                            <w:sz w:val="18"/>
                            <w:szCs w:val="18"/>
                          </w:rPr>
                          <w:t xml:space="preserve"> used</w:t>
                        </w:r>
                        <w:r w:rsidRPr="00FE4E4F">
                          <w:rPr>
                            <w:sz w:val="18"/>
                            <w:szCs w:val="18"/>
                          </w:rPr>
                          <w:t>?</w:t>
                        </w:r>
                      </w:p>
                    </w:txbxContent>
                  </v:textbox>
                </v:shape>
                <v:shape id="Text Box 373" o:spid="_x0000_s1052" type="#_x0000_t202" alt="text box" style="position:absolute;left:27440;top:61013;width:11106;height:8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" fillcolor="#8eb4e3">
                  <v:textbox>
                    <w:txbxContent>
                      <w:p w14:paraId="7756ADEE" w14:textId="77777777" w:rsidR="00CF7C02" w:rsidRPr="00FE4E4F" w:rsidRDefault="00CF7C02" w:rsidP="00232733">
                        <w:pPr>
                          <w:spacing w:before="40"/>
                          <w:jc w:val="center"/>
                          <w:rPr>
                            <w:sz w:val="18"/>
                            <w:szCs w:val="18"/>
                          </w:rPr>
                        </w:pPr>
                        <w:r>
                          <w:rPr>
                            <w:sz w:val="18"/>
                            <w:szCs w:val="18"/>
                          </w:rPr>
                          <w:t xml:space="preserve">Unmodified opinion </w:t>
                        </w:r>
                        <w:r w:rsidRPr="00FE4E4F">
                          <w:rPr>
                            <w:sz w:val="18"/>
                            <w:szCs w:val="18"/>
                          </w:rPr>
                          <w:t>Emphasis of Matter Paragraph</w:t>
                        </w:r>
                      </w:p>
                      <w:p w14:paraId="535B86A9" w14:textId="77777777" w:rsidR="00CF7C02" w:rsidRPr="00FE4E4F" w:rsidRDefault="00CF7C02" w:rsidP="00232733">
                        <w:pPr>
                          <w:jc w:val="center"/>
                          <w:rPr>
                            <w:sz w:val="16"/>
                            <w:szCs w:val="16"/>
                          </w:rPr>
                        </w:pPr>
                        <w:r>
                          <w:rPr>
                            <w:sz w:val="16"/>
                            <w:szCs w:val="16"/>
                          </w:rPr>
                          <w:t>(Ref: Para</w:t>
                        </w:r>
                        <w:r w:rsidRPr="00A41FD8">
                          <w:rPr>
                            <w:sz w:val="16"/>
                            <w:szCs w:val="16"/>
                          </w:rPr>
                          <w:t>. A27)</w:t>
                        </w:r>
                      </w:p>
                    </w:txbxContent>
                  </v:textbox>
                </v:shape>
                <v:shape id="Text Box 374" o:spid="_x0000_s1053" type="#_x0000_t202" alt="text box" style="position:absolute;left:48825;top:63804;width:7057;height:5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" fillcolor="#8eb4e3">
                  <v:textbox>
                    <w:txbxContent>
                      <w:p w14:paraId="7949DD54" w14:textId="77777777" w:rsidR="00CF7C02" w:rsidRPr="00FE4E4F" w:rsidRDefault="00CF7C02" w:rsidP="00232733">
                        <w:pPr>
                          <w:spacing w:before="40"/>
                          <w:jc w:val="center"/>
                          <w:rPr>
                            <w:sz w:val="18"/>
                            <w:szCs w:val="18"/>
                          </w:rPr>
                        </w:pPr>
                        <w:r>
                          <w:rPr>
                            <w:sz w:val="18"/>
                            <w:szCs w:val="18"/>
                          </w:rPr>
                          <w:t>Refer to ASA 705</w:t>
                        </w:r>
                      </w:p>
                    </w:txbxContent>
                  </v:textbox>
                </v:shape>
                <v:shape id="Text Box 375" o:spid="_x0000_s1054" type="#_x0000_t202" alt="text box" style="position:absolute;left:42515;top:24127;width:17308;height:10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" fillcolor="window" strokeweight=".5pt">
                  <v:textbox>
                    <w:txbxContent>
                      <w:p w14:paraId="21BCDADA" w14:textId="77777777" w:rsidR="00CF7C02" w:rsidRPr="00C94CC7" w:rsidRDefault="00CF7C02" w:rsidP="00232733">
                        <w:pPr>
                          <w:jc w:val="center"/>
                          <w:rPr>
                            <w:sz w:val="18"/>
                            <w:szCs w:val="18"/>
                          </w:rPr>
                        </w:pPr>
                        <w:r>
                          <w:rPr>
                            <w:sz w:val="18"/>
                            <w:szCs w:val="18"/>
                          </w:rPr>
                          <w:t>Does the applicable financial reporting framework require specific disclosure of the identified events or conditions that do not result in a material uncertainty? (</w:t>
                        </w:r>
                        <w:r>
                          <w:rPr>
                            <w:sz w:val="16"/>
                            <w:szCs w:val="16"/>
                          </w:rPr>
                          <w:t xml:space="preserve">Ref: </w:t>
                        </w:r>
                        <w:r w:rsidRPr="00766A6B">
                          <w:rPr>
                            <w:sz w:val="16"/>
                            <w:szCs w:val="16"/>
                          </w:rPr>
                          <w:t>Para</w:t>
                        </w:r>
                        <w:r w:rsidRPr="00A41FD8">
                          <w:rPr>
                            <w:sz w:val="16"/>
                            <w:szCs w:val="16"/>
                          </w:rPr>
                          <w:t>. 20)</w:t>
                        </w:r>
                      </w:p>
                    </w:txbxContent>
                  </v:textbox>
                </v:shape>
                <v:shape id="Text Box 376" o:spid="_x0000_s1055" type="#_x0000_t202" alt="text box" style="position:absolute;left:42623;top:36978;width:17734;height:8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" fillcolor="window" strokeweight=".5pt">
                  <v:textbox>
                    <w:txbxContent>
                      <w:p w14:paraId="65249012" w14:textId="77777777" w:rsidR="00CF7C02" w:rsidRPr="00DF4415" w:rsidRDefault="00CF7C02" w:rsidP="00232733">
                        <w:pPr>
                          <w:jc w:val="center"/>
                          <w:rPr>
                            <w:sz w:val="18"/>
                            <w:szCs w:val="18"/>
                          </w:rPr>
                        </w:pPr>
                        <w:r>
                          <w:rPr>
                            <w:sz w:val="18"/>
                            <w:szCs w:val="18"/>
                          </w:rPr>
                          <w:t>Does the auditor consider that a</w:t>
                        </w:r>
                        <w:r w:rsidRPr="00DF4415">
                          <w:rPr>
                            <w:sz w:val="18"/>
                            <w:szCs w:val="18"/>
                          </w:rPr>
                          <w:t xml:space="preserve">ppropriate disclosures </w:t>
                        </w:r>
                        <w:r>
                          <w:rPr>
                            <w:sz w:val="18"/>
                            <w:szCs w:val="18"/>
                          </w:rPr>
                          <w:t xml:space="preserve">have been </w:t>
                        </w:r>
                        <w:r w:rsidRPr="00DF4415">
                          <w:rPr>
                            <w:sz w:val="18"/>
                            <w:szCs w:val="18"/>
                          </w:rPr>
                          <w:t>ma</w:t>
                        </w:r>
                        <w:r>
                          <w:rPr>
                            <w:sz w:val="18"/>
                            <w:szCs w:val="18"/>
                          </w:rPr>
                          <w:t xml:space="preserve">de in the financial report in accordance with the applicable framework? </w:t>
                        </w:r>
                        <w:r w:rsidRPr="00F025C3">
                          <w:rPr>
                            <w:sz w:val="16"/>
                            <w:szCs w:val="16"/>
                          </w:rPr>
                          <w:t>(</w:t>
                        </w:r>
                        <w:r>
                          <w:rPr>
                            <w:sz w:val="16"/>
                            <w:szCs w:val="16"/>
                          </w:rPr>
                          <w:t xml:space="preserve">Ref: </w:t>
                        </w:r>
                        <w:r w:rsidRPr="00A41FD8">
                          <w:rPr>
                            <w:sz w:val="16"/>
                            <w:szCs w:val="16"/>
                          </w:rPr>
                          <w:t>Para. 20</w:t>
                        </w:r>
                        <w:r w:rsidRPr="00F025C3">
                          <w:rPr>
                            <w:sz w:val="16"/>
                            <w:szCs w:val="16"/>
                          </w:rPr>
                          <w:t>)</w:t>
                        </w:r>
                      </w:p>
                    </w:txbxContent>
                  </v:textbox>
                </v:shape>
                <v:shape id="Text Box 377" o:spid="_x0000_s1056" type="#_x0000_t202" alt="text box" style="position:absolute;left:46375;top:46589;width:13443;height:5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" fillcolor="window" strokeweight=".5pt">
                  <v:textbox>
                    <w:txbxContent>
                      <w:p w14:paraId="46B7E931" w14:textId="77777777" w:rsidR="00CF7C02" w:rsidRPr="00DF4415" w:rsidRDefault="00CF7C02" w:rsidP="00232733">
                        <w:pPr>
                          <w:jc w:val="center"/>
                          <w:rPr>
                            <w:sz w:val="18"/>
                            <w:szCs w:val="18"/>
                          </w:rPr>
                        </w:pPr>
                        <w:r>
                          <w:rPr>
                            <w:sz w:val="18"/>
                            <w:szCs w:val="18"/>
                          </w:rPr>
                          <w:t>Has m</w:t>
                        </w:r>
                        <w:r w:rsidRPr="00DF4415">
                          <w:rPr>
                            <w:sz w:val="18"/>
                            <w:szCs w:val="18"/>
                          </w:rPr>
                          <w:t>anagement amend</w:t>
                        </w:r>
                        <w:r>
                          <w:rPr>
                            <w:sz w:val="18"/>
                            <w:szCs w:val="18"/>
                          </w:rPr>
                          <w:t>ed</w:t>
                        </w:r>
                        <w:r w:rsidRPr="00DF4415">
                          <w:rPr>
                            <w:sz w:val="18"/>
                            <w:szCs w:val="18"/>
                          </w:rPr>
                          <w:t xml:space="preserve"> disclosures appropriately?</w:t>
                        </w:r>
                      </w:p>
                    </w:txbxContent>
                  </v:textbox>
                </v:shape>
                <v:shape id="Text Box 378" o:spid="_x0000_s1057" type="#_x0000_t202" alt="text box" style="position:absolute;left:20210;top:61041;width:6629;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" fillcolor="#8eb4e3" strokeweight=".5pt">
                  <v:textbox>
                    <w:txbxContent>
                      <w:p w14:paraId="1879D0CC" w14:textId="77777777" w:rsidR="00CF7C02" w:rsidRPr="00F025C3" w:rsidRDefault="00CF7C02" w:rsidP="00232733">
                        <w:pPr>
                          <w:spacing w:before="240"/>
                          <w:jc w:val="center"/>
                          <w:rPr>
                            <w:sz w:val="18"/>
                            <w:szCs w:val="18"/>
                          </w:rPr>
                        </w:pPr>
                        <w:r>
                          <w:rPr>
                            <w:sz w:val="18"/>
                            <w:szCs w:val="18"/>
                          </w:rPr>
                          <w:t>Refer to ASA 705</w:t>
                        </w:r>
                      </w:p>
                    </w:txbxContent>
                  </v:textbox>
                </v:shape>
                <v:shape id="Text Box 379" o:spid="_x0000_s1058" type="#_x0000_t202" alt="table with text boxes" style="position:absolute;left:6908;top:52969;width:13206;height: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" fillcolor="window" strokeweight=".5pt">
                  <v:textbox>
                    <w:txbxContent>
                      <w:p w14:paraId="144BED57" w14:textId="77777777" w:rsidR="00CF7C02" w:rsidRPr="009D1124" w:rsidRDefault="00CF7C02" w:rsidP="00232733">
                        <w:pPr>
                          <w:jc w:val="center"/>
                          <w:rPr>
                            <w:sz w:val="18"/>
                            <w:szCs w:val="18"/>
                          </w:rPr>
                        </w:pPr>
                        <w:r>
                          <w:rPr>
                            <w:sz w:val="18"/>
                            <w:szCs w:val="18"/>
                          </w:rPr>
                          <w:t>Has m</w:t>
                        </w:r>
                        <w:r w:rsidRPr="009D1124">
                          <w:rPr>
                            <w:sz w:val="18"/>
                            <w:szCs w:val="18"/>
                          </w:rPr>
                          <w:t>anagement amend</w:t>
                        </w:r>
                        <w:r>
                          <w:rPr>
                            <w:sz w:val="18"/>
                            <w:szCs w:val="18"/>
                          </w:rPr>
                          <w:t>ed</w:t>
                        </w:r>
                        <w:r w:rsidRPr="009D1124">
                          <w:rPr>
                            <w:sz w:val="18"/>
                            <w:szCs w:val="18"/>
                          </w:rPr>
                          <w:t xml:space="preserve"> disclosures appropriately?</w:t>
                        </w:r>
                      </w:p>
                    </w:txbxContent>
                  </v:textbox>
                </v:shape>
                <v:shape id="Text Box 380" o:spid="_x0000_s1059" type="#_x0000_t202" alt="yes box" style="position:absolute;left:38946;top:2438;width:219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" fillcolor="#00b050" strokecolor="#00b050" strokeweight=".5pt">
                  <v:textbox>
                    <w:txbxContent>
                      <w:p w14:paraId="3FDCE42B" w14:textId="77777777" w:rsidR="00CF7C02" w:rsidRPr="00D6088A" w:rsidRDefault="00CF7C02" w:rsidP="00232733">
                        <w:pPr>
                          <w:spacing w:line="240" w:lineRule="auto"/>
                          <w:ind w:hanging="120"/>
                          <w:jc w:val="center"/>
                          <w:rPr>
                            <w:color w:val="FFFFFF" w:themeColor="background1"/>
                          </w:rPr>
                        </w:pPr>
                        <w:r w:rsidRPr="00D6088A">
                          <w:rPr>
                            <w:color w:val="FFFFFF" w:themeColor="background1"/>
                          </w:rPr>
                          <w:t>Y</w:t>
                        </w:r>
                      </w:p>
                    </w:txbxContent>
                  </v:textbox>
                </v:shape>
                <v:shape id="Text Box 381" o:spid="_x0000_s1060" type="#_x0000_t202" alt="no box" style="position:absolute;left:21755;top:17881;width:1867;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" fillcolor="red" stroked="f" strokeweight=".5pt">
                  <v:textbox>
                    <w:txbxContent>
                      <w:p w14:paraId="182A1CFE" w14:textId="77777777" w:rsidR="00CF7C02" w:rsidRPr="00D6088A" w:rsidRDefault="00CF7C02" w:rsidP="00232733">
                        <w:pPr>
                          <w:ind w:hanging="120"/>
                          <w:rPr>
                            <w:color w:val="FFFFFF" w:themeColor="background1"/>
                          </w:rPr>
                        </w:pPr>
                        <w:r w:rsidRPr="00D6088A">
                          <w:rPr>
                            <w:color w:val="FFFFFF" w:themeColor="background1"/>
                          </w:rPr>
                          <w:t>N</w:t>
                        </w:r>
                      </w:p>
                    </w:txbxContent>
                  </v:textbox>
                </v:shape>
                <v:shape id="Text Box 382" o:spid="_x0000_s1061" type="#_x0000_t202" alt="no box" style="position:absolute;left:39420;top:18897;width:1719;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" fillcolor="red" stroked="f" strokeweight=".5pt">
                  <v:textbox>
                    <w:txbxContent>
                      <w:p w14:paraId="22A6E7CF" w14:textId="77777777" w:rsidR="00CF7C02" w:rsidRPr="00D6088A" w:rsidRDefault="00CF7C02" w:rsidP="00232733">
                        <w:pPr>
                          <w:ind w:hanging="120"/>
                          <w:rPr>
                            <w:color w:val="FFFFFF" w:themeColor="background1"/>
                          </w:rPr>
                        </w:pPr>
                        <w:r w:rsidRPr="00D6088A">
                          <w:rPr>
                            <w:color w:val="FFFFFF" w:themeColor="background1"/>
                          </w:rPr>
                          <w:t>N</w:t>
                        </w:r>
                      </w:p>
                    </w:txbxContent>
                  </v:textbox>
                </v:shape>
                <v:shape id="Text Box 383" o:spid="_x0000_s1062" type="#_x0000_t202" alt="yes box" style="position:absolute;left:39420;top:12598;width:168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" fillcolor="#00b050" strokecolor="#00b050" strokeweight=".5pt">
                  <v:textbox>
                    <w:txbxContent>
                      <w:p w14:paraId="7817B821" w14:textId="77777777" w:rsidR="00CF7C02" w:rsidRPr="00D6088A" w:rsidRDefault="00CF7C02" w:rsidP="00232733">
                        <w:pPr>
                          <w:spacing w:line="240" w:lineRule="auto"/>
                          <w:ind w:hanging="120"/>
                          <w:jc w:val="center"/>
                          <w:rPr>
                            <w:color w:val="FFFFFF" w:themeColor="background1"/>
                          </w:rPr>
                        </w:pPr>
                        <w:r w:rsidRPr="00D6088A">
                          <w:rPr>
                            <w:color w:val="FFFFFF" w:themeColor="background1"/>
                          </w:rPr>
                          <w:t>Y</w:t>
                        </w:r>
                      </w:p>
                    </w:txbxContent>
                  </v:textbox>
                </v:shape>
                <v:line id="Straight Connector 384" o:spid="_x0000_s1063" alt="directional arrow" style="position:absolute;visibility:visible;mso-wrap-style:square" from="38878,14189" to="38878,19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tmxwAAANwAAAAPAAAAZHJzL2Rvd25yZXYueG1sRI9Pa8JA&#10;FMTvBb/D8oTe6qa1BI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CnVa2bHAAAA3AAA&#10;AA8AAAAAAAAAAAAAAAAABwIAAGRycy9kb3ducmV2LnhtbFBLBQYAAAAAAwADALcAAAD7AgAAAAA=&#10;"/>
                <v:shape id="Text Box 385" o:spid="_x0000_s1064" type="#_x0000_t202" alt="yes box" style="position:absolute;left:10736;top:22189;width:168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" fillcolor="#00b050" strokecolor="#00b050" strokeweight=".5pt">
                  <v:textbox>
                    <w:txbxContent>
                      <w:p w14:paraId="40FFB237" w14:textId="77777777" w:rsidR="00CF7C02" w:rsidRPr="00D6088A" w:rsidRDefault="00CF7C02" w:rsidP="00232733">
                        <w:pPr>
                          <w:spacing w:line="240" w:lineRule="auto"/>
                          <w:ind w:hanging="120"/>
                          <w:jc w:val="center"/>
                          <w:rPr>
                            <w:color w:val="FFFFFF" w:themeColor="background1"/>
                          </w:rPr>
                        </w:pPr>
                        <w:r w:rsidRPr="00D6088A">
                          <w:rPr>
                            <w:color w:val="FFFFFF" w:themeColor="background1"/>
                          </w:rPr>
                          <w:t>Y</w:t>
                        </w:r>
                      </w:p>
                    </w:txbxContent>
                  </v:textbox>
                </v:shape>
                <v:shape id="Text Box 386" o:spid="_x0000_s1065" type="#_x0000_t202" alt="no box" style="position:absolute;left:22030;top:28638;width:2688;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" fillcolor="red" stroked="f" strokeweight=".5pt">
                  <v:textbox>
                    <w:txbxContent>
                      <w:p w14:paraId="2C64B4EF" w14:textId="77777777" w:rsidR="00CF7C02" w:rsidRPr="00D6088A" w:rsidRDefault="00CF7C02" w:rsidP="00232733">
                        <w:pPr>
                          <w:jc w:val="center"/>
                          <w:rPr>
                            <w:color w:val="FFFFFF" w:themeColor="background1"/>
                          </w:rPr>
                        </w:pPr>
                        <w:r w:rsidRPr="00D6088A">
                          <w:rPr>
                            <w:color w:val="FFFFFF" w:themeColor="background1"/>
                          </w:rPr>
                          <w:t>N</w:t>
                        </w:r>
                      </w:p>
                    </w:txbxContent>
                  </v:textbox>
                </v:shape>
                <v:shape id="Straight Arrow Connector 387" o:spid="_x0000_s1066" type="#_x0000_t32" alt="directional arrow" style="position:absolute;left:20116;top:27982;width:22285;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">
                  <v:stroke endarrow="block"/>
                </v:shape>
                <v:shape id="Text Box 388" o:spid="_x0000_s1067" type="#_x0000_t202" alt="no box" style="position:absolute;left:60758;top:42176;width:155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" fillcolor="#00b050" strokecolor="#00b050" strokeweight=".5pt">
                  <v:textbox>
                    <w:txbxContent>
                      <w:p w14:paraId="2E7DFD35"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v:textbox>
                </v:shape>
                <v:shape id="Text Box 389" o:spid="_x0000_s1068" type="#_x0000_t202" alt="no box" style="position:absolute;left:61171;top:30328;width:1956;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" fillcolor="red" stroked="f" strokeweight=".5pt">
                  <v:textbox>
                    <w:txbxContent>
                      <w:p w14:paraId="32679F90" w14:textId="77777777" w:rsidR="00CF7C02" w:rsidRPr="00D6088A" w:rsidRDefault="00CF7C02" w:rsidP="00232733">
                        <w:pPr>
                          <w:ind w:left="-120"/>
                          <w:rPr>
                            <w:color w:val="FFFFFF" w:themeColor="background1"/>
                          </w:rPr>
                        </w:pPr>
                        <w:r w:rsidRPr="00D6088A">
                          <w:rPr>
                            <w:color w:val="FFFFFF" w:themeColor="background1"/>
                          </w:rPr>
                          <w:t>N</w:t>
                        </w:r>
                      </w:p>
                    </w:txbxContent>
                  </v:textbox>
                </v:shape>
                <v:shape id="Text Box 390" o:spid="_x0000_s1069" type="#_x0000_t202" alt="no box" style="position:absolute;left:60359;top:48885;width:15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" fillcolor="#00b050" strokecolor="#00b050" strokeweight=".5pt">
                  <v:textbox>
                    <w:txbxContent>
                      <w:p w14:paraId="4C6131D3" w14:textId="77777777" w:rsidR="00CF7C02" w:rsidRPr="00D6088A" w:rsidRDefault="00CF7C02" w:rsidP="00232733">
                        <w:pPr>
                          <w:spacing w:line="240" w:lineRule="auto"/>
                          <w:ind w:left="-120"/>
                          <w:rPr>
                            <w:color w:val="FFFFFF" w:themeColor="background1"/>
                          </w:rPr>
                        </w:pPr>
                        <w:r w:rsidRPr="00D6088A">
                          <w:rPr>
                            <w:color w:val="FFFFFF" w:themeColor="background1"/>
                          </w:rPr>
                          <w:t>Y</w:t>
                        </w:r>
                      </w:p>
                    </w:txbxContent>
                  </v:textbox>
                </v:shape>
                <v:shape id="Straight Arrow Connector 391" o:spid="_x0000_s1070" type="#_x0000_t32" alt="directional arrow" style="position:absolute;left:59919;top:29735;width:4002;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">
                  <v:stroke endarrow="block"/>
                </v:shape>
                <v:shape id="Straight Arrow Connector 392" o:spid="_x0000_s1071" type="#_x0000_t32" alt="directional arrow" style="position:absolute;left:60359;top:41520;width:320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">
                  <v:stroke endarrow="block"/>
                </v:shape>
                <v:shape id="Straight Arrow Connector 393" o:spid="_x0000_s1072" type="#_x0000_t32" alt="directional arrow" style="position:absolute;left:59785;top:48071;width:392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">
                  <v:stroke endarrow="block"/>
                </v:shape>
                <v:shape id="Text Box 394" o:spid="_x0000_s1073" type="#_x0000_t202" alt="yes box" style="position:absolute;left:51409;top:34493;width:155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" fillcolor="#00b050" strokecolor="#00b050" strokeweight=".5pt">
                  <v:textbox>
                    <w:txbxContent>
                      <w:p w14:paraId="47C155AD"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v:textbox>
                </v:shape>
                <v:shape id="Straight Arrow Connector 395" o:spid="_x0000_s1074" type="#_x0000_t32" alt="directional arrow" style="position:absolute;left:50609;top:34492;width:0;height:2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">
                  <v:stroke endarrow="block"/>
                </v:shape>
                <v:shape id="Straight Arrow Connector 398" o:spid="_x0000_s1075" type="#_x0000_t32" alt="directional arrow" style="position:absolute;left:51013;top:52131;width:0;height:1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">
                  <v:stroke endarrow="block"/>
                </v:shape>
                <v:shape id="Text Box 399" o:spid="_x0000_s1076" type="#_x0000_t202" alt="no box" style="position:absolute;left:51409;top:53165;width:1956;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" fillcolor="red" stroked="f" strokeweight=".5pt">
                  <v:textbox>
                    <w:txbxContent>
                      <w:p w14:paraId="5F00A882" w14:textId="77777777" w:rsidR="00CF7C02" w:rsidRPr="00D6088A" w:rsidRDefault="00CF7C02" w:rsidP="00232733">
                        <w:pPr>
                          <w:ind w:left="-120"/>
                          <w:rPr>
                            <w:color w:val="FFFFFF" w:themeColor="background1"/>
                          </w:rPr>
                        </w:pPr>
                        <w:r w:rsidRPr="00D6088A">
                          <w:rPr>
                            <w:color w:val="FFFFFF" w:themeColor="background1"/>
                          </w:rPr>
                          <w:t>N</w:t>
                        </w:r>
                      </w:p>
                    </w:txbxContent>
                  </v:textbox>
                </v:shape>
                <v:shape id="Text Box 400" o:spid="_x0000_s1077" type="#_x0000_t202" alt="no box" style="position:absolute;left:20979;top:37700;width:1956;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" fillcolor="red" stroked="f" strokeweight=".5pt">
                  <v:textbox>
                    <w:txbxContent>
                      <w:p w14:paraId="374D7B30" w14:textId="77777777" w:rsidR="00CF7C02" w:rsidRPr="00D6088A" w:rsidRDefault="00CF7C02" w:rsidP="00232733">
                        <w:pPr>
                          <w:ind w:left="-120"/>
                          <w:rPr>
                            <w:color w:val="FFFFFF" w:themeColor="background1"/>
                          </w:rPr>
                        </w:pPr>
                        <w:r w:rsidRPr="00D6088A">
                          <w:rPr>
                            <w:color w:val="FFFFFF" w:themeColor="background1"/>
                          </w:rPr>
                          <w:t>N</w:t>
                        </w:r>
                      </w:p>
                    </w:txbxContent>
                  </v:textbox>
                </v:shape>
                <v:shape id="Text Box 401" o:spid="_x0000_s1078" type="#_x0000_t202" alt="yes box" style="position:absolute;left:10820;top:31537;width:195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" fillcolor="#00b050" strokecolor="#00b050" strokeweight=".5pt">
                  <v:textbox>
                    <w:txbxContent>
                      <w:p w14:paraId="327BB2DC"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v:textbox>
                </v:shape>
                <v:shape id="Straight Arrow Connector 403" o:spid="_x0000_s1079" type="#_x0000_t32" alt="directional arrow" style="position:absolute;left:18313;top:36978;width:55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">
                  <v:stroke endarrow="block"/>
                </v:shape>
                <v:shape id="Text Box 404" o:spid="_x0000_s1080" type="#_x0000_t202" alt="yes" style="position:absolute;left:10876;top:39950;width:15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" fillcolor="#00b050" strokecolor="#00b050" strokeweight=".5pt">
                  <v:textbox>
                    <w:txbxContent>
                      <w:p w14:paraId="4E897444"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v:textbox>
                </v:shape>
                <v:shape id="Straight Arrow Connector 405" o:spid="_x0000_s1081" type="#_x0000_t32" alt="directional arrow" style="position:absolute;left:9649;top:40405;width:0;height:2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">
                  <v:stroke endarrow="block"/>
                </v:shape>
                <v:shape id="Straight Arrow Connector 406" o:spid="_x0000_s1082" type="#_x0000_t32" alt="directional arrow" style="position:absolute;left:3132;top:50021;width:0;height:11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">
                  <v:stroke endarrow="block"/>
                </v:shape>
                <v:shape id="Text Box 407" o:spid="_x0000_s1083" type="#_x0000_t202" alt="yes box" style="position:absolute;left:3310;top:51266;width:154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" fillcolor="#00b050" strokecolor="#00b050" strokeweight=".5pt">
                  <v:textbox>
                    <w:txbxContent>
                      <w:p w14:paraId="0A3E4673"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v:textbox>
                </v:shape>
                <v:shape id="Text Box 408" o:spid="_x0000_s1084" type="#_x0000_t202" alt="yes box" style="position:absolute;left:37659;top:37700;width:1676;height:2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" fillcolor="#00b050" strokecolor="#00b050" strokeweight=".5pt">
                  <v:textbox>
                    <w:txbxContent>
                      <w:p w14:paraId="122152EB"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v:textbox>
                </v:shape>
                <v:shape id="Text Box 409" o:spid="_x0000_s1085" type="#_x0000_t202" alt="no box" style="position:absolute;left:30190;top:42838;width:1956;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" fillcolor="red" stroked="f" strokeweight=".5pt">
                  <v:textbox>
                    <w:txbxContent>
                      <w:p w14:paraId="2376AA22" w14:textId="77777777" w:rsidR="00CF7C02" w:rsidRPr="00D6088A" w:rsidRDefault="00CF7C02" w:rsidP="00232733">
                        <w:pPr>
                          <w:ind w:left="-120"/>
                          <w:rPr>
                            <w:color w:val="FFFFFF" w:themeColor="background1"/>
                          </w:rPr>
                        </w:pPr>
                        <w:r w:rsidRPr="00D6088A">
                          <w:rPr>
                            <w:color w:val="FFFFFF" w:themeColor="background1"/>
                          </w:rPr>
                          <w:t>N</w:t>
                        </w:r>
                      </w:p>
                    </w:txbxContent>
                  </v:textbox>
                </v:shape>
                <v:shape id="Text Box 410" o:spid="_x0000_s1086" type="#_x0000_t202" alt="no box" style="position:absolute;left:11518;top:49921;width:1956;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" fillcolor="red" stroked="f" strokeweight=".5pt">
                  <v:textbox>
                    <w:txbxContent>
                      <w:p w14:paraId="1A69AD00" w14:textId="77777777" w:rsidR="00CF7C02" w:rsidRPr="00D6088A" w:rsidRDefault="00CF7C02" w:rsidP="00232733">
                        <w:pPr>
                          <w:ind w:left="-120"/>
                          <w:rPr>
                            <w:color w:val="FFFFFF" w:themeColor="background1"/>
                          </w:rPr>
                        </w:pPr>
                        <w:r w:rsidRPr="00D6088A">
                          <w:rPr>
                            <w:color w:val="FFFFFF" w:themeColor="background1"/>
                          </w:rPr>
                          <w:t>N</w:t>
                        </w:r>
                      </w:p>
                    </w:txbxContent>
                  </v:textbox>
                </v:shape>
                <v:shape id="Straight Arrow Connector 411" o:spid="_x0000_s1087" type="#_x0000_t32" style="position:absolute;left:9652;top:49921;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">
                  <v:stroke endarrow="block"/>
                </v:shape>
                <v:shape id="Straight Arrow Connector 412" o:spid="_x0000_s1088" type="#_x0000_t32" alt="directional arrow" style="position:absolute;left:3132;top:56421;width:377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">
                  <v:stroke endarrow="block"/>
                </v:shape>
                <v:shape id="Text Box 413" o:spid="_x0000_s1089" type="#_x0000_t202" alt="yes box" style="position:absolute;left:4166;top:56884;width:198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" fillcolor="#00b050" strokecolor="#00b050" strokeweight=".5pt">
                  <v:textbox>
                    <w:txbxContent>
                      <w:p w14:paraId="631E99E3"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v:textbox>
                </v:shape>
                <v:shape id="Straight Arrow Connector 414" o:spid="_x0000_s1090" type="#_x0000_t32" alt="directional arrow" style="position:absolute;left:14562;top:59939;width:0;height:29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">
                  <v:stroke endarrow="block"/>
                </v:shape>
                <v:shape id="Text Box 415" o:spid="_x0000_s1091" type="#_x0000_t202" alt="no box" style="position:absolute;left:15502;top:60209;width:1956;height: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" fillcolor="red" stroked="f" strokeweight=".5pt">
                  <v:textbox>
                    <w:txbxContent>
                      <w:p w14:paraId="28027ED8" w14:textId="77777777" w:rsidR="00CF7C02" w:rsidRPr="00D6088A" w:rsidRDefault="00CF7C02" w:rsidP="00232733">
                        <w:pPr>
                          <w:ind w:left="-120"/>
                          <w:rPr>
                            <w:color w:val="FFFFFF" w:themeColor="background1"/>
                          </w:rPr>
                        </w:pPr>
                        <w:r w:rsidRPr="00D6088A">
                          <w:rPr>
                            <w:color w:val="FFFFFF" w:themeColor="background1"/>
                          </w:rPr>
                          <w:t>N</w:t>
                        </w:r>
                      </w:p>
                    </w:txbxContent>
                  </v:textbox>
                </v:shape>
                <v:shape id="Straight Arrow Connector 416" o:spid="_x0000_s1092" type="#_x0000_t32" alt="directional arrow" style="position:absolute;left:33460;top:55873;width:0;height:5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">
                  <v:stroke endarrow="block"/>
                </v:shape>
                <v:shape id="Text Box 417" o:spid="_x0000_s1093" type="#_x0000_t202" alt="yes box" style="position:absolute;left:34048;top:57355;width:189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" fillcolor="#00b050" strokecolor="#00b050" strokeweight=".5pt">
                  <v:textbox>
                    <w:txbxContent>
                      <w:p w14:paraId="02C8F518" w14:textId="77777777" w:rsidR="00CF7C02" w:rsidRPr="00D6088A" w:rsidRDefault="00CF7C02" w:rsidP="00232733">
                        <w:pPr>
                          <w:spacing w:line="240" w:lineRule="auto"/>
                          <w:ind w:left="-120" w:right="-24"/>
                          <w:jc w:val="center"/>
                          <w:rPr>
                            <w:color w:val="FFFFFF" w:themeColor="background1"/>
                          </w:rPr>
                        </w:pPr>
                        <w:r w:rsidRPr="00D6088A">
                          <w:rPr>
                            <w:color w:val="FFFFFF" w:themeColor="background1"/>
                          </w:rPr>
                          <w:t>Y</w:t>
                        </w:r>
                      </w:p>
                    </w:txbxContent>
                  </v:textbox>
                </v:shape>
                <v:shape id="Straight Arrow Connector 418" o:spid="_x0000_s1094" type="#_x0000_t32" alt="directional arrow" style="position:absolute;left:24720;top:55870;width:0;height:5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">
                  <v:stroke endarrow="block"/>
                </v:shape>
                <v:shape id="Text Box 419" o:spid="_x0000_s1095" type="#_x0000_t202" alt="no box" style="position:absolute;left:25222;top:57031;width:1956;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" fillcolor="red" stroked="f" strokeweight=".5pt">
                  <v:textbox>
                    <w:txbxContent>
                      <w:p w14:paraId="726F5E46" w14:textId="77777777" w:rsidR="00CF7C02" w:rsidRPr="00D6088A" w:rsidRDefault="00CF7C02" w:rsidP="00232733">
                        <w:pPr>
                          <w:ind w:left="-120"/>
                          <w:rPr>
                            <w:color w:val="FFFFFF" w:themeColor="background1"/>
                          </w:rPr>
                        </w:pPr>
                        <w:r w:rsidRPr="00D6088A">
                          <w:rPr>
                            <w:color w:val="FFFFFF" w:themeColor="background1"/>
                          </w:rPr>
                          <w:t>N</w:t>
                        </w:r>
                      </w:p>
                    </w:txbxContent>
                  </v:textbox>
                </v:shape>
              </v:group>
            </w:pict>
          </mc:Fallback>
        </mc:AlternateContent>
      </w:r>
    </w:p>
    <w:p w14:paraId="3D04DFC0" w14:textId="77777777" w:rsidR="00232733" w:rsidRDefault="00232733" w:rsidP="00232733">
      <w:pPr>
        <w:spacing w:line="240" w:lineRule="auto"/>
      </w:pPr>
      <w:r>
        <w:rPr>
          <w:noProof/>
          <w:lang w:eastAsia="en-AU"/>
        </w:rPr>
        <mc:AlternateContent>
          <mc:Choice Requires="wps">
            <w:drawing>
              <wp:anchor distT="0" distB="0" distL="114300" distR="114300" simplePos="0" relativeHeight="251658250" behindDoc="0" locked="0" layoutInCell="1" allowOverlap="1" wp14:anchorId="47B52384" wp14:editId="0B206D1A">
                <wp:simplePos x="0" y="0"/>
                <wp:positionH relativeFrom="column">
                  <wp:posOffset>1638974</wp:posOffset>
                </wp:positionH>
                <wp:positionV relativeFrom="paragraph">
                  <wp:posOffset>28575</wp:posOffset>
                </wp:positionV>
                <wp:extent cx="208900" cy="250186"/>
                <wp:effectExtent l="0" t="0" r="1270" b="0"/>
                <wp:wrapNone/>
                <wp:docPr id="4" name="Text Box 4" descr="no box" title="Aus Appendi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00" cy="250186"/>
                        </a:xfrm>
                        <a:prstGeom prst="rect">
                          <a:avLst/>
                        </a:prstGeom>
                        <a:solidFill>
                          <a:srgbClr val="FF0000"/>
                        </a:solidFill>
                        <a:ln w="6350">
                          <a:noFill/>
                        </a:ln>
                        <a:effectLst/>
                      </wps:spPr>
                      <wps:txbx>
                        <w:txbxContent>
                          <w:p w14:paraId="3580AB5A" w14:textId="77777777" w:rsidR="00CF7C02" w:rsidRPr="00D6088A" w:rsidRDefault="00CF7C02" w:rsidP="00232733">
                            <w:pPr>
                              <w:ind w:hanging="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B52384" id="Text Box 4" o:spid="_x0000_s1096" type="#_x0000_t202" alt="Title: Aus Appendix 1 - Description: no box" style="position:absolute;margin-left:129.05pt;margin-top:2.25pt;width:16.45pt;height:19.7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" fillcolor="red" stroked="f" strokeweight=".5pt">
                <v:textbox>
                  <w:txbxContent>
                    <w:p w14:paraId="3580AB5A" w14:textId="77777777" w:rsidR="00CF7C02" w:rsidRPr="00D6088A" w:rsidRDefault="00CF7C02" w:rsidP="00232733">
                      <w:pPr>
                        <w:ind w:hanging="120"/>
                        <w:rPr>
                          <w:color w:val="FFFFFF" w:themeColor="background1"/>
                        </w:rPr>
                      </w:pPr>
                      <w:r w:rsidRPr="00D6088A">
                        <w:rPr>
                          <w:color w:val="FFFFFF" w:themeColor="background1"/>
                        </w:rPr>
                        <w:t>N</w:t>
                      </w:r>
                    </w:p>
                  </w:txbxContent>
                </v:textbox>
              </v:shape>
            </w:pict>
          </mc:Fallback>
        </mc:AlternateContent>
      </w:r>
    </w:p>
    <w:p w14:paraId="7F08ADAD" w14:textId="77777777" w:rsidR="00232733" w:rsidRDefault="00232733" w:rsidP="00232733">
      <w:pPr>
        <w:spacing w:line="240" w:lineRule="auto"/>
        <w:rPr>
          <w:b/>
          <w:sz w:val="26"/>
        </w:rPr>
      </w:pPr>
      <w:r w:rsidRPr="00A56069">
        <w:rPr>
          <w:noProof/>
          <w:kern w:val="8"/>
          <w:sz w:val="24"/>
          <w:szCs w:val="24"/>
          <w:lang w:eastAsia="en-AU"/>
        </w:rPr>
        <mc:AlternateContent>
          <mc:Choice Requires="wps">
            <w:drawing>
              <wp:anchor distT="0" distB="0" distL="114300" distR="114300" simplePos="0" relativeHeight="251658244" behindDoc="0" locked="0" layoutInCell="1" allowOverlap="1" wp14:anchorId="7606325E" wp14:editId="66C73BA1">
                <wp:simplePos x="0" y="0"/>
                <wp:positionH relativeFrom="column">
                  <wp:posOffset>-344805</wp:posOffset>
                </wp:positionH>
                <wp:positionV relativeFrom="paragraph">
                  <wp:posOffset>2801620</wp:posOffset>
                </wp:positionV>
                <wp:extent cx="1917065" cy="560705"/>
                <wp:effectExtent l="0" t="0" r="26035" b="10795"/>
                <wp:wrapNone/>
                <wp:docPr id="3" name="Text Box 3" descr="text box" title="Aus Appendi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560705"/>
                        </a:xfrm>
                        <a:prstGeom prst="rect">
                          <a:avLst/>
                        </a:prstGeom>
                        <a:solidFill>
                          <a:srgbClr val="FFFFFF"/>
                        </a:solidFill>
                        <a:ln w="9525">
                          <a:solidFill>
                            <a:srgbClr val="000000"/>
                          </a:solidFill>
                          <a:miter lim="800000"/>
                          <a:headEnd/>
                          <a:tailEnd/>
                        </a:ln>
                      </wps:spPr>
                      <wps:txbx>
                        <w:txbxContent>
                          <w:p w14:paraId="724B93F9" w14:textId="77777777" w:rsidR="00CF7C02" w:rsidRDefault="00CF7C02" w:rsidP="00232733">
                            <w:pPr>
                              <w:jc w:val="center"/>
                              <w:rPr>
                                <w:sz w:val="18"/>
                                <w:szCs w:val="18"/>
                              </w:rPr>
                            </w:pPr>
                            <w:r>
                              <w:rPr>
                                <w:sz w:val="18"/>
                                <w:szCs w:val="18"/>
                              </w:rPr>
                              <w:t xml:space="preserve">Is the use of the GC basis of accounting appropriate? </w:t>
                            </w:r>
                          </w:p>
                          <w:p w14:paraId="5878A8F9" w14:textId="77777777" w:rsidR="00CF7C02" w:rsidRPr="003E30B4" w:rsidRDefault="00CF7C02" w:rsidP="00232733">
                            <w:pPr>
                              <w:jc w:val="center"/>
                              <w:rPr>
                                <w:sz w:val="16"/>
                                <w:szCs w:val="16"/>
                              </w:rPr>
                            </w:pPr>
                            <w:r w:rsidRPr="003E30B4">
                              <w:rPr>
                                <w:sz w:val="16"/>
                                <w:szCs w:val="16"/>
                              </w:rPr>
                              <w:t>(</w:t>
                            </w:r>
                            <w:r>
                              <w:rPr>
                                <w:sz w:val="16"/>
                                <w:szCs w:val="16"/>
                              </w:rPr>
                              <w:t xml:space="preserve">Ref: </w:t>
                            </w:r>
                            <w:r w:rsidRPr="003E30B4">
                              <w:rPr>
                                <w:sz w:val="16"/>
                                <w:szCs w:val="16"/>
                              </w:rPr>
                              <w:t>Para</w:t>
                            </w:r>
                            <w:r w:rsidRPr="00A41FD8">
                              <w:rPr>
                                <w:sz w:val="16"/>
                                <w:szCs w:val="16"/>
                              </w:rPr>
                              <w:t>. 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06325E" id="Text Box 3" o:spid="_x0000_s1097" type="#_x0000_t202" alt="Title: Aus Appendix 1 - Description: text box" style="position:absolute;margin-left:-27.15pt;margin-top:220.6pt;width:150.95pt;height:4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">
                <v:textbox>
                  <w:txbxContent>
                    <w:p w14:paraId="724B93F9" w14:textId="77777777" w:rsidR="00CF7C02" w:rsidRDefault="00CF7C02" w:rsidP="00232733">
                      <w:pPr>
                        <w:jc w:val="center"/>
                        <w:rPr>
                          <w:sz w:val="18"/>
                          <w:szCs w:val="18"/>
                        </w:rPr>
                      </w:pPr>
                      <w:r>
                        <w:rPr>
                          <w:sz w:val="18"/>
                          <w:szCs w:val="18"/>
                        </w:rPr>
                        <w:t xml:space="preserve">Is the use of the GC basis of accounting appropriate? </w:t>
                      </w:r>
                    </w:p>
                    <w:p w14:paraId="5878A8F9" w14:textId="77777777" w:rsidR="00CF7C02" w:rsidRPr="003E30B4" w:rsidRDefault="00CF7C02" w:rsidP="00232733">
                      <w:pPr>
                        <w:jc w:val="center"/>
                        <w:rPr>
                          <w:sz w:val="16"/>
                          <w:szCs w:val="16"/>
                        </w:rPr>
                      </w:pPr>
                      <w:r w:rsidRPr="003E30B4">
                        <w:rPr>
                          <w:sz w:val="16"/>
                          <w:szCs w:val="16"/>
                        </w:rPr>
                        <w:t>(</w:t>
                      </w:r>
                      <w:r>
                        <w:rPr>
                          <w:sz w:val="16"/>
                          <w:szCs w:val="16"/>
                        </w:rPr>
                        <w:t xml:space="preserve">Ref: </w:t>
                      </w:r>
                      <w:r w:rsidRPr="003E30B4">
                        <w:rPr>
                          <w:sz w:val="16"/>
                          <w:szCs w:val="16"/>
                        </w:rPr>
                        <w:t>Para</w:t>
                      </w:r>
                      <w:r w:rsidRPr="00A41FD8">
                        <w:rPr>
                          <w:sz w:val="16"/>
                          <w:szCs w:val="16"/>
                        </w:rPr>
                        <w:t>. 18)</w:t>
                      </w:r>
                    </w:p>
                  </w:txbxContent>
                </v:textbox>
              </v:shape>
            </w:pict>
          </mc:Fallback>
        </mc:AlternateContent>
      </w:r>
    </w:p>
    <w:p w14:paraId="0AFBB964" w14:textId="77777777" w:rsidR="00232733" w:rsidRDefault="00232733" w:rsidP="00232733">
      <w:pPr>
        <w:spacing w:line="240" w:lineRule="auto"/>
        <w:rPr>
          <w:b/>
          <w:sz w:val="26"/>
        </w:rPr>
      </w:pPr>
      <w:r>
        <w:rPr>
          <w:noProof/>
          <w:lang w:eastAsia="en-AU"/>
        </w:rPr>
        <mc:AlternateContent>
          <mc:Choice Requires="wps">
            <w:drawing>
              <wp:anchor distT="0" distB="0" distL="114300" distR="114300" simplePos="0" relativeHeight="251658241" behindDoc="0" locked="0" layoutInCell="1" allowOverlap="1" wp14:anchorId="04477685" wp14:editId="449A766D">
                <wp:simplePos x="0" y="0"/>
                <wp:positionH relativeFrom="column">
                  <wp:posOffset>5963285</wp:posOffset>
                </wp:positionH>
                <wp:positionV relativeFrom="paragraph">
                  <wp:posOffset>2176780</wp:posOffset>
                </wp:positionV>
                <wp:extent cx="3810" cy="2267585"/>
                <wp:effectExtent l="76200" t="0" r="72390" b="56515"/>
                <wp:wrapNone/>
                <wp:docPr id="28" name="Straight Arrow Connector 28" descr="directional arrow" title="Aus Appendix 1"/>
                <wp:cNvGraphicFramePr/>
                <a:graphic xmlns:a="http://schemas.openxmlformats.org/drawingml/2006/main">
                  <a:graphicData uri="http://schemas.microsoft.com/office/word/2010/wordprocessingShape">
                    <wps:wsp>
                      <wps:cNvCnPr/>
                      <wps:spPr>
                        <a:xfrm flipH="1">
                          <a:off x="0" y="0"/>
                          <a:ext cx="3810" cy="226758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61F770" id="Straight Arrow Connector 28" o:spid="_x0000_s1026" type="#_x0000_t32" alt="Title: Aus Appendix 1 - Description: directional arrow" style="position:absolute;margin-left:469.55pt;margin-top:171.4pt;width:.3pt;height:178.55p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">
                <v:stroke endarrow="block"/>
              </v:shape>
            </w:pict>
          </mc:Fallback>
        </mc:AlternateContent>
      </w:r>
      <w:r>
        <w:rPr>
          <w:noProof/>
          <w:lang w:eastAsia="en-AU"/>
        </w:rPr>
        <mc:AlternateContent>
          <mc:Choice Requires="wps">
            <w:drawing>
              <wp:anchor distT="0" distB="0" distL="114300" distR="114300" simplePos="0" relativeHeight="251658251" behindDoc="0" locked="0" layoutInCell="1" allowOverlap="1" wp14:anchorId="74BE1095" wp14:editId="3A8F0DEE">
                <wp:simplePos x="0" y="0"/>
                <wp:positionH relativeFrom="column">
                  <wp:posOffset>4982845</wp:posOffset>
                </wp:positionH>
                <wp:positionV relativeFrom="paragraph">
                  <wp:posOffset>4445000</wp:posOffset>
                </wp:positionV>
                <wp:extent cx="1016000" cy="662940"/>
                <wp:effectExtent l="0" t="0" r="12700" b="22860"/>
                <wp:wrapNone/>
                <wp:docPr id="6" name="Text Box 6" descr="text box" title="Aus Appendix 1"/>
                <wp:cNvGraphicFramePr/>
                <a:graphic xmlns:a="http://schemas.openxmlformats.org/drawingml/2006/main">
                  <a:graphicData uri="http://schemas.microsoft.com/office/word/2010/wordprocessingShape">
                    <wps:wsp>
                      <wps:cNvSpPr txBox="1"/>
                      <wps:spPr>
                        <a:xfrm>
                          <a:off x="0" y="0"/>
                          <a:ext cx="1016000" cy="662940"/>
                        </a:xfrm>
                        <a:prstGeom prst="rect">
                          <a:avLst/>
                        </a:prstGeom>
                        <a:solidFill>
                          <a:sysClr val="window" lastClr="FFFFFF"/>
                        </a:solidFill>
                        <a:ln w="6350">
                          <a:solidFill>
                            <a:prstClr val="black"/>
                          </a:solidFill>
                        </a:ln>
                        <a:effectLst/>
                      </wps:spPr>
                      <wps:txbx>
                        <w:txbxContent>
                          <w:p w14:paraId="526552DD" w14:textId="77777777" w:rsidR="00CF7C02" w:rsidRPr="00C94C79" w:rsidRDefault="00CF7C02" w:rsidP="00232733">
                            <w:pPr>
                              <w:jc w:val="center"/>
                              <w:rPr>
                                <w:sz w:val="16"/>
                                <w:szCs w:val="16"/>
                              </w:rPr>
                            </w:pPr>
                            <w:r>
                              <w:rPr>
                                <w:sz w:val="18"/>
                                <w:szCs w:val="18"/>
                              </w:rPr>
                              <w:t xml:space="preserve">Consider inclusion as a key audit matter </w:t>
                            </w:r>
                            <w:r>
                              <w:rPr>
                                <w:sz w:val="18"/>
                                <w:szCs w:val="18"/>
                              </w:rPr>
                              <w:br/>
                            </w:r>
                            <w:r w:rsidRPr="00C94C79">
                              <w:rPr>
                                <w:sz w:val="16"/>
                                <w:szCs w:val="16"/>
                              </w:rPr>
                              <w:t>(Ref:</w:t>
                            </w:r>
                            <w:r>
                              <w:rPr>
                                <w:sz w:val="16"/>
                                <w:szCs w:val="16"/>
                              </w:rPr>
                              <w:t xml:space="preserve"> </w:t>
                            </w:r>
                            <w:r w:rsidRPr="00C94C79">
                              <w:rPr>
                                <w:sz w:val="16"/>
                                <w:szCs w:val="16"/>
                              </w:rPr>
                              <w:t xml:space="preserve">Para. </w:t>
                            </w:r>
                            <w:r w:rsidRPr="00A41FD8">
                              <w:rPr>
                                <w:sz w:val="16"/>
                                <w:szCs w:val="16"/>
                              </w:rP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E1095" id="Text Box 6" o:spid="_x0000_s1098" type="#_x0000_t202" alt="Title: Aus Appendix 1 - Description: text box" style="position:absolute;margin-left:392.35pt;margin-top:350pt;width:80pt;height:52.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" fillcolor="window" strokeweight=".5pt">
                <v:textbox>
                  <w:txbxContent>
                    <w:p w14:paraId="526552DD" w14:textId="77777777" w:rsidR="00CF7C02" w:rsidRPr="00C94C79" w:rsidRDefault="00CF7C02" w:rsidP="00232733">
                      <w:pPr>
                        <w:jc w:val="center"/>
                        <w:rPr>
                          <w:sz w:val="16"/>
                          <w:szCs w:val="16"/>
                        </w:rPr>
                      </w:pPr>
                      <w:r>
                        <w:rPr>
                          <w:sz w:val="18"/>
                          <w:szCs w:val="18"/>
                        </w:rPr>
                        <w:t xml:space="preserve">Consider inclusion as a key audit matter </w:t>
                      </w:r>
                      <w:r>
                        <w:rPr>
                          <w:sz w:val="18"/>
                          <w:szCs w:val="18"/>
                        </w:rPr>
                        <w:br/>
                      </w:r>
                      <w:r w:rsidRPr="00C94C79">
                        <w:rPr>
                          <w:sz w:val="16"/>
                          <w:szCs w:val="16"/>
                        </w:rPr>
                        <w:t>(Ref:</w:t>
                      </w:r>
                      <w:r>
                        <w:rPr>
                          <w:sz w:val="16"/>
                          <w:szCs w:val="16"/>
                        </w:rPr>
                        <w:t xml:space="preserve"> </w:t>
                      </w:r>
                      <w:r w:rsidRPr="00C94C79">
                        <w:rPr>
                          <w:sz w:val="16"/>
                          <w:szCs w:val="16"/>
                        </w:rPr>
                        <w:t xml:space="preserve">Para. </w:t>
                      </w:r>
                      <w:r w:rsidRPr="00A41FD8">
                        <w:rPr>
                          <w:sz w:val="16"/>
                          <w:szCs w:val="16"/>
                        </w:rPr>
                        <w:t>A1)</w:t>
                      </w:r>
                    </w:p>
                  </w:txbxContent>
                </v:textbox>
              </v:shape>
            </w:pict>
          </mc:Fallback>
        </mc:AlternateContent>
      </w:r>
      <w:r w:rsidRPr="00A56069">
        <w:rPr>
          <w:b/>
          <w:noProof/>
          <w:kern w:val="8"/>
          <w:sz w:val="24"/>
          <w:szCs w:val="24"/>
          <w:lang w:eastAsia="en-AU"/>
        </w:rPr>
        <mc:AlternateContent>
          <mc:Choice Requires="wps">
            <w:drawing>
              <wp:anchor distT="0" distB="0" distL="114300" distR="114300" simplePos="0" relativeHeight="251658243" behindDoc="0" locked="0" layoutInCell="1" allowOverlap="1" wp14:anchorId="1D162939" wp14:editId="7638274D">
                <wp:simplePos x="0" y="0"/>
                <wp:positionH relativeFrom="column">
                  <wp:posOffset>5278120</wp:posOffset>
                </wp:positionH>
                <wp:positionV relativeFrom="paragraph">
                  <wp:posOffset>5357495</wp:posOffset>
                </wp:positionV>
                <wp:extent cx="752475" cy="509270"/>
                <wp:effectExtent l="0" t="0" r="28575" b="24130"/>
                <wp:wrapNone/>
                <wp:docPr id="477" name="Text Box 477" descr="text box" title="Aus Appendi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09270"/>
                        </a:xfrm>
                        <a:prstGeom prst="rect">
                          <a:avLst/>
                        </a:prstGeom>
                        <a:solidFill>
                          <a:srgbClr val="1F497D">
                            <a:lumMod val="40000"/>
                            <a:lumOff val="60000"/>
                          </a:srgbClr>
                        </a:solidFill>
                        <a:ln w="9525">
                          <a:solidFill>
                            <a:srgbClr val="000000"/>
                          </a:solidFill>
                          <a:miter lim="800000"/>
                          <a:headEnd/>
                          <a:tailEnd/>
                        </a:ln>
                      </wps:spPr>
                      <wps:txbx>
                        <w:txbxContent>
                          <w:p w14:paraId="7E8EAA8C" w14:textId="77777777" w:rsidR="00CF7C02" w:rsidRPr="00FE4E4F" w:rsidRDefault="00CF7C02" w:rsidP="00232733">
                            <w:pPr>
                              <w:spacing w:before="120"/>
                              <w:jc w:val="center"/>
                              <w:rPr>
                                <w:sz w:val="18"/>
                                <w:szCs w:val="18"/>
                              </w:rPr>
                            </w:pPr>
                            <w:r w:rsidRPr="00FE4E4F">
                              <w:rPr>
                                <w:sz w:val="18"/>
                                <w:szCs w:val="18"/>
                              </w:rPr>
                              <w:t>Un</w:t>
                            </w:r>
                            <w:r>
                              <w:rPr>
                                <w:sz w:val="18"/>
                                <w:szCs w:val="18"/>
                              </w:rPr>
                              <w:t xml:space="preserve">modified </w:t>
                            </w:r>
                            <w:r w:rsidRPr="00FE4E4F">
                              <w:rPr>
                                <w:sz w:val="18"/>
                                <w:szCs w:val="18"/>
                              </w:rPr>
                              <w:t>opinion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62939" id="Text Box 477" o:spid="_x0000_s1099" type="#_x0000_t202" alt="Title: Aus Appendix 1 - Description: text box" style="position:absolute;margin-left:415.6pt;margin-top:421.85pt;width:59.25pt;height:40.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" fillcolor="#8eb4e3">
                <v:textbox>
                  <w:txbxContent>
                    <w:p w14:paraId="7E8EAA8C" w14:textId="77777777" w:rsidR="00CF7C02" w:rsidRPr="00FE4E4F" w:rsidRDefault="00CF7C02" w:rsidP="00232733">
                      <w:pPr>
                        <w:spacing w:before="120"/>
                        <w:jc w:val="center"/>
                        <w:rPr>
                          <w:sz w:val="18"/>
                          <w:szCs w:val="18"/>
                        </w:rPr>
                      </w:pPr>
                      <w:r w:rsidRPr="00FE4E4F">
                        <w:rPr>
                          <w:sz w:val="18"/>
                          <w:szCs w:val="18"/>
                        </w:rPr>
                        <w:t>Un</w:t>
                      </w:r>
                      <w:r>
                        <w:rPr>
                          <w:sz w:val="18"/>
                          <w:szCs w:val="18"/>
                        </w:rPr>
                        <w:t xml:space="preserve">modified </w:t>
                      </w:r>
                      <w:r w:rsidRPr="00FE4E4F">
                        <w:rPr>
                          <w:sz w:val="18"/>
                          <w:szCs w:val="18"/>
                        </w:rPr>
                        <w:t>opinion</w:t>
                      </w:r>
                    </w:p>
                  </w:txbxContent>
                </v:textbox>
              </v:shape>
            </w:pict>
          </mc:Fallback>
        </mc:AlternateContent>
      </w:r>
      <w:r w:rsidRPr="003B1216">
        <w:rPr>
          <w:b/>
          <w:noProof/>
          <w:kern w:val="8"/>
          <w:sz w:val="24"/>
          <w:szCs w:val="24"/>
          <w:lang w:eastAsia="en-AU"/>
        </w:rPr>
        <mc:AlternateContent>
          <mc:Choice Requires="wps">
            <w:drawing>
              <wp:anchor distT="0" distB="0" distL="114300" distR="114300" simplePos="0" relativeHeight="251658245" behindDoc="0" locked="0" layoutInCell="1" allowOverlap="1" wp14:anchorId="6348ACA2" wp14:editId="76139FD6">
                <wp:simplePos x="0" y="0"/>
                <wp:positionH relativeFrom="column">
                  <wp:posOffset>-285750</wp:posOffset>
                </wp:positionH>
                <wp:positionV relativeFrom="paragraph">
                  <wp:posOffset>6156960</wp:posOffset>
                </wp:positionV>
                <wp:extent cx="6315075" cy="523240"/>
                <wp:effectExtent l="0" t="0" r="28575" b="10160"/>
                <wp:wrapNone/>
                <wp:docPr id="457" name="Text Box 457" descr="text box " title="Aus Appendi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523240"/>
                        </a:xfrm>
                        <a:prstGeom prst="rect">
                          <a:avLst/>
                        </a:prstGeom>
                        <a:solidFill>
                          <a:srgbClr val="FFFFFF"/>
                        </a:solidFill>
                        <a:ln w="9525">
                          <a:solidFill>
                            <a:srgbClr val="000000"/>
                          </a:solidFill>
                          <a:miter lim="800000"/>
                          <a:headEnd/>
                          <a:tailEnd/>
                        </a:ln>
                      </wps:spPr>
                      <wps:txbx>
                        <w:txbxContent>
                          <w:p w14:paraId="08266C76" w14:textId="77777777" w:rsidR="00CF7C02" w:rsidRPr="00FE4E4F" w:rsidRDefault="00CF7C02" w:rsidP="00232733">
                            <w:pPr>
                              <w:rPr>
                                <w:i/>
                                <w:sz w:val="18"/>
                                <w:szCs w:val="18"/>
                              </w:rPr>
                            </w:pPr>
                            <w:r w:rsidRPr="00FE4E4F">
                              <w:rPr>
                                <w:sz w:val="18"/>
                                <w:szCs w:val="18"/>
                              </w:rPr>
                              <w:t xml:space="preserve">Note: Audit opinions in this diagram must comply, as appropriate, with: </w:t>
                            </w:r>
                            <w:r>
                              <w:rPr>
                                <w:sz w:val="18"/>
                                <w:szCs w:val="18"/>
                              </w:rPr>
                              <w:t>A</w:t>
                            </w:r>
                            <w:r w:rsidRPr="00FE4E4F">
                              <w:rPr>
                                <w:sz w:val="18"/>
                                <w:szCs w:val="18"/>
                              </w:rPr>
                              <w:t>SA</w:t>
                            </w:r>
                            <w:r>
                              <w:rPr>
                                <w:sz w:val="18"/>
                                <w:szCs w:val="18"/>
                              </w:rPr>
                              <w:t xml:space="preserve"> </w:t>
                            </w:r>
                            <w:r w:rsidRPr="00FE4E4F">
                              <w:rPr>
                                <w:sz w:val="18"/>
                                <w:szCs w:val="18"/>
                              </w:rPr>
                              <w:t xml:space="preserve">700 </w:t>
                            </w:r>
                            <w:r w:rsidRPr="00FE4E4F">
                              <w:rPr>
                                <w:i/>
                                <w:sz w:val="18"/>
                                <w:szCs w:val="18"/>
                              </w:rPr>
                              <w:t xml:space="preserve">Forming an Opinion and Reporting on </w:t>
                            </w:r>
                            <w:r>
                              <w:rPr>
                                <w:i/>
                                <w:sz w:val="18"/>
                                <w:szCs w:val="18"/>
                              </w:rPr>
                              <w:t xml:space="preserve">a </w:t>
                            </w:r>
                            <w:r w:rsidRPr="00FE4E4F">
                              <w:rPr>
                                <w:i/>
                                <w:sz w:val="18"/>
                                <w:szCs w:val="18"/>
                              </w:rPr>
                              <w:t xml:space="preserve">Financial </w:t>
                            </w:r>
                            <w:r>
                              <w:rPr>
                                <w:i/>
                                <w:sz w:val="18"/>
                                <w:szCs w:val="18"/>
                              </w:rPr>
                              <w:t>Report</w:t>
                            </w:r>
                            <w:r w:rsidRPr="00FE4E4F">
                              <w:rPr>
                                <w:i/>
                                <w:sz w:val="18"/>
                                <w:szCs w:val="18"/>
                              </w:rPr>
                              <w:t xml:space="preserve">, </w:t>
                            </w:r>
                            <w:r>
                              <w:rPr>
                                <w:sz w:val="18"/>
                                <w:szCs w:val="18"/>
                              </w:rPr>
                              <w:t>A</w:t>
                            </w:r>
                            <w:r w:rsidRPr="00FE4E4F">
                              <w:rPr>
                                <w:sz w:val="18"/>
                                <w:szCs w:val="18"/>
                              </w:rPr>
                              <w:t xml:space="preserve">SA </w:t>
                            </w:r>
                            <w:r>
                              <w:rPr>
                                <w:sz w:val="18"/>
                                <w:szCs w:val="18"/>
                              </w:rPr>
                              <w:t>7</w:t>
                            </w:r>
                            <w:r w:rsidRPr="00FE4E4F">
                              <w:rPr>
                                <w:sz w:val="18"/>
                                <w:szCs w:val="18"/>
                              </w:rPr>
                              <w:t xml:space="preserve">05 </w:t>
                            </w:r>
                            <w:r w:rsidRPr="00FE4E4F">
                              <w:rPr>
                                <w:i/>
                                <w:sz w:val="18"/>
                                <w:szCs w:val="18"/>
                              </w:rPr>
                              <w:t xml:space="preserve">Modifications to the Opinion in the Independent Auditor’s Report </w:t>
                            </w:r>
                            <w:r w:rsidRPr="00C94CC7">
                              <w:rPr>
                                <w:sz w:val="18"/>
                                <w:szCs w:val="18"/>
                              </w:rPr>
                              <w:t>and</w:t>
                            </w:r>
                            <w:r w:rsidRPr="00FE4E4F">
                              <w:rPr>
                                <w:i/>
                                <w:sz w:val="18"/>
                                <w:szCs w:val="18"/>
                              </w:rPr>
                              <w:t xml:space="preserve"> </w:t>
                            </w:r>
                            <w:r>
                              <w:rPr>
                                <w:sz w:val="18"/>
                                <w:szCs w:val="18"/>
                              </w:rPr>
                              <w:t>ASA </w:t>
                            </w:r>
                            <w:r w:rsidRPr="00FE4E4F">
                              <w:rPr>
                                <w:sz w:val="18"/>
                                <w:szCs w:val="18"/>
                              </w:rPr>
                              <w:t xml:space="preserve">706 </w:t>
                            </w:r>
                            <w:r w:rsidRPr="00FE4E4F">
                              <w:rPr>
                                <w:i/>
                                <w:sz w:val="18"/>
                                <w:szCs w:val="18"/>
                              </w:rPr>
                              <w:t>Emphasis of Matter Paragraphs and Other Mat</w:t>
                            </w:r>
                            <w:r>
                              <w:rPr>
                                <w:i/>
                                <w:sz w:val="18"/>
                                <w:szCs w:val="18"/>
                              </w:rPr>
                              <w:t>t</w:t>
                            </w:r>
                            <w:r w:rsidRPr="00FE4E4F">
                              <w:rPr>
                                <w:i/>
                                <w:sz w:val="18"/>
                                <w:szCs w:val="18"/>
                              </w:rPr>
                              <w:t>er Paragraphs in the Independent Auditor’s Report</w:t>
                            </w:r>
                            <w:r>
                              <w:rPr>
                                <w:i/>
                                <w:sz w:val="18"/>
                                <w:szCs w:val="18"/>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348ACA2" id="Text Box 457" o:spid="_x0000_s1100" type="#_x0000_t202" alt="Title: Aus Appendix 1 - Description: text box " style="position:absolute;margin-left:-22.5pt;margin-top:484.8pt;width:497.25pt;height:4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">
                <v:textbox>
                  <w:txbxContent>
                    <w:p w14:paraId="08266C76" w14:textId="77777777" w:rsidR="00CF7C02" w:rsidRPr="00FE4E4F" w:rsidRDefault="00CF7C02" w:rsidP="00232733">
                      <w:pPr>
                        <w:rPr>
                          <w:i/>
                          <w:sz w:val="18"/>
                          <w:szCs w:val="18"/>
                        </w:rPr>
                      </w:pPr>
                      <w:r w:rsidRPr="00FE4E4F">
                        <w:rPr>
                          <w:sz w:val="18"/>
                          <w:szCs w:val="18"/>
                        </w:rPr>
                        <w:t xml:space="preserve">Note: Audit opinions in this diagram must comply, as appropriate, with: </w:t>
                      </w:r>
                      <w:r>
                        <w:rPr>
                          <w:sz w:val="18"/>
                          <w:szCs w:val="18"/>
                        </w:rPr>
                        <w:t>A</w:t>
                      </w:r>
                      <w:r w:rsidRPr="00FE4E4F">
                        <w:rPr>
                          <w:sz w:val="18"/>
                          <w:szCs w:val="18"/>
                        </w:rPr>
                        <w:t>SA</w:t>
                      </w:r>
                      <w:r>
                        <w:rPr>
                          <w:sz w:val="18"/>
                          <w:szCs w:val="18"/>
                        </w:rPr>
                        <w:t xml:space="preserve"> </w:t>
                      </w:r>
                      <w:r w:rsidRPr="00FE4E4F">
                        <w:rPr>
                          <w:sz w:val="18"/>
                          <w:szCs w:val="18"/>
                        </w:rPr>
                        <w:t xml:space="preserve">700 </w:t>
                      </w:r>
                      <w:r w:rsidRPr="00FE4E4F">
                        <w:rPr>
                          <w:i/>
                          <w:sz w:val="18"/>
                          <w:szCs w:val="18"/>
                        </w:rPr>
                        <w:t xml:space="preserve">Forming an Opinion and Reporting on </w:t>
                      </w:r>
                      <w:r>
                        <w:rPr>
                          <w:i/>
                          <w:sz w:val="18"/>
                          <w:szCs w:val="18"/>
                        </w:rPr>
                        <w:t xml:space="preserve">a </w:t>
                      </w:r>
                      <w:r w:rsidRPr="00FE4E4F">
                        <w:rPr>
                          <w:i/>
                          <w:sz w:val="18"/>
                          <w:szCs w:val="18"/>
                        </w:rPr>
                        <w:t xml:space="preserve">Financial </w:t>
                      </w:r>
                      <w:r>
                        <w:rPr>
                          <w:i/>
                          <w:sz w:val="18"/>
                          <w:szCs w:val="18"/>
                        </w:rPr>
                        <w:t>Report</w:t>
                      </w:r>
                      <w:r w:rsidRPr="00FE4E4F">
                        <w:rPr>
                          <w:i/>
                          <w:sz w:val="18"/>
                          <w:szCs w:val="18"/>
                        </w:rPr>
                        <w:t xml:space="preserve">, </w:t>
                      </w:r>
                      <w:r>
                        <w:rPr>
                          <w:sz w:val="18"/>
                          <w:szCs w:val="18"/>
                        </w:rPr>
                        <w:t>A</w:t>
                      </w:r>
                      <w:r w:rsidRPr="00FE4E4F">
                        <w:rPr>
                          <w:sz w:val="18"/>
                          <w:szCs w:val="18"/>
                        </w:rPr>
                        <w:t xml:space="preserve">SA </w:t>
                      </w:r>
                      <w:r>
                        <w:rPr>
                          <w:sz w:val="18"/>
                          <w:szCs w:val="18"/>
                        </w:rPr>
                        <w:t>7</w:t>
                      </w:r>
                      <w:r w:rsidRPr="00FE4E4F">
                        <w:rPr>
                          <w:sz w:val="18"/>
                          <w:szCs w:val="18"/>
                        </w:rPr>
                        <w:t xml:space="preserve">05 </w:t>
                      </w:r>
                      <w:r w:rsidRPr="00FE4E4F">
                        <w:rPr>
                          <w:i/>
                          <w:sz w:val="18"/>
                          <w:szCs w:val="18"/>
                        </w:rPr>
                        <w:t xml:space="preserve">Modifications to the Opinion in the Independent Auditor’s Report </w:t>
                      </w:r>
                      <w:r w:rsidRPr="00C94CC7">
                        <w:rPr>
                          <w:sz w:val="18"/>
                          <w:szCs w:val="18"/>
                        </w:rPr>
                        <w:t>and</w:t>
                      </w:r>
                      <w:r w:rsidRPr="00FE4E4F">
                        <w:rPr>
                          <w:i/>
                          <w:sz w:val="18"/>
                          <w:szCs w:val="18"/>
                        </w:rPr>
                        <w:t xml:space="preserve"> </w:t>
                      </w:r>
                      <w:r>
                        <w:rPr>
                          <w:sz w:val="18"/>
                          <w:szCs w:val="18"/>
                        </w:rPr>
                        <w:t>ASA </w:t>
                      </w:r>
                      <w:r w:rsidRPr="00FE4E4F">
                        <w:rPr>
                          <w:sz w:val="18"/>
                          <w:szCs w:val="18"/>
                        </w:rPr>
                        <w:t xml:space="preserve">706 </w:t>
                      </w:r>
                      <w:r w:rsidRPr="00FE4E4F">
                        <w:rPr>
                          <w:i/>
                          <w:sz w:val="18"/>
                          <w:szCs w:val="18"/>
                        </w:rPr>
                        <w:t>Emphasis of Matter Paragraphs and Other Mat</w:t>
                      </w:r>
                      <w:r>
                        <w:rPr>
                          <w:i/>
                          <w:sz w:val="18"/>
                          <w:szCs w:val="18"/>
                        </w:rPr>
                        <w:t>t</w:t>
                      </w:r>
                      <w:r w:rsidRPr="00FE4E4F">
                        <w:rPr>
                          <w:i/>
                          <w:sz w:val="18"/>
                          <w:szCs w:val="18"/>
                        </w:rPr>
                        <w:t>er Paragraphs in the Independent Auditor’s Report</w:t>
                      </w:r>
                      <w:r>
                        <w:rPr>
                          <w:i/>
                          <w:sz w:val="18"/>
                          <w:szCs w:val="18"/>
                        </w:rPr>
                        <w:t>.</w:t>
                      </w:r>
                    </w:p>
                  </w:txbxContent>
                </v:textbox>
              </v:shape>
            </w:pict>
          </mc:Fallback>
        </mc:AlternateContent>
      </w:r>
      <w:r>
        <w:rPr>
          <w:noProof/>
          <w:lang w:eastAsia="en-AU"/>
        </w:rPr>
        <mc:AlternateContent>
          <mc:Choice Requires="wps">
            <w:drawing>
              <wp:anchor distT="0" distB="0" distL="114300" distR="114300" simplePos="0" relativeHeight="251658248" behindDoc="0" locked="0" layoutInCell="1" allowOverlap="1" wp14:anchorId="69E7BE8A" wp14:editId="7A85A040">
                <wp:simplePos x="0" y="0"/>
                <wp:positionH relativeFrom="column">
                  <wp:posOffset>3219450</wp:posOffset>
                </wp:positionH>
                <wp:positionV relativeFrom="paragraph">
                  <wp:posOffset>2854960</wp:posOffset>
                </wp:positionV>
                <wp:extent cx="472440" cy="0"/>
                <wp:effectExtent l="0" t="76200" r="22860" b="95250"/>
                <wp:wrapNone/>
                <wp:docPr id="421" name="Straight Arrow Connector 421" descr="directional arrow " title="Aus Appendix 1"/>
                <wp:cNvGraphicFramePr/>
                <a:graphic xmlns:a="http://schemas.openxmlformats.org/drawingml/2006/main">
                  <a:graphicData uri="http://schemas.microsoft.com/office/word/2010/wordprocessingShape">
                    <wps:wsp>
                      <wps:cNvCnPr/>
                      <wps:spPr>
                        <a:xfrm>
                          <a:off x="0" y="0"/>
                          <a:ext cx="47244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E48E9D" id="Straight Arrow Connector 421" o:spid="_x0000_s1026" type="#_x0000_t32" alt="Title: Aus Appendix 1 - Description: directional arrow " style="position:absolute;margin-left:253.5pt;margin-top:224.8pt;width:37.2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">
                <v:stroke endarrow="block"/>
              </v:shape>
            </w:pict>
          </mc:Fallback>
        </mc:AlternateContent>
      </w:r>
      <w:r>
        <w:rPr>
          <w:noProof/>
          <w:lang w:eastAsia="en-AU"/>
        </w:rPr>
        <mc:AlternateContent>
          <mc:Choice Requires="wps">
            <w:drawing>
              <wp:anchor distT="0" distB="0" distL="114300" distR="114300" simplePos="0" relativeHeight="251658249" behindDoc="0" locked="0" layoutInCell="1" allowOverlap="1" wp14:anchorId="7361BB92" wp14:editId="0765C7DA">
                <wp:simplePos x="0" y="0"/>
                <wp:positionH relativeFrom="column">
                  <wp:posOffset>476250</wp:posOffset>
                </wp:positionH>
                <wp:positionV relativeFrom="paragraph">
                  <wp:posOffset>2340610</wp:posOffset>
                </wp:positionV>
                <wp:extent cx="0" cy="269240"/>
                <wp:effectExtent l="76200" t="0" r="57150" b="54610"/>
                <wp:wrapNone/>
                <wp:docPr id="5" name="Straight Arrow Connector 5" descr="Aus Appendix 1" title="Aus Appendix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5056923D" id="Straight Arrow Connector 5" o:spid="_x0000_s1026" type="#_x0000_t32" alt="Title: Aus Appendix 1 - Description: Aus Appendix 1" style="position:absolute;margin-left:37.5pt;margin-top:184.3pt;width:0;height:21.2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">
                <v:stroke endarrow="block"/>
              </v:shape>
            </w:pict>
          </mc:Fallback>
        </mc:AlternateContent>
      </w:r>
      <w:r>
        <w:rPr>
          <w:noProof/>
          <w:lang w:eastAsia="en-AU"/>
        </w:rPr>
        <mc:AlternateContent>
          <mc:Choice Requires="wps">
            <w:drawing>
              <wp:anchor distT="0" distB="0" distL="114300" distR="114300" simplePos="0" relativeHeight="251658246" behindDoc="0" locked="0" layoutInCell="1" allowOverlap="1" wp14:anchorId="66B0BAC1" wp14:editId="24F95FAC">
                <wp:simplePos x="0" y="0"/>
                <wp:positionH relativeFrom="column">
                  <wp:posOffset>2494280</wp:posOffset>
                </wp:positionH>
                <wp:positionV relativeFrom="paragraph">
                  <wp:posOffset>3263900</wp:posOffset>
                </wp:positionV>
                <wp:extent cx="3175" cy="577850"/>
                <wp:effectExtent l="76200" t="0" r="73025" b="50800"/>
                <wp:wrapNone/>
                <wp:docPr id="7" name="Straight Arrow Connector 7" descr="directional arrow" title="Aus Appendix 1"/>
                <wp:cNvGraphicFramePr/>
                <a:graphic xmlns:a="http://schemas.openxmlformats.org/drawingml/2006/main">
                  <a:graphicData uri="http://schemas.microsoft.com/office/word/2010/wordprocessingShape">
                    <wps:wsp>
                      <wps:cNvCnPr/>
                      <wps:spPr>
                        <a:xfrm flipH="1">
                          <a:off x="0" y="0"/>
                          <a:ext cx="3175" cy="5778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w14:anchorId="7C094124" id="Straight Arrow Connector 7" o:spid="_x0000_s1026" type="#_x0000_t32" alt="Title: Aus Appendix 1 - Description: directional arrow" style="position:absolute;margin-left:196.4pt;margin-top:257pt;width:.25pt;height:45.5pt;flip:x;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">
                <v:stroke endarrow="block"/>
              </v:shape>
            </w:pict>
          </mc:Fallback>
        </mc:AlternateContent>
      </w:r>
      <w:r>
        <w:rPr>
          <w:noProof/>
          <w:lang w:eastAsia="en-AU"/>
        </w:rPr>
        <mc:AlternateContent>
          <mc:Choice Requires="wps">
            <w:drawing>
              <wp:anchor distT="0" distB="0" distL="114300" distR="114300" simplePos="0" relativeHeight="251658255" behindDoc="0" locked="0" layoutInCell="1" allowOverlap="1" wp14:anchorId="0DD80FFF" wp14:editId="34EA5A31">
                <wp:simplePos x="0" y="0"/>
                <wp:positionH relativeFrom="column">
                  <wp:posOffset>3951605</wp:posOffset>
                </wp:positionH>
                <wp:positionV relativeFrom="paragraph">
                  <wp:posOffset>3646805</wp:posOffset>
                </wp:positionV>
                <wp:extent cx="198755" cy="247389"/>
                <wp:effectExtent l="0" t="0" r="0" b="635"/>
                <wp:wrapNone/>
                <wp:docPr id="14" name="Text Box 14" descr="no box" title="Aus Appendi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 cy="247389"/>
                        </a:xfrm>
                        <a:prstGeom prst="rect">
                          <a:avLst/>
                        </a:prstGeom>
                        <a:solidFill>
                          <a:srgbClr val="FF0000"/>
                        </a:solidFill>
                        <a:ln w="6350">
                          <a:noFill/>
                        </a:ln>
                        <a:effectLst/>
                      </wps:spPr>
                      <wps:txbx>
                        <w:txbxContent>
                          <w:p w14:paraId="4FE40426" w14:textId="77777777" w:rsidR="00CF7C02" w:rsidRPr="00D6088A" w:rsidRDefault="00CF7C02" w:rsidP="00232733">
                            <w:pPr>
                              <w:ind w:left="-120"/>
                              <w:rPr>
                                <w:color w:val="FFFFFF" w:themeColor="background1"/>
                              </w:rPr>
                            </w:pPr>
                            <w:r w:rsidRPr="00D6088A">
                              <w:rPr>
                                <w:color w:val="FFFFFF" w:themeColor="background1"/>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D80FFF" id="Text Box 14" o:spid="_x0000_s1101" type="#_x0000_t202" alt="Title: Aus Appendix 1 - Description: no box" style="position:absolute;margin-left:311.15pt;margin-top:287.15pt;width:15.65pt;height:19.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" fillcolor="red" stroked="f" strokeweight=".5pt">
                <v:textbox>
                  <w:txbxContent>
                    <w:p w14:paraId="4FE40426" w14:textId="77777777" w:rsidR="00CF7C02" w:rsidRPr="00D6088A" w:rsidRDefault="00CF7C02" w:rsidP="00232733">
                      <w:pPr>
                        <w:ind w:left="-120"/>
                        <w:rPr>
                          <w:color w:val="FFFFFF" w:themeColor="background1"/>
                        </w:rPr>
                      </w:pPr>
                      <w:r w:rsidRPr="00D6088A">
                        <w:rPr>
                          <w:color w:val="FFFFFF" w:themeColor="background1"/>
                        </w:rPr>
                        <w:t>N</w:t>
                      </w:r>
                    </w:p>
                  </w:txbxContent>
                </v:textbox>
              </v:shape>
            </w:pict>
          </mc:Fallback>
        </mc:AlternateContent>
      </w:r>
      <w:r>
        <w:rPr>
          <w:noProof/>
          <w:lang w:eastAsia="en-AU"/>
        </w:rPr>
        <mc:AlternateContent>
          <mc:Choice Requires="wps">
            <w:drawing>
              <wp:anchor distT="0" distB="0" distL="114300" distR="114300" simplePos="0" relativeHeight="251658254" behindDoc="0" locked="0" layoutInCell="1" allowOverlap="1" wp14:anchorId="1D92D841" wp14:editId="257EEFE9">
                <wp:simplePos x="0" y="0"/>
                <wp:positionH relativeFrom="column">
                  <wp:posOffset>3925570</wp:posOffset>
                </wp:positionH>
                <wp:positionV relativeFrom="paragraph">
                  <wp:posOffset>3954780</wp:posOffset>
                </wp:positionV>
                <wp:extent cx="267970" cy="3810"/>
                <wp:effectExtent l="0" t="76200" r="17780" b="91440"/>
                <wp:wrapNone/>
                <wp:docPr id="13" name="Straight Arrow Connector 13" descr="directional arrow" title="Aus Appendix 1"/>
                <wp:cNvGraphicFramePr/>
                <a:graphic xmlns:a="http://schemas.openxmlformats.org/drawingml/2006/main">
                  <a:graphicData uri="http://schemas.microsoft.com/office/word/2010/wordprocessingShape">
                    <wps:wsp>
                      <wps:cNvCnPr/>
                      <wps:spPr>
                        <a:xfrm flipV="1">
                          <a:off x="0" y="0"/>
                          <a:ext cx="267970" cy="381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w14:anchorId="65A322CB" id="Straight Arrow Connector 13" o:spid="_x0000_s1026" type="#_x0000_t32" alt="Title: Aus Appendix 1 - Description: directional arrow" style="position:absolute;margin-left:309.1pt;margin-top:311.4pt;width:21.1pt;height:.3pt;flip:y;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">
                <v:stroke endarrow="block"/>
              </v:shape>
            </w:pict>
          </mc:Fallback>
        </mc:AlternateContent>
      </w:r>
      <w:r>
        <w:rPr>
          <w:noProof/>
          <w:lang w:eastAsia="en-AU"/>
        </w:rPr>
        <mc:AlternateContent>
          <mc:Choice Requires="wps">
            <w:drawing>
              <wp:anchor distT="0" distB="0" distL="114300" distR="114300" simplePos="0" relativeHeight="251658253" behindDoc="0" locked="0" layoutInCell="1" allowOverlap="1" wp14:anchorId="11C67D43" wp14:editId="06C02EFD">
                <wp:simplePos x="0" y="0"/>
                <wp:positionH relativeFrom="column">
                  <wp:posOffset>3925570</wp:posOffset>
                </wp:positionH>
                <wp:positionV relativeFrom="paragraph">
                  <wp:posOffset>3642360</wp:posOffset>
                </wp:positionV>
                <wp:extent cx="5080" cy="311150"/>
                <wp:effectExtent l="0" t="0" r="33020" b="12700"/>
                <wp:wrapNone/>
                <wp:docPr id="12" name="Straight Connector 12" descr="directional arrow" title="Aus Appendix 1"/>
                <wp:cNvGraphicFramePr/>
                <a:graphic xmlns:a="http://schemas.openxmlformats.org/drawingml/2006/main">
                  <a:graphicData uri="http://schemas.microsoft.com/office/word/2010/wordprocessingShape">
                    <wps:wsp>
                      <wps:cNvCnPr/>
                      <wps:spPr>
                        <a:xfrm flipH="1">
                          <a:off x="0" y="0"/>
                          <a:ext cx="5080" cy="31115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1E5083D" id="Straight Connector 12" o:spid="_x0000_s1026" alt="Title: Aus Appendix 1 - Description: directional arrow" style="position:absolute;flip:x;z-index:251658253;visibility:visible;mso-wrap-style:square;mso-wrap-distance-left:9pt;mso-wrap-distance-top:0;mso-wrap-distance-right:9pt;mso-wrap-distance-bottom:0;mso-position-horizontal:absolute;mso-position-horizontal-relative:text;mso-position-vertical:absolute;mso-position-vertical-relative:text" from="309.1pt,286.8pt" to="309.5pt,3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" strokecolor="windowText"/>
            </w:pict>
          </mc:Fallback>
        </mc:AlternateContent>
      </w:r>
      <w:r>
        <w:rPr>
          <w:noProof/>
          <w:lang w:eastAsia="en-AU"/>
        </w:rPr>
        <mc:AlternateContent>
          <mc:Choice Requires="wps">
            <w:drawing>
              <wp:anchor distT="0" distB="0" distL="114300" distR="114300" simplePos="0" relativeHeight="251658247" behindDoc="0" locked="0" layoutInCell="1" allowOverlap="1" wp14:anchorId="15D74381" wp14:editId="7E456A0D">
                <wp:simplePos x="0" y="0"/>
                <wp:positionH relativeFrom="column">
                  <wp:posOffset>3691890</wp:posOffset>
                </wp:positionH>
                <wp:positionV relativeFrom="paragraph">
                  <wp:posOffset>2870200</wp:posOffset>
                </wp:positionV>
                <wp:extent cx="0" cy="2195195"/>
                <wp:effectExtent l="76200" t="0" r="76200" b="52705"/>
                <wp:wrapNone/>
                <wp:docPr id="19" name="Straight Arrow Connector 19" descr="directional arrow " title="Aus Appendix 1"/>
                <wp:cNvGraphicFramePr/>
                <a:graphic xmlns:a="http://schemas.openxmlformats.org/drawingml/2006/main">
                  <a:graphicData uri="http://schemas.microsoft.com/office/word/2010/wordprocessingShape">
                    <wps:wsp>
                      <wps:cNvCnPr/>
                      <wps:spPr>
                        <a:xfrm>
                          <a:off x="0" y="0"/>
                          <a:ext cx="0" cy="219519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DC41B5" id="Straight Arrow Connector 19" o:spid="_x0000_s1026" type="#_x0000_t32" alt="Title: Aus Appendix 1 - Description: directional arrow " style="position:absolute;margin-left:290.7pt;margin-top:226pt;width:0;height:172.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">
                <v:stroke endarrow="block"/>
              </v:shape>
            </w:pict>
          </mc:Fallback>
        </mc:AlternateContent>
      </w:r>
      <w:r>
        <w:rPr>
          <w:noProof/>
          <w:lang w:eastAsia="en-AU"/>
        </w:rPr>
        <mc:AlternateContent>
          <mc:Choice Requires="wps">
            <w:drawing>
              <wp:anchor distT="0" distB="0" distL="114300" distR="114300" simplePos="0" relativeHeight="251658252" behindDoc="0" locked="0" layoutInCell="1" allowOverlap="1" wp14:anchorId="48026BC9" wp14:editId="1FEDC9A0">
                <wp:simplePos x="0" y="0"/>
                <wp:positionH relativeFrom="column">
                  <wp:posOffset>5474970</wp:posOffset>
                </wp:positionH>
                <wp:positionV relativeFrom="paragraph">
                  <wp:posOffset>5105400</wp:posOffset>
                </wp:positionV>
                <wp:extent cx="0" cy="254000"/>
                <wp:effectExtent l="76200" t="0" r="57150" b="50800"/>
                <wp:wrapNone/>
                <wp:docPr id="8" name="Straight Arrow Connector 8" descr="directional arrow " title="Aus Appendix 1"/>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4D2B9F" id="Straight Arrow Connector 8" o:spid="_x0000_s1026" type="#_x0000_t32" alt="Title: Aus Appendix 1 - Description: directional arrow " style="position:absolute;margin-left:431.1pt;margin-top:402pt;width:0;height:20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">
                <v:stroke endarrow="block"/>
              </v:shape>
            </w:pict>
          </mc:Fallback>
        </mc:AlternateContent>
      </w:r>
      <w:r>
        <w:br w:type="page"/>
      </w:r>
    </w:p>
    <w:p w14:paraId="3D3208E0" w14:textId="77777777" w:rsidR="00232733" w:rsidRPr="00232733" w:rsidRDefault="00232733" w:rsidP="00232733">
      <w:pPr>
        <w:spacing w:after="200" w:line="260" w:lineRule="exact"/>
        <w:jc w:val="right"/>
        <w:rPr>
          <w:b/>
          <w:sz w:val="26"/>
        </w:rPr>
      </w:pPr>
      <w:r w:rsidRPr="00232733">
        <w:rPr>
          <w:b/>
          <w:sz w:val="26"/>
        </w:rPr>
        <w:lastRenderedPageBreak/>
        <w:t>Appendix 2</w:t>
      </w:r>
    </w:p>
    <w:p w14:paraId="438B4607" w14:textId="77777777" w:rsidR="00232733" w:rsidRPr="00232733" w:rsidRDefault="00232733" w:rsidP="00232733">
      <w:pPr>
        <w:spacing w:after="200" w:line="260" w:lineRule="exact"/>
        <w:jc w:val="right"/>
        <w:rPr>
          <w:sz w:val="18"/>
        </w:rPr>
      </w:pPr>
      <w:r w:rsidRPr="00232733">
        <w:rPr>
          <w:sz w:val="18"/>
        </w:rPr>
        <w:t>(Ref: Para. A29, A31</w:t>
      </w:r>
      <w:r w:rsidRPr="00232733">
        <w:rPr>
          <w:sz w:val="18"/>
        </w:rPr>
        <w:noBreakHyphen/>
        <w:t xml:space="preserve">A32, </w:t>
      </w:r>
      <w:proofErr w:type="spellStart"/>
      <w:r w:rsidRPr="00232733">
        <w:rPr>
          <w:sz w:val="18"/>
        </w:rPr>
        <w:t>Aus</w:t>
      </w:r>
      <w:proofErr w:type="spellEnd"/>
      <w:r w:rsidRPr="00232733">
        <w:rPr>
          <w:sz w:val="18"/>
        </w:rPr>
        <w:t xml:space="preserve"> A33.1)</w:t>
      </w:r>
    </w:p>
    <w:p w14:paraId="510A4D6A" w14:textId="77777777" w:rsidR="00232733" w:rsidRPr="00232733" w:rsidRDefault="00232733" w:rsidP="00232733">
      <w:pPr>
        <w:keepNext/>
        <w:spacing w:after="200" w:line="260" w:lineRule="exact"/>
        <w:outlineLvl w:val="4"/>
        <w:rPr>
          <w:b/>
          <w:bCs/>
          <w:iCs/>
          <w:sz w:val="26"/>
          <w:szCs w:val="26"/>
        </w:rPr>
      </w:pPr>
      <w:r w:rsidRPr="00232733">
        <w:rPr>
          <w:b/>
          <w:bCs/>
          <w:iCs/>
          <w:sz w:val="26"/>
          <w:szCs w:val="26"/>
        </w:rPr>
        <w:t>Illustrations of Auditor’s Reports Relating to Going Concern</w:t>
      </w:r>
    </w:p>
    <w:p w14:paraId="1348B14E" w14:textId="77777777" w:rsidR="00232733" w:rsidRPr="00232733" w:rsidRDefault="00232733" w:rsidP="00232733">
      <w:pPr>
        <w:numPr>
          <w:ilvl w:val="0"/>
          <w:numId w:val="35"/>
        </w:numPr>
        <w:spacing w:after="200"/>
        <w:outlineLvl w:val="0"/>
      </w:pPr>
      <w:r w:rsidRPr="00232733">
        <w:t>Illustration 1: [Deleted by the AUASB.  Refer [</w:t>
      </w:r>
      <w:proofErr w:type="spellStart"/>
      <w:r w:rsidRPr="00232733">
        <w:t>Aus</w:t>
      </w:r>
      <w:proofErr w:type="spellEnd"/>
      <w:r w:rsidRPr="00232733">
        <w:t>] Illustration 1A].</w:t>
      </w:r>
    </w:p>
    <w:p w14:paraId="66C6AFFC" w14:textId="77777777" w:rsidR="00232733" w:rsidRPr="00232733" w:rsidRDefault="00232733" w:rsidP="00232733">
      <w:pPr>
        <w:numPr>
          <w:ilvl w:val="0"/>
          <w:numId w:val="35"/>
        </w:numPr>
        <w:spacing w:after="200"/>
        <w:outlineLvl w:val="0"/>
      </w:pPr>
      <w:r w:rsidRPr="00232733">
        <w:t>[</w:t>
      </w:r>
      <w:proofErr w:type="spellStart"/>
      <w:r w:rsidRPr="00232733">
        <w:t>Aus</w:t>
      </w:r>
      <w:proofErr w:type="spellEnd"/>
      <w:r w:rsidRPr="00232733">
        <w:t xml:space="preserve">] Illustration 1A: An auditor’s report on a financial report of a single listed company prepared in accordance with the </w:t>
      </w:r>
      <w:r w:rsidRPr="00232733">
        <w:rPr>
          <w:i/>
        </w:rPr>
        <w:t>Corporations Act 2001</w:t>
      </w:r>
      <w:r w:rsidRPr="00232733">
        <w:t xml:space="preserve"> containing an unmodified opinion when the auditor has concluded that a material uncertainty exists and disclosure in the financial report is adequate.</w:t>
      </w:r>
    </w:p>
    <w:p w14:paraId="6F5A4EA8" w14:textId="77777777" w:rsidR="00232733" w:rsidRPr="00232733" w:rsidRDefault="00232733" w:rsidP="00232733">
      <w:pPr>
        <w:numPr>
          <w:ilvl w:val="0"/>
          <w:numId w:val="35"/>
        </w:numPr>
        <w:spacing w:after="200"/>
        <w:outlineLvl w:val="0"/>
      </w:pPr>
      <w:r w:rsidRPr="00232733">
        <w:t>Illustration 2: [Deleted by the AUASB.  Refer [</w:t>
      </w:r>
      <w:proofErr w:type="spellStart"/>
      <w:r w:rsidRPr="00232733">
        <w:t>Aus</w:t>
      </w:r>
      <w:proofErr w:type="spellEnd"/>
      <w:r w:rsidRPr="00232733">
        <w:t>] Illustration 2A].</w:t>
      </w:r>
    </w:p>
    <w:p w14:paraId="76886363" w14:textId="77777777" w:rsidR="00232733" w:rsidRPr="00232733" w:rsidRDefault="00232733" w:rsidP="00232733">
      <w:pPr>
        <w:numPr>
          <w:ilvl w:val="0"/>
          <w:numId w:val="35"/>
        </w:numPr>
        <w:spacing w:after="200"/>
        <w:outlineLvl w:val="0"/>
      </w:pPr>
      <w:r w:rsidRPr="00232733">
        <w:t>[</w:t>
      </w:r>
      <w:proofErr w:type="spellStart"/>
      <w:r w:rsidRPr="00232733">
        <w:t>Aus</w:t>
      </w:r>
      <w:proofErr w:type="spellEnd"/>
      <w:r w:rsidRPr="00232733">
        <w:t xml:space="preserve">] Illustration 2A: An auditor’s report on a financial report of a single listed company prepared in accordance with the </w:t>
      </w:r>
      <w:r w:rsidRPr="00232733">
        <w:rPr>
          <w:i/>
        </w:rPr>
        <w:t>Corporations Act 2001</w:t>
      </w:r>
      <w:r w:rsidRPr="00232733">
        <w:t xml:space="preserve"> containing a qualified opinion when the auditor has concluded that a material uncertainty exists and that the financial report is materially misstated due to inadequate disclosure.</w:t>
      </w:r>
    </w:p>
    <w:p w14:paraId="6959BD94" w14:textId="77777777" w:rsidR="00232733" w:rsidRPr="00232733" w:rsidRDefault="00232733" w:rsidP="00232733">
      <w:pPr>
        <w:numPr>
          <w:ilvl w:val="0"/>
          <w:numId w:val="35"/>
        </w:numPr>
        <w:spacing w:after="200"/>
        <w:outlineLvl w:val="0"/>
      </w:pPr>
      <w:r w:rsidRPr="00232733">
        <w:t>Illustration 3: [Deleted by the AUASB.  Refer [</w:t>
      </w:r>
      <w:proofErr w:type="spellStart"/>
      <w:r w:rsidRPr="00232733">
        <w:t>Aus</w:t>
      </w:r>
      <w:proofErr w:type="spellEnd"/>
      <w:r w:rsidRPr="00232733">
        <w:t xml:space="preserve">] </w:t>
      </w:r>
      <w:proofErr w:type="gramStart"/>
      <w:r w:rsidRPr="00232733">
        <w:t>Illustration  3</w:t>
      </w:r>
      <w:proofErr w:type="gramEnd"/>
      <w:r w:rsidRPr="00232733">
        <w:t>A].</w:t>
      </w:r>
    </w:p>
    <w:p w14:paraId="32CAD745" w14:textId="77777777" w:rsidR="00232733" w:rsidRPr="00232733" w:rsidRDefault="00232733" w:rsidP="00232733">
      <w:pPr>
        <w:numPr>
          <w:ilvl w:val="0"/>
          <w:numId w:val="35"/>
        </w:numPr>
        <w:spacing w:after="200"/>
        <w:outlineLvl w:val="0"/>
      </w:pPr>
      <w:r w:rsidRPr="00232733">
        <w:t>[</w:t>
      </w:r>
      <w:proofErr w:type="spellStart"/>
      <w:r w:rsidRPr="00232733">
        <w:t>Aus</w:t>
      </w:r>
      <w:proofErr w:type="spellEnd"/>
      <w:r w:rsidRPr="00232733">
        <w:t xml:space="preserve">] Illustration 3A: An auditor’s report on a financial report of a single listed company prepared in accordance with the </w:t>
      </w:r>
      <w:r w:rsidRPr="00232733">
        <w:rPr>
          <w:i/>
        </w:rPr>
        <w:t>Corporations Act 2001</w:t>
      </w:r>
      <w:r w:rsidRPr="00232733">
        <w:t xml:space="preserve"> containing an adverse opinion when the auditor has concluded that a material uncertainty </w:t>
      </w:r>
      <w:proofErr w:type="gramStart"/>
      <w:r w:rsidRPr="00232733">
        <w:t>exists</w:t>
      </w:r>
      <w:proofErr w:type="gramEnd"/>
      <w:r w:rsidRPr="00232733">
        <w:t xml:space="preserve"> and the financial report omits the required disclosures relating to a material uncertainty.</w:t>
      </w:r>
    </w:p>
    <w:p w14:paraId="429FABFD" w14:textId="11CFE730" w:rsidR="003E6CC8" w:rsidRDefault="00232733" w:rsidP="003E6CC8">
      <w:pPr>
        <w:numPr>
          <w:ilvl w:val="0"/>
          <w:numId w:val="35"/>
        </w:numPr>
        <w:spacing w:after="200"/>
        <w:outlineLvl w:val="0"/>
      </w:pPr>
      <w:r w:rsidRPr="00232733">
        <w:t>[</w:t>
      </w:r>
      <w:proofErr w:type="spellStart"/>
      <w:r w:rsidRPr="00232733">
        <w:t>Aus</w:t>
      </w:r>
      <w:proofErr w:type="spellEnd"/>
      <w:r w:rsidRPr="00232733">
        <w:t xml:space="preserve">] Illustration 4A: An auditor’s report on a financial report of a single listed company prepared in accordance with the </w:t>
      </w:r>
      <w:r w:rsidRPr="00232733">
        <w:rPr>
          <w:i/>
        </w:rPr>
        <w:t>Corporations Act 2001</w:t>
      </w:r>
      <w:r w:rsidRPr="00232733">
        <w:t xml:space="preserve"> containing a disclaimer of opinion (limitation of scope) when the auditor has been unable to obtain sufficient appropriate audit evidence about the company’s ability to continue as a going concern.</w:t>
      </w:r>
    </w:p>
    <w:p w14:paraId="6B5A2BA8" w14:textId="77777777" w:rsidR="003E6CC8" w:rsidRPr="003E6CC8" w:rsidRDefault="003E6CC8" w:rsidP="003E6CC8">
      <w:pPr>
        <w:spacing w:line="240" w:lineRule="auto"/>
        <w:jc w:val="center"/>
        <w:rPr>
          <w:b/>
        </w:rPr>
      </w:pPr>
      <w:r>
        <w:br w:type="page"/>
      </w:r>
      <w:r w:rsidRPr="003E6CC8">
        <w:rPr>
          <w:b/>
        </w:rPr>
        <w:lastRenderedPageBreak/>
        <w:t>Example Auditor’s Report</w:t>
      </w:r>
    </w:p>
    <w:p w14:paraId="7D49B4DA" w14:textId="77777777" w:rsidR="003E6CC8" w:rsidRPr="003E6CC8" w:rsidRDefault="003E6CC8" w:rsidP="003E6CC8">
      <w:pPr>
        <w:ind w:left="709" w:hanging="709"/>
        <w:jc w:val="center"/>
        <w:outlineLvl w:val="0"/>
        <w:rPr>
          <w:b/>
        </w:rPr>
      </w:pPr>
      <w:r w:rsidRPr="003E6CC8">
        <w:rPr>
          <w:b/>
        </w:rPr>
        <w:t>Unmodified Opinion, Material Uncertainty Exists, Adequate Disclosure</w:t>
      </w:r>
    </w:p>
    <w:p w14:paraId="0FAC13E6" w14:textId="77777777" w:rsidR="003E6CC8" w:rsidRPr="003E6CC8" w:rsidRDefault="003E6CC8" w:rsidP="003E6CC8">
      <w:pPr>
        <w:ind w:left="709" w:hanging="709"/>
        <w:jc w:val="center"/>
        <w:outlineLvl w:val="0"/>
        <w:rPr>
          <w:b/>
        </w:rPr>
      </w:pPr>
      <w:r w:rsidRPr="003E6CC8">
        <w:rPr>
          <w:b/>
        </w:rPr>
        <w:t>Single Company</w:t>
      </w:r>
      <w:r w:rsidRPr="003E6CC8">
        <w:rPr>
          <w:b/>
        </w:rPr>
        <w:noBreakHyphen/>
      </w:r>
      <w:r w:rsidRPr="003E6CC8">
        <w:rPr>
          <w:b/>
          <w:i/>
        </w:rPr>
        <w:t>Corporations Act 2001</w:t>
      </w:r>
    </w:p>
    <w:p w14:paraId="5784060A" w14:textId="77777777" w:rsidR="003E6CC8" w:rsidRPr="003E6CC8" w:rsidRDefault="003E6CC8" w:rsidP="003E6CC8">
      <w:pPr>
        <w:spacing w:after="240" w:line="240" w:lineRule="auto"/>
        <w:jc w:val="center"/>
        <w:rPr>
          <w:b/>
        </w:rPr>
      </w:pPr>
      <w:r w:rsidRPr="003E6CC8">
        <w:rPr>
          <w:b/>
        </w:rPr>
        <w:t>(Fair Presentation Framework)</w:t>
      </w:r>
    </w:p>
    <w:p w14:paraId="7EE8A344" w14:textId="77777777" w:rsidR="003E6CC8" w:rsidRPr="003E6CC8" w:rsidRDefault="003E6CC8" w:rsidP="003E6CC8">
      <w:pPr>
        <w:pBdr>
          <w:top w:val="single" w:sz="4" w:space="1" w:color="auto"/>
          <w:left w:val="single" w:sz="4" w:space="4" w:color="auto"/>
          <w:bottom w:val="single" w:sz="4" w:space="1" w:color="auto"/>
          <w:right w:val="single" w:sz="4" w:space="4" w:color="auto"/>
        </w:pBdr>
        <w:spacing w:before="240"/>
        <w:rPr>
          <w:rFonts w:eastAsia="Calibri"/>
          <w:u w:val="single"/>
        </w:rPr>
      </w:pPr>
    </w:p>
    <w:p w14:paraId="3DCC6EA6" w14:textId="77777777" w:rsidR="003E6CC8" w:rsidRPr="003E6CC8" w:rsidRDefault="003E6CC8" w:rsidP="003E6CC8">
      <w:pPr>
        <w:pBdr>
          <w:top w:val="single" w:sz="4" w:space="1" w:color="auto"/>
          <w:left w:val="single" w:sz="4" w:space="4" w:color="auto"/>
          <w:bottom w:val="single" w:sz="4" w:space="1" w:color="auto"/>
          <w:right w:val="single" w:sz="4" w:space="4" w:color="auto"/>
        </w:pBdr>
        <w:spacing w:after="200"/>
        <w:rPr>
          <w:rFonts w:eastAsia="Calibri"/>
          <w:u w:val="single"/>
        </w:rPr>
      </w:pPr>
      <w:r w:rsidRPr="003E6CC8">
        <w:rPr>
          <w:rFonts w:eastAsia="Calibri"/>
          <w:u w:val="single"/>
        </w:rPr>
        <w:t>[</w:t>
      </w:r>
      <w:proofErr w:type="spellStart"/>
      <w:r w:rsidRPr="003E6CC8">
        <w:rPr>
          <w:rFonts w:eastAsia="Calibri"/>
          <w:u w:val="single"/>
        </w:rPr>
        <w:t>Aus</w:t>
      </w:r>
      <w:proofErr w:type="spellEnd"/>
      <w:r w:rsidRPr="003E6CC8">
        <w:rPr>
          <w:rFonts w:eastAsia="Calibri"/>
          <w:u w:val="single"/>
        </w:rPr>
        <w:t xml:space="preserve">] Illustration 1A: </w:t>
      </w:r>
    </w:p>
    <w:p w14:paraId="66BDB563" w14:textId="77777777" w:rsidR="003E6CC8" w:rsidRPr="003E6CC8" w:rsidRDefault="003E6CC8" w:rsidP="003E6CC8">
      <w:pPr>
        <w:pBdr>
          <w:top w:val="single" w:sz="4" w:space="1" w:color="auto"/>
          <w:left w:val="single" w:sz="4" w:space="4" w:color="auto"/>
          <w:bottom w:val="single" w:sz="4" w:space="1" w:color="auto"/>
          <w:right w:val="single" w:sz="4" w:space="4" w:color="auto"/>
        </w:pBdr>
        <w:spacing w:after="200"/>
        <w:rPr>
          <w:rFonts w:eastAsia="Calibri"/>
        </w:rPr>
      </w:pPr>
      <w:r w:rsidRPr="003E6CC8">
        <w:rPr>
          <w:rFonts w:eastAsia="Calibri"/>
        </w:rPr>
        <w:t>For purposes of this illustrative auditor’s report, the following circumstances are assumed:</w:t>
      </w:r>
    </w:p>
    <w:p w14:paraId="16E48410"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 xml:space="preserve">Audit of the financial report of a single listed company.  </w:t>
      </w:r>
      <w:r w:rsidRPr="003E6CC8">
        <w:t>The audit is not a group audit (</w:t>
      </w:r>
      <w:proofErr w:type="gramStart"/>
      <w:r w:rsidRPr="003E6CC8">
        <w:t>i.e.</w:t>
      </w:r>
      <w:proofErr w:type="gramEnd"/>
      <w:r w:rsidRPr="003E6CC8">
        <w:t xml:space="preserve"> ASA 600</w:t>
      </w:r>
      <w:r w:rsidRPr="003E6CC8">
        <w:rPr>
          <w:vertAlign w:val="superscript"/>
        </w:rPr>
        <w:footnoteReference w:customMarkFollows="1" w:id="23"/>
        <w:t>*</w:t>
      </w:r>
      <w:r w:rsidRPr="003E6CC8">
        <w:t xml:space="preserve"> does not apply).</w:t>
      </w:r>
    </w:p>
    <w:p w14:paraId="57AB1F45"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 xml:space="preserve">The financial report is prepared by the directors of the company in accordance with Australian Accounting Standards (a </w:t>
      </w:r>
      <w:proofErr w:type="gramStart"/>
      <w:r w:rsidRPr="003E6CC8">
        <w:rPr>
          <w:rFonts w:eastAsia="Calibri"/>
        </w:rPr>
        <w:t>general purpose</w:t>
      </w:r>
      <w:proofErr w:type="gramEnd"/>
      <w:r w:rsidRPr="003E6CC8">
        <w:rPr>
          <w:rFonts w:eastAsia="Calibri"/>
        </w:rPr>
        <w:t xml:space="preserve"> framework) and under the </w:t>
      </w:r>
      <w:r w:rsidRPr="003E6CC8">
        <w:rPr>
          <w:rFonts w:eastAsia="Calibri"/>
          <w:i/>
        </w:rPr>
        <w:t>Corporations Act 2001</w:t>
      </w:r>
      <w:r w:rsidRPr="003E6CC8">
        <w:rPr>
          <w:rFonts w:eastAsia="Calibri"/>
        </w:rPr>
        <w:t>.</w:t>
      </w:r>
    </w:p>
    <w:p w14:paraId="5ADB8284"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The terms of the audit engagement reflect the description of the directors’ responsibility for the financial report in ASA </w:t>
      </w:r>
      <w:proofErr w:type="gramStart"/>
      <w:r w:rsidRPr="003E6CC8">
        <w:rPr>
          <w:rFonts w:eastAsia="Calibri"/>
        </w:rPr>
        <w:t>210.</w:t>
      </w:r>
      <w:r w:rsidRPr="003E6CC8">
        <w:rPr>
          <w:rFonts w:eastAsia="Calibri"/>
          <w:vertAlign w:val="superscript"/>
        </w:rPr>
        <w:footnoteReference w:customMarkFollows="1" w:id="24"/>
        <w:t>#</w:t>
      </w:r>
      <w:proofErr w:type="gramEnd"/>
    </w:p>
    <w:p w14:paraId="322AE3BC"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The auditor has concluded an unmodified (i.e., “clean”) opinion is appropriate based on the audit evidence obtained.</w:t>
      </w:r>
    </w:p>
    <w:p w14:paraId="326F7EB6" w14:textId="06972E88"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 xml:space="preserve">The relevant ethical requirements that apply to the audit are the Accounting Professional </w:t>
      </w:r>
      <w:r w:rsidR="003025FA">
        <w:rPr>
          <w:rFonts w:eastAsia="Calibri"/>
        </w:rPr>
        <w:t>&amp;</w:t>
      </w:r>
      <w:r w:rsidR="003025FA" w:rsidRPr="003E6CC8">
        <w:rPr>
          <w:rFonts w:eastAsia="Calibri"/>
        </w:rPr>
        <w:t xml:space="preserve"> </w:t>
      </w:r>
      <w:r w:rsidRPr="003E6CC8">
        <w:rPr>
          <w:rFonts w:eastAsia="Calibri"/>
        </w:rPr>
        <w:t xml:space="preserve">Ethical Standards Board’s APES 110 </w:t>
      </w:r>
      <w:r w:rsidRPr="003E6CC8">
        <w:rPr>
          <w:rFonts w:eastAsia="Calibri"/>
          <w:i/>
        </w:rPr>
        <w:t>Code of Ethics for Professional Accountants</w:t>
      </w:r>
      <w:r w:rsidR="003025FA">
        <w:rPr>
          <w:rFonts w:eastAsia="Calibri"/>
          <w:i/>
        </w:rPr>
        <w:t xml:space="preserve"> </w:t>
      </w:r>
      <w:r w:rsidR="003025FA" w:rsidRPr="003025FA">
        <w:rPr>
          <w:rFonts w:eastAsia="Calibri"/>
          <w:i/>
        </w:rPr>
        <w:t>(including Independence Standards)</w:t>
      </w:r>
      <w:r w:rsidRPr="003E6CC8">
        <w:rPr>
          <w:rFonts w:eastAsia="Calibri"/>
        </w:rPr>
        <w:t>.</w:t>
      </w:r>
    </w:p>
    <w:p w14:paraId="7A5CD6AB"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Based on the audit evidence obtained, the auditor has concluded that a material uncertainty exists related to events or conditions that may cast significant doubt on the company’s ability to continue as a going concern.  The disclosure of the material uncertainty in the financial report is adequate.</w:t>
      </w:r>
    </w:p>
    <w:p w14:paraId="56A4540F"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 xml:space="preserve">Key audit matters have been communicated in accordance with ASA 701.  </w:t>
      </w:r>
    </w:p>
    <w:p w14:paraId="793999B0"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spacing w:after="200"/>
        <w:outlineLvl w:val="0"/>
        <w:rPr>
          <w:rFonts w:eastAsia="Calibri"/>
        </w:rPr>
      </w:pPr>
      <w:r w:rsidRPr="003E6CC8">
        <w:rPr>
          <w:rFonts w:eastAsia="Calibri"/>
        </w:rPr>
        <w:t xml:space="preserve">The auditor has obtained </w:t>
      </w:r>
      <w:proofErr w:type="gramStart"/>
      <w:r w:rsidRPr="003E6CC8">
        <w:rPr>
          <w:rFonts w:eastAsia="Calibri"/>
        </w:rPr>
        <w:t>all of</w:t>
      </w:r>
      <w:proofErr w:type="gramEnd"/>
      <w:r w:rsidRPr="003E6CC8">
        <w:rPr>
          <w:rFonts w:eastAsia="Calibri"/>
        </w:rPr>
        <w:t xml:space="preserve"> the other information prior to the date of the auditor’s report and has not identified a material misstatement of the other information.</w:t>
      </w:r>
    </w:p>
    <w:p w14:paraId="31C9F7C3" w14:textId="77777777" w:rsidR="003E6CC8" w:rsidRPr="003E6CC8" w:rsidRDefault="003E6CC8" w:rsidP="003E6CC8">
      <w:pPr>
        <w:numPr>
          <w:ilvl w:val="0"/>
          <w:numId w:val="35"/>
        </w:numPr>
        <w:pBdr>
          <w:top w:val="single" w:sz="4" w:space="1" w:color="auto"/>
          <w:left w:val="single" w:sz="4" w:space="4" w:color="auto"/>
          <w:bottom w:val="single" w:sz="4" w:space="1" w:color="auto"/>
          <w:right w:val="single" w:sz="4" w:space="4" w:color="auto"/>
        </w:pBdr>
        <w:outlineLvl w:val="0"/>
        <w:rPr>
          <w:rFonts w:eastAsia="Calibri"/>
        </w:rPr>
      </w:pPr>
      <w:r w:rsidRPr="003E6CC8">
        <w:rPr>
          <w:rFonts w:eastAsia="Calibri"/>
        </w:rPr>
        <w:t xml:space="preserve">In addition to the audit of the financial report, the auditor has other reporting responsibilities required under section 308(3C) of the </w:t>
      </w:r>
      <w:r w:rsidRPr="003E6CC8">
        <w:rPr>
          <w:rFonts w:eastAsia="Calibri"/>
          <w:i/>
        </w:rPr>
        <w:t>Corporations Act 2001</w:t>
      </w:r>
      <w:r w:rsidRPr="003E6CC8">
        <w:rPr>
          <w:rFonts w:eastAsia="Calibri"/>
        </w:rPr>
        <w:t>.</w:t>
      </w:r>
    </w:p>
    <w:p w14:paraId="2C32D360" w14:textId="77777777" w:rsidR="003E6CC8" w:rsidRPr="003E6CC8" w:rsidRDefault="003E6CC8" w:rsidP="003E6CC8">
      <w:pPr>
        <w:pBdr>
          <w:top w:val="single" w:sz="4" w:space="1" w:color="auto"/>
          <w:left w:val="single" w:sz="4" w:space="4" w:color="auto"/>
          <w:bottom w:val="single" w:sz="4" w:space="1" w:color="auto"/>
          <w:right w:val="single" w:sz="4" w:space="4" w:color="auto"/>
        </w:pBdr>
        <w:spacing w:after="200"/>
        <w:outlineLvl w:val="0"/>
        <w:rPr>
          <w:rFonts w:eastAsia="Calibri"/>
        </w:rPr>
      </w:pPr>
    </w:p>
    <w:p w14:paraId="34E3D40E" w14:textId="77777777" w:rsidR="003E6CC8" w:rsidRPr="003E6CC8" w:rsidRDefault="003E6CC8" w:rsidP="003E6CC8">
      <w:pPr>
        <w:keepNext/>
        <w:spacing w:before="120" w:after="200"/>
        <w:outlineLvl w:val="7"/>
        <w:rPr>
          <w:iCs/>
          <w:szCs w:val="22"/>
        </w:rPr>
      </w:pPr>
      <w:r w:rsidRPr="003E6CC8">
        <w:rPr>
          <w:iCs/>
          <w:szCs w:val="22"/>
        </w:rPr>
        <w:t xml:space="preserve">INDEPENDENT AUDITOR’S REPORT </w:t>
      </w:r>
    </w:p>
    <w:p w14:paraId="234AF02F" w14:textId="77777777" w:rsidR="003E6CC8" w:rsidRPr="003E6CC8" w:rsidRDefault="003E6CC8" w:rsidP="003E6CC8">
      <w:pPr>
        <w:spacing w:after="200"/>
      </w:pPr>
      <w:r w:rsidRPr="003E6CC8">
        <w:t>[Appropriate Addressee]</w:t>
      </w:r>
    </w:p>
    <w:p w14:paraId="0CECFF6A" w14:textId="77777777" w:rsidR="003E6CC8" w:rsidRPr="003E6CC8" w:rsidRDefault="003E6CC8" w:rsidP="003E6CC8">
      <w:pPr>
        <w:keepNext/>
        <w:spacing w:after="200"/>
        <w:outlineLvl w:val="7"/>
        <w:rPr>
          <w:iCs/>
          <w:szCs w:val="22"/>
        </w:rPr>
      </w:pPr>
      <w:r w:rsidRPr="003E6CC8">
        <w:rPr>
          <w:b/>
          <w:iCs/>
          <w:szCs w:val="22"/>
        </w:rPr>
        <w:t>Report on the Audit of the Financial Report</w:t>
      </w:r>
      <w:r w:rsidRPr="003E6CC8">
        <w:rPr>
          <w:iCs/>
          <w:szCs w:val="22"/>
          <w:vertAlign w:val="superscript"/>
        </w:rPr>
        <w:footnoteReference w:customMarkFollows="1" w:id="25"/>
        <w:t>§</w:t>
      </w:r>
    </w:p>
    <w:p w14:paraId="7B0F2BCB" w14:textId="77777777" w:rsidR="003E6CC8" w:rsidRPr="003E6CC8" w:rsidRDefault="003E6CC8" w:rsidP="003E6CC8">
      <w:pPr>
        <w:keepNext/>
        <w:spacing w:after="200"/>
        <w:outlineLvl w:val="7"/>
        <w:rPr>
          <w:b/>
          <w:iCs/>
          <w:szCs w:val="22"/>
        </w:rPr>
      </w:pPr>
      <w:r w:rsidRPr="003E6CC8">
        <w:rPr>
          <w:b/>
          <w:iCs/>
          <w:szCs w:val="22"/>
        </w:rPr>
        <w:t>Opinion</w:t>
      </w:r>
    </w:p>
    <w:p w14:paraId="101003FC" w14:textId="77777777" w:rsidR="003E6CC8" w:rsidRPr="003E6CC8" w:rsidRDefault="003E6CC8" w:rsidP="003E6CC8">
      <w:pPr>
        <w:spacing w:after="200"/>
      </w:pPr>
      <w:r w:rsidRPr="003E6CC8">
        <w:t xml:space="preserve">We have audited the financial report of ABC Company Ltd. (the Company), which comprises the statement of financial position as </w:t>
      </w:r>
      <w:proofErr w:type="gramStart"/>
      <w:r w:rsidRPr="003E6CC8">
        <w:t>at</w:t>
      </w:r>
      <w:proofErr w:type="gramEnd"/>
      <w:r w:rsidRPr="003E6CC8">
        <w:t xml:space="preserve"> 30 June 20X1, the statement of comprehensive income, statement </w:t>
      </w:r>
      <w:r w:rsidRPr="003E6CC8">
        <w:lastRenderedPageBreak/>
        <w:t>of changes in equity and statement of cash flows for the year then ended, and notes to the financial statements, including a summary of significant accounting policies, and the directors’ declaration.</w:t>
      </w:r>
    </w:p>
    <w:p w14:paraId="51758A20" w14:textId="77777777" w:rsidR="003E6CC8" w:rsidRPr="003E6CC8" w:rsidRDefault="003E6CC8" w:rsidP="003E6CC8">
      <w:r w:rsidRPr="003E6CC8">
        <w:t xml:space="preserve">In our opinion, the accompanying financial report of ABC Company Ltd., is in accordance with the </w:t>
      </w:r>
      <w:r w:rsidRPr="003E6CC8">
        <w:rPr>
          <w:i/>
        </w:rPr>
        <w:t>Corporations Act 2001</w:t>
      </w:r>
      <w:r w:rsidRPr="003E6CC8">
        <w:t>, including:</w:t>
      </w:r>
    </w:p>
    <w:p w14:paraId="2540D494" w14:textId="77777777" w:rsidR="003E6CC8" w:rsidRPr="003E6CC8" w:rsidRDefault="003E6CC8" w:rsidP="003E6CC8">
      <w:pPr>
        <w:numPr>
          <w:ilvl w:val="1"/>
          <w:numId w:val="38"/>
        </w:numPr>
        <w:tabs>
          <w:tab w:val="clear" w:pos="1418"/>
          <w:tab w:val="num" w:pos="567"/>
        </w:tabs>
        <w:spacing w:before="120" w:after="200"/>
        <w:ind w:left="567" w:hanging="567"/>
      </w:pPr>
      <w:r w:rsidRPr="003E6CC8">
        <w:t xml:space="preserve">giving a true and fair view of the Company’s financial position as </w:t>
      </w:r>
      <w:proofErr w:type="gramStart"/>
      <w:r w:rsidRPr="003E6CC8">
        <w:t>at</w:t>
      </w:r>
      <w:proofErr w:type="gramEnd"/>
      <w:r w:rsidRPr="003E6CC8">
        <w:t xml:space="preserve"> 30 June 20X1, and of its financial performance for the year then ended; and</w:t>
      </w:r>
    </w:p>
    <w:p w14:paraId="4327FB45" w14:textId="77777777" w:rsidR="003E6CC8" w:rsidRPr="003E6CC8" w:rsidRDefault="003E6CC8" w:rsidP="003E6CC8">
      <w:pPr>
        <w:numPr>
          <w:ilvl w:val="1"/>
          <w:numId w:val="38"/>
        </w:numPr>
        <w:tabs>
          <w:tab w:val="clear" w:pos="1418"/>
          <w:tab w:val="num" w:pos="567"/>
        </w:tabs>
        <w:spacing w:before="120" w:after="200"/>
        <w:ind w:left="567" w:hanging="567"/>
      </w:pPr>
      <w:r w:rsidRPr="003E6CC8">
        <w:t xml:space="preserve">complying with Australian </w:t>
      </w:r>
      <w:r w:rsidRPr="003E6CC8">
        <w:rPr>
          <w:rFonts w:eastAsia="Calibri"/>
        </w:rPr>
        <w:t xml:space="preserve">Accounting Standards and the </w:t>
      </w:r>
      <w:r w:rsidRPr="003E6CC8">
        <w:rPr>
          <w:rFonts w:eastAsia="Calibri"/>
          <w:i/>
        </w:rPr>
        <w:t>Corporations Regulations 2001</w:t>
      </w:r>
      <w:r w:rsidRPr="003E6CC8">
        <w:rPr>
          <w:rFonts w:eastAsia="Calibri"/>
        </w:rPr>
        <w:t>.</w:t>
      </w:r>
    </w:p>
    <w:p w14:paraId="6FDF672C" w14:textId="77777777" w:rsidR="003E6CC8" w:rsidRPr="003E6CC8" w:rsidRDefault="003E6CC8" w:rsidP="003E6CC8">
      <w:pPr>
        <w:keepNext/>
        <w:spacing w:after="200"/>
        <w:outlineLvl w:val="7"/>
        <w:rPr>
          <w:b/>
          <w:iCs/>
          <w:szCs w:val="22"/>
        </w:rPr>
      </w:pPr>
      <w:r w:rsidRPr="003E6CC8">
        <w:rPr>
          <w:b/>
          <w:iCs/>
          <w:szCs w:val="22"/>
        </w:rPr>
        <w:t>Basis for Opinion</w:t>
      </w:r>
    </w:p>
    <w:p w14:paraId="6885EC68" w14:textId="70E0D093" w:rsidR="003E6CC8" w:rsidRPr="003E6CC8" w:rsidRDefault="003E6CC8" w:rsidP="003E6CC8">
      <w:pPr>
        <w:spacing w:after="200"/>
      </w:pPr>
      <w:r w:rsidRPr="003E6CC8">
        <w:t xml:space="preserve">We conducted our audit in accordance with Australian Auditing Standards.  Our responsibilities under those standards are further described in the </w:t>
      </w:r>
      <w:r w:rsidRPr="003E6CC8">
        <w:rPr>
          <w:i/>
        </w:rPr>
        <w:t>Auditor’s</w:t>
      </w:r>
      <w:r w:rsidRPr="003E6CC8">
        <w:t xml:space="preserve"> </w:t>
      </w:r>
      <w:r w:rsidRPr="003E6CC8">
        <w:rPr>
          <w:i/>
        </w:rPr>
        <w:t>Responsibilities</w:t>
      </w:r>
      <w:r w:rsidRPr="003E6CC8">
        <w:t xml:space="preserve"> </w:t>
      </w:r>
      <w:r w:rsidRPr="003E6CC8">
        <w:rPr>
          <w:i/>
        </w:rPr>
        <w:t>for</w:t>
      </w:r>
      <w:r w:rsidRPr="003E6CC8">
        <w:t xml:space="preserve"> </w:t>
      </w:r>
      <w:r w:rsidRPr="003E6CC8">
        <w:rPr>
          <w:i/>
        </w:rPr>
        <w:t>the</w:t>
      </w:r>
      <w:r w:rsidRPr="003E6CC8">
        <w:t xml:space="preserve"> </w:t>
      </w:r>
      <w:r w:rsidRPr="003E6CC8">
        <w:rPr>
          <w:i/>
        </w:rPr>
        <w:t>Audit</w:t>
      </w:r>
      <w:r w:rsidRPr="003E6CC8">
        <w:t xml:space="preserve"> </w:t>
      </w:r>
      <w:r w:rsidRPr="003E6CC8">
        <w:rPr>
          <w:i/>
        </w:rPr>
        <w:t>of</w:t>
      </w:r>
      <w:r w:rsidRPr="003E6CC8">
        <w:t xml:space="preserve"> </w:t>
      </w:r>
      <w:r w:rsidRPr="003E6CC8">
        <w:rPr>
          <w:i/>
        </w:rPr>
        <w:t>the</w:t>
      </w:r>
      <w:r w:rsidRPr="003E6CC8">
        <w:t xml:space="preserve"> </w:t>
      </w:r>
      <w:r w:rsidRPr="003E6CC8">
        <w:rPr>
          <w:i/>
        </w:rPr>
        <w:t>Financial Report</w:t>
      </w:r>
      <w:r w:rsidRPr="003E6CC8">
        <w:t xml:space="preserve"> section of our report.  We are independent of the Company in accordance with the auditor independence requirements of the </w:t>
      </w:r>
      <w:r w:rsidRPr="003E6CC8">
        <w:rPr>
          <w:i/>
        </w:rPr>
        <w:t>Corporations Act 2001</w:t>
      </w:r>
      <w:r w:rsidRPr="003E6CC8">
        <w:t xml:space="preserve"> and the ethical requirements of the Accounting Professional </w:t>
      </w:r>
      <w:r w:rsidR="003025FA">
        <w:t>&amp;</w:t>
      </w:r>
      <w:r w:rsidR="003025FA" w:rsidRPr="003E6CC8">
        <w:t xml:space="preserve"> </w:t>
      </w:r>
      <w:r w:rsidRPr="003E6CC8">
        <w:t xml:space="preserve">Ethical Standards Board’s APES 110 </w:t>
      </w:r>
      <w:r w:rsidRPr="003E6CC8">
        <w:rPr>
          <w:i/>
        </w:rPr>
        <w:t>Code of Ethics for Professional Accountants</w:t>
      </w:r>
      <w:r w:rsidR="003025FA">
        <w:rPr>
          <w:i/>
        </w:rPr>
        <w:t xml:space="preserve"> </w:t>
      </w:r>
      <w:r w:rsidR="003025FA" w:rsidRPr="003025FA">
        <w:rPr>
          <w:i/>
        </w:rPr>
        <w:t>(including Independence Standards)</w:t>
      </w:r>
      <w:r w:rsidRPr="003E6CC8">
        <w:rPr>
          <w:i/>
        </w:rPr>
        <w:t xml:space="preserve"> </w:t>
      </w:r>
      <w:r w:rsidRPr="003E6CC8">
        <w:t>(the Code) that are relevant to our audit of the financial report in Australia.  We have also fulfilled our other ethical responsibilities in accordance with the Code.</w:t>
      </w:r>
    </w:p>
    <w:p w14:paraId="74CB417F" w14:textId="77777777" w:rsidR="003E6CC8" w:rsidRPr="003E6CC8" w:rsidRDefault="003E6CC8" w:rsidP="003E6CC8">
      <w:pPr>
        <w:spacing w:after="200"/>
      </w:pPr>
      <w:r w:rsidRPr="003E6CC8">
        <w:t xml:space="preserve">We confirm that the independence declaration required by the </w:t>
      </w:r>
      <w:r w:rsidRPr="003E6CC8">
        <w:rPr>
          <w:i/>
        </w:rPr>
        <w:t>Corporations Act 2001</w:t>
      </w:r>
      <w:r w:rsidRPr="003E6CC8">
        <w:t xml:space="preserve">, which has been given to the directors of the Company would be on the same terms if given to the directors as at the time of this auditor’s </w:t>
      </w:r>
      <w:proofErr w:type="gramStart"/>
      <w:r w:rsidRPr="003E6CC8">
        <w:t>report.</w:t>
      </w:r>
      <w:r w:rsidRPr="003E6CC8">
        <w:rPr>
          <w:vertAlign w:val="superscript"/>
        </w:rPr>
        <w:footnoteReference w:customMarkFollows="1" w:id="26"/>
        <w:t>*</w:t>
      </w:r>
      <w:proofErr w:type="gramEnd"/>
    </w:p>
    <w:p w14:paraId="349C9EAC" w14:textId="77777777" w:rsidR="003E6CC8" w:rsidRPr="003E6CC8" w:rsidRDefault="003E6CC8" w:rsidP="003E6CC8">
      <w:pPr>
        <w:spacing w:after="200"/>
      </w:pPr>
      <w:r w:rsidRPr="003E6CC8">
        <w:t>We believe that the audit evidence we have obtained is sufficient and appropriate to provide a basis for our opinion.</w:t>
      </w:r>
    </w:p>
    <w:p w14:paraId="777FF7EF" w14:textId="77777777" w:rsidR="003E6CC8" w:rsidRPr="003E6CC8" w:rsidRDefault="003E6CC8" w:rsidP="003E6CC8">
      <w:pPr>
        <w:keepNext/>
        <w:spacing w:after="200"/>
        <w:outlineLvl w:val="7"/>
        <w:rPr>
          <w:rFonts w:eastAsia="Calibri"/>
          <w:b/>
          <w:iCs/>
          <w:szCs w:val="22"/>
        </w:rPr>
      </w:pPr>
      <w:r w:rsidRPr="003E6CC8">
        <w:rPr>
          <w:b/>
          <w:iCs/>
          <w:szCs w:val="22"/>
        </w:rPr>
        <w:t>Material Uncertainty Related to Going Concern</w:t>
      </w:r>
    </w:p>
    <w:p w14:paraId="035788A9" w14:textId="77777777" w:rsidR="003E6CC8" w:rsidRPr="003E6CC8" w:rsidRDefault="003E6CC8" w:rsidP="003E6CC8">
      <w:pPr>
        <w:spacing w:after="200"/>
      </w:pPr>
      <w:r w:rsidRPr="003E6CC8">
        <w:t xml:space="preserve">We draw attention to Note 6 in the financial report, which indicates that the Company incurred a net loss of ZZZ during the year ended 30 June 20X1 and, as of that date, the Company’s current liabilities exceeded its total assets by YYY.  As stated in Note 6, these </w:t>
      </w:r>
      <w:proofErr w:type="gramStart"/>
      <w:r w:rsidRPr="003E6CC8">
        <w:t>events</w:t>
      </w:r>
      <w:proofErr w:type="gramEnd"/>
      <w:r w:rsidRPr="003E6CC8">
        <w:t xml:space="preserve"> or conditions, along with other matters as set forth in Note 6, indicate that a material uncertainty exists that may cast significant doubt on the Company’s ability to continue as a going concern.  Our opinion is not modified in respect of this matter.</w:t>
      </w:r>
    </w:p>
    <w:p w14:paraId="5022602F" w14:textId="77777777" w:rsidR="003E6CC8" w:rsidRPr="003E6CC8" w:rsidRDefault="003E6CC8" w:rsidP="003E6CC8">
      <w:pPr>
        <w:keepNext/>
        <w:spacing w:after="200"/>
        <w:outlineLvl w:val="7"/>
        <w:rPr>
          <w:b/>
          <w:iCs/>
          <w:szCs w:val="22"/>
        </w:rPr>
      </w:pPr>
      <w:r w:rsidRPr="003E6CC8">
        <w:rPr>
          <w:b/>
          <w:iCs/>
          <w:szCs w:val="22"/>
        </w:rPr>
        <w:t>Key Audit Matters</w:t>
      </w:r>
    </w:p>
    <w:p w14:paraId="51D0CC08" w14:textId="77777777" w:rsidR="003E6CC8" w:rsidRPr="003E6CC8" w:rsidRDefault="003E6CC8" w:rsidP="003E6CC8">
      <w:pPr>
        <w:spacing w:after="200"/>
      </w:pPr>
      <w:r w:rsidRPr="003E6CC8">
        <w:t xml:space="preserve">Key audit matters are those matters that, in our professional judgement, were of most significance in our audit of the financial report of the current period.  These matters were addressed in the context of our audit of the financial </w:t>
      </w:r>
      <w:proofErr w:type="gramStart"/>
      <w:r w:rsidRPr="003E6CC8">
        <w:t>report as a whole, and</w:t>
      </w:r>
      <w:proofErr w:type="gramEnd"/>
      <w:r w:rsidRPr="003E6CC8">
        <w:t xml:space="preserve"> in forming our opinion thereon, and we do not provide a separate opinion on these matters.  In addition to the matter described in the </w:t>
      </w:r>
      <w:r w:rsidRPr="003E6CC8">
        <w:rPr>
          <w:i/>
        </w:rPr>
        <w:t>Material</w:t>
      </w:r>
      <w:r w:rsidRPr="003E6CC8">
        <w:t xml:space="preserve"> </w:t>
      </w:r>
      <w:r w:rsidRPr="003E6CC8">
        <w:rPr>
          <w:i/>
        </w:rPr>
        <w:t>Uncertainty</w:t>
      </w:r>
      <w:r w:rsidRPr="003E6CC8">
        <w:t xml:space="preserve"> </w:t>
      </w:r>
      <w:r w:rsidRPr="003E6CC8">
        <w:rPr>
          <w:i/>
        </w:rPr>
        <w:t>Related</w:t>
      </w:r>
      <w:r w:rsidRPr="003E6CC8">
        <w:t xml:space="preserve"> </w:t>
      </w:r>
      <w:r w:rsidRPr="003E6CC8">
        <w:rPr>
          <w:i/>
        </w:rPr>
        <w:t>to</w:t>
      </w:r>
      <w:r w:rsidRPr="003E6CC8">
        <w:t xml:space="preserve"> </w:t>
      </w:r>
      <w:r w:rsidRPr="003E6CC8">
        <w:rPr>
          <w:i/>
        </w:rPr>
        <w:t>Going</w:t>
      </w:r>
      <w:r w:rsidRPr="003E6CC8">
        <w:t xml:space="preserve"> </w:t>
      </w:r>
      <w:r w:rsidRPr="003E6CC8">
        <w:rPr>
          <w:i/>
        </w:rPr>
        <w:t>Concern</w:t>
      </w:r>
      <w:r w:rsidRPr="003E6CC8">
        <w:t xml:space="preserve"> section, we have determined the matters described below to be the key audit matters to be communicated in our report.  </w:t>
      </w:r>
    </w:p>
    <w:p w14:paraId="52302A65" w14:textId="77777777" w:rsidR="003E6CC8" w:rsidRPr="003E6CC8" w:rsidRDefault="003E6CC8" w:rsidP="003E6CC8">
      <w:pPr>
        <w:spacing w:after="200"/>
      </w:pPr>
      <w:r w:rsidRPr="003E6CC8">
        <w:t>[</w:t>
      </w:r>
      <w:r w:rsidRPr="003E6CC8">
        <w:rPr>
          <w:i/>
        </w:rPr>
        <w:t>Description</w:t>
      </w:r>
      <w:r w:rsidRPr="003E6CC8">
        <w:t xml:space="preserve"> </w:t>
      </w:r>
      <w:r w:rsidRPr="003E6CC8">
        <w:rPr>
          <w:i/>
        </w:rPr>
        <w:t>of</w:t>
      </w:r>
      <w:r w:rsidRPr="003E6CC8">
        <w:t xml:space="preserve"> </w:t>
      </w:r>
      <w:r w:rsidRPr="003E6CC8">
        <w:rPr>
          <w:i/>
        </w:rPr>
        <w:t>each</w:t>
      </w:r>
      <w:r w:rsidRPr="003E6CC8">
        <w:t xml:space="preserve"> </w:t>
      </w:r>
      <w:r w:rsidRPr="003E6CC8">
        <w:rPr>
          <w:i/>
        </w:rPr>
        <w:t>key</w:t>
      </w:r>
      <w:r w:rsidRPr="003E6CC8">
        <w:t xml:space="preserve"> </w:t>
      </w:r>
      <w:r w:rsidRPr="003E6CC8">
        <w:rPr>
          <w:i/>
        </w:rPr>
        <w:t>audit</w:t>
      </w:r>
      <w:r w:rsidRPr="003E6CC8">
        <w:t xml:space="preserve"> </w:t>
      </w:r>
      <w:r w:rsidRPr="003E6CC8">
        <w:rPr>
          <w:i/>
        </w:rPr>
        <w:t>matter</w:t>
      </w:r>
      <w:r w:rsidRPr="003E6CC8">
        <w:t xml:space="preserve"> </w:t>
      </w:r>
      <w:r w:rsidRPr="003E6CC8">
        <w:rPr>
          <w:i/>
        </w:rPr>
        <w:t>in</w:t>
      </w:r>
      <w:r w:rsidRPr="003E6CC8">
        <w:t xml:space="preserve"> </w:t>
      </w:r>
      <w:r w:rsidRPr="003E6CC8">
        <w:rPr>
          <w:i/>
        </w:rPr>
        <w:t>accordance</w:t>
      </w:r>
      <w:r w:rsidRPr="003E6CC8">
        <w:t xml:space="preserve"> </w:t>
      </w:r>
      <w:r w:rsidRPr="003E6CC8">
        <w:rPr>
          <w:i/>
        </w:rPr>
        <w:t>with</w:t>
      </w:r>
      <w:r w:rsidRPr="003E6CC8">
        <w:t xml:space="preserve"> </w:t>
      </w:r>
      <w:r w:rsidRPr="003E6CC8">
        <w:rPr>
          <w:i/>
        </w:rPr>
        <w:t>ASA 701</w:t>
      </w:r>
      <w:r w:rsidRPr="003E6CC8">
        <w:t xml:space="preserve">.] </w:t>
      </w:r>
    </w:p>
    <w:p w14:paraId="1CD73637" w14:textId="77777777" w:rsidR="003E6CC8" w:rsidRPr="003E6CC8" w:rsidRDefault="003E6CC8" w:rsidP="003E6CC8">
      <w:pPr>
        <w:keepNext/>
        <w:spacing w:after="200"/>
        <w:outlineLvl w:val="7"/>
        <w:rPr>
          <w:b/>
          <w:iCs/>
          <w:szCs w:val="22"/>
        </w:rPr>
      </w:pPr>
      <w:r w:rsidRPr="003E6CC8">
        <w:rPr>
          <w:b/>
          <w:iCs/>
          <w:szCs w:val="22"/>
        </w:rPr>
        <w:t>Other Information [or another title if appropriate such as “Information Other than the Financial Report and Auditor’s Report Thereon”]</w:t>
      </w:r>
    </w:p>
    <w:p w14:paraId="0747A770" w14:textId="77777777" w:rsidR="003E6CC8" w:rsidRPr="003E6CC8" w:rsidRDefault="003E6CC8" w:rsidP="003E6CC8">
      <w:pPr>
        <w:spacing w:after="200"/>
      </w:pPr>
      <w:r w:rsidRPr="003E6CC8">
        <w:t>[</w:t>
      </w:r>
      <w:r w:rsidRPr="003E6CC8">
        <w:rPr>
          <w:i/>
        </w:rPr>
        <w:t xml:space="preserve">Reporting in accordance with </w:t>
      </w:r>
      <w:r w:rsidRPr="003E6CC8">
        <w:rPr>
          <w:rFonts w:eastAsia="Calibri"/>
          <w:i/>
        </w:rPr>
        <w:t xml:space="preserve">the reporting requirements in </w:t>
      </w:r>
      <w:r w:rsidRPr="003E6CC8">
        <w:rPr>
          <w:i/>
        </w:rPr>
        <w:t>ASA 720 – see [</w:t>
      </w:r>
      <w:proofErr w:type="spellStart"/>
      <w:r w:rsidRPr="003E6CC8">
        <w:rPr>
          <w:i/>
        </w:rPr>
        <w:t>Aus</w:t>
      </w:r>
      <w:proofErr w:type="spellEnd"/>
      <w:r w:rsidRPr="003E6CC8">
        <w:rPr>
          <w:i/>
        </w:rPr>
        <w:t>] Illustration 1A in Appendix 3 of ASA 720</w:t>
      </w:r>
      <w:r w:rsidRPr="003E6CC8">
        <w:t>.]</w:t>
      </w:r>
    </w:p>
    <w:p w14:paraId="422AC2E1" w14:textId="77777777" w:rsidR="003E6CC8" w:rsidRPr="00EB786F" w:rsidRDefault="003E6CC8" w:rsidP="003E6CC8">
      <w:pPr>
        <w:pStyle w:val="Heading6"/>
      </w:pPr>
      <w:r w:rsidRPr="00C525CC">
        <w:lastRenderedPageBreak/>
        <w:t>Responsibilities</w:t>
      </w:r>
      <w:r>
        <w:t xml:space="preserve"> of the Directors for the Financial Report</w:t>
      </w:r>
    </w:p>
    <w:p w14:paraId="7D830069" w14:textId="77777777" w:rsidR="003E6CC8" w:rsidRPr="00EB786F" w:rsidRDefault="003E6CC8" w:rsidP="003E6CC8">
      <w:pPr>
        <w:pStyle w:val="ParaPlain"/>
      </w:pPr>
      <w:r w:rsidRPr="00EB786F">
        <w:t>[</w:t>
      </w:r>
      <w:r w:rsidRPr="00F00B65">
        <w:rPr>
          <w:i/>
        </w:rPr>
        <w:t xml:space="preserve">Reporting in accordance with ASA 700 – see </w:t>
      </w:r>
      <w:r>
        <w:rPr>
          <w:i/>
        </w:rPr>
        <w:t>[</w:t>
      </w:r>
      <w:proofErr w:type="spellStart"/>
      <w:r>
        <w:rPr>
          <w:i/>
        </w:rPr>
        <w:t>Aus</w:t>
      </w:r>
      <w:proofErr w:type="spellEnd"/>
      <w:r>
        <w:rPr>
          <w:i/>
        </w:rPr>
        <w:t xml:space="preserve">] </w:t>
      </w:r>
      <w:r w:rsidRPr="00F00B65">
        <w:rPr>
          <w:i/>
        </w:rPr>
        <w:t>Illustration</w:t>
      </w:r>
      <w:r>
        <w:rPr>
          <w:i/>
        </w:rPr>
        <w:t xml:space="preserve"> </w:t>
      </w:r>
      <w:r w:rsidRPr="00F00B65">
        <w:rPr>
          <w:i/>
        </w:rPr>
        <w:t>1</w:t>
      </w:r>
      <w:r>
        <w:rPr>
          <w:i/>
        </w:rPr>
        <w:t>A</w:t>
      </w:r>
      <w:r w:rsidRPr="00F00B65">
        <w:rPr>
          <w:i/>
        </w:rPr>
        <w:t xml:space="preserve"> in ASA 700.</w:t>
      </w:r>
      <w:r>
        <w:rPr>
          <w:rStyle w:val="FootnoteReference"/>
        </w:rPr>
        <w:footnoteReference w:customMarkFollows="1" w:id="27"/>
        <w:t>*</w:t>
      </w:r>
      <w:r w:rsidRPr="00EB786F">
        <w:t>]</w:t>
      </w:r>
    </w:p>
    <w:p w14:paraId="25B3B1B5" w14:textId="77777777" w:rsidR="003E6CC8" w:rsidRPr="00C525CC" w:rsidRDefault="003E6CC8" w:rsidP="003E6CC8">
      <w:pPr>
        <w:pStyle w:val="Heading8"/>
        <w:rPr>
          <w:b/>
        </w:rPr>
      </w:pPr>
      <w:r w:rsidRPr="00C525CC">
        <w:rPr>
          <w:b/>
        </w:rPr>
        <w:t xml:space="preserve">Auditor’s Responsibilities for the Audit of the Financial Report </w:t>
      </w:r>
    </w:p>
    <w:p w14:paraId="79B54671" w14:textId="77777777" w:rsidR="003E6CC8" w:rsidRPr="00EB786F" w:rsidRDefault="003E6CC8" w:rsidP="003E6CC8">
      <w:pPr>
        <w:pStyle w:val="ParaPlain"/>
      </w:pPr>
      <w:r w:rsidRPr="00EB786F">
        <w:t>[</w:t>
      </w:r>
      <w:r w:rsidRPr="0028601C">
        <w:rPr>
          <w:i/>
        </w:rPr>
        <w:t>Reporting</w:t>
      </w:r>
      <w:r w:rsidRPr="00EB786F">
        <w:t xml:space="preserve"> </w:t>
      </w:r>
      <w:r w:rsidRPr="0028601C">
        <w:rPr>
          <w:i/>
        </w:rPr>
        <w:t>in</w:t>
      </w:r>
      <w:r w:rsidRPr="00EB786F">
        <w:t xml:space="preserve"> </w:t>
      </w:r>
      <w:r w:rsidRPr="0028601C">
        <w:rPr>
          <w:i/>
        </w:rPr>
        <w:t>accordance</w:t>
      </w:r>
      <w:r w:rsidRPr="00EB786F">
        <w:t xml:space="preserve"> </w:t>
      </w:r>
      <w:r w:rsidRPr="0028601C">
        <w:rPr>
          <w:i/>
        </w:rPr>
        <w:t>with</w:t>
      </w:r>
      <w:r w:rsidRPr="00EB786F">
        <w:t xml:space="preserve"> </w:t>
      </w:r>
      <w:r>
        <w:rPr>
          <w:i/>
        </w:rPr>
        <w:t>ASA </w:t>
      </w:r>
      <w:r w:rsidRPr="0028601C">
        <w:rPr>
          <w:i/>
        </w:rPr>
        <w:t>700</w:t>
      </w:r>
      <w:r>
        <w:rPr>
          <w:i/>
        </w:rPr>
        <w:t xml:space="preserve"> </w:t>
      </w:r>
      <w:r w:rsidRPr="00EB786F">
        <w:t xml:space="preserve">– </w:t>
      </w:r>
      <w:r w:rsidRPr="0028601C">
        <w:rPr>
          <w:i/>
        </w:rPr>
        <w:t>see</w:t>
      </w:r>
      <w:r w:rsidRPr="00EB786F">
        <w:t xml:space="preserve"> </w:t>
      </w:r>
      <w:r>
        <w:rPr>
          <w:i/>
        </w:rPr>
        <w:t>[</w:t>
      </w:r>
      <w:proofErr w:type="spellStart"/>
      <w:r>
        <w:rPr>
          <w:i/>
        </w:rPr>
        <w:t>Aus</w:t>
      </w:r>
      <w:proofErr w:type="spellEnd"/>
      <w:r>
        <w:rPr>
          <w:i/>
        </w:rPr>
        <w:t xml:space="preserve">] </w:t>
      </w:r>
      <w:r w:rsidRPr="0028601C">
        <w:rPr>
          <w:i/>
        </w:rPr>
        <w:t>Illustration</w:t>
      </w:r>
      <w:r>
        <w:t> </w:t>
      </w:r>
      <w:r w:rsidRPr="0028601C">
        <w:rPr>
          <w:i/>
        </w:rPr>
        <w:t>1</w:t>
      </w:r>
      <w:r>
        <w:rPr>
          <w:i/>
        </w:rPr>
        <w:t>A</w:t>
      </w:r>
      <w:r w:rsidRPr="00EB786F">
        <w:t xml:space="preserve"> </w:t>
      </w:r>
      <w:r w:rsidRPr="0028601C">
        <w:rPr>
          <w:i/>
        </w:rPr>
        <w:t>in</w:t>
      </w:r>
      <w:r w:rsidRPr="00EB786F">
        <w:t xml:space="preserve"> </w:t>
      </w:r>
      <w:r>
        <w:rPr>
          <w:i/>
        </w:rPr>
        <w:t>ASA </w:t>
      </w:r>
      <w:r w:rsidRPr="0028601C">
        <w:rPr>
          <w:i/>
        </w:rPr>
        <w:t>700</w:t>
      </w:r>
      <w:r w:rsidRPr="00EB786F">
        <w:t>.</w:t>
      </w:r>
      <w:r>
        <w:t>]</w:t>
      </w:r>
    </w:p>
    <w:p w14:paraId="3A5C4726" w14:textId="77777777" w:rsidR="003E6CC8" w:rsidRPr="00C525CC" w:rsidRDefault="003E6CC8" w:rsidP="003E6CC8">
      <w:pPr>
        <w:pStyle w:val="Heading8"/>
        <w:rPr>
          <w:b/>
        </w:rPr>
      </w:pPr>
      <w:r>
        <w:rPr>
          <w:b/>
        </w:rPr>
        <w:t>Report on the Remuneration Report</w:t>
      </w:r>
      <w:r>
        <w:rPr>
          <w:rStyle w:val="FootnoteReference"/>
          <w:b/>
        </w:rPr>
        <w:footnoteReference w:customMarkFollows="1" w:id="28"/>
        <w:t>#</w:t>
      </w:r>
    </w:p>
    <w:p w14:paraId="01225E71" w14:textId="77777777" w:rsidR="003E6CC8" w:rsidRPr="00EB786F" w:rsidRDefault="003E6CC8" w:rsidP="003E6CC8">
      <w:pPr>
        <w:pStyle w:val="ParaPlain"/>
      </w:pPr>
      <w:r w:rsidRPr="00EB786F">
        <w:t>[</w:t>
      </w:r>
      <w:r w:rsidRPr="0028601C">
        <w:rPr>
          <w:i/>
        </w:rPr>
        <w:t>Reporting</w:t>
      </w:r>
      <w:r w:rsidRPr="00EB786F">
        <w:t xml:space="preserve"> </w:t>
      </w:r>
      <w:r w:rsidRPr="0028601C">
        <w:rPr>
          <w:i/>
        </w:rPr>
        <w:t>in</w:t>
      </w:r>
      <w:r w:rsidRPr="00EB786F">
        <w:t xml:space="preserve"> </w:t>
      </w:r>
      <w:r w:rsidRPr="0028601C">
        <w:rPr>
          <w:i/>
        </w:rPr>
        <w:t>accordance</w:t>
      </w:r>
      <w:r w:rsidRPr="00EB786F">
        <w:t xml:space="preserve"> </w:t>
      </w:r>
      <w:r w:rsidRPr="0028601C">
        <w:rPr>
          <w:i/>
        </w:rPr>
        <w:t>with</w:t>
      </w:r>
      <w:r w:rsidRPr="00EB786F">
        <w:t xml:space="preserve"> </w:t>
      </w:r>
      <w:r>
        <w:rPr>
          <w:i/>
        </w:rPr>
        <w:t>ASA </w:t>
      </w:r>
      <w:r w:rsidRPr="0028601C">
        <w:rPr>
          <w:i/>
        </w:rPr>
        <w:t>700</w:t>
      </w:r>
      <w:r w:rsidRPr="00EB786F">
        <w:t xml:space="preserve"> – </w:t>
      </w:r>
      <w:r w:rsidRPr="0028601C">
        <w:rPr>
          <w:i/>
        </w:rPr>
        <w:t>see</w:t>
      </w:r>
      <w:r w:rsidRPr="00EB786F">
        <w:t xml:space="preserve"> </w:t>
      </w:r>
      <w:r>
        <w:rPr>
          <w:i/>
        </w:rPr>
        <w:t>[</w:t>
      </w:r>
      <w:proofErr w:type="spellStart"/>
      <w:r>
        <w:rPr>
          <w:i/>
        </w:rPr>
        <w:t>Aus</w:t>
      </w:r>
      <w:proofErr w:type="spellEnd"/>
      <w:r>
        <w:rPr>
          <w:i/>
        </w:rPr>
        <w:t xml:space="preserve">] </w:t>
      </w:r>
      <w:r w:rsidRPr="0028601C">
        <w:rPr>
          <w:i/>
        </w:rPr>
        <w:t>Illustration</w:t>
      </w:r>
      <w:r>
        <w:t> </w:t>
      </w:r>
      <w:r w:rsidRPr="0028601C">
        <w:rPr>
          <w:i/>
        </w:rPr>
        <w:t>1</w:t>
      </w:r>
      <w:r>
        <w:rPr>
          <w:i/>
        </w:rPr>
        <w:t>A</w:t>
      </w:r>
      <w:r w:rsidRPr="00EB786F">
        <w:t xml:space="preserve"> </w:t>
      </w:r>
      <w:r w:rsidRPr="0028601C">
        <w:rPr>
          <w:i/>
        </w:rPr>
        <w:t>in</w:t>
      </w:r>
      <w:r w:rsidRPr="00EB786F">
        <w:t xml:space="preserve"> </w:t>
      </w:r>
      <w:r>
        <w:rPr>
          <w:i/>
        </w:rPr>
        <w:t>ASA </w:t>
      </w:r>
      <w:r w:rsidRPr="0028601C">
        <w:rPr>
          <w:i/>
        </w:rPr>
        <w:t>700</w:t>
      </w:r>
      <w:r w:rsidRPr="00EB786F">
        <w:t>.]</w:t>
      </w:r>
    </w:p>
    <w:p w14:paraId="1E8DBC2A" w14:textId="77777777" w:rsidR="003E6CC8" w:rsidRDefault="003E6CC8" w:rsidP="003E6CC8">
      <w:pPr>
        <w:pStyle w:val="ParaPlain"/>
        <w:spacing w:before="240"/>
        <w:rPr>
          <w:rFonts w:eastAsia="Calibri"/>
        </w:rPr>
      </w:pPr>
      <w:r w:rsidRPr="00AF35F5">
        <w:rPr>
          <w:rFonts w:eastAsia="Calibri"/>
        </w:rPr>
        <w:t>[</w:t>
      </w:r>
      <w:r w:rsidRPr="00F00B65">
        <w:rPr>
          <w:rFonts w:eastAsia="Calibri"/>
          <w:i/>
        </w:rPr>
        <w:t>Auditor’s</w:t>
      </w:r>
      <w:r>
        <w:rPr>
          <w:rFonts w:eastAsia="Calibri"/>
        </w:rPr>
        <w:t xml:space="preserve"> </w:t>
      </w:r>
      <w:r w:rsidRPr="004A3ABB">
        <w:rPr>
          <w:rFonts w:eastAsia="Calibri"/>
          <w:i/>
        </w:rPr>
        <w:t>name and signature</w:t>
      </w:r>
      <w:r w:rsidRPr="00AF35F5">
        <w:rPr>
          <w:rFonts w:eastAsia="Calibri"/>
        </w:rPr>
        <w:t>]</w:t>
      </w:r>
      <w:r>
        <w:rPr>
          <w:rStyle w:val="FootnoteReference"/>
          <w:rFonts w:eastAsia="Calibri"/>
        </w:rPr>
        <w:footnoteReference w:customMarkFollows="1" w:id="29"/>
        <w:t>†</w:t>
      </w:r>
    </w:p>
    <w:p w14:paraId="3E786A0E" w14:textId="77777777" w:rsidR="003E6CC8" w:rsidRPr="00EB786F" w:rsidRDefault="003E6CC8" w:rsidP="003E6CC8">
      <w:pPr>
        <w:pStyle w:val="ParaPlain"/>
        <w:rPr>
          <w:rFonts w:eastAsia="Calibri"/>
        </w:rPr>
      </w:pPr>
      <w:r w:rsidRPr="0074369E">
        <w:rPr>
          <w:rFonts w:eastAsia="Calibri"/>
        </w:rPr>
        <w:t>[</w:t>
      </w:r>
      <w:r w:rsidRPr="00935D1F">
        <w:rPr>
          <w:rFonts w:eastAsia="Calibri"/>
          <w:i/>
        </w:rPr>
        <w:t>Name of Firm</w:t>
      </w:r>
      <w:r w:rsidRPr="0074369E">
        <w:rPr>
          <w:rFonts w:eastAsia="Calibri"/>
        </w:rPr>
        <w:t>]</w:t>
      </w:r>
    </w:p>
    <w:p w14:paraId="2C89756A" w14:textId="77777777" w:rsidR="003E6CC8" w:rsidRPr="00251457" w:rsidRDefault="003E6CC8" w:rsidP="003E6CC8">
      <w:pPr>
        <w:pStyle w:val="ParaPlain"/>
        <w:rPr>
          <w:rFonts w:eastAsia="Calibri"/>
          <w:i/>
        </w:rPr>
      </w:pPr>
      <w:r w:rsidRPr="00BD7E80">
        <w:rPr>
          <w:rFonts w:eastAsia="Calibri"/>
        </w:rPr>
        <w:t>[</w:t>
      </w:r>
      <w:r w:rsidRPr="00251457">
        <w:rPr>
          <w:rFonts w:eastAsia="Calibri"/>
          <w:i/>
        </w:rPr>
        <w:t>Date</w:t>
      </w:r>
      <w:r>
        <w:rPr>
          <w:rFonts w:eastAsia="Calibri"/>
          <w:i/>
        </w:rPr>
        <w:t xml:space="preserve"> of the auditor’s report</w:t>
      </w:r>
      <w:r w:rsidRPr="00BD7E80">
        <w:rPr>
          <w:rFonts w:eastAsia="Calibri"/>
        </w:rPr>
        <w:t>]</w:t>
      </w:r>
    </w:p>
    <w:p w14:paraId="306A28E5" w14:textId="77777777" w:rsidR="003E6CC8" w:rsidRPr="00251457" w:rsidRDefault="003E6CC8" w:rsidP="003E6CC8">
      <w:pPr>
        <w:pStyle w:val="ParaPlain"/>
        <w:rPr>
          <w:rFonts w:eastAsia="Calibri"/>
          <w:i/>
        </w:rPr>
      </w:pPr>
      <w:r w:rsidRPr="00F00B65">
        <w:rPr>
          <w:rFonts w:eastAsia="Calibri"/>
        </w:rPr>
        <w:t>[</w:t>
      </w:r>
      <w:r w:rsidRPr="00251457">
        <w:rPr>
          <w:rFonts w:eastAsia="Calibri"/>
          <w:i/>
        </w:rPr>
        <w:t>Auditor</w:t>
      </w:r>
      <w:r>
        <w:rPr>
          <w:rFonts w:eastAsia="Calibri"/>
          <w:i/>
        </w:rPr>
        <w:t>’s</w:t>
      </w:r>
      <w:r w:rsidRPr="00251457">
        <w:rPr>
          <w:rFonts w:eastAsia="Calibri"/>
          <w:i/>
        </w:rPr>
        <w:t xml:space="preserve"> Address</w:t>
      </w:r>
      <w:r w:rsidRPr="00F00B65">
        <w:rPr>
          <w:rFonts w:eastAsia="Calibri"/>
        </w:rPr>
        <w:t>]</w:t>
      </w:r>
    </w:p>
    <w:p w14:paraId="7A75BC90" w14:textId="7CF94614" w:rsidR="006B00A2" w:rsidRDefault="006B00A2">
      <w:pPr>
        <w:spacing w:line="240" w:lineRule="auto"/>
      </w:pPr>
      <w:r>
        <w:br w:type="page"/>
      </w:r>
    </w:p>
    <w:p w14:paraId="7D0B0E66" w14:textId="77777777" w:rsidR="006B00A2" w:rsidRPr="006B00A2" w:rsidRDefault="006B00A2" w:rsidP="006B00A2">
      <w:pPr>
        <w:spacing w:line="240" w:lineRule="auto"/>
        <w:jc w:val="center"/>
        <w:rPr>
          <w:b/>
        </w:rPr>
      </w:pPr>
      <w:r w:rsidRPr="006B00A2">
        <w:rPr>
          <w:b/>
        </w:rPr>
        <w:lastRenderedPageBreak/>
        <w:t>Example Auditor’s Report</w:t>
      </w:r>
    </w:p>
    <w:p w14:paraId="2C344C60" w14:textId="77777777" w:rsidR="006B00A2" w:rsidRPr="006B00A2" w:rsidRDefault="006B00A2" w:rsidP="006B00A2">
      <w:pPr>
        <w:ind w:left="709" w:hanging="709"/>
        <w:jc w:val="center"/>
        <w:outlineLvl w:val="0"/>
        <w:rPr>
          <w:b/>
        </w:rPr>
      </w:pPr>
      <w:r w:rsidRPr="006B00A2">
        <w:rPr>
          <w:b/>
        </w:rPr>
        <w:t xml:space="preserve">Qualified Opinion, Material Uncertainty Exists, Inadequate Disclosure </w:t>
      </w:r>
    </w:p>
    <w:p w14:paraId="6D62D950" w14:textId="77777777" w:rsidR="006B00A2" w:rsidRPr="006B00A2" w:rsidRDefault="006B00A2" w:rsidP="006B00A2">
      <w:pPr>
        <w:ind w:left="709" w:hanging="709"/>
        <w:jc w:val="center"/>
        <w:outlineLvl w:val="0"/>
        <w:rPr>
          <w:b/>
        </w:rPr>
      </w:pPr>
      <w:r w:rsidRPr="006B00A2">
        <w:rPr>
          <w:b/>
        </w:rPr>
        <w:t>Single Listed Company</w:t>
      </w:r>
      <w:r w:rsidRPr="006B00A2">
        <w:rPr>
          <w:b/>
          <w:i/>
        </w:rPr>
        <w:noBreakHyphen/>
        <w:t>Corporations Act 2001</w:t>
      </w:r>
    </w:p>
    <w:p w14:paraId="0437B51F" w14:textId="77777777" w:rsidR="006B00A2" w:rsidRPr="006B00A2" w:rsidRDefault="006B00A2" w:rsidP="006B00A2">
      <w:pPr>
        <w:spacing w:after="240" w:line="240" w:lineRule="auto"/>
        <w:jc w:val="center"/>
        <w:rPr>
          <w:b/>
        </w:rPr>
      </w:pPr>
      <w:r w:rsidRPr="006B00A2">
        <w:rPr>
          <w:b/>
        </w:rPr>
        <w:t>(Fair Presentation Framework)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llustration [Aus] 2A"/>
        <w:tblDescription w:val="information in relation to illustration 2A"/>
      </w:tblPr>
      <w:tblGrid>
        <w:gridCol w:w="8953"/>
      </w:tblGrid>
      <w:tr w:rsidR="006B00A2" w:rsidRPr="006B00A2" w14:paraId="157F25E0" w14:textId="77777777" w:rsidTr="006B00A2">
        <w:trPr>
          <w:trHeight w:val="5840"/>
        </w:trPr>
        <w:tc>
          <w:tcPr>
            <w:tcW w:w="9179" w:type="dxa"/>
            <w:shd w:val="clear" w:color="auto" w:fill="auto"/>
          </w:tcPr>
          <w:p w14:paraId="682C1ED5" w14:textId="77777777" w:rsidR="006B00A2" w:rsidRPr="006B00A2" w:rsidRDefault="006B00A2" w:rsidP="006B00A2">
            <w:pPr>
              <w:rPr>
                <w:rFonts w:eastAsia="Calibri"/>
              </w:rPr>
            </w:pPr>
            <w:r w:rsidRPr="006B00A2">
              <w:rPr>
                <w:rFonts w:eastAsia="Calibri"/>
              </w:rPr>
              <w:br w:type="page"/>
            </w:r>
          </w:p>
          <w:p w14:paraId="7FA7B089" w14:textId="77777777" w:rsidR="006B00A2" w:rsidRPr="006B00A2" w:rsidRDefault="006B00A2" w:rsidP="006B00A2">
            <w:pPr>
              <w:rPr>
                <w:rFonts w:eastAsia="Calibri"/>
                <w:u w:val="single"/>
              </w:rPr>
            </w:pPr>
            <w:r w:rsidRPr="006B00A2">
              <w:rPr>
                <w:rFonts w:eastAsia="Calibri"/>
                <w:u w:val="single"/>
              </w:rPr>
              <w:t>[</w:t>
            </w:r>
            <w:proofErr w:type="spellStart"/>
            <w:r w:rsidRPr="006B00A2">
              <w:rPr>
                <w:rFonts w:eastAsia="Calibri"/>
                <w:u w:val="single"/>
              </w:rPr>
              <w:t>Aus</w:t>
            </w:r>
            <w:proofErr w:type="spellEnd"/>
            <w:r w:rsidRPr="006B00A2">
              <w:rPr>
                <w:rFonts w:eastAsia="Calibri"/>
                <w:u w:val="single"/>
              </w:rPr>
              <w:t xml:space="preserve">] Illustration 2A: </w:t>
            </w:r>
          </w:p>
          <w:p w14:paraId="5F2C6BD5" w14:textId="77777777" w:rsidR="006B00A2" w:rsidRPr="006B00A2" w:rsidRDefault="006B00A2" w:rsidP="006B00A2">
            <w:pPr>
              <w:spacing w:before="120" w:after="200"/>
              <w:rPr>
                <w:rFonts w:eastAsia="Calibri"/>
              </w:rPr>
            </w:pPr>
            <w:r w:rsidRPr="006B00A2">
              <w:rPr>
                <w:rFonts w:eastAsia="Calibri"/>
              </w:rPr>
              <w:br w:type="page"/>
              <w:t>For purposes of this illustrative auditor’s report, the following circumstances are assumed:</w:t>
            </w:r>
          </w:p>
          <w:p w14:paraId="4631B228" w14:textId="77777777" w:rsidR="006B00A2" w:rsidRPr="006B00A2" w:rsidRDefault="006B00A2" w:rsidP="006B00A2">
            <w:pPr>
              <w:numPr>
                <w:ilvl w:val="0"/>
                <w:numId w:val="35"/>
              </w:numPr>
              <w:spacing w:after="200"/>
              <w:outlineLvl w:val="0"/>
              <w:rPr>
                <w:rFonts w:eastAsia="Calibri"/>
              </w:rPr>
            </w:pPr>
            <w:r w:rsidRPr="006B00A2">
              <w:rPr>
                <w:rFonts w:eastAsia="Calibri"/>
              </w:rPr>
              <w:t xml:space="preserve">Audit of the financial report of a single listed company.  </w:t>
            </w:r>
            <w:r w:rsidRPr="006B00A2">
              <w:t>The audit is not a group audit (</w:t>
            </w:r>
            <w:proofErr w:type="gramStart"/>
            <w:r w:rsidRPr="006B00A2">
              <w:t>i.e.</w:t>
            </w:r>
            <w:proofErr w:type="gramEnd"/>
            <w:r w:rsidRPr="006B00A2">
              <w:t xml:space="preserve"> ASA 600</w:t>
            </w:r>
            <w:r w:rsidRPr="006B00A2">
              <w:rPr>
                <w:vertAlign w:val="superscript"/>
              </w:rPr>
              <w:footnoteReference w:customMarkFollows="1" w:id="30"/>
              <w:t>*</w:t>
            </w:r>
            <w:r w:rsidRPr="006B00A2">
              <w:t xml:space="preserve"> does not apply).  </w:t>
            </w:r>
          </w:p>
          <w:p w14:paraId="7B8C71F5" w14:textId="77777777" w:rsidR="006B00A2" w:rsidRPr="006B00A2" w:rsidRDefault="006B00A2" w:rsidP="006B00A2">
            <w:pPr>
              <w:numPr>
                <w:ilvl w:val="0"/>
                <w:numId w:val="35"/>
              </w:numPr>
              <w:spacing w:after="200"/>
              <w:outlineLvl w:val="0"/>
              <w:rPr>
                <w:rFonts w:eastAsia="Calibri"/>
              </w:rPr>
            </w:pPr>
            <w:r w:rsidRPr="006B00A2">
              <w:rPr>
                <w:rFonts w:eastAsia="Calibri"/>
              </w:rPr>
              <w:t xml:space="preserve">The financial report is prepared by the directors of the company in accordance with Australian Accounting Standards (a </w:t>
            </w:r>
            <w:proofErr w:type="gramStart"/>
            <w:r w:rsidRPr="006B00A2">
              <w:rPr>
                <w:rFonts w:eastAsia="Calibri"/>
              </w:rPr>
              <w:t>general purpose</w:t>
            </w:r>
            <w:proofErr w:type="gramEnd"/>
            <w:r w:rsidRPr="006B00A2">
              <w:rPr>
                <w:rFonts w:eastAsia="Calibri"/>
              </w:rPr>
              <w:t xml:space="preserve"> framework) and under the </w:t>
            </w:r>
            <w:r w:rsidRPr="006B00A2">
              <w:rPr>
                <w:rFonts w:eastAsia="Calibri"/>
                <w:i/>
              </w:rPr>
              <w:t>Corporations Act 2001</w:t>
            </w:r>
            <w:r w:rsidRPr="006B00A2">
              <w:rPr>
                <w:rFonts w:eastAsia="Calibri"/>
              </w:rPr>
              <w:t>.</w:t>
            </w:r>
          </w:p>
          <w:p w14:paraId="55FCC481" w14:textId="77777777" w:rsidR="006B00A2" w:rsidRPr="006B00A2" w:rsidRDefault="006B00A2" w:rsidP="006B00A2">
            <w:pPr>
              <w:numPr>
                <w:ilvl w:val="0"/>
                <w:numId w:val="35"/>
              </w:numPr>
              <w:spacing w:after="200"/>
              <w:outlineLvl w:val="0"/>
              <w:rPr>
                <w:rFonts w:eastAsia="Calibri"/>
              </w:rPr>
            </w:pPr>
            <w:r w:rsidRPr="006B00A2">
              <w:rPr>
                <w:rFonts w:eastAsia="Calibri"/>
              </w:rPr>
              <w:t>The terms of the audit engagement reflect the description of the directors’ responsibility for the financial report in ASA </w:t>
            </w:r>
            <w:proofErr w:type="gramStart"/>
            <w:r w:rsidRPr="006B00A2">
              <w:rPr>
                <w:rFonts w:eastAsia="Calibri"/>
              </w:rPr>
              <w:t>210.</w:t>
            </w:r>
            <w:r w:rsidRPr="006B00A2">
              <w:rPr>
                <w:rFonts w:eastAsia="Calibri"/>
                <w:vertAlign w:val="superscript"/>
              </w:rPr>
              <w:footnoteReference w:customMarkFollows="1" w:id="31"/>
              <w:t>#</w:t>
            </w:r>
            <w:proofErr w:type="gramEnd"/>
          </w:p>
          <w:p w14:paraId="5D0B767B" w14:textId="7BAE87F1" w:rsidR="006B00A2" w:rsidRPr="006B00A2" w:rsidRDefault="006B00A2" w:rsidP="006B00A2">
            <w:pPr>
              <w:numPr>
                <w:ilvl w:val="0"/>
                <w:numId w:val="35"/>
              </w:numPr>
              <w:spacing w:after="200"/>
              <w:outlineLvl w:val="0"/>
              <w:rPr>
                <w:rFonts w:eastAsia="Calibri"/>
              </w:rPr>
            </w:pPr>
            <w:r w:rsidRPr="006B00A2">
              <w:rPr>
                <w:rFonts w:eastAsia="Calibri"/>
              </w:rPr>
              <w:t xml:space="preserve">The relevant ethical requirements that apply to the audit are the Accounting Professional </w:t>
            </w:r>
            <w:r w:rsidR="003025FA">
              <w:rPr>
                <w:rFonts w:eastAsia="Calibri"/>
              </w:rPr>
              <w:t>&amp;</w:t>
            </w:r>
            <w:r w:rsidR="003025FA" w:rsidRPr="006B00A2">
              <w:rPr>
                <w:rFonts w:eastAsia="Calibri"/>
              </w:rPr>
              <w:t xml:space="preserve"> </w:t>
            </w:r>
            <w:r w:rsidRPr="006B00A2">
              <w:rPr>
                <w:rFonts w:eastAsia="Calibri"/>
              </w:rPr>
              <w:t xml:space="preserve">Ethical Standards Board’s APES 110 </w:t>
            </w:r>
            <w:r w:rsidRPr="006B00A2">
              <w:rPr>
                <w:rFonts w:eastAsia="Calibri"/>
                <w:i/>
              </w:rPr>
              <w:t>Code of Ethics for Professional Accountants</w:t>
            </w:r>
            <w:r w:rsidR="003025FA">
              <w:rPr>
                <w:rFonts w:eastAsia="Calibri"/>
                <w:i/>
              </w:rPr>
              <w:t xml:space="preserve"> </w:t>
            </w:r>
            <w:r w:rsidR="003025FA" w:rsidRPr="003025FA">
              <w:rPr>
                <w:rFonts w:eastAsia="Calibri"/>
                <w:i/>
              </w:rPr>
              <w:t>(including Independence Standards)</w:t>
            </w:r>
            <w:r w:rsidRPr="006B00A2">
              <w:rPr>
                <w:rFonts w:eastAsia="Calibri"/>
              </w:rPr>
              <w:t>.</w:t>
            </w:r>
          </w:p>
          <w:p w14:paraId="1BCD42EC" w14:textId="77777777" w:rsidR="006B00A2" w:rsidRPr="006B00A2" w:rsidRDefault="006B00A2" w:rsidP="006B00A2">
            <w:pPr>
              <w:numPr>
                <w:ilvl w:val="0"/>
                <w:numId w:val="35"/>
              </w:numPr>
              <w:spacing w:after="200"/>
              <w:outlineLvl w:val="0"/>
              <w:rPr>
                <w:rFonts w:eastAsia="Calibri"/>
              </w:rPr>
            </w:pPr>
            <w:r w:rsidRPr="006B00A2">
              <w:rPr>
                <w:rFonts w:eastAsia="Calibri"/>
              </w:rPr>
              <w:t xml:space="preserve">Based on the audit evidence obtained, the auditor has concluded that a material uncertainty exists related to events or conditions that may cast significant doubt on the company’s ability to continue as a going concern.  Note </w:t>
            </w:r>
            <w:proofErr w:type="spellStart"/>
            <w:r w:rsidRPr="006B00A2">
              <w:rPr>
                <w:rFonts w:eastAsia="Calibri"/>
              </w:rPr>
              <w:t>yy</w:t>
            </w:r>
            <w:proofErr w:type="spellEnd"/>
            <w:r w:rsidRPr="006B00A2">
              <w:rPr>
                <w:rFonts w:eastAsia="Calibri"/>
              </w:rPr>
              <w:t xml:space="preserve"> to the financial report discusses the magnitude of financing arrangements, the expiration and the total financing arrangements; </w:t>
            </w:r>
            <w:proofErr w:type="gramStart"/>
            <w:r w:rsidRPr="006B00A2">
              <w:rPr>
                <w:rFonts w:eastAsia="Calibri"/>
              </w:rPr>
              <w:t>however</w:t>
            </w:r>
            <w:proofErr w:type="gramEnd"/>
            <w:r w:rsidRPr="006B00A2">
              <w:rPr>
                <w:rFonts w:eastAsia="Calibri"/>
              </w:rPr>
              <w:t xml:space="preserve"> the financial report does not include discussion on the impact or the availability of refinancing or characterise this situation as a material uncertainty.  </w:t>
            </w:r>
          </w:p>
          <w:p w14:paraId="2C8D2357" w14:textId="77777777" w:rsidR="006B00A2" w:rsidRPr="006B00A2" w:rsidRDefault="006B00A2" w:rsidP="006B00A2">
            <w:pPr>
              <w:numPr>
                <w:ilvl w:val="0"/>
                <w:numId w:val="35"/>
              </w:numPr>
              <w:spacing w:after="200"/>
              <w:outlineLvl w:val="0"/>
              <w:rPr>
                <w:rFonts w:eastAsia="Calibri"/>
              </w:rPr>
            </w:pPr>
            <w:r w:rsidRPr="006B00A2">
              <w:rPr>
                <w:rFonts w:eastAsia="Calibri"/>
              </w:rPr>
              <w:t>The financial report is materially misstated due to the inadequate disclosure of the material uncertainty.  A qualified opinion is being expressed because the auditor concluded that the effects on the financial report of this inadequate disclosure are material but not pervasive to the financial report.</w:t>
            </w:r>
          </w:p>
          <w:p w14:paraId="3D917EA6" w14:textId="77777777" w:rsidR="006B00A2" w:rsidRPr="006B00A2" w:rsidRDefault="006B00A2" w:rsidP="006B00A2">
            <w:pPr>
              <w:numPr>
                <w:ilvl w:val="0"/>
                <w:numId w:val="35"/>
              </w:numPr>
              <w:spacing w:after="200"/>
              <w:outlineLvl w:val="0"/>
              <w:rPr>
                <w:rFonts w:eastAsia="Calibri"/>
              </w:rPr>
            </w:pPr>
            <w:r w:rsidRPr="006B00A2">
              <w:rPr>
                <w:rFonts w:eastAsia="Calibri"/>
              </w:rPr>
              <w:t>Key audit matters have been communicated in accordance with ASA 701.</w:t>
            </w:r>
          </w:p>
          <w:p w14:paraId="11B46912" w14:textId="77777777" w:rsidR="006B00A2" w:rsidRPr="006B00A2" w:rsidRDefault="006B00A2" w:rsidP="006B00A2">
            <w:pPr>
              <w:numPr>
                <w:ilvl w:val="0"/>
                <w:numId w:val="35"/>
              </w:numPr>
              <w:spacing w:after="200"/>
              <w:outlineLvl w:val="0"/>
              <w:rPr>
                <w:rFonts w:eastAsia="Calibri"/>
              </w:rPr>
            </w:pPr>
            <w:r w:rsidRPr="006B00A2">
              <w:rPr>
                <w:rFonts w:eastAsia="Calibri"/>
              </w:rPr>
              <w:t xml:space="preserve">The auditor has obtained </w:t>
            </w:r>
            <w:proofErr w:type="gramStart"/>
            <w:r w:rsidRPr="006B00A2">
              <w:rPr>
                <w:rFonts w:eastAsia="Calibri"/>
              </w:rPr>
              <w:t>all of</w:t>
            </w:r>
            <w:proofErr w:type="gramEnd"/>
            <w:r w:rsidRPr="006B00A2">
              <w:rPr>
                <w:rFonts w:eastAsia="Calibri"/>
              </w:rPr>
              <w:t xml:space="preserve"> the other information prior to the date of the auditor’s report and the matter giving rise to the qualified opinion on the financial report also affects the other information.</w:t>
            </w:r>
          </w:p>
          <w:p w14:paraId="512F84F2" w14:textId="77777777" w:rsidR="006B00A2" w:rsidRPr="006B00A2" w:rsidRDefault="006B00A2" w:rsidP="006B00A2">
            <w:pPr>
              <w:numPr>
                <w:ilvl w:val="0"/>
                <w:numId w:val="35"/>
              </w:numPr>
              <w:outlineLvl w:val="0"/>
              <w:rPr>
                <w:rFonts w:eastAsia="Calibri"/>
              </w:rPr>
            </w:pPr>
            <w:r w:rsidRPr="006B00A2">
              <w:rPr>
                <w:rFonts w:eastAsia="Calibri"/>
              </w:rPr>
              <w:t xml:space="preserve">In addition to the audit of the financial report, the auditor has other reporting responsibilities required under section 308(3C) of the </w:t>
            </w:r>
            <w:r w:rsidRPr="006B00A2">
              <w:rPr>
                <w:rFonts w:eastAsia="Calibri"/>
                <w:i/>
              </w:rPr>
              <w:t>Corporations Act 2001</w:t>
            </w:r>
            <w:r w:rsidRPr="006B00A2">
              <w:rPr>
                <w:rFonts w:eastAsia="Calibri"/>
              </w:rPr>
              <w:t>.</w:t>
            </w:r>
          </w:p>
          <w:p w14:paraId="270C149A" w14:textId="77777777" w:rsidR="006B00A2" w:rsidRPr="006B00A2" w:rsidRDefault="006B00A2" w:rsidP="006B00A2">
            <w:pPr>
              <w:outlineLvl w:val="0"/>
              <w:rPr>
                <w:rFonts w:eastAsia="Calibri"/>
              </w:rPr>
            </w:pPr>
          </w:p>
        </w:tc>
      </w:tr>
    </w:tbl>
    <w:p w14:paraId="49DCB241" w14:textId="4002CA2A" w:rsidR="006B00A2" w:rsidRDefault="006B00A2">
      <w:pPr>
        <w:spacing w:line="240" w:lineRule="auto"/>
        <w:rPr>
          <w:b/>
        </w:rPr>
      </w:pPr>
    </w:p>
    <w:p w14:paraId="46127ACF" w14:textId="77777777" w:rsidR="006B00A2" w:rsidRDefault="006B00A2">
      <w:pPr>
        <w:spacing w:line="240" w:lineRule="auto"/>
        <w:rPr>
          <w:b/>
        </w:rPr>
      </w:pPr>
      <w:r>
        <w:rPr>
          <w:b/>
        </w:rPr>
        <w:br w:type="page"/>
      </w:r>
    </w:p>
    <w:p w14:paraId="55175F92" w14:textId="77777777" w:rsidR="006B00A2" w:rsidRPr="006B00A2" w:rsidRDefault="006B00A2" w:rsidP="006B00A2">
      <w:pPr>
        <w:spacing w:before="240" w:after="200"/>
      </w:pPr>
      <w:r w:rsidRPr="006B00A2">
        <w:rPr>
          <w:b/>
        </w:rPr>
        <w:lastRenderedPageBreak/>
        <w:t>INDEPENDENT</w:t>
      </w:r>
      <w:r w:rsidRPr="006B00A2">
        <w:t xml:space="preserve"> </w:t>
      </w:r>
      <w:r w:rsidRPr="006B00A2">
        <w:rPr>
          <w:b/>
        </w:rPr>
        <w:t>AUDITOR’S</w:t>
      </w:r>
      <w:r w:rsidRPr="006B00A2">
        <w:t xml:space="preserve"> </w:t>
      </w:r>
      <w:r w:rsidRPr="006B00A2">
        <w:rPr>
          <w:b/>
        </w:rPr>
        <w:t>REPORT</w:t>
      </w:r>
      <w:r w:rsidRPr="006B00A2">
        <w:t xml:space="preserve"> </w:t>
      </w:r>
    </w:p>
    <w:p w14:paraId="7CBA4F42" w14:textId="77777777" w:rsidR="006B00A2" w:rsidRPr="006B00A2" w:rsidRDefault="006B00A2" w:rsidP="006B00A2">
      <w:pPr>
        <w:spacing w:after="200"/>
      </w:pPr>
      <w:r w:rsidRPr="006B00A2">
        <w:t>[Appropriate Addressee]</w:t>
      </w:r>
    </w:p>
    <w:p w14:paraId="127F9469" w14:textId="77777777" w:rsidR="006B00A2" w:rsidRPr="006B00A2" w:rsidRDefault="006B00A2" w:rsidP="006B00A2">
      <w:pPr>
        <w:keepNext/>
        <w:spacing w:after="200"/>
        <w:outlineLvl w:val="7"/>
        <w:rPr>
          <w:iCs/>
          <w:szCs w:val="22"/>
        </w:rPr>
      </w:pPr>
      <w:r w:rsidRPr="006B00A2">
        <w:rPr>
          <w:b/>
          <w:iCs/>
          <w:szCs w:val="22"/>
        </w:rPr>
        <w:t>Report on the Audit of the Financial Report</w:t>
      </w:r>
      <w:r w:rsidRPr="006B00A2">
        <w:rPr>
          <w:iCs/>
          <w:szCs w:val="22"/>
          <w:vertAlign w:val="superscript"/>
        </w:rPr>
        <w:footnoteReference w:customMarkFollows="1" w:id="32"/>
        <w:t>*</w:t>
      </w:r>
    </w:p>
    <w:p w14:paraId="436D3651" w14:textId="77777777" w:rsidR="006B00A2" w:rsidRPr="006B00A2" w:rsidRDefault="006B00A2" w:rsidP="006B00A2">
      <w:pPr>
        <w:keepNext/>
        <w:spacing w:after="200"/>
        <w:outlineLvl w:val="7"/>
        <w:rPr>
          <w:b/>
          <w:iCs/>
          <w:szCs w:val="22"/>
        </w:rPr>
      </w:pPr>
      <w:r w:rsidRPr="006B00A2">
        <w:rPr>
          <w:b/>
          <w:iCs/>
          <w:szCs w:val="22"/>
        </w:rPr>
        <w:t>Qualified Opinion</w:t>
      </w:r>
    </w:p>
    <w:p w14:paraId="4FC9A7C7" w14:textId="77777777" w:rsidR="006B00A2" w:rsidRPr="006B00A2" w:rsidRDefault="006B00A2" w:rsidP="006B00A2">
      <w:pPr>
        <w:spacing w:after="200"/>
      </w:pPr>
      <w:r w:rsidRPr="006B00A2">
        <w:t xml:space="preserve">We have audited the financial report of ABC Company Ltd., (the Company), which comprises the statement of financial position as </w:t>
      </w:r>
      <w:proofErr w:type="gramStart"/>
      <w:r w:rsidRPr="006B00A2">
        <w:t>at</w:t>
      </w:r>
      <w:proofErr w:type="gramEnd"/>
      <w:r w:rsidRPr="006B00A2">
        <w:t xml:space="preserve"> 30 June 20X1, the statement of comprehensive income, statement of changes in equity and statement of cash flows for the year then ended, and notes to the financial statements, including a summary of significant accounting policies, and the directors’ declaration.</w:t>
      </w:r>
    </w:p>
    <w:p w14:paraId="06365BC8" w14:textId="77777777" w:rsidR="006B00A2" w:rsidRPr="006B00A2" w:rsidRDefault="006B00A2" w:rsidP="006B00A2">
      <w:pPr>
        <w:spacing w:after="200"/>
      </w:pPr>
      <w:r w:rsidRPr="006B00A2">
        <w:t xml:space="preserve">In our opinion, except for the incomplete disclosure of the information referred to in the </w:t>
      </w:r>
      <w:r w:rsidRPr="006B00A2">
        <w:rPr>
          <w:i/>
        </w:rPr>
        <w:t>Basis</w:t>
      </w:r>
      <w:r w:rsidRPr="006B00A2">
        <w:t xml:space="preserve"> </w:t>
      </w:r>
      <w:r w:rsidRPr="006B00A2">
        <w:rPr>
          <w:i/>
        </w:rPr>
        <w:t>for</w:t>
      </w:r>
      <w:r w:rsidRPr="006B00A2">
        <w:t xml:space="preserve"> </w:t>
      </w:r>
      <w:r w:rsidRPr="006B00A2">
        <w:rPr>
          <w:i/>
        </w:rPr>
        <w:t>Qualified</w:t>
      </w:r>
      <w:r w:rsidRPr="006B00A2">
        <w:t xml:space="preserve"> </w:t>
      </w:r>
      <w:r w:rsidRPr="006B00A2">
        <w:rPr>
          <w:i/>
        </w:rPr>
        <w:t>Opinion</w:t>
      </w:r>
      <w:r w:rsidRPr="006B00A2">
        <w:t xml:space="preserve"> section of our report, the accompanying financial report of ABC Company Ltd., is in accordance with the </w:t>
      </w:r>
      <w:r w:rsidRPr="006B00A2">
        <w:rPr>
          <w:i/>
        </w:rPr>
        <w:t>Corporations Act 2001</w:t>
      </w:r>
      <w:r w:rsidRPr="006B00A2">
        <w:t>, including:</w:t>
      </w:r>
    </w:p>
    <w:p w14:paraId="6E6BBD01" w14:textId="77777777" w:rsidR="006B00A2" w:rsidRPr="006B00A2" w:rsidRDefault="006B00A2" w:rsidP="006B00A2">
      <w:pPr>
        <w:numPr>
          <w:ilvl w:val="1"/>
          <w:numId w:val="39"/>
        </w:numPr>
        <w:tabs>
          <w:tab w:val="clear" w:pos="1418"/>
          <w:tab w:val="num" w:pos="567"/>
        </w:tabs>
        <w:spacing w:after="200"/>
        <w:ind w:left="567" w:hanging="567"/>
      </w:pPr>
      <w:r w:rsidRPr="006B00A2">
        <w:t xml:space="preserve">giving a true and fair view of the Company’s financial position as </w:t>
      </w:r>
      <w:proofErr w:type="gramStart"/>
      <w:r w:rsidRPr="006B00A2">
        <w:t>at</w:t>
      </w:r>
      <w:proofErr w:type="gramEnd"/>
      <w:r w:rsidRPr="006B00A2">
        <w:t xml:space="preserve"> 30 June 20X1, and of its performance for the year then ended; and</w:t>
      </w:r>
    </w:p>
    <w:p w14:paraId="363EB5CB" w14:textId="77777777" w:rsidR="006B00A2" w:rsidRPr="006B00A2" w:rsidRDefault="006B00A2" w:rsidP="006B00A2">
      <w:pPr>
        <w:numPr>
          <w:ilvl w:val="1"/>
          <w:numId w:val="39"/>
        </w:numPr>
        <w:tabs>
          <w:tab w:val="clear" w:pos="1418"/>
          <w:tab w:val="num" w:pos="567"/>
        </w:tabs>
        <w:spacing w:after="200"/>
        <w:ind w:left="567" w:hanging="567"/>
      </w:pPr>
      <w:r w:rsidRPr="006B00A2">
        <w:t xml:space="preserve">complying with Australian </w:t>
      </w:r>
      <w:r w:rsidRPr="006B00A2">
        <w:rPr>
          <w:rFonts w:eastAsia="Calibri"/>
        </w:rPr>
        <w:t xml:space="preserve">Accounting Standards and the </w:t>
      </w:r>
      <w:r w:rsidRPr="006B00A2">
        <w:rPr>
          <w:rFonts w:eastAsia="Calibri"/>
          <w:i/>
        </w:rPr>
        <w:t>Corporations Regulations 2001</w:t>
      </w:r>
      <w:r w:rsidRPr="006B00A2">
        <w:rPr>
          <w:rFonts w:eastAsia="Calibri"/>
        </w:rPr>
        <w:t>.</w:t>
      </w:r>
    </w:p>
    <w:p w14:paraId="1ED0EBEA" w14:textId="77777777" w:rsidR="006B00A2" w:rsidRPr="006B00A2" w:rsidRDefault="006B00A2" w:rsidP="006B00A2">
      <w:pPr>
        <w:keepNext/>
        <w:spacing w:after="200"/>
        <w:outlineLvl w:val="7"/>
        <w:rPr>
          <w:b/>
          <w:iCs/>
          <w:szCs w:val="22"/>
        </w:rPr>
      </w:pPr>
      <w:r w:rsidRPr="006B00A2">
        <w:rPr>
          <w:b/>
          <w:iCs/>
          <w:szCs w:val="22"/>
        </w:rPr>
        <w:t>Basis for Qualified Opinion</w:t>
      </w:r>
    </w:p>
    <w:p w14:paraId="4FF72834" w14:textId="77777777" w:rsidR="006B00A2" w:rsidRPr="006B00A2" w:rsidRDefault="006B00A2" w:rsidP="006B00A2">
      <w:pPr>
        <w:spacing w:after="200"/>
      </w:pPr>
      <w:r w:rsidRPr="006B00A2">
        <w:t xml:space="preserve">As discussed in Note </w:t>
      </w:r>
      <w:proofErr w:type="spellStart"/>
      <w:r w:rsidRPr="006B00A2">
        <w:t>yy</w:t>
      </w:r>
      <w:proofErr w:type="spellEnd"/>
      <w:r w:rsidRPr="006B00A2">
        <w:t>, the Company’s financing arrangements expire and amounts outstanding are payable on 19 August 20X2.  The Company has been unable to conclude re</w:t>
      </w:r>
      <w:r w:rsidRPr="006B00A2">
        <w:noBreakHyphen/>
        <w:t>negotiations or obtain replacement financing.  This situation indicates that a material uncertainty exists that may cast significant doubt on the Company’s ability to continue as a going concern.  The financial report does not adequately disclose this matter.</w:t>
      </w:r>
    </w:p>
    <w:p w14:paraId="57CE3592" w14:textId="71A22228" w:rsidR="006B00A2" w:rsidRPr="006B00A2" w:rsidRDefault="006B00A2" w:rsidP="006B00A2">
      <w:pPr>
        <w:spacing w:after="200"/>
      </w:pPr>
      <w:r w:rsidRPr="006B00A2">
        <w:t xml:space="preserve">We conducted our audit in accordance with Australian Auditing Standards.  Our responsibilities under those standards are further described in the </w:t>
      </w:r>
      <w:r w:rsidRPr="006B00A2">
        <w:rPr>
          <w:i/>
        </w:rPr>
        <w:t>Auditor’s</w:t>
      </w:r>
      <w:r w:rsidRPr="006B00A2">
        <w:t xml:space="preserve"> </w:t>
      </w:r>
      <w:r w:rsidRPr="006B00A2">
        <w:rPr>
          <w:i/>
        </w:rPr>
        <w:t>Responsibilities</w:t>
      </w:r>
      <w:r w:rsidRPr="006B00A2">
        <w:t xml:space="preserve"> </w:t>
      </w:r>
      <w:r w:rsidRPr="006B00A2">
        <w:rPr>
          <w:i/>
        </w:rPr>
        <w:t>for</w:t>
      </w:r>
      <w:r w:rsidRPr="006B00A2">
        <w:t xml:space="preserve"> </w:t>
      </w:r>
      <w:r w:rsidRPr="006B00A2">
        <w:rPr>
          <w:i/>
        </w:rPr>
        <w:t>the</w:t>
      </w:r>
      <w:r w:rsidRPr="006B00A2">
        <w:t xml:space="preserve"> </w:t>
      </w:r>
      <w:r w:rsidRPr="006B00A2">
        <w:rPr>
          <w:i/>
        </w:rPr>
        <w:t>Audit</w:t>
      </w:r>
      <w:r w:rsidRPr="006B00A2">
        <w:t xml:space="preserve"> </w:t>
      </w:r>
      <w:r w:rsidRPr="006B00A2">
        <w:rPr>
          <w:i/>
        </w:rPr>
        <w:t>of</w:t>
      </w:r>
      <w:r w:rsidRPr="006B00A2">
        <w:t xml:space="preserve"> </w:t>
      </w:r>
      <w:r w:rsidRPr="006B00A2">
        <w:rPr>
          <w:i/>
        </w:rPr>
        <w:t>the</w:t>
      </w:r>
      <w:r w:rsidRPr="006B00A2">
        <w:t xml:space="preserve"> </w:t>
      </w:r>
      <w:r w:rsidRPr="006B00A2">
        <w:rPr>
          <w:i/>
        </w:rPr>
        <w:t>Financial Report</w:t>
      </w:r>
      <w:r w:rsidRPr="006B00A2">
        <w:t xml:space="preserve"> section of our report.  We are independent of the Company in accordance with the auditor independence requirements of the </w:t>
      </w:r>
      <w:r w:rsidRPr="006B00A2">
        <w:rPr>
          <w:i/>
        </w:rPr>
        <w:t>Corporations Act 2001</w:t>
      </w:r>
      <w:r w:rsidRPr="006B00A2">
        <w:t xml:space="preserve"> and the ethical requirements of the Accounting Professional </w:t>
      </w:r>
      <w:r w:rsidR="003025FA">
        <w:t>&amp;</w:t>
      </w:r>
      <w:r w:rsidR="003025FA" w:rsidRPr="006B00A2">
        <w:t xml:space="preserve"> </w:t>
      </w:r>
      <w:r w:rsidRPr="006B00A2">
        <w:t xml:space="preserve">Ethical Standards Board’s APES 110 </w:t>
      </w:r>
      <w:r w:rsidRPr="006B00A2">
        <w:rPr>
          <w:i/>
        </w:rPr>
        <w:t>Code of Ethics for Professional Accountants</w:t>
      </w:r>
      <w:r w:rsidR="003025FA">
        <w:rPr>
          <w:i/>
        </w:rPr>
        <w:t xml:space="preserve"> </w:t>
      </w:r>
      <w:r w:rsidR="003025FA" w:rsidRPr="003025FA">
        <w:rPr>
          <w:i/>
        </w:rPr>
        <w:t>(including Independence Standards)</w:t>
      </w:r>
      <w:r w:rsidRPr="006B00A2">
        <w:rPr>
          <w:i/>
        </w:rPr>
        <w:t xml:space="preserve"> </w:t>
      </w:r>
      <w:r w:rsidRPr="006B00A2">
        <w:t xml:space="preserve">(the Code) that are relevant to our audit of the financial report in Australia.  We have also fulfilled our other ethical responsibilities in accordance with the Code.  </w:t>
      </w:r>
    </w:p>
    <w:p w14:paraId="1CEA0459" w14:textId="77777777" w:rsidR="006B00A2" w:rsidRPr="006B00A2" w:rsidRDefault="006B00A2" w:rsidP="006B00A2">
      <w:pPr>
        <w:spacing w:after="200"/>
      </w:pPr>
      <w:r w:rsidRPr="006B00A2">
        <w:t xml:space="preserve">We confirm that the independence declaration required by the </w:t>
      </w:r>
      <w:r w:rsidRPr="006B00A2">
        <w:rPr>
          <w:i/>
        </w:rPr>
        <w:t>Corporations Act 2001</w:t>
      </w:r>
      <w:r w:rsidRPr="006B00A2">
        <w:t xml:space="preserve">, which has been given to the directors of ABC Company Ltd., would be on the same terms if given to the directors as at the time of this auditor’s </w:t>
      </w:r>
      <w:proofErr w:type="gramStart"/>
      <w:r w:rsidRPr="006B00A2">
        <w:t>report.</w:t>
      </w:r>
      <w:r w:rsidRPr="006B00A2">
        <w:rPr>
          <w:vertAlign w:val="superscript"/>
        </w:rPr>
        <w:footnoteReference w:customMarkFollows="1" w:id="33"/>
        <w:t>#</w:t>
      </w:r>
      <w:proofErr w:type="gramEnd"/>
      <w:r w:rsidRPr="006B00A2">
        <w:t xml:space="preserve"> </w:t>
      </w:r>
    </w:p>
    <w:p w14:paraId="58B589CC" w14:textId="77777777" w:rsidR="006B00A2" w:rsidRPr="006B00A2" w:rsidRDefault="006B00A2" w:rsidP="006B00A2">
      <w:pPr>
        <w:spacing w:after="200"/>
      </w:pPr>
      <w:r w:rsidRPr="006B00A2">
        <w:t>We believe that the audit evidence we have obtained is sufficient and appropriate to provide a basis for our qualified opinion.</w:t>
      </w:r>
    </w:p>
    <w:p w14:paraId="47742B2E" w14:textId="77777777" w:rsidR="006B00A2" w:rsidRPr="006B00A2" w:rsidRDefault="006B00A2" w:rsidP="006B00A2">
      <w:pPr>
        <w:keepNext/>
        <w:spacing w:after="200"/>
        <w:outlineLvl w:val="7"/>
        <w:rPr>
          <w:b/>
          <w:iCs/>
          <w:szCs w:val="22"/>
        </w:rPr>
      </w:pPr>
      <w:r w:rsidRPr="006B00A2">
        <w:rPr>
          <w:b/>
          <w:iCs/>
          <w:szCs w:val="22"/>
        </w:rPr>
        <w:t>Key Audit Matters</w:t>
      </w:r>
    </w:p>
    <w:p w14:paraId="4EA955E8" w14:textId="77777777" w:rsidR="006B00A2" w:rsidRPr="006B00A2" w:rsidRDefault="006B00A2" w:rsidP="006B00A2">
      <w:pPr>
        <w:spacing w:after="200"/>
      </w:pPr>
      <w:r w:rsidRPr="006B00A2">
        <w:t xml:space="preserve">Key audit matters are those matters that, in our professional judgement, were of most significance in our audit of the financial report of the current period.  These matters were addressed in the context of our audit of the financial </w:t>
      </w:r>
      <w:proofErr w:type="gramStart"/>
      <w:r w:rsidRPr="006B00A2">
        <w:t>report as a whole, and</w:t>
      </w:r>
      <w:proofErr w:type="gramEnd"/>
      <w:r w:rsidRPr="006B00A2">
        <w:t xml:space="preserve"> in forming our opinion thereon, and we do not provide a separate opinion on these matters.  In addition to the matter described in the </w:t>
      </w:r>
      <w:r w:rsidRPr="006B00A2">
        <w:rPr>
          <w:i/>
        </w:rPr>
        <w:t>Basis</w:t>
      </w:r>
      <w:r w:rsidRPr="006B00A2">
        <w:t xml:space="preserve"> </w:t>
      </w:r>
      <w:r w:rsidRPr="006B00A2">
        <w:rPr>
          <w:i/>
        </w:rPr>
        <w:t>for</w:t>
      </w:r>
      <w:r w:rsidRPr="006B00A2">
        <w:t xml:space="preserve"> </w:t>
      </w:r>
      <w:r w:rsidRPr="006B00A2">
        <w:rPr>
          <w:i/>
        </w:rPr>
        <w:t>Qualified</w:t>
      </w:r>
      <w:r w:rsidRPr="006B00A2">
        <w:t xml:space="preserve"> </w:t>
      </w:r>
      <w:r w:rsidRPr="006B00A2">
        <w:rPr>
          <w:i/>
        </w:rPr>
        <w:lastRenderedPageBreak/>
        <w:t>Opinion</w:t>
      </w:r>
      <w:r w:rsidRPr="006B00A2">
        <w:t xml:space="preserve"> section, we have determined the matters described below to be the key audit matters to be communicated in our report.</w:t>
      </w:r>
    </w:p>
    <w:p w14:paraId="51518916" w14:textId="77777777" w:rsidR="006B00A2" w:rsidRPr="006B00A2" w:rsidRDefault="006B00A2" w:rsidP="006B00A2">
      <w:pPr>
        <w:spacing w:after="200"/>
      </w:pPr>
      <w:r w:rsidRPr="006B00A2">
        <w:t>[</w:t>
      </w:r>
      <w:r w:rsidRPr="006B00A2">
        <w:rPr>
          <w:i/>
        </w:rPr>
        <w:t>Descriptions</w:t>
      </w:r>
      <w:r w:rsidRPr="006B00A2">
        <w:t xml:space="preserve"> </w:t>
      </w:r>
      <w:r w:rsidRPr="006B00A2">
        <w:rPr>
          <w:i/>
        </w:rPr>
        <w:t>of</w:t>
      </w:r>
      <w:r w:rsidRPr="006B00A2">
        <w:t xml:space="preserve"> </w:t>
      </w:r>
      <w:r w:rsidRPr="006B00A2">
        <w:rPr>
          <w:i/>
        </w:rPr>
        <w:t>each</w:t>
      </w:r>
      <w:r w:rsidRPr="006B00A2">
        <w:t xml:space="preserve"> </w:t>
      </w:r>
      <w:r w:rsidRPr="006B00A2">
        <w:rPr>
          <w:i/>
        </w:rPr>
        <w:t>key</w:t>
      </w:r>
      <w:r w:rsidRPr="006B00A2">
        <w:t xml:space="preserve"> </w:t>
      </w:r>
      <w:r w:rsidRPr="006B00A2">
        <w:rPr>
          <w:i/>
        </w:rPr>
        <w:t>audit</w:t>
      </w:r>
      <w:r w:rsidRPr="006B00A2">
        <w:t xml:space="preserve"> </w:t>
      </w:r>
      <w:r w:rsidRPr="006B00A2">
        <w:rPr>
          <w:i/>
        </w:rPr>
        <w:t>matter</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701</w:t>
      </w:r>
      <w:r w:rsidRPr="006B00A2">
        <w:t xml:space="preserve">.] </w:t>
      </w:r>
    </w:p>
    <w:p w14:paraId="4004E8BC" w14:textId="77777777" w:rsidR="006B00A2" w:rsidRPr="006B00A2" w:rsidRDefault="006B00A2" w:rsidP="006B00A2">
      <w:pPr>
        <w:keepNext/>
        <w:spacing w:after="200"/>
        <w:outlineLvl w:val="7"/>
        <w:rPr>
          <w:b/>
          <w:iCs/>
          <w:szCs w:val="22"/>
        </w:rPr>
      </w:pPr>
      <w:r w:rsidRPr="006B00A2">
        <w:rPr>
          <w:b/>
          <w:iCs/>
          <w:szCs w:val="22"/>
        </w:rPr>
        <w:t>Other Information [or another title if appropriate such as “Information Other than the Financial Report and Auditor’s Report Thereon”]</w:t>
      </w:r>
    </w:p>
    <w:p w14:paraId="176142AD" w14:textId="77777777" w:rsidR="006B00A2" w:rsidRPr="006B00A2" w:rsidRDefault="006B00A2" w:rsidP="006B00A2">
      <w:pPr>
        <w:spacing w:after="200"/>
      </w:pPr>
      <w:r w:rsidRPr="006B00A2">
        <w:t>[</w:t>
      </w:r>
      <w:r w:rsidRPr="006B00A2">
        <w:rPr>
          <w:i/>
        </w:rPr>
        <w:t>Reporting in accordance with the reporting requirements in ASA 720 – see [</w:t>
      </w:r>
      <w:proofErr w:type="spellStart"/>
      <w:r w:rsidRPr="006B00A2">
        <w:rPr>
          <w:i/>
        </w:rPr>
        <w:t>Aus</w:t>
      </w:r>
      <w:proofErr w:type="spellEnd"/>
      <w:r w:rsidRPr="006B00A2">
        <w:rPr>
          <w:i/>
        </w:rPr>
        <w:t>] Illustration 6A in Appendix 3 of ASA 720</w:t>
      </w:r>
      <w:r w:rsidRPr="006B00A2">
        <w:t xml:space="preserve">.  </w:t>
      </w:r>
      <w:r w:rsidRPr="006B00A2">
        <w:rPr>
          <w:i/>
        </w:rPr>
        <w:t>The last paragraph of the other information section in [</w:t>
      </w:r>
      <w:proofErr w:type="spellStart"/>
      <w:r w:rsidRPr="006B00A2">
        <w:rPr>
          <w:i/>
        </w:rPr>
        <w:t>Aus</w:t>
      </w:r>
      <w:proofErr w:type="spellEnd"/>
      <w:r w:rsidRPr="006B00A2">
        <w:rPr>
          <w:i/>
        </w:rPr>
        <w:t xml:space="preserve">] Illustration 6A would be customised to describe the specific matter giving rise to the qualified opinion that also affects the other </w:t>
      </w:r>
      <w:proofErr w:type="gramStart"/>
      <w:r w:rsidRPr="006B00A2">
        <w:rPr>
          <w:i/>
        </w:rPr>
        <w:t>information.</w:t>
      </w:r>
      <w:r w:rsidRPr="006B00A2">
        <w:rPr>
          <w:i/>
          <w:vertAlign w:val="superscript"/>
        </w:rPr>
        <w:footnoteReference w:customMarkFollows="1" w:id="34"/>
        <w:t>*</w:t>
      </w:r>
      <w:proofErr w:type="gramEnd"/>
      <w:r w:rsidRPr="006B00A2">
        <w:rPr>
          <w:i/>
        </w:rPr>
        <w:t>]</w:t>
      </w:r>
    </w:p>
    <w:p w14:paraId="09479A2D" w14:textId="77777777" w:rsidR="006B00A2" w:rsidRPr="006B00A2" w:rsidRDefault="006B00A2" w:rsidP="006B00A2">
      <w:pPr>
        <w:keepNext/>
        <w:spacing w:after="200"/>
        <w:outlineLvl w:val="7"/>
        <w:rPr>
          <w:iCs/>
          <w:szCs w:val="22"/>
        </w:rPr>
      </w:pPr>
      <w:r w:rsidRPr="006B00A2">
        <w:rPr>
          <w:b/>
          <w:iCs/>
          <w:szCs w:val="22"/>
        </w:rPr>
        <w:t>Responsibilities of the Directors for the Financial Report</w:t>
      </w:r>
    </w:p>
    <w:p w14:paraId="1AF27416"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700</w:t>
      </w:r>
      <w:r w:rsidRPr="006B00A2">
        <w:t xml:space="preserve"> – </w:t>
      </w:r>
      <w:r w:rsidRPr="006B00A2">
        <w:rPr>
          <w:i/>
        </w:rPr>
        <w:t>see</w:t>
      </w:r>
      <w:r w:rsidRPr="006B00A2">
        <w:t xml:space="preserve"> </w:t>
      </w:r>
      <w:r w:rsidRPr="006B00A2">
        <w:rPr>
          <w:i/>
        </w:rPr>
        <w:t>[</w:t>
      </w:r>
      <w:proofErr w:type="spellStart"/>
      <w:r w:rsidRPr="006B00A2">
        <w:rPr>
          <w:i/>
        </w:rPr>
        <w:t>Aus</w:t>
      </w:r>
      <w:proofErr w:type="spellEnd"/>
      <w:r w:rsidRPr="006B00A2">
        <w:rPr>
          <w:i/>
        </w:rPr>
        <w:t>] Illustration 1A</w:t>
      </w:r>
      <w:r w:rsidRPr="006B00A2">
        <w:t xml:space="preserve"> </w:t>
      </w:r>
      <w:r w:rsidRPr="006B00A2">
        <w:rPr>
          <w:i/>
        </w:rPr>
        <w:t>in</w:t>
      </w:r>
      <w:r w:rsidRPr="006B00A2">
        <w:t xml:space="preserve"> </w:t>
      </w:r>
      <w:r w:rsidRPr="006B00A2">
        <w:rPr>
          <w:i/>
        </w:rPr>
        <w:t>ASA </w:t>
      </w:r>
      <w:proofErr w:type="gramStart"/>
      <w:r w:rsidRPr="006B00A2">
        <w:rPr>
          <w:i/>
        </w:rPr>
        <w:t>700</w:t>
      </w:r>
      <w:r w:rsidRPr="006B00A2">
        <w:t>.</w:t>
      </w:r>
      <w:r w:rsidRPr="006B00A2">
        <w:rPr>
          <w:vertAlign w:val="superscript"/>
        </w:rPr>
        <w:footnoteReference w:customMarkFollows="1" w:id="35"/>
        <w:t>#</w:t>
      </w:r>
      <w:proofErr w:type="gramEnd"/>
      <w:r w:rsidRPr="006B00A2">
        <w:t>]</w:t>
      </w:r>
    </w:p>
    <w:p w14:paraId="625C2B42" w14:textId="77777777" w:rsidR="006B00A2" w:rsidRPr="006B00A2" w:rsidRDefault="006B00A2" w:rsidP="006B00A2">
      <w:pPr>
        <w:keepNext/>
        <w:spacing w:after="200"/>
        <w:outlineLvl w:val="7"/>
        <w:rPr>
          <w:b/>
          <w:iCs/>
          <w:szCs w:val="22"/>
        </w:rPr>
      </w:pPr>
      <w:r w:rsidRPr="006B00A2">
        <w:rPr>
          <w:b/>
          <w:iCs/>
          <w:szCs w:val="22"/>
        </w:rPr>
        <w:t>Auditor’s Responsibilities for the Audit of the Financial Report</w:t>
      </w:r>
    </w:p>
    <w:p w14:paraId="04F476D2" w14:textId="77777777" w:rsidR="006B00A2" w:rsidRPr="006B00A2" w:rsidRDefault="006B00A2" w:rsidP="006B00A2">
      <w:pPr>
        <w:spacing w:after="200"/>
      </w:pPr>
      <w:r w:rsidRPr="006B00A2">
        <w:t>[</w:t>
      </w:r>
      <w:r w:rsidRPr="006B00A2">
        <w:rPr>
          <w:i/>
        </w:rPr>
        <w:t>Reporting in accordance with ASA 700 – see [</w:t>
      </w:r>
      <w:proofErr w:type="spellStart"/>
      <w:r w:rsidRPr="006B00A2">
        <w:rPr>
          <w:i/>
        </w:rPr>
        <w:t>Aus</w:t>
      </w:r>
      <w:proofErr w:type="spellEnd"/>
      <w:r w:rsidRPr="006B00A2">
        <w:rPr>
          <w:i/>
        </w:rPr>
        <w:t>] Illustration 1A in ASA 700</w:t>
      </w:r>
      <w:r w:rsidRPr="006B00A2">
        <w:t>.]</w:t>
      </w:r>
    </w:p>
    <w:p w14:paraId="317F02B9" w14:textId="77777777" w:rsidR="006B00A2" w:rsidRPr="006B00A2" w:rsidRDefault="006B00A2" w:rsidP="006B00A2">
      <w:pPr>
        <w:keepNext/>
        <w:spacing w:after="200"/>
        <w:outlineLvl w:val="7"/>
        <w:rPr>
          <w:b/>
          <w:iCs/>
          <w:szCs w:val="22"/>
        </w:rPr>
      </w:pPr>
      <w:r w:rsidRPr="006B00A2">
        <w:rPr>
          <w:b/>
          <w:iCs/>
          <w:szCs w:val="22"/>
        </w:rPr>
        <w:t>Report on the Remuneration Report</w:t>
      </w:r>
      <w:r w:rsidRPr="006B00A2">
        <w:rPr>
          <w:b/>
          <w:iCs/>
          <w:szCs w:val="22"/>
          <w:vertAlign w:val="superscript"/>
        </w:rPr>
        <w:footnoteReference w:customMarkFollows="1" w:id="36"/>
        <w:t>†</w:t>
      </w:r>
    </w:p>
    <w:p w14:paraId="70984207"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700</w:t>
      </w:r>
      <w:r w:rsidRPr="006B00A2">
        <w:t xml:space="preserve"> – </w:t>
      </w:r>
      <w:r w:rsidRPr="006B00A2">
        <w:rPr>
          <w:i/>
        </w:rPr>
        <w:t>see</w:t>
      </w:r>
      <w:r w:rsidRPr="006B00A2">
        <w:t xml:space="preserve"> </w:t>
      </w:r>
      <w:r w:rsidRPr="006B00A2">
        <w:rPr>
          <w:i/>
        </w:rPr>
        <w:t>[</w:t>
      </w:r>
      <w:proofErr w:type="spellStart"/>
      <w:r w:rsidRPr="006B00A2">
        <w:rPr>
          <w:i/>
        </w:rPr>
        <w:t>Aus</w:t>
      </w:r>
      <w:proofErr w:type="spellEnd"/>
      <w:r w:rsidRPr="006B00A2">
        <w:rPr>
          <w:i/>
        </w:rPr>
        <w:t>] Illustration 1A in</w:t>
      </w:r>
      <w:r w:rsidRPr="006B00A2">
        <w:t xml:space="preserve"> </w:t>
      </w:r>
      <w:r w:rsidRPr="006B00A2">
        <w:rPr>
          <w:i/>
        </w:rPr>
        <w:t>ASA 700</w:t>
      </w:r>
      <w:r w:rsidRPr="006B00A2">
        <w:t>.]</w:t>
      </w:r>
    </w:p>
    <w:p w14:paraId="1C2A0A0B" w14:textId="77777777" w:rsidR="006B00A2" w:rsidRPr="006B00A2" w:rsidRDefault="006B00A2" w:rsidP="006B00A2">
      <w:pPr>
        <w:spacing w:before="240" w:after="200"/>
        <w:rPr>
          <w:rFonts w:eastAsia="Calibri"/>
        </w:rPr>
      </w:pPr>
      <w:r w:rsidRPr="006B00A2">
        <w:rPr>
          <w:rFonts w:eastAsia="Calibri"/>
        </w:rPr>
        <w:t>[</w:t>
      </w:r>
      <w:r w:rsidRPr="006B00A2">
        <w:rPr>
          <w:rFonts w:eastAsia="Calibri"/>
          <w:i/>
        </w:rPr>
        <w:t xml:space="preserve">Auditor’s name and </w:t>
      </w:r>
      <w:proofErr w:type="gramStart"/>
      <w:r w:rsidRPr="006B00A2">
        <w:rPr>
          <w:rFonts w:eastAsia="Calibri"/>
          <w:i/>
        </w:rPr>
        <w:t>signature</w:t>
      </w:r>
      <w:r w:rsidRPr="006B00A2">
        <w:rPr>
          <w:rFonts w:eastAsia="Calibri"/>
        </w:rPr>
        <w:t>]</w:t>
      </w:r>
      <w:r w:rsidRPr="006B00A2">
        <w:rPr>
          <w:rFonts w:eastAsia="Calibri"/>
          <w:vertAlign w:val="superscript"/>
        </w:rPr>
        <w:footnoteReference w:customMarkFollows="1" w:id="37"/>
        <w:t>§</w:t>
      </w:r>
      <w:proofErr w:type="gramEnd"/>
    </w:p>
    <w:p w14:paraId="13D01972" w14:textId="77777777" w:rsidR="006B00A2" w:rsidRPr="006B00A2" w:rsidRDefault="006B00A2" w:rsidP="006B00A2">
      <w:pPr>
        <w:spacing w:after="200"/>
        <w:rPr>
          <w:rFonts w:eastAsia="Calibri"/>
        </w:rPr>
      </w:pPr>
      <w:r w:rsidRPr="006B00A2">
        <w:rPr>
          <w:rFonts w:eastAsia="Calibri"/>
        </w:rPr>
        <w:t>[</w:t>
      </w:r>
      <w:r w:rsidRPr="006B00A2">
        <w:rPr>
          <w:rFonts w:eastAsia="Calibri"/>
          <w:i/>
        </w:rPr>
        <w:t>Name of Firm</w:t>
      </w:r>
      <w:r w:rsidRPr="006B00A2">
        <w:rPr>
          <w:rFonts w:eastAsia="Calibri"/>
        </w:rPr>
        <w:t>]</w:t>
      </w:r>
    </w:p>
    <w:p w14:paraId="316CEEE6" w14:textId="77777777" w:rsidR="006B00A2" w:rsidRPr="006B00A2" w:rsidRDefault="006B00A2" w:rsidP="006B00A2">
      <w:pPr>
        <w:spacing w:after="200"/>
        <w:rPr>
          <w:rFonts w:eastAsia="Calibri"/>
        </w:rPr>
      </w:pPr>
      <w:r w:rsidRPr="006B00A2">
        <w:rPr>
          <w:rFonts w:eastAsia="Calibri"/>
        </w:rPr>
        <w:t>[</w:t>
      </w:r>
      <w:r w:rsidRPr="006B00A2">
        <w:rPr>
          <w:rFonts w:eastAsia="Calibri"/>
          <w:i/>
        </w:rPr>
        <w:t>Date of the auditor’s report</w:t>
      </w:r>
      <w:r w:rsidRPr="006B00A2">
        <w:rPr>
          <w:rFonts w:eastAsia="Calibri"/>
        </w:rPr>
        <w:t xml:space="preserve">] </w:t>
      </w:r>
    </w:p>
    <w:p w14:paraId="3B15C825" w14:textId="77777777" w:rsidR="006B00A2" w:rsidRPr="006B00A2" w:rsidRDefault="006B00A2" w:rsidP="006B00A2">
      <w:pPr>
        <w:spacing w:after="200"/>
        <w:rPr>
          <w:rFonts w:eastAsia="Calibri"/>
        </w:rPr>
      </w:pPr>
      <w:r w:rsidRPr="006B00A2">
        <w:rPr>
          <w:rFonts w:eastAsia="Calibri"/>
        </w:rPr>
        <w:t>[</w:t>
      </w:r>
      <w:r w:rsidRPr="006B00A2">
        <w:rPr>
          <w:rFonts w:eastAsia="Calibri"/>
          <w:i/>
        </w:rPr>
        <w:t>Auditor’s</w:t>
      </w:r>
      <w:r w:rsidRPr="006B00A2">
        <w:rPr>
          <w:rFonts w:eastAsia="Calibri"/>
        </w:rPr>
        <w:t xml:space="preserve"> </w:t>
      </w:r>
      <w:r w:rsidRPr="006B00A2">
        <w:rPr>
          <w:rFonts w:eastAsia="Calibri"/>
          <w:i/>
        </w:rPr>
        <w:t>Address</w:t>
      </w:r>
      <w:r w:rsidRPr="006B00A2">
        <w:rPr>
          <w:rFonts w:eastAsia="Calibri"/>
        </w:rPr>
        <w:t>]</w:t>
      </w:r>
    </w:p>
    <w:p w14:paraId="7D730138" w14:textId="4DABFE12" w:rsidR="006B00A2" w:rsidRDefault="006B00A2" w:rsidP="006B00A2">
      <w:pPr>
        <w:spacing w:line="240" w:lineRule="auto"/>
        <w:rPr>
          <w:b/>
        </w:rPr>
      </w:pPr>
      <w:r w:rsidRPr="006B00A2">
        <w:rPr>
          <w:rFonts w:eastAsia="Calibri"/>
        </w:rPr>
        <w:br w:type="page"/>
      </w:r>
    </w:p>
    <w:p w14:paraId="43416993" w14:textId="77777777" w:rsidR="006B00A2" w:rsidRPr="006B00A2" w:rsidRDefault="006B00A2" w:rsidP="006B00A2">
      <w:pPr>
        <w:spacing w:line="240" w:lineRule="auto"/>
        <w:jc w:val="center"/>
        <w:rPr>
          <w:b/>
        </w:rPr>
      </w:pPr>
      <w:r w:rsidRPr="006B00A2">
        <w:rPr>
          <w:b/>
        </w:rPr>
        <w:lastRenderedPageBreak/>
        <w:t>Example Auditor’s Report</w:t>
      </w:r>
    </w:p>
    <w:p w14:paraId="3F7C0E55" w14:textId="77777777" w:rsidR="006B00A2" w:rsidRPr="006B00A2" w:rsidRDefault="006B00A2" w:rsidP="006B00A2">
      <w:pPr>
        <w:ind w:left="709" w:hanging="709"/>
        <w:jc w:val="center"/>
        <w:outlineLvl w:val="0"/>
        <w:rPr>
          <w:b/>
        </w:rPr>
      </w:pPr>
      <w:r w:rsidRPr="006B00A2">
        <w:rPr>
          <w:b/>
        </w:rPr>
        <w:t xml:space="preserve">Adverse Opinion, Material Uncertainty Exists, Inadequate Disclosure </w:t>
      </w:r>
    </w:p>
    <w:p w14:paraId="153EBC3B" w14:textId="77777777" w:rsidR="006B00A2" w:rsidRPr="006B00A2" w:rsidRDefault="006B00A2" w:rsidP="006B00A2">
      <w:pPr>
        <w:ind w:left="709" w:hanging="709"/>
        <w:jc w:val="center"/>
        <w:outlineLvl w:val="0"/>
        <w:rPr>
          <w:b/>
        </w:rPr>
      </w:pPr>
      <w:r w:rsidRPr="006B00A2">
        <w:rPr>
          <w:b/>
        </w:rPr>
        <w:t>Single listed Company</w:t>
      </w:r>
      <w:r w:rsidRPr="006B00A2">
        <w:rPr>
          <w:b/>
        </w:rPr>
        <w:noBreakHyphen/>
      </w:r>
      <w:r w:rsidRPr="006B00A2">
        <w:rPr>
          <w:b/>
          <w:i/>
        </w:rPr>
        <w:t>Corporations Act 2001</w:t>
      </w:r>
    </w:p>
    <w:p w14:paraId="22C7E5BF" w14:textId="77777777" w:rsidR="006B00A2" w:rsidRPr="006B00A2" w:rsidRDefault="006B00A2" w:rsidP="006B00A2">
      <w:pPr>
        <w:spacing w:after="240" w:line="240" w:lineRule="auto"/>
        <w:jc w:val="center"/>
        <w:rPr>
          <w:b/>
        </w:rPr>
      </w:pPr>
      <w:r w:rsidRPr="006B00A2">
        <w:rPr>
          <w:b/>
        </w:rPr>
        <w:t>(Fair Presentation Framework)</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llustration [aus] 3A"/>
        <w:tblDescription w:val="information in relation to illustration 3A"/>
      </w:tblPr>
      <w:tblGrid>
        <w:gridCol w:w="9450"/>
      </w:tblGrid>
      <w:tr w:rsidR="006B00A2" w:rsidRPr="006B00A2" w14:paraId="0EA7B8F7" w14:textId="77777777" w:rsidTr="006B00A2">
        <w:trPr>
          <w:trHeight w:val="4382"/>
        </w:trPr>
        <w:tc>
          <w:tcPr>
            <w:tcW w:w="9450" w:type="dxa"/>
          </w:tcPr>
          <w:p w14:paraId="69C5A0B5" w14:textId="77777777" w:rsidR="006B00A2" w:rsidRPr="006B00A2" w:rsidRDefault="006B00A2" w:rsidP="006B00A2">
            <w:r w:rsidRPr="006B00A2">
              <w:br w:type="page"/>
            </w:r>
          </w:p>
          <w:p w14:paraId="5DB3352A" w14:textId="77777777" w:rsidR="006B00A2" w:rsidRPr="006B00A2" w:rsidRDefault="006B00A2" w:rsidP="006B00A2">
            <w:pPr>
              <w:spacing w:after="200"/>
              <w:rPr>
                <w:u w:val="single"/>
              </w:rPr>
            </w:pPr>
            <w:r w:rsidRPr="006B00A2">
              <w:rPr>
                <w:u w:val="single"/>
              </w:rPr>
              <w:t>[</w:t>
            </w:r>
            <w:proofErr w:type="spellStart"/>
            <w:r w:rsidRPr="006B00A2">
              <w:rPr>
                <w:u w:val="single"/>
              </w:rPr>
              <w:t>Aus</w:t>
            </w:r>
            <w:proofErr w:type="spellEnd"/>
            <w:r w:rsidRPr="006B00A2">
              <w:rPr>
                <w:u w:val="single"/>
              </w:rPr>
              <w:t>] Illustration 3A:</w:t>
            </w:r>
          </w:p>
          <w:p w14:paraId="3F0B7E4D" w14:textId="77777777" w:rsidR="006B00A2" w:rsidRPr="006B00A2" w:rsidRDefault="006B00A2" w:rsidP="006B00A2">
            <w:pPr>
              <w:spacing w:after="200"/>
              <w:ind w:left="709" w:hanging="709"/>
              <w:outlineLvl w:val="0"/>
            </w:pPr>
            <w:r w:rsidRPr="006B00A2">
              <w:t>For purposes of the illustrative auditor’s report, the following circumstances are assumed:</w:t>
            </w:r>
          </w:p>
          <w:p w14:paraId="36F914FC" w14:textId="77777777" w:rsidR="006B00A2" w:rsidRPr="006B00A2" w:rsidRDefault="006B00A2" w:rsidP="003025FA">
            <w:pPr>
              <w:pStyle w:val="ListBullet"/>
            </w:pPr>
            <w:r w:rsidRPr="006B00A2">
              <w:t>Audit of the financial report of a single listed company.  The audit is not a group audit (</w:t>
            </w:r>
            <w:proofErr w:type="gramStart"/>
            <w:r w:rsidRPr="006B00A2">
              <w:t>i.e.</w:t>
            </w:r>
            <w:proofErr w:type="gramEnd"/>
            <w:r w:rsidRPr="006B00A2">
              <w:t xml:space="preserve"> ASA 600</w:t>
            </w:r>
            <w:r w:rsidRPr="006B00A2">
              <w:rPr>
                <w:vertAlign w:val="superscript"/>
              </w:rPr>
              <w:footnoteReference w:customMarkFollows="1" w:id="38"/>
              <w:t>*</w:t>
            </w:r>
            <w:r w:rsidRPr="006B00A2">
              <w:t xml:space="preserve"> does not apply).</w:t>
            </w:r>
          </w:p>
          <w:p w14:paraId="0CA6C631" w14:textId="77777777" w:rsidR="006B00A2" w:rsidRPr="006B00A2" w:rsidRDefault="006B00A2" w:rsidP="003025FA">
            <w:pPr>
              <w:pStyle w:val="ListBullet"/>
            </w:pPr>
            <w:r w:rsidRPr="006B00A2">
              <w:t xml:space="preserve">The financial report is prepared by the directors of the company in accordance with Australian Accounting Standards (a </w:t>
            </w:r>
            <w:proofErr w:type="gramStart"/>
            <w:r w:rsidRPr="006B00A2">
              <w:t>general purpose</w:t>
            </w:r>
            <w:proofErr w:type="gramEnd"/>
            <w:r w:rsidRPr="006B00A2">
              <w:t xml:space="preserve"> framework) and under the </w:t>
            </w:r>
            <w:r w:rsidRPr="006B00A2">
              <w:rPr>
                <w:i/>
              </w:rPr>
              <w:t>Corporations Act 2001</w:t>
            </w:r>
            <w:r w:rsidRPr="006B00A2">
              <w:t>.</w:t>
            </w:r>
          </w:p>
          <w:p w14:paraId="750DF394" w14:textId="77777777" w:rsidR="006B00A2" w:rsidRPr="006B00A2" w:rsidRDefault="006B00A2" w:rsidP="003025FA">
            <w:pPr>
              <w:pStyle w:val="ListBullet"/>
            </w:pPr>
            <w:r w:rsidRPr="006B00A2">
              <w:t>The terms of the audit engagement reflect the description of the directors’ responsibility for the financial report in ASA </w:t>
            </w:r>
            <w:proofErr w:type="gramStart"/>
            <w:r w:rsidRPr="006B00A2">
              <w:t>210.</w:t>
            </w:r>
            <w:r w:rsidRPr="006B00A2">
              <w:rPr>
                <w:rFonts w:eastAsia="Calibri"/>
                <w:vertAlign w:val="superscript"/>
              </w:rPr>
              <w:footnoteReference w:customMarkFollows="1" w:id="39"/>
              <w:t>#</w:t>
            </w:r>
            <w:proofErr w:type="gramEnd"/>
          </w:p>
          <w:p w14:paraId="3346744B" w14:textId="7405513D" w:rsidR="006B00A2" w:rsidRPr="006B00A2" w:rsidRDefault="006B00A2" w:rsidP="003025FA">
            <w:pPr>
              <w:pStyle w:val="ListBullet"/>
            </w:pPr>
            <w:r w:rsidRPr="006B00A2">
              <w:t xml:space="preserve">The relevant ethical requirements that apply to the audit are the Accounting Professional </w:t>
            </w:r>
            <w:r w:rsidR="003025FA">
              <w:t>&amp;</w:t>
            </w:r>
            <w:r w:rsidR="003025FA" w:rsidRPr="006B00A2">
              <w:t xml:space="preserve"> </w:t>
            </w:r>
            <w:r w:rsidRPr="006B00A2">
              <w:t xml:space="preserve">Ethical Standards Board’s APES 110 </w:t>
            </w:r>
            <w:r w:rsidRPr="006B00A2">
              <w:rPr>
                <w:i/>
              </w:rPr>
              <w:t>Code of Ethics for Professional Accountants</w:t>
            </w:r>
            <w:r w:rsidR="003025FA">
              <w:rPr>
                <w:i/>
              </w:rPr>
              <w:t xml:space="preserve"> </w:t>
            </w:r>
            <w:r w:rsidR="003025FA" w:rsidRPr="003025FA">
              <w:rPr>
                <w:i/>
              </w:rPr>
              <w:t>(including Independence Standards)</w:t>
            </w:r>
            <w:r w:rsidRPr="006B00A2">
              <w:t>.</w:t>
            </w:r>
          </w:p>
          <w:p w14:paraId="30E84115" w14:textId="77777777" w:rsidR="006B00A2" w:rsidRPr="006B00A2" w:rsidRDefault="006B00A2" w:rsidP="003025FA">
            <w:pPr>
              <w:pStyle w:val="ListBullet"/>
            </w:pPr>
            <w:r w:rsidRPr="006B00A2">
              <w:t xml:space="preserve">Based on the audit evidence obtained, the auditor has concluded that a material uncertainty exists </w:t>
            </w:r>
            <w:r w:rsidRPr="006B00A2">
              <w:rPr>
                <w:rFonts w:eastAsia="Calibri"/>
              </w:rPr>
              <w:t>related to events or conditions that may cast significant doubt on the company’s ability to continue as a going concern</w:t>
            </w:r>
            <w:r w:rsidRPr="006B00A2">
              <w:t>, and the company is considering bankruptcy.  The financial report omits the required disclosures relating to the material uncertainty.  An adverse opinion is being expressed because the effects on the financial report of such omission are material and pervasive.</w:t>
            </w:r>
          </w:p>
          <w:p w14:paraId="59158251" w14:textId="77777777" w:rsidR="006B00A2" w:rsidRPr="006B00A2" w:rsidRDefault="006B00A2" w:rsidP="003025FA">
            <w:pPr>
              <w:pStyle w:val="ListBullet"/>
            </w:pPr>
            <w:r w:rsidRPr="006B00A2">
              <w:t>ASA 701 applies; however, the auditor has determined that there are no key audit matters other than the matter described in the Basis for Adverse Opinion section.</w:t>
            </w:r>
          </w:p>
          <w:p w14:paraId="29354667" w14:textId="77777777" w:rsidR="006B00A2" w:rsidRPr="006B00A2" w:rsidRDefault="006B00A2" w:rsidP="003025FA">
            <w:pPr>
              <w:pStyle w:val="ListBullet"/>
              <w:rPr>
                <w:rFonts w:eastAsia="Calibri"/>
              </w:rPr>
            </w:pPr>
            <w:r w:rsidRPr="006B00A2">
              <w:rPr>
                <w:szCs w:val="24"/>
              </w:rPr>
              <w:t xml:space="preserve">The auditor has obtained </w:t>
            </w:r>
            <w:proofErr w:type="gramStart"/>
            <w:r w:rsidRPr="006B00A2">
              <w:rPr>
                <w:szCs w:val="24"/>
              </w:rPr>
              <w:t>all of</w:t>
            </w:r>
            <w:proofErr w:type="gramEnd"/>
            <w:r w:rsidRPr="006B00A2">
              <w:rPr>
                <w:szCs w:val="24"/>
              </w:rPr>
              <w:t xml:space="preserve"> the other information prior to the date of the auditor’s report and the matter giving rise to the adverse opinion on the financial report also affects the other information.</w:t>
            </w:r>
          </w:p>
          <w:p w14:paraId="7BDAA33F" w14:textId="77777777" w:rsidR="006B00A2" w:rsidRPr="006B00A2" w:rsidRDefault="006B00A2" w:rsidP="003025FA">
            <w:pPr>
              <w:pStyle w:val="ListBullet"/>
            </w:pPr>
            <w:r w:rsidRPr="006B00A2">
              <w:t>In addition to the audit of the financial report, the auditor has other reporting responsibilities required under section 308(3C) of the</w:t>
            </w:r>
            <w:r w:rsidRPr="006B00A2">
              <w:rPr>
                <w:i/>
              </w:rPr>
              <w:t xml:space="preserve"> Corporations Act 2001</w:t>
            </w:r>
            <w:r w:rsidRPr="006B00A2">
              <w:t>.</w:t>
            </w:r>
          </w:p>
          <w:p w14:paraId="0DB5B32F" w14:textId="77777777" w:rsidR="006B00A2" w:rsidRPr="006B00A2" w:rsidRDefault="006B00A2" w:rsidP="006B00A2">
            <w:pPr>
              <w:outlineLvl w:val="0"/>
            </w:pPr>
          </w:p>
        </w:tc>
      </w:tr>
    </w:tbl>
    <w:p w14:paraId="536F999F" w14:textId="77777777" w:rsidR="006B00A2" w:rsidRPr="006B00A2" w:rsidRDefault="006B00A2" w:rsidP="006B00A2">
      <w:pPr>
        <w:keepNext/>
        <w:spacing w:before="240" w:after="200"/>
        <w:outlineLvl w:val="7"/>
        <w:rPr>
          <w:iCs/>
          <w:szCs w:val="22"/>
        </w:rPr>
      </w:pPr>
      <w:r w:rsidRPr="006B00A2">
        <w:rPr>
          <w:iCs/>
          <w:szCs w:val="22"/>
        </w:rPr>
        <w:t xml:space="preserve">INDEPENDENT AUDITOR’S REPORT </w:t>
      </w:r>
    </w:p>
    <w:p w14:paraId="7B6543F2" w14:textId="77777777" w:rsidR="006B00A2" w:rsidRPr="006B00A2" w:rsidRDefault="006B00A2" w:rsidP="006B00A2">
      <w:pPr>
        <w:spacing w:after="200"/>
      </w:pPr>
      <w:r w:rsidRPr="006B00A2">
        <w:t xml:space="preserve">[Appropriate Addressee] </w:t>
      </w:r>
    </w:p>
    <w:p w14:paraId="76EC9D49" w14:textId="77777777" w:rsidR="006B00A2" w:rsidRPr="006B00A2" w:rsidRDefault="006B00A2" w:rsidP="006B00A2">
      <w:pPr>
        <w:keepNext/>
        <w:spacing w:after="200"/>
        <w:outlineLvl w:val="7"/>
        <w:rPr>
          <w:iCs/>
          <w:szCs w:val="22"/>
        </w:rPr>
      </w:pPr>
      <w:r w:rsidRPr="006B00A2">
        <w:rPr>
          <w:b/>
          <w:iCs/>
          <w:szCs w:val="22"/>
        </w:rPr>
        <w:t>Report on the Audit of the Financial Report</w:t>
      </w:r>
      <w:r w:rsidRPr="006B00A2">
        <w:rPr>
          <w:iCs/>
          <w:szCs w:val="22"/>
          <w:vertAlign w:val="superscript"/>
        </w:rPr>
        <w:footnoteReference w:customMarkFollows="1" w:id="40"/>
        <w:t>§</w:t>
      </w:r>
      <w:r w:rsidRPr="006B00A2">
        <w:rPr>
          <w:iCs/>
          <w:szCs w:val="22"/>
        </w:rPr>
        <w:t xml:space="preserve"> </w:t>
      </w:r>
    </w:p>
    <w:p w14:paraId="6E5AFBD1" w14:textId="77777777" w:rsidR="006B00A2" w:rsidRPr="006B00A2" w:rsidRDefault="006B00A2" w:rsidP="006B00A2">
      <w:pPr>
        <w:keepNext/>
        <w:spacing w:after="200"/>
        <w:outlineLvl w:val="7"/>
        <w:rPr>
          <w:b/>
          <w:iCs/>
          <w:szCs w:val="22"/>
        </w:rPr>
      </w:pPr>
      <w:r w:rsidRPr="006B00A2">
        <w:rPr>
          <w:b/>
          <w:iCs/>
          <w:szCs w:val="22"/>
        </w:rPr>
        <w:t>Adverse Opinion</w:t>
      </w:r>
    </w:p>
    <w:p w14:paraId="337B7C55" w14:textId="77777777" w:rsidR="006B00A2" w:rsidRPr="006B00A2" w:rsidRDefault="006B00A2" w:rsidP="006B00A2">
      <w:pPr>
        <w:spacing w:after="200"/>
      </w:pPr>
      <w:r w:rsidRPr="006B00A2">
        <w:t xml:space="preserve">We have audited the financial report of ABC Company Ltd., (the Company), which comprises the statement of financial position as </w:t>
      </w:r>
      <w:proofErr w:type="gramStart"/>
      <w:r w:rsidRPr="006B00A2">
        <w:t>at</w:t>
      </w:r>
      <w:proofErr w:type="gramEnd"/>
      <w:r w:rsidRPr="006B00A2">
        <w:t xml:space="preserve"> 30 June 20X1, the statement of comprehensive income, statement </w:t>
      </w:r>
      <w:r w:rsidRPr="006B00A2">
        <w:lastRenderedPageBreak/>
        <w:t>of changes in equity and statement of cash flows for the year then ended, and notes to the financial statements, including a summary of significant accounting policies, and the directors’ declaration.</w:t>
      </w:r>
    </w:p>
    <w:p w14:paraId="235DA904" w14:textId="77777777" w:rsidR="006B00A2" w:rsidRPr="006B00A2" w:rsidRDefault="006B00A2" w:rsidP="006B00A2">
      <w:pPr>
        <w:spacing w:after="120" w:line="240" w:lineRule="auto"/>
      </w:pPr>
      <w:r w:rsidRPr="006B00A2">
        <w:t xml:space="preserve">In our opinion, because of the omission of the information mentioned in the </w:t>
      </w:r>
      <w:r w:rsidRPr="006B00A2">
        <w:rPr>
          <w:i/>
        </w:rPr>
        <w:t>Basis</w:t>
      </w:r>
      <w:r w:rsidRPr="006B00A2">
        <w:t xml:space="preserve"> </w:t>
      </w:r>
      <w:r w:rsidRPr="006B00A2">
        <w:rPr>
          <w:i/>
        </w:rPr>
        <w:t>for</w:t>
      </w:r>
      <w:r w:rsidRPr="006B00A2">
        <w:t xml:space="preserve"> </w:t>
      </w:r>
      <w:r w:rsidRPr="006B00A2">
        <w:rPr>
          <w:i/>
        </w:rPr>
        <w:t>Adverse</w:t>
      </w:r>
      <w:r w:rsidRPr="006B00A2">
        <w:t xml:space="preserve"> </w:t>
      </w:r>
      <w:r w:rsidRPr="006B00A2">
        <w:rPr>
          <w:i/>
        </w:rPr>
        <w:t>Opinion</w:t>
      </w:r>
      <w:r w:rsidRPr="006B00A2">
        <w:t xml:space="preserve"> section of our report, the financial of ABC Company Ltd., is not in accordance with the </w:t>
      </w:r>
      <w:r w:rsidRPr="006B00A2">
        <w:rPr>
          <w:i/>
        </w:rPr>
        <w:t xml:space="preserve">Corporations Act 2001 </w:t>
      </w:r>
      <w:r w:rsidRPr="006B00A2">
        <w:t>including:</w:t>
      </w:r>
    </w:p>
    <w:p w14:paraId="5B29B3A7" w14:textId="77777777" w:rsidR="006B00A2" w:rsidRPr="006B00A2" w:rsidRDefault="006B00A2" w:rsidP="0067005E">
      <w:pPr>
        <w:pStyle w:val="ParaLevel2"/>
        <w:numPr>
          <w:ilvl w:val="1"/>
          <w:numId w:val="43"/>
        </w:numPr>
        <w:ind w:left="709"/>
      </w:pPr>
      <w:r w:rsidRPr="006B00A2">
        <w:t xml:space="preserve">giving a true and fair view of the Company’s financial position as </w:t>
      </w:r>
      <w:proofErr w:type="gramStart"/>
      <w:r w:rsidRPr="006B00A2">
        <w:t>at</w:t>
      </w:r>
      <w:proofErr w:type="gramEnd"/>
      <w:r w:rsidRPr="006B00A2">
        <w:t xml:space="preserve"> 30 June 20X1, and of its performance for the year then ended; and</w:t>
      </w:r>
    </w:p>
    <w:p w14:paraId="69DDE628" w14:textId="77777777" w:rsidR="006B00A2" w:rsidRPr="006B00A2" w:rsidRDefault="006B00A2" w:rsidP="0067005E">
      <w:pPr>
        <w:pStyle w:val="ParaLevel2"/>
        <w:numPr>
          <w:ilvl w:val="1"/>
          <w:numId w:val="43"/>
        </w:numPr>
        <w:ind w:left="709"/>
      </w:pPr>
      <w:r w:rsidRPr="006B00A2">
        <w:t xml:space="preserve">complying with Australian Accounting Standards and the </w:t>
      </w:r>
      <w:r w:rsidRPr="0067005E">
        <w:rPr>
          <w:i/>
        </w:rPr>
        <w:t>Corporations Regulations 2001</w:t>
      </w:r>
      <w:r w:rsidRPr="006B00A2">
        <w:t>.</w:t>
      </w:r>
    </w:p>
    <w:p w14:paraId="00D37A3B" w14:textId="77777777" w:rsidR="006B00A2" w:rsidRPr="006B00A2" w:rsidRDefault="006B00A2" w:rsidP="006B00A2">
      <w:pPr>
        <w:keepNext/>
        <w:spacing w:after="200"/>
        <w:outlineLvl w:val="7"/>
        <w:rPr>
          <w:b/>
          <w:iCs/>
          <w:szCs w:val="22"/>
        </w:rPr>
      </w:pPr>
      <w:r w:rsidRPr="006B00A2">
        <w:rPr>
          <w:b/>
          <w:iCs/>
          <w:szCs w:val="22"/>
        </w:rPr>
        <w:t>Basis for Adverse Opinion</w:t>
      </w:r>
    </w:p>
    <w:p w14:paraId="4C04D9E9" w14:textId="77777777" w:rsidR="006B00A2" w:rsidRPr="006B00A2" w:rsidRDefault="006B00A2" w:rsidP="006B00A2">
      <w:pPr>
        <w:spacing w:after="200"/>
      </w:pPr>
      <w:r w:rsidRPr="006B00A2">
        <w:t xml:space="preserve">The Company’s financing arrangements </w:t>
      </w:r>
      <w:proofErr w:type="gramStart"/>
      <w:r w:rsidRPr="006B00A2">
        <w:t>expired</w:t>
      </w:r>
      <w:proofErr w:type="gramEnd"/>
      <w:r w:rsidRPr="006B00A2">
        <w:t xml:space="preserve"> and the amount outstanding was payable on 30 June 20X1.  The Company has been unable to conclude re</w:t>
      </w:r>
      <w:r w:rsidRPr="006B00A2">
        <w:noBreakHyphen/>
        <w:t>negotiations or obtain replacement financing and is considering filing for bankruptcy.  This situation indicates that a material uncertainty exists that may cast significant doubt on the Company’s ability to continue as a going concern.  The financial report does not adequately disclose this fact.</w:t>
      </w:r>
    </w:p>
    <w:p w14:paraId="7128AD7D" w14:textId="0B0A82FB" w:rsidR="006B00A2" w:rsidRPr="006B00A2" w:rsidRDefault="006B00A2" w:rsidP="006B00A2">
      <w:pPr>
        <w:spacing w:after="200"/>
      </w:pPr>
      <w:r w:rsidRPr="006B00A2">
        <w:t xml:space="preserve">We conducted our audit in accordance with Australian Auditing Standards.  Our responsibilities under those standards are further described in the </w:t>
      </w:r>
      <w:r w:rsidRPr="006B00A2">
        <w:rPr>
          <w:i/>
        </w:rPr>
        <w:t>Auditor’s</w:t>
      </w:r>
      <w:r w:rsidRPr="006B00A2">
        <w:t xml:space="preserve"> </w:t>
      </w:r>
      <w:r w:rsidRPr="006B00A2">
        <w:rPr>
          <w:i/>
        </w:rPr>
        <w:t>Responsibilities</w:t>
      </w:r>
      <w:r w:rsidRPr="006B00A2">
        <w:t xml:space="preserve"> </w:t>
      </w:r>
      <w:r w:rsidRPr="006B00A2">
        <w:rPr>
          <w:i/>
        </w:rPr>
        <w:t>for</w:t>
      </w:r>
      <w:r w:rsidRPr="006B00A2">
        <w:t xml:space="preserve"> </w:t>
      </w:r>
      <w:r w:rsidRPr="006B00A2">
        <w:rPr>
          <w:i/>
        </w:rPr>
        <w:t>the</w:t>
      </w:r>
      <w:r w:rsidRPr="006B00A2">
        <w:t xml:space="preserve"> </w:t>
      </w:r>
      <w:r w:rsidRPr="006B00A2">
        <w:rPr>
          <w:i/>
        </w:rPr>
        <w:t>Audit</w:t>
      </w:r>
      <w:r w:rsidRPr="006B00A2">
        <w:t xml:space="preserve"> </w:t>
      </w:r>
      <w:r w:rsidRPr="006B00A2">
        <w:rPr>
          <w:i/>
        </w:rPr>
        <w:t>of</w:t>
      </w:r>
      <w:r w:rsidRPr="006B00A2">
        <w:t xml:space="preserve"> </w:t>
      </w:r>
      <w:r w:rsidRPr="006B00A2">
        <w:rPr>
          <w:i/>
        </w:rPr>
        <w:t>the</w:t>
      </w:r>
      <w:r w:rsidRPr="006B00A2">
        <w:t xml:space="preserve"> </w:t>
      </w:r>
      <w:r w:rsidRPr="006B00A2">
        <w:rPr>
          <w:i/>
        </w:rPr>
        <w:t>Financial Report</w:t>
      </w:r>
      <w:r w:rsidRPr="006B00A2">
        <w:t xml:space="preserve"> section of our report.  We are independent of the Company in accordance with the auditor independence requirements of the </w:t>
      </w:r>
      <w:r w:rsidRPr="006B00A2">
        <w:rPr>
          <w:i/>
        </w:rPr>
        <w:t xml:space="preserve">Corporations Act 2001 </w:t>
      </w:r>
      <w:r w:rsidRPr="006B00A2">
        <w:t xml:space="preserve">and the ethical requirements of the Accounting Professional </w:t>
      </w:r>
      <w:r w:rsidR="003025FA">
        <w:t>&amp;</w:t>
      </w:r>
      <w:r w:rsidR="003025FA" w:rsidRPr="006B00A2">
        <w:t xml:space="preserve"> </w:t>
      </w:r>
      <w:r w:rsidRPr="006B00A2">
        <w:t xml:space="preserve">Ethical Standards Board’s APES 110 </w:t>
      </w:r>
      <w:r w:rsidRPr="006B00A2">
        <w:rPr>
          <w:i/>
        </w:rPr>
        <w:t>Code of Ethics for Professional Accountants</w:t>
      </w:r>
      <w:r w:rsidR="003025FA">
        <w:rPr>
          <w:i/>
        </w:rPr>
        <w:t xml:space="preserve"> </w:t>
      </w:r>
      <w:r w:rsidR="003025FA" w:rsidRPr="003025FA">
        <w:rPr>
          <w:i/>
        </w:rPr>
        <w:t>(including Independence Standards)</w:t>
      </w:r>
      <w:r w:rsidRPr="006B00A2">
        <w:rPr>
          <w:i/>
        </w:rPr>
        <w:t xml:space="preserve"> </w:t>
      </w:r>
      <w:r w:rsidRPr="006B00A2">
        <w:t xml:space="preserve">(the Code) that are relevant to our audit of the financial report in Australia.  We have also fulfilled our other ethical responsibilities in accordance with the Code.  </w:t>
      </w:r>
    </w:p>
    <w:p w14:paraId="409484A7" w14:textId="77777777" w:rsidR="006B00A2" w:rsidRPr="006B00A2" w:rsidRDefault="006B00A2" w:rsidP="006B00A2">
      <w:pPr>
        <w:spacing w:after="200"/>
      </w:pPr>
      <w:r w:rsidRPr="006B00A2">
        <w:t xml:space="preserve">We confirm that the independence declaration required by the </w:t>
      </w:r>
      <w:r w:rsidRPr="006B00A2">
        <w:rPr>
          <w:i/>
        </w:rPr>
        <w:t>Corporations Act 2001</w:t>
      </w:r>
      <w:r w:rsidRPr="006B00A2">
        <w:t xml:space="preserve">, which has been given to the directors of ABC Company Ltd., would be on the same terms if given to the directors as at the time of this auditor’s </w:t>
      </w:r>
      <w:proofErr w:type="gramStart"/>
      <w:r w:rsidRPr="006B00A2">
        <w:t>report.</w:t>
      </w:r>
      <w:r w:rsidRPr="006B00A2">
        <w:rPr>
          <w:vertAlign w:val="superscript"/>
        </w:rPr>
        <w:footnoteReference w:customMarkFollows="1" w:id="41"/>
        <w:t>*</w:t>
      </w:r>
      <w:proofErr w:type="gramEnd"/>
      <w:r w:rsidRPr="006B00A2">
        <w:t xml:space="preserve"> </w:t>
      </w:r>
    </w:p>
    <w:p w14:paraId="1CB1D868" w14:textId="77777777" w:rsidR="006B00A2" w:rsidRPr="006B00A2" w:rsidRDefault="006B00A2" w:rsidP="006B00A2">
      <w:pPr>
        <w:spacing w:after="200"/>
      </w:pPr>
      <w:r w:rsidRPr="006B00A2">
        <w:t>We believe that the audit evidence we have obtained is sufficient and appropriate to provide a basis for our adverse opinion.</w:t>
      </w:r>
    </w:p>
    <w:p w14:paraId="6DC7CA2C" w14:textId="77777777" w:rsidR="006B00A2" w:rsidRPr="006B00A2" w:rsidRDefault="006B00A2" w:rsidP="006B00A2">
      <w:pPr>
        <w:keepNext/>
        <w:spacing w:after="200"/>
        <w:outlineLvl w:val="5"/>
        <w:rPr>
          <w:b/>
          <w:iCs/>
          <w:szCs w:val="22"/>
        </w:rPr>
      </w:pPr>
      <w:r w:rsidRPr="006B00A2">
        <w:rPr>
          <w:b/>
          <w:iCs/>
          <w:szCs w:val="22"/>
        </w:rPr>
        <w:t>Key Audit Matters</w:t>
      </w:r>
    </w:p>
    <w:p w14:paraId="24A3E343" w14:textId="77777777" w:rsidR="006B00A2" w:rsidRPr="006B00A2" w:rsidRDefault="006B00A2" w:rsidP="006B00A2">
      <w:pPr>
        <w:spacing w:after="200"/>
      </w:pPr>
      <w:r w:rsidRPr="006B00A2">
        <w:t xml:space="preserve">Except for the matter described in the </w:t>
      </w:r>
      <w:r w:rsidRPr="006B00A2">
        <w:rPr>
          <w:i/>
        </w:rPr>
        <w:t>Basis</w:t>
      </w:r>
      <w:r w:rsidRPr="006B00A2">
        <w:t xml:space="preserve"> </w:t>
      </w:r>
      <w:r w:rsidRPr="006B00A2">
        <w:rPr>
          <w:i/>
        </w:rPr>
        <w:t>for</w:t>
      </w:r>
      <w:r w:rsidRPr="006B00A2">
        <w:t xml:space="preserve"> </w:t>
      </w:r>
      <w:r w:rsidRPr="006B00A2">
        <w:rPr>
          <w:i/>
        </w:rPr>
        <w:t>Adverse</w:t>
      </w:r>
      <w:r w:rsidRPr="006B00A2">
        <w:t xml:space="preserve"> </w:t>
      </w:r>
      <w:r w:rsidRPr="006B00A2">
        <w:rPr>
          <w:i/>
        </w:rPr>
        <w:t>Opinion</w:t>
      </w:r>
      <w:r w:rsidRPr="006B00A2">
        <w:t xml:space="preserve"> section, we have determined that there are no other key audit matters to communicate in our report.</w:t>
      </w:r>
    </w:p>
    <w:p w14:paraId="3E523CC2" w14:textId="77777777" w:rsidR="006B00A2" w:rsidRPr="006B00A2" w:rsidRDefault="006B00A2" w:rsidP="006B00A2">
      <w:pPr>
        <w:keepNext/>
        <w:spacing w:after="200"/>
        <w:outlineLvl w:val="7"/>
        <w:rPr>
          <w:b/>
          <w:iCs/>
          <w:szCs w:val="22"/>
        </w:rPr>
      </w:pPr>
      <w:r w:rsidRPr="006B00A2">
        <w:rPr>
          <w:b/>
          <w:iCs/>
          <w:szCs w:val="22"/>
        </w:rPr>
        <w:t>Other Information [or another title if appropriate such as “Information Other than the Financial Report and Auditor’s Report Thereon”]</w:t>
      </w:r>
    </w:p>
    <w:p w14:paraId="73F1B9E3" w14:textId="77777777" w:rsidR="006B00A2" w:rsidRPr="006B00A2" w:rsidRDefault="006B00A2" w:rsidP="006B00A2">
      <w:pPr>
        <w:spacing w:after="200"/>
      </w:pPr>
      <w:r w:rsidRPr="006B00A2">
        <w:t>[</w:t>
      </w:r>
      <w:r w:rsidRPr="006B00A2">
        <w:rPr>
          <w:i/>
        </w:rPr>
        <w:t>Reporting in accordance with the reporting requirements in ASA 720 – see [</w:t>
      </w:r>
      <w:proofErr w:type="spellStart"/>
      <w:r w:rsidRPr="006B00A2">
        <w:rPr>
          <w:i/>
        </w:rPr>
        <w:t>Aus</w:t>
      </w:r>
      <w:proofErr w:type="spellEnd"/>
      <w:r w:rsidRPr="006B00A2">
        <w:rPr>
          <w:i/>
        </w:rPr>
        <w:t>] Illustration 7A in Appendix 3 of ASA 720</w:t>
      </w:r>
      <w:r w:rsidRPr="006B00A2">
        <w:t xml:space="preserve">.  </w:t>
      </w:r>
      <w:r w:rsidRPr="006B00A2">
        <w:rPr>
          <w:i/>
        </w:rPr>
        <w:t>The last paragraph of the other information section in [</w:t>
      </w:r>
      <w:proofErr w:type="spellStart"/>
      <w:r w:rsidRPr="006B00A2">
        <w:rPr>
          <w:i/>
        </w:rPr>
        <w:t>Aus</w:t>
      </w:r>
      <w:proofErr w:type="spellEnd"/>
      <w:r w:rsidRPr="006B00A2">
        <w:rPr>
          <w:i/>
        </w:rPr>
        <w:t xml:space="preserve">] Illustration 7A would be customised to describe the specific matter giving rise to the adverse opinion that also affects the other </w:t>
      </w:r>
      <w:proofErr w:type="gramStart"/>
      <w:r w:rsidRPr="006B00A2">
        <w:rPr>
          <w:i/>
        </w:rPr>
        <w:t>information.</w:t>
      </w:r>
      <w:r w:rsidRPr="006B00A2">
        <w:rPr>
          <w:i/>
          <w:vertAlign w:val="superscript"/>
        </w:rPr>
        <w:footnoteReference w:customMarkFollows="1" w:id="42"/>
        <w:t>#</w:t>
      </w:r>
      <w:proofErr w:type="gramEnd"/>
      <w:r w:rsidRPr="006B00A2">
        <w:t xml:space="preserve">] </w:t>
      </w:r>
    </w:p>
    <w:p w14:paraId="1B752A62" w14:textId="77777777" w:rsidR="006B00A2" w:rsidRPr="006B00A2" w:rsidRDefault="006B00A2" w:rsidP="006B00A2">
      <w:pPr>
        <w:keepNext/>
        <w:spacing w:after="200"/>
        <w:outlineLvl w:val="7"/>
        <w:rPr>
          <w:b/>
          <w:iCs/>
          <w:szCs w:val="22"/>
        </w:rPr>
      </w:pPr>
      <w:r w:rsidRPr="006B00A2">
        <w:rPr>
          <w:b/>
          <w:iCs/>
          <w:szCs w:val="22"/>
        </w:rPr>
        <w:t>Responsibilities of the Directors for the Financial Report</w:t>
      </w:r>
    </w:p>
    <w:p w14:paraId="78E7C13F"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700</w:t>
      </w:r>
      <w:r w:rsidRPr="006B00A2">
        <w:t xml:space="preserve"> – </w:t>
      </w:r>
      <w:r w:rsidRPr="006B00A2">
        <w:rPr>
          <w:i/>
        </w:rPr>
        <w:t>see</w:t>
      </w:r>
      <w:r w:rsidRPr="006B00A2">
        <w:t xml:space="preserve"> </w:t>
      </w:r>
      <w:r w:rsidRPr="006B00A2">
        <w:rPr>
          <w:i/>
        </w:rPr>
        <w:t>[</w:t>
      </w:r>
      <w:proofErr w:type="spellStart"/>
      <w:r w:rsidRPr="006B00A2">
        <w:rPr>
          <w:i/>
        </w:rPr>
        <w:t>Aus</w:t>
      </w:r>
      <w:proofErr w:type="spellEnd"/>
      <w:r w:rsidRPr="006B00A2">
        <w:rPr>
          <w:i/>
        </w:rPr>
        <w:t>] Illustration</w:t>
      </w:r>
      <w:r w:rsidRPr="006B00A2">
        <w:t> </w:t>
      </w:r>
      <w:r w:rsidRPr="006B00A2">
        <w:rPr>
          <w:i/>
        </w:rPr>
        <w:t>1A</w:t>
      </w:r>
      <w:r w:rsidRPr="006B00A2">
        <w:t xml:space="preserve"> </w:t>
      </w:r>
      <w:r w:rsidRPr="006B00A2">
        <w:rPr>
          <w:i/>
        </w:rPr>
        <w:t>in</w:t>
      </w:r>
      <w:r w:rsidRPr="006B00A2">
        <w:t xml:space="preserve"> </w:t>
      </w:r>
      <w:r w:rsidRPr="006B00A2">
        <w:rPr>
          <w:i/>
        </w:rPr>
        <w:t>ASA 700</w:t>
      </w:r>
      <w:r w:rsidRPr="006B00A2">
        <w:t>.]</w:t>
      </w:r>
    </w:p>
    <w:p w14:paraId="6DED914F" w14:textId="77777777" w:rsidR="006B00A2" w:rsidRPr="006B00A2" w:rsidRDefault="006B00A2" w:rsidP="006B00A2">
      <w:pPr>
        <w:keepNext/>
        <w:spacing w:after="200"/>
        <w:outlineLvl w:val="7"/>
        <w:rPr>
          <w:b/>
          <w:iCs/>
          <w:szCs w:val="22"/>
        </w:rPr>
      </w:pPr>
      <w:r w:rsidRPr="006B00A2">
        <w:rPr>
          <w:b/>
          <w:iCs/>
          <w:szCs w:val="22"/>
        </w:rPr>
        <w:lastRenderedPageBreak/>
        <w:t>Auditor’s Responsibilities for the Audit of the Financial Report</w:t>
      </w:r>
    </w:p>
    <w:p w14:paraId="4DEC749E"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 xml:space="preserve">ASA 700 </w:t>
      </w:r>
      <w:r w:rsidRPr="006B00A2">
        <w:t xml:space="preserve">– </w:t>
      </w:r>
      <w:r w:rsidRPr="006B00A2">
        <w:rPr>
          <w:i/>
        </w:rPr>
        <w:t>see</w:t>
      </w:r>
      <w:r w:rsidRPr="006B00A2">
        <w:t xml:space="preserve"> </w:t>
      </w:r>
      <w:r w:rsidRPr="006B00A2">
        <w:rPr>
          <w:i/>
        </w:rPr>
        <w:t>[</w:t>
      </w:r>
      <w:proofErr w:type="spellStart"/>
      <w:r w:rsidRPr="006B00A2">
        <w:rPr>
          <w:i/>
        </w:rPr>
        <w:t>Aus</w:t>
      </w:r>
      <w:proofErr w:type="spellEnd"/>
      <w:r w:rsidRPr="006B00A2">
        <w:rPr>
          <w:i/>
        </w:rPr>
        <w:t>] Illustration</w:t>
      </w:r>
      <w:r w:rsidRPr="006B00A2">
        <w:t> </w:t>
      </w:r>
      <w:r w:rsidRPr="006B00A2">
        <w:rPr>
          <w:i/>
        </w:rPr>
        <w:t>1A</w:t>
      </w:r>
      <w:r w:rsidRPr="006B00A2">
        <w:t xml:space="preserve"> </w:t>
      </w:r>
      <w:r w:rsidRPr="006B00A2">
        <w:rPr>
          <w:i/>
        </w:rPr>
        <w:t>in</w:t>
      </w:r>
      <w:r w:rsidRPr="006B00A2">
        <w:t xml:space="preserve"> </w:t>
      </w:r>
      <w:r w:rsidRPr="006B00A2">
        <w:rPr>
          <w:i/>
        </w:rPr>
        <w:t>ASA 700</w:t>
      </w:r>
      <w:r w:rsidRPr="006B00A2">
        <w:t>.]</w:t>
      </w:r>
    </w:p>
    <w:p w14:paraId="0342A10D" w14:textId="77777777" w:rsidR="006B00A2" w:rsidRPr="006B00A2" w:rsidRDefault="006B00A2" w:rsidP="006B00A2">
      <w:pPr>
        <w:keepNext/>
        <w:spacing w:after="200"/>
        <w:outlineLvl w:val="7"/>
        <w:rPr>
          <w:b/>
          <w:iCs/>
          <w:szCs w:val="22"/>
        </w:rPr>
      </w:pPr>
      <w:r w:rsidRPr="006B00A2">
        <w:rPr>
          <w:b/>
          <w:iCs/>
          <w:szCs w:val="22"/>
        </w:rPr>
        <w:t>Report on the Remuneration Report</w:t>
      </w:r>
      <w:r w:rsidRPr="006B00A2">
        <w:rPr>
          <w:b/>
          <w:iCs/>
          <w:szCs w:val="22"/>
          <w:vertAlign w:val="superscript"/>
        </w:rPr>
        <w:footnoteReference w:customMarkFollows="1" w:id="43"/>
        <w:t>†</w:t>
      </w:r>
    </w:p>
    <w:p w14:paraId="2E29266C"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700</w:t>
      </w:r>
      <w:r w:rsidRPr="006B00A2">
        <w:t xml:space="preserve"> – </w:t>
      </w:r>
      <w:r w:rsidRPr="006B00A2">
        <w:rPr>
          <w:i/>
        </w:rPr>
        <w:t>see</w:t>
      </w:r>
      <w:r w:rsidRPr="006B00A2">
        <w:t xml:space="preserve"> </w:t>
      </w:r>
      <w:r w:rsidRPr="006B00A2">
        <w:rPr>
          <w:i/>
        </w:rPr>
        <w:t>[</w:t>
      </w:r>
      <w:proofErr w:type="spellStart"/>
      <w:r w:rsidRPr="006B00A2">
        <w:rPr>
          <w:i/>
        </w:rPr>
        <w:t>Aus</w:t>
      </w:r>
      <w:proofErr w:type="spellEnd"/>
      <w:r w:rsidRPr="006B00A2">
        <w:rPr>
          <w:i/>
        </w:rPr>
        <w:t>] Illustration</w:t>
      </w:r>
      <w:r w:rsidRPr="006B00A2">
        <w:t> </w:t>
      </w:r>
      <w:r w:rsidRPr="006B00A2">
        <w:rPr>
          <w:i/>
        </w:rPr>
        <w:t>1A</w:t>
      </w:r>
      <w:r w:rsidRPr="006B00A2">
        <w:t xml:space="preserve"> </w:t>
      </w:r>
      <w:r w:rsidRPr="006B00A2">
        <w:rPr>
          <w:i/>
        </w:rPr>
        <w:t>in</w:t>
      </w:r>
      <w:r w:rsidRPr="006B00A2">
        <w:t xml:space="preserve"> </w:t>
      </w:r>
      <w:r w:rsidRPr="006B00A2">
        <w:rPr>
          <w:i/>
        </w:rPr>
        <w:t>ASA 700</w:t>
      </w:r>
      <w:r w:rsidRPr="006B00A2">
        <w:t>.]</w:t>
      </w:r>
    </w:p>
    <w:p w14:paraId="7BB3C7A3" w14:textId="77777777" w:rsidR="006B00A2" w:rsidRPr="006B00A2" w:rsidRDefault="006B00A2" w:rsidP="006B00A2">
      <w:pPr>
        <w:spacing w:before="240" w:after="200"/>
        <w:rPr>
          <w:rFonts w:eastAsia="Calibri"/>
        </w:rPr>
      </w:pPr>
      <w:r w:rsidRPr="006B00A2">
        <w:rPr>
          <w:rFonts w:eastAsia="Calibri"/>
        </w:rPr>
        <w:t>[</w:t>
      </w:r>
      <w:r w:rsidRPr="006B00A2">
        <w:rPr>
          <w:rFonts w:eastAsia="Calibri"/>
          <w:i/>
        </w:rPr>
        <w:t xml:space="preserve">Auditor’s name and </w:t>
      </w:r>
      <w:proofErr w:type="gramStart"/>
      <w:r w:rsidRPr="006B00A2">
        <w:rPr>
          <w:rFonts w:eastAsia="Calibri"/>
          <w:i/>
        </w:rPr>
        <w:t>signature</w:t>
      </w:r>
      <w:r w:rsidRPr="006B00A2">
        <w:rPr>
          <w:rFonts w:eastAsia="Calibri"/>
        </w:rPr>
        <w:t>]</w:t>
      </w:r>
      <w:r w:rsidRPr="006B00A2">
        <w:rPr>
          <w:rFonts w:eastAsia="Calibri"/>
          <w:vertAlign w:val="superscript"/>
        </w:rPr>
        <w:footnoteReference w:customMarkFollows="1" w:id="44"/>
        <w:t>*</w:t>
      </w:r>
      <w:proofErr w:type="gramEnd"/>
    </w:p>
    <w:p w14:paraId="3AFEB738" w14:textId="77777777" w:rsidR="006B00A2" w:rsidRPr="006B00A2" w:rsidRDefault="006B00A2" w:rsidP="006B00A2">
      <w:pPr>
        <w:spacing w:after="200"/>
        <w:rPr>
          <w:rFonts w:eastAsia="Calibri"/>
        </w:rPr>
      </w:pPr>
      <w:r w:rsidRPr="006B00A2">
        <w:rPr>
          <w:rFonts w:eastAsia="Calibri"/>
        </w:rPr>
        <w:t>[</w:t>
      </w:r>
      <w:r w:rsidRPr="006B00A2">
        <w:rPr>
          <w:rFonts w:eastAsia="Calibri"/>
          <w:i/>
        </w:rPr>
        <w:t>Name of Firm</w:t>
      </w:r>
      <w:r w:rsidRPr="006B00A2">
        <w:rPr>
          <w:rFonts w:eastAsia="Calibri"/>
        </w:rPr>
        <w:t>]</w:t>
      </w:r>
    </w:p>
    <w:p w14:paraId="58C7B4B0" w14:textId="77777777" w:rsidR="006B00A2" w:rsidRPr="006B00A2" w:rsidRDefault="006B00A2" w:rsidP="006B00A2">
      <w:pPr>
        <w:spacing w:after="200"/>
        <w:rPr>
          <w:rFonts w:eastAsia="Calibri"/>
        </w:rPr>
      </w:pPr>
      <w:r w:rsidRPr="006B00A2">
        <w:rPr>
          <w:rFonts w:eastAsia="Calibri"/>
        </w:rPr>
        <w:t>[</w:t>
      </w:r>
      <w:r w:rsidRPr="006B00A2">
        <w:rPr>
          <w:rFonts w:eastAsia="Calibri"/>
          <w:i/>
        </w:rPr>
        <w:t>Date of the auditor’s report</w:t>
      </w:r>
      <w:r w:rsidRPr="006B00A2">
        <w:rPr>
          <w:rFonts w:eastAsia="Calibri"/>
        </w:rPr>
        <w:t>]</w:t>
      </w:r>
    </w:p>
    <w:p w14:paraId="006B9983" w14:textId="77777777" w:rsidR="006B00A2" w:rsidRPr="006B00A2" w:rsidRDefault="006B00A2" w:rsidP="006B00A2">
      <w:pPr>
        <w:spacing w:after="200"/>
        <w:rPr>
          <w:rFonts w:eastAsia="Calibri"/>
        </w:rPr>
      </w:pPr>
      <w:r w:rsidRPr="006B00A2">
        <w:rPr>
          <w:rFonts w:eastAsia="Calibri"/>
        </w:rPr>
        <w:t>[</w:t>
      </w:r>
      <w:r w:rsidRPr="006B00A2">
        <w:rPr>
          <w:rFonts w:eastAsia="Calibri"/>
          <w:i/>
        </w:rPr>
        <w:t>Auditor’s</w:t>
      </w:r>
      <w:r w:rsidRPr="006B00A2">
        <w:rPr>
          <w:rFonts w:eastAsia="Calibri"/>
        </w:rPr>
        <w:t xml:space="preserve"> </w:t>
      </w:r>
      <w:r w:rsidRPr="006B00A2">
        <w:rPr>
          <w:rFonts w:eastAsia="Calibri"/>
          <w:i/>
        </w:rPr>
        <w:t>Address</w:t>
      </w:r>
      <w:r w:rsidRPr="006B00A2">
        <w:rPr>
          <w:rFonts w:eastAsia="Calibri"/>
        </w:rPr>
        <w:t>]</w:t>
      </w:r>
    </w:p>
    <w:p w14:paraId="4D868338" w14:textId="77777777" w:rsidR="006B00A2" w:rsidRPr="006B00A2" w:rsidRDefault="006B00A2" w:rsidP="006B00A2">
      <w:pPr>
        <w:spacing w:line="240" w:lineRule="auto"/>
        <w:rPr>
          <w:b/>
        </w:rPr>
      </w:pPr>
    </w:p>
    <w:p w14:paraId="02025E30" w14:textId="79311FFE" w:rsidR="006B00A2" w:rsidRDefault="006B00A2">
      <w:pPr>
        <w:spacing w:line="240" w:lineRule="auto"/>
      </w:pPr>
      <w:r>
        <w:br w:type="page"/>
      </w:r>
    </w:p>
    <w:p w14:paraId="08E11948" w14:textId="77777777" w:rsidR="006B00A2" w:rsidRPr="006B00A2" w:rsidRDefault="006B00A2" w:rsidP="006B00A2">
      <w:pPr>
        <w:spacing w:line="240" w:lineRule="auto"/>
        <w:jc w:val="center"/>
        <w:rPr>
          <w:b/>
        </w:rPr>
      </w:pPr>
      <w:r w:rsidRPr="006B00A2">
        <w:rPr>
          <w:b/>
        </w:rPr>
        <w:lastRenderedPageBreak/>
        <w:t>Example Auditor’s Report</w:t>
      </w:r>
    </w:p>
    <w:p w14:paraId="3E939841" w14:textId="77777777" w:rsidR="006B00A2" w:rsidRPr="006B00A2" w:rsidRDefault="006B00A2" w:rsidP="006B00A2">
      <w:pPr>
        <w:ind w:left="709" w:hanging="709"/>
        <w:jc w:val="center"/>
        <w:outlineLvl w:val="0"/>
        <w:rPr>
          <w:b/>
        </w:rPr>
      </w:pPr>
      <w:r w:rsidRPr="006B00A2">
        <w:rPr>
          <w:b/>
        </w:rPr>
        <w:t xml:space="preserve">Disclaimer of Opinion (Limitation of Scope) </w:t>
      </w:r>
    </w:p>
    <w:p w14:paraId="3F44B8D3" w14:textId="77777777" w:rsidR="006B00A2" w:rsidRPr="006B00A2" w:rsidRDefault="006B00A2" w:rsidP="006B00A2">
      <w:pPr>
        <w:ind w:left="709" w:hanging="709"/>
        <w:jc w:val="center"/>
        <w:outlineLvl w:val="0"/>
        <w:rPr>
          <w:b/>
          <w:i/>
          <w:u w:val="single"/>
        </w:rPr>
      </w:pPr>
      <w:r w:rsidRPr="006B00A2">
        <w:rPr>
          <w:b/>
        </w:rPr>
        <w:t>Single listed Company</w:t>
      </w:r>
      <w:r w:rsidRPr="006B00A2">
        <w:rPr>
          <w:b/>
        </w:rPr>
        <w:noBreakHyphen/>
      </w:r>
      <w:r w:rsidRPr="006B00A2">
        <w:rPr>
          <w:b/>
          <w:i/>
        </w:rPr>
        <w:t>Corporations Act 2001</w:t>
      </w:r>
    </w:p>
    <w:p w14:paraId="4A734DDE" w14:textId="77777777" w:rsidR="006B00A2" w:rsidRPr="006B00A2" w:rsidRDefault="006B00A2" w:rsidP="006B00A2">
      <w:pPr>
        <w:spacing w:after="240" w:line="240" w:lineRule="auto"/>
        <w:jc w:val="center"/>
        <w:rPr>
          <w:b/>
        </w:rPr>
      </w:pPr>
      <w:r w:rsidRPr="006B00A2">
        <w:rPr>
          <w:b/>
        </w:rPr>
        <w:t>(Fair Presentation Framework)</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llustration [Aus] 4A"/>
        <w:tblDescription w:val="information in relation to illustration 4A"/>
      </w:tblPr>
      <w:tblGrid>
        <w:gridCol w:w="9450"/>
      </w:tblGrid>
      <w:tr w:rsidR="006B00A2" w:rsidRPr="006B00A2" w14:paraId="3BCC8B80" w14:textId="77777777" w:rsidTr="006B00A2">
        <w:trPr>
          <w:trHeight w:val="4382"/>
        </w:trPr>
        <w:tc>
          <w:tcPr>
            <w:tcW w:w="9450" w:type="dxa"/>
          </w:tcPr>
          <w:p w14:paraId="447F27F9" w14:textId="77777777" w:rsidR="006B00A2" w:rsidRPr="006B00A2" w:rsidRDefault="006B00A2" w:rsidP="006B00A2">
            <w:r w:rsidRPr="006B00A2">
              <w:br w:type="page"/>
            </w:r>
          </w:p>
          <w:p w14:paraId="5D2D4BA1" w14:textId="77777777" w:rsidR="006B00A2" w:rsidRPr="006B00A2" w:rsidRDefault="006B00A2" w:rsidP="006B00A2">
            <w:pPr>
              <w:spacing w:after="200"/>
              <w:rPr>
                <w:u w:val="single"/>
              </w:rPr>
            </w:pPr>
            <w:r w:rsidRPr="006B00A2">
              <w:rPr>
                <w:u w:val="single"/>
              </w:rPr>
              <w:t>[</w:t>
            </w:r>
            <w:proofErr w:type="spellStart"/>
            <w:r w:rsidRPr="006B00A2">
              <w:rPr>
                <w:u w:val="single"/>
              </w:rPr>
              <w:t>Aus</w:t>
            </w:r>
            <w:proofErr w:type="spellEnd"/>
            <w:r w:rsidRPr="006B00A2">
              <w:rPr>
                <w:u w:val="single"/>
              </w:rPr>
              <w:t>] Illustration 4A:</w:t>
            </w:r>
          </w:p>
          <w:p w14:paraId="2DBB46F7" w14:textId="77777777" w:rsidR="006B00A2" w:rsidRPr="006B00A2" w:rsidRDefault="006B00A2" w:rsidP="006B00A2">
            <w:pPr>
              <w:spacing w:after="200"/>
            </w:pPr>
            <w:r w:rsidRPr="006B00A2">
              <w:t>For purposes of the illustrative auditor’s report, the following circumstances are assumed:</w:t>
            </w:r>
          </w:p>
          <w:p w14:paraId="049E45A7" w14:textId="77777777" w:rsidR="006B00A2" w:rsidRPr="006B00A2" w:rsidRDefault="006B00A2" w:rsidP="006B00A2">
            <w:pPr>
              <w:numPr>
                <w:ilvl w:val="0"/>
                <w:numId w:val="35"/>
              </w:numPr>
              <w:spacing w:after="200"/>
              <w:outlineLvl w:val="0"/>
            </w:pPr>
            <w:r w:rsidRPr="006B00A2">
              <w:t>Audit of the financial report of a single listed company.  The audit is not a group audit (</w:t>
            </w:r>
            <w:proofErr w:type="gramStart"/>
            <w:r w:rsidRPr="006B00A2">
              <w:t>i.e.</w:t>
            </w:r>
            <w:proofErr w:type="gramEnd"/>
            <w:r w:rsidRPr="006B00A2">
              <w:t xml:space="preserve"> ASA 600</w:t>
            </w:r>
            <w:r w:rsidRPr="006B00A2">
              <w:rPr>
                <w:vertAlign w:val="superscript"/>
              </w:rPr>
              <w:footnoteReference w:customMarkFollows="1" w:id="45"/>
              <w:t>*</w:t>
            </w:r>
            <w:r w:rsidRPr="006B00A2">
              <w:t xml:space="preserve"> does not apply).</w:t>
            </w:r>
          </w:p>
          <w:p w14:paraId="46E2DBED" w14:textId="77777777" w:rsidR="006B00A2" w:rsidRPr="006B00A2" w:rsidRDefault="006B00A2" w:rsidP="006B00A2">
            <w:pPr>
              <w:numPr>
                <w:ilvl w:val="0"/>
                <w:numId w:val="35"/>
              </w:numPr>
              <w:spacing w:after="200"/>
              <w:outlineLvl w:val="0"/>
            </w:pPr>
            <w:r w:rsidRPr="006B00A2">
              <w:t xml:space="preserve">The financial report is prepared by the directors of the company in accordance with Australian Accounting Standards (a </w:t>
            </w:r>
            <w:proofErr w:type="gramStart"/>
            <w:r w:rsidRPr="006B00A2">
              <w:t>general purpose</w:t>
            </w:r>
            <w:proofErr w:type="gramEnd"/>
            <w:r w:rsidRPr="006B00A2">
              <w:t xml:space="preserve"> framework) and under the </w:t>
            </w:r>
            <w:r w:rsidRPr="006B00A2">
              <w:rPr>
                <w:i/>
              </w:rPr>
              <w:t>Corporations Act 2001</w:t>
            </w:r>
            <w:r w:rsidRPr="006B00A2">
              <w:t>.</w:t>
            </w:r>
          </w:p>
          <w:p w14:paraId="081BFF26" w14:textId="77777777" w:rsidR="006B00A2" w:rsidRPr="006B00A2" w:rsidRDefault="006B00A2" w:rsidP="006B00A2">
            <w:pPr>
              <w:numPr>
                <w:ilvl w:val="0"/>
                <w:numId w:val="35"/>
              </w:numPr>
              <w:spacing w:after="200"/>
              <w:outlineLvl w:val="0"/>
            </w:pPr>
            <w:r w:rsidRPr="006B00A2">
              <w:t>The terms of the audit engagement reflect the description of the directors’ responsibility for the financial report in ASA </w:t>
            </w:r>
            <w:proofErr w:type="gramStart"/>
            <w:r w:rsidRPr="006B00A2">
              <w:t>210.</w:t>
            </w:r>
            <w:r w:rsidRPr="006B00A2">
              <w:rPr>
                <w:rFonts w:eastAsia="Calibri"/>
                <w:vertAlign w:val="superscript"/>
              </w:rPr>
              <w:footnoteReference w:customMarkFollows="1" w:id="46"/>
              <w:t>#</w:t>
            </w:r>
            <w:proofErr w:type="gramEnd"/>
          </w:p>
          <w:p w14:paraId="3518056F" w14:textId="2D4F875D" w:rsidR="006B00A2" w:rsidRPr="006B00A2" w:rsidRDefault="006B00A2" w:rsidP="006B00A2">
            <w:pPr>
              <w:numPr>
                <w:ilvl w:val="0"/>
                <w:numId w:val="35"/>
              </w:numPr>
              <w:spacing w:after="200"/>
              <w:outlineLvl w:val="0"/>
            </w:pPr>
            <w:r w:rsidRPr="006B00A2">
              <w:t xml:space="preserve">The relevant ethical requirements that apply to the audit are the Accounting Professional </w:t>
            </w:r>
            <w:r w:rsidR="003025FA">
              <w:t>&amp;</w:t>
            </w:r>
            <w:r w:rsidR="003025FA" w:rsidRPr="006B00A2">
              <w:t xml:space="preserve"> </w:t>
            </w:r>
            <w:r w:rsidRPr="006B00A2">
              <w:t xml:space="preserve">Ethical Standards Board’s APES 110 </w:t>
            </w:r>
            <w:r w:rsidRPr="006B00A2">
              <w:rPr>
                <w:i/>
              </w:rPr>
              <w:t>Code of Ethics for Professional Accountants</w:t>
            </w:r>
            <w:r w:rsidR="003025FA">
              <w:rPr>
                <w:i/>
              </w:rPr>
              <w:t xml:space="preserve"> </w:t>
            </w:r>
            <w:r w:rsidR="003025FA" w:rsidRPr="003025FA">
              <w:rPr>
                <w:i/>
              </w:rPr>
              <w:t>(including Independence Standards)</w:t>
            </w:r>
            <w:r w:rsidRPr="006B00A2">
              <w:t>.</w:t>
            </w:r>
          </w:p>
          <w:p w14:paraId="759548BD" w14:textId="77777777" w:rsidR="006B00A2" w:rsidRPr="006B00A2" w:rsidRDefault="006B00A2" w:rsidP="006B00A2">
            <w:pPr>
              <w:numPr>
                <w:ilvl w:val="0"/>
                <w:numId w:val="35"/>
              </w:numPr>
              <w:spacing w:after="200"/>
              <w:outlineLvl w:val="0"/>
            </w:pPr>
            <w:r w:rsidRPr="006B00A2">
              <w:t>The auditor is unable to obtain sufficient appropriate audit evidence about the company’s ability to continue as a going concern as the directors have refused to extend their going concern assessment up to the relevant period (limitation of scope).</w:t>
            </w:r>
          </w:p>
          <w:p w14:paraId="7B147D8E" w14:textId="77777777" w:rsidR="006B00A2" w:rsidRPr="006B00A2" w:rsidRDefault="006B00A2" w:rsidP="006B00A2">
            <w:pPr>
              <w:numPr>
                <w:ilvl w:val="0"/>
                <w:numId w:val="35"/>
              </w:numPr>
              <w:spacing w:after="200"/>
              <w:outlineLvl w:val="0"/>
            </w:pPr>
            <w:r w:rsidRPr="006B00A2">
              <w:t>The auditor is not permitted to communicate key audit matters in accordance with ASA </w:t>
            </w:r>
            <w:proofErr w:type="gramStart"/>
            <w:r w:rsidRPr="006B00A2">
              <w:t>705.</w:t>
            </w:r>
            <w:r w:rsidRPr="006B00A2">
              <w:rPr>
                <w:vertAlign w:val="superscript"/>
              </w:rPr>
              <w:footnoteReference w:customMarkFollows="1" w:id="47"/>
              <w:t>†</w:t>
            </w:r>
            <w:proofErr w:type="gramEnd"/>
          </w:p>
          <w:p w14:paraId="5C21BD60" w14:textId="77777777" w:rsidR="006B00A2" w:rsidRPr="006B00A2" w:rsidRDefault="006B00A2" w:rsidP="006B00A2">
            <w:pPr>
              <w:numPr>
                <w:ilvl w:val="0"/>
                <w:numId w:val="35"/>
              </w:numPr>
              <w:spacing w:after="200"/>
              <w:outlineLvl w:val="0"/>
              <w:rPr>
                <w:rFonts w:eastAsia="Calibri"/>
              </w:rPr>
            </w:pPr>
            <w:r w:rsidRPr="006B00A2">
              <w:rPr>
                <w:rFonts w:eastAsia="Calibri"/>
              </w:rPr>
              <w:t>The auditor does not include an other information section in accordance with ASA </w:t>
            </w:r>
            <w:proofErr w:type="gramStart"/>
            <w:r w:rsidRPr="006B00A2">
              <w:rPr>
                <w:rFonts w:eastAsia="Calibri"/>
              </w:rPr>
              <w:t>720.</w:t>
            </w:r>
            <w:r w:rsidRPr="006B00A2">
              <w:rPr>
                <w:rFonts w:eastAsia="Calibri"/>
                <w:vertAlign w:val="superscript"/>
              </w:rPr>
              <w:footnoteReference w:customMarkFollows="1" w:id="48"/>
              <w:t>§</w:t>
            </w:r>
            <w:proofErr w:type="gramEnd"/>
            <w:r w:rsidRPr="006B00A2" w:rsidDel="00A819F9">
              <w:rPr>
                <w:rFonts w:eastAsia="Calibri"/>
              </w:rPr>
              <w:t xml:space="preserve"> </w:t>
            </w:r>
          </w:p>
          <w:p w14:paraId="156AF168" w14:textId="77777777" w:rsidR="006B00A2" w:rsidRPr="006B00A2" w:rsidRDefault="006B00A2" w:rsidP="006B00A2">
            <w:pPr>
              <w:numPr>
                <w:ilvl w:val="0"/>
                <w:numId w:val="35"/>
              </w:numPr>
              <w:outlineLvl w:val="0"/>
            </w:pPr>
            <w:r w:rsidRPr="006B00A2">
              <w:t xml:space="preserve">In addition to the audit of the financial report, the auditor has other reporting responsibilities required under section 308(3C) of the </w:t>
            </w:r>
            <w:r w:rsidRPr="006B00A2">
              <w:rPr>
                <w:i/>
              </w:rPr>
              <w:t>Corporations Act 2001</w:t>
            </w:r>
            <w:r w:rsidRPr="006B00A2">
              <w:t xml:space="preserve">. </w:t>
            </w:r>
          </w:p>
          <w:p w14:paraId="42BBDAFA" w14:textId="77777777" w:rsidR="006B00A2" w:rsidRPr="006B00A2" w:rsidRDefault="006B00A2" w:rsidP="006B00A2">
            <w:pPr>
              <w:outlineLvl w:val="0"/>
            </w:pPr>
          </w:p>
        </w:tc>
      </w:tr>
    </w:tbl>
    <w:p w14:paraId="31108FCF" w14:textId="77777777" w:rsidR="006B00A2" w:rsidRPr="006B00A2" w:rsidRDefault="006B00A2" w:rsidP="006B00A2">
      <w:pPr>
        <w:keepNext/>
        <w:spacing w:before="240" w:after="200"/>
        <w:outlineLvl w:val="7"/>
        <w:rPr>
          <w:iCs/>
          <w:szCs w:val="22"/>
        </w:rPr>
      </w:pPr>
      <w:r w:rsidRPr="006B00A2">
        <w:rPr>
          <w:iCs/>
          <w:szCs w:val="22"/>
        </w:rPr>
        <w:t xml:space="preserve">INDEPENDENT AUDITOR’S REPORT </w:t>
      </w:r>
    </w:p>
    <w:p w14:paraId="6369B7A9" w14:textId="77777777" w:rsidR="006B00A2" w:rsidRPr="006B00A2" w:rsidRDefault="006B00A2" w:rsidP="006B00A2">
      <w:pPr>
        <w:spacing w:after="200"/>
      </w:pPr>
      <w:r w:rsidRPr="006B00A2">
        <w:t xml:space="preserve">[Appropriate Addressee] </w:t>
      </w:r>
    </w:p>
    <w:p w14:paraId="69B7C8D3" w14:textId="77777777" w:rsidR="006B00A2" w:rsidRPr="006B00A2" w:rsidRDefault="006B00A2" w:rsidP="006B00A2">
      <w:pPr>
        <w:keepNext/>
        <w:spacing w:after="200"/>
        <w:outlineLvl w:val="7"/>
        <w:rPr>
          <w:iCs/>
          <w:szCs w:val="22"/>
        </w:rPr>
      </w:pPr>
      <w:r w:rsidRPr="006B00A2">
        <w:rPr>
          <w:b/>
          <w:iCs/>
          <w:szCs w:val="22"/>
        </w:rPr>
        <w:t>Report on the Audit of the Financial Report</w:t>
      </w:r>
      <w:r w:rsidRPr="006B00A2">
        <w:rPr>
          <w:iCs/>
          <w:szCs w:val="22"/>
          <w:vertAlign w:val="superscript"/>
        </w:rPr>
        <w:footnoteReference w:customMarkFollows="1" w:id="49"/>
        <w:t>‡</w:t>
      </w:r>
      <w:r w:rsidRPr="006B00A2">
        <w:rPr>
          <w:iCs/>
          <w:szCs w:val="22"/>
        </w:rPr>
        <w:t xml:space="preserve"> </w:t>
      </w:r>
    </w:p>
    <w:p w14:paraId="4AA03F36" w14:textId="77777777" w:rsidR="006B00A2" w:rsidRPr="006B00A2" w:rsidRDefault="006B00A2" w:rsidP="006B00A2">
      <w:pPr>
        <w:keepNext/>
        <w:spacing w:after="200"/>
        <w:outlineLvl w:val="7"/>
        <w:rPr>
          <w:b/>
          <w:iCs/>
          <w:szCs w:val="22"/>
        </w:rPr>
      </w:pPr>
      <w:r w:rsidRPr="006B00A2">
        <w:rPr>
          <w:b/>
          <w:iCs/>
          <w:szCs w:val="22"/>
        </w:rPr>
        <w:t>Disclaimer of Opinion</w:t>
      </w:r>
    </w:p>
    <w:p w14:paraId="00A5DE6D" w14:textId="77777777" w:rsidR="006B00A2" w:rsidRPr="006B00A2" w:rsidRDefault="006B00A2" w:rsidP="006B00A2">
      <w:pPr>
        <w:spacing w:after="200"/>
      </w:pPr>
      <w:r w:rsidRPr="006B00A2">
        <w:t xml:space="preserve">We were engaged to audit the financial report of ABC Company Ltd., (the Company), which comprises the statement of financial position as </w:t>
      </w:r>
      <w:proofErr w:type="gramStart"/>
      <w:r w:rsidRPr="006B00A2">
        <w:t>at</w:t>
      </w:r>
      <w:proofErr w:type="gramEnd"/>
      <w:r w:rsidRPr="006B00A2">
        <w:t xml:space="preserve"> 30 June 20X1, the statement of comprehensive income, statement of changes in equity and statement of cash flows for the year then ended, and notes to the financial statements, including a summary of significant accounting policies, and the directors’ declaration.</w:t>
      </w:r>
    </w:p>
    <w:p w14:paraId="7652ACF9" w14:textId="77777777" w:rsidR="006B00A2" w:rsidRPr="006B00A2" w:rsidRDefault="006B00A2" w:rsidP="006B00A2">
      <w:pPr>
        <w:spacing w:after="200"/>
        <w:rPr>
          <w:strike/>
        </w:rPr>
      </w:pPr>
      <w:r w:rsidRPr="006B00A2">
        <w:t xml:space="preserve">We do not express an opinion on the accompanying financial report of the Company.  Because of the significance of the matter described in the </w:t>
      </w:r>
      <w:r w:rsidRPr="006B00A2">
        <w:rPr>
          <w:i/>
        </w:rPr>
        <w:t>Basis for Disclaimer of Opinion</w:t>
      </w:r>
      <w:r w:rsidRPr="006B00A2">
        <w:t xml:space="preserve"> section of our report, we </w:t>
      </w:r>
      <w:r w:rsidRPr="006B00A2">
        <w:lastRenderedPageBreak/>
        <w:t>have not been able to obtain sufficient appropriate audit evidence to provide a basis for an audit opinion on this financial report.</w:t>
      </w:r>
    </w:p>
    <w:p w14:paraId="5CC2C132" w14:textId="77777777" w:rsidR="006B00A2" w:rsidRPr="006B00A2" w:rsidRDefault="006B00A2" w:rsidP="006B00A2">
      <w:pPr>
        <w:keepNext/>
        <w:spacing w:after="200"/>
        <w:outlineLvl w:val="7"/>
        <w:rPr>
          <w:b/>
          <w:iCs/>
          <w:szCs w:val="22"/>
        </w:rPr>
      </w:pPr>
      <w:r w:rsidRPr="006B00A2">
        <w:rPr>
          <w:b/>
          <w:iCs/>
          <w:szCs w:val="22"/>
        </w:rPr>
        <w:t>Basis for Disclaimer of Opinion</w:t>
      </w:r>
    </w:p>
    <w:p w14:paraId="367A8065" w14:textId="77777777" w:rsidR="006B00A2" w:rsidRPr="006B00A2" w:rsidRDefault="006B00A2" w:rsidP="006B00A2">
      <w:pPr>
        <w:keepNext/>
        <w:spacing w:after="200"/>
        <w:outlineLvl w:val="7"/>
        <w:rPr>
          <w:iCs/>
          <w:szCs w:val="22"/>
        </w:rPr>
      </w:pPr>
      <w:r w:rsidRPr="006B00A2">
        <w:rPr>
          <w:iCs/>
          <w:szCs w:val="22"/>
        </w:rPr>
        <w:t xml:space="preserve">The Company’s financing arrangements </w:t>
      </w:r>
      <w:proofErr w:type="gramStart"/>
      <w:r w:rsidRPr="006B00A2">
        <w:rPr>
          <w:iCs/>
          <w:szCs w:val="22"/>
        </w:rPr>
        <w:t>expired</w:t>
      </w:r>
      <w:proofErr w:type="gramEnd"/>
      <w:r w:rsidRPr="006B00A2">
        <w:rPr>
          <w:iCs/>
          <w:szCs w:val="22"/>
        </w:rPr>
        <w:t xml:space="preserve"> and the amount outstanding was payable on 30 June 20X1.  The Company has been unable to conclude re</w:t>
      </w:r>
      <w:r w:rsidRPr="006B00A2">
        <w:rPr>
          <w:iCs/>
          <w:szCs w:val="22"/>
        </w:rPr>
        <w:noBreakHyphen/>
        <w:t>negotiations to obtain replacement financing.  The directors have refused to extend their assessment of the Company’s ability to continue as a going concern beyond 30 September 20X1 given the uncertainty of obtaining suitable replacement financing.  We have been unable to obtain alternative evidence which would provide sufficient appropriate audit evidence as to whether the Company may be able to obtain such financing, and hence remove significant doubt of its ability to continue as a going concern within twelve months of the date of this auditor’s report.</w:t>
      </w:r>
    </w:p>
    <w:p w14:paraId="149C6561" w14:textId="77777777" w:rsidR="006B00A2" w:rsidRPr="006B00A2" w:rsidRDefault="006B00A2" w:rsidP="006B00A2">
      <w:pPr>
        <w:keepNext/>
        <w:spacing w:after="200"/>
        <w:outlineLvl w:val="7"/>
        <w:rPr>
          <w:iCs/>
          <w:szCs w:val="22"/>
        </w:rPr>
      </w:pPr>
      <w:r w:rsidRPr="006B00A2">
        <w:rPr>
          <w:b/>
          <w:iCs/>
          <w:szCs w:val="22"/>
        </w:rPr>
        <w:t>Responsibilities of the Directors for the Financial Report</w:t>
      </w:r>
    </w:p>
    <w:p w14:paraId="4EEA070A"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700</w:t>
      </w:r>
      <w:r w:rsidRPr="006B00A2">
        <w:t xml:space="preserve"> – </w:t>
      </w:r>
      <w:r w:rsidRPr="006B00A2">
        <w:rPr>
          <w:i/>
        </w:rPr>
        <w:t>see</w:t>
      </w:r>
      <w:r w:rsidRPr="006B00A2">
        <w:t xml:space="preserve"> </w:t>
      </w:r>
      <w:r w:rsidRPr="006B00A2">
        <w:rPr>
          <w:i/>
        </w:rPr>
        <w:t>[</w:t>
      </w:r>
      <w:proofErr w:type="spellStart"/>
      <w:r w:rsidRPr="006B00A2">
        <w:rPr>
          <w:i/>
        </w:rPr>
        <w:t>Aus</w:t>
      </w:r>
      <w:proofErr w:type="spellEnd"/>
      <w:r w:rsidRPr="006B00A2">
        <w:rPr>
          <w:i/>
        </w:rPr>
        <w:t>] Illustration</w:t>
      </w:r>
      <w:r w:rsidRPr="006B00A2">
        <w:t> </w:t>
      </w:r>
      <w:r w:rsidRPr="006B00A2">
        <w:rPr>
          <w:i/>
        </w:rPr>
        <w:t>1A</w:t>
      </w:r>
      <w:r w:rsidRPr="006B00A2">
        <w:t xml:space="preserve"> </w:t>
      </w:r>
      <w:r w:rsidRPr="006B00A2">
        <w:rPr>
          <w:i/>
        </w:rPr>
        <w:t>in</w:t>
      </w:r>
      <w:r w:rsidRPr="006B00A2">
        <w:t xml:space="preserve"> </w:t>
      </w:r>
      <w:r w:rsidRPr="006B00A2">
        <w:rPr>
          <w:i/>
        </w:rPr>
        <w:t>ASA 700</w:t>
      </w:r>
      <w:r w:rsidRPr="006B00A2">
        <w:t>.]</w:t>
      </w:r>
    </w:p>
    <w:p w14:paraId="031CEB72" w14:textId="77777777" w:rsidR="006B00A2" w:rsidRPr="006B00A2" w:rsidRDefault="006B00A2" w:rsidP="006B00A2">
      <w:pPr>
        <w:keepNext/>
        <w:spacing w:after="200"/>
        <w:outlineLvl w:val="7"/>
        <w:rPr>
          <w:b/>
          <w:iCs/>
          <w:szCs w:val="22"/>
        </w:rPr>
      </w:pPr>
      <w:r w:rsidRPr="006B00A2">
        <w:rPr>
          <w:b/>
          <w:iCs/>
          <w:szCs w:val="22"/>
        </w:rPr>
        <w:t>Auditor’s Responsibilities for the Audit of the Financial Report</w:t>
      </w:r>
    </w:p>
    <w:p w14:paraId="07811B9B" w14:textId="5E72039C"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w:t>
      </w:r>
      <w:r w:rsidR="00A13E0D" w:rsidRPr="006B00A2">
        <w:rPr>
          <w:i/>
        </w:rPr>
        <w:t>70</w:t>
      </w:r>
      <w:r w:rsidR="00A13E0D">
        <w:rPr>
          <w:i/>
        </w:rPr>
        <w:t>5</w:t>
      </w:r>
      <w:r w:rsidR="00A13E0D" w:rsidRPr="006B00A2">
        <w:rPr>
          <w:i/>
        </w:rPr>
        <w:t xml:space="preserve"> </w:t>
      </w:r>
      <w:r w:rsidRPr="006B00A2">
        <w:t xml:space="preserve">– </w:t>
      </w:r>
      <w:r w:rsidRPr="006B00A2">
        <w:rPr>
          <w:i/>
        </w:rPr>
        <w:t>see</w:t>
      </w:r>
      <w:r w:rsidRPr="006B00A2">
        <w:t xml:space="preserve"> </w:t>
      </w:r>
      <w:r w:rsidRPr="006B00A2">
        <w:rPr>
          <w:i/>
        </w:rPr>
        <w:t>[</w:t>
      </w:r>
      <w:proofErr w:type="spellStart"/>
      <w:r w:rsidRPr="006B00A2">
        <w:rPr>
          <w:i/>
        </w:rPr>
        <w:t>Aus</w:t>
      </w:r>
      <w:proofErr w:type="spellEnd"/>
      <w:r w:rsidRPr="006B00A2">
        <w:rPr>
          <w:i/>
        </w:rPr>
        <w:t>] Illustration</w:t>
      </w:r>
      <w:r w:rsidRPr="006B00A2">
        <w:t> </w:t>
      </w:r>
      <w:r w:rsidR="00E86A5D">
        <w:rPr>
          <w:i/>
        </w:rPr>
        <w:t>5</w:t>
      </w:r>
      <w:r w:rsidR="00E86A5D" w:rsidRPr="006B00A2">
        <w:t xml:space="preserve"> </w:t>
      </w:r>
      <w:r w:rsidRPr="006B00A2">
        <w:rPr>
          <w:i/>
        </w:rPr>
        <w:t>in</w:t>
      </w:r>
      <w:r w:rsidRPr="006B00A2">
        <w:t xml:space="preserve"> </w:t>
      </w:r>
      <w:r w:rsidRPr="006B00A2">
        <w:rPr>
          <w:i/>
        </w:rPr>
        <w:t>ASA </w:t>
      </w:r>
      <w:r w:rsidR="00E86A5D" w:rsidRPr="006B00A2">
        <w:rPr>
          <w:i/>
        </w:rPr>
        <w:t>70</w:t>
      </w:r>
      <w:r w:rsidR="00E86A5D">
        <w:rPr>
          <w:i/>
        </w:rPr>
        <w:t>5</w:t>
      </w:r>
      <w:r w:rsidRPr="006B00A2">
        <w:t>.]</w:t>
      </w:r>
    </w:p>
    <w:p w14:paraId="7F0CBCB5" w14:textId="77777777" w:rsidR="006B00A2" w:rsidRPr="006B00A2" w:rsidRDefault="006B00A2" w:rsidP="006B00A2">
      <w:pPr>
        <w:keepNext/>
        <w:spacing w:after="200"/>
        <w:outlineLvl w:val="7"/>
        <w:rPr>
          <w:b/>
          <w:iCs/>
          <w:szCs w:val="22"/>
        </w:rPr>
      </w:pPr>
      <w:r w:rsidRPr="006B00A2">
        <w:rPr>
          <w:b/>
          <w:iCs/>
          <w:szCs w:val="22"/>
        </w:rPr>
        <w:t>Report on the Remuneration Report</w:t>
      </w:r>
      <w:r w:rsidRPr="006B00A2">
        <w:rPr>
          <w:b/>
          <w:iCs/>
          <w:szCs w:val="22"/>
          <w:vertAlign w:val="superscript"/>
        </w:rPr>
        <w:footnoteReference w:customMarkFollows="1" w:id="50"/>
        <w:t>#</w:t>
      </w:r>
    </w:p>
    <w:p w14:paraId="26B073D1" w14:textId="77777777" w:rsidR="006B00A2" w:rsidRPr="006B00A2" w:rsidRDefault="006B00A2" w:rsidP="006B00A2">
      <w:pPr>
        <w:spacing w:after="200"/>
      </w:pPr>
      <w:r w:rsidRPr="006B00A2">
        <w:t>[</w:t>
      </w:r>
      <w:r w:rsidRPr="006B00A2">
        <w:rPr>
          <w:i/>
        </w:rPr>
        <w:t>Reporting</w:t>
      </w:r>
      <w:r w:rsidRPr="006B00A2">
        <w:t xml:space="preserve"> </w:t>
      </w:r>
      <w:r w:rsidRPr="006B00A2">
        <w:rPr>
          <w:i/>
        </w:rPr>
        <w:t>in</w:t>
      </w:r>
      <w:r w:rsidRPr="006B00A2">
        <w:t xml:space="preserve"> </w:t>
      </w:r>
      <w:r w:rsidRPr="006B00A2">
        <w:rPr>
          <w:i/>
        </w:rPr>
        <w:t>accordance</w:t>
      </w:r>
      <w:r w:rsidRPr="006B00A2">
        <w:t xml:space="preserve"> </w:t>
      </w:r>
      <w:r w:rsidRPr="006B00A2">
        <w:rPr>
          <w:i/>
        </w:rPr>
        <w:t>with</w:t>
      </w:r>
      <w:r w:rsidRPr="006B00A2">
        <w:t xml:space="preserve"> </w:t>
      </w:r>
      <w:r w:rsidRPr="006B00A2">
        <w:rPr>
          <w:i/>
        </w:rPr>
        <w:t>ASA 700</w:t>
      </w:r>
      <w:r w:rsidRPr="006B00A2">
        <w:t xml:space="preserve"> – </w:t>
      </w:r>
      <w:r w:rsidRPr="006B00A2">
        <w:rPr>
          <w:i/>
        </w:rPr>
        <w:t>see</w:t>
      </w:r>
      <w:r w:rsidRPr="006B00A2">
        <w:t xml:space="preserve"> </w:t>
      </w:r>
      <w:r w:rsidRPr="006B00A2">
        <w:rPr>
          <w:i/>
        </w:rPr>
        <w:t>[</w:t>
      </w:r>
      <w:proofErr w:type="spellStart"/>
      <w:r w:rsidRPr="006B00A2">
        <w:rPr>
          <w:i/>
        </w:rPr>
        <w:t>Aus</w:t>
      </w:r>
      <w:proofErr w:type="spellEnd"/>
      <w:r w:rsidRPr="006B00A2">
        <w:rPr>
          <w:i/>
        </w:rPr>
        <w:t>] Illustration</w:t>
      </w:r>
      <w:r w:rsidRPr="006B00A2">
        <w:t> </w:t>
      </w:r>
      <w:r w:rsidRPr="006B00A2">
        <w:rPr>
          <w:i/>
        </w:rPr>
        <w:t>1A</w:t>
      </w:r>
      <w:r w:rsidRPr="006B00A2">
        <w:t xml:space="preserve"> </w:t>
      </w:r>
      <w:r w:rsidRPr="006B00A2">
        <w:rPr>
          <w:i/>
        </w:rPr>
        <w:t>in</w:t>
      </w:r>
      <w:r w:rsidRPr="006B00A2">
        <w:t xml:space="preserve"> </w:t>
      </w:r>
      <w:r w:rsidRPr="006B00A2">
        <w:rPr>
          <w:i/>
        </w:rPr>
        <w:t>ASA 700</w:t>
      </w:r>
      <w:r w:rsidRPr="006B00A2">
        <w:t>.]</w:t>
      </w:r>
    </w:p>
    <w:p w14:paraId="5A57DE3C" w14:textId="77777777" w:rsidR="006B00A2" w:rsidRPr="006B00A2" w:rsidRDefault="006B00A2" w:rsidP="006B00A2">
      <w:pPr>
        <w:spacing w:before="240" w:after="200"/>
        <w:rPr>
          <w:rFonts w:eastAsia="Calibri"/>
        </w:rPr>
      </w:pPr>
      <w:r w:rsidRPr="006B00A2">
        <w:rPr>
          <w:rFonts w:eastAsia="Calibri"/>
        </w:rPr>
        <w:t>[</w:t>
      </w:r>
      <w:r w:rsidRPr="006B00A2">
        <w:rPr>
          <w:rFonts w:eastAsia="Calibri"/>
          <w:i/>
        </w:rPr>
        <w:t>Auditor’s name and signature</w:t>
      </w:r>
      <w:r w:rsidRPr="006B00A2">
        <w:rPr>
          <w:rFonts w:eastAsia="Calibri"/>
        </w:rPr>
        <w:t>]</w:t>
      </w:r>
      <w:r w:rsidRPr="006B00A2">
        <w:rPr>
          <w:rFonts w:eastAsia="Calibri"/>
          <w:vertAlign w:val="superscript"/>
        </w:rPr>
        <w:t xml:space="preserve"> </w:t>
      </w:r>
      <w:r w:rsidRPr="006B00A2">
        <w:rPr>
          <w:rFonts w:eastAsia="Calibri"/>
          <w:vertAlign w:val="superscript"/>
        </w:rPr>
        <w:footnoteReference w:customMarkFollows="1" w:id="51"/>
        <w:t>#</w:t>
      </w:r>
    </w:p>
    <w:p w14:paraId="77F57E4F" w14:textId="77777777" w:rsidR="006B00A2" w:rsidRPr="006B00A2" w:rsidRDefault="006B00A2" w:rsidP="006B00A2">
      <w:pPr>
        <w:spacing w:after="200"/>
        <w:rPr>
          <w:rFonts w:eastAsia="Calibri"/>
        </w:rPr>
      </w:pPr>
      <w:r w:rsidRPr="006B00A2">
        <w:rPr>
          <w:rFonts w:eastAsia="Calibri"/>
        </w:rPr>
        <w:t>[</w:t>
      </w:r>
      <w:r w:rsidRPr="006B00A2">
        <w:rPr>
          <w:rFonts w:eastAsia="Calibri"/>
          <w:i/>
        </w:rPr>
        <w:t>Name of Firm</w:t>
      </w:r>
      <w:r w:rsidRPr="006B00A2">
        <w:rPr>
          <w:rFonts w:eastAsia="Calibri"/>
        </w:rPr>
        <w:t>]</w:t>
      </w:r>
    </w:p>
    <w:p w14:paraId="1FFB86BA" w14:textId="77777777" w:rsidR="006B00A2" w:rsidRPr="006B00A2" w:rsidRDefault="006B00A2" w:rsidP="006B00A2">
      <w:pPr>
        <w:spacing w:after="200"/>
        <w:rPr>
          <w:rFonts w:eastAsia="Calibri"/>
        </w:rPr>
      </w:pPr>
      <w:r w:rsidRPr="006B00A2">
        <w:rPr>
          <w:rFonts w:eastAsia="Calibri"/>
        </w:rPr>
        <w:t>[</w:t>
      </w:r>
      <w:r w:rsidRPr="006B00A2">
        <w:rPr>
          <w:rFonts w:eastAsia="Calibri"/>
          <w:i/>
        </w:rPr>
        <w:t>Date of the auditor’s report</w:t>
      </w:r>
      <w:r w:rsidRPr="006B00A2">
        <w:rPr>
          <w:rFonts w:eastAsia="Calibri"/>
        </w:rPr>
        <w:t>]</w:t>
      </w:r>
    </w:p>
    <w:p w14:paraId="0F6C41F3" w14:textId="77777777" w:rsidR="006B00A2" w:rsidRPr="006B00A2" w:rsidRDefault="006B00A2" w:rsidP="006B00A2">
      <w:pPr>
        <w:spacing w:after="200"/>
        <w:rPr>
          <w:rFonts w:eastAsia="Calibri"/>
        </w:rPr>
      </w:pPr>
      <w:r w:rsidRPr="006B00A2">
        <w:rPr>
          <w:rFonts w:eastAsia="Calibri"/>
        </w:rPr>
        <w:t>[</w:t>
      </w:r>
      <w:r w:rsidRPr="006B00A2">
        <w:rPr>
          <w:rFonts w:eastAsia="Calibri"/>
          <w:i/>
        </w:rPr>
        <w:t>Auditor’s</w:t>
      </w:r>
      <w:r w:rsidRPr="006B00A2">
        <w:rPr>
          <w:rFonts w:eastAsia="Calibri"/>
        </w:rPr>
        <w:t xml:space="preserve"> </w:t>
      </w:r>
      <w:r w:rsidRPr="006B00A2">
        <w:rPr>
          <w:rFonts w:eastAsia="Calibri"/>
          <w:i/>
        </w:rPr>
        <w:t>Address</w:t>
      </w:r>
      <w:r w:rsidRPr="006B00A2">
        <w:rPr>
          <w:rFonts w:eastAsia="Calibri"/>
        </w:rPr>
        <w:t>]</w:t>
      </w:r>
    </w:p>
    <w:p w14:paraId="6CA54922" w14:textId="77777777" w:rsidR="00F1421A" w:rsidRPr="0000664A" w:rsidRDefault="00F1421A" w:rsidP="003E6CC8">
      <w:pPr>
        <w:spacing w:line="240" w:lineRule="auto"/>
      </w:pPr>
    </w:p>
    <w:sectPr w:rsidR="00F1421A" w:rsidRPr="0000664A" w:rsidSect="00CA4546">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E11C" w14:textId="77777777" w:rsidR="00C91D39" w:rsidRDefault="00C91D39">
      <w:r>
        <w:separator/>
      </w:r>
    </w:p>
  </w:endnote>
  <w:endnote w:type="continuationSeparator" w:id="0">
    <w:p w14:paraId="3AD9F6E1" w14:textId="77777777" w:rsidR="00C91D39" w:rsidRDefault="00C91D39">
      <w:r>
        <w:continuationSeparator/>
      </w:r>
    </w:p>
  </w:endnote>
  <w:endnote w:type="continuationNotice" w:id="1">
    <w:p w14:paraId="10143E44" w14:textId="77777777" w:rsidR="00C91D39" w:rsidRDefault="00C91D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F4A8" w14:textId="36B4C9CC" w:rsidR="00CF7C02" w:rsidRDefault="00912E22" w:rsidP="00A13EDD">
    <w:pPr>
      <w:pStyle w:val="Footer"/>
      <w:spacing w:before="200"/>
      <w:rPr>
        <w:rStyle w:val="PageNumber"/>
      </w:rPr>
    </w:pPr>
    <w:r>
      <w:fldChar w:fldCharType="begin" w:fldLock="1"/>
    </w:r>
    <w:r>
      <w:instrText xml:space="preserve"> REF DocType \* charformat </w:instrText>
    </w:r>
    <w:r>
      <w:fldChar w:fldCharType="separate"/>
    </w:r>
    <w:r w:rsidR="00CF7C02" w:rsidRPr="00E45644">
      <w:t>ASA</w:t>
    </w:r>
    <w:r>
      <w:fldChar w:fldCharType="end"/>
    </w:r>
    <w:r w:rsidR="00CF7C02">
      <w:t xml:space="preserve"> </w:t>
    </w:r>
    <w:r>
      <w:fldChar w:fldCharType="begin" w:fldLock="1"/>
    </w:r>
    <w:r>
      <w:instrText xml:space="preserve"> REF DocNo \* charformat </w:instrText>
    </w:r>
    <w:r>
      <w:fldChar w:fldCharType="separate"/>
    </w:r>
    <w:r w:rsidR="00CF7C02">
      <w:t>57</w:t>
    </w:r>
    <w:r w:rsidR="00CF7C02" w:rsidRPr="00E45644">
      <w:t>0</w:t>
    </w:r>
    <w:r>
      <w:fldChar w:fldCharType="end"/>
    </w:r>
    <w:r w:rsidR="00CF7C02">
      <w:t xml:space="preserve"> – compiled</w:t>
    </w:r>
    <w:r w:rsidR="00CF7C02">
      <w:rPr>
        <w:rStyle w:val="PageNumber"/>
      </w:rPr>
      <w:tab/>
    </w:r>
    <w:r w:rsidR="00CF7C02">
      <w:rPr>
        <w:b w:val="0"/>
        <w:bCs/>
      </w:rPr>
      <w:t xml:space="preserve">- </w:t>
    </w:r>
    <w:r w:rsidR="00CF7C02">
      <w:rPr>
        <w:rStyle w:val="PageNumber"/>
        <w:b w:val="0"/>
        <w:bCs/>
      </w:rPr>
      <w:fldChar w:fldCharType="begin"/>
    </w:r>
    <w:r w:rsidR="00CF7C02">
      <w:rPr>
        <w:rStyle w:val="PageNumber"/>
        <w:b w:val="0"/>
        <w:bCs/>
      </w:rPr>
      <w:instrText xml:space="preserve"> PAGE </w:instrText>
    </w:r>
    <w:r w:rsidR="00CF7C02">
      <w:rPr>
        <w:rStyle w:val="PageNumber"/>
        <w:b w:val="0"/>
        <w:bCs/>
      </w:rPr>
      <w:fldChar w:fldCharType="separate"/>
    </w:r>
    <w:r w:rsidR="00CF7C02">
      <w:rPr>
        <w:rStyle w:val="PageNumber"/>
        <w:b w:val="0"/>
        <w:bCs/>
        <w:noProof/>
      </w:rPr>
      <w:t>22</w:t>
    </w:r>
    <w:r w:rsidR="00CF7C02">
      <w:rPr>
        <w:rStyle w:val="PageNumber"/>
        <w:b w:val="0"/>
        <w:bCs/>
      </w:rPr>
      <w:fldChar w:fldCharType="end"/>
    </w:r>
    <w:r w:rsidR="00CF7C02">
      <w:rPr>
        <w:rStyle w:val="PageNumber"/>
        <w:b w:val="0"/>
        <w:bCs/>
      </w:rPr>
      <w:t xml:space="preserve"> -</w:t>
    </w:r>
    <w:r w:rsidR="00CF7C02">
      <w:rPr>
        <w:rStyle w:val="PageNumber"/>
      </w:rPr>
      <w:tab/>
      <w:t>AUDITING STANDARD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4043" w14:textId="168EDEBA" w:rsidR="00CF7C02" w:rsidRDefault="00912E22" w:rsidP="00A13EDD">
    <w:pPr>
      <w:pStyle w:val="Footer"/>
      <w:spacing w:before="200"/>
      <w:rPr>
        <w:rStyle w:val="PageNumber"/>
      </w:rPr>
    </w:pPr>
    <w:r>
      <w:fldChar w:fldCharType="begin" w:fldLock="1"/>
    </w:r>
    <w:r>
      <w:instrText xml:space="preserve"> REF DocType \* charformat </w:instrText>
    </w:r>
    <w:r>
      <w:fldChar w:fldCharType="separate"/>
    </w:r>
    <w:r w:rsidR="00CF7C02" w:rsidRPr="00E45644">
      <w:t>ASA</w:t>
    </w:r>
    <w:r>
      <w:fldChar w:fldCharType="end"/>
    </w:r>
    <w:r w:rsidR="00CF7C02">
      <w:t xml:space="preserve"> </w:t>
    </w:r>
    <w:r>
      <w:fldChar w:fldCharType="begin" w:fldLock="1"/>
    </w:r>
    <w:r>
      <w:instrText xml:space="preserve"> REF DocNo \* charformat </w:instrText>
    </w:r>
    <w:r>
      <w:fldChar w:fldCharType="separate"/>
    </w:r>
    <w:r w:rsidR="00CF7C02">
      <w:t>57</w:t>
    </w:r>
    <w:r w:rsidR="00CF7C02" w:rsidRPr="00E45644">
      <w:t>0</w:t>
    </w:r>
    <w:r>
      <w:fldChar w:fldCharType="end"/>
    </w:r>
    <w:r w:rsidR="00CF7C02">
      <w:t xml:space="preserve"> – compiled</w:t>
    </w:r>
    <w:r w:rsidR="00CF7C02">
      <w:rPr>
        <w:rStyle w:val="PageNumber"/>
      </w:rPr>
      <w:tab/>
    </w:r>
    <w:r w:rsidR="00CF7C02">
      <w:rPr>
        <w:b w:val="0"/>
        <w:bCs/>
      </w:rPr>
      <w:t xml:space="preserve">- </w:t>
    </w:r>
    <w:r w:rsidR="00CF7C02">
      <w:rPr>
        <w:rStyle w:val="PageNumber"/>
        <w:b w:val="0"/>
        <w:bCs/>
      </w:rPr>
      <w:fldChar w:fldCharType="begin"/>
    </w:r>
    <w:r w:rsidR="00CF7C02">
      <w:rPr>
        <w:rStyle w:val="PageNumber"/>
        <w:b w:val="0"/>
        <w:bCs/>
      </w:rPr>
      <w:instrText xml:space="preserve"> PAGE </w:instrText>
    </w:r>
    <w:r w:rsidR="00CF7C02">
      <w:rPr>
        <w:rStyle w:val="PageNumber"/>
        <w:b w:val="0"/>
        <w:bCs/>
      </w:rPr>
      <w:fldChar w:fldCharType="separate"/>
    </w:r>
    <w:r w:rsidR="00CF7C02">
      <w:rPr>
        <w:rStyle w:val="PageNumber"/>
        <w:b w:val="0"/>
        <w:bCs/>
        <w:noProof/>
      </w:rPr>
      <w:t>10</w:t>
    </w:r>
    <w:r w:rsidR="00CF7C02">
      <w:rPr>
        <w:rStyle w:val="PageNumber"/>
        <w:b w:val="0"/>
        <w:bCs/>
      </w:rPr>
      <w:fldChar w:fldCharType="end"/>
    </w:r>
    <w:r w:rsidR="00CF7C02">
      <w:rPr>
        <w:rStyle w:val="PageNumber"/>
        <w:b w:val="0"/>
        <w:bCs/>
      </w:rPr>
      <w:t xml:space="preserve"> -</w:t>
    </w:r>
    <w:r w:rsidR="00CF7C02">
      <w:rPr>
        <w:rStyle w:val="PageNumber"/>
      </w:rPr>
      <w:tab/>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968F" w14:textId="77777777" w:rsidR="00C91D39" w:rsidRDefault="00C91D39" w:rsidP="006D2111">
      <w:pPr>
        <w:spacing w:before="240"/>
      </w:pPr>
      <w:r>
        <w:separator/>
      </w:r>
    </w:p>
  </w:footnote>
  <w:footnote w:type="continuationSeparator" w:id="0">
    <w:p w14:paraId="3EA8C92A" w14:textId="77777777" w:rsidR="00C91D39" w:rsidRDefault="00C91D39" w:rsidP="006D2111">
      <w:pPr>
        <w:spacing w:before="240"/>
      </w:pPr>
      <w:r>
        <w:continuationSeparator/>
      </w:r>
    </w:p>
  </w:footnote>
  <w:footnote w:type="continuationNotice" w:id="1">
    <w:p w14:paraId="0B827462" w14:textId="77777777" w:rsidR="00C91D39" w:rsidRDefault="00C91D39">
      <w:pPr>
        <w:spacing w:line="240" w:lineRule="auto"/>
      </w:pPr>
    </w:p>
  </w:footnote>
  <w:footnote w:id="2">
    <w:p w14:paraId="22FE7888" w14:textId="19485BF9" w:rsidR="00E74E62" w:rsidRPr="00E74E62" w:rsidRDefault="00E74E62">
      <w:pPr>
        <w:pStyle w:val="FootnoteText"/>
      </w:pPr>
      <w:r w:rsidRPr="00F34A6B">
        <w:rPr>
          <w:rStyle w:val="FootnoteReference"/>
          <w:sz w:val="16"/>
        </w:rPr>
        <w:t>*</w:t>
      </w:r>
      <w:r>
        <w:t xml:space="preserve"> </w:t>
      </w:r>
      <w:r>
        <w:tab/>
        <w:t xml:space="preserve">Early adoption, in conjunction with ASA 315 </w:t>
      </w:r>
      <w:r>
        <w:rPr>
          <w:i/>
          <w:iCs/>
        </w:rPr>
        <w:t xml:space="preserve">Identifying and Assessing the Risks of Material Misstatement, </w:t>
      </w:r>
      <w:r>
        <w:t xml:space="preserve">permitted. </w:t>
      </w:r>
    </w:p>
  </w:footnote>
  <w:footnote w:id="3">
    <w:p w14:paraId="208FE857" w14:textId="77777777" w:rsidR="00CF7C02" w:rsidRDefault="00CF7C02" w:rsidP="004A5984">
      <w:pPr>
        <w:pStyle w:val="FootnoteText"/>
      </w:pPr>
      <w:r w:rsidRPr="006258BD">
        <w:rPr>
          <w:rStyle w:val="FootnoteReference"/>
          <w:sz w:val="16"/>
        </w:rPr>
        <w:footnoteRef/>
      </w:r>
      <w:r>
        <w:t xml:space="preserve"> </w:t>
      </w:r>
      <w:r>
        <w:tab/>
        <w:t xml:space="preserve">See Australian Accounting Standard AASB 101 </w:t>
      </w:r>
      <w:r w:rsidRPr="005532D5">
        <w:rPr>
          <w:i/>
        </w:rPr>
        <w:t>Presentation of Financial Statements</w:t>
      </w:r>
      <w:r>
        <w:t>, paragraphs 25–26.</w:t>
      </w:r>
    </w:p>
  </w:footnote>
  <w:footnote w:id="4">
    <w:p w14:paraId="48D0F77E" w14:textId="77777777" w:rsidR="00CF7C02" w:rsidRDefault="00CF7C02" w:rsidP="0091735B">
      <w:pPr>
        <w:pStyle w:val="FootnoteText"/>
      </w:pPr>
      <w:r w:rsidRPr="00E75C1A">
        <w:rPr>
          <w:rStyle w:val="FootnoteReference"/>
          <w:sz w:val="16"/>
        </w:rPr>
        <w:t>*</w:t>
      </w:r>
      <w:r>
        <w:t xml:space="preserve"> </w:t>
      </w:r>
      <w:r>
        <w:tab/>
        <w:t xml:space="preserve">See AASB 101 </w:t>
      </w:r>
      <w:r w:rsidRPr="005259DD">
        <w:rPr>
          <w:i/>
        </w:rPr>
        <w:t>Presentation of Financial Statements</w:t>
      </w:r>
      <w:r>
        <w:t>.</w:t>
      </w:r>
    </w:p>
  </w:footnote>
  <w:footnote w:id="5">
    <w:p w14:paraId="13B38AC5" w14:textId="77777777" w:rsidR="00CF7C02" w:rsidRDefault="00CF7C02" w:rsidP="0091735B">
      <w:pPr>
        <w:pStyle w:val="FootnoteText"/>
      </w:pPr>
      <w:r w:rsidRPr="007F45DF">
        <w:rPr>
          <w:rStyle w:val="FootnoteReference"/>
          <w:sz w:val="16"/>
        </w:rPr>
        <w:t>#</w:t>
      </w:r>
      <w:r>
        <w:t xml:space="preserve"> </w:t>
      </w:r>
      <w:r>
        <w:tab/>
        <w:t xml:space="preserve">See, for example, section 295(4) of the </w:t>
      </w:r>
      <w:r>
        <w:rPr>
          <w:i/>
        </w:rPr>
        <w:t>Corporations Act 2001</w:t>
      </w:r>
      <w:r>
        <w:t>.</w:t>
      </w:r>
    </w:p>
  </w:footnote>
  <w:footnote w:id="6">
    <w:p w14:paraId="462578B2" w14:textId="77777777" w:rsidR="00CF7C02" w:rsidRDefault="00CF7C02" w:rsidP="0008034F">
      <w:pPr>
        <w:pStyle w:val="FootnoteText"/>
      </w:pPr>
      <w:r w:rsidRPr="006258BD">
        <w:rPr>
          <w:rStyle w:val="FootnoteReference"/>
          <w:sz w:val="16"/>
        </w:rPr>
        <w:footnoteRef/>
      </w:r>
      <w:r>
        <w:tab/>
        <w:t xml:space="preserve">See ASA 200 </w:t>
      </w:r>
      <w:r w:rsidRPr="009F0FF4">
        <w:rPr>
          <w:i/>
        </w:rPr>
        <w:t xml:space="preserve">Overall Objectives of the Independent Auditor and the Conduct of an Audit in Accordance </w:t>
      </w:r>
      <w:r>
        <w:rPr>
          <w:i/>
        </w:rPr>
        <w:t>with Australian Auditing Standards</w:t>
      </w:r>
      <w:r>
        <w:t>, paragraphs A51–A52.</w:t>
      </w:r>
    </w:p>
  </w:footnote>
  <w:footnote w:id="7">
    <w:p w14:paraId="52AE0EBC" w14:textId="6B5880F6" w:rsidR="00CF7C02" w:rsidRDefault="00CF7C02" w:rsidP="009A38CD">
      <w:pPr>
        <w:pStyle w:val="FootnoteText"/>
      </w:pPr>
      <w:r w:rsidRPr="006258BD">
        <w:rPr>
          <w:rStyle w:val="FootnoteReference"/>
          <w:sz w:val="16"/>
        </w:rPr>
        <w:footnoteRef/>
      </w:r>
      <w:r>
        <w:t xml:space="preserve"> </w:t>
      </w:r>
      <w:r>
        <w:tab/>
        <w:t xml:space="preserve">See ASA 315 </w:t>
      </w:r>
      <w:r w:rsidRPr="009F0FF4">
        <w:rPr>
          <w:i/>
        </w:rPr>
        <w:t>Identifying and Assessing the Risks of Material Misstatement,</w:t>
      </w:r>
      <w:r>
        <w:t xml:space="preserve"> paragraph </w:t>
      </w:r>
      <w:r w:rsidR="003130AC">
        <w:t>13</w:t>
      </w:r>
      <w:r>
        <w:t>.</w:t>
      </w:r>
    </w:p>
  </w:footnote>
  <w:footnote w:id="8">
    <w:p w14:paraId="66DF8A0C" w14:textId="77777777" w:rsidR="00CF7C02" w:rsidRDefault="00CF7C02" w:rsidP="002E1C6E">
      <w:pPr>
        <w:pStyle w:val="FootnoteText"/>
      </w:pPr>
      <w:r w:rsidRPr="006258BD">
        <w:rPr>
          <w:rStyle w:val="FootnoteReference"/>
          <w:sz w:val="16"/>
        </w:rPr>
        <w:footnoteRef/>
      </w:r>
      <w:r>
        <w:tab/>
        <w:t xml:space="preserve">[Deleted by the AUASB.  Refer </w:t>
      </w:r>
      <w:r w:rsidRPr="002B5E75">
        <w:t xml:space="preserve">paragraphs </w:t>
      </w:r>
      <w:r w:rsidRPr="002B5E75">
        <w:t>Aus</w:t>
      </w:r>
      <w:r>
        <w:t> 13.1 and Aus 13.2]</w:t>
      </w:r>
    </w:p>
  </w:footnote>
  <w:footnote w:id="9">
    <w:p w14:paraId="4896DB73" w14:textId="77777777" w:rsidR="00CF7C02" w:rsidRDefault="00CF7C02" w:rsidP="00E06DB7">
      <w:pPr>
        <w:pStyle w:val="FootnoteText"/>
      </w:pPr>
      <w:r w:rsidRPr="006258BD">
        <w:rPr>
          <w:rStyle w:val="FootnoteReference"/>
          <w:sz w:val="16"/>
        </w:rPr>
        <w:footnoteRef/>
      </w:r>
      <w:r>
        <w:t xml:space="preserve"> </w:t>
      </w:r>
      <w:r>
        <w:tab/>
        <w:t xml:space="preserve">See ASA 705 </w:t>
      </w:r>
      <w:r w:rsidRPr="00967976">
        <w:rPr>
          <w:i/>
        </w:rPr>
        <w:t>Modifications to the Opinion in the Independent Auditor’s Report</w:t>
      </w:r>
      <w:r>
        <w:rPr>
          <w:i/>
        </w:rPr>
        <w:t>.</w:t>
      </w:r>
    </w:p>
  </w:footnote>
  <w:footnote w:id="10">
    <w:p w14:paraId="6C70E53F" w14:textId="77777777" w:rsidR="00CF7C02" w:rsidRDefault="00CF7C02" w:rsidP="00E06DB7">
      <w:pPr>
        <w:pStyle w:val="FootnoteText"/>
      </w:pPr>
      <w:r w:rsidRPr="006258BD">
        <w:rPr>
          <w:rStyle w:val="FootnoteReference"/>
          <w:sz w:val="16"/>
        </w:rPr>
        <w:footnoteRef/>
      </w:r>
      <w:r>
        <w:t xml:space="preserve"> </w:t>
      </w:r>
      <w:r>
        <w:tab/>
        <w:t xml:space="preserve">See ASA 260 </w:t>
      </w:r>
      <w:r w:rsidRPr="002E4F14">
        <w:rPr>
          <w:i/>
        </w:rPr>
        <w:t>Communication with Those Charged with Governance</w:t>
      </w:r>
      <w:r>
        <w:t>, paragraph 13.</w:t>
      </w:r>
    </w:p>
  </w:footnote>
  <w:footnote w:id="11">
    <w:p w14:paraId="0F37CCC7" w14:textId="77777777" w:rsidR="00CF7C02" w:rsidRDefault="00CF7C02" w:rsidP="00E06DB7">
      <w:pPr>
        <w:pStyle w:val="FootnoteText"/>
      </w:pPr>
      <w:r w:rsidRPr="006258BD">
        <w:rPr>
          <w:rStyle w:val="FootnoteReference"/>
          <w:sz w:val="16"/>
        </w:rPr>
        <w:footnoteRef/>
      </w:r>
      <w:r>
        <w:t xml:space="preserve"> </w:t>
      </w:r>
      <w:r>
        <w:tab/>
        <w:t xml:space="preserve">See ASA 701 </w:t>
      </w:r>
      <w:r w:rsidRPr="00465621">
        <w:rPr>
          <w:i/>
        </w:rPr>
        <w:t>Communicating Key Audit Matters in the Independent Auditor’s Report.</w:t>
      </w:r>
    </w:p>
  </w:footnote>
  <w:footnote w:id="12">
    <w:p w14:paraId="6AB7A98F" w14:textId="77777777" w:rsidR="00CF7C02" w:rsidRDefault="00CF7C02" w:rsidP="00E06DB7">
      <w:pPr>
        <w:pStyle w:val="FootnoteText"/>
      </w:pPr>
      <w:r w:rsidRPr="006258BD">
        <w:rPr>
          <w:rStyle w:val="FootnoteReference"/>
          <w:sz w:val="16"/>
        </w:rPr>
        <w:footnoteRef/>
      </w:r>
      <w:r>
        <w:t xml:space="preserve"> </w:t>
      </w:r>
      <w:r>
        <w:tab/>
        <w:t>See ASA 701, paragraphs 15 and A41.</w:t>
      </w:r>
    </w:p>
  </w:footnote>
  <w:footnote w:id="13">
    <w:p w14:paraId="2B2B93FD" w14:textId="77777777" w:rsidR="00CF7C02" w:rsidRDefault="00CF7C02" w:rsidP="008B1DBC">
      <w:pPr>
        <w:pStyle w:val="FootnoteText"/>
      </w:pPr>
      <w:r w:rsidRPr="006258BD">
        <w:rPr>
          <w:rStyle w:val="FootnoteReference"/>
          <w:sz w:val="16"/>
        </w:rPr>
        <w:footnoteRef/>
      </w:r>
      <w:r>
        <w:t xml:space="preserve"> </w:t>
      </w:r>
      <w:r>
        <w:tab/>
        <w:t xml:space="preserve">See AASB 101 </w:t>
      </w:r>
      <w:r w:rsidRPr="00A626C7">
        <w:rPr>
          <w:i/>
        </w:rPr>
        <w:t>Presentation</w:t>
      </w:r>
      <w:r>
        <w:t xml:space="preserve"> </w:t>
      </w:r>
      <w:r w:rsidRPr="00A626C7">
        <w:rPr>
          <w:i/>
        </w:rPr>
        <w:t>of</w:t>
      </w:r>
      <w:r>
        <w:t xml:space="preserve"> </w:t>
      </w:r>
      <w:r w:rsidRPr="00A626C7">
        <w:rPr>
          <w:i/>
        </w:rPr>
        <w:t>Financial</w:t>
      </w:r>
      <w:r>
        <w:t xml:space="preserve"> </w:t>
      </w:r>
      <w:r w:rsidRPr="00A626C7">
        <w:rPr>
          <w:i/>
        </w:rPr>
        <w:t>Statements</w:t>
      </w:r>
      <w:r>
        <w:t>, paragraphs 38–41.</w:t>
      </w:r>
    </w:p>
  </w:footnote>
  <w:footnote w:id="14">
    <w:p w14:paraId="6C4E7977" w14:textId="3D585D45" w:rsidR="00CF7C02" w:rsidRDefault="00CF7C02" w:rsidP="008B1DBC">
      <w:pPr>
        <w:pStyle w:val="FootnoteText"/>
      </w:pPr>
      <w:r w:rsidRPr="006258BD">
        <w:rPr>
          <w:rStyle w:val="FootnoteReference"/>
          <w:sz w:val="16"/>
        </w:rPr>
        <w:footnoteRef/>
      </w:r>
      <w:r>
        <w:t xml:space="preserve"> </w:t>
      </w:r>
      <w:r>
        <w:tab/>
        <w:t>See ASA 315, paragraph </w:t>
      </w:r>
      <w:r w:rsidR="006819DB">
        <w:t>37</w:t>
      </w:r>
      <w:r>
        <w:t>.</w:t>
      </w:r>
    </w:p>
  </w:footnote>
  <w:footnote w:id="15">
    <w:p w14:paraId="1996AF63" w14:textId="77777777" w:rsidR="00CF7C02" w:rsidRDefault="00CF7C02" w:rsidP="008B1DBC">
      <w:pPr>
        <w:pStyle w:val="FootnoteText"/>
      </w:pPr>
      <w:r w:rsidRPr="006258BD">
        <w:rPr>
          <w:rStyle w:val="FootnoteReference"/>
          <w:sz w:val="16"/>
        </w:rPr>
        <w:footnoteRef/>
      </w:r>
      <w:r>
        <w:tab/>
        <w:t xml:space="preserve">See ASA 330 </w:t>
      </w:r>
      <w:r w:rsidRPr="001B0EE7">
        <w:rPr>
          <w:i/>
        </w:rPr>
        <w:t>The Auditor’s Responses to Assessed Risks</w:t>
      </w:r>
      <w:r>
        <w:t>.</w:t>
      </w:r>
    </w:p>
  </w:footnote>
  <w:footnote w:id="16">
    <w:p w14:paraId="1F720984" w14:textId="77777777" w:rsidR="00CF7C02" w:rsidRDefault="00CF7C02" w:rsidP="008B1DBC">
      <w:pPr>
        <w:pStyle w:val="FootnoteText"/>
      </w:pPr>
      <w:r w:rsidRPr="006258BD">
        <w:rPr>
          <w:rStyle w:val="FootnoteReference"/>
          <w:sz w:val="16"/>
        </w:rPr>
        <w:footnoteRef/>
      </w:r>
      <w:r>
        <w:t xml:space="preserve"> </w:t>
      </w:r>
      <w:r>
        <w:tab/>
        <w:t>For example, AASB 101, paragraph 26, defines this as a period that should be at least, but is not limited to, twelve months from the end of the reporting period.</w:t>
      </w:r>
    </w:p>
  </w:footnote>
  <w:footnote w:id="17">
    <w:p w14:paraId="4808D67E" w14:textId="77777777" w:rsidR="00CF7C02" w:rsidRDefault="00CF7C02" w:rsidP="00F1421A">
      <w:pPr>
        <w:pStyle w:val="FootnoteText"/>
      </w:pPr>
      <w:r w:rsidRPr="006258BD">
        <w:rPr>
          <w:rStyle w:val="FootnoteReference"/>
          <w:sz w:val="16"/>
        </w:rPr>
        <w:footnoteRef/>
      </w:r>
      <w:r>
        <w:t xml:space="preserve"> </w:t>
      </w:r>
      <w:r>
        <w:tab/>
        <w:t xml:space="preserve">See ASA 700 </w:t>
      </w:r>
      <w:r w:rsidRPr="000922C5">
        <w:rPr>
          <w:i/>
        </w:rPr>
        <w:t xml:space="preserve">Forming an Opinion and Reporting on </w:t>
      </w:r>
      <w:r>
        <w:rPr>
          <w:i/>
        </w:rPr>
        <w:t xml:space="preserve">a </w:t>
      </w:r>
      <w:r w:rsidRPr="000922C5">
        <w:rPr>
          <w:i/>
        </w:rPr>
        <w:t xml:space="preserve">Financial </w:t>
      </w:r>
      <w:r>
        <w:rPr>
          <w:i/>
        </w:rPr>
        <w:t>Report</w:t>
      </w:r>
      <w:r>
        <w:t>, paragraph 14.</w:t>
      </w:r>
    </w:p>
  </w:footnote>
  <w:footnote w:id="18">
    <w:p w14:paraId="52F318FE" w14:textId="77777777" w:rsidR="00CF7C02" w:rsidRDefault="00CF7C02" w:rsidP="00F1421A">
      <w:pPr>
        <w:pStyle w:val="FootnoteText"/>
      </w:pPr>
      <w:r w:rsidRPr="006258BD">
        <w:rPr>
          <w:rStyle w:val="FootnoteReference"/>
          <w:sz w:val="16"/>
        </w:rPr>
        <w:footnoteRef/>
      </w:r>
      <w:r>
        <w:t xml:space="preserve">  </w:t>
      </w:r>
      <w:r>
        <w:tab/>
        <w:t xml:space="preserve">See ASA 706 </w:t>
      </w:r>
      <w:r w:rsidRPr="000922C5">
        <w:rPr>
          <w:i/>
        </w:rPr>
        <w:t>Emphasis of Matter Paragraphs and Other Matter Paragraphs in the Independent Auditor’s Report</w:t>
      </w:r>
      <w:r>
        <w:t>.</w:t>
      </w:r>
    </w:p>
  </w:footnote>
  <w:footnote w:id="19">
    <w:p w14:paraId="5312A94E" w14:textId="77777777" w:rsidR="00CF7C02" w:rsidRDefault="00CF7C02" w:rsidP="00F1421A">
      <w:pPr>
        <w:pStyle w:val="FootnoteText"/>
      </w:pPr>
      <w:r w:rsidRPr="006258BD">
        <w:rPr>
          <w:rStyle w:val="FootnoteReference"/>
          <w:sz w:val="16"/>
        </w:rPr>
        <w:footnoteRef/>
      </w:r>
      <w:r>
        <w:t xml:space="preserve"> </w:t>
      </w:r>
      <w:r>
        <w:tab/>
        <w:t>See ASA 706, paragraph A2.</w:t>
      </w:r>
    </w:p>
  </w:footnote>
  <w:footnote w:id="20">
    <w:p w14:paraId="0DF5F7CC" w14:textId="77777777" w:rsidR="00CF7C02" w:rsidRDefault="00CF7C02" w:rsidP="00F1421A">
      <w:pPr>
        <w:pStyle w:val="FootnoteText"/>
      </w:pPr>
      <w:r w:rsidRPr="006258BD">
        <w:rPr>
          <w:rStyle w:val="FootnoteReference"/>
          <w:sz w:val="16"/>
        </w:rPr>
        <w:footnoteRef/>
      </w:r>
      <w:r>
        <w:t xml:space="preserve">  </w:t>
      </w:r>
      <w:r>
        <w:tab/>
        <w:t>See ASA 705, paragraph 10.</w:t>
      </w:r>
    </w:p>
  </w:footnote>
  <w:footnote w:id="21">
    <w:p w14:paraId="302FF426" w14:textId="77777777" w:rsidR="00CF7C02" w:rsidRDefault="00CF7C02" w:rsidP="00F1421A">
      <w:pPr>
        <w:pStyle w:val="FootnoteText"/>
      </w:pPr>
      <w:r w:rsidRPr="007F45DF">
        <w:rPr>
          <w:rStyle w:val="FootnoteReference"/>
          <w:sz w:val="16"/>
        </w:rPr>
        <w:t>*</w:t>
      </w:r>
      <w:r>
        <w:t xml:space="preserve"> </w:t>
      </w:r>
      <w:r>
        <w:tab/>
        <w:t xml:space="preserve">See section 311 of the </w:t>
      </w:r>
      <w:r>
        <w:rPr>
          <w:i/>
        </w:rPr>
        <w:t>Corporations Act 2001</w:t>
      </w:r>
      <w:r>
        <w:t>.</w:t>
      </w:r>
    </w:p>
  </w:footnote>
  <w:footnote w:id="22">
    <w:p w14:paraId="3AB621A2" w14:textId="77777777" w:rsidR="00CF7C02" w:rsidRPr="00D7703A" w:rsidRDefault="00CF7C02" w:rsidP="00F1421A">
      <w:pPr>
        <w:pStyle w:val="FootnoteText"/>
      </w:pPr>
      <w:r w:rsidRPr="007F45DF">
        <w:rPr>
          <w:rStyle w:val="FootnoteReference"/>
          <w:sz w:val="16"/>
        </w:rPr>
        <w:t>#</w:t>
      </w:r>
      <w:r>
        <w:t xml:space="preserve"> </w:t>
      </w:r>
      <w:r>
        <w:tab/>
        <w:t xml:space="preserve">See, for example, ASIC Regulatory Guide 34 </w:t>
      </w:r>
      <w:r>
        <w:rPr>
          <w:i/>
        </w:rPr>
        <w:t xml:space="preserve">Auditors’ obligations: Reporting to ASIC </w:t>
      </w:r>
      <w:r>
        <w:t>(May 2013).</w:t>
      </w:r>
    </w:p>
  </w:footnote>
  <w:footnote w:id="23">
    <w:p w14:paraId="62EF23CA" w14:textId="77777777" w:rsidR="00CF7C02" w:rsidRDefault="00CF7C02" w:rsidP="003E6CC8">
      <w:pPr>
        <w:pStyle w:val="FootnoteText"/>
      </w:pPr>
      <w:r w:rsidRPr="00204B7B">
        <w:rPr>
          <w:rStyle w:val="FootnoteReference"/>
          <w:sz w:val="16"/>
        </w:rPr>
        <w:t>*</w:t>
      </w:r>
      <w:r>
        <w:t xml:space="preserve"> </w:t>
      </w:r>
      <w:r>
        <w:tab/>
        <w:t xml:space="preserve">See ASA 600 </w:t>
      </w:r>
      <w:r w:rsidRPr="002E4429">
        <w:rPr>
          <w:i/>
        </w:rPr>
        <w:t xml:space="preserve">Special Considerations—Audits of </w:t>
      </w:r>
      <w:r>
        <w:rPr>
          <w:i/>
        </w:rPr>
        <w:t xml:space="preserve">a </w:t>
      </w:r>
      <w:r w:rsidRPr="002E4429">
        <w:rPr>
          <w:i/>
        </w:rPr>
        <w:t xml:space="preserve">Group Financial </w:t>
      </w:r>
      <w:r>
        <w:rPr>
          <w:i/>
        </w:rPr>
        <w:t>Report</w:t>
      </w:r>
      <w:r w:rsidRPr="002E4429">
        <w:rPr>
          <w:i/>
        </w:rPr>
        <w:t xml:space="preserve"> (Including the Work of Component Auditors</w:t>
      </w:r>
      <w:r>
        <w:rPr>
          <w:i/>
        </w:rPr>
        <w:t>)</w:t>
      </w:r>
      <w:r>
        <w:t>.</w:t>
      </w:r>
    </w:p>
  </w:footnote>
  <w:footnote w:id="24">
    <w:p w14:paraId="0B3CEDC1" w14:textId="77777777" w:rsidR="00CF7C02" w:rsidRPr="00C81B4F" w:rsidRDefault="00CF7C02" w:rsidP="003E6CC8">
      <w:pPr>
        <w:pStyle w:val="FootnoteText"/>
      </w:pPr>
      <w:r w:rsidRPr="00204B7B">
        <w:rPr>
          <w:rStyle w:val="FootnoteReference"/>
          <w:sz w:val="16"/>
        </w:rPr>
        <w:t>#</w:t>
      </w:r>
      <w:r>
        <w:t xml:space="preserve"> </w:t>
      </w:r>
      <w:r>
        <w:tab/>
      </w:r>
      <w:r w:rsidRPr="00C81B4F">
        <w:t xml:space="preserve">See ASA 210 </w:t>
      </w:r>
      <w:r w:rsidRPr="00C81B4F">
        <w:rPr>
          <w:rFonts w:eastAsia="Calibri"/>
          <w:i/>
        </w:rPr>
        <w:t>Agreeing the Terms of Audit Engagements</w:t>
      </w:r>
      <w:r w:rsidRPr="00C81B4F">
        <w:rPr>
          <w:rFonts w:eastAsia="Calibri"/>
        </w:rPr>
        <w:t>.</w:t>
      </w:r>
      <w:r w:rsidRPr="00C81B4F">
        <w:rPr>
          <w:rFonts w:eastAsia="Calibri"/>
        </w:rPr>
        <w:tab/>
      </w:r>
    </w:p>
  </w:footnote>
  <w:footnote w:id="25">
    <w:p w14:paraId="3B79B1C5" w14:textId="77777777" w:rsidR="00CF7C02" w:rsidRDefault="00CF7C02" w:rsidP="003E6CC8">
      <w:pPr>
        <w:pStyle w:val="FootnoteText"/>
      </w:pPr>
      <w:r w:rsidRPr="00D52308">
        <w:rPr>
          <w:rStyle w:val="FootnoteReference"/>
          <w:sz w:val="16"/>
        </w:rPr>
        <w:t>§</w:t>
      </w:r>
      <w:r>
        <w:t xml:space="preserve">  </w:t>
      </w:r>
      <w:r>
        <w:tab/>
        <w:t>The sub</w:t>
      </w:r>
      <w:r>
        <w:noBreakHyphen/>
        <w:t>title “Report on the Audit of the Financial Report” is unnecessary in circumstances when the second sub</w:t>
      </w:r>
      <w:r>
        <w:noBreakHyphen/>
        <w:t xml:space="preserve">title “Report on Other Legal and Regulatory Requirements” is not applicable. </w:t>
      </w:r>
    </w:p>
  </w:footnote>
  <w:footnote w:id="26">
    <w:p w14:paraId="46A5B64C" w14:textId="77777777" w:rsidR="00CF7C02" w:rsidRDefault="00CF7C02" w:rsidP="003E6CC8">
      <w:pPr>
        <w:pStyle w:val="FootnoteText"/>
      </w:pPr>
      <w:r w:rsidRPr="00204B7B">
        <w:rPr>
          <w:rStyle w:val="FootnoteReference"/>
          <w:sz w:val="16"/>
        </w:rPr>
        <w:t>*</w:t>
      </w:r>
      <w:r>
        <w:t xml:space="preserve"> </w:t>
      </w:r>
      <w:r>
        <w:tab/>
        <w:t xml:space="preserve">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[Section 307C (5A)(d) of the </w:t>
      </w:r>
      <w:r>
        <w:rPr>
          <w:i/>
        </w:rPr>
        <w:t>Corporations Act 2001</w:t>
      </w:r>
      <w:r>
        <w:t>]</w:t>
      </w:r>
    </w:p>
  </w:footnote>
  <w:footnote w:id="27">
    <w:p w14:paraId="73AF944F" w14:textId="77777777" w:rsidR="00CF7C02" w:rsidRDefault="00CF7C02" w:rsidP="003E6CC8">
      <w:pPr>
        <w:pStyle w:val="FootnoteText"/>
      </w:pPr>
      <w:r w:rsidRPr="00D55BA7">
        <w:rPr>
          <w:rStyle w:val="FootnoteReference"/>
          <w:sz w:val="16"/>
        </w:rPr>
        <w:t>*</w:t>
      </w:r>
      <w:r>
        <w:t xml:space="preserve"> </w:t>
      </w:r>
      <w:r>
        <w:tab/>
        <w:t>Paragraphs 33 and 38 of ASA 700 require wording to be included in the auditor’s report for all entities in relation to going concern to describe the respective responsibilities of those responsible for the financial report and the auditor in relation to going concern.</w:t>
      </w:r>
    </w:p>
  </w:footnote>
  <w:footnote w:id="28">
    <w:p w14:paraId="31D9809A" w14:textId="77777777" w:rsidR="00CF7C02" w:rsidRDefault="00CF7C02" w:rsidP="003E6CC8">
      <w:pPr>
        <w:pStyle w:val="FootnoteText"/>
      </w:pPr>
      <w:r w:rsidRPr="00D55BA7">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 xml:space="preserve">title as appropriate to the section is used.  </w:t>
      </w:r>
    </w:p>
  </w:footnote>
  <w:footnote w:id="29">
    <w:p w14:paraId="00276EFD" w14:textId="77777777" w:rsidR="00CF7C02" w:rsidRDefault="00CF7C02" w:rsidP="003E6CC8">
      <w:pPr>
        <w:pStyle w:val="FootnoteText"/>
      </w:pPr>
      <w:r w:rsidRPr="00D55BA7">
        <w:rPr>
          <w:rStyle w:val="FootnoteReference"/>
          <w:sz w:val="16"/>
        </w:rPr>
        <w:t>†</w:t>
      </w:r>
      <w:r>
        <w:t xml:space="preserve"> </w:t>
      </w:r>
      <w:r>
        <w:tab/>
        <w:t>The auditor is required to sign the auditor’s report in both their own name and the name of their firm [section 324 AB(3</w:t>
      </w:r>
      <w:r w:rsidRPr="00AA37E9">
        <w:rPr>
          <w:i/>
        </w:rPr>
        <w:t>)</w:t>
      </w:r>
      <w:r w:rsidRPr="004A3ABB">
        <w:rPr>
          <w:i/>
        </w:rPr>
        <w:t xml:space="preserve"> </w:t>
      </w:r>
      <w:r w:rsidRPr="00094A1C">
        <w:t>of the</w:t>
      </w:r>
      <w:r>
        <w:rPr>
          <w:i/>
        </w:rPr>
        <w:t xml:space="preserve"> Corporations Act 2001</w:t>
      </w:r>
      <w:r>
        <w:t xml:space="preserve">] or the name of the audit company [section 324AD(1) of the </w:t>
      </w:r>
      <w:r>
        <w:rPr>
          <w:i/>
        </w:rPr>
        <w:t>Corporations Act 2001</w:t>
      </w:r>
      <w:r>
        <w:t>], as applicable.</w:t>
      </w:r>
    </w:p>
  </w:footnote>
  <w:footnote w:id="30">
    <w:p w14:paraId="32AF4413" w14:textId="77777777" w:rsidR="00CF7C02" w:rsidRDefault="00CF7C02" w:rsidP="006B00A2">
      <w:pPr>
        <w:pStyle w:val="FootnoteText"/>
      </w:pPr>
      <w:r w:rsidRPr="00204B7B">
        <w:rPr>
          <w:rStyle w:val="FootnoteReference"/>
          <w:sz w:val="16"/>
        </w:rPr>
        <w:t>*</w:t>
      </w:r>
      <w:r>
        <w:t xml:space="preserve"> </w:t>
      </w:r>
      <w:r>
        <w:tab/>
        <w:t xml:space="preserve">See ASA 600 </w:t>
      </w:r>
      <w:r w:rsidRPr="002E4429">
        <w:rPr>
          <w:i/>
        </w:rPr>
        <w:t xml:space="preserve">Special Considerations—Audits of </w:t>
      </w:r>
      <w:r>
        <w:rPr>
          <w:i/>
        </w:rPr>
        <w:t xml:space="preserve">a </w:t>
      </w:r>
      <w:r w:rsidRPr="002E4429">
        <w:rPr>
          <w:i/>
        </w:rPr>
        <w:t xml:space="preserve">Group Financial </w:t>
      </w:r>
      <w:r>
        <w:rPr>
          <w:i/>
        </w:rPr>
        <w:t>Report</w:t>
      </w:r>
      <w:r w:rsidRPr="002E4429">
        <w:rPr>
          <w:i/>
        </w:rPr>
        <w:t xml:space="preserve"> (Including the Work of Component Auditors</w:t>
      </w:r>
      <w:r>
        <w:rPr>
          <w:i/>
        </w:rPr>
        <w:t>)</w:t>
      </w:r>
      <w:r>
        <w:t>.</w:t>
      </w:r>
    </w:p>
  </w:footnote>
  <w:footnote w:id="31">
    <w:p w14:paraId="08D36C4A" w14:textId="77777777" w:rsidR="00CF7C02" w:rsidRDefault="00CF7C02" w:rsidP="006B00A2">
      <w:pPr>
        <w:pStyle w:val="FootnoteText"/>
      </w:pPr>
      <w:r w:rsidRPr="00204B7B">
        <w:rPr>
          <w:rStyle w:val="FootnoteReference"/>
          <w:sz w:val="16"/>
        </w:rPr>
        <w:t>#</w:t>
      </w:r>
      <w:r>
        <w:t xml:space="preserve"> </w:t>
      </w:r>
      <w:r>
        <w:tab/>
        <w:t xml:space="preserve">See ASA 210 </w:t>
      </w:r>
      <w:r w:rsidRPr="002E4429">
        <w:rPr>
          <w:rFonts w:eastAsia="Calibri"/>
          <w:i/>
        </w:rPr>
        <w:t>Agreeing the Terms of Audit Engagements</w:t>
      </w:r>
      <w:r>
        <w:rPr>
          <w:rFonts w:eastAsia="Calibri"/>
        </w:rPr>
        <w:t>.</w:t>
      </w:r>
    </w:p>
  </w:footnote>
  <w:footnote w:id="32">
    <w:p w14:paraId="5A3ECF14" w14:textId="77777777" w:rsidR="00CF7C02" w:rsidRDefault="00CF7C02" w:rsidP="006B00A2">
      <w:pPr>
        <w:pStyle w:val="FootnoteText"/>
      </w:pPr>
      <w:r w:rsidRPr="00204B7B">
        <w:rPr>
          <w:rStyle w:val="FootnoteReference"/>
          <w:sz w:val="16"/>
        </w:rPr>
        <w:t>*</w:t>
      </w:r>
      <w:r>
        <w:t xml:space="preserve">  </w:t>
      </w:r>
      <w:r>
        <w:tab/>
        <w:t>The sub</w:t>
      </w:r>
      <w:r>
        <w:noBreakHyphen/>
        <w:t>title “Report on the Audit of the Financial Report” is unnecessary in circumstances when the second sub</w:t>
      </w:r>
      <w:r>
        <w:noBreakHyphen/>
        <w:t xml:space="preserve">title “Report on Other Legal and Regulatory Requirements” is not applicable. </w:t>
      </w:r>
    </w:p>
  </w:footnote>
  <w:footnote w:id="33">
    <w:p w14:paraId="369B2A9A" w14:textId="77777777" w:rsidR="00CF7C02" w:rsidRDefault="00CF7C02" w:rsidP="006B00A2">
      <w:pPr>
        <w:pStyle w:val="FootnoteText"/>
      </w:pPr>
      <w:r w:rsidRPr="00527D21">
        <w:rPr>
          <w:rStyle w:val="FootnoteReference"/>
          <w:sz w:val="16"/>
        </w:rPr>
        <w:t>#</w:t>
      </w:r>
      <w:r>
        <w:t xml:space="preserve"> </w:t>
      </w:r>
      <w:r>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[Section 307C (5A)(d)</w:t>
      </w:r>
      <w:r w:rsidRPr="004A3ABB">
        <w:rPr>
          <w:i/>
        </w:rPr>
        <w:t xml:space="preserve"> </w:t>
      </w:r>
      <w:r w:rsidRPr="00AA37E9">
        <w:t>of the</w:t>
      </w:r>
      <w:r>
        <w:rPr>
          <w:i/>
        </w:rPr>
        <w:t xml:space="preserve"> Corporations Act 2001</w:t>
      </w:r>
      <w:r>
        <w:t>]</w:t>
      </w:r>
    </w:p>
  </w:footnote>
  <w:footnote w:id="34">
    <w:p w14:paraId="79BE24D7" w14:textId="77777777" w:rsidR="00CF7C02" w:rsidRDefault="00CF7C02" w:rsidP="006B00A2">
      <w:pPr>
        <w:pStyle w:val="FootnoteText"/>
      </w:pPr>
      <w:r w:rsidRPr="00D55BA7">
        <w:rPr>
          <w:rStyle w:val="FootnoteReference"/>
          <w:sz w:val="16"/>
        </w:rPr>
        <w:t>*</w:t>
      </w:r>
      <w:r>
        <w:t xml:space="preserve"> </w:t>
      </w:r>
      <w:r>
        <w:tab/>
        <w:t xml:space="preserve">Paragraph </w:t>
      </w:r>
      <w:r w:rsidRPr="00776977">
        <w:t xml:space="preserve">22 </w:t>
      </w:r>
      <w:r w:rsidRPr="00BD7F80">
        <w:t>of ASA 720 requires</w:t>
      </w:r>
      <w:r w:rsidRPr="00776977">
        <w:t xml:space="preserve"> the auditor to consider the implications for the other information statement of a matter giving rise to a qualified or adverse opini</w:t>
      </w:r>
      <w:r>
        <w:t xml:space="preserve">on in accordance with ASA 705. </w:t>
      </w:r>
    </w:p>
  </w:footnote>
  <w:footnote w:id="35">
    <w:p w14:paraId="0E985694" w14:textId="77777777" w:rsidR="00CF7C02" w:rsidRDefault="00CF7C02" w:rsidP="006B00A2">
      <w:pPr>
        <w:pStyle w:val="FootnoteText"/>
      </w:pPr>
      <w:r w:rsidRPr="00D52308">
        <w:rPr>
          <w:rStyle w:val="FootnoteReference"/>
          <w:sz w:val="16"/>
        </w:rPr>
        <w:t>#</w:t>
      </w:r>
      <w:r>
        <w:t xml:space="preserve"> </w:t>
      </w:r>
      <w:r>
        <w:tab/>
        <w:t>Paragraphs 33 and 38 of ASA 700 require wording to be included in the auditor’s report for all entities in relation to going concern to describe the respective responsibilities of those responsible for the financial report and the auditor in relation to going concern.</w:t>
      </w:r>
    </w:p>
  </w:footnote>
  <w:footnote w:id="36">
    <w:p w14:paraId="053E12A8" w14:textId="77777777" w:rsidR="00CF7C02" w:rsidRDefault="00CF7C02" w:rsidP="006B00A2">
      <w:pPr>
        <w:pStyle w:val="FootnoteText"/>
      </w:pPr>
      <w:r w:rsidRPr="00D52308">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 xml:space="preserve">title as appropriate to the section is used. </w:t>
      </w:r>
    </w:p>
  </w:footnote>
  <w:footnote w:id="37">
    <w:p w14:paraId="395E74EC" w14:textId="77777777" w:rsidR="00CF7C02" w:rsidRDefault="00CF7C02" w:rsidP="006B00A2">
      <w:pPr>
        <w:pStyle w:val="FootnoteText"/>
      </w:pPr>
      <w:r w:rsidRPr="00D52308">
        <w:rPr>
          <w:rStyle w:val="FootnoteReference"/>
          <w:sz w:val="16"/>
        </w:rPr>
        <w:t>§</w:t>
      </w:r>
      <w:r>
        <w:t xml:space="preserve"> </w:t>
      </w:r>
      <w:r>
        <w:tab/>
        <w:t>The auditor is required to sign the auditor’s report in both their own name and the name of their firm [section 324AB(3)</w:t>
      </w:r>
      <w:r w:rsidRPr="004A3ABB">
        <w:rPr>
          <w:i/>
        </w:rPr>
        <w:t xml:space="preserve"> </w:t>
      </w:r>
      <w:r>
        <w:t xml:space="preserve">of the </w:t>
      </w:r>
      <w:r>
        <w:rPr>
          <w:i/>
        </w:rPr>
        <w:t>Corporations Act 2001</w:t>
      </w:r>
      <w:r>
        <w:t>] or the name of the audit company [section 324AD(1)</w:t>
      </w:r>
      <w:r w:rsidRPr="004A3ABB">
        <w:rPr>
          <w:i/>
        </w:rPr>
        <w:t xml:space="preserve"> </w:t>
      </w:r>
      <w:r>
        <w:t xml:space="preserve">of the </w:t>
      </w:r>
      <w:r>
        <w:rPr>
          <w:i/>
        </w:rPr>
        <w:t>Corporations Act 2001</w:t>
      </w:r>
      <w:r>
        <w:t>], as applicable.</w:t>
      </w:r>
    </w:p>
  </w:footnote>
  <w:footnote w:id="38">
    <w:p w14:paraId="3AECD456" w14:textId="77777777" w:rsidR="00CF7C02" w:rsidRDefault="00CF7C02" w:rsidP="006B00A2">
      <w:pPr>
        <w:pStyle w:val="FootnoteText"/>
      </w:pPr>
      <w:r w:rsidRPr="00204B7B">
        <w:rPr>
          <w:rStyle w:val="FootnoteReference"/>
          <w:sz w:val="16"/>
        </w:rPr>
        <w:t>*</w:t>
      </w:r>
      <w:r>
        <w:t xml:space="preserve"> </w:t>
      </w:r>
      <w:r>
        <w:tab/>
        <w:t xml:space="preserve">See ASA 600 </w:t>
      </w:r>
      <w:r w:rsidRPr="002E4429">
        <w:rPr>
          <w:i/>
        </w:rPr>
        <w:t xml:space="preserve">Special Considerations—Audits of </w:t>
      </w:r>
      <w:r>
        <w:rPr>
          <w:i/>
        </w:rPr>
        <w:t xml:space="preserve">a </w:t>
      </w:r>
      <w:r w:rsidRPr="002E4429">
        <w:rPr>
          <w:i/>
        </w:rPr>
        <w:t xml:space="preserve">Group Financial </w:t>
      </w:r>
      <w:r>
        <w:rPr>
          <w:i/>
        </w:rPr>
        <w:t>Report</w:t>
      </w:r>
      <w:r w:rsidRPr="002E4429">
        <w:rPr>
          <w:i/>
        </w:rPr>
        <w:t xml:space="preserve"> (Including the Work of Component Auditors</w:t>
      </w:r>
      <w:r>
        <w:rPr>
          <w:i/>
        </w:rPr>
        <w:t>)</w:t>
      </w:r>
      <w:r>
        <w:t>.</w:t>
      </w:r>
    </w:p>
  </w:footnote>
  <w:footnote w:id="39">
    <w:p w14:paraId="2A9AC55B" w14:textId="77777777" w:rsidR="00CF7C02" w:rsidRDefault="00CF7C02" w:rsidP="006B00A2">
      <w:pPr>
        <w:pStyle w:val="FootnoteText"/>
      </w:pPr>
      <w:r w:rsidRPr="00204B7B">
        <w:rPr>
          <w:rStyle w:val="FootnoteReference"/>
          <w:sz w:val="16"/>
        </w:rPr>
        <w:t>#</w:t>
      </w:r>
      <w:r>
        <w:t xml:space="preserve"> </w:t>
      </w:r>
      <w:r>
        <w:tab/>
        <w:t xml:space="preserve">See ASA 210 </w:t>
      </w:r>
      <w:r w:rsidRPr="002E4429">
        <w:rPr>
          <w:rFonts w:eastAsia="Calibri"/>
          <w:i/>
        </w:rPr>
        <w:t>Agreeing the Terms of Audit Engagements</w:t>
      </w:r>
      <w:r>
        <w:rPr>
          <w:rFonts w:eastAsia="Calibri"/>
        </w:rPr>
        <w:t>.</w:t>
      </w:r>
    </w:p>
  </w:footnote>
  <w:footnote w:id="40">
    <w:p w14:paraId="0E91F866" w14:textId="77777777" w:rsidR="00CF7C02" w:rsidRDefault="00CF7C02" w:rsidP="006B00A2">
      <w:pPr>
        <w:pStyle w:val="FootnoteText"/>
      </w:pPr>
      <w:r w:rsidRPr="00D52308">
        <w:rPr>
          <w:rStyle w:val="FootnoteReference"/>
          <w:sz w:val="16"/>
        </w:rPr>
        <w:t>§</w:t>
      </w:r>
      <w:r>
        <w:t xml:space="preserve">  </w:t>
      </w:r>
      <w:r>
        <w:tab/>
        <w:t>The sub</w:t>
      </w:r>
      <w:r>
        <w:noBreakHyphen/>
        <w:t>title “Report on the Audit of the Financial Report” is unnecessary in circumstances when the second sub</w:t>
      </w:r>
      <w:r>
        <w:noBreakHyphen/>
        <w:t>title “Report on Other Legal and Regulatory Requirements” is not applicable.</w:t>
      </w:r>
    </w:p>
  </w:footnote>
  <w:footnote w:id="41">
    <w:p w14:paraId="10F30759" w14:textId="77777777" w:rsidR="00CF7C02" w:rsidRPr="00B53D1A" w:rsidRDefault="00CF7C02" w:rsidP="006B00A2">
      <w:pPr>
        <w:pStyle w:val="FootnoteText"/>
      </w:pPr>
      <w:r w:rsidRPr="00D52308">
        <w:rPr>
          <w:rStyle w:val="FootnoteReference"/>
          <w:sz w:val="16"/>
        </w:rPr>
        <w:t>*</w:t>
      </w:r>
      <w:r>
        <w:t xml:space="preserve"> </w:t>
      </w:r>
      <w:r>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w:t>
      </w:r>
      <w:r w:rsidRPr="00B53D1A">
        <w:t>Section 307C (5A)(d)</w:t>
      </w:r>
      <w:r w:rsidRPr="00B53D1A">
        <w:rPr>
          <w:i/>
        </w:rPr>
        <w:t xml:space="preserve"> </w:t>
      </w:r>
      <w:r w:rsidRPr="00B53D1A">
        <w:t xml:space="preserve">of the </w:t>
      </w:r>
      <w:r w:rsidRPr="00B53D1A">
        <w:rPr>
          <w:i/>
        </w:rPr>
        <w:t>Corporations Act 2001</w:t>
      </w:r>
      <w:r>
        <w:t>]</w:t>
      </w:r>
    </w:p>
  </w:footnote>
  <w:footnote w:id="42">
    <w:p w14:paraId="566D8DD7" w14:textId="77777777" w:rsidR="00CF7C02" w:rsidRDefault="00CF7C02" w:rsidP="006B00A2">
      <w:pPr>
        <w:pStyle w:val="FootnoteText"/>
      </w:pPr>
      <w:r w:rsidRPr="00B53D1A">
        <w:rPr>
          <w:rStyle w:val="FootnoteReference"/>
          <w:sz w:val="16"/>
        </w:rPr>
        <w:t>#</w:t>
      </w:r>
      <w:r w:rsidRPr="00B53D1A">
        <w:t xml:space="preserve"> </w:t>
      </w:r>
      <w:r w:rsidRPr="00B53D1A">
        <w:tab/>
        <w:t>Paragraph 22 of ASA 720 requires the auditor to consider the implications for the other information statement of a matter giving rise to a qualified or adverse opinion in accordance</w:t>
      </w:r>
      <w:r w:rsidRPr="00196E2B">
        <w:t xml:space="preserve"> with ASA 705. </w:t>
      </w:r>
    </w:p>
  </w:footnote>
  <w:footnote w:id="43">
    <w:p w14:paraId="43E746E6" w14:textId="77777777" w:rsidR="00CF7C02" w:rsidRDefault="00CF7C02" w:rsidP="006B00A2">
      <w:pPr>
        <w:pStyle w:val="FootnoteText"/>
      </w:pPr>
      <w:r w:rsidRPr="00D52308">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title as appropriate to the section is used.</w:t>
      </w:r>
    </w:p>
  </w:footnote>
  <w:footnote w:id="44">
    <w:p w14:paraId="1A97BE92" w14:textId="77777777" w:rsidR="00CF7C02" w:rsidRDefault="00CF7C02" w:rsidP="006B00A2">
      <w:pPr>
        <w:pStyle w:val="FootnoteText"/>
      </w:pPr>
      <w:r w:rsidRPr="00D52308">
        <w:rPr>
          <w:rStyle w:val="FootnoteReference"/>
          <w:sz w:val="16"/>
        </w:rPr>
        <w:t>*</w:t>
      </w:r>
      <w:r>
        <w:t xml:space="preserve"> </w:t>
      </w:r>
      <w:r>
        <w:tab/>
        <w:t xml:space="preserve">The auditor is required to sign the auditor’s report in both their own name and the name of their firm [section 324AB(3) of the </w:t>
      </w:r>
      <w:r>
        <w:rPr>
          <w:i/>
        </w:rPr>
        <w:t>Corporations Act 2001</w:t>
      </w:r>
      <w:r>
        <w:t xml:space="preserve">] or the name of the audit company [section 324AD(1) of the </w:t>
      </w:r>
      <w:r>
        <w:rPr>
          <w:i/>
        </w:rPr>
        <w:t>Corporations Act 2001</w:t>
      </w:r>
      <w:r>
        <w:t>], as applicable.</w:t>
      </w:r>
    </w:p>
  </w:footnote>
  <w:footnote w:id="45">
    <w:p w14:paraId="472AB97B" w14:textId="77777777" w:rsidR="00CF7C02" w:rsidRDefault="00CF7C02" w:rsidP="006B00A2">
      <w:pPr>
        <w:pStyle w:val="FootnoteText"/>
      </w:pPr>
      <w:r w:rsidRPr="00204B7B">
        <w:rPr>
          <w:rStyle w:val="FootnoteReference"/>
          <w:sz w:val="16"/>
        </w:rPr>
        <w:t>*</w:t>
      </w:r>
      <w:r>
        <w:t xml:space="preserve"> </w:t>
      </w:r>
      <w:r>
        <w:tab/>
        <w:t xml:space="preserve">See ASA 600 </w:t>
      </w:r>
      <w:r w:rsidRPr="002E4429">
        <w:rPr>
          <w:i/>
        </w:rPr>
        <w:t xml:space="preserve">Special Considerations—Audits of </w:t>
      </w:r>
      <w:r>
        <w:rPr>
          <w:i/>
        </w:rPr>
        <w:t xml:space="preserve">a </w:t>
      </w:r>
      <w:r w:rsidRPr="002E4429">
        <w:rPr>
          <w:i/>
        </w:rPr>
        <w:t xml:space="preserve">Group Financial </w:t>
      </w:r>
      <w:r>
        <w:rPr>
          <w:i/>
        </w:rPr>
        <w:t>Report</w:t>
      </w:r>
      <w:r w:rsidRPr="002E4429">
        <w:rPr>
          <w:i/>
        </w:rPr>
        <w:t xml:space="preserve"> (Including the Work of Component Auditors</w:t>
      </w:r>
      <w:r>
        <w:rPr>
          <w:i/>
        </w:rPr>
        <w:t>)</w:t>
      </w:r>
      <w:r>
        <w:t>.</w:t>
      </w:r>
    </w:p>
  </w:footnote>
  <w:footnote w:id="46">
    <w:p w14:paraId="4D1A71FC" w14:textId="77777777" w:rsidR="00CF7C02" w:rsidRPr="004428D2" w:rsidRDefault="00CF7C02" w:rsidP="006B00A2">
      <w:pPr>
        <w:pStyle w:val="FootnoteText"/>
      </w:pPr>
      <w:r w:rsidRPr="00204B7B">
        <w:rPr>
          <w:rStyle w:val="FootnoteReference"/>
          <w:sz w:val="16"/>
        </w:rPr>
        <w:t>#</w:t>
      </w:r>
      <w:r>
        <w:t xml:space="preserve"> </w:t>
      </w:r>
      <w:r>
        <w:tab/>
        <w:t xml:space="preserve">See </w:t>
      </w:r>
      <w:r w:rsidRPr="004428D2">
        <w:t xml:space="preserve">ASA 210 </w:t>
      </w:r>
      <w:r w:rsidRPr="004428D2">
        <w:rPr>
          <w:rFonts w:eastAsia="Calibri"/>
          <w:i/>
        </w:rPr>
        <w:t>Agreeing the Terms of Audit Engagements</w:t>
      </w:r>
      <w:r w:rsidRPr="004428D2">
        <w:rPr>
          <w:rFonts w:eastAsia="Calibri"/>
        </w:rPr>
        <w:t>.</w:t>
      </w:r>
    </w:p>
  </w:footnote>
  <w:footnote w:id="47">
    <w:p w14:paraId="0A93A345" w14:textId="77777777" w:rsidR="00CF7C02" w:rsidRDefault="00CF7C02" w:rsidP="006B00A2">
      <w:pPr>
        <w:pStyle w:val="FootnoteText"/>
      </w:pPr>
      <w:r w:rsidRPr="00094A1C">
        <w:rPr>
          <w:rStyle w:val="FootnoteReference"/>
          <w:sz w:val="16"/>
        </w:rPr>
        <w:t>†</w:t>
      </w:r>
      <w:r>
        <w:t xml:space="preserve"> </w:t>
      </w:r>
      <w:r>
        <w:tab/>
        <w:t xml:space="preserve">See ASA 705, paragraph 29. </w:t>
      </w:r>
    </w:p>
  </w:footnote>
  <w:footnote w:id="48">
    <w:p w14:paraId="5CEB55EC" w14:textId="77777777" w:rsidR="00CF7C02" w:rsidRDefault="00CF7C02" w:rsidP="006B00A2">
      <w:pPr>
        <w:pStyle w:val="FootnoteText"/>
      </w:pPr>
      <w:r w:rsidRPr="002A7C7A">
        <w:rPr>
          <w:rStyle w:val="FootnoteReference"/>
          <w:sz w:val="16"/>
        </w:rPr>
        <w:t>§</w:t>
      </w:r>
      <w:r w:rsidRPr="004428D2">
        <w:t xml:space="preserve"> </w:t>
      </w:r>
      <w:r w:rsidRPr="004428D2">
        <w:tab/>
        <w:t>Paragraph A5</w:t>
      </w:r>
      <w:r w:rsidRPr="00935D1F">
        <w:t>5</w:t>
      </w:r>
      <w:r w:rsidRPr="004428D2">
        <w:t xml:space="preserve"> o</w:t>
      </w:r>
      <w:r w:rsidRPr="002665EA">
        <w:t xml:space="preserve">f ASA 720, </w:t>
      </w:r>
      <w:r w:rsidRPr="002665EA">
        <w:rPr>
          <w:i/>
        </w:rPr>
        <w:t xml:space="preserve">The Auditor’s Responsibilities Relating to Other Information </w:t>
      </w:r>
      <w:r w:rsidRPr="002665EA">
        <w:t>requires the auditor not to include an other</w:t>
      </w:r>
      <w:r>
        <w:t xml:space="preserve"> information section when the auditor issues a disclaimer of opinion on the financial report in accordance with ASA 705.</w:t>
      </w:r>
    </w:p>
  </w:footnote>
  <w:footnote w:id="49">
    <w:p w14:paraId="4B4C1FFE" w14:textId="77777777" w:rsidR="00CF7C02" w:rsidRDefault="00CF7C02" w:rsidP="006B00A2">
      <w:pPr>
        <w:pStyle w:val="FootnoteText"/>
      </w:pPr>
      <w:r w:rsidRPr="002A7C7A">
        <w:rPr>
          <w:rStyle w:val="FootnoteReference"/>
          <w:sz w:val="16"/>
        </w:rPr>
        <w:t>‡</w:t>
      </w:r>
      <w:r>
        <w:t xml:space="preserve">  </w:t>
      </w:r>
      <w:r>
        <w:tab/>
        <w:t>The sub</w:t>
      </w:r>
      <w:r>
        <w:noBreakHyphen/>
        <w:t>title “Report on the Audit of the Financial Report” is unnecessary in circumstances when the second sub</w:t>
      </w:r>
      <w:r>
        <w:noBreakHyphen/>
        <w:t>title “Report on Other Legal and Regulatory Requirements” is not applicable.</w:t>
      </w:r>
    </w:p>
  </w:footnote>
  <w:footnote w:id="50">
    <w:p w14:paraId="42742445" w14:textId="77777777" w:rsidR="00CF7C02" w:rsidRDefault="00CF7C02" w:rsidP="006B00A2">
      <w:pPr>
        <w:pStyle w:val="FootnoteText"/>
      </w:pPr>
      <w:r w:rsidRPr="00112736">
        <w:rPr>
          <w:rStyle w:val="FootnoteReference"/>
          <w:sz w:val="16"/>
        </w:rPr>
        <w:t>#</w:t>
      </w:r>
      <w:r>
        <w:t xml:space="preserve"> </w:t>
      </w:r>
      <w:r>
        <w:tab/>
        <w:t xml:space="preserve">The Report on the Remuneration Report is an example of “Other Reporting Responsibilities”—refer </w:t>
      </w:r>
      <w:r w:rsidRPr="005C19AA">
        <w:t>paragraphs 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title as appropriate to the section is used.</w:t>
      </w:r>
    </w:p>
  </w:footnote>
  <w:footnote w:id="51">
    <w:p w14:paraId="7CA05277" w14:textId="77777777" w:rsidR="00CF7C02" w:rsidRDefault="00CF7C02" w:rsidP="006B00A2">
      <w:pPr>
        <w:pStyle w:val="FootnoteText"/>
      </w:pPr>
      <w:r w:rsidRPr="00204B7B">
        <w:rPr>
          <w:rStyle w:val="FootnoteReference"/>
          <w:sz w:val="16"/>
        </w:rPr>
        <w:t>#</w:t>
      </w:r>
      <w:r>
        <w:t xml:space="preserve"> </w:t>
      </w:r>
      <w:r>
        <w:tab/>
        <w:t>The auditor is required to sign the auditor’s report in both their own name and the name of their firm [section 324AB(3)</w:t>
      </w:r>
      <w:r w:rsidRPr="004A3ABB">
        <w:rPr>
          <w:i/>
        </w:rPr>
        <w:t xml:space="preserve"> </w:t>
      </w:r>
      <w:r w:rsidRPr="00AA37E9">
        <w:t>of the</w:t>
      </w:r>
      <w:r>
        <w:rPr>
          <w:i/>
        </w:rPr>
        <w:t xml:space="preserve"> Corporations Act 2001</w:t>
      </w:r>
      <w:r>
        <w:t>] or the name of the audit company [section 324AD(1)</w:t>
      </w:r>
      <w:r w:rsidRPr="004A3ABB">
        <w:rPr>
          <w:i/>
        </w:rPr>
        <w:t xml:space="preserve"> </w:t>
      </w:r>
      <w:r w:rsidRPr="00AA37E9">
        <w:t xml:space="preserve">of the </w:t>
      </w:r>
      <w:r>
        <w:rPr>
          <w:i/>
        </w:rPr>
        <w:t>Corporations Act 2001</w:t>
      </w:r>
      <w:r>
        <w:t>], as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C5C4" w14:textId="2A1B1508" w:rsidR="00CF7C02" w:rsidRDefault="00CF7C02">
    <w:pPr>
      <w:pStyle w:val="Header"/>
    </w:pPr>
    <w:r>
      <w:rPr>
        <w:noProof/>
        <w:sz w:val="20"/>
        <w:lang w:eastAsia="en-AU"/>
      </w:rPr>
      <mc:AlternateContent>
        <mc:Choice Requires="wps">
          <w:drawing>
            <wp:anchor distT="0" distB="0" distL="114300" distR="114300" simplePos="0" relativeHeight="251658241" behindDoc="1" locked="1" layoutInCell="1" allowOverlap="1" wp14:anchorId="39F44CCC" wp14:editId="1DADA837">
              <wp:simplePos x="0" y="0"/>
              <wp:positionH relativeFrom="page">
                <wp:posOffset>1800225</wp:posOffset>
              </wp:positionH>
              <wp:positionV relativeFrom="page">
                <wp:posOffset>2880360</wp:posOffset>
              </wp:positionV>
              <wp:extent cx="3959860" cy="3261360"/>
              <wp:effectExtent l="0" t="0" r="2540" b="0"/>
              <wp:wrapNone/>
              <wp:docPr id="2" name="WordArt 3" descr="Draft 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32613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48DAA44" w14:textId="77777777" w:rsidR="00CF7C02" w:rsidRDefault="00CF7C02" w:rsidP="00C24731">
                          <w:pPr>
                            <w:pStyle w:val="NormalWeb"/>
                            <w:spacing w:before="0" w:beforeAutospacing="0" w:after="0" w:afterAutospacing="0"/>
                            <w:jc w:val="center"/>
                          </w:pPr>
                          <w:r>
                            <w:rPr>
                              <w:color w:val="C0C0C0"/>
                              <w:sz w:val="72"/>
                              <w:szCs w:val="72"/>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9F44CCC" id="_x0000_t202" coordsize="21600,21600" o:spt="202" path="m,l,21600r21600,l21600,xe">
              <v:stroke joinstyle="miter"/>
              <v:path gradientshapeok="t" o:connecttype="rect"/>
            </v:shapetype>
            <v:shape id="WordArt 3" o:spid="_x0000_s1102" type="#_x0000_t202" alt="Draft watermark" style="position:absolute;margin-left:141.75pt;margin-top:226.8pt;width:311.8pt;height:256.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" filled="f" stroked="f">
              <v:stroke joinstyle="round"/>
              <o:lock v:ext="edit" shapetype="t"/>
              <v:textbox style="mso-fit-shape-to-text:t">
                <w:txbxContent>
                  <w:p w14:paraId="348DAA44" w14:textId="77777777" w:rsidR="00CF7C02" w:rsidRDefault="00CF7C02" w:rsidP="00C24731">
                    <w:pPr>
                      <w:pStyle w:val="NormalWeb"/>
                      <w:spacing w:before="0" w:beforeAutospacing="0" w:after="0" w:afterAutospacing="0"/>
                      <w:jc w:val="center"/>
                    </w:pPr>
                    <w:r>
                      <w:rPr>
                        <w:color w:val="C0C0C0"/>
                        <w:sz w:val="72"/>
                        <w:szCs w:val="72"/>
                      </w:rPr>
                      <w:t>Draft</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0C6B" w14:textId="77777777" w:rsidR="00CF7C02" w:rsidRDefault="00CF7C02">
    <w:pPr>
      <w:pStyle w:val="Header"/>
      <w:pBdr>
        <w:bottom w:val="none" w:sz="0" w:space="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586A" w14:textId="2C6EDF21" w:rsidR="00CF7C02" w:rsidRDefault="00CF7C02">
    <w:pPr>
      <w:pStyle w:val="Header"/>
    </w:pPr>
    <w:r>
      <w:rPr>
        <w:noProof/>
        <w:sz w:val="20"/>
        <w:lang w:eastAsia="en-AU"/>
      </w:rPr>
      <mc:AlternateContent>
        <mc:Choice Requires="wps">
          <w:drawing>
            <wp:anchor distT="0" distB="0" distL="114300" distR="114300" simplePos="0" relativeHeight="251658240" behindDoc="1" locked="1" layoutInCell="1" allowOverlap="1" wp14:anchorId="6C32F0A5" wp14:editId="02E1D32C">
              <wp:simplePos x="0" y="0"/>
              <wp:positionH relativeFrom="page">
                <wp:posOffset>1800225</wp:posOffset>
              </wp:positionH>
              <wp:positionV relativeFrom="page">
                <wp:posOffset>2880360</wp:posOffset>
              </wp:positionV>
              <wp:extent cx="3959860" cy="3261360"/>
              <wp:effectExtent l="0" t="0" r="2540" b="0"/>
              <wp:wrapNone/>
              <wp:docPr id="1" name="WordArt 2" descr="Draft 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32613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5F129E3" w14:textId="77777777" w:rsidR="00CF7C02" w:rsidRDefault="00CF7C02" w:rsidP="00C24731">
                          <w:pPr>
                            <w:pStyle w:val="NormalWeb"/>
                            <w:spacing w:before="0" w:beforeAutospacing="0" w:after="0" w:afterAutospacing="0"/>
                            <w:jc w:val="center"/>
                          </w:pPr>
                          <w:r>
                            <w:rPr>
                              <w:color w:val="C0C0C0"/>
                              <w:sz w:val="72"/>
                              <w:szCs w:val="72"/>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6C32F0A5" id="_x0000_t202" coordsize="21600,21600" o:spt="202" path="m,l,21600r21600,l21600,xe">
              <v:stroke joinstyle="miter"/>
              <v:path gradientshapeok="t" o:connecttype="rect"/>
            </v:shapetype>
            <v:shape id="WordArt 2" o:spid="_x0000_s1103" type="#_x0000_t202" alt="Draft watermark" style="position:absolute;margin-left:141.75pt;margin-top:226.8pt;width:311.8pt;height:25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" filled="f" stroked="f">
              <v:stroke joinstyle="round"/>
              <o:lock v:ext="edit" shapetype="t"/>
              <v:textbox style="mso-fit-shape-to-text:t">
                <w:txbxContent>
                  <w:p w14:paraId="35F129E3" w14:textId="77777777" w:rsidR="00CF7C02" w:rsidRDefault="00CF7C02" w:rsidP="00C24731">
                    <w:pPr>
                      <w:pStyle w:val="NormalWeb"/>
                      <w:spacing w:before="0" w:beforeAutospacing="0" w:after="0" w:afterAutospacing="0"/>
                      <w:jc w:val="center"/>
                    </w:pPr>
                    <w:r>
                      <w:rPr>
                        <w:color w:val="C0C0C0"/>
                        <w:sz w:val="72"/>
                        <w:szCs w:val="72"/>
                      </w:rPr>
                      <w:t>Draft</w:t>
                    </w:r>
                  </w:p>
                </w:txbxContent>
              </v:textbox>
              <w10:wrap anchorx="page" anchory="page"/>
              <w10:anchorlock/>
            </v:shape>
          </w:pict>
        </mc:Fallback>
      </mc:AlternateConten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2FC1" w14:textId="62AF20EA" w:rsidR="00CF7C02" w:rsidRDefault="00912E22">
    <w:pPr>
      <w:pStyle w:val="Header"/>
      <w:rPr>
        <w:i/>
        <w:iCs/>
      </w:rPr>
    </w:pPr>
    <w:r>
      <w:fldChar w:fldCharType="begin" w:fldLock="1"/>
    </w:r>
    <w:r>
      <w:instrText xml:space="preserve"> REF DocTypeLong \* charfor</w:instrText>
    </w:r>
    <w:r>
      <w:instrText xml:space="preserve">mat </w:instrText>
    </w:r>
    <w:r>
      <w:fldChar w:fldCharType="separate"/>
    </w:r>
    <w:r w:rsidR="00CF7C02" w:rsidRPr="00E45644">
      <w:t>Auditing Standard</w:t>
    </w:r>
    <w:r>
      <w:fldChar w:fldCharType="end"/>
    </w:r>
    <w:r w:rsidR="00CF7C02" w:rsidRPr="00C649F8">
      <w:t xml:space="preserve"> </w:t>
    </w:r>
    <w:r>
      <w:fldChar w:fldCharType="begin" w:fldLock="1"/>
    </w:r>
    <w:r>
      <w:instrText xml:space="preserve"> REF DocType \* charformat  \* MERGEFORMAT </w:instrText>
    </w:r>
    <w:r>
      <w:fldChar w:fldCharType="separate"/>
    </w:r>
    <w:r w:rsidR="00CF7C02" w:rsidRPr="00067CFB">
      <w:t>ASA</w:t>
    </w:r>
    <w:r>
      <w:fldChar w:fldCharType="end"/>
    </w:r>
    <w:r w:rsidR="00CF7C02" w:rsidRPr="00067CFB">
      <w:t xml:space="preserve"> </w:t>
    </w:r>
    <w:r>
      <w:fldChar w:fldCharType="begin" w:fldLock="1"/>
    </w:r>
    <w:r>
      <w:instrText xml:space="preserve"> REF DocNo \* charformat  \* MERGEFORMAT </w:instrText>
    </w:r>
    <w:r>
      <w:fldChar w:fldCharType="separate"/>
    </w:r>
    <w:r w:rsidR="00CF7C02" w:rsidRPr="00067CFB">
      <w:t>570</w:t>
    </w:r>
    <w:r>
      <w:fldChar w:fldCharType="end"/>
    </w:r>
    <w:r w:rsidR="00CF7C02" w:rsidRPr="00067CFB">
      <w:br/>
    </w:r>
    <w:r w:rsidR="00CF7C02">
      <w:rPr>
        <w:i/>
        <w:iCs/>
      </w:rPr>
      <w:t>Going Concern</w:t>
    </w:r>
  </w:p>
  <w:p w14:paraId="6225DCEC" w14:textId="77777777" w:rsidR="00CF7C02" w:rsidRDefault="00CF7C02" w:rsidP="00F46978">
    <w:pPr>
      <w:pStyle w:val="Header"/>
      <w:spacing w:after="2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3075" w14:textId="77777777" w:rsidR="00CF7C02" w:rsidRDefault="00CF7C02">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01755F"/>
    <w:multiLevelType w:val="multilevel"/>
    <w:tmpl w:val="1A8AA198"/>
    <w:styleLink w:val="AUASBListBullets"/>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ED62E04"/>
    <w:multiLevelType w:val="multilevel"/>
    <w:tmpl w:val="DD1CFF52"/>
    <w:styleLink w:val="AUASBAParas"/>
    <w:lvl w:ilvl="0">
      <w:start w:val="1"/>
      <w:numFmt w:val="decimal"/>
      <w:pStyle w:val="AParaLevel1"/>
      <w:lvlText w:val="A%1."/>
      <w:lvlJc w:val="left"/>
      <w:pPr>
        <w:ind w:left="3685"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15:restartNumberingAfterBreak="0">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48D53F6"/>
    <w:multiLevelType w:val="multilevel"/>
    <w:tmpl w:val="1A8AA198"/>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6" w15:restartNumberingAfterBreak="0">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7"/>
  </w:num>
  <w:num w:numId="3">
    <w:abstractNumId w:val="13"/>
  </w:num>
  <w:num w:numId="4">
    <w:abstractNumId w:val="0"/>
  </w:num>
  <w:num w:numId="5">
    <w:abstractNumId w:val="9"/>
  </w:num>
  <w:num w:numId="6">
    <w:abstractNumId w:val="8"/>
  </w:num>
  <w:num w:numId="7">
    <w:abstractNumId w:val="6"/>
  </w:num>
  <w:num w:numId="8">
    <w:abstractNumId w:val="12"/>
  </w:num>
  <w:num w:numId="9">
    <w:abstractNumId w:val="21"/>
  </w:num>
  <w:num w:numId="10">
    <w:abstractNumId w:val="10"/>
  </w:num>
  <w:num w:numId="11">
    <w:abstractNumId w:val="1"/>
  </w:num>
  <w:num w:numId="12">
    <w:abstractNumId w:val="20"/>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1"/>
  </w:num>
  <w:num w:numId="23">
    <w:abstractNumId w:val="1"/>
  </w:num>
  <w:num w:numId="24">
    <w:abstractNumId w:val="20"/>
  </w:num>
  <w:num w:numId="25">
    <w:abstractNumId w:val="18"/>
  </w:num>
  <w:num w:numId="26">
    <w:abstractNumId w:val="14"/>
  </w:num>
  <w:num w:numId="27">
    <w:abstractNumId w:val="14"/>
  </w:num>
  <w:num w:numId="28">
    <w:abstractNumId w:val="14"/>
  </w:num>
  <w:num w:numId="29">
    <w:abstractNumId w:val="12"/>
  </w:num>
  <w:num w:numId="30">
    <w:abstractNumId w:val="16"/>
  </w:num>
  <w:num w:numId="31">
    <w:abstractNumId w:val="16"/>
  </w:num>
  <w:num w:numId="32">
    <w:abstractNumId w:val="16"/>
  </w:num>
  <w:num w:numId="33">
    <w:abstractNumId w:val="2"/>
  </w:num>
  <w:num w:numId="34">
    <w:abstractNumId w:val="3"/>
  </w:num>
  <w:num w:numId="35">
    <w:abstractNumId w:val="15"/>
  </w:num>
  <w:num w:numId="36">
    <w:abstractNumId w:val="19"/>
  </w:num>
  <w:num w:numId="37">
    <w:abstractNumId w:val="4"/>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8193">
      <o:colormru v:ext="edit" colors="#ddd,silver,#eaeae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546"/>
    <w:rsid w:val="00005192"/>
    <w:rsid w:val="0000664A"/>
    <w:rsid w:val="00015AB5"/>
    <w:rsid w:val="00015F83"/>
    <w:rsid w:val="00026B75"/>
    <w:rsid w:val="00026E63"/>
    <w:rsid w:val="00035DBF"/>
    <w:rsid w:val="00036C0D"/>
    <w:rsid w:val="000604F5"/>
    <w:rsid w:val="00061C75"/>
    <w:rsid w:val="00066DBF"/>
    <w:rsid w:val="00067CFB"/>
    <w:rsid w:val="00076484"/>
    <w:rsid w:val="0008034F"/>
    <w:rsid w:val="00083BF5"/>
    <w:rsid w:val="0008431E"/>
    <w:rsid w:val="00090475"/>
    <w:rsid w:val="00090F5F"/>
    <w:rsid w:val="00095511"/>
    <w:rsid w:val="00097BDA"/>
    <w:rsid w:val="000A1EE7"/>
    <w:rsid w:val="000A2F4F"/>
    <w:rsid w:val="000A4889"/>
    <w:rsid w:val="000A628D"/>
    <w:rsid w:val="000B579F"/>
    <w:rsid w:val="000B6DBF"/>
    <w:rsid w:val="000C562C"/>
    <w:rsid w:val="000D1A44"/>
    <w:rsid w:val="000D243E"/>
    <w:rsid w:val="000D2B72"/>
    <w:rsid w:val="000D4517"/>
    <w:rsid w:val="000E0BA5"/>
    <w:rsid w:val="000E4127"/>
    <w:rsid w:val="001013D0"/>
    <w:rsid w:val="00103CAE"/>
    <w:rsid w:val="00104E72"/>
    <w:rsid w:val="00105B19"/>
    <w:rsid w:val="001133B4"/>
    <w:rsid w:val="00115E2C"/>
    <w:rsid w:val="001217FD"/>
    <w:rsid w:val="00124A30"/>
    <w:rsid w:val="00154343"/>
    <w:rsid w:val="001666F3"/>
    <w:rsid w:val="0017077A"/>
    <w:rsid w:val="00184705"/>
    <w:rsid w:val="00191366"/>
    <w:rsid w:val="001A0345"/>
    <w:rsid w:val="001B3A5C"/>
    <w:rsid w:val="001B5857"/>
    <w:rsid w:val="001C00FE"/>
    <w:rsid w:val="001C020C"/>
    <w:rsid w:val="001C0A3A"/>
    <w:rsid w:val="001C49D6"/>
    <w:rsid w:val="001C671A"/>
    <w:rsid w:val="001C6A39"/>
    <w:rsid w:val="001D1BA5"/>
    <w:rsid w:val="001D477C"/>
    <w:rsid w:val="001D477D"/>
    <w:rsid w:val="001D6F8F"/>
    <w:rsid w:val="001F0411"/>
    <w:rsid w:val="001F1F96"/>
    <w:rsid w:val="001F7CEB"/>
    <w:rsid w:val="00216B3F"/>
    <w:rsid w:val="00222D31"/>
    <w:rsid w:val="00223FCA"/>
    <w:rsid w:val="00225B8E"/>
    <w:rsid w:val="00226849"/>
    <w:rsid w:val="00232733"/>
    <w:rsid w:val="00237187"/>
    <w:rsid w:val="002373B1"/>
    <w:rsid w:val="00244281"/>
    <w:rsid w:val="0025349C"/>
    <w:rsid w:val="00262DBD"/>
    <w:rsid w:val="00267FDD"/>
    <w:rsid w:val="00270E3E"/>
    <w:rsid w:val="00273DEF"/>
    <w:rsid w:val="00274FCE"/>
    <w:rsid w:val="00277A56"/>
    <w:rsid w:val="00287446"/>
    <w:rsid w:val="00287D3A"/>
    <w:rsid w:val="00293EDF"/>
    <w:rsid w:val="00294647"/>
    <w:rsid w:val="002A61AE"/>
    <w:rsid w:val="002B7D91"/>
    <w:rsid w:val="002C29AE"/>
    <w:rsid w:val="002D3424"/>
    <w:rsid w:val="002D5279"/>
    <w:rsid w:val="002D65BC"/>
    <w:rsid w:val="002E1C6E"/>
    <w:rsid w:val="002E31D4"/>
    <w:rsid w:val="002E6942"/>
    <w:rsid w:val="002F45A5"/>
    <w:rsid w:val="002F6C85"/>
    <w:rsid w:val="00301C19"/>
    <w:rsid w:val="003025FA"/>
    <w:rsid w:val="00306690"/>
    <w:rsid w:val="003126DB"/>
    <w:rsid w:val="003130AC"/>
    <w:rsid w:val="00316D36"/>
    <w:rsid w:val="00317DCF"/>
    <w:rsid w:val="00324E2F"/>
    <w:rsid w:val="003269C3"/>
    <w:rsid w:val="00327CF7"/>
    <w:rsid w:val="00331C6B"/>
    <w:rsid w:val="00334F5D"/>
    <w:rsid w:val="0033691F"/>
    <w:rsid w:val="00351009"/>
    <w:rsid w:val="003522A7"/>
    <w:rsid w:val="0036385A"/>
    <w:rsid w:val="00364D54"/>
    <w:rsid w:val="003663DE"/>
    <w:rsid w:val="003775AB"/>
    <w:rsid w:val="0038673F"/>
    <w:rsid w:val="00386C56"/>
    <w:rsid w:val="00391B5D"/>
    <w:rsid w:val="003929D0"/>
    <w:rsid w:val="003A03DE"/>
    <w:rsid w:val="003A0F68"/>
    <w:rsid w:val="003A4B1B"/>
    <w:rsid w:val="003A4C66"/>
    <w:rsid w:val="003B0290"/>
    <w:rsid w:val="003B77A6"/>
    <w:rsid w:val="003C28E0"/>
    <w:rsid w:val="003C3B16"/>
    <w:rsid w:val="003D7E0C"/>
    <w:rsid w:val="003E4EAD"/>
    <w:rsid w:val="003E6CC8"/>
    <w:rsid w:val="003F0C78"/>
    <w:rsid w:val="003F24B6"/>
    <w:rsid w:val="003F2D54"/>
    <w:rsid w:val="004026E4"/>
    <w:rsid w:val="004049D4"/>
    <w:rsid w:val="00404E72"/>
    <w:rsid w:val="004123DE"/>
    <w:rsid w:val="004220A6"/>
    <w:rsid w:val="004230B8"/>
    <w:rsid w:val="00423728"/>
    <w:rsid w:val="00427474"/>
    <w:rsid w:val="00453D65"/>
    <w:rsid w:val="004547FF"/>
    <w:rsid w:val="00461C90"/>
    <w:rsid w:val="00470C0A"/>
    <w:rsid w:val="00480E5B"/>
    <w:rsid w:val="00487BAB"/>
    <w:rsid w:val="004907BB"/>
    <w:rsid w:val="00497CB7"/>
    <w:rsid w:val="004A003C"/>
    <w:rsid w:val="004A5984"/>
    <w:rsid w:val="004B55AF"/>
    <w:rsid w:val="004C3988"/>
    <w:rsid w:val="004C6639"/>
    <w:rsid w:val="004C7DC5"/>
    <w:rsid w:val="004D150F"/>
    <w:rsid w:val="004D3084"/>
    <w:rsid w:val="004D4D03"/>
    <w:rsid w:val="004D5864"/>
    <w:rsid w:val="004F136A"/>
    <w:rsid w:val="00513E13"/>
    <w:rsid w:val="00520044"/>
    <w:rsid w:val="005213D3"/>
    <w:rsid w:val="00524489"/>
    <w:rsid w:val="00524AE9"/>
    <w:rsid w:val="0052624B"/>
    <w:rsid w:val="005319FC"/>
    <w:rsid w:val="005330B1"/>
    <w:rsid w:val="00534AE8"/>
    <w:rsid w:val="0054012E"/>
    <w:rsid w:val="00545709"/>
    <w:rsid w:val="00546141"/>
    <w:rsid w:val="0055257C"/>
    <w:rsid w:val="00565239"/>
    <w:rsid w:val="00571A1C"/>
    <w:rsid w:val="00575CDE"/>
    <w:rsid w:val="00575E6B"/>
    <w:rsid w:val="00590D81"/>
    <w:rsid w:val="005917EA"/>
    <w:rsid w:val="005A3171"/>
    <w:rsid w:val="005A5582"/>
    <w:rsid w:val="005A7612"/>
    <w:rsid w:val="005B2BE2"/>
    <w:rsid w:val="005B5457"/>
    <w:rsid w:val="005C026F"/>
    <w:rsid w:val="005C289C"/>
    <w:rsid w:val="005E2434"/>
    <w:rsid w:val="005F2472"/>
    <w:rsid w:val="0060029B"/>
    <w:rsid w:val="006014A0"/>
    <w:rsid w:val="00610198"/>
    <w:rsid w:val="00610525"/>
    <w:rsid w:val="00612F73"/>
    <w:rsid w:val="00626806"/>
    <w:rsid w:val="00627868"/>
    <w:rsid w:val="00635B00"/>
    <w:rsid w:val="0063639C"/>
    <w:rsid w:val="006375F2"/>
    <w:rsid w:val="00643057"/>
    <w:rsid w:val="00643692"/>
    <w:rsid w:val="00645F31"/>
    <w:rsid w:val="00650DD4"/>
    <w:rsid w:val="006514B1"/>
    <w:rsid w:val="006538C2"/>
    <w:rsid w:val="00660A84"/>
    <w:rsid w:val="006667D5"/>
    <w:rsid w:val="0067005E"/>
    <w:rsid w:val="006707E8"/>
    <w:rsid w:val="006741B2"/>
    <w:rsid w:val="0067503E"/>
    <w:rsid w:val="00677589"/>
    <w:rsid w:val="006819DB"/>
    <w:rsid w:val="00686B9D"/>
    <w:rsid w:val="0069120F"/>
    <w:rsid w:val="006922C5"/>
    <w:rsid w:val="006923C1"/>
    <w:rsid w:val="006A1F8C"/>
    <w:rsid w:val="006B00A2"/>
    <w:rsid w:val="006B3528"/>
    <w:rsid w:val="006B67EB"/>
    <w:rsid w:val="006C208A"/>
    <w:rsid w:val="006D2111"/>
    <w:rsid w:val="006D527E"/>
    <w:rsid w:val="006E078A"/>
    <w:rsid w:val="006E419A"/>
    <w:rsid w:val="006F02FA"/>
    <w:rsid w:val="006F2725"/>
    <w:rsid w:val="00701FC3"/>
    <w:rsid w:val="0072058F"/>
    <w:rsid w:val="00722F13"/>
    <w:rsid w:val="007235B4"/>
    <w:rsid w:val="00743E62"/>
    <w:rsid w:val="007449B9"/>
    <w:rsid w:val="00752A0D"/>
    <w:rsid w:val="00760CA1"/>
    <w:rsid w:val="00763F9D"/>
    <w:rsid w:val="00766CA7"/>
    <w:rsid w:val="00780E09"/>
    <w:rsid w:val="00782360"/>
    <w:rsid w:val="007831BC"/>
    <w:rsid w:val="00786646"/>
    <w:rsid w:val="007975D3"/>
    <w:rsid w:val="007A4A7E"/>
    <w:rsid w:val="007A6B36"/>
    <w:rsid w:val="007B207A"/>
    <w:rsid w:val="007B449F"/>
    <w:rsid w:val="007B4DD6"/>
    <w:rsid w:val="007B5ACC"/>
    <w:rsid w:val="007B60DF"/>
    <w:rsid w:val="007B7F04"/>
    <w:rsid w:val="007C2C20"/>
    <w:rsid w:val="007C4790"/>
    <w:rsid w:val="007C4C65"/>
    <w:rsid w:val="007D1F07"/>
    <w:rsid w:val="007D45AA"/>
    <w:rsid w:val="007D5072"/>
    <w:rsid w:val="007E2487"/>
    <w:rsid w:val="007E3FBA"/>
    <w:rsid w:val="007F0D16"/>
    <w:rsid w:val="007F4ABE"/>
    <w:rsid w:val="007F5C4E"/>
    <w:rsid w:val="00805545"/>
    <w:rsid w:val="00806A9F"/>
    <w:rsid w:val="00810413"/>
    <w:rsid w:val="00821C67"/>
    <w:rsid w:val="00834E25"/>
    <w:rsid w:val="008352FC"/>
    <w:rsid w:val="008368EC"/>
    <w:rsid w:val="0085152F"/>
    <w:rsid w:val="008546BE"/>
    <w:rsid w:val="00857A6F"/>
    <w:rsid w:val="00872090"/>
    <w:rsid w:val="00880310"/>
    <w:rsid w:val="008809E8"/>
    <w:rsid w:val="008844E4"/>
    <w:rsid w:val="00886A3C"/>
    <w:rsid w:val="008A3E90"/>
    <w:rsid w:val="008B1DBC"/>
    <w:rsid w:val="008B44C2"/>
    <w:rsid w:val="008B6960"/>
    <w:rsid w:val="008C00F0"/>
    <w:rsid w:val="008C17C5"/>
    <w:rsid w:val="008E386B"/>
    <w:rsid w:val="008F418D"/>
    <w:rsid w:val="008F5289"/>
    <w:rsid w:val="008F7D8C"/>
    <w:rsid w:val="00903D2B"/>
    <w:rsid w:val="009073F8"/>
    <w:rsid w:val="00912806"/>
    <w:rsid w:val="00912E22"/>
    <w:rsid w:val="00914849"/>
    <w:rsid w:val="0091735B"/>
    <w:rsid w:val="00921CF9"/>
    <w:rsid w:val="0092283A"/>
    <w:rsid w:val="00924A1E"/>
    <w:rsid w:val="00926344"/>
    <w:rsid w:val="00930C84"/>
    <w:rsid w:val="00931D42"/>
    <w:rsid w:val="00932667"/>
    <w:rsid w:val="00936DED"/>
    <w:rsid w:val="00943E41"/>
    <w:rsid w:val="009565E8"/>
    <w:rsid w:val="00956CA1"/>
    <w:rsid w:val="00957936"/>
    <w:rsid w:val="00960A96"/>
    <w:rsid w:val="00963076"/>
    <w:rsid w:val="00964350"/>
    <w:rsid w:val="00975517"/>
    <w:rsid w:val="00983F64"/>
    <w:rsid w:val="009842C7"/>
    <w:rsid w:val="00985859"/>
    <w:rsid w:val="00993B40"/>
    <w:rsid w:val="009941AE"/>
    <w:rsid w:val="00994929"/>
    <w:rsid w:val="00995437"/>
    <w:rsid w:val="00995D01"/>
    <w:rsid w:val="009960AD"/>
    <w:rsid w:val="009A38CD"/>
    <w:rsid w:val="009A7ECB"/>
    <w:rsid w:val="009C471A"/>
    <w:rsid w:val="009C6C4D"/>
    <w:rsid w:val="009D2955"/>
    <w:rsid w:val="009E5841"/>
    <w:rsid w:val="009F566D"/>
    <w:rsid w:val="009F6A28"/>
    <w:rsid w:val="00A02990"/>
    <w:rsid w:val="00A042AB"/>
    <w:rsid w:val="00A04AC3"/>
    <w:rsid w:val="00A04D4A"/>
    <w:rsid w:val="00A134B2"/>
    <w:rsid w:val="00A13E0D"/>
    <w:rsid w:val="00A13EDD"/>
    <w:rsid w:val="00A22168"/>
    <w:rsid w:val="00A22AC3"/>
    <w:rsid w:val="00A33660"/>
    <w:rsid w:val="00A47E9D"/>
    <w:rsid w:val="00A5777C"/>
    <w:rsid w:val="00A64680"/>
    <w:rsid w:val="00A667A4"/>
    <w:rsid w:val="00A728C6"/>
    <w:rsid w:val="00A83CCC"/>
    <w:rsid w:val="00A8621D"/>
    <w:rsid w:val="00A916E1"/>
    <w:rsid w:val="00AA46D1"/>
    <w:rsid w:val="00AB119F"/>
    <w:rsid w:val="00AC47F6"/>
    <w:rsid w:val="00AD431A"/>
    <w:rsid w:val="00AE0A2A"/>
    <w:rsid w:val="00AE0E88"/>
    <w:rsid w:val="00AE11CD"/>
    <w:rsid w:val="00AF2F98"/>
    <w:rsid w:val="00B00722"/>
    <w:rsid w:val="00B059FC"/>
    <w:rsid w:val="00B06721"/>
    <w:rsid w:val="00B07D5B"/>
    <w:rsid w:val="00B12DD8"/>
    <w:rsid w:val="00B203F6"/>
    <w:rsid w:val="00B235FA"/>
    <w:rsid w:val="00B2390C"/>
    <w:rsid w:val="00B314B2"/>
    <w:rsid w:val="00B33BB9"/>
    <w:rsid w:val="00B35AF2"/>
    <w:rsid w:val="00B35D31"/>
    <w:rsid w:val="00B37C0F"/>
    <w:rsid w:val="00B467DE"/>
    <w:rsid w:val="00B63399"/>
    <w:rsid w:val="00B6537D"/>
    <w:rsid w:val="00B74ABB"/>
    <w:rsid w:val="00B80F59"/>
    <w:rsid w:val="00B8568A"/>
    <w:rsid w:val="00B865D4"/>
    <w:rsid w:val="00B900ED"/>
    <w:rsid w:val="00B92D2D"/>
    <w:rsid w:val="00B93A5F"/>
    <w:rsid w:val="00B9642C"/>
    <w:rsid w:val="00BA6B75"/>
    <w:rsid w:val="00BC07BE"/>
    <w:rsid w:val="00BC3D8E"/>
    <w:rsid w:val="00BD67FE"/>
    <w:rsid w:val="00BD7327"/>
    <w:rsid w:val="00BE42CC"/>
    <w:rsid w:val="00BE51B7"/>
    <w:rsid w:val="00BE65DA"/>
    <w:rsid w:val="00BF01A5"/>
    <w:rsid w:val="00BF0675"/>
    <w:rsid w:val="00BF2272"/>
    <w:rsid w:val="00C01060"/>
    <w:rsid w:val="00C06A9F"/>
    <w:rsid w:val="00C13819"/>
    <w:rsid w:val="00C2414E"/>
    <w:rsid w:val="00C24731"/>
    <w:rsid w:val="00C24F12"/>
    <w:rsid w:val="00C25B59"/>
    <w:rsid w:val="00C2601B"/>
    <w:rsid w:val="00C2643A"/>
    <w:rsid w:val="00C40E16"/>
    <w:rsid w:val="00C441C3"/>
    <w:rsid w:val="00C47C7F"/>
    <w:rsid w:val="00C60809"/>
    <w:rsid w:val="00C649F8"/>
    <w:rsid w:val="00C658DA"/>
    <w:rsid w:val="00C71B81"/>
    <w:rsid w:val="00C813E8"/>
    <w:rsid w:val="00C8191B"/>
    <w:rsid w:val="00C824E0"/>
    <w:rsid w:val="00C828E0"/>
    <w:rsid w:val="00C91D39"/>
    <w:rsid w:val="00CA27DF"/>
    <w:rsid w:val="00CA2F5C"/>
    <w:rsid w:val="00CA4546"/>
    <w:rsid w:val="00CB3602"/>
    <w:rsid w:val="00CC0E4B"/>
    <w:rsid w:val="00CC5A6C"/>
    <w:rsid w:val="00CC7ED2"/>
    <w:rsid w:val="00CC7EFB"/>
    <w:rsid w:val="00CD7D09"/>
    <w:rsid w:val="00CE16EF"/>
    <w:rsid w:val="00CF0265"/>
    <w:rsid w:val="00CF42BF"/>
    <w:rsid w:val="00CF7C02"/>
    <w:rsid w:val="00D0132B"/>
    <w:rsid w:val="00D057D0"/>
    <w:rsid w:val="00D16F11"/>
    <w:rsid w:val="00D22948"/>
    <w:rsid w:val="00D332F9"/>
    <w:rsid w:val="00D43B2A"/>
    <w:rsid w:val="00D44D63"/>
    <w:rsid w:val="00D45D46"/>
    <w:rsid w:val="00D51EB7"/>
    <w:rsid w:val="00D572E6"/>
    <w:rsid w:val="00D61FF9"/>
    <w:rsid w:val="00D625FC"/>
    <w:rsid w:val="00D66EEE"/>
    <w:rsid w:val="00D6750F"/>
    <w:rsid w:val="00D749E7"/>
    <w:rsid w:val="00D75BF4"/>
    <w:rsid w:val="00D806BE"/>
    <w:rsid w:val="00D82C18"/>
    <w:rsid w:val="00DA4238"/>
    <w:rsid w:val="00DA75CC"/>
    <w:rsid w:val="00DB3BB2"/>
    <w:rsid w:val="00DC1210"/>
    <w:rsid w:val="00DC4E8E"/>
    <w:rsid w:val="00DD26CF"/>
    <w:rsid w:val="00DD6627"/>
    <w:rsid w:val="00DD6A99"/>
    <w:rsid w:val="00DE45DA"/>
    <w:rsid w:val="00DF7FB6"/>
    <w:rsid w:val="00E05BF7"/>
    <w:rsid w:val="00E06DB7"/>
    <w:rsid w:val="00E145D4"/>
    <w:rsid w:val="00E20B8B"/>
    <w:rsid w:val="00E21F04"/>
    <w:rsid w:val="00E33E10"/>
    <w:rsid w:val="00E34769"/>
    <w:rsid w:val="00E45644"/>
    <w:rsid w:val="00E50216"/>
    <w:rsid w:val="00E53B4F"/>
    <w:rsid w:val="00E57524"/>
    <w:rsid w:val="00E71E3D"/>
    <w:rsid w:val="00E733F1"/>
    <w:rsid w:val="00E73974"/>
    <w:rsid w:val="00E74E62"/>
    <w:rsid w:val="00E76546"/>
    <w:rsid w:val="00E861E3"/>
    <w:rsid w:val="00E86A5D"/>
    <w:rsid w:val="00E87017"/>
    <w:rsid w:val="00E87FAF"/>
    <w:rsid w:val="00E92A94"/>
    <w:rsid w:val="00E95FA1"/>
    <w:rsid w:val="00EA541F"/>
    <w:rsid w:val="00EB1572"/>
    <w:rsid w:val="00EB165B"/>
    <w:rsid w:val="00ED013D"/>
    <w:rsid w:val="00ED43EC"/>
    <w:rsid w:val="00ED463D"/>
    <w:rsid w:val="00ED5942"/>
    <w:rsid w:val="00ED64A1"/>
    <w:rsid w:val="00EE0F1D"/>
    <w:rsid w:val="00EE1F8F"/>
    <w:rsid w:val="00EE69E7"/>
    <w:rsid w:val="00EE6CCA"/>
    <w:rsid w:val="00EF4389"/>
    <w:rsid w:val="00EF5357"/>
    <w:rsid w:val="00F06AE2"/>
    <w:rsid w:val="00F0700A"/>
    <w:rsid w:val="00F1421A"/>
    <w:rsid w:val="00F27B5D"/>
    <w:rsid w:val="00F34570"/>
    <w:rsid w:val="00F34A6B"/>
    <w:rsid w:val="00F36485"/>
    <w:rsid w:val="00F45376"/>
    <w:rsid w:val="00F46978"/>
    <w:rsid w:val="00F63447"/>
    <w:rsid w:val="00F72B71"/>
    <w:rsid w:val="00F76EE8"/>
    <w:rsid w:val="00F87329"/>
    <w:rsid w:val="00F904DE"/>
    <w:rsid w:val="00FA3DFC"/>
    <w:rsid w:val="00FB22DD"/>
    <w:rsid w:val="00FB492A"/>
    <w:rsid w:val="00FC7A59"/>
    <w:rsid w:val="00FD388B"/>
    <w:rsid w:val="00FD478C"/>
    <w:rsid w:val="00FD5C2F"/>
    <w:rsid w:val="00FD69EC"/>
    <w:rsid w:val="00FD7138"/>
    <w:rsid w:val="00FE34D2"/>
    <w:rsid w:val="00FE754A"/>
    <w:rsid w:val="00FF04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dd,silver,#eaeaea"/>
    </o:shapedefaults>
    <o:shapelayout v:ext="edit">
      <o:idmap v:ext="edit" data="1"/>
    </o:shapelayout>
  </w:shapeDefaults>
  <w:decimalSymbol w:val="."/>
  <w:listSeparator w:val=","/>
  <w14:docId w14:val="6C7EB2BE"/>
  <w15:docId w15:val="{E9F5EBCE-33D8-4FEF-84EE-A3B16F44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semiHidden="1" w:uiPriority="3" w:unhideWhenUsed="1" w:qFormat="1"/>
    <w:lsdException w:name="heading 6" w:semiHidden="1" w:uiPriority="2" w:unhideWhenUsed="1" w:qFormat="1"/>
    <w:lsdException w:name="heading 7" w:semiHidden="1" w:uiPriority="3" w:unhideWhenUsed="1" w:qFormat="1"/>
    <w:lsdException w:name="heading 8" w:semiHidden="1" w:uiPriority="3"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5DA"/>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DE45DA"/>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DE45DA"/>
    <w:pPr>
      <w:keepNext/>
      <w:spacing w:after="200" w:line="260" w:lineRule="exact"/>
      <w:outlineLvl w:val="4"/>
    </w:pPr>
    <w:rPr>
      <w:b/>
      <w:bCs/>
      <w:iCs/>
      <w:sz w:val="26"/>
      <w:szCs w:val="26"/>
    </w:rPr>
  </w:style>
  <w:style w:type="paragraph" w:styleId="Heading6">
    <w:name w:val="heading 6"/>
    <w:basedOn w:val="Heading5"/>
    <w:next w:val="ParaLevel1"/>
    <w:link w:val="Heading6Char"/>
    <w:uiPriority w:val="2"/>
    <w:qFormat/>
    <w:rsid w:val="00DE45DA"/>
    <w:pPr>
      <w:spacing w:line="220" w:lineRule="exact"/>
      <w:outlineLvl w:val="5"/>
    </w:pPr>
    <w:rPr>
      <w:bCs w:val="0"/>
      <w:sz w:val="22"/>
      <w:szCs w:val="22"/>
    </w:rPr>
  </w:style>
  <w:style w:type="paragraph" w:styleId="Heading7">
    <w:name w:val="heading 7"/>
    <w:basedOn w:val="Heading6"/>
    <w:next w:val="ParaLevel1"/>
    <w:link w:val="Heading7Char"/>
    <w:uiPriority w:val="3"/>
    <w:qFormat/>
    <w:rsid w:val="00E87FAF"/>
    <w:pPr>
      <w:outlineLvl w:val="6"/>
    </w:pPr>
    <w:rPr>
      <w:b w:val="0"/>
      <w:i/>
      <w:szCs w:val="24"/>
    </w:rPr>
  </w:style>
  <w:style w:type="paragraph" w:styleId="Heading8">
    <w:name w:val="heading 8"/>
    <w:basedOn w:val="Heading6"/>
    <w:next w:val="ParaLevel1"/>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link w:val="FootnoteTextChar"/>
    <w:rsid w:val="005B5457"/>
    <w:pPr>
      <w:keepLines/>
      <w:spacing w:line="160" w:lineRule="exact"/>
      <w:ind w:left="284" w:hanging="284"/>
    </w:pPr>
    <w:rPr>
      <w:sz w:val="16"/>
    </w:rPr>
  </w:style>
  <w:style w:type="paragraph" w:customStyle="1" w:styleId="ListBullet">
    <w:name w:val="ListBullet"/>
    <w:basedOn w:val="ParaPlain"/>
    <w:uiPriority w:val="2"/>
    <w:qFormat/>
    <w:rsid w:val="00AE0A2A"/>
    <w:pPr>
      <w:numPr>
        <w:numId w:val="35"/>
      </w:numPr>
      <w:outlineLvl w:val="0"/>
    </w:pPr>
  </w:style>
  <w:style w:type="paragraph" w:customStyle="1" w:styleId="ParaLevel1">
    <w:name w:val="ParaLevel1"/>
    <w:basedOn w:val="ParaPlain"/>
    <w:uiPriority w:val="2"/>
    <w:qFormat/>
    <w:rsid w:val="001C671A"/>
    <w:pPr>
      <w:numPr>
        <w:numId w:val="38"/>
      </w:numPr>
    </w:pPr>
  </w:style>
  <w:style w:type="paragraph" w:customStyle="1" w:styleId="ParaLevel2">
    <w:name w:val="ParaLevel2"/>
    <w:basedOn w:val="ParaPlain"/>
    <w:uiPriority w:val="2"/>
    <w:qFormat/>
    <w:rsid w:val="001C671A"/>
    <w:pPr>
      <w:numPr>
        <w:ilvl w:val="1"/>
        <w:numId w:val="38"/>
      </w:numPr>
    </w:pPr>
  </w:style>
  <w:style w:type="paragraph" w:customStyle="1" w:styleId="ParaLevel3">
    <w:name w:val="ParaLevel3"/>
    <w:basedOn w:val="ParaPlain"/>
    <w:uiPriority w:val="2"/>
    <w:qFormat/>
    <w:rsid w:val="001C671A"/>
    <w:pPr>
      <w:numPr>
        <w:ilvl w:val="2"/>
        <w:numId w:val="38"/>
      </w:numPr>
      <w:tabs>
        <w:tab w:val="clear" w:pos="2127"/>
        <w:tab w:val="num" w:pos="360"/>
      </w:tabs>
      <w:ind w:left="0" w:firstLine="0"/>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DE45DA"/>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DE45DA"/>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6385A"/>
    <w:pPr>
      <w:numPr>
        <w:numId w:val="37"/>
      </w:numPr>
      <w:outlineLvl w:val="0"/>
    </w:pPr>
  </w:style>
  <w:style w:type="paragraph" w:customStyle="1" w:styleId="ContentsItem">
    <w:name w:val="ContentsItem"/>
    <w:basedOn w:val="Normal"/>
    <w:semiHidden/>
    <w:rsid w:val="00DE45DA"/>
    <w:pPr>
      <w:tabs>
        <w:tab w:val="left" w:leader="dot" w:pos="8278"/>
        <w:tab w:val="right" w:pos="9072"/>
      </w:tabs>
      <w:spacing w:before="120"/>
      <w:ind w:left="142" w:right="1134" w:hanging="142"/>
    </w:pPr>
  </w:style>
  <w:style w:type="character" w:styleId="FootnoteReference">
    <w:name w:val="footnote reference"/>
    <w:basedOn w:val="DefaultParagraphFont"/>
    <w:uiPriority w:val="7"/>
    <w:rsid w:val="006D2111"/>
    <w:rPr>
      <w:sz w:val="22"/>
      <w:vertAlign w:val="superscript"/>
    </w:rPr>
  </w:style>
  <w:style w:type="paragraph" w:customStyle="1" w:styleId="ListBullet2">
    <w:name w:val="ListBullet2"/>
    <w:basedOn w:val="ParaPlain"/>
    <w:uiPriority w:val="2"/>
    <w:qFormat/>
    <w:rsid w:val="00AE0A2A"/>
    <w:pPr>
      <w:numPr>
        <w:ilvl w:val="1"/>
        <w:numId w:val="35"/>
      </w:numPr>
      <w:outlineLvl w:val="1"/>
    </w:pPr>
  </w:style>
  <w:style w:type="paragraph" w:customStyle="1" w:styleId="ListBullet3">
    <w:name w:val="ListBullet3"/>
    <w:basedOn w:val="ParaPlain"/>
    <w:uiPriority w:val="2"/>
    <w:qFormat/>
    <w:rsid w:val="00AE0A2A"/>
    <w:pPr>
      <w:numPr>
        <w:ilvl w:val="2"/>
        <w:numId w:val="35"/>
      </w:numPr>
      <w:outlineLvl w:val="2"/>
    </w:pPr>
  </w:style>
  <w:style w:type="paragraph" w:customStyle="1" w:styleId="ListBullet4">
    <w:name w:val="ListBullet4"/>
    <w:basedOn w:val="ParaPlain"/>
    <w:uiPriority w:val="2"/>
    <w:qFormat/>
    <w:rsid w:val="00AE0A2A"/>
    <w:pPr>
      <w:numPr>
        <w:ilvl w:val="3"/>
        <w:numId w:val="35"/>
      </w:numPr>
      <w:outlineLvl w:val="3"/>
    </w:pPr>
  </w:style>
  <w:style w:type="paragraph" w:customStyle="1" w:styleId="AParaLevel2">
    <w:name w:val="AParaLevel2"/>
    <w:basedOn w:val="ParaPlain"/>
    <w:uiPriority w:val="2"/>
    <w:rsid w:val="0036385A"/>
    <w:pPr>
      <w:numPr>
        <w:ilvl w:val="1"/>
        <w:numId w:val="37"/>
      </w:numPr>
      <w:outlineLvl w:val="1"/>
    </w:pPr>
  </w:style>
  <w:style w:type="paragraph" w:customStyle="1" w:styleId="AParaLevel3">
    <w:name w:val="AParaLevel3"/>
    <w:basedOn w:val="ParaPlain"/>
    <w:uiPriority w:val="2"/>
    <w:rsid w:val="0036385A"/>
    <w:pPr>
      <w:numPr>
        <w:ilvl w:val="2"/>
        <w:numId w:val="37"/>
      </w:numPr>
      <w:outlineLvl w:val="2"/>
    </w:pPr>
  </w:style>
  <w:style w:type="paragraph" w:customStyle="1" w:styleId="AppendixTop">
    <w:name w:val="AppendixTop"/>
    <w:basedOn w:val="Normal"/>
    <w:uiPriority w:val="5"/>
    <w:rsid w:val="00DE45DA"/>
    <w:pPr>
      <w:spacing w:after="200" w:line="260" w:lineRule="exact"/>
      <w:jc w:val="right"/>
    </w:pPr>
    <w:rPr>
      <w:b/>
      <w:sz w:val="26"/>
    </w:rPr>
  </w:style>
  <w:style w:type="paragraph" w:customStyle="1" w:styleId="AppendixRef">
    <w:name w:val="AppendixRef"/>
    <w:basedOn w:val="AppendixTop"/>
    <w:uiPriority w:val="5"/>
    <w:rsid w:val="00DE45DA"/>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DE45DA"/>
    <w:rPr>
      <w:rFonts w:ascii="Times New Roman" w:hAnsi="Times New Roman"/>
      <w:b w:val="0"/>
      <w:i w:val="0"/>
      <w:sz w:val="18"/>
    </w:rPr>
  </w:style>
  <w:style w:type="paragraph" w:styleId="TOC1">
    <w:name w:val="toc 1"/>
    <w:basedOn w:val="Normal"/>
    <w:next w:val="Normal"/>
    <w:autoRedefine/>
    <w:uiPriority w:val="7"/>
    <w:rsid w:val="00DE45DA"/>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524AE9"/>
    <w:pPr>
      <w:tabs>
        <w:tab w:val="right" w:leader="dot" w:pos="9071"/>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6385A"/>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985859"/>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TableHeading">
    <w:name w:val="TableHeading"/>
    <w:basedOn w:val="Normal"/>
    <w:uiPriority w:val="5"/>
    <w:qFormat/>
    <w:rsid w:val="00B80F59"/>
    <w:pPr>
      <w:spacing w:before="60" w:after="60" w:line="240" w:lineRule="auto"/>
    </w:pPr>
    <w:rPr>
      <w:b/>
      <w:szCs w:val="24"/>
      <w:lang w:eastAsia="en-AU"/>
    </w:rPr>
  </w:style>
  <w:style w:type="paragraph" w:customStyle="1" w:styleId="TableRow">
    <w:name w:val="TableRow"/>
    <w:basedOn w:val="Normal"/>
    <w:uiPriority w:val="5"/>
    <w:qFormat/>
    <w:rsid w:val="00B80F59"/>
    <w:pPr>
      <w:spacing w:before="60" w:after="60" w:line="240" w:lineRule="auto"/>
    </w:pPr>
    <w:rPr>
      <w:szCs w:val="24"/>
      <w:lang w:eastAsia="en-AU"/>
    </w:rPr>
  </w:style>
  <w:style w:type="table" w:styleId="TableGrid">
    <w:name w:val="Table Grid"/>
    <w:basedOn w:val="TableNormal"/>
    <w:rsid w:val="007B5AC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DE45DA"/>
    <w:pPr>
      <w:keepNext/>
      <w:spacing w:after="200" w:line="260" w:lineRule="exact"/>
      <w:jc w:val="center"/>
    </w:pPr>
    <w:rPr>
      <w:b/>
      <w:caps/>
      <w:sz w:val="26"/>
      <w:szCs w:val="24"/>
    </w:rPr>
  </w:style>
  <w:style w:type="paragraph" w:customStyle="1" w:styleId="ParaIndent">
    <w:name w:val="ParaIndent"/>
    <w:basedOn w:val="ParaPlain"/>
    <w:uiPriority w:val="1"/>
    <w:qFormat/>
    <w:rsid w:val="00090475"/>
    <w:pPr>
      <w:ind w:left="709"/>
    </w:pPr>
    <w:rPr>
      <w:szCs w:val="24"/>
    </w:rPr>
  </w:style>
  <w:style w:type="character" w:customStyle="1" w:styleId="Heading6Char">
    <w:name w:val="Heading 6 Char"/>
    <w:link w:val="Heading6"/>
    <w:uiPriority w:val="2"/>
    <w:rsid w:val="0038673F"/>
    <w:rPr>
      <w:b/>
      <w:iCs/>
      <w:sz w:val="22"/>
      <w:szCs w:val="22"/>
      <w:lang w:eastAsia="en-US"/>
    </w:rPr>
  </w:style>
  <w:style w:type="character" w:customStyle="1" w:styleId="Heading7Char">
    <w:name w:val="Heading 7 Char"/>
    <w:link w:val="Heading7"/>
    <w:rsid w:val="0038673F"/>
    <w:rPr>
      <w:i/>
      <w:iCs/>
      <w:sz w:val="22"/>
      <w:szCs w:val="24"/>
      <w:lang w:eastAsia="en-US"/>
    </w:rPr>
  </w:style>
  <w:style w:type="paragraph" w:styleId="BalloonText">
    <w:name w:val="Balloon Text"/>
    <w:basedOn w:val="Normal"/>
    <w:link w:val="BalloonTextChar"/>
    <w:semiHidden/>
    <w:rsid w:val="00ED43E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D43EC"/>
    <w:rPr>
      <w:rFonts w:ascii="Tahoma" w:hAnsi="Tahoma" w:cs="Tahoma"/>
      <w:sz w:val="16"/>
      <w:szCs w:val="16"/>
      <w:lang w:eastAsia="en-US"/>
    </w:rPr>
  </w:style>
  <w:style w:type="character" w:styleId="PlaceholderText">
    <w:name w:val="Placeholder Text"/>
    <w:basedOn w:val="DefaultParagraphFont"/>
    <w:uiPriority w:val="99"/>
    <w:semiHidden/>
    <w:rsid w:val="00E45644"/>
    <w:rPr>
      <w:color w:val="808080"/>
    </w:rPr>
  </w:style>
  <w:style w:type="paragraph" w:styleId="NormalWeb">
    <w:name w:val="Normal (Web)"/>
    <w:basedOn w:val="Normal"/>
    <w:uiPriority w:val="99"/>
    <w:semiHidden/>
    <w:unhideWhenUsed/>
    <w:rsid w:val="00C24731"/>
    <w:pPr>
      <w:spacing w:before="100" w:beforeAutospacing="1" w:after="100" w:afterAutospacing="1" w:line="240" w:lineRule="auto"/>
    </w:pPr>
    <w:rPr>
      <w:rFonts w:eastAsiaTheme="minorEastAsia"/>
      <w:sz w:val="24"/>
      <w:szCs w:val="24"/>
      <w:lang w:eastAsia="en-AU"/>
    </w:rPr>
  </w:style>
  <w:style w:type="character" w:styleId="CommentReference">
    <w:name w:val="annotation reference"/>
    <w:basedOn w:val="DefaultParagraphFont"/>
    <w:semiHidden/>
    <w:unhideWhenUsed/>
    <w:rsid w:val="0072058F"/>
    <w:rPr>
      <w:sz w:val="16"/>
      <w:szCs w:val="16"/>
    </w:rPr>
  </w:style>
  <w:style w:type="paragraph" w:styleId="CommentText">
    <w:name w:val="annotation text"/>
    <w:basedOn w:val="Normal"/>
    <w:link w:val="CommentTextChar"/>
    <w:semiHidden/>
    <w:unhideWhenUsed/>
    <w:rsid w:val="0072058F"/>
    <w:pPr>
      <w:spacing w:line="240" w:lineRule="auto"/>
    </w:pPr>
    <w:rPr>
      <w:sz w:val="20"/>
    </w:rPr>
  </w:style>
  <w:style w:type="character" w:customStyle="1" w:styleId="CommentTextChar">
    <w:name w:val="Comment Text Char"/>
    <w:basedOn w:val="DefaultParagraphFont"/>
    <w:link w:val="CommentText"/>
    <w:semiHidden/>
    <w:rsid w:val="0072058F"/>
    <w:rPr>
      <w:lang w:eastAsia="en-US"/>
    </w:rPr>
  </w:style>
  <w:style w:type="paragraph" w:styleId="CommentSubject">
    <w:name w:val="annotation subject"/>
    <w:basedOn w:val="CommentText"/>
    <w:next w:val="CommentText"/>
    <w:link w:val="CommentSubjectChar"/>
    <w:semiHidden/>
    <w:unhideWhenUsed/>
    <w:rsid w:val="0072058F"/>
    <w:rPr>
      <w:b/>
      <w:bCs/>
    </w:rPr>
  </w:style>
  <w:style w:type="character" w:customStyle="1" w:styleId="CommentSubjectChar">
    <w:name w:val="Comment Subject Char"/>
    <w:basedOn w:val="CommentTextChar"/>
    <w:link w:val="CommentSubject"/>
    <w:semiHidden/>
    <w:rsid w:val="0072058F"/>
    <w:rPr>
      <w:b/>
      <w:bCs/>
      <w:lang w:eastAsia="en-US"/>
    </w:rPr>
  </w:style>
  <w:style w:type="character" w:customStyle="1" w:styleId="Heading5Char">
    <w:name w:val="Heading 5 Char"/>
    <w:basedOn w:val="DefaultParagraphFont"/>
    <w:link w:val="Heading5"/>
    <w:uiPriority w:val="3"/>
    <w:rsid w:val="00427474"/>
    <w:rPr>
      <w:b/>
      <w:bCs/>
      <w:iCs/>
      <w:sz w:val="26"/>
      <w:szCs w:val="26"/>
      <w:lang w:eastAsia="en-US"/>
    </w:rPr>
  </w:style>
  <w:style w:type="character" w:customStyle="1" w:styleId="FootnoteTextChar">
    <w:name w:val="Footnote Text Char"/>
    <w:basedOn w:val="DefaultParagraphFont"/>
    <w:link w:val="FootnoteText"/>
    <w:rsid w:val="004A5984"/>
    <w:rPr>
      <w:sz w:val="16"/>
      <w:lang w:eastAsia="en-US"/>
    </w:rPr>
  </w:style>
  <w:style w:type="paragraph" w:styleId="Revision">
    <w:name w:val="Revision"/>
    <w:hidden/>
    <w:uiPriority w:val="99"/>
    <w:semiHidden/>
    <w:rsid w:val="000A1EE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enquiries@auasb.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nquiries@auasb.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Compiled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7CFD5D51-98B1-4BF1-AEB3-CD0BD933B0FC}"/>
      </w:docPartPr>
      <w:docPartBody>
        <w:p w:rsidR="005868B8" w:rsidRDefault="006E37D9">
          <w:r w:rsidRPr="0096278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7D9"/>
    <w:rsid w:val="00012EF6"/>
    <w:rsid w:val="00063909"/>
    <w:rsid w:val="000E4B64"/>
    <w:rsid w:val="0026118F"/>
    <w:rsid w:val="002E6ED4"/>
    <w:rsid w:val="00331C69"/>
    <w:rsid w:val="0034775C"/>
    <w:rsid w:val="003E495B"/>
    <w:rsid w:val="005868B8"/>
    <w:rsid w:val="00605B40"/>
    <w:rsid w:val="00625E63"/>
    <w:rsid w:val="006E37D9"/>
    <w:rsid w:val="00710AA7"/>
    <w:rsid w:val="00725308"/>
    <w:rsid w:val="00A55AD2"/>
    <w:rsid w:val="00A57BDB"/>
    <w:rsid w:val="00B16207"/>
    <w:rsid w:val="00C7406C"/>
    <w:rsid w:val="00D22EED"/>
    <w:rsid w:val="00D360A5"/>
    <w:rsid w:val="00EC3A32"/>
    <w:rsid w:val="00EC57A9"/>
    <w:rsid w:val="00ED5F96"/>
    <w:rsid w:val="00F058E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7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3" ma:contentTypeDescription="Create a new document." ma:contentTypeScope="" ma:versionID="e8f429de35ef813cfb2e745640109629">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6502be0378f72d9edb5a394a97b3ed54"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D207D-3DDD-4EB3-90BA-B38D6E8AD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10739-736E-4E09-8E15-098B7DC80F64}">
  <ds:schemaRefs>
    <ds:schemaRef ds:uri="http://schemas.microsoft.com/sharepoint/v3/contenttype/forms"/>
  </ds:schemaRefs>
</ds:datastoreItem>
</file>

<file path=customXml/itemProps3.xml><?xml version="1.0" encoding="utf-8"?>
<ds:datastoreItem xmlns:ds="http://schemas.openxmlformats.org/officeDocument/2006/customXml" ds:itemID="{24C0BC36-23D2-400D-B757-EDC90657FCA3}">
  <ds:schemaRefs>
    <ds:schemaRef ds:uri="http://schemas.openxmlformats.org/officeDocument/2006/bibliography"/>
  </ds:schemaRefs>
</ds:datastoreItem>
</file>

<file path=customXml/itemProps4.xml><?xml version="1.0" encoding="utf-8"?>
<ds:datastoreItem xmlns:ds="http://schemas.openxmlformats.org/officeDocument/2006/customXml" ds:itemID="{13DB5010-2D84-4D53-95A2-9E93486D60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CompiledStnd</Template>
  <TotalTime>0</TotalTime>
  <Pages>34</Pages>
  <Words>11363</Words>
  <Characters>64775</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Compiled Auditing Standard</vt:lpstr>
    </vt:vector>
  </TitlesOfParts>
  <Company>AUABS</Company>
  <LinksUpToDate>false</LinksUpToDate>
  <CharactersWithSpaces>75987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Auditing Standard</dc:title>
  <dc:subject/>
  <dc:creator>Fraser, Susan</dc:creator>
  <cp:keywords/>
  <cp:lastModifiedBy>See Wen Ewe</cp:lastModifiedBy>
  <cp:revision>3</cp:revision>
  <cp:lastPrinted>2021-07-12T04:06:00Z</cp:lastPrinted>
  <dcterms:created xsi:type="dcterms:W3CDTF">2021-12-09T06:28:00Z</dcterms:created>
  <dcterms:modified xsi:type="dcterms:W3CDTF">2021-12-09T06:43:00Z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MSIP_Label_f119bfe8-2f76-40bb-a392-a4078e69ff4b_Enabled">
    <vt:lpwstr>true</vt:lpwstr>
  </property>
  <property fmtid="{D5CDD505-2E9C-101B-9397-08002B2CF9AE}" pid="4" name="MSIP_Label_f119bfe8-2f76-40bb-a392-a4078e69ff4b_SetDate">
    <vt:lpwstr>2021-02-26T07:34:19Z</vt:lpwstr>
  </property>
  <property fmtid="{D5CDD505-2E9C-101B-9397-08002B2CF9AE}" pid="5" name="MSIP_Label_f119bfe8-2f76-40bb-a392-a4078e69ff4b_Method">
    <vt:lpwstr>Standard</vt:lpwstr>
  </property>
  <property fmtid="{D5CDD505-2E9C-101B-9397-08002B2CF9AE}" pid="6" name="MSIP_Label_f119bfe8-2f76-40bb-a392-a4078e69ff4b_Name">
    <vt:lpwstr>OFFICIAL</vt:lpwstr>
  </property>
  <property fmtid="{D5CDD505-2E9C-101B-9397-08002B2CF9AE}" pid="7" name="MSIP_Label_f119bfe8-2f76-40bb-a392-a4078e69ff4b_SiteId">
    <vt:lpwstr>3a6753c2-f5c2-4a9d-ab19-50fa9b969203</vt:lpwstr>
  </property>
  <property fmtid="{D5CDD505-2E9C-101B-9397-08002B2CF9AE}" pid="8" name="MSIP_Label_f119bfe8-2f76-40bb-a392-a4078e69ff4b_ActionId">
    <vt:lpwstr>39c54514-87e5-4ad1-8865-8ddc87fab138</vt:lpwstr>
  </property>
  <property fmtid="{D5CDD505-2E9C-101B-9397-08002B2CF9AE}" pid="9" name="MSIP_Label_f119bfe8-2f76-40bb-a392-a4078e69ff4b_ContentBits">
    <vt:lpwstr>3</vt:lpwstr>
  </property>
</Properties>
</file>