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A0" w:rsidRPr="004D134D" w:rsidRDefault="003A57A0" w:rsidP="004D2C46">
      <w:pPr>
        <w:jc w:val="center"/>
        <w:rPr>
          <w:b/>
        </w:rPr>
      </w:pPr>
      <w:bookmarkStart w:id="0" w:name="_GoBack"/>
      <w:bookmarkEnd w:id="0"/>
      <w:r w:rsidRPr="004D134D">
        <w:rPr>
          <w:b/>
        </w:rPr>
        <w:t>EXPLANATORY STATEMENT</w:t>
      </w:r>
    </w:p>
    <w:p w:rsidR="003A57A0" w:rsidRDefault="003A57A0" w:rsidP="004D2C46">
      <w:pPr>
        <w:jc w:val="center"/>
        <w:rPr>
          <w:u w:val="single"/>
        </w:rPr>
      </w:pPr>
    </w:p>
    <w:p w:rsidR="003A57A0" w:rsidRPr="004D134D" w:rsidRDefault="003A57A0" w:rsidP="004D134D">
      <w:pPr>
        <w:jc w:val="center"/>
        <w:rPr>
          <w:b/>
          <w:i/>
        </w:rPr>
      </w:pPr>
      <w:r w:rsidRPr="004D134D">
        <w:rPr>
          <w:b/>
          <w:i/>
        </w:rPr>
        <w:t xml:space="preserve">Education Services for Overseas Students (Student default </w:t>
      </w:r>
      <w:r w:rsidRPr="004138F8">
        <w:rPr>
          <w:b/>
          <w:i/>
        </w:rPr>
        <w:t>–</w:t>
      </w:r>
      <w:r w:rsidR="00671F86">
        <w:rPr>
          <w:b/>
          <w:i/>
        </w:rPr>
        <w:t xml:space="preserve"> </w:t>
      </w:r>
      <w:r w:rsidRPr="004D134D">
        <w:rPr>
          <w:b/>
          <w:i/>
        </w:rPr>
        <w:t xml:space="preserve">discharge of obligations </w:t>
      </w:r>
      <w:r w:rsidRPr="004138F8">
        <w:rPr>
          <w:b/>
          <w:i/>
        </w:rPr>
        <w:t>–</w:t>
      </w:r>
      <w:r w:rsidR="00671F86">
        <w:rPr>
          <w:b/>
          <w:i/>
        </w:rPr>
        <w:t xml:space="preserve"> </w:t>
      </w:r>
      <w:r w:rsidRPr="004D134D">
        <w:rPr>
          <w:b/>
          <w:i/>
        </w:rPr>
        <w:t>requirements for a notice)</w:t>
      </w:r>
      <w:r w:rsidR="00671F86">
        <w:rPr>
          <w:b/>
          <w:i/>
        </w:rPr>
        <w:t xml:space="preserve"> </w:t>
      </w:r>
      <w:r w:rsidR="00C962F8" w:rsidRPr="004D134D">
        <w:rPr>
          <w:b/>
          <w:i/>
        </w:rPr>
        <w:t xml:space="preserve">Specification </w:t>
      </w:r>
      <w:r w:rsidR="00A67468" w:rsidRPr="004D134D">
        <w:rPr>
          <w:b/>
          <w:i/>
        </w:rPr>
        <w:t xml:space="preserve">2015 </w:t>
      </w:r>
      <w:r w:rsidR="00690C87">
        <w:rPr>
          <w:b/>
          <w:i/>
        </w:rPr>
        <w:t>(No. 1)</w:t>
      </w:r>
    </w:p>
    <w:p w:rsidR="003A57A0" w:rsidRDefault="003A57A0" w:rsidP="004D2C46">
      <w:pPr>
        <w:ind w:left="1700" w:hanging="1700"/>
        <w:rPr>
          <w:u w:val="single"/>
        </w:rPr>
      </w:pPr>
    </w:p>
    <w:p w:rsidR="003A57A0" w:rsidRPr="004D134D" w:rsidRDefault="003A57A0" w:rsidP="004D2C46">
      <w:pPr>
        <w:ind w:left="1700" w:hanging="1700"/>
        <w:rPr>
          <w:b/>
        </w:rPr>
      </w:pPr>
      <w:r w:rsidRPr="004D134D">
        <w:rPr>
          <w:b/>
        </w:rPr>
        <w:t>Summary</w:t>
      </w:r>
    </w:p>
    <w:p w:rsidR="003A57A0" w:rsidRDefault="003A57A0" w:rsidP="004D2C46">
      <w:pPr>
        <w:ind w:left="1700" w:hanging="1700"/>
      </w:pPr>
    </w:p>
    <w:p w:rsidR="003A57A0" w:rsidRPr="00B84526" w:rsidRDefault="003A57A0" w:rsidP="0099365D">
      <w:r w:rsidRPr="00B84526">
        <w:t>The</w:t>
      </w:r>
      <w:r>
        <w:rPr>
          <w:i/>
        </w:rPr>
        <w:t xml:space="preserve"> </w:t>
      </w:r>
      <w:r w:rsidRPr="00B84526">
        <w:rPr>
          <w:i/>
        </w:rPr>
        <w:t>Education Services for Overseas Students (</w:t>
      </w:r>
      <w:r>
        <w:rPr>
          <w:i/>
        </w:rPr>
        <w:t>Student</w:t>
      </w:r>
      <w:r w:rsidRPr="00B84526">
        <w:rPr>
          <w:i/>
        </w:rPr>
        <w:t xml:space="preserve"> default – discharge of obligations – requirements for a notice) </w:t>
      </w:r>
      <w:r w:rsidR="008500F2">
        <w:rPr>
          <w:i/>
        </w:rPr>
        <w:t xml:space="preserve">Specification </w:t>
      </w:r>
      <w:r w:rsidR="00A67468" w:rsidRPr="00B84526">
        <w:rPr>
          <w:i/>
        </w:rPr>
        <w:t>201</w:t>
      </w:r>
      <w:r w:rsidR="00A67468">
        <w:rPr>
          <w:i/>
        </w:rPr>
        <w:t>5</w:t>
      </w:r>
      <w:r w:rsidR="00A67468" w:rsidRPr="00B84526">
        <w:rPr>
          <w:i/>
        </w:rPr>
        <w:t xml:space="preserve"> </w:t>
      </w:r>
      <w:r w:rsidR="007A6F76">
        <w:rPr>
          <w:i/>
        </w:rPr>
        <w:t>(</w:t>
      </w:r>
      <w:r w:rsidR="008500F2">
        <w:rPr>
          <w:i/>
        </w:rPr>
        <w:t>No.</w:t>
      </w:r>
      <w:r w:rsidR="00690C87">
        <w:rPr>
          <w:i/>
        </w:rPr>
        <w:t>1</w:t>
      </w:r>
      <w:r w:rsidR="007A6F76">
        <w:rPr>
          <w:i/>
        </w:rPr>
        <w:t>)</w:t>
      </w:r>
      <w:r w:rsidR="008500F2">
        <w:rPr>
          <w:i/>
        </w:rPr>
        <w:t xml:space="preserve"> </w:t>
      </w:r>
      <w:r w:rsidR="00690C87">
        <w:t>(the Specification)</w:t>
      </w:r>
      <w:r w:rsidR="008500F2">
        <w:rPr>
          <w:i/>
        </w:rPr>
        <w:t xml:space="preserve"> </w:t>
      </w:r>
      <w:r w:rsidRPr="00D00C76">
        <w:t xml:space="preserve">is made by the Minister for </w:t>
      </w:r>
      <w:r w:rsidR="00B479A2" w:rsidRPr="00B479A2">
        <w:t xml:space="preserve">Tourism and International Education </w:t>
      </w:r>
      <w:r w:rsidR="00690C87">
        <w:t>(the Minister)</w:t>
      </w:r>
      <w:r w:rsidRPr="00D00C76">
        <w:t xml:space="preserve">, </w:t>
      </w:r>
      <w:r w:rsidRPr="00F83C35">
        <w:t>pursuant to</w:t>
      </w:r>
      <w:r w:rsidRPr="00D00C76">
        <w:t xml:space="preserve"> subsection 4</w:t>
      </w:r>
      <w:r>
        <w:t>7H</w:t>
      </w:r>
      <w:r w:rsidRPr="00D00C76">
        <w:t>(</w:t>
      </w:r>
      <w:r>
        <w:t>5</w:t>
      </w:r>
      <w:r w:rsidRPr="00D00C76">
        <w:t xml:space="preserve">) of the </w:t>
      </w:r>
      <w:r w:rsidRPr="00D00C76">
        <w:rPr>
          <w:i/>
        </w:rPr>
        <w:t>Education Services for Overseas Students</w:t>
      </w:r>
      <w:r w:rsidRPr="0099365D">
        <w:rPr>
          <w:i/>
        </w:rPr>
        <w:t xml:space="preserve"> Act 2000</w:t>
      </w:r>
      <w:r>
        <w:rPr>
          <w:i/>
        </w:rPr>
        <w:t xml:space="preserve"> </w:t>
      </w:r>
      <w:r w:rsidRPr="00FF206C">
        <w:t>(the Act).</w:t>
      </w:r>
      <w:r w:rsidR="00690C87">
        <w:t xml:space="preserve"> </w:t>
      </w:r>
    </w:p>
    <w:p w:rsidR="003A57A0" w:rsidRDefault="003A57A0" w:rsidP="0099365D"/>
    <w:p w:rsidR="00690C87" w:rsidRPr="004D134D" w:rsidRDefault="00690C87" w:rsidP="0099365D">
      <w:pPr>
        <w:rPr>
          <w:i/>
        </w:rPr>
      </w:pPr>
      <w:r>
        <w:t xml:space="preserve">The Specification revokes the </w:t>
      </w:r>
      <w:r w:rsidR="00812318">
        <w:rPr>
          <w:i/>
        </w:rPr>
        <w:t>Education Services for Overseas Students (</w:t>
      </w:r>
      <w:r w:rsidR="00880525">
        <w:rPr>
          <w:i/>
        </w:rPr>
        <w:t>Notification of student default – requirements for a notice)</w:t>
      </w:r>
      <w:r w:rsidR="00812318">
        <w:rPr>
          <w:i/>
        </w:rPr>
        <w:t xml:space="preserve"> Determination 2012 (No. 1) </w:t>
      </w:r>
      <w:r w:rsidR="00812318">
        <w:t>(previous Instrument) a</w:t>
      </w:r>
      <w:r>
        <w:t xml:space="preserve">nd gives effect to amendments made by the </w:t>
      </w:r>
      <w:r w:rsidR="00812318">
        <w:rPr>
          <w:i/>
        </w:rPr>
        <w:t>Education Services for Overseas Students Amendment (Streamlining Regulation) Act 2015</w:t>
      </w:r>
      <w:r w:rsidR="005A28A5">
        <w:t xml:space="preserve"> (ESOS Streamlining Regulation Act)</w:t>
      </w:r>
      <w:r w:rsidR="00812318">
        <w:rPr>
          <w:i/>
        </w:rPr>
        <w:t>.</w:t>
      </w:r>
    </w:p>
    <w:p w:rsidR="00690C87" w:rsidRDefault="00690C87" w:rsidP="0099365D"/>
    <w:p w:rsidR="009F2A6F" w:rsidRDefault="003A57A0" w:rsidP="00041715">
      <w:r w:rsidRPr="00041715">
        <w:t xml:space="preserve">The tuition protection </w:t>
      </w:r>
      <w:r w:rsidR="00804C11">
        <w:t>provisions in</w:t>
      </w:r>
      <w:r w:rsidRPr="00041715">
        <w:t xml:space="preserve"> the </w:t>
      </w:r>
      <w:r w:rsidR="008500F2">
        <w:t>Act</w:t>
      </w:r>
      <w:r w:rsidR="00A46274">
        <w:t xml:space="preserve"> (</w:t>
      </w:r>
      <w:r w:rsidRPr="00041715">
        <w:t>which commence</w:t>
      </w:r>
      <w:r w:rsidR="00804C11">
        <w:t>d in 2012</w:t>
      </w:r>
      <w:r w:rsidR="00C962F8">
        <w:t xml:space="preserve"> and </w:t>
      </w:r>
      <w:r w:rsidR="00A46274">
        <w:t>were</w:t>
      </w:r>
      <w:r w:rsidR="00C962F8">
        <w:t xml:space="preserve"> amended in 2015</w:t>
      </w:r>
      <w:r w:rsidR="00A46274">
        <w:t>)</w:t>
      </w:r>
      <w:r w:rsidR="00804C11">
        <w:t xml:space="preserve"> are</w:t>
      </w:r>
      <w:r w:rsidR="00C962F8">
        <w:t xml:space="preserve"> </w:t>
      </w:r>
      <w:r w:rsidRPr="00041715">
        <w:t>designed to protect the considerable investment international students make in an Australian education</w:t>
      </w:r>
      <w:r w:rsidR="005D4406">
        <w:t>. These safeguards also</w:t>
      </w:r>
      <w:r w:rsidRPr="00041715">
        <w:t xml:space="preserve"> enhance Australia’s reputation as a destination of choice for international students.</w:t>
      </w:r>
      <w:r w:rsidR="00736007">
        <w:t xml:space="preserve"> </w:t>
      </w:r>
    </w:p>
    <w:p w:rsidR="009F2A6F" w:rsidRDefault="009F2A6F" w:rsidP="00041715"/>
    <w:p w:rsidR="003A57A0" w:rsidRDefault="00736007" w:rsidP="0099365D">
      <w:r>
        <w:t xml:space="preserve">The 2015 amendments </w:t>
      </w:r>
      <w:r w:rsidR="005D4406">
        <w:t>make minor changes</w:t>
      </w:r>
      <w:r>
        <w:t xml:space="preserve"> to section 47H of the Act</w:t>
      </w:r>
      <w:r w:rsidR="005D4406">
        <w:t xml:space="preserve">. This </w:t>
      </w:r>
      <w:r w:rsidR="00690C87">
        <w:t>S</w:t>
      </w:r>
      <w:r w:rsidR="00DE564F">
        <w:t xml:space="preserve">pecification </w:t>
      </w:r>
      <w:r w:rsidR="005D4406">
        <w:t>sets</w:t>
      </w:r>
      <w:r w:rsidR="009F2A6F">
        <w:t xml:space="preserve"> out the </w:t>
      </w:r>
      <w:r w:rsidR="005061B5">
        <w:t xml:space="preserve">updated </w:t>
      </w:r>
      <w:r w:rsidR="009F2A6F">
        <w:t xml:space="preserve">requirements for a notice a provider must give under amended section 47H. </w:t>
      </w:r>
    </w:p>
    <w:p w:rsidR="003A57A0" w:rsidRPr="009A16C0" w:rsidRDefault="003A57A0" w:rsidP="00FF206C"/>
    <w:p w:rsidR="003A57A0" w:rsidRPr="004D134D" w:rsidRDefault="003A57A0" w:rsidP="004D2C46">
      <w:pPr>
        <w:ind w:left="1700" w:hanging="1700"/>
        <w:rPr>
          <w:b/>
        </w:rPr>
      </w:pPr>
      <w:r w:rsidRPr="004D134D">
        <w:rPr>
          <w:b/>
        </w:rPr>
        <w:t>Authority</w:t>
      </w:r>
    </w:p>
    <w:p w:rsidR="003A57A0" w:rsidRDefault="003A57A0" w:rsidP="0023003D"/>
    <w:p w:rsidR="003A57A0" w:rsidRDefault="003A57A0" w:rsidP="0023003D">
      <w:r>
        <w:t xml:space="preserve">Subsection </w:t>
      </w:r>
      <w:r w:rsidR="00A46274">
        <w:t>47H(</w:t>
      </w:r>
      <w:r>
        <w:t>5</w:t>
      </w:r>
      <w:r w:rsidR="00A46274">
        <w:t>)</w:t>
      </w:r>
      <w:r>
        <w:t xml:space="preserve"> of the Act permits the Minister, by legislative instrument, to specify requirements for a notice given under th</w:t>
      </w:r>
      <w:r w:rsidR="005061B5">
        <w:t>at</w:t>
      </w:r>
      <w:r>
        <w:t xml:space="preserve"> section. </w:t>
      </w:r>
    </w:p>
    <w:p w:rsidR="003A4A4D" w:rsidRDefault="003A4A4D" w:rsidP="0023003D"/>
    <w:p w:rsidR="003A4A4D" w:rsidRPr="003A4A4D" w:rsidRDefault="003A4A4D" w:rsidP="0023003D">
      <w:r w:rsidRPr="003A4A4D">
        <w:rPr>
          <w:szCs w:val="24"/>
          <w:lang w:eastAsia="en-AU"/>
        </w:rPr>
        <w:t xml:space="preserve">Under subsection 33(3) of the </w:t>
      </w:r>
      <w:r w:rsidRPr="004138F8">
        <w:rPr>
          <w:i/>
          <w:iCs/>
          <w:szCs w:val="24"/>
          <w:lang w:eastAsia="en-AU"/>
        </w:rPr>
        <w:t xml:space="preserve">Acts Interpretation Act 1901, </w:t>
      </w:r>
      <w:r w:rsidRPr="003A4A4D">
        <w:rPr>
          <w:szCs w:val="24"/>
          <w:lang w:eastAsia="en-AU"/>
        </w:rPr>
        <w:t xml:space="preserve">where an Act confers a power to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Subsection 33(3) of the </w:t>
      </w:r>
      <w:r w:rsidRPr="004138F8">
        <w:rPr>
          <w:i/>
          <w:iCs/>
          <w:szCs w:val="24"/>
          <w:lang w:eastAsia="en-AU"/>
        </w:rPr>
        <w:t xml:space="preserve">Acts Interpretation Act 1901 </w:t>
      </w:r>
      <w:r w:rsidRPr="003A4A4D">
        <w:rPr>
          <w:szCs w:val="24"/>
          <w:lang w:eastAsia="en-AU"/>
        </w:rPr>
        <w:t>applies to the Act.</w:t>
      </w:r>
    </w:p>
    <w:p w:rsidR="003A57A0" w:rsidRPr="00050EFB" w:rsidRDefault="003A57A0" w:rsidP="004D2C46"/>
    <w:p w:rsidR="003A57A0" w:rsidRPr="004D134D" w:rsidRDefault="003A57A0" w:rsidP="00D72987">
      <w:pPr>
        <w:ind w:left="1700" w:hanging="1700"/>
        <w:rPr>
          <w:b/>
        </w:rPr>
      </w:pPr>
      <w:r w:rsidRPr="004D134D">
        <w:rPr>
          <w:b/>
        </w:rPr>
        <w:t>Purpose and operation</w:t>
      </w:r>
    </w:p>
    <w:p w:rsidR="003A57A0" w:rsidRDefault="003A57A0" w:rsidP="00033D17">
      <w:pPr>
        <w:rPr>
          <w:szCs w:val="24"/>
        </w:rPr>
      </w:pPr>
    </w:p>
    <w:p w:rsidR="00297FE7" w:rsidRDefault="00297FE7" w:rsidP="00033D17">
      <w:pPr>
        <w:rPr>
          <w:szCs w:val="24"/>
        </w:rPr>
      </w:pPr>
      <w:r>
        <w:rPr>
          <w:szCs w:val="24"/>
        </w:rPr>
        <w:t xml:space="preserve">Section 47H of the </w:t>
      </w:r>
      <w:r w:rsidR="007B3B3E">
        <w:rPr>
          <w:szCs w:val="24"/>
        </w:rPr>
        <w:t xml:space="preserve">amended </w:t>
      </w:r>
      <w:r>
        <w:rPr>
          <w:szCs w:val="24"/>
        </w:rPr>
        <w:t>Act requires that a registered provider must give a notice in accordance with that section, whenever an overseas student or intending overseas student defaults in relation to a course provided by the provider.  Subsection 47H(3) of the Act provides that the notice must include information about:</w:t>
      </w:r>
    </w:p>
    <w:p w:rsidR="00297FE7" w:rsidRDefault="00297FE7" w:rsidP="00297FE7">
      <w:pPr>
        <w:numPr>
          <w:ilvl w:val="0"/>
          <w:numId w:val="11"/>
        </w:numPr>
        <w:rPr>
          <w:szCs w:val="24"/>
        </w:rPr>
      </w:pPr>
      <w:r>
        <w:rPr>
          <w:szCs w:val="24"/>
        </w:rPr>
        <w:t>whether the provider has provided a refund under section 47E;</w:t>
      </w:r>
    </w:p>
    <w:p w:rsidR="00297FE7" w:rsidRDefault="00297FE7" w:rsidP="00297FE7">
      <w:pPr>
        <w:numPr>
          <w:ilvl w:val="0"/>
          <w:numId w:val="11"/>
        </w:numPr>
        <w:rPr>
          <w:szCs w:val="24"/>
        </w:rPr>
      </w:pPr>
      <w:r>
        <w:rPr>
          <w:szCs w:val="24"/>
        </w:rPr>
        <w:t>details of the student to whom the provider provided the refund; and</w:t>
      </w:r>
    </w:p>
    <w:p w:rsidR="00297FE7" w:rsidRDefault="00297FE7" w:rsidP="00297FE7">
      <w:pPr>
        <w:numPr>
          <w:ilvl w:val="0"/>
          <w:numId w:val="11"/>
        </w:numPr>
        <w:rPr>
          <w:szCs w:val="24"/>
        </w:rPr>
      </w:pPr>
      <w:r>
        <w:rPr>
          <w:szCs w:val="24"/>
        </w:rPr>
        <w:t>details of the amount of the refund provided.</w:t>
      </w:r>
    </w:p>
    <w:p w:rsidR="00297FE7" w:rsidRDefault="00297FE7" w:rsidP="007D1F48">
      <w:pPr>
        <w:rPr>
          <w:szCs w:val="24"/>
        </w:rPr>
      </w:pPr>
    </w:p>
    <w:p w:rsidR="00297FE7" w:rsidRDefault="00297FE7" w:rsidP="007D1F48">
      <w:pPr>
        <w:rPr>
          <w:szCs w:val="24"/>
        </w:rPr>
      </w:pPr>
      <w:r>
        <w:rPr>
          <w:szCs w:val="24"/>
        </w:rPr>
        <w:t>Subsection 47H(4) of the Act stipulates that the notice must also comply with requirements set out in the legislative instrument made by the Minister under subsection 47H(5).</w:t>
      </w:r>
    </w:p>
    <w:p w:rsidR="00297FE7" w:rsidRDefault="00297FE7" w:rsidP="007D1F48">
      <w:pPr>
        <w:rPr>
          <w:szCs w:val="24"/>
        </w:rPr>
      </w:pPr>
    </w:p>
    <w:p w:rsidR="003A57A0" w:rsidRPr="007D1F48" w:rsidRDefault="003A57A0" w:rsidP="007D1F48">
      <w:pPr>
        <w:rPr>
          <w:szCs w:val="24"/>
        </w:rPr>
      </w:pPr>
      <w:r w:rsidRPr="007D1F48">
        <w:rPr>
          <w:szCs w:val="24"/>
        </w:rPr>
        <w:t xml:space="preserve">This </w:t>
      </w:r>
      <w:r w:rsidR="003A4A4D">
        <w:rPr>
          <w:szCs w:val="24"/>
        </w:rPr>
        <w:t>S</w:t>
      </w:r>
      <w:r w:rsidR="00C962F8">
        <w:rPr>
          <w:szCs w:val="24"/>
        </w:rPr>
        <w:t xml:space="preserve">pecification </w:t>
      </w:r>
      <w:r w:rsidR="00297FE7">
        <w:rPr>
          <w:szCs w:val="24"/>
        </w:rPr>
        <w:t>is made under subsection 47H(5) of the Act</w:t>
      </w:r>
      <w:r w:rsidR="00E3799F">
        <w:rPr>
          <w:szCs w:val="24"/>
        </w:rPr>
        <w:t xml:space="preserve">. It </w:t>
      </w:r>
      <w:r w:rsidRPr="007D1F48">
        <w:rPr>
          <w:szCs w:val="24"/>
        </w:rPr>
        <w:t>s</w:t>
      </w:r>
      <w:r w:rsidR="00C962F8">
        <w:rPr>
          <w:szCs w:val="24"/>
        </w:rPr>
        <w:t>ets out</w:t>
      </w:r>
      <w:r w:rsidRPr="007D1F48">
        <w:rPr>
          <w:szCs w:val="24"/>
        </w:rPr>
        <w:t xml:space="preserve"> the </w:t>
      </w:r>
      <w:r w:rsidR="00E3799F" w:rsidRPr="007D1F48">
        <w:rPr>
          <w:szCs w:val="24"/>
        </w:rPr>
        <w:t xml:space="preserve">requirements </w:t>
      </w:r>
      <w:r w:rsidR="00E3799F">
        <w:rPr>
          <w:szCs w:val="24"/>
        </w:rPr>
        <w:t xml:space="preserve">for the </w:t>
      </w:r>
      <w:r w:rsidR="00A22FB3">
        <w:rPr>
          <w:szCs w:val="24"/>
        </w:rPr>
        <w:t xml:space="preserve">notice </w:t>
      </w:r>
      <w:r w:rsidRPr="007D1F48">
        <w:rPr>
          <w:szCs w:val="24"/>
        </w:rPr>
        <w:t xml:space="preserve">a provider must give </w:t>
      </w:r>
      <w:r w:rsidR="00FF0327">
        <w:rPr>
          <w:szCs w:val="24"/>
        </w:rPr>
        <w:t xml:space="preserve">that </w:t>
      </w:r>
      <w:r w:rsidR="00E3799F">
        <w:rPr>
          <w:szCs w:val="24"/>
        </w:rPr>
        <w:t>report</w:t>
      </w:r>
      <w:r w:rsidR="00FF0327">
        <w:rPr>
          <w:szCs w:val="24"/>
        </w:rPr>
        <w:t>s</w:t>
      </w:r>
      <w:r w:rsidR="00DE564F">
        <w:rPr>
          <w:szCs w:val="24"/>
        </w:rPr>
        <w:t xml:space="preserve"> on</w:t>
      </w:r>
      <w:r w:rsidRPr="007D1F48">
        <w:rPr>
          <w:szCs w:val="24"/>
        </w:rPr>
        <w:t xml:space="preserve"> whether</w:t>
      </w:r>
      <w:r w:rsidR="00DE564F">
        <w:rPr>
          <w:szCs w:val="24"/>
        </w:rPr>
        <w:t xml:space="preserve"> </w:t>
      </w:r>
      <w:r w:rsidR="00C962F8">
        <w:rPr>
          <w:szCs w:val="24"/>
        </w:rPr>
        <w:t xml:space="preserve">a provider has paid </w:t>
      </w:r>
      <w:r w:rsidR="00DE564F">
        <w:rPr>
          <w:szCs w:val="24"/>
        </w:rPr>
        <w:t xml:space="preserve">a refund to a student </w:t>
      </w:r>
      <w:r w:rsidR="00DE564F">
        <w:rPr>
          <w:szCs w:val="24"/>
        </w:rPr>
        <w:lastRenderedPageBreak/>
        <w:t>under section 47E of the Act</w:t>
      </w:r>
      <w:r w:rsidR="004138F8">
        <w:rPr>
          <w:szCs w:val="24"/>
        </w:rPr>
        <w:t>,</w:t>
      </w:r>
      <w:r w:rsidR="00C962F8">
        <w:rPr>
          <w:szCs w:val="24"/>
        </w:rPr>
        <w:t xml:space="preserve"> and therefore discharged its obligations under that section.</w:t>
      </w:r>
      <w:r w:rsidR="00297FE7">
        <w:rPr>
          <w:szCs w:val="24"/>
        </w:rPr>
        <w:t xml:space="preserve">  It </w:t>
      </w:r>
      <w:r w:rsidR="00E3799F">
        <w:rPr>
          <w:szCs w:val="24"/>
        </w:rPr>
        <w:t xml:space="preserve">also </w:t>
      </w:r>
      <w:r w:rsidR="00297FE7">
        <w:rPr>
          <w:szCs w:val="24"/>
        </w:rPr>
        <w:t xml:space="preserve">specifies </w:t>
      </w:r>
      <w:r w:rsidR="00E3799F">
        <w:rPr>
          <w:szCs w:val="24"/>
        </w:rPr>
        <w:t xml:space="preserve">the </w:t>
      </w:r>
      <w:r w:rsidR="00297FE7">
        <w:rPr>
          <w:szCs w:val="24"/>
        </w:rPr>
        <w:t>additional information the notice must contain, and the form in which the notice must be given.</w:t>
      </w:r>
    </w:p>
    <w:p w:rsidR="003A57A0" w:rsidRPr="007D1F48" w:rsidRDefault="003A57A0" w:rsidP="007D1F48">
      <w:pPr>
        <w:rPr>
          <w:szCs w:val="24"/>
        </w:rPr>
      </w:pPr>
    </w:p>
    <w:p w:rsidR="00C413AA" w:rsidRDefault="003A57A0" w:rsidP="007D1F48">
      <w:pPr>
        <w:rPr>
          <w:szCs w:val="24"/>
        </w:rPr>
      </w:pPr>
      <w:r w:rsidRPr="007D1F48">
        <w:rPr>
          <w:szCs w:val="24"/>
        </w:rPr>
        <w:t>If the</w:t>
      </w:r>
      <w:r w:rsidR="00DE564F">
        <w:rPr>
          <w:szCs w:val="24"/>
        </w:rPr>
        <w:t xml:space="preserve"> provider has </w:t>
      </w:r>
      <w:r w:rsidRPr="007D1F48">
        <w:rPr>
          <w:szCs w:val="24"/>
        </w:rPr>
        <w:t xml:space="preserve">met </w:t>
      </w:r>
      <w:r w:rsidR="00DE564F">
        <w:rPr>
          <w:szCs w:val="24"/>
        </w:rPr>
        <w:t>its</w:t>
      </w:r>
      <w:r w:rsidRPr="007D1F48">
        <w:rPr>
          <w:szCs w:val="24"/>
        </w:rPr>
        <w:t xml:space="preserve"> obligations by paying a refund, </w:t>
      </w:r>
      <w:r w:rsidR="00297FE7">
        <w:rPr>
          <w:szCs w:val="24"/>
        </w:rPr>
        <w:t xml:space="preserve">paragraph 6(1)(b) of </w:t>
      </w:r>
      <w:r w:rsidR="00DE564F">
        <w:rPr>
          <w:szCs w:val="24"/>
        </w:rPr>
        <w:t xml:space="preserve">the </w:t>
      </w:r>
      <w:r w:rsidR="00C413AA">
        <w:rPr>
          <w:szCs w:val="24"/>
        </w:rPr>
        <w:t>S</w:t>
      </w:r>
      <w:r w:rsidR="00DE564F">
        <w:rPr>
          <w:szCs w:val="24"/>
        </w:rPr>
        <w:t xml:space="preserve">pecification requires that the </w:t>
      </w:r>
      <w:r w:rsidR="00C962F8">
        <w:rPr>
          <w:szCs w:val="24"/>
        </w:rPr>
        <w:t>notice contain information</w:t>
      </w:r>
      <w:r w:rsidR="00C413AA">
        <w:rPr>
          <w:szCs w:val="24"/>
        </w:rPr>
        <w:t>:</w:t>
      </w:r>
    </w:p>
    <w:p w:rsidR="00C413AA" w:rsidRDefault="00C413AA" w:rsidP="007D1F48">
      <w:pPr>
        <w:rPr>
          <w:szCs w:val="24"/>
        </w:rPr>
      </w:pPr>
    </w:p>
    <w:p w:rsidR="00C413AA" w:rsidRPr="0040588C" w:rsidRDefault="0040588C" w:rsidP="00B479A2">
      <w:pPr>
        <w:pStyle w:val="ListParagraph"/>
        <w:numPr>
          <w:ilvl w:val="0"/>
          <w:numId w:val="12"/>
        </w:numPr>
      </w:pPr>
      <w:r>
        <w:t>about</w:t>
      </w:r>
      <w:r w:rsidRPr="0040588C">
        <w:t xml:space="preserve"> </w:t>
      </w:r>
      <w:r w:rsidR="003A57A0" w:rsidRPr="0040588C">
        <w:t>the date</w:t>
      </w:r>
      <w:r w:rsidR="00DE564F" w:rsidRPr="0040588C">
        <w:t xml:space="preserve"> that the refund was paid by the provider to the student</w:t>
      </w:r>
      <w:r w:rsidR="00A22FB3" w:rsidRPr="0040588C">
        <w:t>;</w:t>
      </w:r>
    </w:p>
    <w:p w:rsidR="00C413AA" w:rsidRPr="0040588C" w:rsidRDefault="0040588C" w:rsidP="00B479A2">
      <w:pPr>
        <w:pStyle w:val="ListParagraph"/>
        <w:numPr>
          <w:ilvl w:val="0"/>
          <w:numId w:val="12"/>
        </w:numPr>
      </w:pPr>
      <w:r>
        <w:t>confirming</w:t>
      </w:r>
      <w:r w:rsidRPr="0040588C">
        <w:t xml:space="preserve"> </w:t>
      </w:r>
      <w:r w:rsidR="00804C11" w:rsidRPr="0040588C">
        <w:t>that the refund was calculated in accordance with subsection 47E(4)</w:t>
      </w:r>
      <w:r w:rsidR="00DE564F" w:rsidRPr="0040588C">
        <w:t xml:space="preserve"> </w:t>
      </w:r>
      <w:r w:rsidR="00736007" w:rsidRPr="0040588C">
        <w:t>of the Act</w:t>
      </w:r>
      <w:r w:rsidR="00A22FB3" w:rsidRPr="0040588C">
        <w:t>;</w:t>
      </w:r>
      <w:r w:rsidR="00736007" w:rsidRPr="0040588C">
        <w:t xml:space="preserve"> </w:t>
      </w:r>
      <w:r w:rsidR="00DE564F" w:rsidRPr="0040588C">
        <w:t>and</w:t>
      </w:r>
    </w:p>
    <w:p w:rsidR="00C413AA" w:rsidRPr="00CB47F4" w:rsidRDefault="00CD63A4" w:rsidP="00B479A2">
      <w:pPr>
        <w:pStyle w:val="ListParagraph"/>
        <w:numPr>
          <w:ilvl w:val="0"/>
          <w:numId w:val="12"/>
        </w:numPr>
      </w:pPr>
      <w:r>
        <w:t xml:space="preserve">on </w:t>
      </w:r>
      <w:r w:rsidR="00DE564F" w:rsidRPr="0040588C">
        <w:t>the date of default by the student</w:t>
      </w:r>
      <w:r w:rsidR="003A57A0" w:rsidRPr="0040588C">
        <w:t>.</w:t>
      </w:r>
      <w:r w:rsidR="00C962F8" w:rsidRPr="0040588C">
        <w:t xml:space="preserve"> </w:t>
      </w:r>
    </w:p>
    <w:p w:rsidR="00C413AA" w:rsidRDefault="00C413AA" w:rsidP="00C413AA">
      <w:pPr>
        <w:rPr>
          <w:szCs w:val="24"/>
        </w:rPr>
      </w:pPr>
    </w:p>
    <w:p w:rsidR="00297FE7" w:rsidRDefault="00C962F8" w:rsidP="00C413AA">
      <w:pPr>
        <w:rPr>
          <w:szCs w:val="24"/>
        </w:rPr>
      </w:pPr>
      <w:r w:rsidRPr="00C413AA">
        <w:rPr>
          <w:szCs w:val="24"/>
        </w:rPr>
        <w:t xml:space="preserve">If the provider has not paid a refund, </w:t>
      </w:r>
      <w:r w:rsidR="00297FE7">
        <w:rPr>
          <w:szCs w:val="24"/>
        </w:rPr>
        <w:t xml:space="preserve">paragraph 6(1)(a) of </w:t>
      </w:r>
      <w:r w:rsidRPr="00C413AA">
        <w:rPr>
          <w:szCs w:val="24"/>
        </w:rPr>
        <w:t xml:space="preserve">the </w:t>
      </w:r>
      <w:r w:rsidR="00C413AA">
        <w:rPr>
          <w:szCs w:val="24"/>
        </w:rPr>
        <w:t>S</w:t>
      </w:r>
      <w:r w:rsidRPr="00C413AA">
        <w:rPr>
          <w:szCs w:val="24"/>
        </w:rPr>
        <w:t>pecification requires that the notice must give reasons for this.</w:t>
      </w:r>
    </w:p>
    <w:p w:rsidR="00297FE7" w:rsidRDefault="00297FE7" w:rsidP="00C413AA">
      <w:pPr>
        <w:rPr>
          <w:szCs w:val="24"/>
        </w:rPr>
      </w:pPr>
    </w:p>
    <w:p w:rsidR="003A57A0" w:rsidRPr="00C413AA" w:rsidRDefault="00297FE7" w:rsidP="00C413AA">
      <w:pPr>
        <w:rPr>
          <w:szCs w:val="24"/>
        </w:rPr>
      </w:pPr>
      <w:r>
        <w:rPr>
          <w:szCs w:val="24"/>
        </w:rPr>
        <w:t>Subsection 6(2) of t</w:t>
      </w:r>
      <w:r w:rsidR="00C962F8" w:rsidRPr="00C413AA">
        <w:rPr>
          <w:szCs w:val="24"/>
        </w:rPr>
        <w:t xml:space="preserve">he </w:t>
      </w:r>
      <w:r w:rsidR="00C413AA">
        <w:rPr>
          <w:szCs w:val="24"/>
        </w:rPr>
        <w:t>S</w:t>
      </w:r>
      <w:r w:rsidR="00C962F8" w:rsidRPr="00C413AA">
        <w:rPr>
          <w:szCs w:val="24"/>
        </w:rPr>
        <w:t xml:space="preserve">pecification </w:t>
      </w:r>
      <w:r w:rsidR="00F412B6">
        <w:rPr>
          <w:szCs w:val="24"/>
        </w:rPr>
        <w:t xml:space="preserve">also </w:t>
      </w:r>
      <w:r>
        <w:rPr>
          <w:szCs w:val="24"/>
        </w:rPr>
        <w:t>requires</w:t>
      </w:r>
      <w:r w:rsidR="00C962F8" w:rsidRPr="00C413AA">
        <w:rPr>
          <w:szCs w:val="24"/>
        </w:rPr>
        <w:t xml:space="preserve"> that the notice </w:t>
      </w:r>
      <w:r>
        <w:rPr>
          <w:szCs w:val="24"/>
        </w:rPr>
        <w:t>be</w:t>
      </w:r>
      <w:r w:rsidRPr="00C413AA">
        <w:rPr>
          <w:szCs w:val="24"/>
        </w:rPr>
        <w:t xml:space="preserve"> </w:t>
      </w:r>
      <w:r w:rsidR="00C962F8" w:rsidRPr="00C413AA">
        <w:rPr>
          <w:szCs w:val="24"/>
        </w:rPr>
        <w:t xml:space="preserve">given by entering the </w:t>
      </w:r>
      <w:r>
        <w:rPr>
          <w:szCs w:val="24"/>
        </w:rPr>
        <w:t xml:space="preserve">required </w:t>
      </w:r>
      <w:r w:rsidR="00C962F8" w:rsidRPr="00C413AA">
        <w:rPr>
          <w:szCs w:val="24"/>
        </w:rPr>
        <w:t xml:space="preserve">information into the </w:t>
      </w:r>
      <w:r w:rsidR="003A57A0" w:rsidRPr="00C413AA">
        <w:rPr>
          <w:szCs w:val="24"/>
        </w:rPr>
        <w:t xml:space="preserve">Provider Registration and International Student Management System (PRISMS).  </w:t>
      </w:r>
    </w:p>
    <w:p w:rsidR="003A57A0" w:rsidRDefault="003A57A0" w:rsidP="007D1F48">
      <w:pPr>
        <w:rPr>
          <w:szCs w:val="24"/>
        </w:rPr>
      </w:pPr>
    </w:p>
    <w:p w:rsidR="00690C87" w:rsidRDefault="00804C11" w:rsidP="00033D17">
      <w:pPr>
        <w:rPr>
          <w:szCs w:val="24"/>
        </w:rPr>
      </w:pPr>
      <w:r w:rsidRPr="00497B58">
        <w:rPr>
          <w:szCs w:val="24"/>
        </w:rPr>
        <w:t>I</w:t>
      </w:r>
      <w:r w:rsidR="003A57A0" w:rsidRPr="00497B58">
        <w:rPr>
          <w:szCs w:val="24"/>
        </w:rPr>
        <w:t>nformation about student default</w:t>
      </w:r>
      <w:r w:rsidRPr="00497B58">
        <w:rPr>
          <w:szCs w:val="24"/>
        </w:rPr>
        <w:t xml:space="preserve"> refunds paid under section 47E </w:t>
      </w:r>
      <w:r w:rsidR="00C413AA" w:rsidRPr="00497B58">
        <w:rPr>
          <w:szCs w:val="24"/>
        </w:rPr>
        <w:t xml:space="preserve">of the Act </w:t>
      </w:r>
      <w:r w:rsidR="00CB47F4">
        <w:rPr>
          <w:szCs w:val="24"/>
        </w:rPr>
        <w:t>supports the effectiveness of Australia’s tuition protection arrangements</w:t>
      </w:r>
      <w:r w:rsidR="00497B58" w:rsidRPr="004D134D">
        <w:rPr>
          <w:szCs w:val="24"/>
        </w:rPr>
        <w:t xml:space="preserve">. This information </w:t>
      </w:r>
      <w:r w:rsidR="003A57A0" w:rsidRPr="00497B58">
        <w:rPr>
          <w:szCs w:val="24"/>
        </w:rPr>
        <w:t>help</w:t>
      </w:r>
      <w:r w:rsidR="00497B58" w:rsidRPr="004D134D">
        <w:rPr>
          <w:szCs w:val="24"/>
        </w:rPr>
        <w:t>s</w:t>
      </w:r>
      <w:r w:rsidR="003A57A0" w:rsidRPr="00497B58">
        <w:rPr>
          <w:szCs w:val="24"/>
        </w:rPr>
        <w:t xml:space="preserve"> to facilitate prompt and effective responses by providers and by the </w:t>
      </w:r>
      <w:r w:rsidR="00CB47F4">
        <w:rPr>
          <w:szCs w:val="24"/>
        </w:rPr>
        <w:t>T</w:t>
      </w:r>
      <w:r w:rsidR="00CB47F4" w:rsidRPr="00497B58">
        <w:rPr>
          <w:szCs w:val="24"/>
        </w:rPr>
        <w:t xml:space="preserve">uition </w:t>
      </w:r>
      <w:r w:rsidR="00CB47F4">
        <w:rPr>
          <w:szCs w:val="24"/>
        </w:rPr>
        <w:t>P</w:t>
      </w:r>
      <w:r w:rsidR="00CB47F4" w:rsidRPr="00497B58">
        <w:rPr>
          <w:szCs w:val="24"/>
        </w:rPr>
        <w:t xml:space="preserve">rotection </w:t>
      </w:r>
      <w:r w:rsidR="00CB47F4">
        <w:rPr>
          <w:szCs w:val="24"/>
        </w:rPr>
        <w:t>S</w:t>
      </w:r>
      <w:r w:rsidR="00CB47F4" w:rsidRPr="00497B58">
        <w:rPr>
          <w:szCs w:val="24"/>
        </w:rPr>
        <w:t>ervice</w:t>
      </w:r>
      <w:r w:rsidR="00CB47F4">
        <w:rPr>
          <w:szCs w:val="24"/>
        </w:rPr>
        <w:t xml:space="preserve"> (TPS)</w:t>
      </w:r>
      <w:r w:rsidR="00960D43">
        <w:rPr>
          <w:szCs w:val="24"/>
        </w:rPr>
        <w:t xml:space="preserve"> </w:t>
      </w:r>
      <w:r w:rsidR="00F412B6">
        <w:rPr>
          <w:szCs w:val="24"/>
        </w:rPr>
        <w:t>if necessary</w:t>
      </w:r>
      <w:r w:rsidR="00960D43">
        <w:rPr>
          <w:szCs w:val="24"/>
        </w:rPr>
        <w:t xml:space="preserve">. </w:t>
      </w:r>
      <w:r w:rsidR="00B90604">
        <w:rPr>
          <w:szCs w:val="24"/>
        </w:rPr>
        <w:t>It will also enable</w:t>
      </w:r>
      <w:r w:rsidR="00B90604" w:rsidRPr="00497B58">
        <w:rPr>
          <w:szCs w:val="24"/>
        </w:rPr>
        <w:t xml:space="preserve"> </w:t>
      </w:r>
      <w:r w:rsidR="00637EC0" w:rsidRPr="00497B58">
        <w:rPr>
          <w:szCs w:val="24"/>
        </w:rPr>
        <w:t xml:space="preserve">regulatory authorities </w:t>
      </w:r>
      <w:r w:rsidR="00F412B6">
        <w:rPr>
          <w:szCs w:val="24"/>
        </w:rPr>
        <w:t xml:space="preserve">to </w:t>
      </w:r>
      <w:r w:rsidR="00B90604">
        <w:rPr>
          <w:szCs w:val="24"/>
        </w:rPr>
        <w:t xml:space="preserve"> monitor</w:t>
      </w:r>
      <w:r w:rsidR="00637EC0" w:rsidRPr="00497B58">
        <w:rPr>
          <w:szCs w:val="24"/>
        </w:rPr>
        <w:t xml:space="preserve"> provider compliance with the refund provisions under the Act</w:t>
      </w:r>
      <w:r w:rsidR="00B90604">
        <w:rPr>
          <w:szCs w:val="24"/>
        </w:rPr>
        <w:t>, or other bodies to investigate complaints about refunds.</w:t>
      </w:r>
      <w:r w:rsidR="00637EC0">
        <w:rPr>
          <w:szCs w:val="24"/>
        </w:rPr>
        <w:t xml:space="preserve">  </w:t>
      </w:r>
    </w:p>
    <w:p w:rsidR="00690C87" w:rsidRDefault="00690C87" w:rsidP="00033D17">
      <w:pPr>
        <w:rPr>
          <w:szCs w:val="24"/>
        </w:rPr>
      </w:pPr>
    </w:p>
    <w:p w:rsidR="00690C87" w:rsidRPr="004D134D" w:rsidRDefault="00690C87" w:rsidP="00033D17">
      <w:pPr>
        <w:rPr>
          <w:b/>
          <w:szCs w:val="24"/>
        </w:rPr>
      </w:pPr>
      <w:r w:rsidRPr="004D134D">
        <w:rPr>
          <w:b/>
          <w:szCs w:val="24"/>
        </w:rPr>
        <w:t>Explanation of provisions</w:t>
      </w:r>
    </w:p>
    <w:p w:rsidR="00690C87" w:rsidRDefault="00690C87" w:rsidP="00033D17">
      <w:pPr>
        <w:rPr>
          <w:szCs w:val="24"/>
          <w:u w:val="single"/>
        </w:rPr>
      </w:pPr>
    </w:p>
    <w:p w:rsidR="00690C87" w:rsidRPr="00C413AA" w:rsidRDefault="00C413AA" w:rsidP="00033D17">
      <w:pPr>
        <w:rPr>
          <w:b/>
          <w:szCs w:val="24"/>
        </w:rPr>
      </w:pPr>
      <w:r w:rsidRPr="00C413AA">
        <w:rPr>
          <w:b/>
          <w:szCs w:val="24"/>
        </w:rPr>
        <w:t>Section 1 – Name of instrument</w:t>
      </w:r>
    </w:p>
    <w:p w:rsidR="00C413AA" w:rsidRDefault="00C413AA" w:rsidP="00033D17">
      <w:pPr>
        <w:rPr>
          <w:b/>
          <w:szCs w:val="24"/>
        </w:rPr>
      </w:pPr>
    </w:p>
    <w:p w:rsidR="00C413AA" w:rsidRDefault="00C413AA" w:rsidP="00033D17">
      <w:pPr>
        <w:rPr>
          <w:i/>
          <w:szCs w:val="24"/>
        </w:rPr>
      </w:pPr>
      <w:r>
        <w:rPr>
          <w:szCs w:val="24"/>
        </w:rPr>
        <w:t xml:space="preserve">Section 1 provides the name of the Specification is the </w:t>
      </w:r>
      <w:r>
        <w:rPr>
          <w:i/>
          <w:szCs w:val="24"/>
        </w:rPr>
        <w:t>Education Services for Overseas Students (Student default – discharge of obligations – requirements for a notice) Specification 2015 (No.</w:t>
      </w:r>
      <w:r w:rsidR="005A28A5">
        <w:rPr>
          <w:i/>
          <w:szCs w:val="24"/>
        </w:rPr>
        <w:t> </w:t>
      </w:r>
      <w:r>
        <w:rPr>
          <w:i/>
          <w:szCs w:val="24"/>
        </w:rPr>
        <w:t>1).</w:t>
      </w:r>
    </w:p>
    <w:p w:rsidR="00CE5999" w:rsidRDefault="00CE5999" w:rsidP="00033D17">
      <w:pPr>
        <w:rPr>
          <w:i/>
          <w:szCs w:val="24"/>
        </w:rPr>
      </w:pPr>
    </w:p>
    <w:p w:rsidR="00C413AA" w:rsidRDefault="00C413AA" w:rsidP="00033D17">
      <w:pPr>
        <w:rPr>
          <w:b/>
          <w:szCs w:val="24"/>
        </w:rPr>
      </w:pPr>
      <w:r>
        <w:rPr>
          <w:b/>
          <w:szCs w:val="24"/>
        </w:rPr>
        <w:t>Section 2 – Commencement information</w:t>
      </w:r>
    </w:p>
    <w:p w:rsidR="00C413AA" w:rsidRDefault="00C413AA" w:rsidP="00033D17">
      <w:pPr>
        <w:rPr>
          <w:b/>
          <w:szCs w:val="24"/>
        </w:rPr>
      </w:pPr>
    </w:p>
    <w:p w:rsidR="00C413AA" w:rsidRDefault="00C413AA" w:rsidP="00033D17">
      <w:pPr>
        <w:rPr>
          <w:szCs w:val="24"/>
        </w:rPr>
      </w:pPr>
      <w:r>
        <w:rPr>
          <w:szCs w:val="24"/>
        </w:rPr>
        <w:t xml:space="preserve">Section 2 provides that the Specification will commence </w:t>
      </w:r>
      <w:r w:rsidR="005A28A5">
        <w:rPr>
          <w:szCs w:val="24"/>
        </w:rPr>
        <w:t xml:space="preserve">on the day after </w:t>
      </w:r>
      <w:r>
        <w:rPr>
          <w:szCs w:val="24"/>
        </w:rPr>
        <w:t>the day it is registered.</w:t>
      </w:r>
    </w:p>
    <w:p w:rsidR="00C413AA" w:rsidRDefault="00C413AA" w:rsidP="00033D17">
      <w:pPr>
        <w:rPr>
          <w:szCs w:val="24"/>
        </w:rPr>
      </w:pPr>
    </w:p>
    <w:p w:rsidR="005F43D3" w:rsidRDefault="005F43D3" w:rsidP="00033D17">
      <w:pPr>
        <w:rPr>
          <w:b/>
          <w:szCs w:val="24"/>
        </w:rPr>
      </w:pPr>
      <w:r>
        <w:rPr>
          <w:b/>
          <w:szCs w:val="24"/>
        </w:rPr>
        <w:t>Section 3 – Authority</w:t>
      </w:r>
    </w:p>
    <w:p w:rsidR="005F43D3" w:rsidRDefault="005F43D3" w:rsidP="00033D17">
      <w:pPr>
        <w:rPr>
          <w:b/>
          <w:szCs w:val="24"/>
        </w:rPr>
      </w:pPr>
    </w:p>
    <w:p w:rsidR="005F43D3" w:rsidRPr="005F43D3" w:rsidRDefault="005F43D3" w:rsidP="00033D17">
      <w:pPr>
        <w:rPr>
          <w:szCs w:val="24"/>
        </w:rPr>
      </w:pPr>
      <w:r>
        <w:rPr>
          <w:szCs w:val="24"/>
        </w:rPr>
        <w:t>Section 3 provides the authority for the Specification, which is subsection 47H(5) of the Act.</w:t>
      </w:r>
    </w:p>
    <w:p w:rsidR="005F43D3" w:rsidRDefault="005F43D3" w:rsidP="00033D17">
      <w:pPr>
        <w:rPr>
          <w:szCs w:val="24"/>
        </w:rPr>
      </w:pPr>
    </w:p>
    <w:p w:rsidR="00C413AA" w:rsidRDefault="00C413AA" w:rsidP="00033D17">
      <w:pPr>
        <w:rPr>
          <w:b/>
          <w:szCs w:val="24"/>
        </w:rPr>
      </w:pPr>
      <w:r>
        <w:rPr>
          <w:b/>
          <w:szCs w:val="24"/>
        </w:rPr>
        <w:t xml:space="preserve">Section </w:t>
      </w:r>
      <w:r w:rsidR="005F43D3">
        <w:rPr>
          <w:b/>
          <w:szCs w:val="24"/>
        </w:rPr>
        <w:t>4</w:t>
      </w:r>
      <w:r>
        <w:rPr>
          <w:b/>
          <w:szCs w:val="24"/>
        </w:rPr>
        <w:t xml:space="preserve"> – Revocation</w:t>
      </w:r>
    </w:p>
    <w:p w:rsidR="00C413AA" w:rsidRDefault="00C413AA" w:rsidP="00033D17">
      <w:pPr>
        <w:rPr>
          <w:b/>
          <w:szCs w:val="24"/>
        </w:rPr>
      </w:pPr>
    </w:p>
    <w:p w:rsidR="00C413AA" w:rsidRPr="004D134D" w:rsidRDefault="00C413AA" w:rsidP="00033D17">
      <w:pPr>
        <w:rPr>
          <w:szCs w:val="24"/>
          <w:u w:val="single"/>
        </w:rPr>
      </w:pPr>
      <w:r>
        <w:rPr>
          <w:szCs w:val="24"/>
        </w:rPr>
        <w:t xml:space="preserve">Section </w:t>
      </w:r>
      <w:r w:rsidR="005F43D3">
        <w:rPr>
          <w:szCs w:val="24"/>
        </w:rPr>
        <w:t>4</w:t>
      </w:r>
      <w:r>
        <w:rPr>
          <w:szCs w:val="24"/>
        </w:rPr>
        <w:t xml:space="preserve"> of the Specification revokes the previous Instrument, namely, the </w:t>
      </w:r>
      <w:r>
        <w:rPr>
          <w:i/>
        </w:rPr>
        <w:t>Education Services for Overseas Students (</w:t>
      </w:r>
      <w:r w:rsidR="00FF2C9D">
        <w:rPr>
          <w:i/>
        </w:rPr>
        <w:t>Notification of student default – requirements for a notice</w:t>
      </w:r>
      <w:r>
        <w:rPr>
          <w:i/>
        </w:rPr>
        <w:t xml:space="preserve">) Determination 2012 (No. 1). </w:t>
      </w:r>
    </w:p>
    <w:p w:rsidR="00690C87" w:rsidRDefault="00690C87" w:rsidP="00033D17">
      <w:pPr>
        <w:rPr>
          <w:szCs w:val="24"/>
        </w:rPr>
      </w:pPr>
    </w:p>
    <w:p w:rsidR="00690C87" w:rsidRPr="004D134D" w:rsidRDefault="008C2FEB" w:rsidP="00033D17">
      <w:pPr>
        <w:rPr>
          <w:b/>
          <w:szCs w:val="24"/>
        </w:rPr>
      </w:pPr>
      <w:r w:rsidRPr="004D134D">
        <w:rPr>
          <w:b/>
          <w:szCs w:val="24"/>
        </w:rPr>
        <w:t xml:space="preserve">Section </w:t>
      </w:r>
      <w:r w:rsidR="005F43D3">
        <w:rPr>
          <w:b/>
          <w:szCs w:val="24"/>
        </w:rPr>
        <w:t>5</w:t>
      </w:r>
      <w:r w:rsidRPr="004D134D">
        <w:rPr>
          <w:b/>
          <w:szCs w:val="24"/>
        </w:rPr>
        <w:t xml:space="preserve"> </w:t>
      </w:r>
      <w:r w:rsidRPr="004138F8">
        <w:rPr>
          <w:b/>
          <w:szCs w:val="24"/>
        </w:rPr>
        <w:t>–</w:t>
      </w:r>
      <w:r w:rsidRPr="004D134D">
        <w:rPr>
          <w:b/>
          <w:szCs w:val="24"/>
        </w:rPr>
        <w:t xml:space="preserve"> Definitions </w:t>
      </w:r>
    </w:p>
    <w:p w:rsidR="008C2FEB" w:rsidRDefault="008C2FEB" w:rsidP="00033D17">
      <w:pPr>
        <w:rPr>
          <w:szCs w:val="24"/>
        </w:rPr>
      </w:pPr>
    </w:p>
    <w:p w:rsidR="008C2FEB" w:rsidRDefault="005F43D3" w:rsidP="00033D17">
      <w:pPr>
        <w:rPr>
          <w:szCs w:val="24"/>
        </w:rPr>
      </w:pPr>
      <w:r>
        <w:rPr>
          <w:szCs w:val="24"/>
        </w:rPr>
        <w:t>Section 5</w:t>
      </w:r>
      <w:r w:rsidR="00671F86">
        <w:rPr>
          <w:szCs w:val="24"/>
        </w:rPr>
        <w:t xml:space="preserve"> </w:t>
      </w:r>
      <w:r w:rsidR="008C2FEB">
        <w:rPr>
          <w:szCs w:val="24"/>
        </w:rPr>
        <w:t>contains the definitions for the Specification</w:t>
      </w:r>
      <w:r w:rsidR="0053356B">
        <w:rPr>
          <w:szCs w:val="24"/>
        </w:rPr>
        <w:t>.</w:t>
      </w:r>
    </w:p>
    <w:p w:rsidR="00690C87" w:rsidRDefault="00690C87" w:rsidP="00033D17">
      <w:pPr>
        <w:rPr>
          <w:szCs w:val="24"/>
        </w:rPr>
      </w:pPr>
    </w:p>
    <w:p w:rsidR="00671F86" w:rsidRDefault="00671F86" w:rsidP="00033D17">
      <w:pPr>
        <w:rPr>
          <w:b/>
          <w:szCs w:val="24"/>
        </w:rPr>
      </w:pPr>
      <w:r>
        <w:rPr>
          <w:b/>
          <w:szCs w:val="24"/>
        </w:rPr>
        <w:lastRenderedPageBreak/>
        <w:t xml:space="preserve">Section </w:t>
      </w:r>
      <w:r w:rsidR="005F43D3">
        <w:rPr>
          <w:b/>
          <w:szCs w:val="24"/>
        </w:rPr>
        <w:t>6</w:t>
      </w:r>
      <w:r>
        <w:rPr>
          <w:b/>
          <w:szCs w:val="24"/>
        </w:rPr>
        <w:t xml:space="preserve"> – Student default – discharge of obligations – requirements for a notice</w:t>
      </w:r>
    </w:p>
    <w:p w:rsidR="00671F86" w:rsidRDefault="00671F86" w:rsidP="00033D17">
      <w:pPr>
        <w:rPr>
          <w:b/>
          <w:szCs w:val="24"/>
        </w:rPr>
      </w:pPr>
    </w:p>
    <w:p w:rsidR="000E6F7E" w:rsidRPr="004D134D" w:rsidRDefault="005F43D3" w:rsidP="00033D17">
      <w:pPr>
        <w:rPr>
          <w:szCs w:val="24"/>
        </w:rPr>
      </w:pPr>
      <w:r w:rsidRPr="004D134D">
        <w:rPr>
          <w:szCs w:val="24"/>
        </w:rPr>
        <w:t>Section 6</w:t>
      </w:r>
      <w:r w:rsidR="00671F86" w:rsidRPr="00916BD0">
        <w:rPr>
          <w:szCs w:val="24"/>
        </w:rPr>
        <w:t xml:space="preserve"> outlines the requirements </w:t>
      </w:r>
      <w:r w:rsidR="000E6F7E" w:rsidRPr="004D134D">
        <w:rPr>
          <w:szCs w:val="24"/>
        </w:rPr>
        <w:t>that a notice under section 47H of the Act must comply with.</w:t>
      </w:r>
    </w:p>
    <w:p w:rsidR="000E6F7E" w:rsidRPr="004D134D" w:rsidRDefault="000E6F7E" w:rsidP="00033D17">
      <w:pPr>
        <w:rPr>
          <w:szCs w:val="24"/>
        </w:rPr>
      </w:pPr>
    </w:p>
    <w:p w:rsidR="000E6F7E" w:rsidRPr="004D134D" w:rsidRDefault="005A28A5" w:rsidP="00033D17">
      <w:pPr>
        <w:rPr>
          <w:szCs w:val="24"/>
        </w:rPr>
      </w:pPr>
      <w:r>
        <w:rPr>
          <w:szCs w:val="24"/>
        </w:rPr>
        <w:t>Subs</w:t>
      </w:r>
      <w:r w:rsidR="000E6F7E" w:rsidRPr="004D134D">
        <w:rPr>
          <w:szCs w:val="24"/>
        </w:rPr>
        <w:t>ection 6</w:t>
      </w:r>
      <w:r>
        <w:rPr>
          <w:szCs w:val="24"/>
        </w:rPr>
        <w:t>(1)</w:t>
      </w:r>
      <w:r w:rsidR="000E6F7E" w:rsidRPr="004D134D">
        <w:rPr>
          <w:szCs w:val="24"/>
        </w:rPr>
        <w:t xml:space="preserve"> provides that</w:t>
      </w:r>
      <w:r w:rsidR="00C405D7">
        <w:rPr>
          <w:szCs w:val="24"/>
        </w:rPr>
        <w:t>,</w:t>
      </w:r>
      <w:r w:rsidR="000E6F7E" w:rsidRPr="004D134D">
        <w:rPr>
          <w:szCs w:val="24"/>
        </w:rPr>
        <w:t xml:space="preserve"> for </w:t>
      </w:r>
      <w:r w:rsidR="00184CA3" w:rsidRPr="004D134D">
        <w:rPr>
          <w:szCs w:val="24"/>
        </w:rPr>
        <w:t xml:space="preserve">the purposes of section 47H of the Act, for </w:t>
      </w:r>
      <w:r w:rsidR="000E6F7E" w:rsidRPr="004D134D">
        <w:rPr>
          <w:szCs w:val="24"/>
        </w:rPr>
        <w:t xml:space="preserve">each Confirmation of Enrolment for a student who is </w:t>
      </w:r>
      <w:r w:rsidR="00916BD0">
        <w:rPr>
          <w:szCs w:val="24"/>
        </w:rPr>
        <w:t xml:space="preserve">in </w:t>
      </w:r>
      <w:r w:rsidR="00B30A48">
        <w:rPr>
          <w:szCs w:val="24"/>
        </w:rPr>
        <w:t>default</w:t>
      </w:r>
      <w:r w:rsidR="00CD63A4">
        <w:rPr>
          <w:szCs w:val="24"/>
        </w:rPr>
        <w:t>,</w:t>
      </w:r>
      <w:r w:rsidR="000E6F7E" w:rsidRPr="004D134D">
        <w:rPr>
          <w:szCs w:val="24"/>
        </w:rPr>
        <w:t xml:space="preserve"> the</w:t>
      </w:r>
      <w:r>
        <w:rPr>
          <w:szCs w:val="24"/>
        </w:rPr>
        <w:t xml:space="preserve"> notice the registered</w:t>
      </w:r>
      <w:r w:rsidR="000E6F7E" w:rsidRPr="004D134D">
        <w:rPr>
          <w:szCs w:val="24"/>
        </w:rPr>
        <w:t xml:space="preserve"> provider must </w:t>
      </w:r>
      <w:r>
        <w:rPr>
          <w:szCs w:val="24"/>
        </w:rPr>
        <w:t>give must include</w:t>
      </w:r>
      <w:r w:rsidRPr="004D134D">
        <w:rPr>
          <w:szCs w:val="24"/>
        </w:rPr>
        <w:t xml:space="preserve"> </w:t>
      </w:r>
      <w:r w:rsidR="000E6F7E" w:rsidRPr="004D134D">
        <w:rPr>
          <w:szCs w:val="24"/>
        </w:rPr>
        <w:t>the following:</w:t>
      </w:r>
    </w:p>
    <w:p w:rsidR="000E6F7E" w:rsidRPr="004D134D" w:rsidRDefault="000E6F7E" w:rsidP="004D134D">
      <w:pPr>
        <w:numPr>
          <w:ilvl w:val="0"/>
          <w:numId w:val="10"/>
        </w:numPr>
        <w:rPr>
          <w:szCs w:val="24"/>
        </w:rPr>
      </w:pPr>
      <w:r w:rsidRPr="004D134D">
        <w:rPr>
          <w:szCs w:val="24"/>
        </w:rPr>
        <w:t xml:space="preserve">if the provider has </w:t>
      </w:r>
      <w:r w:rsidR="005A28A5">
        <w:rPr>
          <w:szCs w:val="24"/>
        </w:rPr>
        <w:t>paid a refund in accordance with</w:t>
      </w:r>
      <w:r w:rsidRPr="004D134D">
        <w:rPr>
          <w:szCs w:val="24"/>
        </w:rPr>
        <w:t xml:space="preserve"> section 47E</w:t>
      </w:r>
      <w:r w:rsidR="005A28A5">
        <w:rPr>
          <w:szCs w:val="24"/>
        </w:rPr>
        <w:t xml:space="preserve"> of the Act</w:t>
      </w:r>
      <w:r w:rsidRPr="004D134D">
        <w:rPr>
          <w:szCs w:val="24"/>
        </w:rPr>
        <w:t xml:space="preserve">, the reason </w:t>
      </w:r>
      <w:r w:rsidR="005A28A5">
        <w:rPr>
          <w:szCs w:val="24"/>
        </w:rPr>
        <w:t>why it has</w:t>
      </w:r>
      <w:r w:rsidR="00B90604">
        <w:rPr>
          <w:szCs w:val="24"/>
        </w:rPr>
        <w:t xml:space="preserve"> not</w:t>
      </w:r>
      <w:r w:rsidR="005A28A5">
        <w:rPr>
          <w:szCs w:val="24"/>
        </w:rPr>
        <w:t xml:space="preserve"> done so</w:t>
      </w:r>
      <w:r w:rsidRPr="004D134D">
        <w:rPr>
          <w:szCs w:val="24"/>
        </w:rPr>
        <w:t>;</w:t>
      </w:r>
    </w:p>
    <w:p w:rsidR="00184CA3" w:rsidRPr="004D134D" w:rsidRDefault="000E6F7E" w:rsidP="004D134D">
      <w:pPr>
        <w:numPr>
          <w:ilvl w:val="0"/>
          <w:numId w:val="10"/>
        </w:numPr>
        <w:rPr>
          <w:szCs w:val="24"/>
        </w:rPr>
      </w:pPr>
      <w:r w:rsidRPr="004D134D">
        <w:rPr>
          <w:szCs w:val="24"/>
        </w:rPr>
        <w:t xml:space="preserve">if the provider has </w:t>
      </w:r>
      <w:r w:rsidR="005A28A5">
        <w:rPr>
          <w:szCs w:val="24"/>
        </w:rPr>
        <w:t>paid a refund in accordance with</w:t>
      </w:r>
      <w:r w:rsidRPr="004D134D">
        <w:rPr>
          <w:szCs w:val="24"/>
        </w:rPr>
        <w:t xml:space="preserve"> section 47E</w:t>
      </w:r>
      <w:r w:rsidR="005A28A5">
        <w:rPr>
          <w:szCs w:val="24"/>
        </w:rPr>
        <w:t xml:space="preserve"> of the Act</w:t>
      </w:r>
      <w:r w:rsidR="00916BD0" w:rsidRPr="00916BD0">
        <w:rPr>
          <w:szCs w:val="24"/>
        </w:rPr>
        <w:t>:</w:t>
      </w:r>
    </w:p>
    <w:p w:rsidR="00184CA3" w:rsidRPr="004D134D" w:rsidRDefault="00184CA3" w:rsidP="004D134D">
      <w:pPr>
        <w:numPr>
          <w:ilvl w:val="1"/>
          <w:numId w:val="10"/>
        </w:numPr>
        <w:rPr>
          <w:szCs w:val="24"/>
        </w:rPr>
      </w:pPr>
      <w:r w:rsidRPr="004D134D">
        <w:rPr>
          <w:szCs w:val="24"/>
        </w:rPr>
        <w:t>the date that the refund was paid by the provider to the student;</w:t>
      </w:r>
    </w:p>
    <w:p w:rsidR="00184CA3" w:rsidRPr="004D134D" w:rsidRDefault="00184CA3" w:rsidP="004D134D">
      <w:pPr>
        <w:numPr>
          <w:ilvl w:val="1"/>
          <w:numId w:val="10"/>
        </w:numPr>
        <w:rPr>
          <w:szCs w:val="24"/>
        </w:rPr>
      </w:pPr>
      <w:r w:rsidRPr="004D134D">
        <w:rPr>
          <w:szCs w:val="24"/>
        </w:rPr>
        <w:t>confirmation that the refund amount was calculated in accordance with subsection 47E(4)</w:t>
      </w:r>
      <w:r w:rsidR="005A28A5">
        <w:rPr>
          <w:szCs w:val="24"/>
        </w:rPr>
        <w:t xml:space="preserve"> of the Act</w:t>
      </w:r>
      <w:r w:rsidRPr="004D134D">
        <w:rPr>
          <w:szCs w:val="24"/>
        </w:rPr>
        <w:t>; and</w:t>
      </w:r>
    </w:p>
    <w:p w:rsidR="00671F86" w:rsidRPr="00AF42BA" w:rsidRDefault="00184CA3" w:rsidP="004D134D">
      <w:pPr>
        <w:numPr>
          <w:ilvl w:val="1"/>
          <w:numId w:val="10"/>
        </w:numPr>
        <w:rPr>
          <w:szCs w:val="24"/>
        </w:rPr>
      </w:pPr>
      <w:r w:rsidRPr="004D134D">
        <w:rPr>
          <w:szCs w:val="24"/>
        </w:rPr>
        <w:t xml:space="preserve">the date </w:t>
      </w:r>
      <w:r w:rsidR="00B30A48">
        <w:rPr>
          <w:szCs w:val="24"/>
        </w:rPr>
        <w:t xml:space="preserve">on which </w:t>
      </w:r>
      <w:r w:rsidRPr="004D134D">
        <w:rPr>
          <w:szCs w:val="24"/>
        </w:rPr>
        <w:t>the student default occurred.</w:t>
      </w:r>
      <w:r w:rsidR="00671F86" w:rsidRPr="00AF42BA">
        <w:rPr>
          <w:szCs w:val="24"/>
        </w:rPr>
        <w:t xml:space="preserve"> </w:t>
      </w:r>
    </w:p>
    <w:p w:rsidR="003A57A0" w:rsidRDefault="003A57A0" w:rsidP="00033D17">
      <w:pPr>
        <w:rPr>
          <w:szCs w:val="24"/>
        </w:rPr>
      </w:pPr>
    </w:p>
    <w:p w:rsidR="005A28A5" w:rsidRDefault="005A28A5" w:rsidP="00033D17">
      <w:pPr>
        <w:rPr>
          <w:szCs w:val="24"/>
        </w:rPr>
      </w:pPr>
      <w:r>
        <w:rPr>
          <w:szCs w:val="24"/>
        </w:rPr>
        <w:t>Subsection 6(2) provides that the way in which a registered provider must give the notice required by section 47H is by entering the required information into relevant fields in PRISMS.</w:t>
      </w:r>
    </w:p>
    <w:p w:rsidR="005A28A5" w:rsidRDefault="005A28A5" w:rsidP="00033D17">
      <w:pPr>
        <w:rPr>
          <w:szCs w:val="24"/>
        </w:rPr>
      </w:pPr>
    </w:p>
    <w:p w:rsidR="003A57A0" w:rsidRPr="004D134D" w:rsidRDefault="003A57A0" w:rsidP="006F7EBA">
      <w:pPr>
        <w:rPr>
          <w:b/>
          <w:color w:val="000000"/>
          <w:szCs w:val="24"/>
          <w:lang w:val="en-US"/>
        </w:rPr>
      </w:pPr>
      <w:r w:rsidRPr="004D134D">
        <w:rPr>
          <w:b/>
          <w:color w:val="000000"/>
          <w:szCs w:val="24"/>
          <w:lang w:val="en-US"/>
        </w:rPr>
        <w:t xml:space="preserve">Consultation </w:t>
      </w:r>
    </w:p>
    <w:p w:rsidR="003A57A0" w:rsidRDefault="003A57A0" w:rsidP="006F7EBA">
      <w:pPr>
        <w:rPr>
          <w:color w:val="000000"/>
          <w:szCs w:val="24"/>
          <w:u w:val="single"/>
          <w:lang w:val="en-US"/>
        </w:rPr>
      </w:pPr>
    </w:p>
    <w:p w:rsidR="00E27137" w:rsidRDefault="00B90604" w:rsidP="00E27137">
      <w:pPr>
        <w:rPr>
          <w:color w:val="000000"/>
          <w:szCs w:val="24"/>
        </w:rPr>
      </w:pPr>
      <w:r>
        <w:rPr>
          <w:color w:val="000000"/>
          <w:szCs w:val="24"/>
        </w:rPr>
        <w:t>Throughout</w:t>
      </w:r>
      <w:r w:rsidRPr="00E27137">
        <w:rPr>
          <w:color w:val="000000"/>
          <w:szCs w:val="24"/>
        </w:rPr>
        <w:t xml:space="preserve"> 2014-15</w:t>
      </w:r>
      <w:r>
        <w:rPr>
          <w:color w:val="000000"/>
          <w:szCs w:val="24"/>
          <w:lang w:val="en-US"/>
        </w:rPr>
        <w:t xml:space="preserve"> t</w:t>
      </w:r>
      <w:r w:rsidR="003A57A0" w:rsidRPr="00E07AD6">
        <w:rPr>
          <w:color w:val="000000"/>
          <w:szCs w:val="24"/>
          <w:lang w:val="en-US"/>
        </w:rPr>
        <w:t>he Department of</w:t>
      </w:r>
      <w:r w:rsidR="004B6703">
        <w:rPr>
          <w:color w:val="000000"/>
          <w:szCs w:val="24"/>
          <w:lang w:val="en-US"/>
        </w:rPr>
        <w:t xml:space="preserve"> </w:t>
      </w:r>
      <w:r w:rsidR="003A57A0" w:rsidRPr="00E07AD6">
        <w:rPr>
          <w:color w:val="000000"/>
          <w:szCs w:val="24"/>
          <w:lang w:val="en-US"/>
        </w:rPr>
        <w:t xml:space="preserve">Education </w:t>
      </w:r>
      <w:r w:rsidR="00C25FDD">
        <w:rPr>
          <w:color w:val="000000"/>
          <w:szCs w:val="24"/>
          <w:lang w:val="en-US"/>
        </w:rPr>
        <w:t xml:space="preserve">and Training </w:t>
      </w:r>
      <w:r w:rsidR="00E27137" w:rsidRPr="00E27137">
        <w:rPr>
          <w:color w:val="000000"/>
          <w:szCs w:val="24"/>
        </w:rPr>
        <w:t>c</w:t>
      </w:r>
      <w:r w:rsidR="00D73E9A">
        <w:rPr>
          <w:color w:val="000000"/>
          <w:szCs w:val="24"/>
        </w:rPr>
        <w:t>onducted extensive consultation</w:t>
      </w:r>
      <w:r w:rsidR="00E27137" w:rsidRPr="00E27137">
        <w:rPr>
          <w:color w:val="000000"/>
          <w:szCs w:val="24"/>
        </w:rPr>
        <w:t xml:space="preserve"> </w:t>
      </w:r>
      <w:r w:rsidR="00D73E9A" w:rsidRPr="00D73E9A">
        <w:rPr>
          <w:color w:val="000000"/>
          <w:szCs w:val="24"/>
        </w:rPr>
        <w:t xml:space="preserve">with the international education sector </w:t>
      </w:r>
      <w:r w:rsidR="00E27137" w:rsidRPr="00E27137">
        <w:rPr>
          <w:color w:val="000000"/>
          <w:szCs w:val="24"/>
        </w:rPr>
        <w:t xml:space="preserve">on </w:t>
      </w:r>
      <w:r w:rsidRPr="00E27137">
        <w:rPr>
          <w:color w:val="000000"/>
          <w:szCs w:val="24"/>
        </w:rPr>
        <w:t xml:space="preserve">reforms </w:t>
      </w:r>
      <w:r w:rsidR="004B6703">
        <w:rPr>
          <w:color w:val="000000"/>
          <w:szCs w:val="24"/>
        </w:rPr>
        <w:t>t</w:t>
      </w:r>
      <w:r>
        <w:rPr>
          <w:color w:val="000000"/>
          <w:szCs w:val="24"/>
        </w:rPr>
        <w:t>o t</w:t>
      </w:r>
      <w:r w:rsidR="004B6703">
        <w:rPr>
          <w:color w:val="000000"/>
          <w:szCs w:val="24"/>
        </w:rPr>
        <w:t xml:space="preserve">he </w:t>
      </w:r>
      <w:r w:rsidR="00E27137" w:rsidRPr="00E27137">
        <w:rPr>
          <w:color w:val="000000"/>
          <w:szCs w:val="24"/>
        </w:rPr>
        <w:t>ESOS framework</w:t>
      </w:r>
      <w:r>
        <w:rPr>
          <w:color w:val="000000"/>
          <w:szCs w:val="24"/>
        </w:rPr>
        <w:t xml:space="preserve">. </w:t>
      </w:r>
      <w:r w:rsidR="00E27137" w:rsidRPr="00E27137">
        <w:rPr>
          <w:color w:val="000000"/>
          <w:szCs w:val="24"/>
        </w:rPr>
        <w:t>Parties consulted include</w:t>
      </w:r>
      <w:r w:rsidR="00637EC0">
        <w:rPr>
          <w:color w:val="000000"/>
          <w:szCs w:val="24"/>
        </w:rPr>
        <w:t>d</w:t>
      </w:r>
      <w:r w:rsidR="00E27137" w:rsidRPr="00E27137">
        <w:rPr>
          <w:color w:val="000000"/>
          <w:szCs w:val="24"/>
        </w:rPr>
        <w:t xml:space="preserve"> education peak bodies</w:t>
      </w:r>
      <w:r w:rsidR="00637EC0">
        <w:rPr>
          <w:color w:val="000000"/>
          <w:szCs w:val="24"/>
        </w:rPr>
        <w:t>, student groups</w:t>
      </w:r>
      <w:r w:rsidR="00E27137" w:rsidRPr="00E27137">
        <w:rPr>
          <w:color w:val="000000"/>
          <w:szCs w:val="24"/>
        </w:rPr>
        <w:t xml:space="preserve"> and individual</w:t>
      </w:r>
      <w:r w:rsidR="00D73E9A">
        <w:rPr>
          <w:color w:val="000000"/>
          <w:szCs w:val="24"/>
        </w:rPr>
        <w:t xml:space="preserve"> institutions across the school</w:t>
      </w:r>
      <w:r w:rsidR="00E27137" w:rsidRPr="00E27137">
        <w:rPr>
          <w:color w:val="000000"/>
          <w:szCs w:val="24"/>
        </w:rPr>
        <w:t>, vocational education and training</w:t>
      </w:r>
      <w:r w:rsidR="00637EC0">
        <w:rPr>
          <w:color w:val="000000"/>
          <w:szCs w:val="24"/>
        </w:rPr>
        <w:t xml:space="preserve">, </w:t>
      </w:r>
      <w:r w:rsidR="00E27137" w:rsidRPr="00E27137">
        <w:rPr>
          <w:color w:val="000000"/>
          <w:szCs w:val="24"/>
        </w:rPr>
        <w:t xml:space="preserve">higher education and English language sectors, </w:t>
      </w:r>
      <w:r w:rsidR="00637EC0">
        <w:rPr>
          <w:color w:val="000000"/>
          <w:szCs w:val="24"/>
        </w:rPr>
        <w:t xml:space="preserve">as well as </w:t>
      </w:r>
      <w:r w:rsidR="00E27137" w:rsidRPr="00E27137">
        <w:rPr>
          <w:color w:val="000000"/>
          <w:szCs w:val="24"/>
        </w:rPr>
        <w:t xml:space="preserve">state and territory agencies, the Overseas Students Ombudsman, the Department of Immigration and Border Protection, </w:t>
      </w:r>
      <w:r>
        <w:rPr>
          <w:color w:val="000000"/>
          <w:szCs w:val="24"/>
        </w:rPr>
        <w:t xml:space="preserve">the </w:t>
      </w:r>
      <w:r w:rsidR="00637EC0" w:rsidRPr="00637EC0">
        <w:rPr>
          <w:color w:val="000000"/>
          <w:szCs w:val="24"/>
        </w:rPr>
        <w:t xml:space="preserve">Tertiary Education Quality </w:t>
      </w:r>
      <w:r>
        <w:rPr>
          <w:color w:val="000000"/>
          <w:szCs w:val="24"/>
        </w:rPr>
        <w:t xml:space="preserve">and </w:t>
      </w:r>
      <w:r w:rsidR="00637EC0" w:rsidRPr="00637EC0">
        <w:rPr>
          <w:color w:val="000000"/>
          <w:szCs w:val="24"/>
        </w:rPr>
        <w:t xml:space="preserve">Standards Agency </w:t>
      </w:r>
      <w:r w:rsidR="00E27137" w:rsidRPr="00E27137">
        <w:rPr>
          <w:color w:val="000000"/>
          <w:szCs w:val="24"/>
        </w:rPr>
        <w:t xml:space="preserve">and </w:t>
      </w:r>
      <w:r>
        <w:rPr>
          <w:color w:val="000000"/>
          <w:szCs w:val="24"/>
        </w:rPr>
        <w:t xml:space="preserve">the </w:t>
      </w:r>
      <w:r w:rsidR="00C20B9F" w:rsidRPr="004D134D">
        <w:rPr>
          <w:color w:val="000000"/>
          <w:szCs w:val="24"/>
        </w:rPr>
        <w:t>Australian Skills Quality Authority</w:t>
      </w:r>
      <w:r w:rsidR="00E27137" w:rsidRPr="00E27137">
        <w:rPr>
          <w:color w:val="000000"/>
          <w:szCs w:val="24"/>
        </w:rPr>
        <w:t xml:space="preserve">. </w:t>
      </w:r>
    </w:p>
    <w:p w:rsidR="00671F86" w:rsidRPr="00E27137" w:rsidRDefault="00671F86" w:rsidP="00E27137">
      <w:pPr>
        <w:rPr>
          <w:color w:val="000000"/>
          <w:szCs w:val="24"/>
        </w:rPr>
      </w:pPr>
    </w:p>
    <w:p w:rsidR="003A57A0" w:rsidRPr="004D134D" w:rsidRDefault="003A57A0">
      <w:pPr>
        <w:rPr>
          <w:b/>
        </w:rPr>
      </w:pPr>
      <w:r w:rsidRPr="004D134D">
        <w:rPr>
          <w:b/>
        </w:rPr>
        <w:t>Regulato</w:t>
      </w:r>
      <w:r w:rsidR="00A22FB3">
        <w:rPr>
          <w:b/>
        </w:rPr>
        <w:t>ry</w:t>
      </w:r>
      <w:r w:rsidRPr="004D134D">
        <w:rPr>
          <w:b/>
        </w:rPr>
        <w:t xml:space="preserve"> Impact Statement</w:t>
      </w:r>
    </w:p>
    <w:p w:rsidR="003A57A0" w:rsidRDefault="003A57A0">
      <w:pPr>
        <w:rPr>
          <w:u w:val="single"/>
        </w:rPr>
      </w:pPr>
    </w:p>
    <w:p w:rsidR="005A28A5" w:rsidRPr="005A28A5" w:rsidRDefault="0011014E" w:rsidP="00241704">
      <w:pPr>
        <w:keepNext/>
        <w:keepLines/>
        <w:autoSpaceDE w:val="0"/>
        <w:autoSpaceDN w:val="0"/>
        <w:adjustRightInd w:val="0"/>
      </w:pPr>
      <w:r>
        <w:t>A</w:t>
      </w:r>
      <w:r w:rsidRPr="002A434D">
        <w:t xml:space="preserve"> </w:t>
      </w:r>
      <w:r w:rsidRPr="0011014E">
        <w:t xml:space="preserve">Regulation Impact Statement (RIS) </w:t>
      </w:r>
      <w:r>
        <w:t xml:space="preserve">was </w:t>
      </w:r>
      <w:r w:rsidR="00241704">
        <w:t xml:space="preserve">not required </w:t>
      </w:r>
      <w:r w:rsidR="00637EC0">
        <w:t xml:space="preserve">by the Office of </w:t>
      </w:r>
      <w:r w:rsidR="00736007">
        <w:t>B</w:t>
      </w:r>
      <w:r w:rsidR="00637EC0">
        <w:t>est Practice Regulation (OBPR)</w:t>
      </w:r>
      <w:r w:rsidR="008517EB">
        <w:t xml:space="preserve"> for the amendments to section 47 of the Act. However, a RIS was required for other measures in the ESOS Streamlining Regulation Act, and was approved</w:t>
      </w:r>
      <w:r w:rsidR="00637EC0">
        <w:t xml:space="preserve"> on 4 September 2015 (OBPR ID number 17028 refers)</w:t>
      </w:r>
      <w:r w:rsidR="00387EEB">
        <w:rPr>
          <w:i/>
        </w:rPr>
        <w:t>.</w:t>
      </w:r>
    </w:p>
    <w:p w:rsidR="003A57A0" w:rsidRPr="002A434D" w:rsidRDefault="003A57A0" w:rsidP="002A434D">
      <w:pPr>
        <w:keepNext/>
        <w:keepLines/>
        <w:autoSpaceDE w:val="0"/>
        <w:autoSpaceDN w:val="0"/>
        <w:adjustRightInd w:val="0"/>
      </w:pPr>
    </w:p>
    <w:p w:rsidR="003A57A0" w:rsidRDefault="003A57A0" w:rsidP="002A434D">
      <w:pPr>
        <w:keepNext/>
        <w:keepLines/>
        <w:autoSpaceDE w:val="0"/>
        <w:autoSpaceDN w:val="0"/>
        <w:adjustRightInd w:val="0"/>
      </w:pPr>
    </w:p>
    <w:p w:rsidR="003A57A0" w:rsidRPr="004D134D" w:rsidRDefault="00671F86" w:rsidP="00E130B7">
      <w:pPr>
        <w:ind w:right="91"/>
        <w:jc w:val="center"/>
        <w:rPr>
          <w:rFonts w:cs="Arial"/>
          <w:b/>
        </w:rPr>
      </w:pPr>
      <w:r>
        <w:rPr>
          <w:bCs/>
          <w:u w:val="single"/>
        </w:rPr>
        <w:br w:type="page"/>
      </w:r>
      <w:r w:rsidR="003A57A0" w:rsidRPr="004D134D">
        <w:rPr>
          <w:rFonts w:cs="Arial"/>
          <w:b/>
          <w:sz w:val="28"/>
        </w:rPr>
        <w:lastRenderedPageBreak/>
        <w:t>Statement of Compatibility with Human Rights</w:t>
      </w:r>
    </w:p>
    <w:p w:rsidR="003A57A0" w:rsidRPr="002B49D3" w:rsidRDefault="003A57A0" w:rsidP="00E130B7">
      <w:pPr>
        <w:ind w:right="91"/>
      </w:pPr>
    </w:p>
    <w:p w:rsidR="003A57A0" w:rsidRPr="004D134D" w:rsidRDefault="003A57A0" w:rsidP="00E130B7">
      <w:pPr>
        <w:keepNext/>
        <w:keepLines/>
        <w:autoSpaceDE w:val="0"/>
        <w:autoSpaceDN w:val="0"/>
        <w:adjustRightInd w:val="0"/>
        <w:rPr>
          <w:b/>
          <w:bCs/>
          <w:i/>
          <w:u w:val="single"/>
        </w:rPr>
      </w:pPr>
      <w:r w:rsidRPr="004D134D">
        <w:rPr>
          <w:i/>
        </w:rPr>
        <w:t xml:space="preserve">Prepared in accordance with Part 3 of the </w:t>
      </w:r>
      <w:r w:rsidRPr="00671F86">
        <w:rPr>
          <w:i/>
        </w:rPr>
        <w:t>Human Rights (Parliamentary Scrutiny) Act 2011</w:t>
      </w:r>
      <w:r w:rsidRPr="004D134D">
        <w:rPr>
          <w:i/>
        </w:rPr>
        <w:t>.</w:t>
      </w:r>
    </w:p>
    <w:p w:rsidR="003A57A0" w:rsidRDefault="003A57A0" w:rsidP="00E004A8">
      <w:pPr>
        <w:keepNext/>
        <w:keepLines/>
        <w:autoSpaceDE w:val="0"/>
        <w:autoSpaceDN w:val="0"/>
        <w:adjustRightInd w:val="0"/>
        <w:rPr>
          <w:b/>
          <w:bCs/>
          <w:u w:val="single"/>
        </w:rPr>
      </w:pPr>
    </w:p>
    <w:p w:rsidR="003A57A0" w:rsidRPr="004D134D" w:rsidRDefault="003A57A0" w:rsidP="0053356B">
      <w:pPr>
        <w:jc w:val="center"/>
        <w:rPr>
          <w:b/>
          <w:i/>
        </w:rPr>
      </w:pPr>
      <w:r w:rsidRPr="004D134D">
        <w:rPr>
          <w:b/>
          <w:i/>
        </w:rPr>
        <w:t>Education Services for Overseas Students (Student defaul</w:t>
      </w:r>
      <w:r w:rsidR="00752CDE">
        <w:rPr>
          <w:b/>
          <w:i/>
        </w:rPr>
        <w:t xml:space="preserve">t - </w:t>
      </w:r>
      <w:r w:rsidRPr="004D134D">
        <w:rPr>
          <w:b/>
          <w:i/>
        </w:rPr>
        <w:t>discharge of obligations</w:t>
      </w:r>
      <w:r w:rsidR="00752CDE">
        <w:rPr>
          <w:b/>
          <w:i/>
        </w:rPr>
        <w:t xml:space="preserve"> -</w:t>
      </w:r>
      <w:r w:rsidR="00671F86">
        <w:rPr>
          <w:b/>
          <w:i/>
        </w:rPr>
        <w:t xml:space="preserve"> </w:t>
      </w:r>
      <w:r w:rsidRPr="004D134D">
        <w:rPr>
          <w:b/>
          <w:i/>
        </w:rPr>
        <w:t>requirements for a notice)</w:t>
      </w:r>
      <w:r w:rsidR="005A28A5">
        <w:rPr>
          <w:b/>
          <w:i/>
        </w:rPr>
        <w:t xml:space="preserve"> </w:t>
      </w:r>
      <w:r w:rsidR="00736007" w:rsidRPr="004D134D">
        <w:rPr>
          <w:b/>
          <w:i/>
        </w:rPr>
        <w:t xml:space="preserve">Specification </w:t>
      </w:r>
      <w:r w:rsidRPr="004D134D">
        <w:rPr>
          <w:b/>
          <w:i/>
        </w:rPr>
        <w:t>201</w:t>
      </w:r>
      <w:r w:rsidR="00D36500" w:rsidRPr="004D134D">
        <w:rPr>
          <w:b/>
          <w:i/>
        </w:rPr>
        <w:t>5</w:t>
      </w:r>
      <w:r w:rsidR="00736007" w:rsidRPr="004D134D">
        <w:rPr>
          <w:b/>
          <w:i/>
        </w:rPr>
        <w:t xml:space="preserve"> </w:t>
      </w:r>
      <w:r w:rsidR="00671F86">
        <w:rPr>
          <w:b/>
          <w:i/>
        </w:rPr>
        <w:t>(</w:t>
      </w:r>
      <w:r w:rsidR="00736007" w:rsidRPr="004D134D">
        <w:rPr>
          <w:b/>
          <w:i/>
        </w:rPr>
        <w:t>No. 1</w:t>
      </w:r>
      <w:r w:rsidR="00671F86">
        <w:rPr>
          <w:b/>
          <w:i/>
        </w:rPr>
        <w:t>)</w:t>
      </w:r>
      <w:r w:rsidRPr="004D134D">
        <w:rPr>
          <w:b/>
          <w:i/>
        </w:rPr>
        <w:t xml:space="preserve"> </w:t>
      </w:r>
    </w:p>
    <w:p w:rsidR="003A57A0" w:rsidRDefault="003A57A0" w:rsidP="00E130B7">
      <w:pPr>
        <w:keepNext/>
        <w:keepLines/>
        <w:autoSpaceDE w:val="0"/>
        <w:autoSpaceDN w:val="0"/>
        <w:adjustRightInd w:val="0"/>
        <w:jc w:val="center"/>
        <w:rPr>
          <w:b/>
          <w:u w:val="single"/>
        </w:rPr>
      </w:pPr>
    </w:p>
    <w:p w:rsidR="003A57A0" w:rsidRDefault="003A57A0" w:rsidP="004D134D">
      <w:pPr>
        <w:keepNext/>
        <w:keepLines/>
        <w:autoSpaceDE w:val="0"/>
        <w:autoSpaceDN w:val="0"/>
        <w:adjustRightInd w:val="0"/>
        <w:rPr>
          <w:i/>
        </w:rPr>
      </w:pPr>
      <w:r w:rsidRPr="002B49D3">
        <w:t xml:space="preserve">This </w:t>
      </w:r>
      <w:r w:rsidR="00812318">
        <w:t>S</w:t>
      </w:r>
      <w:r w:rsidR="00736007">
        <w:t xml:space="preserve">pecification </w:t>
      </w:r>
      <w:r w:rsidRPr="002B49D3">
        <w:t xml:space="preserve">is compatible with the human rights and freedoms recognised or declared in the international instruments listed in section 3 of the </w:t>
      </w:r>
      <w:r w:rsidRPr="002B49D3">
        <w:rPr>
          <w:i/>
        </w:rPr>
        <w:t>Human Rights (Parliamentary Scrutiny) Act 2011</w:t>
      </w:r>
      <w:r>
        <w:rPr>
          <w:i/>
        </w:rPr>
        <w:t>.</w:t>
      </w:r>
    </w:p>
    <w:p w:rsidR="003A57A0" w:rsidRDefault="003A57A0" w:rsidP="00E130B7">
      <w:pPr>
        <w:keepNext/>
        <w:keepLines/>
        <w:autoSpaceDE w:val="0"/>
        <w:autoSpaceDN w:val="0"/>
        <w:adjustRightInd w:val="0"/>
        <w:jc w:val="center"/>
        <w:rPr>
          <w:i/>
        </w:rPr>
      </w:pPr>
    </w:p>
    <w:p w:rsidR="003A57A0" w:rsidRDefault="003A57A0" w:rsidP="00E130B7">
      <w:pPr>
        <w:keepNext/>
        <w:keepLines/>
        <w:rPr>
          <w:i/>
          <w:iCs/>
        </w:rPr>
      </w:pPr>
      <w:r>
        <w:rPr>
          <w:b/>
          <w:iCs/>
        </w:rPr>
        <w:t xml:space="preserve">Overview of the </w:t>
      </w:r>
      <w:r w:rsidR="00736007">
        <w:rPr>
          <w:b/>
          <w:iCs/>
        </w:rPr>
        <w:t>Specification</w:t>
      </w:r>
    </w:p>
    <w:p w:rsidR="003A57A0" w:rsidRDefault="003A57A0" w:rsidP="00E130B7">
      <w:pPr>
        <w:keepNext/>
        <w:keepLines/>
        <w:autoSpaceDE w:val="0"/>
        <w:autoSpaceDN w:val="0"/>
        <w:adjustRightInd w:val="0"/>
        <w:rPr>
          <w:b/>
          <w:bCs/>
          <w:u w:val="single"/>
        </w:rPr>
      </w:pPr>
    </w:p>
    <w:p w:rsidR="003A57A0" w:rsidRDefault="003A57A0" w:rsidP="00E130B7">
      <w:pPr>
        <w:keepNext/>
        <w:keepLines/>
        <w:autoSpaceDE w:val="0"/>
        <w:autoSpaceDN w:val="0"/>
        <w:adjustRightInd w:val="0"/>
      </w:pPr>
      <w:r>
        <w:rPr>
          <w:iCs/>
        </w:rPr>
        <w:t xml:space="preserve">The </w:t>
      </w:r>
      <w:r w:rsidR="00752CDE" w:rsidRPr="0053356B">
        <w:rPr>
          <w:i/>
          <w:iCs/>
        </w:rPr>
        <w:t xml:space="preserve">Education Services for Overseas Students (Student default </w:t>
      </w:r>
      <w:r w:rsidR="00752CDE">
        <w:rPr>
          <w:i/>
          <w:iCs/>
        </w:rPr>
        <w:t>-</w:t>
      </w:r>
      <w:r w:rsidR="00752CDE" w:rsidRPr="0053356B">
        <w:rPr>
          <w:i/>
          <w:iCs/>
        </w:rPr>
        <w:t xml:space="preserve"> discharge </w:t>
      </w:r>
      <w:r w:rsidR="00752CDE" w:rsidRPr="00752CDE">
        <w:rPr>
          <w:i/>
          <w:iCs/>
        </w:rPr>
        <w:t>of obligations</w:t>
      </w:r>
      <w:r w:rsidR="00752CDE">
        <w:rPr>
          <w:i/>
          <w:iCs/>
        </w:rPr>
        <w:t xml:space="preserve"> - </w:t>
      </w:r>
      <w:r w:rsidR="00752CDE" w:rsidRPr="0053356B">
        <w:rPr>
          <w:i/>
          <w:iCs/>
        </w:rPr>
        <w:t>requirements for a notice)</w:t>
      </w:r>
      <w:r w:rsidR="00752CDE">
        <w:rPr>
          <w:i/>
          <w:iCs/>
        </w:rPr>
        <w:t xml:space="preserve"> Specification 2015 (No.1) </w:t>
      </w:r>
      <w:r w:rsidR="00752CDE">
        <w:rPr>
          <w:iCs/>
        </w:rPr>
        <w:t>(</w:t>
      </w:r>
      <w:r w:rsidR="00812318">
        <w:rPr>
          <w:iCs/>
        </w:rPr>
        <w:t>S</w:t>
      </w:r>
      <w:r w:rsidR="00736007">
        <w:rPr>
          <w:iCs/>
        </w:rPr>
        <w:t>pecification</w:t>
      </w:r>
      <w:r w:rsidR="00752CDE">
        <w:rPr>
          <w:iCs/>
        </w:rPr>
        <w:t>)</w:t>
      </w:r>
      <w:r>
        <w:rPr>
          <w:iCs/>
        </w:rPr>
        <w:t xml:space="preserve"> is made under </w:t>
      </w:r>
      <w:r w:rsidR="00671F86">
        <w:t>sub</w:t>
      </w:r>
      <w:r>
        <w:t>section 47H</w:t>
      </w:r>
      <w:r w:rsidR="00671F86">
        <w:t>(5)</w:t>
      </w:r>
      <w:r>
        <w:t xml:space="preserve"> of the </w:t>
      </w:r>
      <w:r w:rsidRPr="00D00C76">
        <w:rPr>
          <w:i/>
        </w:rPr>
        <w:t>Education Services for Overseas Students</w:t>
      </w:r>
      <w:r w:rsidRPr="0099365D">
        <w:rPr>
          <w:i/>
        </w:rPr>
        <w:t xml:space="preserve"> Act 2000</w:t>
      </w:r>
      <w:r>
        <w:rPr>
          <w:i/>
        </w:rPr>
        <w:t xml:space="preserve"> </w:t>
      </w:r>
      <w:r w:rsidRPr="00FF206C">
        <w:t>(the Act)</w:t>
      </w:r>
      <w:r>
        <w:t xml:space="preserve"> by the Minister</w:t>
      </w:r>
      <w:r w:rsidRPr="00E130B7">
        <w:t xml:space="preserve"> </w:t>
      </w:r>
      <w:r w:rsidRPr="008B2A56">
        <w:t>for Education</w:t>
      </w:r>
      <w:r w:rsidR="00D36500">
        <w:t xml:space="preserve"> and Training.</w:t>
      </w:r>
    </w:p>
    <w:p w:rsidR="003A57A0" w:rsidRDefault="003A57A0" w:rsidP="00E130B7">
      <w:pPr>
        <w:keepNext/>
        <w:keepLines/>
        <w:autoSpaceDE w:val="0"/>
        <w:autoSpaceDN w:val="0"/>
        <w:adjustRightInd w:val="0"/>
      </w:pPr>
    </w:p>
    <w:p w:rsidR="007773DE" w:rsidRPr="007773DE" w:rsidRDefault="007773DE" w:rsidP="007773DE">
      <w:r w:rsidRPr="007773DE">
        <w:t>T</w:t>
      </w:r>
      <w:r>
        <w:t xml:space="preserve">he purpose of this </w:t>
      </w:r>
      <w:r w:rsidR="00812318">
        <w:t>S</w:t>
      </w:r>
      <w:r w:rsidR="00736007">
        <w:t>pecification</w:t>
      </w:r>
      <w:r w:rsidRPr="007773DE">
        <w:t xml:space="preserve"> </w:t>
      </w:r>
      <w:r>
        <w:t xml:space="preserve">is to </w:t>
      </w:r>
      <w:r w:rsidR="003E3BB9">
        <w:t>specify</w:t>
      </w:r>
      <w:r w:rsidRPr="007773DE">
        <w:t xml:space="preserve"> the requirements for a notice a provider must give </w:t>
      </w:r>
      <w:r w:rsidR="00D24102">
        <w:rPr>
          <w:szCs w:val="24"/>
        </w:rPr>
        <w:t xml:space="preserve">that </w:t>
      </w:r>
      <w:r w:rsidR="00D24102" w:rsidRPr="007D1F48">
        <w:rPr>
          <w:szCs w:val="24"/>
        </w:rPr>
        <w:t>report</w:t>
      </w:r>
      <w:r w:rsidR="00D24102">
        <w:rPr>
          <w:szCs w:val="24"/>
        </w:rPr>
        <w:t>s on</w:t>
      </w:r>
      <w:r w:rsidR="00D24102" w:rsidRPr="007D1F48">
        <w:rPr>
          <w:szCs w:val="24"/>
        </w:rPr>
        <w:t xml:space="preserve"> whether</w:t>
      </w:r>
      <w:r w:rsidR="00D24102">
        <w:rPr>
          <w:szCs w:val="24"/>
        </w:rPr>
        <w:t xml:space="preserve"> a provider has paid a refund to a student under section 47E of the Act and therefore discharged its obligations under that section. </w:t>
      </w:r>
    </w:p>
    <w:p w:rsidR="007773DE" w:rsidRDefault="007773DE" w:rsidP="00D36500"/>
    <w:p w:rsidR="00851E86" w:rsidRDefault="00851E86" w:rsidP="00851E86">
      <w:r w:rsidRPr="00041715">
        <w:t xml:space="preserve">The tuition protection </w:t>
      </w:r>
      <w:r>
        <w:t>provisions in</w:t>
      </w:r>
      <w:r w:rsidRPr="00041715">
        <w:t xml:space="preserve"> the </w:t>
      </w:r>
      <w:r>
        <w:t>Act (</w:t>
      </w:r>
      <w:r w:rsidRPr="00041715">
        <w:t>which commence</w:t>
      </w:r>
      <w:r>
        <w:t xml:space="preserve">d in 2012 and were amended in 2015) are </w:t>
      </w:r>
      <w:r w:rsidRPr="00041715">
        <w:t>designed to protect the considerable investment international students make in an Australian education</w:t>
      </w:r>
      <w:r>
        <w:t>. These safeguards also</w:t>
      </w:r>
      <w:r w:rsidRPr="00041715">
        <w:t xml:space="preserve"> enhance Australia’s reputation as a destination of choice for international students.</w:t>
      </w:r>
      <w:r>
        <w:t xml:space="preserve"> </w:t>
      </w:r>
    </w:p>
    <w:p w:rsidR="00FF2FD5" w:rsidRDefault="00FF2FD5" w:rsidP="00D36500"/>
    <w:p w:rsidR="001B0C2C" w:rsidRDefault="001B0C2C" w:rsidP="00D36500">
      <w:r>
        <w:t xml:space="preserve">The </w:t>
      </w:r>
      <w:r w:rsidRPr="004D134D">
        <w:rPr>
          <w:i/>
        </w:rPr>
        <w:t xml:space="preserve">Education Services for Overseas Students Amendment (Streamlining Regulation) Act 2015 </w:t>
      </w:r>
      <w:r>
        <w:t>has amended section 47H of the Act</w:t>
      </w:r>
      <w:r w:rsidR="001E1985">
        <w:t xml:space="preserve"> to remove the obligation on a registered provider to give a notice under section 47H where the provider is required to provide a refund under section 47D of the Act</w:t>
      </w:r>
      <w:r>
        <w:t>. The Specification revokes the previous legislative instrument made un</w:t>
      </w:r>
      <w:r w:rsidR="00EB117C">
        <w:t>d</w:t>
      </w:r>
      <w:r>
        <w:t>er section 47H and sets out the requirements for a notice that a provider must give under the amended section 47H of the Act.</w:t>
      </w:r>
    </w:p>
    <w:p w:rsidR="001B0C2C" w:rsidRDefault="001B0C2C" w:rsidP="00D36500"/>
    <w:p w:rsidR="001B0C2C" w:rsidRDefault="001B0C2C" w:rsidP="00D36500">
      <w:r>
        <w:t>This Specification is one of a number that the Minister may make to specify in greater detail some of the requirements under the Act.</w:t>
      </w:r>
    </w:p>
    <w:p w:rsidR="001B0C2C" w:rsidRDefault="001B0C2C" w:rsidP="00D36500"/>
    <w:p w:rsidR="001B0C2C" w:rsidRPr="004D134D" w:rsidRDefault="001B0C2C" w:rsidP="00D36500">
      <w:pPr>
        <w:rPr>
          <w:b/>
        </w:rPr>
      </w:pPr>
      <w:r w:rsidRPr="004D134D">
        <w:rPr>
          <w:b/>
        </w:rPr>
        <w:t>Human rights implications</w:t>
      </w:r>
    </w:p>
    <w:p w:rsidR="001B0C2C" w:rsidRDefault="001B0C2C" w:rsidP="00D36500"/>
    <w:p w:rsidR="001B0C2C" w:rsidRDefault="001B0C2C" w:rsidP="00D36500">
      <w:pPr>
        <w:rPr>
          <w:i/>
        </w:rPr>
      </w:pPr>
      <w:r>
        <w:rPr>
          <w:i/>
        </w:rPr>
        <w:t>Right to education</w:t>
      </w:r>
    </w:p>
    <w:p w:rsidR="001B0C2C" w:rsidRDefault="001B0C2C" w:rsidP="00D36500">
      <w:pPr>
        <w:rPr>
          <w:i/>
        </w:rPr>
      </w:pPr>
    </w:p>
    <w:p w:rsidR="001B0C2C" w:rsidRDefault="001B0C2C" w:rsidP="00D36500">
      <w:r>
        <w:t>This Specification engages the right to education, contained in Article 13 of the International Covenant on Economic, Social, and Cultural Rights (ICESCR). Article 13 of the ICESCR recognises the right of everyone to education.</w:t>
      </w:r>
    </w:p>
    <w:p w:rsidR="001B0C2C" w:rsidRDefault="001B0C2C" w:rsidP="00D36500"/>
    <w:p w:rsidR="001B0C2C" w:rsidRDefault="001B0C2C" w:rsidP="00D36500">
      <w:r>
        <w:t>In particular, this Specification has an effect on</w:t>
      </w:r>
      <w:r w:rsidR="00EB117C">
        <w:t xml:space="preserve"> </w:t>
      </w:r>
      <w:r>
        <w:t xml:space="preserve">the provisions of education services to international students by bodies corporate registered on the Commonwealth Register of Institutions and Courses for Overseas Students. This Specification sets out requirements that a provider of education must satisfy </w:t>
      </w:r>
      <w:r w:rsidR="00EB117C">
        <w:t xml:space="preserve">when reporting on whether the provider has met its refund obligations to students under section 47E of the Act. The reporting of this information gives regulatory authorities access to information that may assist in monitoring provider compliance </w:t>
      </w:r>
      <w:r w:rsidR="00EB117C">
        <w:lastRenderedPageBreak/>
        <w:t xml:space="preserve">with refund provisions under the </w:t>
      </w:r>
      <w:r w:rsidR="00EB117C" w:rsidRPr="0053356B">
        <w:t>Act</w:t>
      </w:r>
      <w:r w:rsidR="0053356B" w:rsidRPr="0053356B">
        <w:t>, thereby enhancing protection for overseas students studying</w:t>
      </w:r>
      <w:r w:rsidR="00586B64">
        <w:t xml:space="preserve"> or intending to study</w:t>
      </w:r>
      <w:r w:rsidR="0053356B" w:rsidRPr="0053356B">
        <w:t xml:space="preserve"> in Australia</w:t>
      </w:r>
      <w:r w:rsidR="00586B64">
        <w:t>.</w:t>
      </w:r>
    </w:p>
    <w:p w:rsidR="00EB117C" w:rsidRDefault="00EB117C" w:rsidP="00D36500"/>
    <w:p w:rsidR="00EB117C" w:rsidRDefault="00EB117C" w:rsidP="00D36500">
      <w:r>
        <w:t xml:space="preserve">To the extent that the right to education is engaged, this right is promoted by the Specification. </w:t>
      </w:r>
    </w:p>
    <w:p w:rsidR="006E1FAD" w:rsidRDefault="006E1FAD" w:rsidP="00D36500"/>
    <w:p w:rsidR="00EB117C" w:rsidRDefault="00EB117C" w:rsidP="00D36500">
      <w:pPr>
        <w:rPr>
          <w:i/>
        </w:rPr>
      </w:pPr>
      <w:r>
        <w:rPr>
          <w:i/>
        </w:rPr>
        <w:t>Conclusion</w:t>
      </w:r>
    </w:p>
    <w:p w:rsidR="00EB117C" w:rsidRDefault="00EB117C" w:rsidP="00D36500">
      <w:pPr>
        <w:rPr>
          <w:i/>
        </w:rPr>
      </w:pPr>
    </w:p>
    <w:p w:rsidR="00EB117C" w:rsidRDefault="00EB117C" w:rsidP="00D36500">
      <w:r>
        <w:t>This Specification is compatible with human rights because it advances the protection of human rights.</w:t>
      </w:r>
    </w:p>
    <w:p w:rsidR="00EB117C" w:rsidRDefault="00EB117C" w:rsidP="00D36500"/>
    <w:p w:rsidR="003A57A0" w:rsidRPr="002A434D" w:rsidRDefault="003A57A0" w:rsidP="002A434D">
      <w:pPr>
        <w:keepNext/>
        <w:keepLines/>
        <w:autoSpaceDE w:val="0"/>
        <w:autoSpaceDN w:val="0"/>
        <w:adjustRightInd w:val="0"/>
      </w:pPr>
    </w:p>
    <w:p w:rsidR="003A57A0" w:rsidRDefault="003A57A0" w:rsidP="002A434D">
      <w:pPr>
        <w:keepNext/>
        <w:keepLines/>
        <w:autoSpaceDE w:val="0"/>
        <w:autoSpaceDN w:val="0"/>
        <w:adjustRightInd w:val="0"/>
      </w:pPr>
    </w:p>
    <w:sectPr w:rsidR="003A57A0" w:rsidSect="004D134D">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225"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6FC" w:rsidRDefault="004176FC" w:rsidP="00C413AA">
      <w:r>
        <w:separator/>
      </w:r>
    </w:p>
  </w:endnote>
  <w:endnote w:type="continuationSeparator" w:id="0">
    <w:p w:rsidR="004176FC" w:rsidRDefault="004176FC" w:rsidP="00C4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58" w:rsidRDefault="00497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AA" w:rsidRDefault="00C413AA">
    <w:pPr>
      <w:pStyle w:val="Footer"/>
      <w:jc w:val="right"/>
    </w:pPr>
    <w:r>
      <w:fldChar w:fldCharType="begin"/>
    </w:r>
    <w:r>
      <w:instrText xml:space="preserve"> PAGE   \* MERGEFORMAT </w:instrText>
    </w:r>
    <w:r>
      <w:fldChar w:fldCharType="separate"/>
    </w:r>
    <w:r w:rsidR="005664CE">
      <w:rPr>
        <w:noProof/>
      </w:rPr>
      <w:t>1</w:t>
    </w:r>
    <w:r>
      <w:fldChar w:fldCharType="end"/>
    </w:r>
  </w:p>
  <w:p w:rsidR="00C413AA" w:rsidRDefault="00C413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58" w:rsidRDefault="00497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6FC" w:rsidRDefault="004176FC" w:rsidP="00C413AA">
      <w:r>
        <w:separator/>
      </w:r>
    </w:p>
  </w:footnote>
  <w:footnote w:type="continuationSeparator" w:id="0">
    <w:p w:rsidR="004176FC" w:rsidRDefault="004176FC" w:rsidP="00C41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58" w:rsidRDefault="00497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58" w:rsidRDefault="00497B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58" w:rsidRDefault="00497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C9B"/>
    <w:multiLevelType w:val="hybridMultilevel"/>
    <w:tmpl w:val="251E7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BD5FD4"/>
    <w:multiLevelType w:val="hybridMultilevel"/>
    <w:tmpl w:val="F906FB4A"/>
    <w:lvl w:ilvl="0" w:tplc="7098F398">
      <w:start w:val="1"/>
      <w:numFmt w:val="bullet"/>
      <w:lvlText w:val=""/>
      <w:lvlJc w:val="left"/>
      <w:pPr>
        <w:tabs>
          <w:tab w:val="num" w:pos="216"/>
        </w:tabs>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
    <w:nsid w:val="25917842"/>
    <w:multiLevelType w:val="hybridMultilevel"/>
    <w:tmpl w:val="A062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DE2EF3"/>
    <w:multiLevelType w:val="hybridMultilevel"/>
    <w:tmpl w:val="A7CA8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A46720"/>
    <w:multiLevelType w:val="hybridMultilevel"/>
    <w:tmpl w:val="2DC44810"/>
    <w:lvl w:ilvl="0" w:tplc="9A76414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1730F31"/>
    <w:multiLevelType w:val="hybridMultilevel"/>
    <w:tmpl w:val="37DC3B1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51C77963"/>
    <w:multiLevelType w:val="hybridMultilevel"/>
    <w:tmpl w:val="52A03B7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nsid w:val="54FE57A2"/>
    <w:multiLevelType w:val="hybridMultilevel"/>
    <w:tmpl w:val="3800A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CB65E7"/>
    <w:multiLevelType w:val="hybridMultilevel"/>
    <w:tmpl w:val="15ACABA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nsid w:val="7291027F"/>
    <w:multiLevelType w:val="hybridMultilevel"/>
    <w:tmpl w:val="F8CA24F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
    <w:nsid w:val="73165CF9"/>
    <w:multiLevelType w:val="hybridMultilevel"/>
    <w:tmpl w:val="EAB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6"/>
  </w:num>
  <w:num w:numId="5">
    <w:abstractNumId w:val="9"/>
  </w:num>
  <w:num w:numId="6">
    <w:abstractNumId w:val="5"/>
  </w:num>
  <w:num w:numId="7">
    <w:abstractNumId w:val="10"/>
  </w:num>
  <w:num w:numId="8">
    <w:abstractNumId w:val="0"/>
  </w:num>
  <w:num w:numId="9">
    <w:abstractNumId w:val="8"/>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46"/>
    <w:rsid w:val="000004DD"/>
    <w:rsid w:val="00000819"/>
    <w:rsid w:val="000069B2"/>
    <w:rsid w:val="000069C4"/>
    <w:rsid w:val="00007655"/>
    <w:rsid w:val="000103CB"/>
    <w:rsid w:val="00010FFA"/>
    <w:rsid w:val="00012BB9"/>
    <w:rsid w:val="00014524"/>
    <w:rsid w:val="00014704"/>
    <w:rsid w:val="00015D30"/>
    <w:rsid w:val="0002308D"/>
    <w:rsid w:val="00027C86"/>
    <w:rsid w:val="00033D17"/>
    <w:rsid w:val="00036404"/>
    <w:rsid w:val="00041715"/>
    <w:rsid w:val="00042156"/>
    <w:rsid w:val="00045249"/>
    <w:rsid w:val="000479EF"/>
    <w:rsid w:val="00050EFB"/>
    <w:rsid w:val="00051130"/>
    <w:rsid w:val="00052D53"/>
    <w:rsid w:val="0005378B"/>
    <w:rsid w:val="000563A2"/>
    <w:rsid w:val="0006476D"/>
    <w:rsid w:val="00064E44"/>
    <w:rsid w:val="0006576A"/>
    <w:rsid w:val="000712F3"/>
    <w:rsid w:val="00072A59"/>
    <w:rsid w:val="00075DF6"/>
    <w:rsid w:val="00082B5C"/>
    <w:rsid w:val="00083AE5"/>
    <w:rsid w:val="00093D56"/>
    <w:rsid w:val="00093E37"/>
    <w:rsid w:val="000977AB"/>
    <w:rsid w:val="000A19B4"/>
    <w:rsid w:val="000A6FD1"/>
    <w:rsid w:val="000B0FB3"/>
    <w:rsid w:val="000B2857"/>
    <w:rsid w:val="000B2EA7"/>
    <w:rsid w:val="000B398E"/>
    <w:rsid w:val="000C064D"/>
    <w:rsid w:val="000C1D82"/>
    <w:rsid w:val="000C24CD"/>
    <w:rsid w:val="000C6378"/>
    <w:rsid w:val="000D2925"/>
    <w:rsid w:val="000E1263"/>
    <w:rsid w:val="000E2961"/>
    <w:rsid w:val="000E38FD"/>
    <w:rsid w:val="000E4E67"/>
    <w:rsid w:val="000E5FCA"/>
    <w:rsid w:val="000E6F7E"/>
    <w:rsid w:val="000F032B"/>
    <w:rsid w:val="000F733C"/>
    <w:rsid w:val="000F77B8"/>
    <w:rsid w:val="00103224"/>
    <w:rsid w:val="00103AFD"/>
    <w:rsid w:val="00103F01"/>
    <w:rsid w:val="0011014E"/>
    <w:rsid w:val="0011072F"/>
    <w:rsid w:val="00112D90"/>
    <w:rsid w:val="001168DC"/>
    <w:rsid w:val="0011701D"/>
    <w:rsid w:val="0011764A"/>
    <w:rsid w:val="00122D7C"/>
    <w:rsid w:val="00125D84"/>
    <w:rsid w:val="00134829"/>
    <w:rsid w:val="001349FF"/>
    <w:rsid w:val="00137D66"/>
    <w:rsid w:val="00140E93"/>
    <w:rsid w:val="00141943"/>
    <w:rsid w:val="00143924"/>
    <w:rsid w:val="00145D4C"/>
    <w:rsid w:val="0015597D"/>
    <w:rsid w:val="00155D78"/>
    <w:rsid w:val="00160519"/>
    <w:rsid w:val="0016140A"/>
    <w:rsid w:val="00173670"/>
    <w:rsid w:val="001771F4"/>
    <w:rsid w:val="001775C7"/>
    <w:rsid w:val="001803A4"/>
    <w:rsid w:val="00183D67"/>
    <w:rsid w:val="00184CA3"/>
    <w:rsid w:val="00190F2F"/>
    <w:rsid w:val="00194A5D"/>
    <w:rsid w:val="00196CFD"/>
    <w:rsid w:val="001A1B7B"/>
    <w:rsid w:val="001A4118"/>
    <w:rsid w:val="001A438A"/>
    <w:rsid w:val="001A4492"/>
    <w:rsid w:val="001A5185"/>
    <w:rsid w:val="001A6EB5"/>
    <w:rsid w:val="001B01C3"/>
    <w:rsid w:val="001B0C2C"/>
    <w:rsid w:val="001B4165"/>
    <w:rsid w:val="001B7C53"/>
    <w:rsid w:val="001C0A4E"/>
    <w:rsid w:val="001C0B69"/>
    <w:rsid w:val="001C63D0"/>
    <w:rsid w:val="001C73FD"/>
    <w:rsid w:val="001D088B"/>
    <w:rsid w:val="001D3B7D"/>
    <w:rsid w:val="001D3EDE"/>
    <w:rsid w:val="001D4E09"/>
    <w:rsid w:val="001D66A9"/>
    <w:rsid w:val="001E02E3"/>
    <w:rsid w:val="001E1038"/>
    <w:rsid w:val="001E1985"/>
    <w:rsid w:val="001E6979"/>
    <w:rsid w:val="001E78C3"/>
    <w:rsid w:val="001E7E14"/>
    <w:rsid w:val="001F0132"/>
    <w:rsid w:val="001F0C99"/>
    <w:rsid w:val="001F22DE"/>
    <w:rsid w:val="001F43BB"/>
    <w:rsid w:val="0020405C"/>
    <w:rsid w:val="00205BC4"/>
    <w:rsid w:val="00210259"/>
    <w:rsid w:val="00212DD6"/>
    <w:rsid w:val="00213D10"/>
    <w:rsid w:val="00214638"/>
    <w:rsid w:val="002158AF"/>
    <w:rsid w:val="002262E3"/>
    <w:rsid w:val="0023003D"/>
    <w:rsid w:val="0023396B"/>
    <w:rsid w:val="00241119"/>
    <w:rsid w:val="00241704"/>
    <w:rsid w:val="00245A6A"/>
    <w:rsid w:val="00246D4C"/>
    <w:rsid w:val="00247657"/>
    <w:rsid w:val="00250827"/>
    <w:rsid w:val="00252C53"/>
    <w:rsid w:val="00255B62"/>
    <w:rsid w:val="00264240"/>
    <w:rsid w:val="0026586F"/>
    <w:rsid w:val="00265F9D"/>
    <w:rsid w:val="00271036"/>
    <w:rsid w:val="002711CB"/>
    <w:rsid w:val="00274D4F"/>
    <w:rsid w:val="00276F2A"/>
    <w:rsid w:val="002852DA"/>
    <w:rsid w:val="00290480"/>
    <w:rsid w:val="00291FCF"/>
    <w:rsid w:val="00293152"/>
    <w:rsid w:val="00293C2F"/>
    <w:rsid w:val="00295973"/>
    <w:rsid w:val="00297FE7"/>
    <w:rsid w:val="002A03ED"/>
    <w:rsid w:val="002A3D7D"/>
    <w:rsid w:val="002A434D"/>
    <w:rsid w:val="002A5754"/>
    <w:rsid w:val="002A7601"/>
    <w:rsid w:val="002B0742"/>
    <w:rsid w:val="002B2738"/>
    <w:rsid w:val="002B43F7"/>
    <w:rsid w:val="002B49D3"/>
    <w:rsid w:val="002C247C"/>
    <w:rsid w:val="002C4A28"/>
    <w:rsid w:val="002C7724"/>
    <w:rsid w:val="002D4C0B"/>
    <w:rsid w:val="002D5D85"/>
    <w:rsid w:val="002D75BF"/>
    <w:rsid w:val="002E333B"/>
    <w:rsid w:val="002F1E91"/>
    <w:rsid w:val="002F2837"/>
    <w:rsid w:val="003008BD"/>
    <w:rsid w:val="003023AF"/>
    <w:rsid w:val="00302522"/>
    <w:rsid w:val="003028E4"/>
    <w:rsid w:val="003051FF"/>
    <w:rsid w:val="0031026D"/>
    <w:rsid w:val="003108D5"/>
    <w:rsid w:val="00312A21"/>
    <w:rsid w:val="00312BF1"/>
    <w:rsid w:val="00316144"/>
    <w:rsid w:val="00316CEF"/>
    <w:rsid w:val="00317105"/>
    <w:rsid w:val="003175F9"/>
    <w:rsid w:val="00317D5B"/>
    <w:rsid w:val="00320F1A"/>
    <w:rsid w:val="00321A59"/>
    <w:rsid w:val="00325933"/>
    <w:rsid w:val="0033686C"/>
    <w:rsid w:val="00340301"/>
    <w:rsid w:val="00342503"/>
    <w:rsid w:val="00352FCA"/>
    <w:rsid w:val="003530B2"/>
    <w:rsid w:val="003547F4"/>
    <w:rsid w:val="0035634E"/>
    <w:rsid w:val="00357D92"/>
    <w:rsid w:val="00361860"/>
    <w:rsid w:val="00366813"/>
    <w:rsid w:val="00372F30"/>
    <w:rsid w:val="003755DF"/>
    <w:rsid w:val="003816B6"/>
    <w:rsid w:val="00382B44"/>
    <w:rsid w:val="00385201"/>
    <w:rsid w:val="00387B53"/>
    <w:rsid w:val="00387EEB"/>
    <w:rsid w:val="003925E6"/>
    <w:rsid w:val="003A1A37"/>
    <w:rsid w:val="003A4A4D"/>
    <w:rsid w:val="003A57A0"/>
    <w:rsid w:val="003B4101"/>
    <w:rsid w:val="003C4857"/>
    <w:rsid w:val="003C54F8"/>
    <w:rsid w:val="003C7C66"/>
    <w:rsid w:val="003D4E60"/>
    <w:rsid w:val="003E04DE"/>
    <w:rsid w:val="003E30B9"/>
    <w:rsid w:val="003E3BB9"/>
    <w:rsid w:val="003E58D8"/>
    <w:rsid w:val="003E69E4"/>
    <w:rsid w:val="003F1A05"/>
    <w:rsid w:val="003F2DB3"/>
    <w:rsid w:val="003F5773"/>
    <w:rsid w:val="003F6A43"/>
    <w:rsid w:val="003F6DBB"/>
    <w:rsid w:val="003F7075"/>
    <w:rsid w:val="004033AA"/>
    <w:rsid w:val="00404828"/>
    <w:rsid w:val="0040588C"/>
    <w:rsid w:val="004069DC"/>
    <w:rsid w:val="004125CC"/>
    <w:rsid w:val="004138F8"/>
    <w:rsid w:val="004149F8"/>
    <w:rsid w:val="00415BBA"/>
    <w:rsid w:val="004176FC"/>
    <w:rsid w:val="00417FE0"/>
    <w:rsid w:val="0042060F"/>
    <w:rsid w:val="004208BA"/>
    <w:rsid w:val="00422B59"/>
    <w:rsid w:val="00424819"/>
    <w:rsid w:val="004265D5"/>
    <w:rsid w:val="00427D77"/>
    <w:rsid w:val="00430C71"/>
    <w:rsid w:val="00441ED1"/>
    <w:rsid w:val="0044347D"/>
    <w:rsid w:val="00443AC4"/>
    <w:rsid w:val="00461066"/>
    <w:rsid w:val="00461793"/>
    <w:rsid w:val="00462F6C"/>
    <w:rsid w:val="00470A2D"/>
    <w:rsid w:val="00472E6C"/>
    <w:rsid w:val="004731D3"/>
    <w:rsid w:val="00482935"/>
    <w:rsid w:val="0048542D"/>
    <w:rsid w:val="00490018"/>
    <w:rsid w:val="00490063"/>
    <w:rsid w:val="00490255"/>
    <w:rsid w:val="00491482"/>
    <w:rsid w:val="00491FB8"/>
    <w:rsid w:val="0049440F"/>
    <w:rsid w:val="00497B58"/>
    <w:rsid w:val="004A1AAB"/>
    <w:rsid w:val="004A3089"/>
    <w:rsid w:val="004A329E"/>
    <w:rsid w:val="004A5A76"/>
    <w:rsid w:val="004B28E6"/>
    <w:rsid w:val="004B4502"/>
    <w:rsid w:val="004B6703"/>
    <w:rsid w:val="004C17B8"/>
    <w:rsid w:val="004C5152"/>
    <w:rsid w:val="004C72EF"/>
    <w:rsid w:val="004C796A"/>
    <w:rsid w:val="004D039B"/>
    <w:rsid w:val="004D134D"/>
    <w:rsid w:val="004D1A3A"/>
    <w:rsid w:val="004D2C46"/>
    <w:rsid w:val="004F3AC5"/>
    <w:rsid w:val="004F4704"/>
    <w:rsid w:val="00503690"/>
    <w:rsid w:val="00503DDE"/>
    <w:rsid w:val="005061B5"/>
    <w:rsid w:val="005139C6"/>
    <w:rsid w:val="00517658"/>
    <w:rsid w:val="00520F03"/>
    <w:rsid w:val="0052219E"/>
    <w:rsid w:val="00530CB3"/>
    <w:rsid w:val="0053356B"/>
    <w:rsid w:val="00534C78"/>
    <w:rsid w:val="005412B6"/>
    <w:rsid w:val="005454B4"/>
    <w:rsid w:val="00550F4A"/>
    <w:rsid w:val="005603E6"/>
    <w:rsid w:val="00560578"/>
    <w:rsid w:val="00562754"/>
    <w:rsid w:val="00566270"/>
    <w:rsid w:val="005664CE"/>
    <w:rsid w:val="00571400"/>
    <w:rsid w:val="00571C23"/>
    <w:rsid w:val="0057387B"/>
    <w:rsid w:val="005764D6"/>
    <w:rsid w:val="0057652A"/>
    <w:rsid w:val="0057745E"/>
    <w:rsid w:val="005816A4"/>
    <w:rsid w:val="00581FF5"/>
    <w:rsid w:val="0058300A"/>
    <w:rsid w:val="00583176"/>
    <w:rsid w:val="00586B64"/>
    <w:rsid w:val="00586CC7"/>
    <w:rsid w:val="005872BC"/>
    <w:rsid w:val="005915EC"/>
    <w:rsid w:val="00592094"/>
    <w:rsid w:val="00595786"/>
    <w:rsid w:val="005A117C"/>
    <w:rsid w:val="005A28A5"/>
    <w:rsid w:val="005A3429"/>
    <w:rsid w:val="005A48AF"/>
    <w:rsid w:val="005A48ED"/>
    <w:rsid w:val="005C3223"/>
    <w:rsid w:val="005C4E30"/>
    <w:rsid w:val="005C5B8B"/>
    <w:rsid w:val="005C5DF7"/>
    <w:rsid w:val="005D2C22"/>
    <w:rsid w:val="005D33C6"/>
    <w:rsid w:val="005D4406"/>
    <w:rsid w:val="005D5CCD"/>
    <w:rsid w:val="005D6AB1"/>
    <w:rsid w:val="005D6E74"/>
    <w:rsid w:val="005D726C"/>
    <w:rsid w:val="005E2E31"/>
    <w:rsid w:val="005E4C33"/>
    <w:rsid w:val="005E5B2B"/>
    <w:rsid w:val="005F20E4"/>
    <w:rsid w:val="005F296A"/>
    <w:rsid w:val="005F385F"/>
    <w:rsid w:val="005F43D3"/>
    <w:rsid w:val="005F4989"/>
    <w:rsid w:val="005F5617"/>
    <w:rsid w:val="005F65DC"/>
    <w:rsid w:val="005F6DFE"/>
    <w:rsid w:val="005F7872"/>
    <w:rsid w:val="00600D76"/>
    <w:rsid w:val="006066CC"/>
    <w:rsid w:val="00607AC8"/>
    <w:rsid w:val="00612C19"/>
    <w:rsid w:val="00613F36"/>
    <w:rsid w:val="00616C06"/>
    <w:rsid w:val="006176B9"/>
    <w:rsid w:val="006179BB"/>
    <w:rsid w:val="00623554"/>
    <w:rsid w:val="006250F4"/>
    <w:rsid w:val="00627387"/>
    <w:rsid w:val="00627FB0"/>
    <w:rsid w:val="006304AE"/>
    <w:rsid w:val="00632308"/>
    <w:rsid w:val="0063402C"/>
    <w:rsid w:val="00637EC0"/>
    <w:rsid w:val="00640A9B"/>
    <w:rsid w:val="00641784"/>
    <w:rsid w:val="006429BA"/>
    <w:rsid w:val="00645200"/>
    <w:rsid w:val="00657E91"/>
    <w:rsid w:val="00663DE9"/>
    <w:rsid w:val="00670E96"/>
    <w:rsid w:val="00671F86"/>
    <w:rsid w:val="006767CD"/>
    <w:rsid w:val="00676E45"/>
    <w:rsid w:val="00677698"/>
    <w:rsid w:val="00681498"/>
    <w:rsid w:val="006823BA"/>
    <w:rsid w:val="006828AE"/>
    <w:rsid w:val="00690C87"/>
    <w:rsid w:val="00691D36"/>
    <w:rsid w:val="006C0F90"/>
    <w:rsid w:val="006C0FCB"/>
    <w:rsid w:val="006C10C7"/>
    <w:rsid w:val="006C3E9B"/>
    <w:rsid w:val="006D059A"/>
    <w:rsid w:val="006D0923"/>
    <w:rsid w:val="006D3569"/>
    <w:rsid w:val="006E0CA2"/>
    <w:rsid w:val="006E1FAD"/>
    <w:rsid w:val="006E69AD"/>
    <w:rsid w:val="006E6C03"/>
    <w:rsid w:val="006F3CC3"/>
    <w:rsid w:val="006F647D"/>
    <w:rsid w:val="006F7EBA"/>
    <w:rsid w:val="0070568D"/>
    <w:rsid w:val="0070743F"/>
    <w:rsid w:val="00712F87"/>
    <w:rsid w:val="007158B1"/>
    <w:rsid w:val="00715CFA"/>
    <w:rsid w:val="00720FFE"/>
    <w:rsid w:val="0072584C"/>
    <w:rsid w:val="00725DDE"/>
    <w:rsid w:val="00726E41"/>
    <w:rsid w:val="00731EDA"/>
    <w:rsid w:val="007323F3"/>
    <w:rsid w:val="00734425"/>
    <w:rsid w:val="00736007"/>
    <w:rsid w:val="0074164E"/>
    <w:rsid w:val="007441C3"/>
    <w:rsid w:val="007448CC"/>
    <w:rsid w:val="00745885"/>
    <w:rsid w:val="00751EC6"/>
    <w:rsid w:val="00752B2F"/>
    <w:rsid w:val="00752CDE"/>
    <w:rsid w:val="007617B0"/>
    <w:rsid w:val="00761A2E"/>
    <w:rsid w:val="007626B1"/>
    <w:rsid w:val="007665A0"/>
    <w:rsid w:val="00771633"/>
    <w:rsid w:val="0077370B"/>
    <w:rsid w:val="00773BF7"/>
    <w:rsid w:val="00774375"/>
    <w:rsid w:val="007746AC"/>
    <w:rsid w:val="00774996"/>
    <w:rsid w:val="00775852"/>
    <w:rsid w:val="007773DE"/>
    <w:rsid w:val="0077742E"/>
    <w:rsid w:val="00786919"/>
    <w:rsid w:val="00793CAF"/>
    <w:rsid w:val="007A0682"/>
    <w:rsid w:val="007A1BD9"/>
    <w:rsid w:val="007A6F76"/>
    <w:rsid w:val="007B37D1"/>
    <w:rsid w:val="007B3B3E"/>
    <w:rsid w:val="007B3BB4"/>
    <w:rsid w:val="007B4586"/>
    <w:rsid w:val="007B652A"/>
    <w:rsid w:val="007C3F94"/>
    <w:rsid w:val="007C4D7E"/>
    <w:rsid w:val="007C7B3C"/>
    <w:rsid w:val="007D0F32"/>
    <w:rsid w:val="007D1F48"/>
    <w:rsid w:val="007D230E"/>
    <w:rsid w:val="007D66B7"/>
    <w:rsid w:val="007E3104"/>
    <w:rsid w:val="007E57F9"/>
    <w:rsid w:val="007F2193"/>
    <w:rsid w:val="007F24E3"/>
    <w:rsid w:val="007F2996"/>
    <w:rsid w:val="007F356D"/>
    <w:rsid w:val="007F4C12"/>
    <w:rsid w:val="007F710A"/>
    <w:rsid w:val="0080122C"/>
    <w:rsid w:val="00804C11"/>
    <w:rsid w:val="00806194"/>
    <w:rsid w:val="00806D4A"/>
    <w:rsid w:val="0081051B"/>
    <w:rsid w:val="00811936"/>
    <w:rsid w:val="008119D5"/>
    <w:rsid w:val="00812318"/>
    <w:rsid w:val="00816DD5"/>
    <w:rsid w:val="00820F20"/>
    <w:rsid w:val="0082510C"/>
    <w:rsid w:val="008260E3"/>
    <w:rsid w:val="0082728C"/>
    <w:rsid w:val="0083373E"/>
    <w:rsid w:val="0083416A"/>
    <w:rsid w:val="0083515E"/>
    <w:rsid w:val="00835ADA"/>
    <w:rsid w:val="00844A85"/>
    <w:rsid w:val="008500F2"/>
    <w:rsid w:val="00850468"/>
    <w:rsid w:val="008517EB"/>
    <w:rsid w:val="00851E86"/>
    <w:rsid w:val="0085292F"/>
    <w:rsid w:val="00857E12"/>
    <w:rsid w:val="0086058F"/>
    <w:rsid w:val="008619ED"/>
    <w:rsid w:val="00862673"/>
    <w:rsid w:val="0086785C"/>
    <w:rsid w:val="00872087"/>
    <w:rsid w:val="00872CB9"/>
    <w:rsid w:val="00875B7D"/>
    <w:rsid w:val="00876554"/>
    <w:rsid w:val="00880525"/>
    <w:rsid w:val="00882023"/>
    <w:rsid w:val="008836EE"/>
    <w:rsid w:val="00885CDC"/>
    <w:rsid w:val="008919CF"/>
    <w:rsid w:val="00891C63"/>
    <w:rsid w:val="00895236"/>
    <w:rsid w:val="00895AD0"/>
    <w:rsid w:val="00895FCB"/>
    <w:rsid w:val="00896CEF"/>
    <w:rsid w:val="008A0FB3"/>
    <w:rsid w:val="008A21E7"/>
    <w:rsid w:val="008A6E90"/>
    <w:rsid w:val="008A7BCF"/>
    <w:rsid w:val="008B1849"/>
    <w:rsid w:val="008B2A56"/>
    <w:rsid w:val="008B4456"/>
    <w:rsid w:val="008B6E17"/>
    <w:rsid w:val="008B7CBC"/>
    <w:rsid w:val="008C193C"/>
    <w:rsid w:val="008C2FEB"/>
    <w:rsid w:val="008C598B"/>
    <w:rsid w:val="008D0098"/>
    <w:rsid w:val="008D0107"/>
    <w:rsid w:val="008D73DF"/>
    <w:rsid w:val="008E44CE"/>
    <w:rsid w:val="008F1FFD"/>
    <w:rsid w:val="008F62BC"/>
    <w:rsid w:val="00901F93"/>
    <w:rsid w:val="00903EEB"/>
    <w:rsid w:val="00904A4B"/>
    <w:rsid w:val="00904C9C"/>
    <w:rsid w:val="00911229"/>
    <w:rsid w:val="0091603C"/>
    <w:rsid w:val="0091639D"/>
    <w:rsid w:val="00916BD0"/>
    <w:rsid w:val="00916CCA"/>
    <w:rsid w:val="00917800"/>
    <w:rsid w:val="00921253"/>
    <w:rsid w:val="0092364B"/>
    <w:rsid w:val="0092436E"/>
    <w:rsid w:val="00931ACC"/>
    <w:rsid w:val="00934414"/>
    <w:rsid w:val="00942BE7"/>
    <w:rsid w:val="0094660E"/>
    <w:rsid w:val="009474EA"/>
    <w:rsid w:val="00957B3F"/>
    <w:rsid w:val="00960D43"/>
    <w:rsid w:val="00961C9B"/>
    <w:rsid w:val="00964587"/>
    <w:rsid w:val="009724E3"/>
    <w:rsid w:val="009747A9"/>
    <w:rsid w:val="00981C83"/>
    <w:rsid w:val="00982561"/>
    <w:rsid w:val="00983B70"/>
    <w:rsid w:val="0099365D"/>
    <w:rsid w:val="009A16C0"/>
    <w:rsid w:val="009A471F"/>
    <w:rsid w:val="009A473D"/>
    <w:rsid w:val="009A7D68"/>
    <w:rsid w:val="009B7933"/>
    <w:rsid w:val="009D7A1F"/>
    <w:rsid w:val="009E4859"/>
    <w:rsid w:val="009E76E2"/>
    <w:rsid w:val="009E7CD1"/>
    <w:rsid w:val="009F2A6F"/>
    <w:rsid w:val="009F4D7A"/>
    <w:rsid w:val="009F6B8E"/>
    <w:rsid w:val="00A0112B"/>
    <w:rsid w:val="00A014E3"/>
    <w:rsid w:val="00A0518B"/>
    <w:rsid w:val="00A079AC"/>
    <w:rsid w:val="00A1062C"/>
    <w:rsid w:val="00A1332D"/>
    <w:rsid w:val="00A16D60"/>
    <w:rsid w:val="00A17D58"/>
    <w:rsid w:val="00A20F32"/>
    <w:rsid w:val="00A22272"/>
    <w:rsid w:val="00A22A13"/>
    <w:rsid w:val="00A22FB3"/>
    <w:rsid w:val="00A3619B"/>
    <w:rsid w:val="00A4232E"/>
    <w:rsid w:val="00A46274"/>
    <w:rsid w:val="00A46E9B"/>
    <w:rsid w:val="00A51C05"/>
    <w:rsid w:val="00A60B5A"/>
    <w:rsid w:val="00A61E2F"/>
    <w:rsid w:val="00A62380"/>
    <w:rsid w:val="00A630D9"/>
    <w:rsid w:val="00A64023"/>
    <w:rsid w:val="00A668B3"/>
    <w:rsid w:val="00A67468"/>
    <w:rsid w:val="00A706F7"/>
    <w:rsid w:val="00A72078"/>
    <w:rsid w:val="00A733BE"/>
    <w:rsid w:val="00A76CFF"/>
    <w:rsid w:val="00A7726D"/>
    <w:rsid w:val="00A7795C"/>
    <w:rsid w:val="00A83EB7"/>
    <w:rsid w:val="00A85FF0"/>
    <w:rsid w:val="00A940E5"/>
    <w:rsid w:val="00A96C03"/>
    <w:rsid w:val="00AA5DAC"/>
    <w:rsid w:val="00AB3238"/>
    <w:rsid w:val="00AB510C"/>
    <w:rsid w:val="00AC4127"/>
    <w:rsid w:val="00AC5A89"/>
    <w:rsid w:val="00AD5DF6"/>
    <w:rsid w:val="00AD6E0E"/>
    <w:rsid w:val="00AD74BF"/>
    <w:rsid w:val="00AD7EF2"/>
    <w:rsid w:val="00AE289E"/>
    <w:rsid w:val="00AE30ED"/>
    <w:rsid w:val="00AE4863"/>
    <w:rsid w:val="00AF173A"/>
    <w:rsid w:val="00AF184B"/>
    <w:rsid w:val="00AF42BA"/>
    <w:rsid w:val="00AF49E1"/>
    <w:rsid w:val="00AF5B87"/>
    <w:rsid w:val="00AF7A69"/>
    <w:rsid w:val="00B03435"/>
    <w:rsid w:val="00B03F57"/>
    <w:rsid w:val="00B04800"/>
    <w:rsid w:val="00B06BC3"/>
    <w:rsid w:val="00B10F5A"/>
    <w:rsid w:val="00B112E8"/>
    <w:rsid w:val="00B1392D"/>
    <w:rsid w:val="00B141C2"/>
    <w:rsid w:val="00B21A41"/>
    <w:rsid w:val="00B23516"/>
    <w:rsid w:val="00B247CC"/>
    <w:rsid w:val="00B25C07"/>
    <w:rsid w:val="00B30A48"/>
    <w:rsid w:val="00B31A3D"/>
    <w:rsid w:val="00B37FEA"/>
    <w:rsid w:val="00B40C6B"/>
    <w:rsid w:val="00B4183D"/>
    <w:rsid w:val="00B451FE"/>
    <w:rsid w:val="00B479A2"/>
    <w:rsid w:val="00B50449"/>
    <w:rsid w:val="00B514FB"/>
    <w:rsid w:val="00B51660"/>
    <w:rsid w:val="00B51E95"/>
    <w:rsid w:val="00B545C6"/>
    <w:rsid w:val="00B60547"/>
    <w:rsid w:val="00B65CA1"/>
    <w:rsid w:val="00B71932"/>
    <w:rsid w:val="00B72461"/>
    <w:rsid w:val="00B7374B"/>
    <w:rsid w:val="00B76F5C"/>
    <w:rsid w:val="00B77656"/>
    <w:rsid w:val="00B77D30"/>
    <w:rsid w:val="00B84526"/>
    <w:rsid w:val="00B9006B"/>
    <w:rsid w:val="00B90604"/>
    <w:rsid w:val="00B923F7"/>
    <w:rsid w:val="00BA05A8"/>
    <w:rsid w:val="00BA4136"/>
    <w:rsid w:val="00BA51CE"/>
    <w:rsid w:val="00BB1347"/>
    <w:rsid w:val="00BB6275"/>
    <w:rsid w:val="00BB678A"/>
    <w:rsid w:val="00BC2B37"/>
    <w:rsid w:val="00BC2E16"/>
    <w:rsid w:val="00BC490C"/>
    <w:rsid w:val="00BC5448"/>
    <w:rsid w:val="00BC7554"/>
    <w:rsid w:val="00BD06F0"/>
    <w:rsid w:val="00BD5C3A"/>
    <w:rsid w:val="00BD7A44"/>
    <w:rsid w:val="00BE0B01"/>
    <w:rsid w:val="00BE22C6"/>
    <w:rsid w:val="00BE7191"/>
    <w:rsid w:val="00BF280D"/>
    <w:rsid w:val="00BF4210"/>
    <w:rsid w:val="00BF4E52"/>
    <w:rsid w:val="00C01B85"/>
    <w:rsid w:val="00C111F3"/>
    <w:rsid w:val="00C12ACB"/>
    <w:rsid w:val="00C14E89"/>
    <w:rsid w:val="00C20B9F"/>
    <w:rsid w:val="00C23410"/>
    <w:rsid w:val="00C25FDD"/>
    <w:rsid w:val="00C355AB"/>
    <w:rsid w:val="00C405D7"/>
    <w:rsid w:val="00C413AA"/>
    <w:rsid w:val="00C43386"/>
    <w:rsid w:val="00C464AA"/>
    <w:rsid w:val="00C467D0"/>
    <w:rsid w:val="00C5263A"/>
    <w:rsid w:val="00C539FE"/>
    <w:rsid w:val="00C546AA"/>
    <w:rsid w:val="00C547E0"/>
    <w:rsid w:val="00C55E1B"/>
    <w:rsid w:val="00C57FFA"/>
    <w:rsid w:val="00C603DE"/>
    <w:rsid w:val="00C62A62"/>
    <w:rsid w:val="00C62A7F"/>
    <w:rsid w:val="00C6581E"/>
    <w:rsid w:val="00C66654"/>
    <w:rsid w:val="00C74E43"/>
    <w:rsid w:val="00C751AB"/>
    <w:rsid w:val="00C80AA2"/>
    <w:rsid w:val="00C81D89"/>
    <w:rsid w:val="00C84089"/>
    <w:rsid w:val="00C86844"/>
    <w:rsid w:val="00C870AB"/>
    <w:rsid w:val="00C962F8"/>
    <w:rsid w:val="00CB1AEC"/>
    <w:rsid w:val="00CB32B4"/>
    <w:rsid w:val="00CB47F4"/>
    <w:rsid w:val="00CB531F"/>
    <w:rsid w:val="00CB6A94"/>
    <w:rsid w:val="00CC0A07"/>
    <w:rsid w:val="00CC15A4"/>
    <w:rsid w:val="00CC2CCA"/>
    <w:rsid w:val="00CD255C"/>
    <w:rsid w:val="00CD3B3A"/>
    <w:rsid w:val="00CD5BBC"/>
    <w:rsid w:val="00CD63A4"/>
    <w:rsid w:val="00CD7793"/>
    <w:rsid w:val="00CE080F"/>
    <w:rsid w:val="00CE266E"/>
    <w:rsid w:val="00CE51EB"/>
    <w:rsid w:val="00CE5897"/>
    <w:rsid w:val="00CE58A1"/>
    <w:rsid w:val="00CE5999"/>
    <w:rsid w:val="00CF7250"/>
    <w:rsid w:val="00CF76AB"/>
    <w:rsid w:val="00D00C76"/>
    <w:rsid w:val="00D0145F"/>
    <w:rsid w:val="00D053BD"/>
    <w:rsid w:val="00D05A31"/>
    <w:rsid w:val="00D07B54"/>
    <w:rsid w:val="00D11A08"/>
    <w:rsid w:val="00D15A4B"/>
    <w:rsid w:val="00D15F28"/>
    <w:rsid w:val="00D16696"/>
    <w:rsid w:val="00D21F43"/>
    <w:rsid w:val="00D2284D"/>
    <w:rsid w:val="00D24102"/>
    <w:rsid w:val="00D254F2"/>
    <w:rsid w:val="00D30A99"/>
    <w:rsid w:val="00D35B90"/>
    <w:rsid w:val="00D36500"/>
    <w:rsid w:val="00D36564"/>
    <w:rsid w:val="00D36E98"/>
    <w:rsid w:val="00D42727"/>
    <w:rsid w:val="00D45910"/>
    <w:rsid w:val="00D45DD4"/>
    <w:rsid w:val="00D51539"/>
    <w:rsid w:val="00D57034"/>
    <w:rsid w:val="00D60E4F"/>
    <w:rsid w:val="00D613BB"/>
    <w:rsid w:val="00D61C71"/>
    <w:rsid w:val="00D62C7A"/>
    <w:rsid w:val="00D65AE2"/>
    <w:rsid w:val="00D668AF"/>
    <w:rsid w:val="00D71951"/>
    <w:rsid w:val="00D72987"/>
    <w:rsid w:val="00D72BCB"/>
    <w:rsid w:val="00D73E9A"/>
    <w:rsid w:val="00D74F1A"/>
    <w:rsid w:val="00D76CB8"/>
    <w:rsid w:val="00D77A06"/>
    <w:rsid w:val="00D81371"/>
    <w:rsid w:val="00D83A3B"/>
    <w:rsid w:val="00D8588C"/>
    <w:rsid w:val="00D90179"/>
    <w:rsid w:val="00D91A85"/>
    <w:rsid w:val="00D92937"/>
    <w:rsid w:val="00D9335B"/>
    <w:rsid w:val="00D933B7"/>
    <w:rsid w:val="00D95911"/>
    <w:rsid w:val="00DA0A4B"/>
    <w:rsid w:val="00DA11C6"/>
    <w:rsid w:val="00DA1A7C"/>
    <w:rsid w:val="00DA6A16"/>
    <w:rsid w:val="00DA6DFA"/>
    <w:rsid w:val="00DB2919"/>
    <w:rsid w:val="00DB4F5C"/>
    <w:rsid w:val="00DD01C3"/>
    <w:rsid w:val="00DD1173"/>
    <w:rsid w:val="00DD17C4"/>
    <w:rsid w:val="00DD5952"/>
    <w:rsid w:val="00DE1997"/>
    <w:rsid w:val="00DE422B"/>
    <w:rsid w:val="00DE564F"/>
    <w:rsid w:val="00DE5C19"/>
    <w:rsid w:val="00DE64F6"/>
    <w:rsid w:val="00DE7448"/>
    <w:rsid w:val="00DE7946"/>
    <w:rsid w:val="00DF0951"/>
    <w:rsid w:val="00DF402B"/>
    <w:rsid w:val="00E00411"/>
    <w:rsid w:val="00E004A8"/>
    <w:rsid w:val="00E02C45"/>
    <w:rsid w:val="00E055C5"/>
    <w:rsid w:val="00E06134"/>
    <w:rsid w:val="00E07128"/>
    <w:rsid w:val="00E0777E"/>
    <w:rsid w:val="00E07885"/>
    <w:rsid w:val="00E07AD6"/>
    <w:rsid w:val="00E127F6"/>
    <w:rsid w:val="00E130B7"/>
    <w:rsid w:val="00E177B1"/>
    <w:rsid w:val="00E20821"/>
    <w:rsid w:val="00E21747"/>
    <w:rsid w:val="00E23ABE"/>
    <w:rsid w:val="00E24C96"/>
    <w:rsid w:val="00E257BA"/>
    <w:rsid w:val="00E27137"/>
    <w:rsid w:val="00E32A95"/>
    <w:rsid w:val="00E348EF"/>
    <w:rsid w:val="00E37722"/>
    <w:rsid w:val="00E3799F"/>
    <w:rsid w:val="00E41FA1"/>
    <w:rsid w:val="00E420DB"/>
    <w:rsid w:val="00E4315C"/>
    <w:rsid w:val="00E444BB"/>
    <w:rsid w:val="00E47539"/>
    <w:rsid w:val="00E53EA3"/>
    <w:rsid w:val="00E60D35"/>
    <w:rsid w:val="00E71601"/>
    <w:rsid w:val="00E71838"/>
    <w:rsid w:val="00E74C2F"/>
    <w:rsid w:val="00E808A0"/>
    <w:rsid w:val="00E82975"/>
    <w:rsid w:val="00E82C57"/>
    <w:rsid w:val="00E8309C"/>
    <w:rsid w:val="00E837EA"/>
    <w:rsid w:val="00E96054"/>
    <w:rsid w:val="00EA2FEE"/>
    <w:rsid w:val="00EA4339"/>
    <w:rsid w:val="00EA533B"/>
    <w:rsid w:val="00EB117C"/>
    <w:rsid w:val="00EB55B6"/>
    <w:rsid w:val="00EC5C40"/>
    <w:rsid w:val="00ED0DBB"/>
    <w:rsid w:val="00ED2F94"/>
    <w:rsid w:val="00EE2015"/>
    <w:rsid w:val="00EE216A"/>
    <w:rsid w:val="00EE4AB9"/>
    <w:rsid w:val="00EF2E6D"/>
    <w:rsid w:val="00EF660E"/>
    <w:rsid w:val="00F01723"/>
    <w:rsid w:val="00F043C1"/>
    <w:rsid w:val="00F10075"/>
    <w:rsid w:val="00F1415F"/>
    <w:rsid w:val="00F147B3"/>
    <w:rsid w:val="00F16378"/>
    <w:rsid w:val="00F17D52"/>
    <w:rsid w:val="00F215EF"/>
    <w:rsid w:val="00F272E0"/>
    <w:rsid w:val="00F31D11"/>
    <w:rsid w:val="00F32747"/>
    <w:rsid w:val="00F34759"/>
    <w:rsid w:val="00F374F2"/>
    <w:rsid w:val="00F4036E"/>
    <w:rsid w:val="00F40A8B"/>
    <w:rsid w:val="00F412B6"/>
    <w:rsid w:val="00F445C5"/>
    <w:rsid w:val="00F50B04"/>
    <w:rsid w:val="00F5527B"/>
    <w:rsid w:val="00F60974"/>
    <w:rsid w:val="00F60B8B"/>
    <w:rsid w:val="00F626DE"/>
    <w:rsid w:val="00F63DB5"/>
    <w:rsid w:val="00F70487"/>
    <w:rsid w:val="00F71963"/>
    <w:rsid w:val="00F71FEE"/>
    <w:rsid w:val="00F7287C"/>
    <w:rsid w:val="00F76B20"/>
    <w:rsid w:val="00F80DA0"/>
    <w:rsid w:val="00F815A8"/>
    <w:rsid w:val="00F821C6"/>
    <w:rsid w:val="00F83B02"/>
    <w:rsid w:val="00F83C35"/>
    <w:rsid w:val="00F84A6F"/>
    <w:rsid w:val="00F84EBC"/>
    <w:rsid w:val="00F9348E"/>
    <w:rsid w:val="00F94FAC"/>
    <w:rsid w:val="00F95BE0"/>
    <w:rsid w:val="00FA23F9"/>
    <w:rsid w:val="00FA2638"/>
    <w:rsid w:val="00FA29D7"/>
    <w:rsid w:val="00FA31E8"/>
    <w:rsid w:val="00FA3858"/>
    <w:rsid w:val="00FA5150"/>
    <w:rsid w:val="00FA7435"/>
    <w:rsid w:val="00FA7810"/>
    <w:rsid w:val="00FB05E2"/>
    <w:rsid w:val="00FB360A"/>
    <w:rsid w:val="00FC23B6"/>
    <w:rsid w:val="00FC2DF3"/>
    <w:rsid w:val="00FC7545"/>
    <w:rsid w:val="00FE0B8C"/>
    <w:rsid w:val="00FE124B"/>
    <w:rsid w:val="00FE410A"/>
    <w:rsid w:val="00FE6BC2"/>
    <w:rsid w:val="00FE6D7C"/>
    <w:rsid w:val="00FF0327"/>
    <w:rsid w:val="00FF206C"/>
    <w:rsid w:val="00FF2C9D"/>
    <w:rsid w:val="00FF2FD5"/>
    <w:rsid w:val="00FF3A68"/>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5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val="x-none"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imes New Roman"/>
      <w:sz w:val="16"/>
      <w:lang w:val="x-none" w:eastAsia="en-US"/>
    </w:rPr>
  </w:style>
  <w:style w:type="paragraph" w:styleId="ListParagraph">
    <w:name w:val="List Paragraph"/>
    <w:basedOn w:val="Normal"/>
    <w:uiPriority w:val="99"/>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lang w:val="x-none" w:eastAsia="en-US"/>
    </w:rPr>
  </w:style>
  <w:style w:type="paragraph" w:styleId="Revision">
    <w:name w:val="Revision"/>
    <w:hidden/>
    <w:uiPriority w:val="99"/>
    <w:semiHidden/>
    <w:rsid w:val="001C63D0"/>
    <w:rPr>
      <w:lang w:eastAsia="en-US"/>
    </w:rPr>
  </w:style>
  <w:style w:type="paragraph" w:styleId="Header">
    <w:name w:val="header"/>
    <w:basedOn w:val="Normal"/>
    <w:link w:val="HeaderChar"/>
    <w:uiPriority w:val="99"/>
    <w:unhideWhenUsed/>
    <w:rsid w:val="00C413AA"/>
    <w:pPr>
      <w:tabs>
        <w:tab w:val="center" w:pos="4513"/>
        <w:tab w:val="right" w:pos="9026"/>
      </w:tabs>
    </w:pPr>
  </w:style>
  <w:style w:type="character" w:customStyle="1" w:styleId="HeaderChar">
    <w:name w:val="Header Char"/>
    <w:basedOn w:val="DefaultParagraphFont"/>
    <w:link w:val="Header"/>
    <w:uiPriority w:val="99"/>
    <w:locked/>
    <w:rsid w:val="00C413AA"/>
    <w:rPr>
      <w:rFonts w:cs="Times New Roman"/>
      <w:sz w:val="20"/>
      <w:lang w:val="x-none" w:eastAsia="en-US"/>
    </w:rPr>
  </w:style>
  <w:style w:type="paragraph" w:styleId="Footer">
    <w:name w:val="footer"/>
    <w:basedOn w:val="Normal"/>
    <w:link w:val="FooterChar"/>
    <w:uiPriority w:val="99"/>
    <w:unhideWhenUsed/>
    <w:rsid w:val="00C413AA"/>
    <w:pPr>
      <w:tabs>
        <w:tab w:val="center" w:pos="4513"/>
        <w:tab w:val="right" w:pos="9026"/>
      </w:tabs>
    </w:pPr>
  </w:style>
  <w:style w:type="character" w:customStyle="1" w:styleId="FooterChar">
    <w:name w:val="Footer Char"/>
    <w:basedOn w:val="DefaultParagraphFont"/>
    <w:link w:val="Footer"/>
    <w:uiPriority w:val="99"/>
    <w:locked/>
    <w:rsid w:val="00C413AA"/>
    <w:rPr>
      <w:rFonts w:cs="Times New Roman"/>
      <w:sz w:val="2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5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val="x-none"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imes New Roman"/>
      <w:sz w:val="16"/>
      <w:lang w:val="x-none" w:eastAsia="en-US"/>
    </w:rPr>
  </w:style>
  <w:style w:type="paragraph" w:styleId="ListParagraph">
    <w:name w:val="List Paragraph"/>
    <w:basedOn w:val="Normal"/>
    <w:uiPriority w:val="99"/>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lang w:val="x-none" w:eastAsia="en-US"/>
    </w:rPr>
  </w:style>
  <w:style w:type="paragraph" w:styleId="Revision">
    <w:name w:val="Revision"/>
    <w:hidden/>
    <w:uiPriority w:val="99"/>
    <w:semiHidden/>
    <w:rsid w:val="001C63D0"/>
    <w:rPr>
      <w:lang w:eastAsia="en-US"/>
    </w:rPr>
  </w:style>
  <w:style w:type="paragraph" w:styleId="Header">
    <w:name w:val="header"/>
    <w:basedOn w:val="Normal"/>
    <w:link w:val="HeaderChar"/>
    <w:uiPriority w:val="99"/>
    <w:unhideWhenUsed/>
    <w:rsid w:val="00C413AA"/>
    <w:pPr>
      <w:tabs>
        <w:tab w:val="center" w:pos="4513"/>
        <w:tab w:val="right" w:pos="9026"/>
      </w:tabs>
    </w:pPr>
  </w:style>
  <w:style w:type="character" w:customStyle="1" w:styleId="HeaderChar">
    <w:name w:val="Header Char"/>
    <w:basedOn w:val="DefaultParagraphFont"/>
    <w:link w:val="Header"/>
    <w:uiPriority w:val="99"/>
    <w:locked/>
    <w:rsid w:val="00C413AA"/>
    <w:rPr>
      <w:rFonts w:cs="Times New Roman"/>
      <w:sz w:val="20"/>
      <w:lang w:val="x-none" w:eastAsia="en-US"/>
    </w:rPr>
  </w:style>
  <w:style w:type="paragraph" w:styleId="Footer">
    <w:name w:val="footer"/>
    <w:basedOn w:val="Normal"/>
    <w:link w:val="FooterChar"/>
    <w:uiPriority w:val="99"/>
    <w:unhideWhenUsed/>
    <w:rsid w:val="00C413AA"/>
    <w:pPr>
      <w:tabs>
        <w:tab w:val="center" w:pos="4513"/>
        <w:tab w:val="right" w:pos="9026"/>
      </w:tabs>
    </w:pPr>
  </w:style>
  <w:style w:type="character" w:customStyle="1" w:styleId="FooterChar">
    <w:name w:val="Footer Char"/>
    <w:basedOn w:val="DefaultParagraphFont"/>
    <w:link w:val="Footer"/>
    <w:uiPriority w:val="99"/>
    <w:locked/>
    <w:rsid w:val="00C413AA"/>
    <w:rPr>
      <w:rFonts w:cs="Times New Roman"/>
      <w:sz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01635">
      <w:marLeft w:val="0"/>
      <w:marRight w:val="0"/>
      <w:marTop w:val="0"/>
      <w:marBottom w:val="0"/>
      <w:divBdr>
        <w:top w:val="none" w:sz="0" w:space="0" w:color="auto"/>
        <w:left w:val="none" w:sz="0" w:space="0" w:color="auto"/>
        <w:bottom w:val="none" w:sz="0" w:space="0" w:color="auto"/>
        <w:right w:val="none" w:sz="0" w:space="0" w:color="auto"/>
      </w:divBdr>
    </w:div>
    <w:div w:id="1470201636">
      <w:marLeft w:val="0"/>
      <w:marRight w:val="0"/>
      <w:marTop w:val="0"/>
      <w:marBottom w:val="0"/>
      <w:divBdr>
        <w:top w:val="none" w:sz="0" w:space="0" w:color="auto"/>
        <w:left w:val="none" w:sz="0" w:space="0" w:color="auto"/>
        <w:bottom w:val="none" w:sz="0" w:space="0" w:color="auto"/>
        <w:right w:val="none" w:sz="0" w:space="0" w:color="auto"/>
      </w:divBdr>
    </w:div>
    <w:div w:id="1470201637">
      <w:marLeft w:val="0"/>
      <w:marRight w:val="0"/>
      <w:marTop w:val="0"/>
      <w:marBottom w:val="0"/>
      <w:divBdr>
        <w:top w:val="none" w:sz="0" w:space="0" w:color="auto"/>
        <w:left w:val="none" w:sz="0" w:space="0" w:color="auto"/>
        <w:bottom w:val="none" w:sz="0" w:space="0" w:color="auto"/>
        <w:right w:val="none" w:sz="0" w:space="0" w:color="auto"/>
      </w:divBdr>
    </w:div>
    <w:div w:id="1470201638">
      <w:marLeft w:val="0"/>
      <w:marRight w:val="0"/>
      <w:marTop w:val="0"/>
      <w:marBottom w:val="0"/>
      <w:divBdr>
        <w:top w:val="none" w:sz="0" w:space="0" w:color="auto"/>
        <w:left w:val="none" w:sz="0" w:space="0" w:color="auto"/>
        <w:bottom w:val="none" w:sz="0" w:space="0" w:color="auto"/>
        <w:right w:val="none" w:sz="0" w:space="0" w:color="auto"/>
      </w:divBdr>
    </w:div>
    <w:div w:id="1470201639">
      <w:marLeft w:val="0"/>
      <w:marRight w:val="0"/>
      <w:marTop w:val="0"/>
      <w:marBottom w:val="0"/>
      <w:divBdr>
        <w:top w:val="none" w:sz="0" w:space="0" w:color="auto"/>
        <w:left w:val="none" w:sz="0" w:space="0" w:color="auto"/>
        <w:bottom w:val="none" w:sz="0" w:space="0" w:color="auto"/>
        <w:right w:val="none" w:sz="0" w:space="0" w:color="auto"/>
      </w:divBdr>
    </w:div>
    <w:div w:id="1470201640">
      <w:marLeft w:val="0"/>
      <w:marRight w:val="0"/>
      <w:marTop w:val="0"/>
      <w:marBottom w:val="0"/>
      <w:divBdr>
        <w:top w:val="none" w:sz="0" w:space="0" w:color="auto"/>
        <w:left w:val="none" w:sz="0" w:space="0" w:color="auto"/>
        <w:bottom w:val="none" w:sz="0" w:space="0" w:color="auto"/>
        <w:right w:val="none" w:sz="0" w:space="0" w:color="auto"/>
      </w:divBdr>
    </w:div>
    <w:div w:id="1470201641">
      <w:marLeft w:val="0"/>
      <w:marRight w:val="0"/>
      <w:marTop w:val="0"/>
      <w:marBottom w:val="0"/>
      <w:divBdr>
        <w:top w:val="none" w:sz="0" w:space="0" w:color="auto"/>
        <w:left w:val="none" w:sz="0" w:space="0" w:color="auto"/>
        <w:bottom w:val="none" w:sz="0" w:space="0" w:color="auto"/>
        <w:right w:val="none" w:sz="0" w:space="0" w:color="auto"/>
      </w:divBdr>
    </w:div>
    <w:div w:id="1470201642">
      <w:marLeft w:val="0"/>
      <w:marRight w:val="0"/>
      <w:marTop w:val="0"/>
      <w:marBottom w:val="0"/>
      <w:divBdr>
        <w:top w:val="none" w:sz="0" w:space="0" w:color="auto"/>
        <w:left w:val="none" w:sz="0" w:space="0" w:color="auto"/>
        <w:bottom w:val="none" w:sz="0" w:space="0" w:color="auto"/>
        <w:right w:val="none" w:sz="0" w:space="0" w:color="auto"/>
      </w:divBdr>
    </w:div>
    <w:div w:id="1470201643">
      <w:marLeft w:val="0"/>
      <w:marRight w:val="0"/>
      <w:marTop w:val="0"/>
      <w:marBottom w:val="0"/>
      <w:divBdr>
        <w:top w:val="none" w:sz="0" w:space="0" w:color="auto"/>
        <w:left w:val="none" w:sz="0" w:space="0" w:color="auto"/>
        <w:bottom w:val="none" w:sz="0" w:space="0" w:color="auto"/>
        <w:right w:val="none" w:sz="0" w:space="0" w:color="auto"/>
      </w:divBdr>
    </w:div>
    <w:div w:id="1470201644">
      <w:marLeft w:val="0"/>
      <w:marRight w:val="0"/>
      <w:marTop w:val="0"/>
      <w:marBottom w:val="0"/>
      <w:divBdr>
        <w:top w:val="none" w:sz="0" w:space="0" w:color="auto"/>
        <w:left w:val="none" w:sz="0" w:space="0" w:color="auto"/>
        <w:bottom w:val="none" w:sz="0" w:space="0" w:color="auto"/>
        <w:right w:val="none" w:sz="0" w:space="0" w:color="auto"/>
      </w:divBdr>
    </w:div>
    <w:div w:id="1470201645">
      <w:marLeft w:val="0"/>
      <w:marRight w:val="0"/>
      <w:marTop w:val="0"/>
      <w:marBottom w:val="0"/>
      <w:divBdr>
        <w:top w:val="none" w:sz="0" w:space="0" w:color="auto"/>
        <w:left w:val="none" w:sz="0" w:space="0" w:color="auto"/>
        <w:bottom w:val="none" w:sz="0" w:space="0" w:color="auto"/>
        <w:right w:val="none" w:sz="0" w:space="0" w:color="auto"/>
      </w:divBdr>
    </w:div>
    <w:div w:id="1470201646">
      <w:marLeft w:val="0"/>
      <w:marRight w:val="0"/>
      <w:marTop w:val="0"/>
      <w:marBottom w:val="0"/>
      <w:divBdr>
        <w:top w:val="none" w:sz="0" w:space="0" w:color="auto"/>
        <w:left w:val="none" w:sz="0" w:space="0" w:color="auto"/>
        <w:bottom w:val="none" w:sz="0" w:space="0" w:color="auto"/>
        <w:right w:val="none" w:sz="0" w:space="0" w:color="auto"/>
      </w:divBdr>
    </w:div>
    <w:div w:id="1470201647">
      <w:marLeft w:val="0"/>
      <w:marRight w:val="0"/>
      <w:marTop w:val="0"/>
      <w:marBottom w:val="0"/>
      <w:divBdr>
        <w:top w:val="none" w:sz="0" w:space="0" w:color="auto"/>
        <w:left w:val="none" w:sz="0" w:space="0" w:color="auto"/>
        <w:bottom w:val="none" w:sz="0" w:space="0" w:color="auto"/>
        <w:right w:val="none" w:sz="0" w:space="0" w:color="auto"/>
      </w:divBdr>
    </w:div>
    <w:div w:id="1470201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C77A-2A52-4F07-B054-17099DD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682A6-8F10-4D18-A848-360C1F224296}">
  <ds:schemaRefs>
    <ds:schemaRef ds:uri="http://schemas.microsoft.com/sharepoint/v3/contenttype/forms"/>
  </ds:schemaRefs>
</ds:datastoreItem>
</file>

<file path=customXml/itemProps3.xml><?xml version="1.0" encoding="utf-8"?>
<ds:datastoreItem xmlns:ds="http://schemas.openxmlformats.org/officeDocument/2006/customXml" ds:itemID="{FFC07FE4-36E3-4FC9-874B-9A0EC1E50CE2}">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2F7BD17D-B3B3-45D9-A69A-296CE5AB3680"/>
    <ds:schemaRef ds:uri="http://schemas.microsoft.com/office/2006/metadata/properties"/>
  </ds:schemaRefs>
</ds:datastoreItem>
</file>

<file path=customXml/itemProps4.xml><?xml version="1.0" encoding="utf-8"?>
<ds:datastoreItem xmlns:ds="http://schemas.openxmlformats.org/officeDocument/2006/customXml" ds:itemID="{A56F4B72-1A09-49F0-B175-1D2BDFAC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FD8DE21A.dotm</Template>
  <TotalTime>1</TotalTime>
  <Pages>5</Pages>
  <Words>1539</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Nadimi</dc:creator>
  <cp:lastModifiedBy>Rob Mason</cp:lastModifiedBy>
  <cp:revision>2</cp:revision>
  <cp:lastPrinted>2015-12-11T04:46:00Z</cp:lastPrinted>
  <dcterms:created xsi:type="dcterms:W3CDTF">2015-12-11T04:47:00Z</dcterms:created>
  <dcterms:modified xsi:type="dcterms:W3CDTF">2015-12-11T04:47:00Z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0x010100266966F133664895A6EE3632470D45F5010044193D363F643749B257055BABFB202C</vt:lpwstr>
  </property>
</Properties>
</file>