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Pr="004E733F" w:rsidRDefault="00FD5DBE" w:rsidP="00FD5DBE">
      <w:pPr>
        <w:pStyle w:val="LDAmendHeading"/>
        <w:ind w:left="0" w:firstLine="0"/>
      </w:pPr>
      <w:r w:rsidRPr="004E733F">
        <w:t>Explanatory Statement</w:t>
      </w:r>
    </w:p>
    <w:p w:rsidR="00353B7B" w:rsidRDefault="005B52F3" w:rsidP="00FD5DBE">
      <w:pPr>
        <w:pStyle w:val="LDAmendHeading"/>
        <w:ind w:left="0" w:firstLine="0"/>
      </w:pPr>
      <w:r w:rsidRPr="004E733F">
        <w:t>Marine Orde</w:t>
      </w:r>
      <w:r w:rsidR="00622899" w:rsidRPr="004E733F">
        <w:t>r 11</w:t>
      </w:r>
      <w:r w:rsidR="00F555F3" w:rsidRPr="004E733F">
        <w:t xml:space="preserve"> (</w:t>
      </w:r>
      <w:r w:rsidR="00622899" w:rsidRPr="004E733F">
        <w:t>Living and working conditions on vessels</w:t>
      </w:r>
      <w:r w:rsidR="00F555F3" w:rsidRPr="004E733F">
        <w:t xml:space="preserve">) </w:t>
      </w:r>
      <w:r w:rsidR="001713C3">
        <w:t xml:space="preserve">Amendment </w:t>
      </w:r>
      <w:r w:rsidR="00F555F3" w:rsidRPr="004E733F">
        <w:t>201</w:t>
      </w:r>
      <w:r w:rsidR="005F256E" w:rsidRPr="004E733F">
        <w:t>5</w:t>
      </w:r>
      <w:r w:rsidRPr="004E733F">
        <w:t xml:space="preserve"> </w:t>
      </w:r>
      <w:r w:rsidR="006F3AF0">
        <w:t>(No. 1)</w:t>
      </w:r>
    </w:p>
    <w:p w:rsidR="00FD5DBE" w:rsidRPr="004E733F" w:rsidRDefault="002B40AA" w:rsidP="00353B7B">
      <w:pPr>
        <w:pStyle w:val="LDAmendHeading"/>
        <w:spacing w:before="60"/>
        <w:ind w:left="0" w:firstLine="0"/>
      </w:pPr>
      <w:r w:rsidRPr="004E733F">
        <w:t>(Order </w:t>
      </w:r>
      <w:r w:rsidR="006E2A8C" w:rsidRPr="004E733F">
        <w:t>201</w:t>
      </w:r>
      <w:r w:rsidR="005F256E" w:rsidRPr="004E733F">
        <w:t>5</w:t>
      </w:r>
      <w:r w:rsidR="00BA6239" w:rsidRPr="004E733F">
        <w:t>/</w:t>
      </w:r>
      <w:r w:rsidR="00AF16A2">
        <w:t>9</w:t>
      </w:r>
      <w:r w:rsidR="00BA6239" w:rsidRPr="004E733F">
        <w:t>)</w:t>
      </w:r>
    </w:p>
    <w:p w:rsidR="009B015D" w:rsidRPr="004E733F" w:rsidRDefault="009B015D" w:rsidP="009B015D">
      <w:pPr>
        <w:pStyle w:val="LDAmendHeading"/>
        <w:ind w:left="0" w:firstLine="0"/>
      </w:pPr>
      <w:r w:rsidRPr="004E733F">
        <w:t>Authority</w:t>
      </w:r>
    </w:p>
    <w:p w:rsidR="00167071" w:rsidRPr="004E733F" w:rsidRDefault="00167071" w:rsidP="002034C5">
      <w:pPr>
        <w:pStyle w:val="LDMinuteParagraph"/>
        <w:numPr>
          <w:ilvl w:val="0"/>
          <w:numId w:val="11"/>
        </w:numPr>
      </w:pPr>
      <w:r w:rsidRPr="004E733F">
        <w:t xml:space="preserve">The </w:t>
      </w:r>
      <w:r w:rsidRPr="004E733F">
        <w:rPr>
          <w:i/>
        </w:rPr>
        <w:t>Navigation Act 2012</w:t>
      </w:r>
      <w:r w:rsidRPr="004E733F">
        <w:t xml:space="preserve"> (the Navigation Act) provide</w:t>
      </w:r>
      <w:r w:rsidR="00C8613A">
        <w:t>s</w:t>
      </w:r>
      <w:r w:rsidRPr="004E733F">
        <w:t xml:space="preserve"> for this Order to be made.</w:t>
      </w:r>
    </w:p>
    <w:p w:rsidR="00622899" w:rsidRPr="004E733F" w:rsidRDefault="00253288" w:rsidP="002034C5">
      <w:pPr>
        <w:pStyle w:val="LDMinuteParagraph"/>
        <w:numPr>
          <w:ilvl w:val="0"/>
          <w:numId w:val="11"/>
        </w:numPr>
      </w:pPr>
      <w:r w:rsidRPr="004E733F">
        <w:t>Subs</w:t>
      </w:r>
      <w:r w:rsidR="00622899" w:rsidRPr="004E733F">
        <w:t>ection 339(1) provides that regulations may be made prescribing matters that are required or permitted to be prescribed, or that are necessary or convenient to be prescribed for carrying out or giving effect to the Act.</w:t>
      </w:r>
    </w:p>
    <w:p w:rsidR="00622899" w:rsidRPr="004E733F" w:rsidRDefault="00253288" w:rsidP="002034C5">
      <w:pPr>
        <w:pStyle w:val="LDMinuteParagraph"/>
        <w:numPr>
          <w:ilvl w:val="0"/>
          <w:numId w:val="11"/>
        </w:numPr>
      </w:pPr>
      <w:r w:rsidRPr="004E733F">
        <w:t>S</w:t>
      </w:r>
      <w:r w:rsidR="00622899" w:rsidRPr="004E733F">
        <w:t>ubsection 342(1) provides that AMSA may make orders about anything that may or must be made by the regulations.</w:t>
      </w:r>
    </w:p>
    <w:p w:rsidR="00697B63" w:rsidRPr="004E733F" w:rsidRDefault="00697B63" w:rsidP="002034C5">
      <w:pPr>
        <w:pStyle w:val="LDMinuteParagraph"/>
        <w:numPr>
          <w:ilvl w:val="0"/>
          <w:numId w:val="11"/>
        </w:numPr>
        <w:rPr>
          <w:shd w:val="clear" w:color="auto" w:fill="FFFFFF"/>
        </w:rPr>
      </w:pPr>
      <w:r w:rsidRPr="004E733F">
        <w:rPr>
          <w:shd w:val="clear" w:color="auto" w:fill="FFFFFF"/>
        </w:rPr>
        <w:t>Subsection 33(3) of the</w:t>
      </w:r>
      <w:r w:rsidRPr="004E733F">
        <w:rPr>
          <w:rStyle w:val="apple-converted-space"/>
          <w:color w:val="000000"/>
          <w:sz w:val="25"/>
          <w:szCs w:val="25"/>
          <w:shd w:val="clear" w:color="auto" w:fill="FFFFFF"/>
        </w:rPr>
        <w:t> </w:t>
      </w:r>
      <w:r w:rsidRPr="004E733F">
        <w:rPr>
          <w:i/>
          <w:iCs/>
          <w:shd w:val="clear" w:color="auto" w:fill="FFFFFF"/>
        </w:rPr>
        <w:t>Acts Interpretation Act 1901</w:t>
      </w:r>
      <w:r w:rsidRPr="004E733F">
        <w:rPr>
          <w:iCs/>
          <w:shd w:val="clear" w:color="auto" w:fill="FFFFFF"/>
        </w:rPr>
        <w:t xml:space="preserve"> </w:t>
      </w:r>
      <w:r w:rsidRPr="004E733F">
        <w:rPr>
          <w:shd w:val="clear" w:color="auto" w:fill="FFFFFF"/>
        </w:rPr>
        <w:t>provides that a power in an Act to make a legislative instrument includes the power to repeal or amend the instrument, subject to any conditions that apply to the initial power.</w:t>
      </w:r>
    </w:p>
    <w:p w:rsidR="009B015D" w:rsidRPr="004E733F" w:rsidRDefault="009B015D" w:rsidP="002034C5">
      <w:pPr>
        <w:pStyle w:val="LDMinuteParagraph"/>
        <w:numPr>
          <w:ilvl w:val="0"/>
          <w:numId w:val="11"/>
        </w:numPr>
      </w:pPr>
      <w:r w:rsidRPr="004E733F">
        <w:t xml:space="preserve">This Order is a legislative instrument for the </w:t>
      </w:r>
      <w:r w:rsidRPr="004E733F">
        <w:rPr>
          <w:i/>
        </w:rPr>
        <w:t>Legislative Instruments Act 2003</w:t>
      </w:r>
      <w:r w:rsidRPr="004E733F">
        <w:t>.</w:t>
      </w:r>
    </w:p>
    <w:p w:rsidR="00FB71D1" w:rsidRPr="004E733F" w:rsidRDefault="009B015D" w:rsidP="009B015D">
      <w:pPr>
        <w:pStyle w:val="LDAmendHeading"/>
        <w:ind w:left="0" w:firstLine="0"/>
      </w:pPr>
      <w:r w:rsidRPr="004E733F">
        <w:t>Purpose</w:t>
      </w:r>
      <w:r w:rsidR="007F13C0" w:rsidRPr="004E733F">
        <w:t xml:space="preserve"> </w:t>
      </w:r>
      <w:r w:rsidR="007A1F77">
        <w:t>and Overview</w:t>
      </w:r>
    </w:p>
    <w:p w:rsidR="00167071" w:rsidRPr="007A1F77" w:rsidRDefault="009B015D" w:rsidP="00167071">
      <w:pPr>
        <w:pStyle w:val="LDMinuteParagraph"/>
        <w:numPr>
          <w:ilvl w:val="0"/>
          <w:numId w:val="11"/>
        </w:numPr>
      </w:pPr>
      <w:r w:rsidRPr="004E733F">
        <w:t xml:space="preserve">This Order </w:t>
      </w:r>
      <w:r w:rsidR="007A1F77">
        <w:t xml:space="preserve">replaces a reference </w:t>
      </w:r>
      <w:r w:rsidR="001713C3">
        <w:t xml:space="preserve">in subclause 5(a) of Schedule 4 of </w:t>
      </w:r>
      <w:r w:rsidR="001713C3" w:rsidRPr="001713C3">
        <w:rPr>
          <w:i/>
        </w:rPr>
        <w:t>Marine Order</w:t>
      </w:r>
      <w:r w:rsidR="00353B7B">
        <w:rPr>
          <w:i/>
        </w:rPr>
        <w:t> </w:t>
      </w:r>
      <w:r w:rsidR="001713C3" w:rsidRPr="001713C3">
        <w:rPr>
          <w:i/>
        </w:rPr>
        <w:t>11 (Living and working conditions on vessels) 2015</w:t>
      </w:r>
      <w:r w:rsidR="00353B7B">
        <w:rPr>
          <w:i/>
        </w:rPr>
        <w:t xml:space="preserve"> </w:t>
      </w:r>
      <w:r w:rsidR="00353B7B">
        <w:t>(Marine Order 11)</w:t>
      </w:r>
      <w:r w:rsidR="001713C3">
        <w:rPr>
          <w:i/>
        </w:rPr>
        <w:t>.</w:t>
      </w:r>
      <w:r w:rsidR="007A1F77">
        <w:rPr>
          <w:i/>
        </w:rPr>
        <w:t xml:space="preserve"> </w:t>
      </w:r>
      <w:r w:rsidR="007A1F77">
        <w:t xml:space="preserve">Subclause 5(a) </w:t>
      </w:r>
      <w:r w:rsidR="007A1F77">
        <w:rPr>
          <w:szCs w:val="24"/>
        </w:rPr>
        <w:t xml:space="preserve">should have referenced </w:t>
      </w:r>
      <w:r w:rsidR="00B9294F">
        <w:rPr>
          <w:i/>
          <w:szCs w:val="24"/>
        </w:rPr>
        <w:t>Marine Order 15 (C</w:t>
      </w:r>
      <w:r w:rsidR="007A1F77" w:rsidRPr="000C1899">
        <w:rPr>
          <w:i/>
          <w:szCs w:val="24"/>
        </w:rPr>
        <w:t xml:space="preserve">onstruction </w:t>
      </w:r>
      <w:r w:rsidR="001B156A">
        <w:rPr>
          <w:i/>
          <w:szCs w:val="24"/>
        </w:rPr>
        <w:t>—</w:t>
      </w:r>
      <w:r w:rsidR="001B156A" w:rsidRPr="000C1899">
        <w:rPr>
          <w:i/>
          <w:szCs w:val="24"/>
        </w:rPr>
        <w:t xml:space="preserve"> </w:t>
      </w:r>
      <w:r w:rsidR="007A1F77" w:rsidRPr="000C1899">
        <w:rPr>
          <w:i/>
          <w:szCs w:val="24"/>
        </w:rPr>
        <w:t>fire protection, fire detection and fire extinction) 2014</w:t>
      </w:r>
      <w:r w:rsidR="007A1F77">
        <w:rPr>
          <w:i/>
          <w:szCs w:val="24"/>
        </w:rPr>
        <w:t xml:space="preserve"> </w:t>
      </w:r>
      <w:r w:rsidR="007A1F77">
        <w:rPr>
          <w:szCs w:val="24"/>
        </w:rPr>
        <w:t xml:space="preserve">and not </w:t>
      </w:r>
      <w:r w:rsidR="007A1F77" w:rsidRPr="000C1899">
        <w:rPr>
          <w:i/>
          <w:szCs w:val="24"/>
        </w:rPr>
        <w:t>Marine Order 15 (</w:t>
      </w:r>
      <w:r w:rsidR="00B9294F">
        <w:rPr>
          <w:i/>
          <w:szCs w:val="24"/>
        </w:rPr>
        <w:t>C</w:t>
      </w:r>
      <w:r w:rsidR="007A1F77" w:rsidRPr="000C1899">
        <w:rPr>
          <w:i/>
          <w:szCs w:val="24"/>
        </w:rPr>
        <w:t xml:space="preserve">onstruction </w:t>
      </w:r>
      <w:r w:rsidR="001B156A">
        <w:rPr>
          <w:i/>
          <w:szCs w:val="24"/>
        </w:rPr>
        <w:t>—</w:t>
      </w:r>
      <w:r w:rsidR="001B156A" w:rsidRPr="000C1899">
        <w:rPr>
          <w:i/>
          <w:szCs w:val="24"/>
        </w:rPr>
        <w:t xml:space="preserve"> </w:t>
      </w:r>
      <w:r w:rsidR="007A1F77" w:rsidRPr="000C1899">
        <w:rPr>
          <w:i/>
          <w:szCs w:val="24"/>
        </w:rPr>
        <w:t>fire protection, fire detection and fire extinction) 2009</w:t>
      </w:r>
      <w:r w:rsidR="007A1F77">
        <w:rPr>
          <w:szCs w:val="24"/>
        </w:rPr>
        <w:t>.</w:t>
      </w:r>
      <w:r w:rsidR="001B156A">
        <w:rPr>
          <w:szCs w:val="24"/>
        </w:rPr>
        <w:t xml:space="preserve"> The 2014 Order was made while Marine Order 11 was being drafted, and one instance of the repealed 2009 Order was overlooked.</w:t>
      </w:r>
    </w:p>
    <w:p w:rsidR="007A1F77" w:rsidRPr="004E733F" w:rsidRDefault="007A1F77" w:rsidP="00167071">
      <w:pPr>
        <w:pStyle w:val="LDMinuteParagraph"/>
        <w:numPr>
          <w:ilvl w:val="0"/>
          <w:numId w:val="11"/>
        </w:numPr>
      </w:pPr>
      <w:r>
        <w:rPr>
          <w:szCs w:val="24"/>
        </w:rPr>
        <w:t>This Order also make</w:t>
      </w:r>
      <w:r w:rsidR="00B9294F">
        <w:rPr>
          <w:szCs w:val="24"/>
        </w:rPr>
        <w:t>s</w:t>
      </w:r>
      <w:r>
        <w:rPr>
          <w:szCs w:val="24"/>
        </w:rPr>
        <w:t xml:space="preserve"> consequential amendments </w:t>
      </w:r>
      <w:r w:rsidR="00353B7B">
        <w:rPr>
          <w:szCs w:val="24"/>
        </w:rPr>
        <w:t xml:space="preserve">to Marine Order 11 </w:t>
      </w:r>
      <w:r>
        <w:rPr>
          <w:szCs w:val="24"/>
        </w:rPr>
        <w:t xml:space="preserve">resulting from </w:t>
      </w:r>
      <w:r w:rsidR="00CE1705">
        <w:rPr>
          <w:szCs w:val="24"/>
        </w:rPr>
        <w:t xml:space="preserve">replacing </w:t>
      </w:r>
      <w:r w:rsidR="00CE1705" w:rsidRPr="00F67B7D">
        <w:rPr>
          <w:i/>
          <w:szCs w:val="24"/>
        </w:rPr>
        <w:t>Marine Order 28 (Operation</w:t>
      </w:r>
      <w:r w:rsidR="00CE1705">
        <w:rPr>
          <w:i/>
          <w:szCs w:val="24"/>
        </w:rPr>
        <w:t xml:space="preserve">s standards and procedures) 2009 </w:t>
      </w:r>
      <w:r w:rsidR="00CE1705" w:rsidRPr="00CE1705">
        <w:rPr>
          <w:szCs w:val="24"/>
        </w:rPr>
        <w:t>with</w:t>
      </w:r>
      <w:r w:rsidR="00CE1705">
        <w:rPr>
          <w:i/>
          <w:szCs w:val="24"/>
        </w:rPr>
        <w:t xml:space="preserve"> </w:t>
      </w:r>
      <w:r w:rsidR="00CE1705" w:rsidRPr="00F67B7D">
        <w:rPr>
          <w:i/>
          <w:szCs w:val="24"/>
        </w:rPr>
        <w:t>Marine Order 28 (Operations standards and procedures) 2015</w:t>
      </w:r>
      <w:r w:rsidR="00CE1705">
        <w:rPr>
          <w:szCs w:val="24"/>
        </w:rPr>
        <w:t xml:space="preserve">. It replaces references to </w:t>
      </w:r>
      <w:r w:rsidR="00CE1705" w:rsidRPr="00F67B7D">
        <w:rPr>
          <w:i/>
          <w:szCs w:val="24"/>
        </w:rPr>
        <w:t>Marine Order 28 (Operation</w:t>
      </w:r>
      <w:r w:rsidR="00CE1705">
        <w:rPr>
          <w:i/>
          <w:szCs w:val="24"/>
        </w:rPr>
        <w:t>s standards and procedures) 2009</w:t>
      </w:r>
      <w:r w:rsidR="00CE1705">
        <w:rPr>
          <w:szCs w:val="24"/>
        </w:rPr>
        <w:t xml:space="preserve"> in sections 28 and 29 of </w:t>
      </w:r>
      <w:r w:rsidR="00353B7B">
        <w:rPr>
          <w:szCs w:val="24"/>
        </w:rPr>
        <w:t xml:space="preserve">Marine Order 11 </w:t>
      </w:r>
      <w:r w:rsidR="00CE1705">
        <w:rPr>
          <w:szCs w:val="24"/>
        </w:rPr>
        <w:t xml:space="preserve">with references to </w:t>
      </w:r>
      <w:r w:rsidR="00CE1705" w:rsidRPr="00F67B7D">
        <w:rPr>
          <w:i/>
          <w:szCs w:val="24"/>
        </w:rPr>
        <w:t>Marine Order 28 (Operation</w:t>
      </w:r>
      <w:r w:rsidR="00CE1705">
        <w:rPr>
          <w:i/>
          <w:szCs w:val="24"/>
        </w:rPr>
        <w:t>s standards and procedures) 2015</w:t>
      </w:r>
      <w:r w:rsidR="00CE1705">
        <w:rPr>
          <w:i/>
        </w:rPr>
        <w:t xml:space="preserve">. </w:t>
      </w:r>
    </w:p>
    <w:p w:rsidR="00176B5A" w:rsidRPr="004E733F" w:rsidRDefault="00597891" w:rsidP="00176B5A">
      <w:pPr>
        <w:pStyle w:val="LDMinuteParagraph"/>
        <w:numPr>
          <w:ilvl w:val="0"/>
          <w:numId w:val="11"/>
        </w:numPr>
        <w:tabs>
          <w:tab w:val="clear" w:pos="360"/>
          <w:tab w:val="left" w:pos="720"/>
        </w:tabs>
        <w:adjustRightInd/>
        <w:textAlignment w:val="auto"/>
      </w:pPr>
      <w:r w:rsidRPr="004E733F">
        <w:t xml:space="preserve">A copy of the draft of this Order was placed on the AMSA website for public comment </w:t>
      </w:r>
      <w:r w:rsidR="00E109DA">
        <w:t>from 28 August 2015 to 5 September 2015. No comments were received.</w:t>
      </w:r>
    </w:p>
    <w:p w:rsidR="000F4495" w:rsidRPr="004E733F" w:rsidRDefault="00E109DA" w:rsidP="00532837">
      <w:pPr>
        <w:pStyle w:val="LDMinuteParagraph"/>
        <w:numPr>
          <w:ilvl w:val="0"/>
          <w:numId w:val="11"/>
        </w:numPr>
      </w:pPr>
      <w:r>
        <w:t>The Office of Best Practice Regulation (OBPR) considers that the Order deals with matters of a minor or machinery nature and no regulatory impact statement is required. The OBPR reference number is 16724.</w:t>
      </w:r>
    </w:p>
    <w:p w:rsidR="009B015D" w:rsidRPr="004E733F" w:rsidRDefault="009B015D" w:rsidP="009B015D">
      <w:pPr>
        <w:pStyle w:val="LDAmendHeading"/>
      </w:pPr>
      <w:r w:rsidRPr="004E733F">
        <w:t>Documents incorporated by reference</w:t>
      </w:r>
    </w:p>
    <w:p w:rsidR="0084213D" w:rsidRPr="004E733F" w:rsidRDefault="007A1F77" w:rsidP="002034C5">
      <w:pPr>
        <w:pStyle w:val="LDMinuteParagraph"/>
        <w:numPr>
          <w:ilvl w:val="0"/>
          <w:numId w:val="11"/>
        </w:numPr>
      </w:pPr>
      <w:r>
        <w:t>The</w:t>
      </w:r>
      <w:r w:rsidR="00353B7B">
        <w:t xml:space="preserve"> </w:t>
      </w:r>
      <w:r>
        <w:t xml:space="preserve">following marine orders </w:t>
      </w:r>
      <w:r w:rsidR="00964F97">
        <w:t>mentioned</w:t>
      </w:r>
      <w:r w:rsidR="0084213D" w:rsidRPr="004E733F">
        <w:t xml:space="preserve"> in this Order are available from </w:t>
      </w:r>
      <w:r w:rsidR="0084213D" w:rsidRPr="004E733F">
        <w:rPr>
          <w:u w:val="single"/>
        </w:rPr>
        <w:t>http://comlaw.gov.au</w:t>
      </w:r>
      <w:r w:rsidR="0084213D" w:rsidRPr="004E733F">
        <w:t>:</w:t>
      </w:r>
    </w:p>
    <w:p w:rsidR="007A1F77" w:rsidRPr="007A1F77" w:rsidRDefault="007A1F77" w:rsidP="00A549EF">
      <w:pPr>
        <w:pStyle w:val="LDMinuteParagraph"/>
        <w:numPr>
          <w:ilvl w:val="0"/>
          <w:numId w:val="3"/>
        </w:numPr>
      </w:pPr>
      <w:r w:rsidRPr="000C1899">
        <w:rPr>
          <w:i/>
          <w:szCs w:val="24"/>
        </w:rPr>
        <w:t>Marine Orde</w:t>
      </w:r>
      <w:r w:rsidR="00B9294F">
        <w:rPr>
          <w:i/>
          <w:szCs w:val="24"/>
        </w:rPr>
        <w:t>r 15 (C</w:t>
      </w:r>
      <w:r w:rsidRPr="000C1899">
        <w:rPr>
          <w:i/>
          <w:szCs w:val="24"/>
        </w:rPr>
        <w:t xml:space="preserve">onstruction </w:t>
      </w:r>
      <w:r w:rsidR="00964F97">
        <w:rPr>
          <w:i/>
          <w:szCs w:val="24"/>
        </w:rPr>
        <w:t>—</w:t>
      </w:r>
      <w:r w:rsidR="00964F97" w:rsidRPr="000C1899">
        <w:rPr>
          <w:i/>
          <w:szCs w:val="24"/>
        </w:rPr>
        <w:t xml:space="preserve"> </w:t>
      </w:r>
      <w:r w:rsidRPr="000C1899">
        <w:rPr>
          <w:i/>
          <w:szCs w:val="24"/>
        </w:rPr>
        <w:t>fire protection, fire detection and fire extinction) 2014</w:t>
      </w:r>
    </w:p>
    <w:p w:rsidR="007A1F77" w:rsidRPr="007A1F77" w:rsidRDefault="007A1F77" w:rsidP="00A549EF">
      <w:pPr>
        <w:pStyle w:val="LDMinuteParagraph"/>
        <w:numPr>
          <w:ilvl w:val="0"/>
          <w:numId w:val="3"/>
        </w:numPr>
      </w:pPr>
      <w:r w:rsidRPr="00F67B7D">
        <w:rPr>
          <w:i/>
          <w:szCs w:val="24"/>
        </w:rPr>
        <w:t>Marine Order 28 (Operations standards and procedures) 2015</w:t>
      </w:r>
      <w:r>
        <w:rPr>
          <w:i/>
          <w:szCs w:val="24"/>
        </w:rPr>
        <w:t>.</w:t>
      </w:r>
    </w:p>
    <w:p w:rsidR="00007792" w:rsidRPr="004E733F" w:rsidRDefault="00007792" w:rsidP="00007792">
      <w:pPr>
        <w:pStyle w:val="LDAmendHeading"/>
      </w:pPr>
      <w:r w:rsidRPr="004E733F">
        <w:t>Commencement</w:t>
      </w:r>
    </w:p>
    <w:p w:rsidR="00007792" w:rsidRPr="004E733F" w:rsidRDefault="007A1F77" w:rsidP="002034C5">
      <w:pPr>
        <w:pStyle w:val="LDMinuteParagraph"/>
        <w:numPr>
          <w:ilvl w:val="0"/>
          <w:numId w:val="11"/>
        </w:numPr>
      </w:pPr>
      <w:r>
        <w:t>This Order commence</w:t>
      </w:r>
      <w:r w:rsidR="00964F97">
        <w:t>d</w:t>
      </w:r>
      <w:r w:rsidR="00B9294F">
        <w:t xml:space="preserve"> on 1 January 2016, </w:t>
      </w:r>
      <w:r>
        <w:t xml:space="preserve">immediately after the commencement of </w:t>
      </w:r>
      <w:r w:rsidRPr="00F67B7D">
        <w:rPr>
          <w:i/>
          <w:szCs w:val="24"/>
        </w:rPr>
        <w:t>Marine Order 28 (Operations standards and procedures) 2015</w:t>
      </w:r>
      <w:r>
        <w:rPr>
          <w:i/>
          <w:szCs w:val="24"/>
        </w:rPr>
        <w:t>.</w:t>
      </w:r>
    </w:p>
    <w:p w:rsidR="00007792" w:rsidRPr="004E733F" w:rsidRDefault="00007792" w:rsidP="00007792">
      <w:pPr>
        <w:pStyle w:val="LDAmendHeading"/>
      </w:pPr>
      <w:r w:rsidRPr="004E733F">
        <w:lastRenderedPageBreak/>
        <w:t xml:space="preserve">Contents of this </w:t>
      </w:r>
      <w:r w:rsidR="007005C4" w:rsidRPr="004E733F">
        <w:t>instrument</w:t>
      </w:r>
    </w:p>
    <w:p w:rsidR="00007792" w:rsidRDefault="004E3842" w:rsidP="002034C5">
      <w:pPr>
        <w:pStyle w:val="LDMinuteParagraph"/>
        <w:numPr>
          <w:ilvl w:val="0"/>
          <w:numId w:val="11"/>
        </w:numPr>
      </w:pPr>
      <w:r w:rsidRPr="004E733F">
        <w:t xml:space="preserve">Section </w:t>
      </w:r>
      <w:r w:rsidR="00BA6239" w:rsidRPr="004E733F">
        <w:t xml:space="preserve">1 </w:t>
      </w:r>
      <w:r w:rsidRPr="004E733F">
        <w:t>sets out the name of the Order.</w:t>
      </w:r>
    </w:p>
    <w:p w:rsidR="00DB777A" w:rsidRDefault="00DB777A" w:rsidP="002034C5">
      <w:pPr>
        <w:pStyle w:val="LDMinuteParagraph"/>
        <w:numPr>
          <w:ilvl w:val="0"/>
          <w:numId w:val="11"/>
        </w:numPr>
      </w:pPr>
      <w:r>
        <w:t>Section 2 sets out the commencement date of the Order.</w:t>
      </w:r>
    </w:p>
    <w:p w:rsidR="00DB777A" w:rsidRDefault="00DB777A" w:rsidP="002034C5">
      <w:pPr>
        <w:pStyle w:val="LDMinuteParagraph"/>
        <w:numPr>
          <w:ilvl w:val="0"/>
          <w:numId w:val="11"/>
        </w:numPr>
      </w:pPr>
      <w:r>
        <w:t xml:space="preserve">Section 3 provides that Schedule 1 amends </w:t>
      </w:r>
      <w:r w:rsidRPr="00DB777A">
        <w:rPr>
          <w:i/>
        </w:rPr>
        <w:t>Marine Order 11 (Living and working conditions on vessels) 2015</w:t>
      </w:r>
      <w:r w:rsidRPr="00DB777A">
        <w:t>.</w:t>
      </w:r>
    </w:p>
    <w:p w:rsidR="00DB777A" w:rsidRPr="00964F97" w:rsidRDefault="00CE1705" w:rsidP="002034C5">
      <w:pPr>
        <w:pStyle w:val="LDMinuteParagraph"/>
        <w:numPr>
          <w:ilvl w:val="0"/>
          <w:numId w:val="11"/>
        </w:numPr>
      </w:pPr>
      <w:r>
        <w:t xml:space="preserve">Clause 1 of Schedule 1 replaces, in sections 28 and 29 of </w:t>
      </w:r>
      <w:r w:rsidR="00353B7B">
        <w:t xml:space="preserve">Marine Order 11, </w:t>
      </w:r>
      <w:r>
        <w:t xml:space="preserve">each mention of </w:t>
      </w:r>
      <w:r w:rsidRPr="00F67B7D">
        <w:rPr>
          <w:i/>
          <w:szCs w:val="24"/>
        </w:rPr>
        <w:t>Marine Order 28 (Operations standards and procedures) 201</w:t>
      </w:r>
      <w:r>
        <w:rPr>
          <w:i/>
          <w:szCs w:val="24"/>
        </w:rPr>
        <w:t xml:space="preserve">2 </w:t>
      </w:r>
      <w:r w:rsidRPr="00CE1705">
        <w:rPr>
          <w:szCs w:val="24"/>
        </w:rPr>
        <w:t>with</w:t>
      </w:r>
      <w:r>
        <w:rPr>
          <w:i/>
          <w:szCs w:val="24"/>
        </w:rPr>
        <w:t xml:space="preserve"> </w:t>
      </w:r>
      <w:r w:rsidRPr="00F67B7D">
        <w:rPr>
          <w:i/>
          <w:szCs w:val="24"/>
        </w:rPr>
        <w:t>Marine Order 28 (Operations standards and procedures) 2015</w:t>
      </w:r>
      <w:r w:rsidR="00964F97">
        <w:rPr>
          <w:szCs w:val="24"/>
        </w:rPr>
        <w:t>, following repeal of the 2012 Order and replacement with the 2015 Order.</w:t>
      </w:r>
    </w:p>
    <w:p w:rsidR="00CE1705" w:rsidRPr="004E733F" w:rsidRDefault="00CE1705" w:rsidP="002034C5">
      <w:pPr>
        <w:pStyle w:val="LDMinuteParagraph"/>
        <w:numPr>
          <w:ilvl w:val="0"/>
          <w:numId w:val="11"/>
        </w:numPr>
      </w:pPr>
      <w:r>
        <w:rPr>
          <w:szCs w:val="24"/>
        </w:rPr>
        <w:t xml:space="preserve">Clause 2 of Schedule 1 </w:t>
      </w:r>
      <w:r w:rsidR="00964F97">
        <w:rPr>
          <w:szCs w:val="24"/>
        </w:rPr>
        <w:t>corrects the mistaken reference</w:t>
      </w:r>
      <w:r>
        <w:rPr>
          <w:szCs w:val="24"/>
        </w:rPr>
        <w:t xml:space="preserve">, in subclause 5(a) of Schedule 4 </w:t>
      </w:r>
      <w:r>
        <w:t xml:space="preserve">of </w:t>
      </w:r>
      <w:r w:rsidR="00353B7B">
        <w:t>Marine Order 11</w:t>
      </w:r>
      <w:r>
        <w:t xml:space="preserve">, </w:t>
      </w:r>
      <w:r w:rsidR="00964F97">
        <w:t xml:space="preserve">to </w:t>
      </w:r>
      <w:r w:rsidRPr="000C1899">
        <w:rPr>
          <w:i/>
          <w:szCs w:val="24"/>
        </w:rPr>
        <w:t>Marine Order 15 (</w:t>
      </w:r>
      <w:r w:rsidR="00B9294F">
        <w:rPr>
          <w:i/>
          <w:szCs w:val="24"/>
        </w:rPr>
        <w:t>C</w:t>
      </w:r>
      <w:r w:rsidRPr="000C1899">
        <w:rPr>
          <w:i/>
          <w:szCs w:val="24"/>
        </w:rPr>
        <w:t xml:space="preserve">onstruction </w:t>
      </w:r>
      <w:r w:rsidR="00964F97">
        <w:rPr>
          <w:i/>
          <w:szCs w:val="24"/>
        </w:rPr>
        <w:t>—</w:t>
      </w:r>
      <w:r w:rsidR="00964F97" w:rsidRPr="000C1899">
        <w:rPr>
          <w:i/>
          <w:szCs w:val="24"/>
        </w:rPr>
        <w:t xml:space="preserve"> </w:t>
      </w:r>
      <w:r w:rsidRPr="000C1899">
        <w:rPr>
          <w:i/>
          <w:szCs w:val="24"/>
        </w:rPr>
        <w:t>fire protection, fire detection and fire extinction) 20</w:t>
      </w:r>
      <w:r>
        <w:rPr>
          <w:i/>
          <w:szCs w:val="24"/>
        </w:rPr>
        <w:t>09</w:t>
      </w:r>
      <w:r w:rsidR="00964F97">
        <w:rPr>
          <w:szCs w:val="24"/>
        </w:rPr>
        <w:t>, correcting it to refer to</w:t>
      </w:r>
      <w:r>
        <w:rPr>
          <w:i/>
          <w:szCs w:val="24"/>
        </w:rPr>
        <w:t xml:space="preserve"> </w:t>
      </w:r>
      <w:r w:rsidR="00B9294F">
        <w:rPr>
          <w:i/>
          <w:szCs w:val="24"/>
        </w:rPr>
        <w:t>Marine Order 15 (C</w:t>
      </w:r>
      <w:r w:rsidRPr="000C1899">
        <w:rPr>
          <w:i/>
          <w:szCs w:val="24"/>
        </w:rPr>
        <w:t xml:space="preserve">onstruction </w:t>
      </w:r>
      <w:r w:rsidR="00964F97">
        <w:rPr>
          <w:i/>
          <w:szCs w:val="24"/>
        </w:rPr>
        <w:t>—</w:t>
      </w:r>
      <w:r w:rsidR="00964F97" w:rsidRPr="000C1899">
        <w:rPr>
          <w:i/>
          <w:szCs w:val="24"/>
        </w:rPr>
        <w:t xml:space="preserve"> </w:t>
      </w:r>
      <w:r w:rsidRPr="000C1899">
        <w:rPr>
          <w:i/>
          <w:szCs w:val="24"/>
        </w:rPr>
        <w:t>fire protection, fire detection and fire extinction) 2014</w:t>
      </w:r>
      <w:r>
        <w:rPr>
          <w:i/>
          <w:szCs w:val="24"/>
        </w:rPr>
        <w:t>.</w:t>
      </w:r>
    </w:p>
    <w:p w:rsidR="00990056" w:rsidRPr="004E733F" w:rsidRDefault="000A2964" w:rsidP="00007792">
      <w:pPr>
        <w:pStyle w:val="LDAmendHeading"/>
      </w:pPr>
      <w:r w:rsidRPr="004E733F">
        <w:t>Statement of c</w:t>
      </w:r>
      <w:r w:rsidR="00990056" w:rsidRPr="004E733F">
        <w:t>ompatibility with human rights</w:t>
      </w:r>
    </w:p>
    <w:p w:rsidR="004E3842" w:rsidRPr="004E733F" w:rsidRDefault="00E2679C" w:rsidP="006554DF">
      <w:pPr>
        <w:pStyle w:val="LDMinuteParagraph"/>
        <w:numPr>
          <w:ilvl w:val="0"/>
          <w:numId w:val="11"/>
        </w:numPr>
      </w:pPr>
      <w:r w:rsidRPr="004E733F">
        <w:t>This statement is made for subsection 9(1) of the</w:t>
      </w:r>
      <w:r w:rsidRPr="004E733F">
        <w:rPr>
          <w:i/>
        </w:rPr>
        <w:t xml:space="preserve"> Human Rights (Parliamentary Scrutiny) Act 2011</w:t>
      </w:r>
      <w:r w:rsidR="00F8601E" w:rsidRPr="004E733F">
        <w:rPr>
          <w:i/>
        </w:rPr>
        <w:t>.</w:t>
      </w:r>
    </w:p>
    <w:p w:rsidR="006554DF" w:rsidRPr="004E733F" w:rsidRDefault="006554DF" w:rsidP="006554DF">
      <w:pPr>
        <w:pStyle w:val="LDMinuteParagraph"/>
        <w:numPr>
          <w:ilvl w:val="0"/>
          <w:numId w:val="0"/>
        </w:numPr>
        <w:rPr>
          <w:rFonts w:ascii="Arial" w:hAnsi="Arial" w:cs="Arial"/>
        </w:rPr>
      </w:pPr>
      <w:r w:rsidRPr="004E733F">
        <w:rPr>
          <w:rFonts w:ascii="Arial" w:hAnsi="Arial" w:cs="Arial"/>
        </w:rPr>
        <w:t>Overview of the legislative instrument</w:t>
      </w:r>
    </w:p>
    <w:p w:rsidR="00F2478A" w:rsidRDefault="00F2478A" w:rsidP="00F2478A">
      <w:pPr>
        <w:pStyle w:val="LDMinuteParagraph"/>
        <w:numPr>
          <w:ilvl w:val="0"/>
          <w:numId w:val="11"/>
        </w:numPr>
      </w:pPr>
      <w:r w:rsidRPr="004E733F">
        <w:t xml:space="preserve">This Order is made under the </w:t>
      </w:r>
      <w:r w:rsidRPr="004E733F">
        <w:rPr>
          <w:i/>
        </w:rPr>
        <w:t xml:space="preserve">Navigation Act 2012 </w:t>
      </w:r>
      <w:r w:rsidRPr="004E733F">
        <w:t xml:space="preserve">(the Navigation Act). It </w:t>
      </w:r>
      <w:r>
        <w:t xml:space="preserve">amends </w:t>
      </w:r>
      <w:r w:rsidRPr="00DB777A">
        <w:rPr>
          <w:i/>
        </w:rPr>
        <w:t>Marine Order 11 (Living and working conditions on vessels) 2015</w:t>
      </w:r>
      <w:r>
        <w:t xml:space="preserve"> only to correct a mistaken cross-reference and to update cross-references because of the replacement of a marine order mentioned in Marine Order 11.</w:t>
      </w:r>
    </w:p>
    <w:p w:rsidR="00215AA5" w:rsidRPr="004E733F" w:rsidRDefault="00215AA5" w:rsidP="00215AA5">
      <w:pPr>
        <w:pStyle w:val="LDMinuteParagraph"/>
        <w:numPr>
          <w:ilvl w:val="0"/>
          <w:numId w:val="0"/>
        </w:numPr>
        <w:ind w:left="142"/>
        <w:rPr>
          <w:rFonts w:ascii="Arial" w:hAnsi="Arial" w:cs="Arial"/>
        </w:rPr>
      </w:pPr>
      <w:r w:rsidRPr="004E733F">
        <w:rPr>
          <w:rFonts w:ascii="Arial" w:hAnsi="Arial" w:cs="Arial"/>
        </w:rPr>
        <w:t>Human rights implications</w:t>
      </w:r>
    </w:p>
    <w:p w:rsidR="00D4569D" w:rsidRPr="004E733F" w:rsidRDefault="0080102D" w:rsidP="00CB3912">
      <w:pPr>
        <w:pStyle w:val="LDMinuteParagraph"/>
        <w:numPr>
          <w:ilvl w:val="0"/>
          <w:numId w:val="11"/>
        </w:numPr>
      </w:pPr>
      <w:r>
        <w:t>The</w:t>
      </w:r>
      <w:r w:rsidR="00CE1705">
        <w:t xml:space="preserve"> </w:t>
      </w:r>
      <w:r w:rsidR="00CB3912">
        <w:t xml:space="preserve">changes in this </w:t>
      </w:r>
      <w:r w:rsidR="00CE1705">
        <w:t xml:space="preserve">Order </w:t>
      </w:r>
      <w:r w:rsidR="00CB3912">
        <w:t xml:space="preserve">to </w:t>
      </w:r>
      <w:r w:rsidR="00CE1705" w:rsidRPr="00DB777A">
        <w:rPr>
          <w:i/>
        </w:rPr>
        <w:t>Marine Order 11 (Living and working conditions on vessels) 2015</w:t>
      </w:r>
      <w:r w:rsidR="00CB3912">
        <w:rPr>
          <w:i/>
        </w:rPr>
        <w:t xml:space="preserve"> </w:t>
      </w:r>
      <w:r w:rsidR="00CB3912">
        <w:t>do</w:t>
      </w:r>
      <w:r w:rsidR="00CE1705">
        <w:t xml:space="preserve"> not raise any human rights implications. </w:t>
      </w:r>
    </w:p>
    <w:p w:rsidR="00215AA5" w:rsidRPr="004E733F" w:rsidRDefault="001E60FD" w:rsidP="00215AA5">
      <w:pPr>
        <w:pStyle w:val="LDMinuteParagraph"/>
        <w:numPr>
          <w:ilvl w:val="0"/>
          <w:numId w:val="0"/>
        </w:numPr>
        <w:ind w:left="142"/>
        <w:rPr>
          <w:rFonts w:ascii="Arial" w:hAnsi="Arial" w:cs="Arial"/>
        </w:rPr>
      </w:pPr>
      <w:r w:rsidRPr="004E733F">
        <w:rPr>
          <w:rFonts w:ascii="Arial" w:hAnsi="Arial" w:cs="Arial"/>
        </w:rPr>
        <w:t>Conclusion</w:t>
      </w:r>
    </w:p>
    <w:p w:rsidR="00043C24" w:rsidRPr="004E733F" w:rsidRDefault="006E2BE7" w:rsidP="0093278C">
      <w:pPr>
        <w:pStyle w:val="LDMinuteParagraph"/>
        <w:numPr>
          <w:ilvl w:val="0"/>
          <w:numId w:val="11"/>
        </w:numPr>
      </w:pPr>
      <w:r w:rsidRPr="004E733F">
        <w:t>AMSA considers that t</w:t>
      </w:r>
      <w:r w:rsidR="00043C24" w:rsidRPr="004E733F">
        <w:t xml:space="preserve">his instrument is compatible with </w:t>
      </w:r>
      <w:r w:rsidRPr="004E733F">
        <w:t xml:space="preserve">the rights or freedoms to which the </w:t>
      </w:r>
      <w:r w:rsidRPr="004E733F">
        <w:rPr>
          <w:i/>
        </w:rPr>
        <w:t>Human Rights (Parliamentary Scrutiny) Act 2011</w:t>
      </w:r>
      <w:r w:rsidRPr="004E733F">
        <w:t xml:space="preserve"> applies</w:t>
      </w:r>
      <w:r w:rsidR="00043C24" w:rsidRPr="004E733F">
        <w:t xml:space="preserve">. </w:t>
      </w:r>
    </w:p>
    <w:p w:rsidR="00007792" w:rsidRPr="004E733F" w:rsidRDefault="00007792" w:rsidP="00007792">
      <w:pPr>
        <w:pStyle w:val="LDAmendHeading"/>
      </w:pPr>
      <w:r w:rsidRPr="004E733F">
        <w:t xml:space="preserve">Making the </w:t>
      </w:r>
      <w:r w:rsidR="007005C4" w:rsidRPr="004E733F">
        <w:t>instrument</w:t>
      </w:r>
    </w:p>
    <w:p w:rsidR="00506142" w:rsidRPr="004E733F" w:rsidRDefault="003B2EEF" w:rsidP="006554DF">
      <w:pPr>
        <w:pStyle w:val="LDMinuteParagraph"/>
        <w:numPr>
          <w:ilvl w:val="0"/>
          <w:numId w:val="11"/>
        </w:numPr>
      </w:pPr>
      <w:r w:rsidRPr="004E733F">
        <w:t>Th</w:t>
      </w:r>
      <w:r w:rsidR="007005C4" w:rsidRPr="004E733F">
        <w:t>is instrument</w:t>
      </w:r>
      <w:r w:rsidRPr="004E733F">
        <w:t xml:space="preserve"> has been made by the </w:t>
      </w:r>
      <w:r w:rsidR="005B11DA">
        <w:t xml:space="preserve">Acting </w:t>
      </w:r>
      <w:r w:rsidRPr="004E733F">
        <w:t xml:space="preserve">Chief Executive </w:t>
      </w:r>
      <w:r w:rsidR="009B015D" w:rsidRPr="004E733F">
        <w:t>Officer of the Australian Maritime Safety Authority</w:t>
      </w:r>
      <w:r w:rsidRPr="004E733F">
        <w:t>, in accordance with su</w:t>
      </w:r>
      <w:r w:rsidR="00A302C2" w:rsidRPr="004E733F">
        <w:t>bsec</w:t>
      </w:r>
      <w:r w:rsidRPr="004E733F">
        <w:t xml:space="preserve">tion </w:t>
      </w:r>
      <w:r w:rsidR="007005C4" w:rsidRPr="004E733F">
        <w:t>49</w:t>
      </w:r>
      <w:r w:rsidR="00A302C2" w:rsidRPr="004E733F">
        <w:t>(4</w:t>
      </w:r>
      <w:r w:rsidRPr="004E733F">
        <w:t xml:space="preserve">) of </w:t>
      </w:r>
      <w:r w:rsidR="00A302C2" w:rsidRPr="004E733F">
        <w:t xml:space="preserve">the </w:t>
      </w:r>
      <w:r w:rsidR="00A302C2" w:rsidRPr="004E733F">
        <w:rPr>
          <w:i/>
        </w:rPr>
        <w:t>Australian Maritime Authority Act 1990</w:t>
      </w:r>
      <w:r w:rsidRPr="004E733F">
        <w:t>.</w:t>
      </w:r>
      <w:bookmarkStart w:id="0" w:name="_GoBack"/>
      <w:bookmarkEnd w:id="0"/>
    </w:p>
    <w:sectPr w:rsidR="00506142" w:rsidRPr="004E733F" w:rsidSect="00270686">
      <w:headerReference w:type="even" r:id="rId9"/>
      <w:footerReference w:type="even" r:id="rId10"/>
      <w:footerReference w:type="default" r:id="rId11"/>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DA" w:rsidRDefault="00E109DA">
      <w:r>
        <w:separator/>
      </w:r>
    </w:p>
  </w:endnote>
  <w:endnote w:type="continuationSeparator" w:id="0">
    <w:p w:rsidR="00E109DA" w:rsidRDefault="00E1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DA" w:rsidRDefault="00E109DA" w:rsidP="00760EAE">
    <w:pPr>
      <w:framePr w:wrap="around" w:vAnchor="text" w:hAnchor="margin" w:xAlign="right" w:y="1"/>
    </w:pPr>
    <w:r>
      <w:fldChar w:fldCharType="begin"/>
    </w:r>
    <w:r>
      <w:instrText xml:space="preserve">PAGE  </w:instrText>
    </w:r>
    <w:r>
      <w:fldChar w:fldCharType="end"/>
    </w:r>
  </w:p>
  <w:p w:rsidR="00E109DA" w:rsidRDefault="00E109DA"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DA" w:rsidRPr="00506142" w:rsidRDefault="00E109DA"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sidR="00C14ACF">
      <w:rPr>
        <w:rFonts w:ascii="Arial" w:hAnsi="Arial" w:cs="Arial"/>
        <w:i/>
        <w:sz w:val="16"/>
        <w:szCs w:val="16"/>
      </w:rPr>
      <w:t xml:space="preserve">er 11 (Living and working conditions on vessels) Amendment </w:t>
    </w:r>
    <w:r>
      <w:rPr>
        <w:rFonts w:ascii="Arial" w:hAnsi="Arial" w:cs="Arial"/>
        <w:i/>
        <w:sz w:val="16"/>
        <w:szCs w:val="16"/>
      </w:rPr>
      <w:t>2015</w:t>
    </w:r>
    <w:r w:rsidR="00C14ACF">
      <w:rPr>
        <w:rFonts w:ascii="Arial" w:hAnsi="Arial" w:cs="Arial"/>
        <w:i/>
        <w:sz w:val="16"/>
        <w:szCs w:val="16"/>
      </w:rPr>
      <w:t xml:space="preserve"> </w:t>
    </w:r>
    <w:r w:rsidR="00C14ACF" w:rsidRPr="00C14ACF">
      <w:rPr>
        <w:rFonts w:ascii="Arial" w:hAnsi="Arial" w:cs="Arial"/>
        <w:i/>
        <w:sz w:val="16"/>
        <w:szCs w:val="16"/>
      </w:rPr>
      <w:t>(No.1)</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9294F">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DA" w:rsidRDefault="00E109DA">
      <w:r>
        <w:separator/>
      </w:r>
    </w:p>
  </w:footnote>
  <w:footnote w:type="continuationSeparator" w:id="0">
    <w:p w:rsidR="00E109DA" w:rsidRDefault="00E10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DA" w:rsidRDefault="00E109DA" w:rsidP="00545B58">
    <w:pPr>
      <w:framePr w:wrap="around" w:vAnchor="text" w:hAnchor="margin" w:xAlign="center" w:y="1"/>
    </w:pPr>
    <w:r>
      <w:fldChar w:fldCharType="begin"/>
    </w:r>
    <w:r>
      <w:instrText xml:space="preserve">PAGE  </w:instrText>
    </w:r>
    <w:r>
      <w:fldChar w:fldCharType="end"/>
    </w:r>
  </w:p>
  <w:p w:rsidR="00E109DA" w:rsidRDefault="00E109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AA8"/>
    <w:multiLevelType w:val="hybridMultilevel"/>
    <w:tmpl w:val="1996E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4A5C16"/>
    <w:multiLevelType w:val="hybridMultilevel"/>
    <w:tmpl w:val="F52C4094"/>
    <w:lvl w:ilvl="0" w:tplc="C328490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nsid w:val="1C6632C0"/>
    <w:multiLevelType w:val="hybridMultilevel"/>
    <w:tmpl w:val="681A4F4A"/>
    <w:lvl w:ilvl="0" w:tplc="0C090001">
      <w:start w:val="1"/>
      <w:numFmt w:val="bullet"/>
      <w:lvlText w:val=""/>
      <w:lvlJc w:val="left"/>
      <w:pPr>
        <w:tabs>
          <w:tab w:val="num" w:pos="360"/>
        </w:tabs>
        <w:ind w:left="360" w:firstLine="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nsid w:val="226364CF"/>
    <w:multiLevelType w:val="hybridMultilevel"/>
    <w:tmpl w:val="854E62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6E2EF5"/>
    <w:multiLevelType w:val="hybridMultilevel"/>
    <w:tmpl w:val="B8564E20"/>
    <w:lvl w:ilvl="0" w:tplc="4600DD6A">
      <w:start w:val="1"/>
      <w:numFmt w:val="decimal"/>
      <w:pStyle w:val="LDMinuteParagraph"/>
      <w:lvlText w:val="%1."/>
      <w:lvlJc w:val="left"/>
      <w:pPr>
        <w:tabs>
          <w:tab w:val="num" w:pos="142"/>
        </w:tabs>
        <w:ind w:left="142" w:firstLine="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9777DBC"/>
    <w:multiLevelType w:val="hybridMultilevel"/>
    <w:tmpl w:val="EECEE1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A3C7F72"/>
    <w:multiLevelType w:val="hybridMultilevel"/>
    <w:tmpl w:val="14BE0990"/>
    <w:lvl w:ilvl="0" w:tplc="0C090001">
      <w:start w:val="1"/>
      <w:numFmt w:val="bullet"/>
      <w:lvlText w:val=""/>
      <w:lvlJc w:val="left"/>
      <w:pPr>
        <w:tabs>
          <w:tab w:val="num" w:pos="360"/>
        </w:tabs>
        <w:ind w:left="360" w:firstLine="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nsid w:val="33161FF9"/>
    <w:multiLevelType w:val="hybridMultilevel"/>
    <w:tmpl w:val="B5F61C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A4B0B13"/>
    <w:multiLevelType w:val="hybridMultilevel"/>
    <w:tmpl w:val="F176FA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4D60B17"/>
    <w:multiLevelType w:val="hybridMultilevel"/>
    <w:tmpl w:val="87043BF2"/>
    <w:lvl w:ilvl="0" w:tplc="65BC553A">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48AA5726"/>
    <w:multiLevelType w:val="hybridMultilevel"/>
    <w:tmpl w:val="3384BD26"/>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nsid w:val="48BF09C9"/>
    <w:multiLevelType w:val="hybridMultilevel"/>
    <w:tmpl w:val="237CC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0CB69CE"/>
    <w:multiLevelType w:val="hybridMultilevel"/>
    <w:tmpl w:val="C77A3078"/>
    <w:lvl w:ilvl="0" w:tplc="0C090001">
      <w:start w:val="1"/>
      <w:numFmt w:val="bullet"/>
      <w:lvlText w:val=""/>
      <w:lvlJc w:val="left"/>
      <w:pPr>
        <w:ind w:left="360" w:hanging="360"/>
      </w:pPr>
      <w:rPr>
        <w:rFonts w:ascii="Symbol" w:hAnsi="Symbol"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714001DB"/>
    <w:multiLevelType w:val="hybridMultilevel"/>
    <w:tmpl w:val="5452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num>
  <w:num w:numId="3">
    <w:abstractNumId w:val="14"/>
  </w:num>
  <w:num w:numId="4">
    <w:abstractNumId w:val="4"/>
    <w:lvlOverride w:ilvl="0">
      <w:startOverride w:val="1"/>
    </w:lvlOverride>
  </w:num>
  <w:num w:numId="5">
    <w:abstractNumId w:val="11"/>
  </w:num>
  <w:num w:numId="6">
    <w:abstractNumId w:val="4"/>
  </w:num>
  <w:num w:numId="7">
    <w:abstractNumId w:val="10"/>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0"/>
  </w:num>
  <w:num w:numId="14">
    <w:abstractNumId w:val="7"/>
  </w:num>
  <w:num w:numId="15">
    <w:abstractNumId w:val="8"/>
  </w:num>
  <w:num w:numId="16">
    <w:abstractNumId w:val="5"/>
  </w:num>
  <w:num w:numId="17">
    <w:abstractNumId w:val="12"/>
  </w:num>
  <w:num w:numId="18">
    <w:abstractNumId w:val="4"/>
  </w:num>
  <w:num w:numId="19">
    <w:abstractNumId w:val="13"/>
  </w:num>
  <w:num w:numId="20">
    <w:abstractNumId w:val="4"/>
  </w:num>
  <w:num w:numId="21">
    <w:abstractNumId w:val="4"/>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B10"/>
    <w:rsid w:val="00000F55"/>
    <w:rsid w:val="00007792"/>
    <w:rsid w:val="00027BF3"/>
    <w:rsid w:val="00031209"/>
    <w:rsid w:val="00035659"/>
    <w:rsid w:val="00043C24"/>
    <w:rsid w:val="000479EC"/>
    <w:rsid w:val="00050605"/>
    <w:rsid w:val="0006314D"/>
    <w:rsid w:val="00064A6B"/>
    <w:rsid w:val="0006790E"/>
    <w:rsid w:val="00070DE3"/>
    <w:rsid w:val="00083A6A"/>
    <w:rsid w:val="000A0185"/>
    <w:rsid w:val="000A2829"/>
    <w:rsid w:val="000A2964"/>
    <w:rsid w:val="000C39A1"/>
    <w:rsid w:val="000D4C49"/>
    <w:rsid w:val="000E1F71"/>
    <w:rsid w:val="000E6C28"/>
    <w:rsid w:val="000E7879"/>
    <w:rsid w:val="000F1705"/>
    <w:rsid w:val="000F4495"/>
    <w:rsid w:val="00101960"/>
    <w:rsid w:val="00107136"/>
    <w:rsid w:val="001310DD"/>
    <w:rsid w:val="0013651A"/>
    <w:rsid w:val="00162E77"/>
    <w:rsid w:val="00167071"/>
    <w:rsid w:val="001710F5"/>
    <w:rsid w:val="001712EF"/>
    <w:rsid w:val="001713C3"/>
    <w:rsid w:val="001747E6"/>
    <w:rsid w:val="00176B5A"/>
    <w:rsid w:val="00185F14"/>
    <w:rsid w:val="00187967"/>
    <w:rsid w:val="001941C1"/>
    <w:rsid w:val="0019657C"/>
    <w:rsid w:val="001A1DAB"/>
    <w:rsid w:val="001B156A"/>
    <w:rsid w:val="001C0831"/>
    <w:rsid w:val="001D0ACC"/>
    <w:rsid w:val="001D12F0"/>
    <w:rsid w:val="001D419C"/>
    <w:rsid w:val="001E60FD"/>
    <w:rsid w:val="001F02B3"/>
    <w:rsid w:val="001F0B67"/>
    <w:rsid w:val="00202F27"/>
    <w:rsid w:val="002034C5"/>
    <w:rsid w:val="0020578C"/>
    <w:rsid w:val="002062ED"/>
    <w:rsid w:val="00215AA5"/>
    <w:rsid w:val="002249B6"/>
    <w:rsid w:val="00237A49"/>
    <w:rsid w:val="00253288"/>
    <w:rsid w:val="00255D36"/>
    <w:rsid w:val="00270686"/>
    <w:rsid w:val="00270EF7"/>
    <w:rsid w:val="00296B3E"/>
    <w:rsid w:val="002A31C2"/>
    <w:rsid w:val="002A3F31"/>
    <w:rsid w:val="002A5F94"/>
    <w:rsid w:val="002A6A36"/>
    <w:rsid w:val="002A76F1"/>
    <w:rsid w:val="002B2DEB"/>
    <w:rsid w:val="002B40AA"/>
    <w:rsid w:val="002C7C12"/>
    <w:rsid w:val="002D7C61"/>
    <w:rsid w:val="003065C9"/>
    <w:rsid w:val="003141EB"/>
    <w:rsid w:val="00317AE8"/>
    <w:rsid w:val="00321E86"/>
    <w:rsid w:val="0032325C"/>
    <w:rsid w:val="00333A8F"/>
    <w:rsid w:val="00346D0C"/>
    <w:rsid w:val="00353B7B"/>
    <w:rsid w:val="00354921"/>
    <w:rsid w:val="00354D2F"/>
    <w:rsid w:val="0037532C"/>
    <w:rsid w:val="003B07F2"/>
    <w:rsid w:val="003B2EEF"/>
    <w:rsid w:val="003B3668"/>
    <w:rsid w:val="003B6776"/>
    <w:rsid w:val="003C0D84"/>
    <w:rsid w:val="003C51D3"/>
    <w:rsid w:val="003E107A"/>
    <w:rsid w:val="003F3775"/>
    <w:rsid w:val="00411185"/>
    <w:rsid w:val="00413F57"/>
    <w:rsid w:val="004231E6"/>
    <w:rsid w:val="0042473B"/>
    <w:rsid w:val="00430134"/>
    <w:rsid w:val="00432C95"/>
    <w:rsid w:val="004415AB"/>
    <w:rsid w:val="00447208"/>
    <w:rsid w:val="004511D5"/>
    <w:rsid w:val="004617B0"/>
    <w:rsid w:val="00481043"/>
    <w:rsid w:val="0048330C"/>
    <w:rsid w:val="00490CB8"/>
    <w:rsid w:val="00492E5B"/>
    <w:rsid w:val="004A7BC0"/>
    <w:rsid w:val="004B0B05"/>
    <w:rsid w:val="004C0086"/>
    <w:rsid w:val="004E3842"/>
    <w:rsid w:val="004E733F"/>
    <w:rsid w:val="00506142"/>
    <w:rsid w:val="00521F0B"/>
    <w:rsid w:val="00524E04"/>
    <w:rsid w:val="0052682C"/>
    <w:rsid w:val="00531AEC"/>
    <w:rsid w:val="00532837"/>
    <w:rsid w:val="00545B58"/>
    <w:rsid w:val="00546076"/>
    <w:rsid w:val="00590E09"/>
    <w:rsid w:val="0059658F"/>
    <w:rsid w:val="00597891"/>
    <w:rsid w:val="005B11DA"/>
    <w:rsid w:val="005B52F3"/>
    <w:rsid w:val="005C1384"/>
    <w:rsid w:val="005C333C"/>
    <w:rsid w:val="005D03D9"/>
    <w:rsid w:val="005D6D18"/>
    <w:rsid w:val="005F256E"/>
    <w:rsid w:val="005F3B6C"/>
    <w:rsid w:val="005F46A8"/>
    <w:rsid w:val="00606D35"/>
    <w:rsid w:val="00621BDE"/>
    <w:rsid w:val="00622899"/>
    <w:rsid w:val="00637946"/>
    <w:rsid w:val="00652562"/>
    <w:rsid w:val="006554DF"/>
    <w:rsid w:val="00663E9D"/>
    <w:rsid w:val="00670F96"/>
    <w:rsid w:val="00692BD8"/>
    <w:rsid w:val="00697B63"/>
    <w:rsid w:val="006A2477"/>
    <w:rsid w:val="006A6E0B"/>
    <w:rsid w:val="006B4972"/>
    <w:rsid w:val="006C119E"/>
    <w:rsid w:val="006D3580"/>
    <w:rsid w:val="006E2A8C"/>
    <w:rsid w:val="006E2BE7"/>
    <w:rsid w:val="006F08E3"/>
    <w:rsid w:val="006F3AF0"/>
    <w:rsid w:val="007005C4"/>
    <w:rsid w:val="00701700"/>
    <w:rsid w:val="00704661"/>
    <w:rsid w:val="00707429"/>
    <w:rsid w:val="0073253F"/>
    <w:rsid w:val="0073351E"/>
    <w:rsid w:val="00733854"/>
    <w:rsid w:val="0074147D"/>
    <w:rsid w:val="00745BC3"/>
    <w:rsid w:val="00752BCC"/>
    <w:rsid w:val="007530F1"/>
    <w:rsid w:val="00760EAE"/>
    <w:rsid w:val="007A1F77"/>
    <w:rsid w:val="007B7775"/>
    <w:rsid w:val="007E1563"/>
    <w:rsid w:val="007F13C0"/>
    <w:rsid w:val="007F510D"/>
    <w:rsid w:val="00800B10"/>
    <w:rsid w:val="0080102D"/>
    <w:rsid w:val="00812BAB"/>
    <w:rsid w:val="00824CAA"/>
    <w:rsid w:val="00827F55"/>
    <w:rsid w:val="00833AA2"/>
    <w:rsid w:val="00840FF8"/>
    <w:rsid w:val="0084213D"/>
    <w:rsid w:val="008444EB"/>
    <w:rsid w:val="0085034C"/>
    <w:rsid w:val="008673FB"/>
    <w:rsid w:val="008846F2"/>
    <w:rsid w:val="008851E3"/>
    <w:rsid w:val="00897BA4"/>
    <w:rsid w:val="008E2884"/>
    <w:rsid w:val="009030D5"/>
    <w:rsid w:val="009046A5"/>
    <w:rsid w:val="00913372"/>
    <w:rsid w:val="0093278C"/>
    <w:rsid w:val="00940050"/>
    <w:rsid w:val="00942965"/>
    <w:rsid w:val="00964F97"/>
    <w:rsid w:val="00974171"/>
    <w:rsid w:val="00976622"/>
    <w:rsid w:val="00990056"/>
    <w:rsid w:val="009930DC"/>
    <w:rsid w:val="009A3D84"/>
    <w:rsid w:val="009B015D"/>
    <w:rsid w:val="009B04F9"/>
    <w:rsid w:val="009B2616"/>
    <w:rsid w:val="009C2C2D"/>
    <w:rsid w:val="009C3750"/>
    <w:rsid w:val="009D1770"/>
    <w:rsid w:val="009F0277"/>
    <w:rsid w:val="009F50D4"/>
    <w:rsid w:val="009F7B4D"/>
    <w:rsid w:val="00A03C82"/>
    <w:rsid w:val="00A25EB7"/>
    <w:rsid w:val="00A302C2"/>
    <w:rsid w:val="00A34183"/>
    <w:rsid w:val="00A346B9"/>
    <w:rsid w:val="00A34EBF"/>
    <w:rsid w:val="00A428E8"/>
    <w:rsid w:val="00A42A68"/>
    <w:rsid w:val="00A42FE5"/>
    <w:rsid w:val="00A53961"/>
    <w:rsid w:val="00A549EF"/>
    <w:rsid w:val="00A60AA2"/>
    <w:rsid w:val="00A6521F"/>
    <w:rsid w:val="00A74467"/>
    <w:rsid w:val="00A870A3"/>
    <w:rsid w:val="00A90745"/>
    <w:rsid w:val="00A97740"/>
    <w:rsid w:val="00AB20DA"/>
    <w:rsid w:val="00AC0AE6"/>
    <w:rsid w:val="00AC6CDB"/>
    <w:rsid w:val="00AD0D4C"/>
    <w:rsid w:val="00AD1E43"/>
    <w:rsid w:val="00AD3979"/>
    <w:rsid w:val="00AD651A"/>
    <w:rsid w:val="00AE3208"/>
    <w:rsid w:val="00AF01EF"/>
    <w:rsid w:val="00AF16A2"/>
    <w:rsid w:val="00AF16BD"/>
    <w:rsid w:val="00AF363F"/>
    <w:rsid w:val="00B05B3E"/>
    <w:rsid w:val="00B11D98"/>
    <w:rsid w:val="00B12887"/>
    <w:rsid w:val="00B1667C"/>
    <w:rsid w:val="00B1741C"/>
    <w:rsid w:val="00B2012A"/>
    <w:rsid w:val="00B21CA7"/>
    <w:rsid w:val="00B3589B"/>
    <w:rsid w:val="00B36E48"/>
    <w:rsid w:val="00B4479A"/>
    <w:rsid w:val="00B52D03"/>
    <w:rsid w:val="00B62CE8"/>
    <w:rsid w:val="00B63465"/>
    <w:rsid w:val="00B76F2A"/>
    <w:rsid w:val="00B80F04"/>
    <w:rsid w:val="00B81696"/>
    <w:rsid w:val="00B9294F"/>
    <w:rsid w:val="00B940BF"/>
    <w:rsid w:val="00B95EA6"/>
    <w:rsid w:val="00B97324"/>
    <w:rsid w:val="00BA27A3"/>
    <w:rsid w:val="00BA6239"/>
    <w:rsid w:val="00BB6498"/>
    <w:rsid w:val="00BB6EA6"/>
    <w:rsid w:val="00BE52A2"/>
    <w:rsid w:val="00C061DE"/>
    <w:rsid w:val="00C14ACF"/>
    <w:rsid w:val="00C362A2"/>
    <w:rsid w:val="00C73271"/>
    <w:rsid w:val="00C8613A"/>
    <w:rsid w:val="00CA01EC"/>
    <w:rsid w:val="00CA1DBA"/>
    <w:rsid w:val="00CA2317"/>
    <w:rsid w:val="00CB3912"/>
    <w:rsid w:val="00CB419F"/>
    <w:rsid w:val="00CD1881"/>
    <w:rsid w:val="00CD1A60"/>
    <w:rsid w:val="00CD3BFF"/>
    <w:rsid w:val="00CE1705"/>
    <w:rsid w:val="00D03ECD"/>
    <w:rsid w:val="00D06471"/>
    <w:rsid w:val="00D11818"/>
    <w:rsid w:val="00D2726E"/>
    <w:rsid w:val="00D37A0B"/>
    <w:rsid w:val="00D4569D"/>
    <w:rsid w:val="00D60F7F"/>
    <w:rsid w:val="00D8048E"/>
    <w:rsid w:val="00DA3A3B"/>
    <w:rsid w:val="00DB777A"/>
    <w:rsid w:val="00DC5DE9"/>
    <w:rsid w:val="00DE2E3D"/>
    <w:rsid w:val="00DE752E"/>
    <w:rsid w:val="00DF0A20"/>
    <w:rsid w:val="00DF5781"/>
    <w:rsid w:val="00E109DA"/>
    <w:rsid w:val="00E118EB"/>
    <w:rsid w:val="00E14DCC"/>
    <w:rsid w:val="00E2679C"/>
    <w:rsid w:val="00E324B6"/>
    <w:rsid w:val="00E44600"/>
    <w:rsid w:val="00E44971"/>
    <w:rsid w:val="00E54735"/>
    <w:rsid w:val="00E576E4"/>
    <w:rsid w:val="00E66E6B"/>
    <w:rsid w:val="00E90ECA"/>
    <w:rsid w:val="00EA351C"/>
    <w:rsid w:val="00EC78C6"/>
    <w:rsid w:val="00ED20A8"/>
    <w:rsid w:val="00EE71A2"/>
    <w:rsid w:val="00EF6FD8"/>
    <w:rsid w:val="00F0537A"/>
    <w:rsid w:val="00F2478A"/>
    <w:rsid w:val="00F54626"/>
    <w:rsid w:val="00F555F3"/>
    <w:rsid w:val="00F56EB2"/>
    <w:rsid w:val="00F62573"/>
    <w:rsid w:val="00F63BD0"/>
    <w:rsid w:val="00F660D0"/>
    <w:rsid w:val="00F817C0"/>
    <w:rsid w:val="00F81FE7"/>
    <w:rsid w:val="00F83639"/>
    <w:rsid w:val="00F8601E"/>
    <w:rsid w:val="00FA2E96"/>
    <w:rsid w:val="00FB66FD"/>
    <w:rsid w:val="00FB71D1"/>
    <w:rsid w:val="00FC20F7"/>
    <w:rsid w:val="00FD5DBE"/>
    <w:rsid w:val="00FD7E01"/>
    <w:rsid w:val="00FE07B8"/>
    <w:rsid w:val="00FE3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rsid w:val="009030D5"/>
    <w:pPr>
      <w:tabs>
        <w:tab w:val="clear" w:pos="454"/>
        <w:tab w:val="clear" w:pos="737"/>
        <w:tab w:val="left" w:pos="1191"/>
      </w:tabs>
      <w:ind w:left="1191" w:hanging="454"/>
    </w:pPr>
  </w:style>
  <w:style w:type="paragraph" w:customStyle="1" w:styleId="LDP2i">
    <w:name w:val="LDP2 (i)"/>
    <w:basedOn w:val="LDP1a"/>
    <w:link w:val="LDP2iChar"/>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LDClauseChar">
    <w:name w:val="LDClause Char"/>
    <w:basedOn w:val="LDBodytextChar"/>
    <w:link w:val="LDClause"/>
    <w:rsid w:val="00622899"/>
    <w:rPr>
      <w:sz w:val="24"/>
      <w:szCs w:val="24"/>
      <w:lang w:val="en-AU" w:eastAsia="en-US" w:bidi="ar-SA"/>
    </w:rPr>
  </w:style>
  <w:style w:type="character" w:customStyle="1" w:styleId="LDP1aChar">
    <w:name w:val="LDP1(a) Char"/>
    <w:link w:val="LDP1a"/>
    <w:rsid w:val="00622899"/>
    <w:rPr>
      <w:sz w:val="24"/>
      <w:szCs w:val="24"/>
      <w:lang w:eastAsia="en-US"/>
    </w:rPr>
  </w:style>
  <w:style w:type="character" w:customStyle="1" w:styleId="LDP2iChar">
    <w:name w:val="LDP2 (i) Char"/>
    <w:link w:val="LDP2i"/>
    <w:rsid w:val="00E44600"/>
    <w:rPr>
      <w:sz w:val="24"/>
      <w:szCs w:val="24"/>
      <w:lang w:eastAsia="en-US"/>
    </w:rPr>
  </w:style>
  <w:style w:type="character" w:styleId="Hyperlink">
    <w:name w:val="Hyperlink"/>
    <w:basedOn w:val="DefaultParagraphFont"/>
    <w:rsid w:val="0084213D"/>
    <w:rPr>
      <w:color w:val="0000FF" w:themeColor="hyperlink"/>
      <w:u w:val="single"/>
    </w:rPr>
  </w:style>
  <w:style w:type="paragraph" w:customStyle="1" w:styleId="LDNotebullet">
    <w:name w:val="LDNote bullet"/>
    <w:basedOn w:val="LDNote"/>
    <w:qFormat/>
    <w:rsid w:val="004A7BC0"/>
    <w:pPr>
      <w:numPr>
        <w:numId w:val="17"/>
      </w:numPr>
      <w:tabs>
        <w:tab w:val="clear" w:pos="454"/>
        <w:tab w:val="clear" w:pos="737"/>
        <w:tab w:val="left" w:pos="397"/>
      </w:tabs>
    </w:pPr>
    <w:rPr>
      <w:sz w:val="24"/>
    </w:rPr>
  </w:style>
  <w:style w:type="character" w:customStyle="1" w:styleId="CharPartText">
    <w:name w:val="CharPartText"/>
    <w:rsid w:val="00637946"/>
    <w:rPr>
      <w:rFonts w:cs="Times New Roman"/>
    </w:rPr>
  </w:style>
  <w:style w:type="character" w:customStyle="1" w:styleId="CharPartNo">
    <w:name w:val="CharPartNo"/>
    <w:rsid w:val="001D12F0"/>
    <w:rPr>
      <w:rFonts w:cs="Times New Roman"/>
    </w:rPr>
  </w:style>
  <w:style w:type="character" w:customStyle="1" w:styleId="CharSectNo">
    <w:name w:val="CharSectNo"/>
    <w:rsid w:val="007530F1"/>
    <w:rPr>
      <w:rFonts w:cs="Times New Roman"/>
    </w:rPr>
  </w:style>
  <w:style w:type="character" w:customStyle="1" w:styleId="CharDivNo">
    <w:name w:val="CharDivNo"/>
    <w:rsid w:val="007530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rsid w:val="009030D5"/>
    <w:pPr>
      <w:tabs>
        <w:tab w:val="clear" w:pos="454"/>
        <w:tab w:val="clear" w:pos="737"/>
        <w:tab w:val="left" w:pos="1191"/>
      </w:tabs>
      <w:ind w:left="1191" w:hanging="454"/>
    </w:pPr>
  </w:style>
  <w:style w:type="paragraph" w:customStyle="1" w:styleId="LDP2i">
    <w:name w:val="LDP2 (i)"/>
    <w:basedOn w:val="LDP1a"/>
    <w:link w:val="LDP2iChar"/>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LDClauseChar">
    <w:name w:val="LDClause Char"/>
    <w:basedOn w:val="LDBodytextChar"/>
    <w:link w:val="LDClause"/>
    <w:rsid w:val="00622899"/>
    <w:rPr>
      <w:sz w:val="24"/>
      <w:szCs w:val="24"/>
      <w:lang w:val="en-AU" w:eastAsia="en-US" w:bidi="ar-SA"/>
    </w:rPr>
  </w:style>
  <w:style w:type="character" w:customStyle="1" w:styleId="LDP1aChar">
    <w:name w:val="LDP1(a) Char"/>
    <w:link w:val="LDP1a"/>
    <w:rsid w:val="00622899"/>
    <w:rPr>
      <w:sz w:val="24"/>
      <w:szCs w:val="24"/>
      <w:lang w:eastAsia="en-US"/>
    </w:rPr>
  </w:style>
  <w:style w:type="character" w:customStyle="1" w:styleId="LDP2iChar">
    <w:name w:val="LDP2 (i) Char"/>
    <w:link w:val="LDP2i"/>
    <w:rsid w:val="00E44600"/>
    <w:rPr>
      <w:sz w:val="24"/>
      <w:szCs w:val="24"/>
      <w:lang w:eastAsia="en-US"/>
    </w:rPr>
  </w:style>
  <w:style w:type="character" w:styleId="Hyperlink">
    <w:name w:val="Hyperlink"/>
    <w:basedOn w:val="DefaultParagraphFont"/>
    <w:rsid w:val="0084213D"/>
    <w:rPr>
      <w:color w:val="0000FF" w:themeColor="hyperlink"/>
      <w:u w:val="single"/>
    </w:rPr>
  </w:style>
  <w:style w:type="paragraph" w:customStyle="1" w:styleId="LDNotebullet">
    <w:name w:val="LDNote bullet"/>
    <w:basedOn w:val="LDNote"/>
    <w:qFormat/>
    <w:rsid w:val="004A7BC0"/>
    <w:pPr>
      <w:numPr>
        <w:numId w:val="17"/>
      </w:numPr>
      <w:tabs>
        <w:tab w:val="clear" w:pos="454"/>
        <w:tab w:val="clear" w:pos="737"/>
        <w:tab w:val="left" w:pos="397"/>
      </w:tabs>
    </w:pPr>
    <w:rPr>
      <w:sz w:val="24"/>
    </w:rPr>
  </w:style>
  <w:style w:type="character" w:customStyle="1" w:styleId="CharPartText">
    <w:name w:val="CharPartText"/>
    <w:rsid w:val="00637946"/>
    <w:rPr>
      <w:rFonts w:cs="Times New Roman"/>
    </w:rPr>
  </w:style>
  <w:style w:type="character" w:customStyle="1" w:styleId="CharPartNo">
    <w:name w:val="CharPartNo"/>
    <w:rsid w:val="001D12F0"/>
    <w:rPr>
      <w:rFonts w:cs="Times New Roman"/>
    </w:rPr>
  </w:style>
  <w:style w:type="character" w:customStyle="1" w:styleId="CharSectNo">
    <w:name w:val="CharSectNo"/>
    <w:rsid w:val="007530F1"/>
    <w:rPr>
      <w:rFonts w:cs="Times New Roman"/>
    </w:rPr>
  </w:style>
  <w:style w:type="character" w:customStyle="1" w:styleId="CharDivNo">
    <w:name w:val="CharDivNo"/>
    <w:rsid w:val="007530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6689">
      <w:bodyDiv w:val="1"/>
      <w:marLeft w:val="0"/>
      <w:marRight w:val="0"/>
      <w:marTop w:val="0"/>
      <w:marBottom w:val="0"/>
      <w:divBdr>
        <w:top w:val="none" w:sz="0" w:space="0" w:color="auto"/>
        <w:left w:val="none" w:sz="0" w:space="0" w:color="auto"/>
        <w:bottom w:val="none" w:sz="0" w:space="0" w:color="auto"/>
        <w:right w:val="none" w:sz="0" w:space="0" w:color="auto"/>
      </w:divBdr>
    </w:div>
    <w:div w:id="772746971">
      <w:bodyDiv w:val="1"/>
      <w:marLeft w:val="0"/>
      <w:marRight w:val="0"/>
      <w:marTop w:val="0"/>
      <w:marBottom w:val="0"/>
      <w:divBdr>
        <w:top w:val="none" w:sz="0" w:space="0" w:color="auto"/>
        <w:left w:val="none" w:sz="0" w:space="0" w:color="auto"/>
        <w:bottom w:val="none" w:sz="0" w:space="0" w:color="auto"/>
        <w:right w:val="none" w:sz="0" w:space="0" w:color="auto"/>
      </w:divBdr>
    </w:div>
    <w:div w:id="961500953">
      <w:bodyDiv w:val="1"/>
      <w:marLeft w:val="0"/>
      <w:marRight w:val="0"/>
      <w:marTop w:val="0"/>
      <w:marBottom w:val="0"/>
      <w:divBdr>
        <w:top w:val="none" w:sz="0" w:space="0" w:color="auto"/>
        <w:left w:val="none" w:sz="0" w:space="0" w:color="auto"/>
        <w:bottom w:val="none" w:sz="0" w:space="0" w:color="auto"/>
        <w:right w:val="none" w:sz="0" w:space="0" w:color="auto"/>
      </w:divBdr>
    </w:div>
    <w:div w:id="1175530358">
      <w:bodyDiv w:val="1"/>
      <w:marLeft w:val="0"/>
      <w:marRight w:val="0"/>
      <w:marTop w:val="0"/>
      <w:marBottom w:val="0"/>
      <w:divBdr>
        <w:top w:val="none" w:sz="0" w:space="0" w:color="auto"/>
        <w:left w:val="none" w:sz="0" w:space="0" w:color="auto"/>
        <w:bottom w:val="none" w:sz="0" w:space="0" w:color="auto"/>
        <w:right w:val="none" w:sz="0" w:space="0" w:color="auto"/>
      </w:divBdr>
    </w:div>
    <w:div w:id="1424256895">
      <w:bodyDiv w:val="1"/>
      <w:marLeft w:val="0"/>
      <w:marRight w:val="0"/>
      <w:marTop w:val="0"/>
      <w:marBottom w:val="0"/>
      <w:divBdr>
        <w:top w:val="none" w:sz="0" w:space="0" w:color="auto"/>
        <w:left w:val="none" w:sz="0" w:space="0" w:color="auto"/>
        <w:bottom w:val="none" w:sz="0" w:space="0" w:color="auto"/>
        <w:right w:val="none" w:sz="0" w:space="0" w:color="auto"/>
      </w:divBdr>
    </w:div>
    <w:div w:id="14460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B30BF-40A2-4918-A3DB-85F1C9B4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Ex statement template.dotx</Template>
  <TotalTime>19</TotalTime>
  <Pages>2</Pages>
  <Words>711</Words>
  <Characters>3734</Characters>
  <Application>Microsoft Office Word</Application>
  <DocSecurity>0</DocSecurity>
  <Lines>169</Lines>
  <Paragraphs>120</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Elizabeth</dc:creator>
  <cp:lastModifiedBy>Dodgson, Patrick</cp:lastModifiedBy>
  <cp:revision>20</cp:revision>
  <cp:lastPrinted>2015-07-28T23:35:00Z</cp:lastPrinted>
  <dcterms:created xsi:type="dcterms:W3CDTF">2015-11-29T23:11:00Z</dcterms:created>
  <dcterms:modified xsi:type="dcterms:W3CDTF">2015-12-01T00:37:00Z</dcterms:modified>
</cp:coreProperties>
</file>