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heme="minorBidi"/>
          <w:b w:val="0"/>
          <w:sz w:val="22"/>
          <w:szCs w:val="22"/>
          <w:u w:val="single"/>
        </w:rPr>
        <w:id w:val="962787086"/>
        <w:lock w:val="contentLocked"/>
        <w:placeholder>
          <w:docPart w:val="3F24F1B361AA4406A4B36253A44AD5DA"/>
        </w:placeholder>
        <w:group/>
      </w:sdtPr>
      <w:sdtEndPr>
        <w:rPr>
          <w:rFonts w:eastAsiaTheme="minorEastAsia"/>
          <w:szCs w:val="24"/>
          <w:u w:val="none"/>
        </w:rPr>
      </w:sdtEndPr>
      <w:sdtContent>
        <w:p w14:paraId="4237DCF6" w14:textId="77777777" w:rsidR="002B1DB3" w:rsidRPr="00096B91" w:rsidRDefault="002B1DB3" w:rsidP="00B3331C">
          <w:pPr>
            <w:pStyle w:val="Title"/>
            <w:rPr>
              <w:rFonts w:ascii="Times New Roman" w:hAnsi="Times New Roman"/>
              <w:u w:val="single"/>
            </w:rPr>
          </w:pPr>
          <w:r w:rsidRPr="00096B91">
            <w:rPr>
              <w:rFonts w:ascii="Times New Roman" w:hAnsi="Times New Roman"/>
              <w:u w:val="single"/>
            </w:rPr>
            <w:t>EXPLANATORY STATEMENT</w:t>
          </w:r>
        </w:p>
        <w:p w14:paraId="7424956B" w14:textId="77777777" w:rsidR="002B1DB3" w:rsidRPr="005A5E73" w:rsidRDefault="00972599" w:rsidP="005A5E73">
          <w:pPr>
            <w:jc w:val="center"/>
            <w:rPr>
              <w:rFonts w:ascii="Times New Roman" w:hAnsi="Times New Roman" w:cs="Times New Roman"/>
              <w:sz w:val="24"/>
            </w:rPr>
          </w:pPr>
        </w:p>
      </w:sdtContent>
    </w:sdt>
    <w:p w14:paraId="3A8511B9" w14:textId="5A80E54C" w:rsidR="002B1DB3" w:rsidRPr="00096B91" w:rsidRDefault="00972599" w:rsidP="00B3331C">
      <w:pPr>
        <w:jc w:val="center"/>
        <w:rPr>
          <w:rFonts w:ascii="Times New Roman" w:hAnsi="Times New Roman" w:cs="Times New Roman"/>
          <w:sz w:val="24"/>
          <w:u w:val="single"/>
        </w:rPr>
      </w:pPr>
      <w:sdt>
        <w:sdtPr>
          <w:rPr>
            <w:rFonts w:ascii="Times New Roman" w:hAnsi="Times New Roman" w:cs="Times New Roman"/>
            <w:sz w:val="24"/>
            <w:u w:val="single"/>
          </w:rPr>
          <w:id w:val="962787087"/>
          <w:lock w:val="contentLocked"/>
          <w:placeholder>
            <w:docPart w:val="3F24F1B361AA4406A4B36253A44AD5DA"/>
          </w:placeholder>
          <w:group/>
        </w:sdtPr>
        <w:sdtEndPr/>
        <w:sdtContent>
          <w:r w:rsidR="002B1DB3" w:rsidRPr="00096B91">
            <w:rPr>
              <w:rFonts w:ascii="Times New Roman" w:hAnsi="Times New Roman" w:cs="Times New Roman"/>
              <w:sz w:val="24"/>
              <w:u w:val="single"/>
            </w:rPr>
            <w:t>Issued by Authority of the</w:t>
          </w:r>
        </w:sdtContent>
      </w:sdt>
      <w:r w:rsidR="002B1DB3" w:rsidRPr="00096B91">
        <w:rPr>
          <w:rFonts w:ascii="Times New Roman" w:hAnsi="Times New Roman" w:cs="Times New Roman"/>
          <w:sz w:val="24"/>
          <w:u w:val="single"/>
        </w:rPr>
        <w:t xml:space="preserve"> </w:t>
      </w:r>
      <w:r w:rsidR="00605720">
        <w:rPr>
          <w:rFonts w:ascii="Times New Roman" w:hAnsi="Times New Roman" w:cs="Times New Roman"/>
          <w:sz w:val="24"/>
          <w:u w:val="single"/>
        </w:rPr>
        <w:t xml:space="preserve">Deputy Prime Minister and </w:t>
      </w:r>
      <w:r w:rsidR="002B1DB3" w:rsidRPr="00B3331C">
        <w:rPr>
          <w:rFonts w:ascii="Times New Roman" w:hAnsi="Times New Roman" w:cs="Times New Roman"/>
          <w:sz w:val="24"/>
          <w:u w:val="single"/>
        </w:rPr>
        <w:t xml:space="preserve">Minister </w:t>
      </w:r>
      <w:r w:rsidR="00DF7ACE">
        <w:rPr>
          <w:rFonts w:ascii="Times New Roman" w:hAnsi="Times New Roman" w:cs="Times New Roman"/>
          <w:sz w:val="24"/>
          <w:u w:val="single"/>
        </w:rPr>
        <w:t>for Agriculture</w:t>
      </w:r>
      <w:r w:rsidR="00A84386">
        <w:rPr>
          <w:rFonts w:ascii="Times New Roman" w:hAnsi="Times New Roman" w:cs="Times New Roman"/>
          <w:sz w:val="24"/>
          <w:u w:val="single"/>
        </w:rPr>
        <w:t xml:space="preserve"> and Water Resources</w:t>
      </w:r>
    </w:p>
    <w:p w14:paraId="1E05B6C2" w14:textId="77777777" w:rsidR="002B1DB3" w:rsidRPr="00096B91" w:rsidRDefault="002B1DB3" w:rsidP="00B3331C">
      <w:pPr>
        <w:jc w:val="center"/>
        <w:rPr>
          <w:rFonts w:ascii="Times New Roman" w:hAnsi="Times New Roman" w:cs="Times New Roman"/>
          <w:sz w:val="24"/>
        </w:rPr>
      </w:pPr>
    </w:p>
    <w:p w14:paraId="5C40EE11" w14:textId="77777777" w:rsidR="002B1DB3" w:rsidRPr="003B1B23" w:rsidRDefault="00DF7ACE" w:rsidP="00B3331C">
      <w:pPr>
        <w:jc w:val="center"/>
        <w:rPr>
          <w:rFonts w:ascii="Times New Roman" w:hAnsi="Times New Roman" w:cs="Times New Roman"/>
          <w:snapToGrid w:val="0"/>
          <w:sz w:val="24"/>
        </w:rPr>
      </w:pPr>
      <w:r w:rsidRPr="009003A9">
        <w:rPr>
          <w:rFonts w:ascii="Times New Roman" w:hAnsi="Times New Roman" w:cs="Times New Roman"/>
          <w:i/>
          <w:snapToGrid w:val="0"/>
          <w:sz w:val="24"/>
        </w:rPr>
        <w:t>Farm Household Support</w:t>
      </w:r>
      <w:r w:rsidRPr="009003A9">
        <w:rPr>
          <w:rFonts w:ascii="Times New Roman" w:hAnsi="Times New Roman" w:cs="Times New Roman"/>
          <w:i/>
          <w:sz w:val="24"/>
        </w:rPr>
        <w:t xml:space="preserve"> </w:t>
      </w:r>
      <w:r w:rsidRPr="009003A9">
        <w:rPr>
          <w:rFonts w:ascii="Times New Roman" w:hAnsi="Times New Roman" w:cs="Times New Roman"/>
          <w:i/>
          <w:snapToGrid w:val="0"/>
          <w:sz w:val="24"/>
        </w:rPr>
        <w:t>Act 2014</w:t>
      </w:r>
    </w:p>
    <w:p w14:paraId="41F9E7DB" w14:textId="77777777" w:rsidR="002B1DB3" w:rsidRPr="003B1B23" w:rsidRDefault="002B1DB3" w:rsidP="00B3331C">
      <w:pPr>
        <w:jc w:val="center"/>
        <w:rPr>
          <w:rFonts w:ascii="Times New Roman" w:hAnsi="Times New Roman" w:cs="Times New Roman"/>
          <w:sz w:val="24"/>
        </w:rPr>
      </w:pPr>
    </w:p>
    <w:p w14:paraId="2B4082B1" w14:textId="77777777" w:rsidR="002B1DB3" w:rsidRPr="003B1B23" w:rsidRDefault="00DF7ACE" w:rsidP="00B3331C">
      <w:pPr>
        <w:jc w:val="center"/>
        <w:rPr>
          <w:rFonts w:ascii="Times New Roman" w:hAnsi="Times New Roman" w:cs="Times New Roman"/>
          <w:i/>
          <w:sz w:val="24"/>
        </w:rPr>
      </w:pPr>
      <w:r w:rsidRPr="009003A9">
        <w:rPr>
          <w:rFonts w:ascii="Times New Roman" w:hAnsi="Times New Roman" w:cs="Times New Roman"/>
          <w:i/>
          <w:snapToGrid w:val="0"/>
          <w:sz w:val="24"/>
        </w:rPr>
        <w:t>Farm Household Support</w:t>
      </w:r>
      <w:r w:rsidRPr="009003A9">
        <w:rPr>
          <w:rFonts w:ascii="Times New Roman" w:hAnsi="Times New Roman" w:cs="Times New Roman"/>
          <w:i/>
          <w:sz w:val="24"/>
        </w:rPr>
        <w:t xml:space="preserve"> </w:t>
      </w:r>
      <w:r w:rsidR="00F842CC">
        <w:rPr>
          <w:rFonts w:ascii="Times New Roman" w:hAnsi="Times New Roman" w:cs="Times New Roman"/>
          <w:i/>
          <w:sz w:val="24"/>
        </w:rPr>
        <w:t>Minister’s</w:t>
      </w:r>
      <w:r w:rsidR="006975C9">
        <w:rPr>
          <w:rFonts w:ascii="Times New Roman" w:hAnsi="Times New Roman" w:cs="Times New Roman"/>
          <w:i/>
          <w:sz w:val="24"/>
        </w:rPr>
        <w:t xml:space="preserve"> </w:t>
      </w:r>
      <w:r w:rsidR="00E52B61">
        <w:rPr>
          <w:rFonts w:ascii="Times New Roman" w:hAnsi="Times New Roman" w:cs="Times New Roman"/>
          <w:i/>
          <w:sz w:val="24"/>
        </w:rPr>
        <w:t>Amen</w:t>
      </w:r>
      <w:r w:rsidR="00E63509">
        <w:rPr>
          <w:rFonts w:ascii="Times New Roman" w:hAnsi="Times New Roman" w:cs="Times New Roman"/>
          <w:i/>
          <w:sz w:val="24"/>
        </w:rPr>
        <w:t>dment</w:t>
      </w:r>
      <w:r w:rsidR="006975C9">
        <w:rPr>
          <w:rFonts w:ascii="Times New Roman" w:hAnsi="Times New Roman" w:cs="Times New Roman"/>
          <w:i/>
          <w:sz w:val="24"/>
        </w:rPr>
        <w:t xml:space="preserve"> </w:t>
      </w:r>
      <w:r w:rsidR="00E52B61">
        <w:rPr>
          <w:rFonts w:ascii="Times New Roman" w:hAnsi="Times New Roman" w:cs="Times New Roman"/>
          <w:i/>
          <w:sz w:val="24"/>
        </w:rPr>
        <w:t>Rule 2015</w:t>
      </w:r>
    </w:p>
    <w:p w14:paraId="64E29ABD" w14:textId="77777777" w:rsidR="002B1DB3" w:rsidRDefault="002B1DB3" w:rsidP="00B3331C">
      <w:pPr>
        <w:rPr>
          <w:rFonts w:ascii="Times New Roman" w:hAnsi="Times New Roman" w:cs="Times New Roman"/>
          <w:sz w:val="24"/>
        </w:rPr>
      </w:pPr>
    </w:p>
    <w:p w14:paraId="645727B7" w14:textId="77777777" w:rsidR="00A7304A" w:rsidRDefault="00A7304A" w:rsidP="00B3331C">
      <w:pPr>
        <w:tabs>
          <w:tab w:val="left" w:pos="1701"/>
          <w:tab w:val="right" w:pos="9072"/>
        </w:tabs>
        <w:rPr>
          <w:rFonts w:ascii="Times New Roman" w:hAnsi="Times New Roman" w:cs="Times New Roman"/>
          <w:b/>
          <w:sz w:val="24"/>
        </w:rPr>
      </w:pPr>
      <w:r>
        <w:rPr>
          <w:rFonts w:ascii="Times New Roman" w:hAnsi="Times New Roman" w:cs="Times New Roman"/>
          <w:b/>
          <w:sz w:val="24"/>
        </w:rPr>
        <w:t>Legislative authority</w:t>
      </w:r>
    </w:p>
    <w:p w14:paraId="7E9B7643" w14:textId="64C6A75B" w:rsidR="008B253A" w:rsidRDefault="008B253A" w:rsidP="00B84754">
      <w:pPr>
        <w:tabs>
          <w:tab w:val="right" w:pos="9072"/>
        </w:tabs>
        <w:spacing w:after="120"/>
        <w:rPr>
          <w:rFonts w:ascii="Times New Roman" w:hAnsi="Times New Roman" w:cs="Times New Roman"/>
          <w:sz w:val="24"/>
        </w:rPr>
      </w:pPr>
      <w:r>
        <w:rPr>
          <w:rFonts w:ascii="Times New Roman" w:hAnsi="Times New Roman" w:cs="Times New Roman"/>
          <w:sz w:val="24"/>
        </w:rPr>
        <w:t xml:space="preserve">The </w:t>
      </w:r>
      <w:r w:rsidRPr="008B253A">
        <w:rPr>
          <w:rFonts w:ascii="Times New Roman" w:hAnsi="Times New Roman" w:cs="Times New Roman"/>
          <w:i/>
          <w:sz w:val="24"/>
        </w:rPr>
        <w:t>Farm Household Support Act 2014</w:t>
      </w:r>
      <w:r>
        <w:rPr>
          <w:rFonts w:ascii="Times New Roman" w:hAnsi="Times New Roman" w:cs="Times New Roman"/>
          <w:sz w:val="24"/>
        </w:rPr>
        <w:t xml:space="preserve"> (</w:t>
      </w:r>
      <w:r w:rsidR="00757D51">
        <w:rPr>
          <w:rFonts w:ascii="Times New Roman" w:hAnsi="Times New Roman" w:cs="Times New Roman"/>
          <w:sz w:val="24"/>
        </w:rPr>
        <w:t xml:space="preserve">the </w:t>
      </w:r>
      <w:r>
        <w:rPr>
          <w:rFonts w:ascii="Times New Roman" w:hAnsi="Times New Roman" w:cs="Times New Roman"/>
          <w:sz w:val="24"/>
        </w:rPr>
        <w:t xml:space="preserve">Act) provides the mechanism to implement the Farm Household Allowance (FHA), an income support payment for farmers and their partners who are experiencing financial hardship. </w:t>
      </w:r>
    </w:p>
    <w:p w14:paraId="48074373" w14:textId="143AE85F" w:rsidR="00BD2386" w:rsidRPr="006F3D67" w:rsidRDefault="003B33F7" w:rsidP="006F3D67">
      <w:pPr>
        <w:rPr>
          <w:rFonts w:ascii="Times New Roman" w:hAnsi="Times New Roman" w:cs="Times New Roman"/>
          <w:sz w:val="24"/>
        </w:rPr>
      </w:pPr>
      <w:r>
        <w:rPr>
          <w:rFonts w:ascii="Times New Roman" w:hAnsi="Times New Roman" w:cs="Times New Roman"/>
          <w:sz w:val="24"/>
        </w:rPr>
        <w:t>Subsection 106</w:t>
      </w:r>
      <w:r w:rsidR="0028728C">
        <w:rPr>
          <w:rFonts w:ascii="Times New Roman" w:hAnsi="Times New Roman" w:cs="Times New Roman"/>
          <w:sz w:val="24"/>
        </w:rPr>
        <w:t xml:space="preserve">(1) of </w:t>
      </w:r>
      <w:r w:rsidRPr="006F3D67">
        <w:rPr>
          <w:rFonts w:ascii="Times New Roman" w:hAnsi="Times New Roman" w:cs="Times New Roman"/>
          <w:sz w:val="24"/>
        </w:rPr>
        <w:t xml:space="preserve">the Act provides that the Minister may make rules by legislative instrument </w:t>
      </w:r>
      <w:r w:rsidR="00530956" w:rsidRPr="006F3D67">
        <w:rPr>
          <w:rFonts w:ascii="Times New Roman" w:hAnsi="Times New Roman" w:cs="Times New Roman"/>
          <w:sz w:val="24"/>
        </w:rPr>
        <w:t xml:space="preserve">prescribing matters </w:t>
      </w:r>
      <w:r w:rsidRPr="006F3D67">
        <w:rPr>
          <w:rFonts w:ascii="Times New Roman" w:hAnsi="Times New Roman" w:cs="Times New Roman"/>
          <w:sz w:val="24"/>
        </w:rPr>
        <w:t>which are required or permitted by the Act to be prescribed.</w:t>
      </w:r>
    </w:p>
    <w:p w14:paraId="2E67633E" w14:textId="77777777" w:rsidR="0081778B" w:rsidRPr="006F3D67" w:rsidRDefault="0081778B" w:rsidP="006F3D67">
      <w:pPr>
        <w:rPr>
          <w:rFonts w:ascii="Times New Roman" w:hAnsi="Times New Roman" w:cs="Times New Roman"/>
          <w:sz w:val="24"/>
        </w:rPr>
      </w:pPr>
    </w:p>
    <w:p w14:paraId="59B35C0E" w14:textId="77777777" w:rsidR="00E52B61" w:rsidRPr="00A7304A" w:rsidRDefault="00A7304A" w:rsidP="00B3331C">
      <w:pPr>
        <w:tabs>
          <w:tab w:val="left" w:pos="1701"/>
          <w:tab w:val="right" w:pos="9072"/>
        </w:tabs>
        <w:rPr>
          <w:rFonts w:ascii="Times New Roman" w:hAnsi="Times New Roman" w:cs="Times New Roman"/>
          <w:b/>
          <w:sz w:val="24"/>
        </w:rPr>
      </w:pPr>
      <w:r>
        <w:rPr>
          <w:rFonts w:ascii="Times New Roman" w:hAnsi="Times New Roman" w:cs="Times New Roman"/>
          <w:b/>
          <w:sz w:val="24"/>
        </w:rPr>
        <w:t xml:space="preserve">Purpose </w:t>
      </w:r>
    </w:p>
    <w:p w14:paraId="4BC5218A" w14:textId="60BF436F" w:rsidR="00BD2386" w:rsidRPr="006F3D67" w:rsidRDefault="00665C17" w:rsidP="006F3D67">
      <w:pPr>
        <w:rPr>
          <w:rFonts w:ascii="Times New Roman" w:hAnsi="Times New Roman" w:cs="Times New Roman"/>
          <w:sz w:val="24"/>
        </w:rPr>
      </w:pPr>
      <w:r w:rsidRPr="006F3D67">
        <w:rPr>
          <w:rFonts w:ascii="Times New Roman" w:hAnsi="Times New Roman" w:cs="Times New Roman"/>
          <w:sz w:val="24"/>
        </w:rPr>
        <w:t xml:space="preserve">The </w:t>
      </w:r>
      <w:r w:rsidR="0049220B" w:rsidRPr="006F3D67">
        <w:rPr>
          <w:rFonts w:ascii="Times New Roman" w:hAnsi="Times New Roman" w:cs="Times New Roman"/>
          <w:sz w:val="24"/>
        </w:rPr>
        <w:t xml:space="preserve">purpose of the </w:t>
      </w:r>
      <w:r w:rsidRPr="006F3D67">
        <w:rPr>
          <w:rFonts w:ascii="Times New Roman" w:hAnsi="Times New Roman" w:cs="Times New Roman"/>
          <w:sz w:val="24"/>
        </w:rPr>
        <w:t xml:space="preserve">Farm Household Support Minister’s Amendment Rule 2015 </w:t>
      </w:r>
      <w:r w:rsidR="003B33F7" w:rsidRPr="006F3D67">
        <w:rPr>
          <w:rFonts w:ascii="Times New Roman" w:hAnsi="Times New Roman" w:cs="Times New Roman"/>
          <w:sz w:val="24"/>
        </w:rPr>
        <w:t>(</w:t>
      </w:r>
      <w:r w:rsidR="00BD2386" w:rsidRPr="006F3D67">
        <w:rPr>
          <w:rFonts w:ascii="Times New Roman" w:hAnsi="Times New Roman" w:cs="Times New Roman"/>
          <w:sz w:val="24"/>
        </w:rPr>
        <w:t xml:space="preserve">the </w:t>
      </w:r>
      <w:r w:rsidR="00CF0589" w:rsidRPr="006F3D67">
        <w:rPr>
          <w:rFonts w:ascii="Times New Roman" w:hAnsi="Times New Roman" w:cs="Times New Roman"/>
          <w:sz w:val="24"/>
        </w:rPr>
        <w:t>A</w:t>
      </w:r>
      <w:r w:rsidR="00253849" w:rsidRPr="006F3D67">
        <w:rPr>
          <w:rFonts w:ascii="Times New Roman" w:hAnsi="Times New Roman" w:cs="Times New Roman"/>
          <w:sz w:val="24"/>
        </w:rPr>
        <w:t>mendment</w:t>
      </w:r>
      <w:r w:rsidR="003B33F7" w:rsidRPr="006F3D67">
        <w:rPr>
          <w:rFonts w:ascii="Times New Roman" w:hAnsi="Times New Roman" w:cs="Times New Roman"/>
          <w:sz w:val="24"/>
        </w:rPr>
        <w:t xml:space="preserve"> Rule)</w:t>
      </w:r>
      <w:r w:rsidR="0049220B" w:rsidRPr="006F3D67">
        <w:rPr>
          <w:rFonts w:ascii="Times New Roman" w:hAnsi="Times New Roman" w:cs="Times New Roman"/>
          <w:sz w:val="24"/>
        </w:rPr>
        <w:t xml:space="preserve"> is to</w:t>
      </w:r>
      <w:r w:rsidR="003B33F7" w:rsidRPr="006F3D67">
        <w:rPr>
          <w:rFonts w:ascii="Times New Roman" w:hAnsi="Times New Roman" w:cs="Times New Roman"/>
          <w:sz w:val="24"/>
        </w:rPr>
        <w:t xml:space="preserve"> </w:t>
      </w:r>
      <w:r w:rsidR="00530956" w:rsidRPr="006F3D67">
        <w:rPr>
          <w:rFonts w:ascii="Times New Roman" w:hAnsi="Times New Roman" w:cs="Times New Roman"/>
          <w:sz w:val="24"/>
        </w:rPr>
        <w:t xml:space="preserve">amend </w:t>
      </w:r>
      <w:r w:rsidR="00651D8D" w:rsidRPr="006F3D67">
        <w:rPr>
          <w:rFonts w:ascii="Times New Roman" w:hAnsi="Times New Roman" w:cs="Times New Roman"/>
          <w:sz w:val="24"/>
        </w:rPr>
        <w:t>the</w:t>
      </w:r>
      <w:r w:rsidR="0049220B" w:rsidRPr="006F3D67">
        <w:rPr>
          <w:rFonts w:ascii="Times New Roman" w:hAnsi="Times New Roman" w:cs="Times New Roman"/>
          <w:sz w:val="24"/>
        </w:rPr>
        <w:t xml:space="preserve"> Farm Household Support Minister's Rule 2014 </w:t>
      </w:r>
      <w:r w:rsidR="0049220B">
        <w:rPr>
          <w:rFonts w:ascii="Times New Roman" w:hAnsi="Times New Roman" w:cs="Times New Roman"/>
          <w:sz w:val="24"/>
        </w:rPr>
        <w:t>(the</w:t>
      </w:r>
      <w:r w:rsidR="00F30E9F" w:rsidRPr="006F3D67">
        <w:rPr>
          <w:rFonts w:ascii="Times New Roman" w:hAnsi="Times New Roman" w:cs="Times New Roman"/>
          <w:sz w:val="24"/>
        </w:rPr>
        <w:t xml:space="preserve"> 2014 Rule</w:t>
      </w:r>
      <w:r w:rsidR="0049220B" w:rsidRPr="006F3D67">
        <w:rPr>
          <w:rFonts w:ascii="Times New Roman" w:hAnsi="Times New Roman" w:cs="Times New Roman"/>
          <w:sz w:val="24"/>
        </w:rPr>
        <w:t>)</w:t>
      </w:r>
      <w:r w:rsidR="009E1B67" w:rsidRPr="006F3D67">
        <w:rPr>
          <w:rFonts w:ascii="Times New Roman" w:hAnsi="Times New Roman" w:cs="Times New Roman"/>
          <w:sz w:val="24"/>
        </w:rPr>
        <w:t xml:space="preserve">, Part 3—Activity Supplement, </w:t>
      </w:r>
      <w:r w:rsidR="00757D51" w:rsidRPr="006F3D67">
        <w:rPr>
          <w:rFonts w:ascii="Times New Roman" w:hAnsi="Times New Roman" w:cs="Times New Roman"/>
          <w:sz w:val="24"/>
        </w:rPr>
        <w:t>s</w:t>
      </w:r>
      <w:r w:rsidR="00A761B2" w:rsidRPr="006F3D67">
        <w:rPr>
          <w:rFonts w:ascii="Times New Roman" w:hAnsi="Times New Roman" w:cs="Times New Roman"/>
          <w:sz w:val="24"/>
        </w:rPr>
        <w:t xml:space="preserve">ection 8 </w:t>
      </w:r>
      <w:r w:rsidR="009E1B67" w:rsidRPr="006F3D67">
        <w:rPr>
          <w:rFonts w:ascii="Times New Roman" w:hAnsi="Times New Roman" w:cs="Times New Roman"/>
          <w:sz w:val="24"/>
        </w:rPr>
        <w:t xml:space="preserve">Maximum amount of activity supplement </w:t>
      </w:r>
      <w:r w:rsidR="00651D8D" w:rsidRPr="006F3D67">
        <w:rPr>
          <w:rFonts w:ascii="Times New Roman" w:hAnsi="Times New Roman" w:cs="Times New Roman"/>
          <w:sz w:val="24"/>
        </w:rPr>
        <w:t>(of $</w:t>
      </w:r>
      <w:r w:rsidR="009E1B67" w:rsidRPr="006F3D67">
        <w:rPr>
          <w:rFonts w:ascii="Times New Roman" w:hAnsi="Times New Roman" w:cs="Times New Roman"/>
          <w:sz w:val="24"/>
        </w:rPr>
        <w:t>3 000</w:t>
      </w:r>
      <w:r w:rsidR="00651D8D" w:rsidRPr="006F3D67">
        <w:rPr>
          <w:rFonts w:ascii="Times New Roman" w:hAnsi="Times New Roman" w:cs="Times New Roman"/>
          <w:sz w:val="24"/>
        </w:rPr>
        <w:t>)</w:t>
      </w:r>
      <w:r w:rsidR="0081778B" w:rsidRPr="006F3D67">
        <w:rPr>
          <w:rFonts w:ascii="Times New Roman" w:hAnsi="Times New Roman" w:cs="Times New Roman"/>
          <w:sz w:val="24"/>
        </w:rPr>
        <w:t>. The Amendment Rule increases the activity supplement by $1 000 for FHA recipients to spend on ‘high value’ activities in their final (third) year of payment.</w:t>
      </w:r>
    </w:p>
    <w:p w14:paraId="352A4A33" w14:textId="77777777" w:rsidR="0081778B" w:rsidRPr="006F3D67" w:rsidRDefault="0081778B" w:rsidP="006F3D67">
      <w:pPr>
        <w:rPr>
          <w:rFonts w:ascii="Times New Roman" w:hAnsi="Times New Roman" w:cs="Times New Roman"/>
          <w:sz w:val="24"/>
        </w:rPr>
      </w:pPr>
    </w:p>
    <w:p w14:paraId="64A4905C" w14:textId="77777777" w:rsidR="00A7304A" w:rsidRPr="00A7304A" w:rsidRDefault="00A7304A" w:rsidP="00A7304A">
      <w:pPr>
        <w:pStyle w:val="BodyText1"/>
        <w:numPr>
          <w:ilvl w:val="0"/>
          <w:numId w:val="0"/>
        </w:numPr>
        <w:spacing w:before="0"/>
        <w:rPr>
          <w:b/>
          <w:snapToGrid w:val="0"/>
        </w:rPr>
      </w:pPr>
      <w:r w:rsidRPr="00A7304A">
        <w:rPr>
          <w:b/>
          <w:snapToGrid w:val="0"/>
        </w:rPr>
        <w:t>Background</w:t>
      </w:r>
    </w:p>
    <w:p w14:paraId="1CA7783A" w14:textId="77777777" w:rsidR="00EF1ADC" w:rsidRDefault="00EF1ADC" w:rsidP="00EF1ADC">
      <w:pPr>
        <w:tabs>
          <w:tab w:val="right" w:pos="9072"/>
        </w:tabs>
        <w:spacing w:after="120"/>
        <w:rPr>
          <w:rFonts w:ascii="Times New Roman" w:hAnsi="Times New Roman" w:cs="Times New Roman"/>
          <w:sz w:val="24"/>
        </w:rPr>
      </w:pPr>
      <w:r>
        <w:rPr>
          <w:rFonts w:ascii="Times New Roman" w:hAnsi="Times New Roman" w:cs="Times New Roman"/>
          <w:sz w:val="24"/>
        </w:rPr>
        <w:t xml:space="preserve">Under the Act, the </w:t>
      </w:r>
      <w:r>
        <w:rPr>
          <w:rFonts w:ascii="Times New Roman" w:hAnsi="Times New Roman" w:cs="Times New Roman"/>
          <w:i/>
          <w:snapToGrid w:val="0"/>
          <w:sz w:val="24"/>
        </w:rPr>
        <w:t xml:space="preserve">Farm Household Support Minister's </w:t>
      </w:r>
      <w:r>
        <w:rPr>
          <w:rFonts w:ascii="Times New Roman" w:hAnsi="Times New Roman" w:cs="Times New Roman"/>
          <w:i/>
          <w:sz w:val="24"/>
        </w:rPr>
        <w:t xml:space="preserve">Rule 2014 </w:t>
      </w:r>
      <w:r>
        <w:rPr>
          <w:rFonts w:ascii="Times New Roman" w:hAnsi="Times New Roman" w:cs="Times New Roman"/>
          <w:sz w:val="24"/>
        </w:rPr>
        <w:t>(the 2014 Rule) prescribes:</w:t>
      </w:r>
    </w:p>
    <w:p w14:paraId="5FBC139F" w14:textId="1DE97545" w:rsidR="00EF1ADC" w:rsidRDefault="00EF1ADC" w:rsidP="00EF1ADC">
      <w:pPr>
        <w:pStyle w:val="ListParagraph"/>
        <w:numPr>
          <w:ilvl w:val="0"/>
          <w:numId w:val="20"/>
        </w:numPr>
        <w:tabs>
          <w:tab w:val="right" w:pos="9072"/>
        </w:tabs>
        <w:spacing w:after="240"/>
        <w:ind w:left="714" w:hanging="357"/>
        <w:rPr>
          <w:rFonts w:ascii="Times New Roman" w:hAnsi="Times New Roman" w:cs="Times New Roman"/>
          <w:sz w:val="24"/>
        </w:rPr>
      </w:pPr>
      <w:r>
        <w:rPr>
          <w:rFonts w:ascii="Times New Roman" w:hAnsi="Times New Roman" w:cs="Times New Roman"/>
          <w:sz w:val="24"/>
        </w:rPr>
        <w:t>the meaning of ‘prescribed adviser’ in the Act</w:t>
      </w:r>
    </w:p>
    <w:p w14:paraId="4D49B0B3" w14:textId="027BD039" w:rsidR="00EF1ADC" w:rsidRDefault="00EF1ADC" w:rsidP="00EF1ADC">
      <w:pPr>
        <w:pStyle w:val="ListParagraph"/>
        <w:numPr>
          <w:ilvl w:val="0"/>
          <w:numId w:val="20"/>
        </w:numPr>
        <w:tabs>
          <w:tab w:val="right" w:pos="9072"/>
        </w:tabs>
        <w:spacing w:after="240"/>
        <w:ind w:left="714" w:hanging="357"/>
        <w:rPr>
          <w:rFonts w:ascii="Times New Roman" w:hAnsi="Times New Roman" w:cs="Times New Roman"/>
          <w:sz w:val="24"/>
        </w:rPr>
      </w:pPr>
      <w:r>
        <w:rPr>
          <w:rFonts w:ascii="Times New Roman" w:hAnsi="Times New Roman" w:cs="Times New Roman"/>
          <w:sz w:val="24"/>
        </w:rPr>
        <w:t>allowable deductions from ordinary income and off-farm income</w:t>
      </w:r>
    </w:p>
    <w:p w14:paraId="1F0C991F" w14:textId="77777777" w:rsidR="00EF1ADC" w:rsidRDefault="00EF1ADC" w:rsidP="00EF1ADC">
      <w:pPr>
        <w:pStyle w:val="ListParagraph"/>
        <w:numPr>
          <w:ilvl w:val="0"/>
          <w:numId w:val="20"/>
        </w:numPr>
        <w:tabs>
          <w:tab w:val="right" w:pos="9072"/>
        </w:tabs>
        <w:spacing w:after="120"/>
        <w:ind w:left="714" w:hanging="357"/>
        <w:rPr>
          <w:rFonts w:ascii="Times New Roman" w:hAnsi="Times New Roman" w:cs="Times New Roman"/>
          <w:sz w:val="24"/>
        </w:rPr>
      </w:pPr>
      <w:r>
        <w:rPr>
          <w:rFonts w:ascii="Times New Roman" w:hAnsi="Times New Roman" w:cs="Times New Roman"/>
          <w:sz w:val="24"/>
        </w:rPr>
        <w:t>the maximum amount of two supplements payable along with FHA: activity supplement and farm financial assessment supplement.</w:t>
      </w:r>
    </w:p>
    <w:p w14:paraId="18430279" w14:textId="22644E2B" w:rsidR="00C64139" w:rsidRDefault="00651D8D" w:rsidP="00B84754">
      <w:pPr>
        <w:pStyle w:val="BodyText1"/>
        <w:numPr>
          <w:ilvl w:val="0"/>
          <w:numId w:val="0"/>
        </w:numPr>
        <w:spacing w:before="0" w:after="120"/>
      </w:pPr>
      <w:r>
        <w:rPr>
          <w:snapToGrid w:val="0"/>
        </w:rPr>
        <w:t xml:space="preserve">The Agricultural Competitiveness </w:t>
      </w:r>
      <w:r w:rsidR="00C64139">
        <w:rPr>
          <w:snapToGrid w:val="0"/>
        </w:rPr>
        <w:t xml:space="preserve">White Paper (ACWP) </w:t>
      </w:r>
      <w:r w:rsidR="00253849" w:rsidRPr="00A16150">
        <w:rPr>
          <w:szCs w:val="20"/>
        </w:rPr>
        <w:t>sets out the Australian Government’s roadmap of practical actions to grow our agriculture sector. Stronger farmers mean a stro</w:t>
      </w:r>
      <w:r w:rsidR="00253849">
        <w:rPr>
          <w:szCs w:val="20"/>
        </w:rPr>
        <w:t>nger economy—and the ACWP</w:t>
      </w:r>
      <w:r w:rsidR="00253849" w:rsidRPr="00A16150">
        <w:rPr>
          <w:szCs w:val="20"/>
        </w:rPr>
        <w:t xml:space="preserve"> is a $4 billion investment in Australian farmers and the competiveness and profitability of our agriculture sector.</w:t>
      </w:r>
      <w:r w:rsidR="00253849">
        <w:rPr>
          <w:szCs w:val="20"/>
        </w:rPr>
        <w:t xml:space="preserve"> The ACWP stated </w:t>
      </w:r>
      <w:r w:rsidR="00C64139">
        <w:t>the Farm Household Allowance (FHA)</w:t>
      </w:r>
      <w:r w:rsidR="00C40B13">
        <w:t xml:space="preserve"> </w:t>
      </w:r>
      <w:r w:rsidR="00C64139">
        <w:t>activity supplement</w:t>
      </w:r>
      <w:r w:rsidR="00537350">
        <w:t xml:space="preserve"> </w:t>
      </w:r>
      <w:r w:rsidR="00E83B08">
        <w:t xml:space="preserve">would be increased </w:t>
      </w:r>
      <w:r w:rsidR="00537350">
        <w:t xml:space="preserve">by an additional $1 </w:t>
      </w:r>
      <w:r w:rsidR="00C64139">
        <w:t>000 for recipients in their third</w:t>
      </w:r>
      <w:r w:rsidR="00C40B13">
        <w:t xml:space="preserve"> (final)</w:t>
      </w:r>
      <w:r w:rsidR="00C64139">
        <w:t xml:space="preserve"> year. The ACWP </w:t>
      </w:r>
      <w:r w:rsidR="00537350">
        <w:t>states</w:t>
      </w:r>
      <w:r w:rsidR="00C64139">
        <w:t xml:space="preserve"> that:</w:t>
      </w:r>
    </w:p>
    <w:p w14:paraId="5DC2A8C2" w14:textId="77777777" w:rsidR="00C64139" w:rsidRDefault="00C64139" w:rsidP="00B84754">
      <w:pPr>
        <w:pStyle w:val="BodyText1"/>
        <w:numPr>
          <w:ilvl w:val="0"/>
          <w:numId w:val="0"/>
        </w:numPr>
        <w:spacing w:before="0" w:after="120"/>
        <w:ind w:left="567" w:right="509"/>
      </w:pPr>
      <w:r>
        <w:t>‘</w:t>
      </w:r>
      <w:r w:rsidRPr="00995E43">
        <w:t>As not everyone can improve their situation quickly, we are delivering $22.8</w:t>
      </w:r>
      <w:r w:rsidR="00E63509">
        <w:t> </w:t>
      </w:r>
      <w:r w:rsidRPr="00995E43">
        <w:t>million to support recipients in their final year of payment by increasing case management and the activity supplement by an addit</w:t>
      </w:r>
      <w:r>
        <w:t>ional $1,000 for each recipient’.</w:t>
      </w:r>
    </w:p>
    <w:p w14:paraId="0FD0FB4A" w14:textId="35CB9770" w:rsidR="00E019AD" w:rsidRDefault="00C64139" w:rsidP="0081778B">
      <w:pPr>
        <w:pStyle w:val="BodyText1"/>
        <w:numPr>
          <w:ilvl w:val="0"/>
          <w:numId w:val="0"/>
        </w:numPr>
        <w:spacing w:before="0"/>
        <w:ind w:right="509"/>
      </w:pPr>
      <w:r>
        <w:t>(Agricultural Competitiveness White Paper, page 8</w:t>
      </w:r>
      <w:r w:rsidR="00CF0589">
        <w:t>5</w:t>
      </w:r>
      <w:r>
        <w:t xml:space="preserve">; </w:t>
      </w:r>
      <w:r w:rsidRPr="008C50A1">
        <w:t>http://agwhitepaper.agriculture.gov.au/white-</w:t>
      </w:r>
      <w:r w:rsidRPr="00972599">
        <w:rPr>
          <w:color w:val="000000" w:themeColor="text1"/>
        </w:rPr>
        <w:t>paper</w:t>
      </w:r>
      <w:r w:rsidRPr="00972599">
        <w:rPr>
          <w:rStyle w:val="Hyperlink"/>
          <w:color w:val="000000" w:themeColor="text1"/>
          <w:u w:val="none"/>
        </w:rPr>
        <w:t>.)</w:t>
      </w:r>
    </w:p>
    <w:p w14:paraId="5F44ED12" w14:textId="77777777" w:rsidR="00B84754" w:rsidRPr="00B84754" w:rsidRDefault="00B84754" w:rsidP="0081778B">
      <w:pPr>
        <w:pStyle w:val="BodyText1"/>
        <w:numPr>
          <w:ilvl w:val="0"/>
          <w:numId w:val="0"/>
        </w:numPr>
        <w:spacing w:before="0"/>
        <w:ind w:right="509"/>
      </w:pPr>
      <w:bookmarkStart w:id="0" w:name="_GoBack"/>
      <w:bookmarkEnd w:id="0"/>
    </w:p>
    <w:p w14:paraId="7247A54D" w14:textId="77777777" w:rsidR="0028728C" w:rsidRPr="00E019AD" w:rsidRDefault="0028728C" w:rsidP="00B84754">
      <w:pPr>
        <w:pStyle w:val="BodyText1"/>
        <w:numPr>
          <w:ilvl w:val="0"/>
          <w:numId w:val="0"/>
        </w:numPr>
        <w:spacing w:before="0"/>
        <w:rPr>
          <w:b/>
        </w:rPr>
      </w:pPr>
      <w:r w:rsidRPr="00E019AD">
        <w:rPr>
          <w:b/>
        </w:rPr>
        <w:t>Impact and effect</w:t>
      </w:r>
    </w:p>
    <w:p w14:paraId="419D6C0A" w14:textId="248AEE11" w:rsidR="00B84754" w:rsidRDefault="00FB3F43" w:rsidP="00B84754">
      <w:pPr>
        <w:pStyle w:val="Text"/>
        <w:numPr>
          <w:ilvl w:val="0"/>
          <w:numId w:val="0"/>
        </w:numPr>
        <w:spacing w:after="120"/>
      </w:pPr>
      <w:r w:rsidRPr="00E019AD">
        <w:t>FHA aims to provide income support to farmers in hardship while they take steps to improve their situation.</w:t>
      </w:r>
      <w:r>
        <w:t xml:space="preserve"> Eligible FHA recipients</w:t>
      </w:r>
      <w:r w:rsidR="00E019AD" w:rsidRPr="00E019AD">
        <w:t xml:space="preserve"> can currently receive up to three cumulative years o</w:t>
      </w:r>
      <w:r w:rsidR="00605720">
        <w:t>f</w:t>
      </w:r>
      <w:r w:rsidR="00E019AD" w:rsidRPr="00E019AD">
        <w:t xml:space="preserve"> payment under FHA. </w:t>
      </w:r>
    </w:p>
    <w:p w14:paraId="4F469938" w14:textId="1B9DEEE1" w:rsidR="00E019AD" w:rsidRPr="00E019AD" w:rsidRDefault="00A71FE2" w:rsidP="00A71FE2">
      <w:pPr>
        <w:rPr>
          <w:rFonts w:ascii="Times New Roman" w:hAnsi="Times New Roman" w:cs="Times New Roman"/>
          <w:sz w:val="24"/>
        </w:rPr>
      </w:pPr>
      <w:r w:rsidRPr="00E019AD">
        <w:rPr>
          <w:rFonts w:ascii="Times New Roman" w:hAnsi="Times New Roman" w:cs="Times New Roman"/>
          <w:sz w:val="24"/>
        </w:rPr>
        <w:t>The additional $1 000</w:t>
      </w:r>
      <w:r w:rsidR="00CF0589">
        <w:rPr>
          <w:rFonts w:ascii="Times New Roman" w:hAnsi="Times New Roman" w:cs="Times New Roman"/>
          <w:sz w:val="24"/>
        </w:rPr>
        <w:t xml:space="preserve"> of</w:t>
      </w:r>
      <w:r w:rsidRPr="00E019AD">
        <w:rPr>
          <w:rFonts w:ascii="Times New Roman" w:hAnsi="Times New Roman" w:cs="Times New Roman"/>
          <w:sz w:val="24"/>
        </w:rPr>
        <w:t xml:space="preserve"> activity supplement </w:t>
      </w:r>
      <w:r>
        <w:rPr>
          <w:rFonts w:ascii="Times New Roman" w:hAnsi="Times New Roman" w:cs="Times New Roman"/>
          <w:sz w:val="24"/>
        </w:rPr>
        <w:t>(</w:t>
      </w:r>
      <w:r w:rsidRPr="00E019AD">
        <w:rPr>
          <w:rFonts w:ascii="Times New Roman" w:hAnsi="Times New Roman" w:cs="Times New Roman"/>
          <w:sz w:val="24"/>
        </w:rPr>
        <w:t>and case management</w:t>
      </w:r>
      <w:r>
        <w:rPr>
          <w:rFonts w:ascii="Times New Roman" w:hAnsi="Times New Roman" w:cs="Times New Roman"/>
          <w:sz w:val="24"/>
        </w:rPr>
        <w:t>)</w:t>
      </w:r>
      <w:r w:rsidRPr="00E019AD">
        <w:rPr>
          <w:rFonts w:ascii="Times New Roman" w:hAnsi="Times New Roman" w:cs="Times New Roman"/>
          <w:sz w:val="24"/>
        </w:rPr>
        <w:t xml:space="preserve"> will ensure that the best </w:t>
      </w:r>
      <w:r w:rsidRPr="004B78AF">
        <w:rPr>
          <w:rFonts w:ascii="Times New Roman" w:hAnsi="Times New Roman" w:cs="Times New Roman"/>
          <w:snapToGrid w:val="0"/>
          <w:sz w:val="24"/>
          <w:lang w:eastAsia="en-AU"/>
        </w:rPr>
        <w:t xml:space="preserve">outcomes are achieved </w:t>
      </w:r>
      <w:r w:rsidR="00FB3F43" w:rsidRPr="004B78AF">
        <w:rPr>
          <w:rFonts w:ascii="Times New Roman" w:hAnsi="Times New Roman" w:cs="Times New Roman"/>
          <w:snapToGrid w:val="0"/>
          <w:sz w:val="24"/>
          <w:lang w:eastAsia="en-AU"/>
        </w:rPr>
        <w:t>both for the recipients</w:t>
      </w:r>
      <w:r w:rsidRPr="004B78AF">
        <w:rPr>
          <w:rFonts w:ascii="Times New Roman" w:hAnsi="Times New Roman" w:cs="Times New Roman"/>
          <w:snapToGrid w:val="0"/>
          <w:sz w:val="24"/>
          <w:lang w:eastAsia="en-AU"/>
        </w:rPr>
        <w:t xml:space="preserve"> and for government expenditure. </w:t>
      </w:r>
      <w:r w:rsidR="00AA09FE" w:rsidRPr="004B78AF">
        <w:rPr>
          <w:rFonts w:ascii="Times New Roman" w:hAnsi="Times New Roman" w:cs="Times New Roman"/>
          <w:snapToGrid w:val="0"/>
          <w:sz w:val="24"/>
          <w:lang w:eastAsia="en-AU"/>
        </w:rPr>
        <w:t xml:space="preserve">The measure </w:t>
      </w:r>
      <w:r w:rsidR="00AA09FE" w:rsidRPr="004B78AF">
        <w:rPr>
          <w:rFonts w:ascii="Times New Roman" w:hAnsi="Times New Roman" w:cs="Times New Roman"/>
          <w:snapToGrid w:val="0"/>
          <w:sz w:val="24"/>
          <w:lang w:eastAsia="en-AU"/>
        </w:rPr>
        <w:lastRenderedPageBreak/>
        <w:t>will support recipients to improve their situation and successfully transition off welfare payments within the three years available. It will als</w:t>
      </w:r>
      <w:r w:rsidR="00FB3F43" w:rsidRPr="004B78AF">
        <w:rPr>
          <w:rFonts w:ascii="Times New Roman" w:hAnsi="Times New Roman" w:cs="Times New Roman"/>
          <w:snapToGrid w:val="0"/>
          <w:sz w:val="24"/>
          <w:lang w:eastAsia="en-AU"/>
        </w:rPr>
        <w:t xml:space="preserve">o seek to increase a </w:t>
      </w:r>
      <w:r w:rsidR="00AA09FE" w:rsidRPr="004B78AF">
        <w:rPr>
          <w:rFonts w:ascii="Times New Roman" w:hAnsi="Times New Roman" w:cs="Times New Roman"/>
          <w:snapToGrid w:val="0"/>
          <w:sz w:val="24"/>
          <w:lang w:eastAsia="en-AU"/>
        </w:rPr>
        <w:t xml:space="preserve">focus on actions to improve their situation, </w:t>
      </w:r>
      <w:r w:rsidR="00E019AD" w:rsidRPr="004B78AF">
        <w:rPr>
          <w:rFonts w:ascii="Times New Roman" w:hAnsi="Times New Roman" w:cs="Times New Roman"/>
          <w:snapToGrid w:val="0"/>
          <w:sz w:val="24"/>
          <w:lang w:eastAsia="en-AU"/>
        </w:rPr>
        <w:t>includ</w:t>
      </w:r>
      <w:r w:rsidR="00AA09FE" w:rsidRPr="004B78AF">
        <w:rPr>
          <w:rFonts w:ascii="Times New Roman" w:hAnsi="Times New Roman" w:cs="Times New Roman"/>
          <w:snapToGrid w:val="0"/>
          <w:sz w:val="24"/>
          <w:lang w:eastAsia="en-AU"/>
        </w:rPr>
        <w:t>ing</w:t>
      </w:r>
      <w:r w:rsidR="00E019AD" w:rsidRPr="004B78AF">
        <w:rPr>
          <w:rFonts w:ascii="Times New Roman" w:hAnsi="Times New Roman" w:cs="Times New Roman"/>
          <w:snapToGrid w:val="0"/>
          <w:sz w:val="24"/>
          <w:lang w:eastAsia="en-AU"/>
        </w:rPr>
        <w:t xml:space="preserve"> options to find alternative sources of income/employment or</w:t>
      </w:r>
      <w:r w:rsidR="00E019AD" w:rsidRPr="00E019AD">
        <w:rPr>
          <w:rFonts w:ascii="Times New Roman" w:hAnsi="Times New Roman" w:cs="Times New Roman"/>
          <w:sz w:val="24"/>
        </w:rPr>
        <w:t xml:space="preserve"> take steps to exit farming where appropriate. </w:t>
      </w:r>
    </w:p>
    <w:p w14:paraId="6270CE29" w14:textId="4FF45AF8" w:rsidR="0028728C" w:rsidRPr="00E019AD" w:rsidRDefault="00E019AD" w:rsidP="00A71FE2">
      <w:pPr>
        <w:pStyle w:val="Text"/>
        <w:numPr>
          <w:ilvl w:val="0"/>
          <w:numId w:val="0"/>
        </w:numPr>
        <w:spacing w:before="120" w:after="120"/>
      </w:pPr>
      <w:r w:rsidRPr="00E019AD">
        <w:rPr>
          <w:snapToGrid w:val="0"/>
        </w:rPr>
        <w:t xml:space="preserve">The policy intent of the $1 000 </w:t>
      </w:r>
      <w:r w:rsidR="0028728C" w:rsidRPr="00E019AD">
        <w:rPr>
          <w:snapToGrid w:val="0"/>
        </w:rPr>
        <w:t>activity supp</w:t>
      </w:r>
      <w:r w:rsidRPr="00E019AD">
        <w:rPr>
          <w:snapToGrid w:val="0"/>
        </w:rPr>
        <w:t xml:space="preserve">lement </w:t>
      </w:r>
      <w:r w:rsidR="00A71FE2">
        <w:rPr>
          <w:snapToGrid w:val="0"/>
        </w:rPr>
        <w:t>increase</w:t>
      </w:r>
      <w:r w:rsidR="00E63509">
        <w:rPr>
          <w:snapToGrid w:val="0"/>
        </w:rPr>
        <w:t xml:space="preserve"> is to provide for ‘high value’</w:t>
      </w:r>
      <w:r w:rsidR="0091337D" w:rsidRPr="00E019AD">
        <w:rPr>
          <w:snapToGrid w:val="0"/>
        </w:rPr>
        <w:t xml:space="preserve"> </w:t>
      </w:r>
      <w:r w:rsidR="0028728C" w:rsidRPr="00E019AD">
        <w:rPr>
          <w:snapToGrid w:val="0"/>
        </w:rPr>
        <w:t>activities</w:t>
      </w:r>
      <w:r w:rsidR="00F30E9F">
        <w:rPr>
          <w:snapToGrid w:val="0"/>
        </w:rPr>
        <w:t xml:space="preserve"> </w:t>
      </w:r>
      <w:r w:rsidR="00E63509">
        <w:rPr>
          <w:snapToGrid w:val="0"/>
        </w:rPr>
        <w:t xml:space="preserve">only </w:t>
      </w:r>
      <w:r w:rsidR="00E63509" w:rsidRPr="00E019AD">
        <w:t>(</w:t>
      </w:r>
      <w:r w:rsidR="00E63509">
        <w:t>such as off-farm job readiness) that are</w:t>
      </w:r>
      <w:r w:rsidR="00E63509">
        <w:rPr>
          <w:snapToGrid w:val="0"/>
        </w:rPr>
        <w:t xml:space="preserve"> </w:t>
      </w:r>
      <w:r w:rsidR="0028728C" w:rsidRPr="00E019AD">
        <w:rPr>
          <w:snapToGrid w:val="0"/>
        </w:rPr>
        <w:t>commenc</w:t>
      </w:r>
      <w:r w:rsidR="00E63509">
        <w:rPr>
          <w:snapToGrid w:val="0"/>
        </w:rPr>
        <w:t xml:space="preserve">ed in the third (final) year of a recipient’s access to </w:t>
      </w:r>
      <w:r w:rsidR="00E83B08">
        <w:rPr>
          <w:snapToGrid w:val="0"/>
        </w:rPr>
        <w:t>the FHA</w:t>
      </w:r>
      <w:r w:rsidR="00E63509">
        <w:rPr>
          <w:snapToGrid w:val="0"/>
        </w:rPr>
        <w:t>.</w:t>
      </w:r>
      <w:r w:rsidRPr="00E019AD">
        <w:t xml:space="preserve"> </w:t>
      </w:r>
    </w:p>
    <w:p w14:paraId="1CA1EC6A" w14:textId="77777777" w:rsidR="00C40B13" w:rsidRDefault="00C40B13" w:rsidP="00BD2386">
      <w:pPr>
        <w:pStyle w:val="BodyText1"/>
        <w:numPr>
          <w:ilvl w:val="0"/>
          <w:numId w:val="0"/>
        </w:numPr>
        <w:spacing w:after="120"/>
      </w:pPr>
      <w:r w:rsidRPr="00E019AD">
        <w:t>The earliest that the additional $1 000 activity supplement can be payable to FHA rec</w:t>
      </w:r>
      <w:r w:rsidR="00BD2386" w:rsidRPr="00E019AD">
        <w:t>ipients is in 2016-17, as this is the first year</w:t>
      </w:r>
      <w:r w:rsidR="00E63509">
        <w:t xml:space="preserve"> any</w:t>
      </w:r>
      <w:r w:rsidR="00BD2386" w:rsidRPr="00E019AD">
        <w:t xml:space="preserve"> recipients will be </w:t>
      </w:r>
      <w:r w:rsidRPr="00E019AD">
        <w:t>in their final (third) year of payment.</w:t>
      </w:r>
    </w:p>
    <w:p w14:paraId="0AF7591B" w14:textId="77777777" w:rsidR="00B84754" w:rsidRDefault="00A3255B" w:rsidP="00B84754">
      <w:pPr>
        <w:rPr>
          <w:rFonts w:ascii="Times New Roman" w:hAnsi="Times New Roman" w:cs="Times New Roman"/>
          <w:sz w:val="24"/>
        </w:rPr>
      </w:pPr>
      <w:r>
        <w:rPr>
          <w:rFonts w:ascii="Times New Roman" w:hAnsi="Times New Roman" w:cs="Times New Roman"/>
          <w:sz w:val="24"/>
        </w:rPr>
        <w:t>This measure</w:t>
      </w:r>
      <w:r w:rsidR="00A71FE2" w:rsidRPr="00F30E9F">
        <w:rPr>
          <w:rFonts w:ascii="Times New Roman" w:hAnsi="Times New Roman" w:cs="Times New Roman"/>
          <w:sz w:val="24"/>
        </w:rPr>
        <w:t xml:space="preserve"> is expected to have a positive impact on regional Australia in that the increased case management and activity supplement will further support the </w:t>
      </w:r>
      <w:r w:rsidR="00E63509">
        <w:rPr>
          <w:rFonts w:ascii="Times New Roman" w:hAnsi="Times New Roman" w:cs="Times New Roman"/>
          <w:sz w:val="24"/>
        </w:rPr>
        <w:t>FHA’s programme aims</w:t>
      </w:r>
      <w:r w:rsidR="00A71FE2" w:rsidRPr="00F30E9F">
        <w:rPr>
          <w:rFonts w:ascii="Times New Roman" w:hAnsi="Times New Roman" w:cs="Times New Roman"/>
          <w:sz w:val="24"/>
        </w:rPr>
        <w:t xml:space="preserve">, specifically positioning recipients to improve their long-term financial position. This will have flow-on benefits to regional communities through increased cash flow and demand for services. </w:t>
      </w:r>
    </w:p>
    <w:p w14:paraId="4E2215EF" w14:textId="77777777" w:rsidR="00E63509" w:rsidRPr="00E63509" w:rsidRDefault="00E63509" w:rsidP="00CA47AB">
      <w:pPr>
        <w:tabs>
          <w:tab w:val="left" w:pos="1701"/>
          <w:tab w:val="right" w:pos="9072"/>
        </w:tabs>
        <w:rPr>
          <w:rFonts w:ascii="Times New Roman" w:hAnsi="Times New Roman" w:cs="Times New Roman"/>
          <w:sz w:val="24"/>
        </w:rPr>
      </w:pPr>
    </w:p>
    <w:p w14:paraId="0CB0435A" w14:textId="77777777" w:rsidR="00537350" w:rsidRPr="00E63509" w:rsidRDefault="00537350" w:rsidP="00B84754">
      <w:pPr>
        <w:rPr>
          <w:rFonts w:ascii="Times New Roman" w:hAnsi="Times New Roman" w:cs="Times New Roman"/>
          <w:b/>
          <w:sz w:val="24"/>
        </w:rPr>
      </w:pPr>
      <w:r w:rsidRPr="00E63509">
        <w:rPr>
          <w:rFonts w:ascii="Times New Roman" w:hAnsi="Times New Roman" w:cs="Times New Roman"/>
          <w:b/>
          <w:sz w:val="24"/>
        </w:rPr>
        <w:t>Consultation</w:t>
      </w:r>
    </w:p>
    <w:p w14:paraId="696A8D7C" w14:textId="07CED99A" w:rsidR="00B84754" w:rsidRPr="00715D29" w:rsidRDefault="00537350" w:rsidP="00715D29">
      <w:pPr>
        <w:tabs>
          <w:tab w:val="right" w:pos="9072"/>
        </w:tabs>
        <w:spacing w:after="120"/>
        <w:rPr>
          <w:rFonts w:ascii="Times New Roman" w:hAnsi="Times New Roman" w:cs="Times New Roman"/>
          <w:sz w:val="24"/>
        </w:rPr>
      </w:pPr>
      <w:r w:rsidRPr="00715D29">
        <w:rPr>
          <w:rFonts w:ascii="Times New Roman" w:hAnsi="Times New Roman" w:cs="Times New Roman"/>
          <w:sz w:val="24"/>
        </w:rPr>
        <w:t>The Offic</w:t>
      </w:r>
      <w:r w:rsidR="00A3255B" w:rsidRPr="00715D29">
        <w:rPr>
          <w:rFonts w:ascii="Times New Roman" w:hAnsi="Times New Roman" w:cs="Times New Roman"/>
          <w:sz w:val="24"/>
        </w:rPr>
        <w:t xml:space="preserve">e of Parliamentary Counsel </w:t>
      </w:r>
      <w:r w:rsidR="00CF0589" w:rsidRPr="00715D29">
        <w:rPr>
          <w:rFonts w:ascii="Times New Roman" w:hAnsi="Times New Roman" w:cs="Times New Roman"/>
          <w:sz w:val="24"/>
        </w:rPr>
        <w:t xml:space="preserve">drafted the Amendment Rule. </w:t>
      </w:r>
    </w:p>
    <w:p w14:paraId="4A6B7D4D" w14:textId="1600EF4D" w:rsidR="004C03EE" w:rsidRPr="00715D29" w:rsidRDefault="00537350" w:rsidP="00715D29">
      <w:pPr>
        <w:tabs>
          <w:tab w:val="right" w:pos="9072"/>
        </w:tabs>
        <w:spacing w:after="120"/>
        <w:rPr>
          <w:rFonts w:ascii="Times New Roman" w:hAnsi="Times New Roman" w:cs="Times New Roman"/>
          <w:sz w:val="24"/>
        </w:rPr>
      </w:pPr>
      <w:r w:rsidRPr="00715D29">
        <w:rPr>
          <w:rFonts w:ascii="Times New Roman" w:hAnsi="Times New Roman" w:cs="Times New Roman"/>
          <w:sz w:val="24"/>
        </w:rPr>
        <w:t xml:space="preserve">The Office of Best Practice Regulation (OBPR) was consulted </w:t>
      </w:r>
      <w:r w:rsidR="00876F10" w:rsidRPr="00715D29">
        <w:rPr>
          <w:rFonts w:ascii="Times New Roman" w:hAnsi="Times New Roman" w:cs="Times New Roman"/>
          <w:sz w:val="24"/>
        </w:rPr>
        <w:t xml:space="preserve">in the preparation of the </w:t>
      </w:r>
      <w:r w:rsidR="00FB3F43" w:rsidRPr="00715D29">
        <w:rPr>
          <w:rFonts w:ascii="Times New Roman" w:hAnsi="Times New Roman" w:cs="Times New Roman"/>
          <w:sz w:val="24"/>
        </w:rPr>
        <w:t>Amendment</w:t>
      </w:r>
      <w:r w:rsidR="003B33F7" w:rsidRPr="00715D29">
        <w:rPr>
          <w:rFonts w:ascii="Times New Roman" w:hAnsi="Times New Roman" w:cs="Times New Roman"/>
          <w:sz w:val="24"/>
        </w:rPr>
        <w:t xml:space="preserve"> </w:t>
      </w:r>
      <w:r w:rsidR="00876F10" w:rsidRPr="00715D29">
        <w:rPr>
          <w:rFonts w:ascii="Times New Roman" w:hAnsi="Times New Roman" w:cs="Times New Roman"/>
          <w:sz w:val="24"/>
        </w:rPr>
        <w:t xml:space="preserve">Rule (OBPR reference number: 18916). </w:t>
      </w:r>
      <w:r w:rsidR="00F2176A" w:rsidRPr="00715D29">
        <w:rPr>
          <w:rFonts w:ascii="Times New Roman" w:hAnsi="Times New Roman" w:cs="Times New Roman"/>
          <w:sz w:val="24"/>
        </w:rPr>
        <w:t>OBPR has advised that a RIS is not required.</w:t>
      </w:r>
    </w:p>
    <w:p w14:paraId="740F1F4B" w14:textId="066EAAF6" w:rsidR="00B214B2" w:rsidRPr="00715D29" w:rsidRDefault="003147AA" w:rsidP="00715D29">
      <w:pPr>
        <w:tabs>
          <w:tab w:val="right" w:pos="9072"/>
        </w:tabs>
        <w:spacing w:after="120"/>
        <w:rPr>
          <w:rFonts w:ascii="Times New Roman" w:hAnsi="Times New Roman" w:cs="Times New Roman"/>
          <w:sz w:val="24"/>
        </w:rPr>
      </w:pPr>
      <w:r w:rsidRPr="00715D29">
        <w:rPr>
          <w:rFonts w:ascii="Times New Roman" w:hAnsi="Times New Roman" w:cs="Times New Roman"/>
          <w:sz w:val="24"/>
        </w:rPr>
        <w:t>T</w:t>
      </w:r>
      <w:r w:rsidR="004C03EE" w:rsidRPr="00715D29">
        <w:rPr>
          <w:rFonts w:ascii="Times New Roman" w:hAnsi="Times New Roman" w:cs="Times New Roman"/>
          <w:sz w:val="24"/>
        </w:rPr>
        <w:t xml:space="preserve">he Amendment Rule is an instrument that gives effect to terms announced in the ACWP. </w:t>
      </w:r>
    </w:p>
    <w:p w14:paraId="129C0340" w14:textId="0330652E" w:rsidR="004C03EE" w:rsidRPr="00715D29" w:rsidRDefault="004C03EE" w:rsidP="00715D29">
      <w:pPr>
        <w:tabs>
          <w:tab w:val="right" w:pos="9072"/>
        </w:tabs>
        <w:spacing w:after="120"/>
        <w:rPr>
          <w:rFonts w:ascii="Times New Roman" w:hAnsi="Times New Roman" w:cs="Times New Roman"/>
          <w:sz w:val="24"/>
        </w:rPr>
      </w:pPr>
      <w:r w:rsidRPr="00715D29">
        <w:rPr>
          <w:rFonts w:ascii="Times New Roman" w:hAnsi="Times New Roman" w:cs="Times New Roman"/>
          <w:sz w:val="24"/>
        </w:rPr>
        <w:t>The White Paper process stimulated considerable public interest in the future of the sector. In the preparation of the White Paper, the views of the Australian public were considered through calls for public submissions on an issues paper and then a Green Paper. Throughout the issues and Green Paper consultation processes, more than 1,000 submissions were received and over 1,100 people were engaged in rural, regional and metropolitan areas in all States and Territories. Consultation involved farmers, industry associations, researchers, finance sector representatives, supply chain participants, and State and Territory governments through written submissions, roundtable meetings and one-on-one discussions.</w:t>
      </w:r>
    </w:p>
    <w:p w14:paraId="54F4F444" w14:textId="3623B66D" w:rsidR="00CF55AC" w:rsidRPr="00715D29" w:rsidRDefault="004C03EE" w:rsidP="00F97A75">
      <w:pPr>
        <w:rPr>
          <w:rFonts w:ascii="Times New Roman" w:hAnsi="Times New Roman" w:cs="Times New Roman"/>
          <w:sz w:val="24"/>
        </w:rPr>
      </w:pPr>
      <w:r w:rsidRPr="00715D29">
        <w:rPr>
          <w:rFonts w:ascii="Times New Roman" w:hAnsi="Times New Roman" w:cs="Times New Roman"/>
          <w:sz w:val="24"/>
        </w:rPr>
        <w:t>Further detailed consultation</w:t>
      </w:r>
      <w:r w:rsidR="00977F38" w:rsidRPr="00715D29">
        <w:rPr>
          <w:rFonts w:ascii="Times New Roman" w:hAnsi="Times New Roman" w:cs="Times New Roman"/>
          <w:sz w:val="24"/>
        </w:rPr>
        <w:t xml:space="preserve"> regarding this Amendment Rule</w:t>
      </w:r>
      <w:r w:rsidRPr="00715D29">
        <w:rPr>
          <w:rFonts w:ascii="Times New Roman" w:hAnsi="Times New Roman" w:cs="Times New Roman"/>
          <w:sz w:val="24"/>
        </w:rPr>
        <w:t xml:space="preserve"> was considered to be unnecessary or inappropriate as the appropriate consultation had already been undertaken as part of the ACWP.</w:t>
      </w:r>
    </w:p>
    <w:p w14:paraId="23082737" w14:textId="77777777" w:rsidR="00715D29" w:rsidRPr="00F97A75" w:rsidRDefault="00715D29" w:rsidP="00F97A75">
      <w:pPr>
        <w:rPr>
          <w:rFonts w:ascii="Times New Roman" w:hAnsi="Times New Roman" w:cs="Times New Roman"/>
          <w:sz w:val="24"/>
        </w:rPr>
      </w:pPr>
    </w:p>
    <w:p w14:paraId="0FD73AB5" w14:textId="77777777" w:rsidR="00537350" w:rsidRPr="00E019AD" w:rsidRDefault="006F0A45" w:rsidP="00537350">
      <w:pPr>
        <w:tabs>
          <w:tab w:val="right" w:pos="9072"/>
        </w:tabs>
        <w:rPr>
          <w:rFonts w:ascii="Times New Roman" w:hAnsi="Times New Roman" w:cs="Times New Roman"/>
          <w:sz w:val="24"/>
        </w:rPr>
      </w:pPr>
      <w:r w:rsidRPr="00E019AD">
        <w:rPr>
          <w:rFonts w:ascii="Times New Roman" w:hAnsi="Times New Roman" w:cs="Times New Roman"/>
          <w:b/>
          <w:sz w:val="24"/>
        </w:rPr>
        <w:t>Statement of compatibility with human rights</w:t>
      </w:r>
    </w:p>
    <w:p w14:paraId="4EF3DDE3" w14:textId="45416D06" w:rsidR="00537350" w:rsidRPr="00E019AD" w:rsidRDefault="00537350" w:rsidP="00537350">
      <w:pPr>
        <w:rPr>
          <w:rFonts w:ascii="Times New Roman" w:hAnsi="Times New Roman" w:cs="Times New Roman"/>
          <w:sz w:val="24"/>
        </w:rPr>
      </w:pPr>
      <w:r w:rsidRPr="00E019AD">
        <w:rPr>
          <w:rFonts w:ascii="Times New Roman" w:hAnsi="Times New Roman" w:cs="Times New Roman"/>
          <w:sz w:val="24"/>
        </w:rPr>
        <w:t xml:space="preserve">This </w:t>
      </w:r>
      <w:r w:rsidR="00CF0589">
        <w:rPr>
          <w:rFonts w:ascii="Times New Roman" w:hAnsi="Times New Roman" w:cs="Times New Roman"/>
          <w:sz w:val="24"/>
        </w:rPr>
        <w:t>Amendment R</w:t>
      </w:r>
      <w:r w:rsidRPr="00E019AD">
        <w:rPr>
          <w:rFonts w:ascii="Times New Roman" w:hAnsi="Times New Roman" w:cs="Times New Roman"/>
          <w:sz w:val="24"/>
        </w:rPr>
        <w:t xml:space="preserve">ule is compatible with the human rights and freedoms recognised or declared under section 3 of the </w:t>
      </w:r>
      <w:r w:rsidRPr="00E019AD">
        <w:rPr>
          <w:rFonts w:ascii="Times New Roman" w:hAnsi="Times New Roman" w:cs="Times New Roman"/>
          <w:i/>
          <w:iCs/>
          <w:sz w:val="24"/>
        </w:rPr>
        <w:t>Human Rights (Parliamentary Scrutiny) Act 2011</w:t>
      </w:r>
      <w:r w:rsidRPr="00E019AD">
        <w:rPr>
          <w:rFonts w:ascii="Times New Roman" w:hAnsi="Times New Roman" w:cs="Times New Roman"/>
          <w:sz w:val="24"/>
        </w:rPr>
        <w:t xml:space="preserve">. A full statement of compatibility is set out in the </w:t>
      </w:r>
      <w:r w:rsidR="00F30E9F">
        <w:rPr>
          <w:rFonts w:ascii="Times New Roman" w:hAnsi="Times New Roman" w:cs="Times New Roman"/>
          <w:sz w:val="24"/>
          <w:u w:val="single"/>
        </w:rPr>
        <w:t>Attachment A</w:t>
      </w:r>
      <w:r w:rsidR="00F30E9F" w:rsidRPr="008742FC">
        <w:rPr>
          <w:rFonts w:ascii="Times New Roman" w:hAnsi="Times New Roman" w:cs="Times New Roman"/>
          <w:sz w:val="24"/>
        </w:rPr>
        <w:t>.</w:t>
      </w:r>
      <w:r w:rsidRPr="00E019AD">
        <w:rPr>
          <w:rFonts w:ascii="Times New Roman" w:hAnsi="Times New Roman" w:cs="Times New Roman"/>
          <w:sz w:val="24"/>
        </w:rPr>
        <w:t xml:space="preserve"> </w:t>
      </w:r>
      <w:r w:rsidRPr="00E019AD">
        <w:rPr>
          <w:rStyle w:val="CommentReference"/>
          <w:rFonts w:ascii="Times New Roman" w:hAnsi="Times New Roman" w:cs="Times New Roman"/>
        </w:rPr>
        <w:t> </w:t>
      </w:r>
    </w:p>
    <w:p w14:paraId="7C9426C7" w14:textId="77777777" w:rsidR="00537350" w:rsidRPr="00E019AD" w:rsidRDefault="00537350" w:rsidP="00537350">
      <w:pPr>
        <w:rPr>
          <w:rFonts w:ascii="Times New Roman" w:hAnsi="Times New Roman" w:cs="Times New Roman"/>
          <w:sz w:val="24"/>
        </w:rPr>
      </w:pPr>
    </w:p>
    <w:p w14:paraId="72D2B505" w14:textId="5C5149FD" w:rsidR="008742FC" w:rsidRPr="00836D6E" w:rsidRDefault="008742FC" w:rsidP="0081778B">
      <w:pPr>
        <w:pStyle w:val="Normal-em"/>
        <w:spacing w:after="120"/>
        <w:rPr>
          <w:color w:val="auto"/>
          <w:szCs w:val="24"/>
        </w:rPr>
      </w:pPr>
      <w:r w:rsidRPr="008742FC">
        <w:rPr>
          <w:b/>
          <w:iCs/>
          <w:color w:val="auto"/>
          <w:szCs w:val="24"/>
        </w:rPr>
        <w:t>Details of the</w:t>
      </w:r>
      <w:r w:rsidR="00CF0589">
        <w:rPr>
          <w:b/>
          <w:iCs/>
          <w:color w:val="auto"/>
          <w:szCs w:val="24"/>
        </w:rPr>
        <w:t xml:space="preserve"> </w:t>
      </w:r>
      <w:r w:rsidRPr="008742FC">
        <w:rPr>
          <w:b/>
          <w:i/>
          <w:snapToGrid w:val="0"/>
        </w:rPr>
        <w:t>Farm Household Support</w:t>
      </w:r>
      <w:r w:rsidRPr="008742FC">
        <w:rPr>
          <w:b/>
          <w:i/>
        </w:rPr>
        <w:t xml:space="preserve"> Minister’s Amendment Rule 2015</w:t>
      </w:r>
      <w:r w:rsidRPr="001D2957">
        <w:rPr>
          <w:b/>
          <w:i/>
          <w:color w:val="FF0000"/>
          <w:u w:val="single"/>
        </w:rPr>
        <w:t xml:space="preserve"> </w:t>
      </w:r>
    </w:p>
    <w:p w14:paraId="38561454" w14:textId="3590606D" w:rsidR="008742FC" w:rsidRPr="00836D6E" w:rsidRDefault="008742FC" w:rsidP="0081778B">
      <w:pPr>
        <w:pStyle w:val="Normal-em"/>
        <w:spacing w:after="120"/>
        <w:ind w:left="1440" w:hanging="1440"/>
        <w:rPr>
          <w:b/>
          <w:color w:val="auto"/>
          <w:szCs w:val="24"/>
        </w:rPr>
      </w:pPr>
      <w:r>
        <w:rPr>
          <w:color w:val="auto"/>
          <w:szCs w:val="24"/>
          <w:u w:val="single"/>
        </w:rPr>
        <w:t>Section 1 – Name</w:t>
      </w:r>
    </w:p>
    <w:p w14:paraId="6BA89761" w14:textId="7ED0168D" w:rsidR="008742FC" w:rsidRPr="00836D6E" w:rsidRDefault="008742FC" w:rsidP="0081778B">
      <w:pPr>
        <w:pStyle w:val="Normal-em"/>
        <w:spacing w:after="120"/>
        <w:rPr>
          <w:color w:val="auto"/>
          <w:szCs w:val="24"/>
        </w:rPr>
      </w:pPr>
      <w:r w:rsidRPr="00836D6E">
        <w:rPr>
          <w:color w:val="auto"/>
          <w:szCs w:val="24"/>
        </w:rPr>
        <w:t xml:space="preserve">This </w:t>
      </w:r>
      <w:r>
        <w:rPr>
          <w:color w:val="auto"/>
          <w:szCs w:val="24"/>
        </w:rPr>
        <w:t>s</w:t>
      </w:r>
      <w:r w:rsidRPr="00836D6E">
        <w:rPr>
          <w:color w:val="auto"/>
          <w:szCs w:val="24"/>
        </w:rPr>
        <w:t>ection provide</w:t>
      </w:r>
      <w:r>
        <w:rPr>
          <w:color w:val="auto"/>
          <w:szCs w:val="24"/>
        </w:rPr>
        <w:t>s</w:t>
      </w:r>
      <w:r w:rsidRPr="00836D6E">
        <w:rPr>
          <w:color w:val="auto"/>
          <w:szCs w:val="24"/>
        </w:rPr>
        <w:t xml:space="preserve"> </w:t>
      </w:r>
      <w:r>
        <w:rPr>
          <w:color w:val="auto"/>
          <w:szCs w:val="24"/>
        </w:rPr>
        <w:t>that the name</w:t>
      </w:r>
      <w:r w:rsidRPr="008742FC">
        <w:rPr>
          <w:color w:val="auto"/>
          <w:szCs w:val="24"/>
        </w:rPr>
        <w:t xml:space="preserve"> of the </w:t>
      </w:r>
      <w:r w:rsidR="00CF0589">
        <w:rPr>
          <w:color w:val="auto"/>
          <w:szCs w:val="24"/>
        </w:rPr>
        <w:t xml:space="preserve">Amendment </w:t>
      </w:r>
      <w:r w:rsidRPr="008742FC">
        <w:rPr>
          <w:color w:val="auto"/>
          <w:szCs w:val="24"/>
        </w:rPr>
        <w:t xml:space="preserve">Rule is the </w:t>
      </w:r>
      <w:r w:rsidRPr="008742FC">
        <w:rPr>
          <w:i/>
          <w:snapToGrid w:val="0"/>
        </w:rPr>
        <w:t>Farm Household Support</w:t>
      </w:r>
      <w:r w:rsidRPr="008742FC">
        <w:rPr>
          <w:i/>
        </w:rPr>
        <w:t xml:space="preserve"> Minister’s Amendment Rule 2015</w:t>
      </w:r>
      <w:r w:rsidRPr="008742FC">
        <w:rPr>
          <w:color w:val="auto"/>
          <w:szCs w:val="24"/>
        </w:rPr>
        <w:t>.</w:t>
      </w:r>
    </w:p>
    <w:p w14:paraId="2F209953" w14:textId="0FFE2114" w:rsidR="008742FC" w:rsidRPr="00836D6E" w:rsidRDefault="008742FC" w:rsidP="0081778B">
      <w:pPr>
        <w:pStyle w:val="Normal-em"/>
        <w:spacing w:after="120"/>
        <w:rPr>
          <w:color w:val="auto"/>
          <w:szCs w:val="24"/>
        </w:rPr>
      </w:pPr>
      <w:r w:rsidRPr="00836D6E">
        <w:rPr>
          <w:color w:val="auto"/>
          <w:szCs w:val="24"/>
          <w:u w:val="single"/>
        </w:rPr>
        <w:t>Section 2 – Commencement</w:t>
      </w:r>
    </w:p>
    <w:p w14:paraId="6941D06C" w14:textId="2347A780" w:rsidR="008742FC" w:rsidRPr="00836D6E" w:rsidRDefault="008742FC" w:rsidP="0081778B">
      <w:pPr>
        <w:pStyle w:val="Normal-em"/>
        <w:spacing w:after="120"/>
        <w:rPr>
          <w:color w:val="auto"/>
          <w:szCs w:val="24"/>
        </w:rPr>
      </w:pPr>
      <w:r>
        <w:rPr>
          <w:color w:val="auto"/>
          <w:szCs w:val="24"/>
        </w:rPr>
        <w:t>This s</w:t>
      </w:r>
      <w:r w:rsidRPr="00836D6E">
        <w:rPr>
          <w:color w:val="auto"/>
          <w:szCs w:val="24"/>
        </w:rPr>
        <w:t>ection provide</w:t>
      </w:r>
      <w:r>
        <w:rPr>
          <w:color w:val="auto"/>
          <w:szCs w:val="24"/>
        </w:rPr>
        <w:t>s</w:t>
      </w:r>
      <w:r w:rsidRPr="00836D6E">
        <w:rPr>
          <w:color w:val="auto"/>
          <w:szCs w:val="24"/>
        </w:rPr>
        <w:t xml:space="preserve"> </w:t>
      </w:r>
      <w:r>
        <w:rPr>
          <w:color w:val="auto"/>
          <w:szCs w:val="24"/>
        </w:rPr>
        <w:t xml:space="preserve">for the </w:t>
      </w:r>
      <w:r w:rsidR="00CF0589">
        <w:rPr>
          <w:color w:val="auto"/>
          <w:szCs w:val="24"/>
        </w:rPr>
        <w:t>Amendment</w:t>
      </w:r>
      <w:r>
        <w:rPr>
          <w:color w:val="auto"/>
          <w:szCs w:val="24"/>
        </w:rPr>
        <w:t xml:space="preserve"> Rule to commence on the day after it is registered.</w:t>
      </w:r>
    </w:p>
    <w:p w14:paraId="50870906" w14:textId="77777777" w:rsidR="00CA47AB" w:rsidRDefault="00CA47AB" w:rsidP="0081778B">
      <w:pPr>
        <w:pStyle w:val="Normal-em"/>
        <w:spacing w:after="120"/>
        <w:ind w:left="1440" w:hanging="1440"/>
        <w:rPr>
          <w:color w:val="auto"/>
          <w:szCs w:val="24"/>
          <w:u w:val="single"/>
        </w:rPr>
      </w:pPr>
    </w:p>
    <w:p w14:paraId="32B1F719" w14:textId="0EF1ABED" w:rsidR="008742FC" w:rsidRPr="00836D6E" w:rsidRDefault="008742FC" w:rsidP="0081778B">
      <w:pPr>
        <w:pStyle w:val="Normal-em"/>
        <w:spacing w:after="120"/>
        <w:ind w:left="1440" w:hanging="1440"/>
        <w:rPr>
          <w:color w:val="auto"/>
          <w:szCs w:val="24"/>
        </w:rPr>
      </w:pPr>
      <w:r w:rsidRPr="00836D6E">
        <w:rPr>
          <w:color w:val="auto"/>
          <w:szCs w:val="24"/>
          <w:u w:val="single"/>
        </w:rPr>
        <w:lastRenderedPageBreak/>
        <w:t xml:space="preserve">Section 3 – </w:t>
      </w:r>
      <w:r>
        <w:rPr>
          <w:color w:val="auto"/>
          <w:szCs w:val="24"/>
          <w:u w:val="single"/>
        </w:rPr>
        <w:t xml:space="preserve">Authority </w:t>
      </w:r>
    </w:p>
    <w:p w14:paraId="5D372070" w14:textId="685D4F14" w:rsidR="008742FC" w:rsidRPr="00836D6E" w:rsidRDefault="008742FC" w:rsidP="0081778B">
      <w:pPr>
        <w:pStyle w:val="Normal-em"/>
        <w:spacing w:after="120"/>
        <w:rPr>
          <w:iCs/>
          <w:color w:val="auto"/>
          <w:szCs w:val="24"/>
        </w:rPr>
      </w:pPr>
      <w:r>
        <w:rPr>
          <w:color w:val="auto"/>
          <w:szCs w:val="24"/>
        </w:rPr>
        <w:t>This s</w:t>
      </w:r>
      <w:r w:rsidRPr="00836D6E">
        <w:rPr>
          <w:color w:val="auto"/>
          <w:szCs w:val="24"/>
        </w:rPr>
        <w:t>ection provide</w:t>
      </w:r>
      <w:r>
        <w:rPr>
          <w:color w:val="auto"/>
          <w:szCs w:val="24"/>
        </w:rPr>
        <w:t>s</w:t>
      </w:r>
      <w:r w:rsidRPr="00836D6E">
        <w:rPr>
          <w:color w:val="auto"/>
          <w:szCs w:val="24"/>
        </w:rPr>
        <w:t xml:space="preserve"> </w:t>
      </w:r>
      <w:r>
        <w:rPr>
          <w:color w:val="auto"/>
          <w:szCs w:val="24"/>
        </w:rPr>
        <w:t xml:space="preserve">that the </w:t>
      </w:r>
      <w:r w:rsidR="00CF0589">
        <w:rPr>
          <w:color w:val="auto"/>
          <w:szCs w:val="24"/>
        </w:rPr>
        <w:t>Amendment</w:t>
      </w:r>
      <w:r>
        <w:rPr>
          <w:color w:val="auto"/>
          <w:szCs w:val="24"/>
        </w:rPr>
        <w:t xml:space="preserve"> Rule is made under the </w:t>
      </w:r>
      <w:r>
        <w:rPr>
          <w:i/>
          <w:color w:val="auto"/>
          <w:szCs w:val="24"/>
        </w:rPr>
        <w:t>Farm Household Support Act 2014</w:t>
      </w:r>
      <w:r>
        <w:rPr>
          <w:color w:val="auto"/>
          <w:szCs w:val="24"/>
        </w:rPr>
        <w:t>.</w:t>
      </w:r>
    </w:p>
    <w:p w14:paraId="1D494D2F" w14:textId="5EAFA401" w:rsidR="008742FC" w:rsidRPr="00DF3F6E" w:rsidRDefault="008742FC" w:rsidP="0081778B">
      <w:pPr>
        <w:pStyle w:val="Normal-em"/>
        <w:spacing w:after="120"/>
        <w:rPr>
          <w:color w:val="auto"/>
          <w:szCs w:val="24"/>
        </w:rPr>
      </w:pPr>
      <w:r>
        <w:rPr>
          <w:color w:val="auto"/>
          <w:szCs w:val="24"/>
          <w:u w:val="single"/>
        </w:rPr>
        <w:t>Section 4 – Schedules</w:t>
      </w:r>
    </w:p>
    <w:p w14:paraId="2022C557" w14:textId="4F5AA64F" w:rsidR="008742FC" w:rsidRPr="00DF3F6E" w:rsidRDefault="008742FC" w:rsidP="0081778B">
      <w:pPr>
        <w:pStyle w:val="Normal-em"/>
        <w:spacing w:after="120"/>
        <w:rPr>
          <w:color w:val="auto"/>
          <w:szCs w:val="24"/>
        </w:rPr>
      </w:pPr>
      <w:r>
        <w:rPr>
          <w:color w:val="auto"/>
          <w:szCs w:val="24"/>
        </w:rPr>
        <w:t>This section provides that the</w:t>
      </w:r>
      <w:r w:rsidR="00CF0589">
        <w:rPr>
          <w:color w:val="auto"/>
          <w:szCs w:val="24"/>
        </w:rPr>
        <w:t xml:space="preserve"> </w:t>
      </w:r>
      <w:r w:rsidR="00530956">
        <w:rPr>
          <w:color w:val="auto"/>
          <w:szCs w:val="24"/>
        </w:rPr>
        <w:t xml:space="preserve">2014 </w:t>
      </w:r>
      <w:r>
        <w:rPr>
          <w:color w:val="auto"/>
          <w:szCs w:val="24"/>
        </w:rPr>
        <w:t>Rule is amended as set out in Schedule 1.</w:t>
      </w:r>
    </w:p>
    <w:p w14:paraId="5A519EBD" w14:textId="1333B03B" w:rsidR="008742FC" w:rsidRPr="00836D6E" w:rsidRDefault="008742FC" w:rsidP="0081778B">
      <w:pPr>
        <w:pStyle w:val="Normal-em"/>
        <w:spacing w:after="120"/>
        <w:rPr>
          <w:iCs/>
          <w:color w:val="auto"/>
          <w:szCs w:val="24"/>
        </w:rPr>
      </w:pPr>
      <w:r w:rsidRPr="00836D6E">
        <w:rPr>
          <w:color w:val="auto"/>
          <w:szCs w:val="24"/>
          <w:u w:val="single"/>
        </w:rPr>
        <w:t>Schedule 1 – Amendments</w:t>
      </w:r>
    </w:p>
    <w:p w14:paraId="22E7EF38" w14:textId="40FC7032" w:rsidR="008742FC" w:rsidRDefault="008742FC" w:rsidP="0081778B">
      <w:pPr>
        <w:pStyle w:val="Normal-em"/>
        <w:spacing w:after="120"/>
        <w:rPr>
          <w:snapToGrid w:val="0"/>
          <w:highlight w:val="yellow"/>
        </w:rPr>
      </w:pPr>
      <w:r w:rsidRPr="00836D6E">
        <w:rPr>
          <w:b/>
          <w:szCs w:val="24"/>
        </w:rPr>
        <w:t>Item 1</w:t>
      </w:r>
      <w:r>
        <w:rPr>
          <w:szCs w:val="24"/>
        </w:rPr>
        <w:t xml:space="preserve"> repeals section 8 and inserts: </w:t>
      </w:r>
    </w:p>
    <w:p w14:paraId="36D0F1A4" w14:textId="77777777" w:rsidR="008742FC" w:rsidRPr="008742FC" w:rsidRDefault="008742FC" w:rsidP="008742FC">
      <w:pPr>
        <w:tabs>
          <w:tab w:val="left" w:pos="1701"/>
          <w:tab w:val="right" w:pos="9072"/>
        </w:tabs>
        <w:rPr>
          <w:rFonts w:ascii="Times New Roman" w:hAnsi="Times New Roman" w:cs="Times New Roman"/>
          <w:snapToGrid w:val="0"/>
          <w:sz w:val="24"/>
        </w:rPr>
      </w:pPr>
      <w:r w:rsidRPr="008742FC">
        <w:rPr>
          <w:rFonts w:ascii="Times New Roman" w:hAnsi="Times New Roman" w:cs="Times New Roman"/>
          <w:snapToGrid w:val="0"/>
          <w:sz w:val="24"/>
        </w:rPr>
        <w:t>For paragraph 82(1)(a) of the Act, the maximum amount of activity supplement is:</w:t>
      </w:r>
    </w:p>
    <w:p w14:paraId="08D2E032" w14:textId="6C52CE35" w:rsidR="008742FC" w:rsidRPr="008742FC" w:rsidRDefault="008742FC" w:rsidP="008742FC">
      <w:pPr>
        <w:tabs>
          <w:tab w:val="left" w:pos="1701"/>
          <w:tab w:val="right" w:pos="9072"/>
        </w:tabs>
        <w:ind w:left="720" w:hanging="294"/>
        <w:rPr>
          <w:rFonts w:ascii="Times New Roman" w:hAnsi="Times New Roman" w:cs="Times New Roman"/>
          <w:snapToGrid w:val="0"/>
          <w:sz w:val="24"/>
        </w:rPr>
      </w:pPr>
      <w:r w:rsidRPr="008742FC">
        <w:rPr>
          <w:rFonts w:ascii="Times New Roman" w:hAnsi="Times New Roman" w:cs="Times New Roman"/>
          <w:snapToGrid w:val="0"/>
          <w:sz w:val="24"/>
        </w:rPr>
        <w:t>(a) if a person’s cumulative period of farm household allowance is 2 years or more and the person begins</w:t>
      </w:r>
      <w:r w:rsidR="00DD1FE9">
        <w:rPr>
          <w:rFonts w:ascii="Times New Roman" w:hAnsi="Times New Roman" w:cs="Times New Roman"/>
          <w:snapToGrid w:val="0"/>
          <w:sz w:val="24"/>
        </w:rPr>
        <w:t>, or will begin</w:t>
      </w:r>
      <w:r w:rsidR="00E83B08">
        <w:rPr>
          <w:rFonts w:ascii="Times New Roman" w:hAnsi="Times New Roman" w:cs="Times New Roman"/>
          <w:snapToGrid w:val="0"/>
          <w:sz w:val="24"/>
        </w:rPr>
        <w:t>,</w:t>
      </w:r>
      <w:r w:rsidRPr="008742FC">
        <w:rPr>
          <w:rFonts w:ascii="Times New Roman" w:hAnsi="Times New Roman" w:cs="Times New Roman"/>
          <w:snapToGrid w:val="0"/>
          <w:sz w:val="24"/>
        </w:rPr>
        <w:t xml:space="preserve"> to undertake an activity in the third year of the cumulative period of farm household allowance </w:t>
      </w:r>
      <w:r w:rsidRPr="008742FC">
        <w:rPr>
          <w:rFonts w:ascii="Times New Roman" w:hAnsi="Times New Roman" w:cs="Times New Roman"/>
          <w:snapToGrid w:val="0"/>
          <w:sz w:val="24"/>
        </w:rPr>
        <w:softHyphen/>
      </w:r>
      <w:r w:rsidRPr="008742FC">
        <w:t>—</w:t>
      </w:r>
      <w:r w:rsidRPr="008742FC">
        <w:rPr>
          <w:rFonts w:ascii="Times New Roman" w:hAnsi="Times New Roman" w:cs="Times New Roman"/>
          <w:snapToGrid w:val="0"/>
          <w:sz w:val="24"/>
        </w:rPr>
        <w:t xml:space="preserve"> $4 000; and</w:t>
      </w:r>
    </w:p>
    <w:p w14:paraId="3DCB10B9" w14:textId="6A50EC73" w:rsidR="003C466A" w:rsidRDefault="008742FC" w:rsidP="0081778B">
      <w:pPr>
        <w:tabs>
          <w:tab w:val="left" w:pos="1701"/>
          <w:tab w:val="right" w:pos="9072"/>
        </w:tabs>
        <w:spacing w:after="20"/>
        <w:ind w:left="720" w:hanging="294"/>
        <w:rPr>
          <w:rFonts w:ascii="Times New Roman" w:hAnsi="Times New Roman" w:cs="Times New Roman"/>
          <w:vanish/>
          <w:sz w:val="24"/>
        </w:rPr>
      </w:pPr>
      <w:r w:rsidRPr="008742FC">
        <w:rPr>
          <w:rFonts w:ascii="Times New Roman" w:hAnsi="Times New Roman" w:cs="Times New Roman"/>
          <w:snapToGrid w:val="0"/>
          <w:sz w:val="24"/>
        </w:rPr>
        <w:t>(b) in any other case — $3 000.</w:t>
      </w:r>
    </w:p>
    <w:p w14:paraId="324D59E8" w14:textId="77777777" w:rsidR="00F06ACF" w:rsidRDefault="00F06ACF">
      <w:pPr>
        <w:rPr>
          <w:rFonts w:ascii="Times" w:eastAsia="Times New Roman" w:hAnsi="Times" w:cs="Times New Roman"/>
          <w:b/>
          <w:caps/>
          <w:color w:val="000000"/>
          <w:sz w:val="24"/>
          <w:szCs w:val="20"/>
          <w:u w:val="single"/>
        </w:rPr>
      </w:pPr>
      <w:r>
        <w:rPr>
          <w:rFonts w:ascii="Times" w:hAnsi="Times"/>
          <w:b/>
          <w:caps/>
          <w:u w:val="single"/>
        </w:rPr>
        <w:br w:type="page"/>
      </w:r>
    </w:p>
    <w:p w14:paraId="5C7EE4CF" w14:textId="77777777" w:rsidR="002B1DB3" w:rsidRPr="00B524C5" w:rsidRDefault="00B524C5" w:rsidP="00B524C5">
      <w:pPr>
        <w:jc w:val="right"/>
        <w:rPr>
          <w:rFonts w:ascii="Times New Roman" w:hAnsi="Times New Roman" w:cs="Times New Roman"/>
          <w:b/>
          <w:sz w:val="24"/>
          <w:u w:val="single"/>
        </w:rPr>
      </w:pPr>
      <w:r w:rsidRPr="00B524C5">
        <w:rPr>
          <w:rFonts w:ascii="Times New Roman" w:hAnsi="Times New Roman" w:cs="Times New Roman"/>
          <w:b/>
          <w:sz w:val="24"/>
          <w:u w:val="single"/>
        </w:rPr>
        <w:lastRenderedPageBreak/>
        <w:t>Attachment A</w:t>
      </w:r>
    </w:p>
    <w:p w14:paraId="0B1CB6A3" w14:textId="77777777" w:rsidR="00B524C5" w:rsidRPr="009A57ED" w:rsidRDefault="00B524C5" w:rsidP="00B3331C">
      <w:pPr>
        <w:rPr>
          <w:rFonts w:ascii="Times New Roman" w:hAnsi="Times New Roman" w:cs="Times New Roman"/>
          <w:vanish/>
          <w:sz w:val="24"/>
        </w:rPr>
      </w:pPr>
    </w:p>
    <w:p w14:paraId="67975218" w14:textId="77777777" w:rsidR="002B1DB3" w:rsidRDefault="002B1DB3" w:rsidP="00B3331C">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14:paraId="33355C7A" w14:textId="77777777" w:rsidR="00DD1CC4" w:rsidRPr="00DD1CC4" w:rsidRDefault="00DD1CC4" w:rsidP="00DD1CC4">
      <w:pPr>
        <w:jc w:val="center"/>
        <w:rPr>
          <w:rFonts w:ascii="Times New Roman" w:hAnsi="Times New Roman"/>
          <w:sz w:val="24"/>
        </w:rPr>
      </w:pPr>
    </w:p>
    <w:p w14:paraId="21299488" w14:textId="77777777" w:rsidR="002B1DB3" w:rsidRPr="00E4135E" w:rsidRDefault="002B1DB3" w:rsidP="00F16CEE">
      <w:pPr>
        <w:jc w:val="center"/>
        <w:rPr>
          <w:rFonts w:ascii="Times New Roman" w:hAnsi="Times New Roman"/>
          <w:sz w:val="24"/>
        </w:rPr>
      </w:pPr>
      <w:r w:rsidRPr="00E4135E">
        <w:rPr>
          <w:rFonts w:ascii="Times New Roman" w:hAnsi="Times New Roman"/>
          <w:i/>
          <w:sz w:val="24"/>
        </w:rPr>
        <w:t>Prepared in accordance with Part 3 of the Human Rights (Parliamentary Scrutiny) Act 2011</w:t>
      </w:r>
    </w:p>
    <w:p w14:paraId="5333E193" w14:textId="77777777" w:rsidR="002B1DB3" w:rsidRPr="00E4135E" w:rsidRDefault="002B1DB3" w:rsidP="00F16CEE">
      <w:pPr>
        <w:jc w:val="center"/>
        <w:rPr>
          <w:rFonts w:ascii="Times New Roman" w:hAnsi="Times New Roman"/>
          <w:sz w:val="24"/>
        </w:rPr>
      </w:pPr>
    </w:p>
    <w:p w14:paraId="086198C6" w14:textId="7309EA56" w:rsidR="002B1DB3" w:rsidRPr="00636729" w:rsidRDefault="002E4CC1" w:rsidP="00F16CEE">
      <w:pPr>
        <w:jc w:val="center"/>
        <w:rPr>
          <w:rFonts w:ascii="Times New Roman" w:hAnsi="Times New Roman"/>
          <w:b/>
          <w:i/>
          <w:sz w:val="24"/>
        </w:rPr>
      </w:pPr>
      <w:r w:rsidRPr="00636729">
        <w:rPr>
          <w:rFonts w:ascii="Times New Roman" w:hAnsi="Times New Roman"/>
          <w:b/>
          <w:i/>
          <w:sz w:val="24"/>
        </w:rPr>
        <w:t xml:space="preserve">Farm Household Support </w:t>
      </w:r>
      <w:r w:rsidR="00D83D21" w:rsidRPr="00636729">
        <w:rPr>
          <w:rFonts w:ascii="Times New Roman" w:hAnsi="Times New Roman"/>
          <w:b/>
          <w:i/>
          <w:sz w:val="24"/>
        </w:rPr>
        <w:t xml:space="preserve">Minister’s </w:t>
      </w:r>
      <w:r w:rsidR="006F0A45">
        <w:rPr>
          <w:rFonts w:ascii="Times New Roman" w:hAnsi="Times New Roman"/>
          <w:b/>
          <w:i/>
          <w:sz w:val="24"/>
        </w:rPr>
        <w:t>Amend</w:t>
      </w:r>
      <w:r w:rsidR="00A85552">
        <w:rPr>
          <w:rFonts w:ascii="Times New Roman" w:hAnsi="Times New Roman"/>
          <w:b/>
          <w:i/>
          <w:sz w:val="24"/>
        </w:rPr>
        <w:t>ment</w:t>
      </w:r>
      <w:r w:rsidR="006F0A45">
        <w:rPr>
          <w:rFonts w:ascii="Times New Roman" w:hAnsi="Times New Roman"/>
          <w:b/>
          <w:i/>
          <w:sz w:val="24"/>
        </w:rPr>
        <w:t xml:space="preserve"> Rule 2015</w:t>
      </w:r>
    </w:p>
    <w:sdt>
      <w:sdtPr>
        <w:rPr>
          <w:rFonts w:ascii="Times New Roman" w:hAnsi="Times New Roman"/>
          <w:sz w:val="24"/>
        </w:rPr>
        <w:id w:val="962787082"/>
        <w:lock w:val="contentLocked"/>
        <w:placeholder>
          <w:docPart w:val="3F24F1B361AA4406A4B36253A44AD5DA"/>
        </w:placeholder>
        <w:group/>
      </w:sdtPr>
      <w:sdtEndPr>
        <w:rPr>
          <w:b/>
        </w:rPr>
      </w:sdtEndPr>
      <w:sdtContent>
        <w:p w14:paraId="232EABA3" w14:textId="77777777" w:rsidR="002B1DB3" w:rsidRPr="00E4135E" w:rsidRDefault="002B1DB3" w:rsidP="00B3331C">
          <w:pPr>
            <w:jc w:val="center"/>
            <w:rPr>
              <w:rFonts w:ascii="Times New Roman" w:hAnsi="Times New Roman"/>
              <w:sz w:val="24"/>
            </w:rPr>
          </w:pPr>
        </w:p>
        <w:p w14:paraId="507B5F89" w14:textId="77777777" w:rsidR="002B1DB3" w:rsidRPr="00E4135E" w:rsidRDefault="002B1DB3" w:rsidP="00B3331C">
          <w:pPr>
            <w:spacing w:before="120" w:after="120"/>
            <w:jc w:val="center"/>
            <w:rPr>
              <w:rFonts w:ascii="Times New Roman" w:hAnsi="Times New Roman"/>
              <w:sz w:val="24"/>
            </w:rPr>
          </w:pPr>
          <w:r w:rsidRPr="00E4135E">
            <w:rPr>
              <w:rFonts w:ascii="Times New Roman" w:hAnsi="Times New Roman"/>
              <w:sz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rPr>
            <w:t>Human Rights (Parliamentary Scrutiny) Act 2011</w:t>
          </w:r>
          <w:r w:rsidRPr="00E4135E">
            <w:rPr>
              <w:rFonts w:ascii="Times New Roman" w:hAnsi="Times New Roman"/>
              <w:sz w:val="24"/>
            </w:rPr>
            <w:t>.</w:t>
          </w:r>
        </w:p>
        <w:p w14:paraId="280CE403" w14:textId="77777777" w:rsidR="002B1DB3" w:rsidRPr="00E4135E" w:rsidRDefault="002B1DB3" w:rsidP="00B3331C">
          <w:pPr>
            <w:rPr>
              <w:rFonts w:ascii="Times New Roman" w:hAnsi="Times New Roman"/>
              <w:sz w:val="24"/>
            </w:rPr>
          </w:pPr>
        </w:p>
        <w:p w14:paraId="48FC310B" w14:textId="378CD72D" w:rsidR="00CA31BE" w:rsidRPr="0081778B" w:rsidRDefault="002B1DB3" w:rsidP="0081778B">
          <w:pPr>
            <w:spacing w:after="120"/>
            <w:jc w:val="both"/>
            <w:rPr>
              <w:rFonts w:ascii="Times New Roman" w:hAnsi="Times New Roman"/>
              <w:b/>
              <w:sz w:val="24"/>
            </w:rPr>
          </w:pPr>
          <w:r w:rsidRPr="00E4135E">
            <w:rPr>
              <w:rFonts w:ascii="Times New Roman" w:hAnsi="Times New Roman"/>
              <w:b/>
              <w:sz w:val="24"/>
            </w:rPr>
            <w:t>Overview of the Legislative Instrument</w:t>
          </w:r>
        </w:p>
      </w:sdtContent>
    </w:sdt>
    <w:p w14:paraId="6D10A231" w14:textId="5E1BB064" w:rsidR="004D408C" w:rsidRDefault="00CA31BE" w:rsidP="004D408C">
      <w:pPr>
        <w:tabs>
          <w:tab w:val="left" w:pos="1701"/>
          <w:tab w:val="right" w:pos="9072"/>
        </w:tabs>
        <w:rPr>
          <w:rFonts w:ascii="Times New Roman" w:hAnsi="Times New Roman" w:cs="Times New Roman"/>
          <w:snapToGrid w:val="0"/>
          <w:sz w:val="24"/>
        </w:rPr>
      </w:pPr>
      <w:r>
        <w:rPr>
          <w:rFonts w:ascii="Times New Roman" w:hAnsi="Times New Roman" w:cs="Times New Roman"/>
          <w:snapToGrid w:val="0"/>
          <w:sz w:val="24"/>
        </w:rPr>
        <w:t xml:space="preserve">The </w:t>
      </w:r>
      <w:r w:rsidRPr="00665C17">
        <w:rPr>
          <w:rFonts w:ascii="Times New Roman" w:hAnsi="Times New Roman" w:cs="Times New Roman"/>
          <w:i/>
          <w:snapToGrid w:val="0"/>
          <w:sz w:val="24"/>
        </w:rPr>
        <w:t>Farm Household Support Minister’s Amendment Rule 2015</w:t>
      </w:r>
      <w:r w:rsidR="004D408C">
        <w:rPr>
          <w:rFonts w:ascii="Times New Roman" w:hAnsi="Times New Roman" w:cs="Times New Roman"/>
          <w:snapToGrid w:val="0"/>
          <w:sz w:val="24"/>
        </w:rPr>
        <w:t xml:space="preserve"> (A</w:t>
      </w:r>
      <w:r w:rsidR="00B84754">
        <w:rPr>
          <w:rFonts w:ascii="Times New Roman" w:hAnsi="Times New Roman" w:cs="Times New Roman"/>
          <w:snapToGrid w:val="0"/>
          <w:sz w:val="24"/>
        </w:rPr>
        <w:t>mendment</w:t>
      </w:r>
      <w:r>
        <w:rPr>
          <w:rFonts w:ascii="Times New Roman" w:hAnsi="Times New Roman" w:cs="Times New Roman"/>
          <w:snapToGrid w:val="0"/>
          <w:sz w:val="24"/>
        </w:rPr>
        <w:t xml:space="preserve"> Rule) </w:t>
      </w:r>
      <w:r w:rsidR="00530956">
        <w:rPr>
          <w:rFonts w:ascii="Times New Roman" w:hAnsi="Times New Roman" w:cs="Times New Roman"/>
          <w:snapToGrid w:val="0"/>
          <w:sz w:val="24"/>
        </w:rPr>
        <w:t xml:space="preserve">amends </w:t>
      </w:r>
      <w:r>
        <w:rPr>
          <w:rFonts w:ascii="Times New Roman" w:hAnsi="Times New Roman" w:cs="Times New Roman"/>
          <w:snapToGrid w:val="0"/>
          <w:sz w:val="24"/>
        </w:rPr>
        <w:t xml:space="preserve">the </w:t>
      </w:r>
      <w:r w:rsidRPr="006975C9">
        <w:rPr>
          <w:rFonts w:ascii="Times New Roman" w:hAnsi="Times New Roman" w:cs="Times New Roman"/>
          <w:i/>
          <w:snapToGrid w:val="0"/>
          <w:sz w:val="24"/>
        </w:rPr>
        <w:t>Farm Household Minister’s Rule</w:t>
      </w:r>
      <w:r>
        <w:rPr>
          <w:rFonts w:ascii="Times New Roman" w:hAnsi="Times New Roman" w:cs="Times New Roman"/>
          <w:snapToGrid w:val="0"/>
          <w:sz w:val="24"/>
        </w:rPr>
        <w:t xml:space="preserve"> </w:t>
      </w:r>
      <w:r w:rsidRPr="006975C9">
        <w:rPr>
          <w:rFonts w:ascii="Times New Roman" w:hAnsi="Times New Roman" w:cs="Times New Roman"/>
          <w:i/>
          <w:snapToGrid w:val="0"/>
          <w:sz w:val="24"/>
        </w:rPr>
        <w:t>2014</w:t>
      </w:r>
      <w:r>
        <w:rPr>
          <w:rFonts w:ascii="Times New Roman" w:hAnsi="Times New Roman" w:cs="Times New Roman"/>
          <w:snapToGrid w:val="0"/>
          <w:sz w:val="24"/>
        </w:rPr>
        <w:t>, Part 3—Activity Supplement, Section 8 Maximum amount of activity supple</w:t>
      </w:r>
      <w:r w:rsidR="004D408C">
        <w:rPr>
          <w:rFonts w:ascii="Times New Roman" w:hAnsi="Times New Roman" w:cs="Times New Roman"/>
          <w:snapToGrid w:val="0"/>
          <w:sz w:val="24"/>
        </w:rPr>
        <w:t>ment (of $3 000). The Amendment Rule increases the activity supplement by $1 000 for FHA recipients to spend on ‘high value’ activities in their final (third) year of payment.</w:t>
      </w:r>
    </w:p>
    <w:p w14:paraId="322B17EE" w14:textId="77777777" w:rsidR="004D408C" w:rsidRDefault="004D408C" w:rsidP="004D408C">
      <w:pPr>
        <w:tabs>
          <w:tab w:val="left" w:pos="1701"/>
          <w:tab w:val="right" w:pos="9072"/>
        </w:tabs>
        <w:rPr>
          <w:rFonts w:ascii="Times New Roman" w:hAnsi="Times New Roman" w:cs="Times New Roman"/>
          <w:snapToGrid w:val="0"/>
          <w:sz w:val="24"/>
        </w:rPr>
      </w:pPr>
    </w:p>
    <w:p w14:paraId="472C05DF" w14:textId="77777777" w:rsidR="00993F3E" w:rsidRPr="00993F3E" w:rsidRDefault="00993F3E" w:rsidP="00B84754">
      <w:pPr>
        <w:spacing w:after="120"/>
        <w:rPr>
          <w:rFonts w:ascii="Times New Roman" w:hAnsi="Times New Roman"/>
          <w:sz w:val="24"/>
        </w:rPr>
      </w:pPr>
      <w:r w:rsidRPr="00364A9C">
        <w:rPr>
          <w:rFonts w:ascii="Times New Roman" w:hAnsi="Times New Roman"/>
          <w:b/>
          <w:sz w:val="24"/>
        </w:rPr>
        <w:t xml:space="preserve">Human </w:t>
      </w:r>
      <w:r w:rsidR="006F511E">
        <w:rPr>
          <w:rFonts w:ascii="Times New Roman" w:hAnsi="Times New Roman"/>
          <w:b/>
          <w:sz w:val="24"/>
        </w:rPr>
        <w:t>r</w:t>
      </w:r>
      <w:r w:rsidRPr="00364A9C">
        <w:rPr>
          <w:rFonts w:ascii="Times New Roman" w:hAnsi="Times New Roman"/>
          <w:b/>
          <w:sz w:val="24"/>
        </w:rPr>
        <w:t>ights implications</w:t>
      </w:r>
    </w:p>
    <w:p w14:paraId="7EEA28A7" w14:textId="798950DC" w:rsidR="00F30E9F" w:rsidRDefault="004D408C" w:rsidP="00993F3E">
      <w:pPr>
        <w:rPr>
          <w:rFonts w:ascii="Times New Roman" w:hAnsi="Times New Roman"/>
          <w:sz w:val="24"/>
        </w:rPr>
      </w:pPr>
      <w:r>
        <w:rPr>
          <w:rFonts w:ascii="Times New Roman" w:hAnsi="Times New Roman"/>
          <w:sz w:val="24"/>
        </w:rPr>
        <w:t>The legislative instrument does not engage any of the applicable rights or freedoms.</w:t>
      </w:r>
    </w:p>
    <w:p w14:paraId="72774F20" w14:textId="77777777" w:rsidR="00B84754" w:rsidRDefault="00B84754" w:rsidP="00993F3E">
      <w:pPr>
        <w:rPr>
          <w:rFonts w:ascii="Times New Roman" w:hAnsi="Times New Roman"/>
          <w:b/>
          <w:sz w:val="24"/>
        </w:rPr>
      </w:pPr>
    </w:p>
    <w:p w14:paraId="66237B4E" w14:textId="77777777" w:rsidR="00993F3E" w:rsidRPr="00364A9C" w:rsidRDefault="00993F3E" w:rsidP="00993F3E">
      <w:pPr>
        <w:rPr>
          <w:rFonts w:ascii="Times New Roman" w:hAnsi="Times New Roman"/>
          <w:b/>
          <w:sz w:val="24"/>
        </w:rPr>
      </w:pPr>
      <w:r w:rsidRPr="00364A9C">
        <w:rPr>
          <w:rFonts w:ascii="Times New Roman" w:hAnsi="Times New Roman"/>
          <w:b/>
          <w:sz w:val="24"/>
        </w:rPr>
        <w:t>Conclusion</w:t>
      </w:r>
    </w:p>
    <w:p w14:paraId="7A3E42C3" w14:textId="6685C2B4" w:rsidR="00993F3E" w:rsidRPr="00993F3E" w:rsidRDefault="00E83B08" w:rsidP="00993F3E">
      <w:pPr>
        <w:rPr>
          <w:rFonts w:ascii="Times New Roman" w:hAnsi="Times New Roman"/>
          <w:sz w:val="24"/>
        </w:rPr>
      </w:pPr>
      <w:r>
        <w:rPr>
          <w:rFonts w:ascii="Times New Roman" w:hAnsi="Times New Roman"/>
          <w:sz w:val="24"/>
        </w:rPr>
        <w:t>The A</w:t>
      </w:r>
      <w:r w:rsidR="00B84754">
        <w:rPr>
          <w:rFonts w:ascii="Times New Roman" w:hAnsi="Times New Roman"/>
          <w:sz w:val="24"/>
        </w:rPr>
        <w:t>mendment</w:t>
      </w:r>
      <w:r w:rsidR="0051655A">
        <w:rPr>
          <w:rFonts w:ascii="Times New Roman" w:hAnsi="Times New Roman"/>
          <w:sz w:val="24"/>
        </w:rPr>
        <w:t xml:space="preserve"> Rule is compatible with </w:t>
      </w:r>
      <w:r w:rsidR="00E63509">
        <w:rPr>
          <w:rFonts w:ascii="Times New Roman" w:hAnsi="Times New Roman"/>
          <w:sz w:val="24"/>
        </w:rPr>
        <w:t xml:space="preserve">the </w:t>
      </w:r>
      <w:r w:rsidR="0051655A">
        <w:rPr>
          <w:rFonts w:ascii="Times New Roman" w:hAnsi="Times New Roman"/>
          <w:sz w:val="24"/>
        </w:rPr>
        <w:t xml:space="preserve">human rights </w:t>
      </w:r>
      <w:r w:rsidR="00E63509">
        <w:rPr>
          <w:rFonts w:ascii="Times New Roman" w:hAnsi="Times New Roman"/>
          <w:sz w:val="24"/>
        </w:rPr>
        <w:t xml:space="preserve">and freedoms recognised or declared under Section 3 </w:t>
      </w:r>
      <w:r w:rsidR="00E63509" w:rsidRPr="00E4135E">
        <w:rPr>
          <w:rFonts w:ascii="Times New Roman" w:hAnsi="Times New Roman"/>
          <w:sz w:val="24"/>
        </w:rPr>
        <w:t xml:space="preserve">of the </w:t>
      </w:r>
      <w:r w:rsidR="00E63509" w:rsidRPr="00E4135E">
        <w:rPr>
          <w:rFonts w:ascii="Times New Roman" w:hAnsi="Times New Roman"/>
          <w:i/>
          <w:sz w:val="24"/>
        </w:rPr>
        <w:t>Human Rights (Parliamentary Scrutiny) Act 2011</w:t>
      </w:r>
      <w:r w:rsidR="00E63509">
        <w:rPr>
          <w:rFonts w:ascii="Times New Roman" w:hAnsi="Times New Roman"/>
          <w:sz w:val="24"/>
        </w:rPr>
        <w:t xml:space="preserve"> </w:t>
      </w:r>
      <w:r w:rsidR="0051655A">
        <w:rPr>
          <w:rFonts w:ascii="Times New Roman" w:hAnsi="Times New Roman"/>
          <w:sz w:val="24"/>
        </w:rPr>
        <w:t xml:space="preserve">as it does not raise any human rights issues. </w:t>
      </w:r>
    </w:p>
    <w:p w14:paraId="41943477" w14:textId="77777777" w:rsidR="002B1DB3" w:rsidRPr="00E4135E" w:rsidRDefault="002B1DB3" w:rsidP="00B3331C">
      <w:pPr>
        <w:rPr>
          <w:rFonts w:ascii="Times New Roman" w:hAnsi="Times New Roman"/>
          <w:sz w:val="24"/>
        </w:rPr>
      </w:pPr>
    </w:p>
    <w:p w14:paraId="6DAD9C5C" w14:textId="77777777" w:rsidR="00257866" w:rsidRPr="00257866" w:rsidRDefault="00257866" w:rsidP="00257866">
      <w:pPr>
        <w:jc w:val="center"/>
        <w:rPr>
          <w:rFonts w:ascii="Times New Roman" w:hAnsi="Times New Roman"/>
          <w:b/>
          <w:bCs/>
          <w:sz w:val="24"/>
        </w:rPr>
      </w:pPr>
      <w:r w:rsidRPr="00257866">
        <w:rPr>
          <w:rFonts w:ascii="Times New Roman" w:hAnsi="Times New Roman"/>
          <w:b/>
          <w:bCs/>
          <w:sz w:val="24"/>
        </w:rPr>
        <w:t>The Hon. Barnaby Joyce MP</w:t>
      </w:r>
    </w:p>
    <w:p w14:paraId="38545B2D" w14:textId="5A3F26CD" w:rsidR="00FA26FF" w:rsidRPr="002E4CC1" w:rsidRDefault="00086A09" w:rsidP="002E4CC1">
      <w:pPr>
        <w:jc w:val="center"/>
        <w:rPr>
          <w:rFonts w:ascii="Times New Roman" w:hAnsi="Times New Roman"/>
          <w:b/>
          <w:bCs/>
          <w:sz w:val="24"/>
        </w:rPr>
      </w:pPr>
      <w:r>
        <w:rPr>
          <w:rFonts w:ascii="Times New Roman" w:hAnsi="Times New Roman"/>
          <w:b/>
          <w:bCs/>
          <w:sz w:val="24"/>
        </w:rPr>
        <w:t xml:space="preserve">Deputy Prime Minister and </w:t>
      </w:r>
      <w:r w:rsidR="00257866">
        <w:rPr>
          <w:rFonts w:ascii="Times New Roman" w:hAnsi="Times New Roman"/>
          <w:b/>
          <w:bCs/>
          <w:sz w:val="24"/>
        </w:rPr>
        <w:t>Minister for Agriculture</w:t>
      </w:r>
      <w:r w:rsidR="00A3255B">
        <w:rPr>
          <w:rFonts w:ascii="Times New Roman" w:hAnsi="Times New Roman"/>
          <w:b/>
          <w:bCs/>
          <w:sz w:val="24"/>
        </w:rPr>
        <w:t xml:space="preserve"> and Water Resources</w:t>
      </w:r>
    </w:p>
    <w:sectPr w:rsidR="00FA26FF" w:rsidRPr="002E4CC1" w:rsidSect="00896EBE">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7A406" w14:textId="77777777" w:rsidR="001F0448" w:rsidRDefault="001F0448" w:rsidP="00151C54">
      <w:r>
        <w:separator/>
      </w:r>
    </w:p>
  </w:endnote>
  <w:endnote w:type="continuationSeparator" w:id="0">
    <w:p w14:paraId="353CAED6" w14:textId="77777777" w:rsidR="001F0448" w:rsidRDefault="001F0448"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CE4BC" w14:textId="77777777" w:rsidR="008C50A1" w:rsidRDefault="008C50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14:paraId="4348B134" w14:textId="77777777" w:rsidR="00636729" w:rsidRPr="00896EBE" w:rsidRDefault="00801AF1">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00636729"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972599">
          <w:rPr>
            <w:rFonts w:ascii="Times New Roman" w:hAnsi="Times New Roman" w:cs="Times New Roman"/>
            <w:noProof/>
            <w:sz w:val="22"/>
            <w:szCs w:val="22"/>
          </w:rPr>
          <w:t>4</w:t>
        </w:r>
        <w:r w:rsidRPr="00896EBE">
          <w:rPr>
            <w:rFonts w:ascii="Times New Roman" w:hAnsi="Times New Roman" w:cs="Times New Roman"/>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020C" w14:textId="77777777" w:rsidR="008C50A1" w:rsidRDefault="008C5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605A4" w14:textId="77777777" w:rsidR="001F0448" w:rsidRDefault="001F0448" w:rsidP="00151C54">
      <w:r>
        <w:separator/>
      </w:r>
    </w:p>
  </w:footnote>
  <w:footnote w:type="continuationSeparator" w:id="0">
    <w:p w14:paraId="06375107" w14:textId="77777777" w:rsidR="001F0448" w:rsidRDefault="001F0448" w:rsidP="00151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A6C69" w14:textId="77777777" w:rsidR="008C50A1" w:rsidRDefault="008C50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42B84" w14:textId="77777777" w:rsidR="006F0A45" w:rsidRDefault="006F0A45" w:rsidP="006F0A4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AA3C0" w14:textId="77777777" w:rsidR="008C50A1" w:rsidRDefault="008C50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7736CF"/>
    <w:multiLevelType w:val="multilevel"/>
    <w:tmpl w:val="B73275FC"/>
    <w:lvl w:ilvl="0">
      <w:start w:val="1"/>
      <w:numFmt w:val="bullet"/>
      <w:pStyle w:val="Text"/>
      <w:lvlText w:val=""/>
      <w:lvlJc w:val="left"/>
      <w:pPr>
        <w:ind w:left="360" w:hanging="360"/>
      </w:pPr>
      <w:rPr>
        <w:rFonts w:ascii="Symbol" w:hAnsi="Symbol" w:hint="default"/>
        <w:color w:val="auto"/>
      </w:rPr>
    </w:lvl>
    <w:lvl w:ilvl="1">
      <w:start w:val="1"/>
      <w:numFmt w:val="bullet"/>
      <w:lvlText w:val="-"/>
      <w:lvlJc w:val="left"/>
      <w:pPr>
        <w:ind w:left="720" w:hanging="360"/>
      </w:pPr>
      <w:rPr>
        <w:rFonts w:ascii="Courier New" w:hAnsi="Courier New" w:cs="Times New Roman" w:hint="default"/>
      </w:rPr>
    </w:lvl>
    <w:lvl w:ilvl="2">
      <w:start w:val="1"/>
      <w:numFmt w:val="none"/>
      <w:lvlText w:val=":"/>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5873B6E"/>
    <w:multiLevelType w:val="hybridMultilevel"/>
    <w:tmpl w:val="71E86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0067EE"/>
    <w:multiLevelType w:val="hybridMultilevel"/>
    <w:tmpl w:val="CCF8E6B0"/>
    <w:lvl w:ilvl="0" w:tplc="A908184A">
      <w:start w:val="1"/>
      <w:numFmt w:val="decimal"/>
      <w:pStyle w:val="BodyText1"/>
      <w:lvlText w:val="%1."/>
      <w:lvlJc w:val="left"/>
      <w:pPr>
        <w:ind w:left="36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1"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2"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A0C7CB5"/>
    <w:multiLevelType w:val="hybridMultilevel"/>
    <w:tmpl w:val="19288C4E"/>
    <w:lvl w:ilvl="0" w:tplc="42C4BC86">
      <w:numFmt w:val="bullet"/>
      <w:lvlText w:val="•"/>
      <w:lvlJc w:val="left"/>
      <w:pPr>
        <w:ind w:left="720" w:hanging="360"/>
      </w:pPr>
      <w:rPr>
        <w:rFonts w:ascii="Times New Roman" w:eastAsiaTheme="minorEastAsia"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047302"/>
    <w:multiLevelType w:val="hybridMultilevel"/>
    <w:tmpl w:val="B8786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0"/>
  </w:num>
  <w:num w:numId="2">
    <w:abstractNumId w:val="18"/>
  </w:num>
  <w:num w:numId="3">
    <w:abstractNumId w:val="12"/>
  </w:num>
  <w:num w:numId="4">
    <w:abstractNumId w:val="3"/>
  </w:num>
  <w:num w:numId="5">
    <w:abstractNumId w:val="1"/>
  </w:num>
  <w:num w:numId="6">
    <w:abstractNumId w:val="7"/>
  </w:num>
  <w:num w:numId="7">
    <w:abstractNumId w:val="2"/>
  </w:num>
  <w:num w:numId="8">
    <w:abstractNumId w:val="4"/>
  </w:num>
  <w:num w:numId="9">
    <w:abstractNumId w:val="6"/>
  </w:num>
  <w:num w:numId="10">
    <w:abstractNumId w:val="16"/>
  </w:num>
  <w:num w:numId="11">
    <w:abstractNumId w:val="17"/>
  </w:num>
  <w:num w:numId="12">
    <w:abstractNumId w:val="11"/>
  </w:num>
  <w:num w:numId="13">
    <w:abstractNumId w:val="11"/>
    <w:lvlOverride w:ilvl="0">
      <w:startOverride w:val="1"/>
    </w:lvlOverride>
  </w:num>
  <w:num w:numId="14">
    <w:abstractNumId w:val="0"/>
  </w:num>
  <w:num w:numId="15">
    <w:abstractNumId w:val="13"/>
  </w:num>
  <w:num w:numId="16">
    <w:abstractNumId w:val="15"/>
  </w:num>
  <w:num w:numId="17">
    <w:abstractNumId w:val="14"/>
  </w:num>
  <w:num w:numId="18">
    <w:abstractNumId w:val="8"/>
  </w:num>
  <w:num w:numId="19">
    <w:abstractNumId w:val="9"/>
  </w:num>
  <w:num w:numId="20">
    <w:abstractNumId w:val="14"/>
  </w:num>
  <w:num w:numId="2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GB" w:vendorID="64" w:dllVersion="131078" w:nlCheck="1" w:checkStyle="1"/>
  <w:activeWritingStyle w:appName="MSWord" w:lang="en-AU"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93"/>
    <w:rsid w:val="00010078"/>
    <w:rsid w:val="00045513"/>
    <w:rsid w:val="000503F4"/>
    <w:rsid w:val="000629B8"/>
    <w:rsid w:val="000762FE"/>
    <w:rsid w:val="00080725"/>
    <w:rsid w:val="0008358A"/>
    <w:rsid w:val="00086A09"/>
    <w:rsid w:val="00087691"/>
    <w:rsid w:val="00092F2C"/>
    <w:rsid w:val="000962BA"/>
    <w:rsid w:val="000976DB"/>
    <w:rsid w:val="000A52A2"/>
    <w:rsid w:val="000A65F6"/>
    <w:rsid w:val="000B129E"/>
    <w:rsid w:val="000B6EAC"/>
    <w:rsid w:val="000C3693"/>
    <w:rsid w:val="000D07B5"/>
    <w:rsid w:val="000D78D6"/>
    <w:rsid w:val="000F08F2"/>
    <w:rsid w:val="00102163"/>
    <w:rsid w:val="001110FA"/>
    <w:rsid w:val="001125D9"/>
    <w:rsid w:val="0012062A"/>
    <w:rsid w:val="0012110A"/>
    <w:rsid w:val="00127498"/>
    <w:rsid w:val="00131EE6"/>
    <w:rsid w:val="001372D1"/>
    <w:rsid w:val="00144C2C"/>
    <w:rsid w:val="00151C54"/>
    <w:rsid w:val="00151E6A"/>
    <w:rsid w:val="00153032"/>
    <w:rsid w:val="00162A32"/>
    <w:rsid w:val="0016456A"/>
    <w:rsid w:val="001669D6"/>
    <w:rsid w:val="001746B7"/>
    <w:rsid w:val="00175BD8"/>
    <w:rsid w:val="00180DEF"/>
    <w:rsid w:val="0018228A"/>
    <w:rsid w:val="0018343E"/>
    <w:rsid w:val="00196322"/>
    <w:rsid w:val="001A5CE3"/>
    <w:rsid w:val="001C550C"/>
    <w:rsid w:val="001D006D"/>
    <w:rsid w:val="001E3A93"/>
    <w:rsid w:val="001E6727"/>
    <w:rsid w:val="001F0448"/>
    <w:rsid w:val="001F41AC"/>
    <w:rsid w:val="001F47AF"/>
    <w:rsid w:val="001F5A48"/>
    <w:rsid w:val="001F5ED3"/>
    <w:rsid w:val="0020254D"/>
    <w:rsid w:val="002060F6"/>
    <w:rsid w:val="002227A0"/>
    <w:rsid w:val="00224A82"/>
    <w:rsid w:val="00224D28"/>
    <w:rsid w:val="00253849"/>
    <w:rsid w:val="00257866"/>
    <w:rsid w:val="00262A43"/>
    <w:rsid w:val="002737B5"/>
    <w:rsid w:val="0028617A"/>
    <w:rsid w:val="0028728C"/>
    <w:rsid w:val="002926E7"/>
    <w:rsid w:val="0029727D"/>
    <w:rsid w:val="002B1DB3"/>
    <w:rsid w:val="002C11FD"/>
    <w:rsid w:val="002C6779"/>
    <w:rsid w:val="002C75EE"/>
    <w:rsid w:val="002D2972"/>
    <w:rsid w:val="002D3BC5"/>
    <w:rsid w:val="002D3CE5"/>
    <w:rsid w:val="002D41BA"/>
    <w:rsid w:val="002E2CFA"/>
    <w:rsid w:val="002E3D3A"/>
    <w:rsid w:val="002E4CC1"/>
    <w:rsid w:val="002F2F4C"/>
    <w:rsid w:val="003015AF"/>
    <w:rsid w:val="0030646A"/>
    <w:rsid w:val="003064B1"/>
    <w:rsid w:val="003147AA"/>
    <w:rsid w:val="003228F6"/>
    <w:rsid w:val="00325117"/>
    <w:rsid w:val="00327648"/>
    <w:rsid w:val="00342594"/>
    <w:rsid w:val="0034712E"/>
    <w:rsid w:val="00364A9C"/>
    <w:rsid w:val="0036576A"/>
    <w:rsid w:val="003710C0"/>
    <w:rsid w:val="003712DE"/>
    <w:rsid w:val="00371A94"/>
    <w:rsid w:val="00382C16"/>
    <w:rsid w:val="003869BF"/>
    <w:rsid w:val="00395E54"/>
    <w:rsid w:val="003A2479"/>
    <w:rsid w:val="003B33F7"/>
    <w:rsid w:val="003C466A"/>
    <w:rsid w:val="003C4B05"/>
    <w:rsid w:val="003D6D6F"/>
    <w:rsid w:val="003E0906"/>
    <w:rsid w:val="003E5CA0"/>
    <w:rsid w:val="0040411A"/>
    <w:rsid w:val="0041002B"/>
    <w:rsid w:val="00417598"/>
    <w:rsid w:val="004309BE"/>
    <w:rsid w:val="00442785"/>
    <w:rsid w:val="004607C8"/>
    <w:rsid w:val="00461420"/>
    <w:rsid w:val="00483CF0"/>
    <w:rsid w:val="00485C1E"/>
    <w:rsid w:val="0049220B"/>
    <w:rsid w:val="004A1F70"/>
    <w:rsid w:val="004A547B"/>
    <w:rsid w:val="004B0DD7"/>
    <w:rsid w:val="004B2362"/>
    <w:rsid w:val="004B78AF"/>
    <w:rsid w:val="004C03EE"/>
    <w:rsid w:val="004C276E"/>
    <w:rsid w:val="004C3324"/>
    <w:rsid w:val="004C5892"/>
    <w:rsid w:val="004C66F9"/>
    <w:rsid w:val="004C7BF6"/>
    <w:rsid w:val="004D257B"/>
    <w:rsid w:val="004D2895"/>
    <w:rsid w:val="004D408C"/>
    <w:rsid w:val="004E3056"/>
    <w:rsid w:val="004E5C49"/>
    <w:rsid w:val="004F47F6"/>
    <w:rsid w:val="005117D5"/>
    <w:rsid w:val="005117FD"/>
    <w:rsid w:val="0051655A"/>
    <w:rsid w:val="00521B96"/>
    <w:rsid w:val="00524522"/>
    <w:rsid w:val="005265C7"/>
    <w:rsid w:val="00530956"/>
    <w:rsid w:val="00537350"/>
    <w:rsid w:val="00543544"/>
    <w:rsid w:val="00547846"/>
    <w:rsid w:val="005505AB"/>
    <w:rsid w:val="0056245D"/>
    <w:rsid w:val="005664BC"/>
    <w:rsid w:val="00572154"/>
    <w:rsid w:val="005742FF"/>
    <w:rsid w:val="00591BB7"/>
    <w:rsid w:val="005951BB"/>
    <w:rsid w:val="005A5E73"/>
    <w:rsid w:val="005A619E"/>
    <w:rsid w:val="005B311C"/>
    <w:rsid w:val="005B6B55"/>
    <w:rsid w:val="005C2B44"/>
    <w:rsid w:val="005C7337"/>
    <w:rsid w:val="005D4F88"/>
    <w:rsid w:val="005D53EF"/>
    <w:rsid w:val="005D6FE8"/>
    <w:rsid w:val="005D77C3"/>
    <w:rsid w:val="005E3D4B"/>
    <w:rsid w:val="005E4559"/>
    <w:rsid w:val="005F473A"/>
    <w:rsid w:val="005F66F2"/>
    <w:rsid w:val="006022C4"/>
    <w:rsid w:val="00605720"/>
    <w:rsid w:val="006144ED"/>
    <w:rsid w:val="006323D3"/>
    <w:rsid w:val="006327D8"/>
    <w:rsid w:val="00636729"/>
    <w:rsid w:val="006400BC"/>
    <w:rsid w:val="0064772B"/>
    <w:rsid w:val="00650566"/>
    <w:rsid w:val="00651D8D"/>
    <w:rsid w:val="00652426"/>
    <w:rsid w:val="006548BC"/>
    <w:rsid w:val="006553D3"/>
    <w:rsid w:val="00665C17"/>
    <w:rsid w:val="00677FFA"/>
    <w:rsid w:val="006842A9"/>
    <w:rsid w:val="00690055"/>
    <w:rsid w:val="006975C9"/>
    <w:rsid w:val="006C0064"/>
    <w:rsid w:val="006D072E"/>
    <w:rsid w:val="006E4016"/>
    <w:rsid w:val="006E6178"/>
    <w:rsid w:val="006F0A45"/>
    <w:rsid w:val="006F3D67"/>
    <w:rsid w:val="006F511E"/>
    <w:rsid w:val="00700F91"/>
    <w:rsid w:val="00715D29"/>
    <w:rsid w:val="00725DC1"/>
    <w:rsid w:val="00734BCB"/>
    <w:rsid w:val="00745BFD"/>
    <w:rsid w:val="0075556B"/>
    <w:rsid w:val="00757D51"/>
    <w:rsid w:val="00781078"/>
    <w:rsid w:val="00784976"/>
    <w:rsid w:val="00787A13"/>
    <w:rsid w:val="007A0F8D"/>
    <w:rsid w:val="007B3C0B"/>
    <w:rsid w:val="007B3C56"/>
    <w:rsid w:val="007C45D8"/>
    <w:rsid w:val="007C5044"/>
    <w:rsid w:val="007C6F56"/>
    <w:rsid w:val="007D49E6"/>
    <w:rsid w:val="007F21BF"/>
    <w:rsid w:val="007F777E"/>
    <w:rsid w:val="00801AF1"/>
    <w:rsid w:val="008128EB"/>
    <w:rsid w:val="00813B12"/>
    <w:rsid w:val="0081705B"/>
    <w:rsid w:val="0081778B"/>
    <w:rsid w:val="008224BE"/>
    <w:rsid w:val="00824CE6"/>
    <w:rsid w:val="008274A6"/>
    <w:rsid w:val="00827E43"/>
    <w:rsid w:val="008300B9"/>
    <w:rsid w:val="0085100D"/>
    <w:rsid w:val="00866D55"/>
    <w:rsid w:val="00871938"/>
    <w:rsid w:val="008742FC"/>
    <w:rsid w:val="00876F10"/>
    <w:rsid w:val="00877C5B"/>
    <w:rsid w:val="00881CAD"/>
    <w:rsid w:val="00896EBE"/>
    <w:rsid w:val="0089780D"/>
    <w:rsid w:val="008A0909"/>
    <w:rsid w:val="008A11A3"/>
    <w:rsid w:val="008A5B57"/>
    <w:rsid w:val="008B253A"/>
    <w:rsid w:val="008B2552"/>
    <w:rsid w:val="008B370D"/>
    <w:rsid w:val="008B56DA"/>
    <w:rsid w:val="008B73F3"/>
    <w:rsid w:val="008C1C7B"/>
    <w:rsid w:val="008C3F1D"/>
    <w:rsid w:val="008C50A1"/>
    <w:rsid w:val="008D22E7"/>
    <w:rsid w:val="008D29F0"/>
    <w:rsid w:val="008D42F6"/>
    <w:rsid w:val="008D4378"/>
    <w:rsid w:val="008E292C"/>
    <w:rsid w:val="008E66CC"/>
    <w:rsid w:val="00900561"/>
    <w:rsid w:val="00910CE9"/>
    <w:rsid w:val="0091337D"/>
    <w:rsid w:val="009152CA"/>
    <w:rsid w:val="00920010"/>
    <w:rsid w:val="009224BA"/>
    <w:rsid w:val="00922C40"/>
    <w:rsid w:val="00961FB9"/>
    <w:rsid w:val="00964B50"/>
    <w:rsid w:val="00972599"/>
    <w:rsid w:val="00973468"/>
    <w:rsid w:val="00977F38"/>
    <w:rsid w:val="009818B9"/>
    <w:rsid w:val="00981E32"/>
    <w:rsid w:val="009908D6"/>
    <w:rsid w:val="00992814"/>
    <w:rsid w:val="00993F3E"/>
    <w:rsid w:val="00995D93"/>
    <w:rsid w:val="00997229"/>
    <w:rsid w:val="009A1039"/>
    <w:rsid w:val="009A10B6"/>
    <w:rsid w:val="009A11A2"/>
    <w:rsid w:val="009A16BE"/>
    <w:rsid w:val="009A2562"/>
    <w:rsid w:val="009B2B59"/>
    <w:rsid w:val="009B3BDE"/>
    <w:rsid w:val="009B40C3"/>
    <w:rsid w:val="009D35AA"/>
    <w:rsid w:val="009E1B67"/>
    <w:rsid w:val="009E50B4"/>
    <w:rsid w:val="009E61C5"/>
    <w:rsid w:val="009F3EBA"/>
    <w:rsid w:val="00A05152"/>
    <w:rsid w:val="00A1386A"/>
    <w:rsid w:val="00A16CBE"/>
    <w:rsid w:val="00A24ADE"/>
    <w:rsid w:val="00A3255B"/>
    <w:rsid w:val="00A351C1"/>
    <w:rsid w:val="00A37FDF"/>
    <w:rsid w:val="00A71FE2"/>
    <w:rsid w:val="00A7304A"/>
    <w:rsid w:val="00A754C5"/>
    <w:rsid w:val="00A761B2"/>
    <w:rsid w:val="00A81D76"/>
    <w:rsid w:val="00A84386"/>
    <w:rsid w:val="00A85552"/>
    <w:rsid w:val="00A92EDB"/>
    <w:rsid w:val="00A94A7C"/>
    <w:rsid w:val="00A972CC"/>
    <w:rsid w:val="00AA09FE"/>
    <w:rsid w:val="00AA3C71"/>
    <w:rsid w:val="00AC4F5E"/>
    <w:rsid w:val="00AD4432"/>
    <w:rsid w:val="00AE270F"/>
    <w:rsid w:val="00AF542E"/>
    <w:rsid w:val="00B030B7"/>
    <w:rsid w:val="00B0722D"/>
    <w:rsid w:val="00B20EBE"/>
    <w:rsid w:val="00B214B2"/>
    <w:rsid w:val="00B26C7F"/>
    <w:rsid w:val="00B3331C"/>
    <w:rsid w:val="00B37AB7"/>
    <w:rsid w:val="00B452D1"/>
    <w:rsid w:val="00B477EE"/>
    <w:rsid w:val="00B504C5"/>
    <w:rsid w:val="00B524C5"/>
    <w:rsid w:val="00B52CDF"/>
    <w:rsid w:val="00B57443"/>
    <w:rsid w:val="00B7294E"/>
    <w:rsid w:val="00B84754"/>
    <w:rsid w:val="00B96EB8"/>
    <w:rsid w:val="00BA0B39"/>
    <w:rsid w:val="00BB4AD3"/>
    <w:rsid w:val="00BB4CD3"/>
    <w:rsid w:val="00BB61BF"/>
    <w:rsid w:val="00BB7041"/>
    <w:rsid w:val="00BC12A9"/>
    <w:rsid w:val="00BC6B2F"/>
    <w:rsid w:val="00BD2386"/>
    <w:rsid w:val="00BD34E3"/>
    <w:rsid w:val="00BD3594"/>
    <w:rsid w:val="00BF5BAF"/>
    <w:rsid w:val="00C06F49"/>
    <w:rsid w:val="00C11458"/>
    <w:rsid w:val="00C142FA"/>
    <w:rsid w:val="00C15272"/>
    <w:rsid w:val="00C154F5"/>
    <w:rsid w:val="00C207BA"/>
    <w:rsid w:val="00C32367"/>
    <w:rsid w:val="00C36CC7"/>
    <w:rsid w:val="00C40B13"/>
    <w:rsid w:val="00C44ED7"/>
    <w:rsid w:val="00C463C2"/>
    <w:rsid w:val="00C51AA5"/>
    <w:rsid w:val="00C52CC5"/>
    <w:rsid w:val="00C55BA8"/>
    <w:rsid w:val="00C57334"/>
    <w:rsid w:val="00C64139"/>
    <w:rsid w:val="00C71506"/>
    <w:rsid w:val="00C9474A"/>
    <w:rsid w:val="00C96431"/>
    <w:rsid w:val="00CA31BE"/>
    <w:rsid w:val="00CA47AB"/>
    <w:rsid w:val="00CB06B1"/>
    <w:rsid w:val="00CB26E2"/>
    <w:rsid w:val="00CC492C"/>
    <w:rsid w:val="00CD6716"/>
    <w:rsid w:val="00CD7150"/>
    <w:rsid w:val="00CE129C"/>
    <w:rsid w:val="00CE72E2"/>
    <w:rsid w:val="00CE73AE"/>
    <w:rsid w:val="00CF0589"/>
    <w:rsid w:val="00CF1E27"/>
    <w:rsid w:val="00CF2006"/>
    <w:rsid w:val="00CF55AC"/>
    <w:rsid w:val="00CF7161"/>
    <w:rsid w:val="00CF7424"/>
    <w:rsid w:val="00D0550D"/>
    <w:rsid w:val="00D076DD"/>
    <w:rsid w:val="00D121A6"/>
    <w:rsid w:val="00D2112D"/>
    <w:rsid w:val="00D36826"/>
    <w:rsid w:val="00D54FC7"/>
    <w:rsid w:val="00D557BA"/>
    <w:rsid w:val="00D70141"/>
    <w:rsid w:val="00D70F10"/>
    <w:rsid w:val="00D751FB"/>
    <w:rsid w:val="00D83D21"/>
    <w:rsid w:val="00D91C7C"/>
    <w:rsid w:val="00DA2671"/>
    <w:rsid w:val="00DB3586"/>
    <w:rsid w:val="00DC60B6"/>
    <w:rsid w:val="00DD01C2"/>
    <w:rsid w:val="00DD1CC4"/>
    <w:rsid w:val="00DD1FE9"/>
    <w:rsid w:val="00DD1FEF"/>
    <w:rsid w:val="00DD2C31"/>
    <w:rsid w:val="00DE2764"/>
    <w:rsid w:val="00DE43FF"/>
    <w:rsid w:val="00DE6B9D"/>
    <w:rsid w:val="00DE6BC5"/>
    <w:rsid w:val="00DE6EA9"/>
    <w:rsid w:val="00DE78C5"/>
    <w:rsid w:val="00DF141C"/>
    <w:rsid w:val="00DF7ACE"/>
    <w:rsid w:val="00E019AD"/>
    <w:rsid w:val="00E01BD2"/>
    <w:rsid w:val="00E17A7C"/>
    <w:rsid w:val="00E239C0"/>
    <w:rsid w:val="00E304E9"/>
    <w:rsid w:val="00E34976"/>
    <w:rsid w:val="00E4309D"/>
    <w:rsid w:val="00E52B61"/>
    <w:rsid w:val="00E555F7"/>
    <w:rsid w:val="00E63509"/>
    <w:rsid w:val="00E70274"/>
    <w:rsid w:val="00E756E3"/>
    <w:rsid w:val="00E83B08"/>
    <w:rsid w:val="00E922D3"/>
    <w:rsid w:val="00E9516C"/>
    <w:rsid w:val="00E9571B"/>
    <w:rsid w:val="00EA7474"/>
    <w:rsid w:val="00EB542F"/>
    <w:rsid w:val="00EC4AD6"/>
    <w:rsid w:val="00ED382D"/>
    <w:rsid w:val="00ED5DC1"/>
    <w:rsid w:val="00EF1ADC"/>
    <w:rsid w:val="00F06ACF"/>
    <w:rsid w:val="00F1076E"/>
    <w:rsid w:val="00F11BB3"/>
    <w:rsid w:val="00F12365"/>
    <w:rsid w:val="00F16CEE"/>
    <w:rsid w:val="00F2176A"/>
    <w:rsid w:val="00F236CE"/>
    <w:rsid w:val="00F30E9F"/>
    <w:rsid w:val="00F35134"/>
    <w:rsid w:val="00F36891"/>
    <w:rsid w:val="00F37C9F"/>
    <w:rsid w:val="00F733CB"/>
    <w:rsid w:val="00F842CC"/>
    <w:rsid w:val="00F8548C"/>
    <w:rsid w:val="00F917BA"/>
    <w:rsid w:val="00F95723"/>
    <w:rsid w:val="00F97A75"/>
    <w:rsid w:val="00FA26FF"/>
    <w:rsid w:val="00FA65D3"/>
    <w:rsid w:val="00FA7662"/>
    <w:rsid w:val="00FA7BDF"/>
    <w:rsid w:val="00FB3F43"/>
    <w:rsid w:val="00FB4B41"/>
    <w:rsid w:val="00FB5AAE"/>
    <w:rsid w:val="00FE4D40"/>
    <w:rsid w:val="00FE7E58"/>
    <w:rsid w:val="00FF2244"/>
    <w:rsid w:val="00FF54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7F6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4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rPr>
      <w:sz w:val="20"/>
      <w:szCs w:val="20"/>
    </w:rPr>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szCs w:val="20"/>
    </w:rPr>
  </w:style>
  <w:style w:type="paragraph" w:customStyle="1" w:styleId="HB-Table-dotpoint">
    <w:name w:val="HB - Table - dot point"/>
    <w:basedOn w:val="Normal"/>
    <w:rsid w:val="00FA26FF"/>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rsid w:val="002B1DB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2B1DB3"/>
    <w:rPr>
      <w:rFonts w:ascii="Arial Rounded MT Bold" w:eastAsia="Times New Roman" w:hAnsi="Arial Rounded MT Bold" w:cs="Times New Roman"/>
      <w:b/>
      <w:szCs w:val="20"/>
    </w:rPr>
  </w:style>
  <w:style w:type="paragraph" w:customStyle="1" w:styleId="Definition">
    <w:name w:val="Definition"/>
    <w:aliases w:val="dd"/>
    <w:basedOn w:val="Normal"/>
    <w:rsid w:val="00FF540F"/>
    <w:pPr>
      <w:spacing w:before="180"/>
      <w:ind w:left="1134"/>
    </w:pPr>
    <w:rPr>
      <w:rFonts w:ascii="Times New Roman" w:eastAsia="Times New Roman" w:hAnsi="Times New Roman" w:cs="Times New Roman"/>
      <w:szCs w:val="20"/>
      <w:lang w:eastAsia="en-AU"/>
    </w:rPr>
  </w:style>
  <w:style w:type="paragraph" w:styleId="PlainText">
    <w:name w:val="Plain Text"/>
    <w:basedOn w:val="Normal"/>
    <w:link w:val="PlainTextChar"/>
    <w:uiPriority w:val="99"/>
    <w:semiHidden/>
    <w:unhideWhenUsed/>
    <w:rsid w:val="00224A82"/>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224A82"/>
    <w:rPr>
      <w:rFonts w:ascii="Consolas" w:eastAsiaTheme="minorHAnsi" w:hAnsi="Consolas"/>
      <w:sz w:val="21"/>
      <w:szCs w:val="21"/>
    </w:rPr>
  </w:style>
  <w:style w:type="paragraph" w:customStyle="1" w:styleId="BodyText1">
    <w:name w:val="Body Text1"/>
    <w:basedOn w:val="ListParagraph"/>
    <w:link w:val="BodytextChar"/>
    <w:uiPriority w:val="99"/>
    <w:qFormat/>
    <w:rsid w:val="00C64139"/>
    <w:pPr>
      <w:numPr>
        <w:numId w:val="19"/>
      </w:numPr>
      <w:spacing w:before="120"/>
      <w:contextualSpacing w:val="0"/>
    </w:pPr>
    <w:rPr>
      <w:rFonts w:ascii="Times New Roman" w:eastAsia="Times New Roman" w:hAnsi="Times New Roman" w:cs="Times New Roman"/>
      <w:sz w:val="24"/>
      <w:lang w:eastAsia="en-AU"/>
    </w:rPr>
  </w:style>
  <w:style w:type="character" w:customStyle="1" w:styleId="BodytextChar">
    <w:name w:val="Body text Char"/>
    <w:link w:val="BodyText1"/>
    <w:uiPriority w:val="99"/>
    <w:rsid w:val="00C64139"/>
    <w:rPr>
      <w:rFonts w:ascii="Times New Roman" w:eastAsia="Times New Roman" w:hAnsi="Times New Roman" w:cs="Times New Roman"/>
      <w:lang w:eastAsia="en-AU"/>
    </w:rPr>
  </w:style>
  <w:style w:type="character" w:customStyle="1" w:styleId="TextChar">
    <w:name w:val="Text Char"/>
    <w:basedOn w:val="DefaultParagraphFont"/>
    <w:link w:val="Text"/>
    <w:locked/>
    <w:rsid w:val="00E019AD"/>
    <w:rPr>
      <w:rFonts w:ascii="Times New Roman" w:hAnsi="Times New Roman" w:cs="Times New Roman"/>
      <w:lang w:eastAsia="en-AU"/>
    </w:rPr>
  </w:style>
  <w:style w:type="paragraph" w:customStyle="1" w:styleId="Text">
    <w:name w:val="Text"/>
    <w:basedOn w:val="ListParagraph"/>
    <w:link w:val="TextChar"/>
    <w:qFormat/>
    <w:rsid w:val="00E019AD"/>
    <w:pPr>
      <w:numPr>
        <w:numId w:val="21"/>
      </w:numPr>
      <w:spacing w:after="240"/>
    </w:pPr>
    <w:rPr>
      <w:rFonts w:ascii="Times New Roman" w:hAnsi="Times New Roman" w:cs="Times New Roman"/>
      <w:sz w:val="24"/>
      <w:lang w:eastAsia="en-AU"/>
    </w:rPr>
  </w:style>
  <w:style w:type="character" w:styleId="FollowedHyperlink">
    <w:name w:val="FollowedHyperlink"/>
    <w:basedOn w:val="DefaultParagraphFont"/>
    <w:uiPriority w:val="99"/>
    <w:semiHidden/>
    <w:unhideWhenUsed/>
    <w:rsid w:val="0049220B"/>
    <w:rPr>
      <w:color w:val="800080" w:themeColor="followedHyperlink"/>
      <w:u w:val="single"/>
    </w:rPr>
  </w:style>
  <w:style w:type="paragraph" w:styleId="Quote">
    <w:name w:val="Quote"/>
    <w:basedOn w:val="Normal"/>
    <w:link w:val="QuoteChar"/>
    <w:qFormat/>
    <w:rsid w:val="004C03EE"/>
    <w:pPr>
      <w:spacing w:after="240"/>
      <w:ind w:left="851" w:right="851"/>
      <w:jc w:val="both"/>
    </w:pPr>
    <w:rPr>
      <w:rFonts w:ascii="Times New Roman" w:eastAsia="Times New Roman" w:hAnsi="Times New Roman" w:cs="Times New Roman"/>
      <w:sz w:val="24"/>
      <w:szCs w:val="20"/>
    </w:rPr>
  </w:style>
  <w:style w:type="character" w:customStyle="1" w:styleId="QuoteChar">
    <w:name w:val="Quote Char"/>
    <w:basedOn w:val="DefaultParagraphFont"/>
    <w:link w:val="Quote"/>
    <w:rsid w:val="004C03E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850130">
      <w:bodyDiv w:val="1"/>
      <w:marLeft w:val="0"/>
      <w:marRight w:val="0"/>
      <w:marTop w:val="0"/>
      <w:marBottom w:val="0"/>
      <w:divBdr>
        <w:top w:val="none" w:sz="0" w:space="0" w:color="auto"/>
        <w:left w:val="none" w:sz="0" w:space="0" w:color="auto"/>
        <w:bottom w:val="none" w:sz="0" w:space="0" w:color="auto"/>
        <w:right w:val="none" w:sz="0" w:space="0" w:color="auto"/>
      </w:divBdr>
    </w:div>
    <w:div w:id="672996912">
      <w:bodyDiv w:val="1"/>
      <w:marLeft w:val="0"/>
      <w:marRight w:val="0"/>
      <w:marTop w:val="0"/>
      <w:marBottom w:val="0"/>
      <w:divBdr>
        <w:top w:val="none" w:sz="0" w:space="0" w:color="auto"/>
        <w:left w:val="none" w:sz="0" w:space="0" w:color="auto"/>
        <w:bottom w:val="none" w:sz="0" w:space="0" w:color="auto"/>
        <w:right w:val="none" w:sz="0" w:space="0" w:color="auto"/>
      </w:divBdr>
    </w:div>
    <w:div w:id="1028990427">
      <w:bodyDiv w:val="1"/>
      <w:marLeft w:val="0"/>
      <w:marRight w:val="0"/>
      <w:marTop w:val="0"/>
      <w:marBottom w:val="0"/>
      <w:divBdr>
        <w:top w:val="none" w:sz="0" w:space="0" w:color="auto"/>
        <w:left w:val="none" w:sz="0" w:space="0" w:color="auto"/>
        <w:bottom w:val="none" w:sz="0" w:space="0" w:color="auto"/>
        <w:right w:val="none" w:sz="0" w:space="0" w:color="auto"/>
      </w:divBdr>
    </w:div>
    <w:div w:id="1329095261">
      <w:bodyDiv w:val="1"/>
      <w:marLeft w:val="0"/>
      <w:marRight w:val="0"/>
      <w:marTop w:val="0"/>
      <w:marBottom w:val="0"/>
      <w:divBdr>
        <w:top w:val="none" w:sz="0" w:space="0" w:color="auto"/>
        <w:left w:val="none" w:sz="0" w:space="0" w:color="auto"/>
        <w:bottom w:val="none" w:sz="0" w:space="0" w:color="auto"/>
        <w:right w:val="none" w:sz="0" w:space="0" w:color="auto"/>
      </w:divBdr>
    </w:div>
    <w:div w:id="1900942754">
      <w:bodyDiv w:val="1"/>
      <w:marLeft w:val="0"/>
      <w:marRight w:val="0"/>
      <w:marTop w:val="0"/>
      <w:marBottom w:val="0"/>
      <w:divBdr>
        <w:top w:val="none" w:sz="0" w:space="0" w:color="auto"/>
        <w:left w:val="none" w:sz="0" w:space="0" w:color="auto"/>
        <w:bottom w:val="none" w:sz="0" w:space="0" w:color="auto"/>
        <w:right w:val="none" w:sz="0" w:space="0" w:color="auto"/>
      </w:divBdr>
    </w:div>
    <w:div w:id="1902011784">
      <w:bodyDiv w:val="1"/>
      <w:marLeft w:val="0"/>
      <w:marRight w:val="0"/>
      <w:marTop w:val="0"/>
      <w:marBottom w:val="0"/>
      <w:divBdr>
        <w:top w:val="none" w:sz="0" w:space="0" w:color="auto"/>
        <w:left w:val="none" w:sz="0" w:space="0" w:color="auto"/>
        <w:bottom w:val="none" w:sz="0" w:space="0" w:color="auto"/>
        <w:right w:val="none" w:sz="0" w:space="0" w:color="auto"/>
      </w:divBdr>
    </w:div>
    <w:div w:id="2116247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24F1B361AA4406A4B36253A44AD5DA"/>
        <w:category>
          <w:name w:val="General"/>
          <w:gallery w:val="placeholder"/>
        </w:category>
        <w:types>
          <w:type w:val="bbPlcHdr"/>
        </w:types>
        <w:behaviors>
          <w:behavior w:val="content"/>
        </w:behaviors>
        <w:guid w:val="{FB08F9D5-CDDF-4F05-9CBB-78BBD700F8EA}"/>
      </w:docPartPr>
      <w:docPartBody>
        <w:p w:rsidR="006E4252" w:rsidRDefault="006E4252">
          <w:pPr>
            <w:pStyle w:val="3F24F1B361AA4406A4B36253A44AD5DA"/>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6E4252"/>
    <w:rsid w:val="000075F3"/>
    <w:rsid w:val="000B10B0"/>
    <w:rsid w:val="002057FE"/>
    <w:rsid w:val="00277505"/>
    <w:rsid w:val="00286A64"/>
    <w:rsid w:val="002A7CAE"/>
    <w:rsid w:val="002D7CEE"/>
    <w:rsid w:val="002F75FD"/>
    <w:rsid w:val="00391B41"/>
    <w:rsid w:val="00583019"/>
    <w:rsid w:val="006420A6"/>
    <w:rsid w:val="00654BF2"/>
    <w:rsid w:val="006E4252"/>
    <w:rsid w:val="00716E6A"/>
    <w:rsid w:val="007645B6"/>
    <w:rsid w:val="00906131"/>
    <w:rsid w:val="00A208B5"/>
    <w:rsid w:val="00B15D30"/>
    <w:rsid w:val="00B63043"/>
    <w:rsid w:val="00BC480F"/>
    <w:rsid w:val="00C26813"/>
    <w:rsid w:val="00D93EEB"/>
    <w:rsid w:val="00F055E3"/>
    <w:rsid w:val="00F36BB7"/>
    <w:rsid w:val="00F552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6813"/>
  </w:style>
  <w:style w:type="paragraph" w:customStyle="1" w:styleId="3F24F1B361AA4406A4B36253A44AD5DA">
    <w:name w:val="3F24F1B361AA4406A4B36253A44AD5DA"/>
    <w:rsid w:val="006E4252"/>
  </w:style>
  <w:style w:type="paragraph" w:customStyle="1" w:styleId="422CE5D90E444D94A1A6C627F2063E01">
    <w:name w:val="422CE5D90E444D94A1A6C627F2063E01"/>
    <w:rsid w:val="00C2681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cp:lastPrinted>2016-04-20T06:12:00Z</cp:lastPrinted>
  <dcterms:created xsi:type="dcterms:W3CDTF">2016-04-20T06:12:00Z</dcterms:created>
  <dcterms:modified xsi:type="dcterms:W3CDTF">2016-04-20T06:23:00Z</dcterms:modified>
</cp:coreProperties>
</file>