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62" w:rsidRPr="0043398C" w:rsidRDefault="00302262" w:rsidP="00302262">
      <w:pPr>
        <w:keepLines w:val="0"/>
        <w:spacing w:after="0"/>
        <w:jc w:val="center"/>
        <w:rPr>
          <w:b/>
          <w:color w:val="000000"/>
          <w:sz w:val="24"/>
        </w:rPr>
      </w:pPr>
      <w:r w:rsidRPr="0043398C">
        <w:rPr>
          <w:b/>
          <w:color w:val="000000"/>
          <w:sz w:val="24"/>
        </w:rPr>
        <w:t>EXPLANATORY STATEMENT</w:t>
      </w:r>
    </w:p>
    <w:p w:rsidR="00302262" w:rsidRPr="0043398C" w:rsidRDefault="00302262" w:rsidP="001E1A78">
      <w:pPr>
        <w:keepLines w:val="0"/>
        <w:spacing w:before="100" w:after="0"/>
        <w:jc w:val="center"/>
        <w:rPr>
          <w:color w:val="000000"/>
          <w:sz w:val="24"/>
          <w:u w:val="single"/>
        </w:rPr>
      </w:pPr>
    </w:p>
    <w:p w:rsidR="00302262" w:rsidRPr="0043398C" w:rsidRDefault="00302262" w:rsidP="00302262">
      <w:pPr>
        <w:keepLines w:val="0"/>
        <w:spacing w:after="0"/>
        <w:jc w:val="center"/>
        <w:rPr>
          <w:b/>
          <w:i/>
          <w:color w:val="000000"/>
          <w:sz w:val="24"/>
        </w:rPr>
      </w:pPr>
      <w:r w:rsidRPr="0043398C">
        <w:rPr>
          <w:b/>
          <w:i/>
          <w:color w:val="000000"/>
          <w:sz w:val="24"/>
        </w:rPr>
        <w:t>NATIONAL HEALTH ACT 1953</w:t>
      </w:r>
    </w:p>
    <w:p w:rsidR="00302262" w:rsidRPr="0043398C" w:rsidRDefault="00302262" w:rsidP="00302262">
      <w:pPr>
        <w:keepLines w:val="0"/>
        <w:spacing w:after="0"/>
        <w:jc w:val="center"/>
        <w:rPr>
          <w:b/>
          <w:i/>
          <w:color w:val="000000"/>
          <w:sz w:val="24"/>
        </w:rPr>
      </w:pPr>
    </w:p>
    <w:p w:rsidR="00302262" w:rsidRPr="00C0504C" w:rsidRDefault="00302262" w:rsidP="00302262">
      <w:pPr>
        <w:pStyle w:val="Heading4"/>
        <w:spacing w:after="0"/>
        <w:rPr>
          <w:i/>
          <w:sz w:val="24"/>
          <w:szCs w:val="24"/>
        </w:rPr>
      </w:pPr>
      <w:r w:rsidRPr="0043398C">
        <w:rPr>
          <w:i/>
          <w:sz w:val="24"/>
          <w:szCs w:val="24"/>
        </w:rPr>
        <w:t>NATIONAL HEALTH (</w:t>
      </w:r>
      <w:r w:rsidR="0052565C" w:rsidRPr="00C0504C">
        <w:rPr>
          <w:i/>
          <w:sz w:val="24"/>
          <w:szCs w:val="24"/>
        </w:rPr>
        <w:t>HIGHLY SPECIALISED DRUGS PROGRAM</w:t>
      </w:r>
      <w:r w:rsidRPr="00C0504C">
        <w:rPr>
          <w:i/>
          <w:sz w:val="24"/>
          <w:szCs w:val="24"/>
        </w:rPr>
        <w:t>) SPECIAL ARRANGEMENT AMENDMENT INSTRUMENT 201</w:t>
      </w:r>
      <w:r w:rsidR="008F2F59">
        <w:rPr>
          <w:i/>
          <w:sz w:val="24"/>
          <w:szCs w:val="24"/>
        </w:rPr>
        <w:t>5</w:t>
      </w:r>
      <w:r w:rsidRPr="00C0504C">
        <w:rPr>
          <w:i/>
          <w:sz w:val="24"/>
          <w:szCs w:val="24"/>
        </w:rPr>
        <w:t xml:space="preserve"> (</w:t>
      </w:r>
      <w:r w:rsidRPr="003E72C2">
        <w:rPr>
          <w:i/>
          <w:sz w:val="24"/>
          <w:szCs w:val="24"/>
        </w:rPr>
        <w:t>No.</w:t>
      </w:r>
      <w:r w:rsidR="00E74D08" w:rsidRPr="003E72C2">
        <w:rPr>
          <w:i/>
          <w:sz w:val="24"/>
          <w:szCs w:val="24"/>
        </w:rPr>
        <w:t> </w:t>
      </w:r>
      <w:r w:rsidR="003E72C2" w:rsidRPr="003E72C2">
        <w:rPr>
          <w:i/>
          <w:sz w:val="24"/>
          <w:szCs w:val="24"/>
        </w:rPr>
        <w:t>1</w:t>
      </w:r>
      <w:r w:rsidR="009B5FAE">
        <w:rPr>
          <w:i/>
          <w:sz w:val="24"/>
          <w:szCs w:val="24"/>
        </w:rPr>
        <w:t>2</w:t>
      </w:r>
      <w:r w:rsidRPr="003E72C2">
        <w:rPr>
          <w:i/>
          <w:sz w:val="24"/>
          <w:szCs w:val="24"/>
        </w:rPr>
        <w:t>)</w:t>
      </w:r>
    </w:p>
    <w:p w:rsidR="00302262" w:rsidRPr="00C0504C" w:rsidRDefault="00302262" w:rsidP="00302262">
      <w:pPr>
        <w:pStyle w:val="Heading4"/>
        <w:spacing w:after="0"/>
        <w:rPr>
          <w:i/>
          <w:sz w:val="24"/>
          <w:szCs w:val="24"/>
        </w:rPr>
      </w:pPr>
    </w:p>
    <w:p w:rsidR="00302262" w:rsidRPr="0043398C" w:rsidRDefault="009F376A" w:rsidP="00302262">
      <w:pPr>
        <w:pStyle w:val="Heading4"/>
        <w:spacing w:after="0"/>
        <w:rPr>
          <w:i/>
          <w:sz w:val="24"/>
          <w:szCs w:val="24"/>
        </w:rPr>
      </w:pPr>
      <w:r>
        <w:rPr>
          <w:i/>
          <w:sz w:val="24"/>
          <w:szCs w:val="24"/>
        </w:rPr>
        <w:t>PB 1</w:t>
      </w:r>
      <w:r w:rsidR="009B5FAE">
        <w:rPr>
          <w:i/>
          <w:sz w:val="24"/>
          <w:szCs w:val="24"/>
        </w:rPr>
        <w:t>11</w:t>
      </w:r>
      <w:r w:rsidR="006E0B09">
        <w:rPr>
          <w:i/>
          <w:sz w:val="24"/>
          <w:szCs w:val="24"/>
        </w:rPr>
        <w:t xml:space="preserve"> </w:t>
      </w:r>
      <w:r w:rsidR="00302262" w:rsidRPr="00C0504C">
        <w:rPr>
          <w:i/>
          <w:sz w:val="24"/>
          <w:szCs w:val="24"/>
        </w:rPr>
        <w:t>of 201</w:t>
      </w:r>
      <w:r w:rsidR="0030455A">
        <w:rPr>
          <w:i/>
          <w:sz w:val="24"/>
          <w:szCs w:val="24"/>
        </w:rPr>
        <w:t>5</w:t>
      </w:r>
    </w:p>
    <w:p w:rsidR="004D4CAB" w:rsidRPr="0043398C" w:rsidRDefault="004D4CAB" w:rsidP="004D4CAB">
      <w:pPr>
        <w:pStyle w:val="Heading6"/>
        <w:jc w:val="left"/>
        <w:rPr>
          <w:sz w:val="24"/>
          <w:szCs w:val="24"/>
        </w:rPr>
      </w:pPr>
    </w:p>
    <w:p w:rsidR="004D4CAB" w:rsidRPr="0043398C" w:rsidRDefault="004D4CAB" w:rsidP="004D4CAB">
      <w:pPr>
        <w:pStyle w:val="Heading6"/>
        <w:jc w:val="left"/>
        <w:rPr>
          <w:b w:val="0"/>
          <w:sz w:val="24"/>
          <w:szCs w:val="24"/>
        </w:rPr>
      </w:pPr>
      <w:r w:rsidRPr="0043398C">
        <w:rPr>
          <w:sz w:val="24"/>
          <w:szCs w:val="24"/>
        </w:rPr>
        <w:t>Authority</w:t>
      </w:r>
    </w:p>
    <w:p w:rsidR="003503AF" w:rsidRDefault="004D4CAB" w:rsidP="004D4CAB">
      <w:pPr>
        <w:pStyle w:val="Heading6"/>
        <w:tabs>
          <w:tab w:val="left" w:pos="456"/>
        </w:tabs>
        <w:jc w:val="left"/>
        <w:rPr>
          <w:b w:val="0"/>
          <w:sz w:val="24"/>
          <w:szCs w:val="24"/>
        </w:rPr>
      </w:pPr>
      <w:r w:rsidRPr="0043398C">
        <w:rPr>
          <w:b w:val="0"/>
          <w:sz w:val="24"/>
          <w:szCs w:val="24"/>
        </w:rPr>
        <w:t xml:space="preserve">Subsection 100(1) of the </w:t>
      </w:r>
      <w:r w:rsidRPr="0043398C">
        <w:rPr>
          <w:b w:val="0"/>
          <w:i/>
          <w:sz w:val="24"/>
          <w:szCs w:val="24"/>
        </w:rPr>
        <w:t xml:space="preserve">National Health Act 1953 </w:t>
      </w:r>
      <w:r w:rsidRPr="0043398C">
        <w:rPr>
          <w:b w:val="0"/>
          <w:sz w:val="24"/>
          <w:szCs w:val="24"/>
        </w:rPr>
        <w:t xml:space="preserve">(the Act) enables the Minister to make special arrangements for the supply of pharmaceutical benefits. </w:t>
      </w:r>
    </w:p>
    <w:p w:rsidR="004D4CAB" w:rsidRPr="0043398C" w:rsidRDefault="004D4CAB" w:rsidP="004D4CAB">
      <w:pPr>
        <w:pStyle w:val="Heading6"/>
        <w:tabs>
          <w:tab w:val="left" w:pos="456"/>
        </w:tabs>
        <w:jc w:val="left"/>
        <w:rPr>
          <w:b w:val="0"/>
          <w:sz w:val="24"/>
          <w:szCs w:val="24"/>
        </w:rPr>
      </w:pPr>
      <w:r w:rsidRPr="0043398C">
        <w:rPr>
          <w:b w:val="0"/>
          <w:sz w:val="24"/>
          <w:szCs w:val="24"/>
        </w:rPr>
        <w:t>Subsection 100(2) of the Act provides that the Minister may vary or revoke a special arrangement made under subsection 100(1).</w:t>
      </w:r>
    </w:p>
    <w:p w:rsidR="0072261F" w:rsidRPr="0043398C" w:rsidRDefault="004D4CAB" w:rsidP="004D4CAB">
      <w:pPr>
        <w:pStyle w:val="Heading6"/>
        <w:jc w:val="left"/>
        <w:rPr>
          <w:sz w:val="24"/>
          <w:szCs w:val="24"/>
        </w:rPr>
      </w:pPr>
      <w:r w:rsidRPr="0043398C">
        <w:rPr>
          <w:b w:val="0"/>
          <w:sz w:val="24"/>
          <w:szCs w:val="24"/>
        </w:rPr>
        <w:t>Subsection 100(3) of the Act provides that Part VII of the Act, and instruments made for the purposes of Part VII have effect subject to a special arrangement made under subsection 100(1).</w:t>
      </w:r>
    </w:p>
    <w:p w:rsidR="0072261F" w:rsidRPr="0043398C" w:rsidRDefault="0072261F" w:rsidP="0072261F">
      <w:pPr>
        <w:pStyle w:val="Heading6"/>
        <w:jc w:val="left"/>
        <w:rPr>
          <w:sz w:val="24"/>
          <w:szCs w:val="24"/>
        </w:rPr>
      </w:pPr>
      <w:r w:rsidRPr="0043398C">
        <w:rPr>
          <w:sz w:val="24"/>
          <w:szCs w:val="24"/>
        </w:rPr>
        <w:t>Purpose</w:t>
      </w:r>
    </w:p>
    <w:p w:rsidR="0072261F" w:rsidRPr="0043398C" w:rsidRDefault="0072261F" w:rsidP="0072261F">
      <w:pPr>
        <w:pStyle w:val="Heading6"/>
        <w:jc w:val="left"/>
        <w:rPr>
          <w:b w:val="0"/>
          <w:sz w:val="24"/>
          <w:szCs w:val="24"/>
        </w:rPr>
      </w:pPr>
      <w:r w:rsidRPr="0043398C">
        <w:rPr>
          <w:b w:val="0"/>
          <w:sz w:val="24"/>
          <w:szCs w:val="24"/>
        </w:rPr>
        <w:t xml:space="preserve">The purpose of this legislative instrument, made under subsections 100(1) and 100(2) of the Act, is to amend the </w:t>
      </w:r>
      <w:r w:rsidRPr="0043398C">
        <w:rPr>
          <w:b w:val="0"/>
          <w:i/>
          <w:sz w:val="24"/>
          <w:szCs w:val="24"/>
        </w:rPr>
        <w:t>National Health (Highly specialised drugs program) Special Arrangement 2010</w:t>
      </w:r>
      <w:r w:rsidRPr="0043398C">
        <w:rPr>
          <w:b w:val="0"/>
          <w:sz w:val="24"/>
          <w:szCs w:val="24"/>
        </w:rPr>
        <w:t xml:space="preserve"> (PB 116 of 2010) (the Special Arrang</w:t>
      </w:r>
      <w:r w:rsidR="00B6165B">
        <w:rPr>
          <w:b w:val="0"/>
          <w:sz w:val="24"/>
          <w:szCs w:val="24"/>
        </w:rPr>
        <w:t>ement), to make changes to the Special A</w:t>
      </w:r>
      <w:r w:rsidRPr="0043398C">
        <w:rPr>
          <w:b w:val="0"/>
          <w:sz w:val="24"/>
          <w:szCs w:val="24"/>
        </w:rPr>
        <w:t>rrangement relating to the highly specialised drugs program.</w:t>
      </w:r>
    </w:p>
    <w:p w:rsidR="00385524" w:rsidRDefault="00043241" w:rsidP="00385524">
      <w:pPr>
        <w:jc w:val="left"/>
        <w:rPr>
          <w:b/>
        </w:rPr>
      </w:pPr>
      <w:r>
        <w:rPr>
          <w:sz w:val="24"/>
          <w:szCs w:val="24"/>
        </w:rPr>
        <w:t>The amendment</w:t>
      </w:r>
      <w:r w:rsidR="00EC5908" w:rsidRPr="0043398C">
        <w:rPr>
          <w:sz w:val="24"/>
          <w:szCs w:val="24"/>
        </w:rPr>
        <w:t xml:space="preserve"> made by this Instrument</w:t>
      </w:r>
      <w:r w:rsidR="00385524" w:rsidRPr="0043398C">
        <w:rPr>
          <w:sz w:val="24"/>
          <w:szCs w:val="24"/>
        </w:rPr>
        <w:t xml:space="preserve"> reflect</w:t>
      </w:r>
      <w:r>
        <w:rPr>
          <w:sz w:val="24"/>
          <w:szCs w:val="24"/>
        </w:rPr>
        <w:t>s</w:t>
      </w:r>
      <w:r w:rsidR="00385524" w:rsidRPr="0043398C">
        <w:rPr>
          <w:sz w:val="24"/>
          <w:szCs w:val="24"/>
        </w:rPr>
        <w:t xml:space="preserve"> changes to the </w:t>
      </w:r>
      <w:r w:rsidR="00385524" w:rsidRPr="0043398C">
        <w:rPr>
          <w:i/>
          <w:sz w:val="24"/>
          <w:szCs w:val="24"/>
        </w:rPr>
        <w:t xml:space="preserve">National Health (Listing of </w:t>
      </w:r>
      <w:r w:rsidR="00385524" w:rsidRPr="00AD4B39">
        <w:rPr>
          <w:i/>
          <w:sz w:val="24"/>
          <w:szCs w:val="24"/>
        </w:rPr>
        <w:t xml:space="preserve">Pharmaceutical Benefits) Instrument </w:t>
      </w:r>
      <w:r w:rsidR="00385524" w:rsidRPr="008653E3">
        <w:rPr>
          <w:i/>
          <w:sz w:val="24"/>
          <w:szCs w:val="24"/>
        </w:rPr>
        <w:t>201</w:t>
      </w:r>
      <w:r w:rsidR="005F70A5" w:rsidRPr="008653E3">
        <w:rPr>
          <w:i/>
          <w:sz w:val="24"/>
          <w:szCs w:val="24"/>
        </w:rPr>
        <w:t>2</w:t>
      </w:r>
      <w:r w:rsidR="00385524" w:rsidRPr="00AD4B39">
        <w:rPr>
          <w:sz w:val="24"/>
          <w:szCs w:val="24"/>
        </w:rPr>
        <w:t>, which commence on the same day.</w:t>
      </w:r>
      <w:r w:rsidR="00385524" w:rsidRPr="00AD4B39">
        <w:rPr>
          <w:b/>
        </w:rPr>
        <w:t xml:space="preserve"> </w:t>
      </w:r>
    </w:p>
    <w:p w:rsidR="009A1F4E" w:rsidRDefault="009A1F4E" w:rsidP="009A1F4E">
      <w:pPr>
        <w:jc w:val="left"/>
        <w:rPr>
          <w:sz w:val="24"/>
          <w:szCs w:val="24"/>
        </w:rPr>
      </w:pPr>
      <w:r w:rsidRPr="00672A9F">
        <w:rPr>
          <w:bCs/>
          <w:sz w:val="24"/>
          <w:szCs w:val="24"/>
        </w:rPr>
        <w:t xml:space="preserve">The amendments in </w:t>
      </w:r>
      <w:r w:rsidR="007437E8" w:rsidRPr="00672A9F">
        <w:rPr>
          <w:bCs/>
          <w:sz w:val="24"/>
          <w:szCs w:val="24"/>
        </w:rPr>
        <w:t xml:space="preserve">PB </w:t>
      </w:r>
      <w:r w:rsidR="009B5FAE">
        <w:rPr>
          <w:bCs/>
          <w:sz w:val="24"/>
          <w:szCs w:val="24"/>
        </w:rPr>
        <w:t>111</w:t>
      </w:r>
      <w:r w:rsidR="006E3FAA" w:rsidRPr="00672A9F">
        <w:rPr>
          <w:bCs/>
          <w:sz w:val="24"/>
          <w:szCs w:val="24"/>
        </w:rPr>
        <w:t xml:space="preserve"> of 2015</w:t>
      </w:r>
      <w:r w:rsidRPr="00672A9F">
        <w:rPr>
          <w:bCs/>
          <w:sz w:val="24"/>
          <w:szCs w:val="24"/>
        </w:rPr>
        <w:t xml:space="preserve"> include</w:t>
      </w:r>
      <w:r w:rsidRPr="00672A9F">
        <w:rPr>
          <w:sz w:val="24"/>
          <w:szCs w:val="24"/>
        </w:rPr>
        <w:t xml:space="preserve"> </w:t>
      </w:r>
      <w:r w:rsidR="003E72C2">
        <w:rPr>
          <w:sz w:val="24"/>
          <w:szCs w:val="24"/>
        </w:rPr>
        <w:t xml:space="preserve">adding and removing and </w:t>
      </w:r>
      <w:r w:rsidR="00D05671" w:rsidRPr="00672A9F">
        <w:rPr>
          <w:sz w:val="24"/>
          <w:szCs w:val="24"/>
        </w:rPr>
        <w:t xml:space="preserve">changes to </w:t>
      </w:r>
      <w:r w:rsidRPr="00672A9F">
        <w:rPr>
          <w:sz w:val="24"/>
          <w:szCs w:val="24"/>
        </w:rPr>
        <w:t>the circumstances for prescribing various pharmaceutical benefits</w:t>
      </w:r>
      <w:r w:rsidR="003E72C2">
        <w:rPr>
          <w:sz w:val="24"/>
          <w:szCs w:val="24"/>
        </w:rPr>
        <w:t xml:space="preserve">, </w:t>
      </w:r>
      <w:r w:rsidR="00672A9F" w:rsidRPr="00672A9F">
        <w:rPr>
          <w:sz w:val="24"/>
          <w:szCs w:val="24"/>
        </w:rPr>
        <w:t>and amendments to responsible person codes</w:t>
      </w:r>
      <w:r w:rsidRPr="00672A9F">
        <w:rPr>
          <w:sz w:val="24"/>
          <w:szCs w:val="24"/>
        </w:rPr>
        <w:t>.</w:t>
      </w:r>
      <w:r>
        <w:rPr>
          <w:sz w:val="24"/>
          <w:szCs w:val="24"/>
        </w:rPr>
        <w:t xml:space="preserve"> </w:t>
      </w:r>
    </w:p>
    <w:p w:rsidR="009A1F4E" w:rsidRPr="009D2516" w:rsidRDefault="009A1F4E" w:rsidP="009A1F4E">
      <w:pPr>
        <w:tabs>
          <w:tab w:val="left" w:pos="0"/>
        </w:tabs>
        <w:spacing w:after="160"/>
        <w:ind w:right="-330"/>
        <w:jc w:val="left"/>
        <w:rPr>
          <w:b/>
          <w:sz w:val="24"/>
          <w:szCs w:val="24"/>
        </w:rPr>
      </w:pPr>
      <w:r w:rsidRPr="00295C76">
        <w:rPr>
          <w:sz w:val="24"/>
          <w:szCs w:val="24"/>
        </w:rPr>
        <w:t xml:space="preserve">These changes are summarised, by </w:t>
      </w:r>
      <w:r w:rsidR="00EB6333">
        <w:rPr>
          <w:sz w:val="24"/>
          <w:szCs w:val="24"/>
        </w:rPr>
        <w:t>drug name</w:t>
      </w:r>
      <w:r w:rsidRPr="00295C76">
        <w:rPr>
          <w:sz w:val="24"/>
          <w:szCs w:val="24"/>
        </w:rPr>
        <w:t xml:space="preserve">, in the </w:t>
      </w:r>
      <w:r w:rsidRPr="00295C76">
        <w:rPr>
          <w:sz w:val="24"/>
          <w:szCs w:val="24"/>
          <w:u w:val="single"/>
        </w:rPr>
        <w:t>Attachment</w:t>
      </w:r>
      <w:r w:rsidRPr="00295C76">
        <w:rPr>
          <w:sz w:val="24"/>
          <w:szCs w:val="24"/>
        </w:rPr>
        <w:t>.</w:t>
      </w:r>
    </w:p>
    <w:p w:rsidR="009A1F4E" w:rsidRDefault="009A1F4E" w:rsidP="009A1F4E">
      <w:pPr>
        <w:spacing w:before="120" w:after="0"/>
        <w:ind w:right="45"/>
        <w:jc w:val="left"/>
        <w:rPr>
          <w:sz w:val="24"/>
          <w:szCs w:val="24"/>
        </w:rPr>
      </w:pPr>
      <w:r>
        <w:rPr>
          <w:sz w:val="24"/>
          <w:szCs w:val="24"/>
        </w:rPr>
        <w:t xml:space="preserve">A provision by provision Description of this instrument is contained in the </w:t>
      </w:r>
      <w:r>
        <w:rPr>
          <w:sz w:val="24"/>
          <w:szCs w:val="24"/>
          <w:u w:val="single"/>
        </w:rPr>
        <w:t>Attachment</w:t>
      </w:r>
      <w:r w:rsidRPr="00AD4B39">
        <w:rPr>
          <w:sz w:val="24"/>
          <w:szCs w:val="24"/>
        </w:rPr>
        <w:t>.</w:t>
      </w:r>
    </w:p>
    <w:p w:rsidR="009A1F4E" w:rsidRPr="00AD4B39" w:rsidRDefault="009A1F4E" w:rsidP="00385524">
      <w:pPr>
        <w:jc w:val="left"/>
        <w:rPr>
          <w:b/>
        </w:rPr>
      </w:pPr>
    </w:p>
    <w:p w:rsidR="005C58D3" w:rsidRPr="0043398C" w:rsidRDefault="005C58D3" w:rsidP="00771557">
      <w:pPr>
        <w:tabs>
          <w:tab w:val="left" w:pos="1440"/>
        </w:tabs>
        <w:jc w:val="left"/>
        <w:rPr>
          <w:b/>
          <w:sz w:val="24"/>
          <w:szCs w:val="24"/>
        </w:rPr>
      </w:pPr>
      <w:r w:rsidRPr="0043398C">
        <w:rPr>
          <w:b/>
          <w:sz w:val="24"/>
          <w:szCs w:val="24"/>
        </w:rPr>
        <w:t>Consultation</w:t>
      </w:r>
    </w:p>
    <w:p w:rsidR="005C58D3" w:rsidRPr="0043398C" w:rsidRDefault="005C58D3" w:rsidP="00FB33BC">
      <w:pPr>
        <w:keepLines w:val="0"/>
        <w:spacing w:before="120"/>
        <w:jc w:val="left"/>
        <w:rPr>
          <w:sz w:val="24"/>
          <w:szCs w:val="24"/>
        </w:rPr>
      </w:pPr>
      <w:r w:rsidRPr="0043398C">
        <w:rPr>
          <w:sz w:val="24"/>
          <w:szCs w:val="24"/>
        </w:rPr>
        <w:t xml:space="preserve">The amendments made by this Instrument accord with recommendations made by the Pharmaceutical Benefits Advisory Committee (PBAC).  </w:t>
      </w:r>
    </w:p>
    <w:p w:rsidR="005C58D3" w:rsidRPr="0043398C" w:rsidRDefault="005C58D3" w:rsidP="00FB33BC">
      <w:pPr>
        <w:keepLines w:val="0"/>
        <w:spacing w:before="120"/>
        <w:jc w:val="left"/>
        <w:rPr>
          <w:sz w:val="24"/>
          <w:szCs w:val="24"/>
        </w:rPr>
      </w:pPr>
      <w:r w:rsidRPr="0043398C">
        <w:rPr>
          <w:sz w:val="24"/>
          <w:szCs w:val="24"/>
        </w:rPr>
        <w:t xml:space="preserve">An ongoing and formal process of consultation in relation to matters relevant to the Special Arrangement includes the involvement of interested parties through the membership of the PBAC.  </w:t>
      </w:r>
    </w:p>
    <w:p w:rsidR="00302262" w:rsidRPr="0043398C" w:rsidRDefault="00302262" w:rsidP="001E0E85">
      <w:pPr>
        <w:keepLines w:val="0"/>
        <w:spacing w:before="120"/>
        <w:jc w:val="left"/>
        <w:rPr>
          <w:sz w:val="24"/>
          <w:szCs w:val="24"/>
        </w:rPr>
      </w:pPr>
      <w:r w:rsidRPr="0043398C">
        <w:rPr>
          <w:sz w:val="24"/>
          <w:szCs w:val="24"/>
        </w:rPr>
        <w:t>PBAC is an independent expert body established by section 100A of the Act which makes recommendations to the Minister about which drugs and medicinal preparations should be available as pharmaceutical benefits.</w:t>
      </w:r>
      <w:r w:rsidR="005C58D3" w:rsidRPr="0043398C">
        <w:rPr>
          <w:sz w:val="24"/>
          <w:szCs w:val="24"/>
        </w:rPr>
        <w:t xml:space="preserve"> </w:t>
      </w:r>
      <w:r w:rsidR="00C41A1C">
        <w:rPr>
          <w:sz w:val="24"/>
          <w:szCs w:val="24"/>
        </w:rPr>
        <w:t xml:space="preserve"> </w:t>
      </w:r>
      <w:r w:rsidRPr="0043398C">
        <w:rPr>
          <w:sz w:val="24"/>
          <w:szCs w:val="24"/>
        </w:rPr>
        <w:t xml:space="preserve">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w:t>
      </w:r>
      <w:r w:rsidR="00C41A1C">
        <w:rPr>
          <w:sz w:val="24"/>
          <w:szCs w:val="24"/>
        </w:rPr>
        <w:t xml:space="preserve"> </w:t>
      </w:r>
      <w:r w:rsidRPr="0043398C">
        <w:rPr>
          <w:sz w:val="24"/>
          <w:szCs w:val="24"/>
        </w:rPr>
        <w:t>Remaining members are persons whom the Minister is satisfied have qualifications and experience in a field relevant to the functions of PBAC, and that would enable them to contribute meaningfully to the deliberations of PBAC.</w:t>
      </w:r>
      <w:r w:rsidR="00C41A1C">
        <w:rPr>
          <w:sz w:val="24"/>
          <w:szCs w:val="24"/>
        </w:rPr>
        <w:t xml:space="preserve"> </w:t>
      </w:r>
      <w:r w:rsidR="005C58D3" w:rsidRPr="0043398C">
        <w:rPr>
          <w:sz w:val="24"/>
          <w:szCs w:val="24"/>
        </w:rPr>
        <w:t xml:space="preserve"> </w:t>
      </w:r>
      <w:r w:rsidRPr="0043398C">
        <w:rPr>
          <w:sz w:val="24"/>
          <w:szCs w:val="24"/>
        </w:rPr>
        <w:t xml:space="preserve">When recommending the listing of a medicine </w:t>
      </w:r>
      <w:r w:rsidRPr="0043398C">
        <w:rPr>
          <w:sz w:val="24"/>
          <w:szCs w:val="24"/>
        </w:rPr>
        <w:lastRenderedPageBreak/>
        <w:t>on the Pharmaceutical</w:t>
      </w:r>
      <w:r w:rsidR="00D2180D">
        <w:rPr>
          <w:sz w:val="24"/>
          <w:szCs w:val="24"/>
        </w:rPr>
        <w:t> </w:t>
      </w:r>
      <w:r w:rsidRPr="0043398C">
        <w:rPr>
          <w:sz w:val="24"/>
          <w:szCs w:val="24"/>
        </w:rPr>
        <w:t xml:space="preserve">Benefits Scheme (PBS), </w:t>
      </w:r>
      <w:r w:rsidR="00B6165B">
        <w:rPr>
          <w:sz w:val="24"/>
          <w:szCs w:val="24"/>
        </w:rPr>
        <w:t xml:space="preserve">the </w:t>
      </w:r>
      <w:r w:rsidRPr="0043398C">
        <w:rPr>
          <w:sz w:val="24"/>
          <w:szCs w:val="24"/>
        </w:rPr>
        <w:t>PBAC takes into account the medical conditions for which the medicine has been approved for use in Australia, its clinical effectiveness, safety and cost-effectiveness compared with other treatments.</w:t>
      </w:r>
    </w:p>
    <w:p w:rsidR="00302262" w:rsidRPr="0043398C" w:rsidRDefault="00302262" w:rsidP="00302262">
      <w:pPr>
        <w:keepLines w:val="0"/>
        <w:autoSpaceDE w:val="0"/>
        <w:autoSpaceDN w:val="0"/>
        <w:adjustRightInd w:val="0"/>
        <w:jc w:val="left"/>
        <w:rPr>
          <w:color w:val="000000"/>
          <w:sz w:val="24"/>
          <w:szCs w:val="24"/>
          <w:lang w:val="en-US" w:eastAsia="en-US"/>
        </w:rPr>
      </w:pPr>
      <w:r w:rsidRPr="0043398C">
        <w:rPr>
          <w:sz w:val="24"/>
          <w:szCs w:val="24"/>
        </w:rPr>
        <w:t>Pharmaceutical companies were consulted throughout the process of changes to the listings on the PBS and for this Instrument.</w:t>
      </w:r>
      <w:r w:rsidR="004E7F32">
        <w:rPr>
          <w:sz w:val="24"/>
          <w:szCs w:val="24"/>
        </w:rPr>
        <w:t xml:space="preserve"> </w:t>
      </w:r>
      <w:r w:rsidRPr="0043398C">
        <w:rPr>
          <w:sz w:val="24"/>
          <w:szCs w:val="24"/>
        </w:rPr>
        <w:t xml:space="preserve"> This includes consultation through</w:t>
      </w:r>
      <w:r w:rsidRPr="0043398C">
        <w:rPr>
          <w:color w:val="000000"/>
          <w:sz w:val="24"/>
          <w:szCs w:val="24"/>
          <w:lang w:val="en-US" w:eastAsia="en-US"/>
        </w:rPr>
        <w:t xml:space="preserve"> the PBAC process, and agreement to final listing details.</w:t>
      </w:r>
    </w:p>
    <w:p w:rsidR="003503AF" w:rsidRPr="003503AF" w:rsidRDefault="003503AF" w:rsidP="003503AF">
      <w:pPr>
        <w:jc w:val="left"/>
        <w:rPr>
          <w:sz w:val="24"/>
          <w:szCs w:val="24"/>
        </w:rPr>
      </w:pPr>
      <w:r w:rsidRPr="003503AF">
        <w:rPr>
          <w:sz w:val="24"/>
          <w:szCs w:val="24"/>
        </w:rPr>
        <w:t xml:space="preserve">Details of the instrument are set out in the </w:t>
      </w:r>
      <w:r w:rsidRPr="003503AF">
        <w:rPr>
          <w:sz w:val="24"/>
          <w:szCs w:val="24"/>
          <w:u w:val="single"/>
        </w:rPr>
        <w:t>Attachment</w:t>
      </w:r>
      <w:r w:rsidRPr="003503AF">
        <w:rPr>
          <w:sz w:val="24"/>
          <w:szCs w:val="24"/>
        </w:rPr>
        <w:t>.</w:t>
      </w:r>
    </w:p>
    <w:p w:rsidR="00302262" w:rsidRPr="0043398C" w:rsidRDefault="006C256A" w:rsidP="00302262">
      <w:pPr>
        <w:jc w:val="left"/>
        <w:rPr>
          <w:sz w:val="24"/>
          <w:szCs w:val="24"/>
        </w:rPr>
      </w:pPr>
      <w:r w:rsidRPr="0043398C">
        <w:rPr>
          <w:sz w:val="24"/>
          <w:szCs w:val="24"/>
        </w:rPr>
        <w:t xml:space="preserve">This Instrument </w:t>
      </w:r>
      <w:r w:rsidRPr="00C0504C">
        <w:rPr>
          <w:sz w:val="24"/>
          <w:szCs w:val="24"/>
        </w:rPr>
        <w:t xml:space="preserve">commences on 1 </w:t>
      </w:r>
      <w:r w:rsidR="009B5FAE">
        <w:rPr>
          <w:sz w:val="24"/>
          <w:szCs w:val="24"/>
        </w:rPr>
        <w:t>Dec</w:t>
      </w:r>
      <w:r w:rsidR="009F376A">
        <w:rPr>
          <w:sz w:val="24"/>
          <w:szCs w:val="24"/>
        </w:rPr>
        <w:t>ember</w:t>
      </w:r>
      <w:r w:rsidR="00321291">
        <w:rPr>
          <w:sz w:val="24"/>
          <w:szCs w:val="24"/>
        </w:rPr>
        <w:t xml:space="preserve"> </w:t>
      </w:r>
      <w:r w:rsidR="008653E3" w:rsidRPr="00C0504C">
        <w:rPr>
          <w:sz w:val="24"/>
          <w:szCs w:val="24"/>
        </w:rPr>
        <w:t>2015</w:t>
      </w:r>
      <w:r w:rsidR="00302262" w:rsidRPr="00C0504C">
        <w:rPr>
          <w:sz w:val="24"/>
          <w:szCs w:val="24"/>
        </w:rPr>
        <w:t>.</w:t>
      </w:r>
    </w:p>
    <w:p w:rsidR="00302262" w:rsidRDefault="00302262" w:rsidP="00302262">
      <w:pPr>
        <w:jc w:val="left"/>
        <w:rPr>
          <w:sz w:val="24"/>
          <w:szCs w:val="24"/>
        </w:rPr>
      </w:pPr>
      <w:r w:rsidRPr="0043398C">
        <w:rPr>
          <w:sz w:val="24"/>
          <w:szCs w:val="24"/>
        </w:rPr>
        <w:t xml:space="preserve">This Instrument is a legislative instrument for the purposes of the </w:t>
      </w:r>
      <w:r w:rsidRPr="0043398C">
        <w:rPr>
          <w:i/>
          <w:sz w:val="24"/>
          <w:szCs w:val="24"/>
        </w:rPr>
        <w:t>Legislative Instruments Act</w:t>
      </w:r>
      <w:r w:rsidR="00E709AB">
        <w:rPr>
          <w:i/>
          <w:sz w:val="24"/>
          <w:szCs w:val="24"/>
        </w:rPr>
        <w:t> </w:t>
      </w:r>
      <w:r w:rsidRPr="0043398C">
        <w:rPr>
          <w:i/>
          <w:sz w:val="24"/>
          <w:szCs w:val="24"/>
        </w:rPr>
        <w:t>2003</w:t>
      </w:r>
      <w:r w:rsidRPr="0043398C">
        <w:rPr>
          <w:sz w:val="24"/>
          <w:szCs w:val="24"/>
        </w:rPr>
        <w:t>.</w:t>
      </w:r>
    </w:p>
    <w:p w:rsidR="000A4B91" w:rsidRPr="008E3D5A" w:rsidRDefault="000A4B91" w:rsidP="000A4B91">
      <w:pPr>
        <w:spacing w:after="200"/>
        <w:ind w:left="1701" w:right="543"/>
        <w:jc w:val="right"/>
        <w:rPr>
          <w:b/>
          <w:u w:val="single"/>
        </w:rPr>
      </w:pPr>
      <w:r>
        <w:rPr>
          <w:b/>
          <w:sz w:val="24"/>
          <w:szCs w:val="24"/>
          <w:u w:val="single"/>
        </w:rPr>
        <w:br w:type="page"/>
      </w:r>
      <w:r w:rsidRPr="008E3D5A">
        <w:rPr>
          <w:b/>
          <w:u w:val="single"/>
        </w:rPr>
        <w:lastRenderedPageBreak/>
        <w:t>ATTACHMENT</w:t>
      </w:r>
    </w:p>
    <w:p w:rsidR="00B54A5B" w:rsidRPr="00B54A5B" w:rsidRDefault="00B54A5B" w:rsidP="00902DF2">
      <w:pPr>
        <w:spacing w:before="240"/>
        <w:jc w:val="left"/>
        <w:rPr>
          <w:b/>
          <w:i/>
          <w:sz w:val="24"/>
          <w:szCs w:val="24"/>
          <w:u w:val="single"/>
        </w:rPr>
      </w:pPr>
      <w:r w:rsidRPr="00B54A5B">
        <w:rPr>
          <w:b/>
          <w:sz w:val="24"/>
          <w:szCs w:val="24"/>
          <w:u w:val="single"/>
        </w:rPr>
        <w:t xml:space="preserve">Details of the </w:t>
      </w:r>
      <w:r w:rsidR="008A5632">
        <w:rPr>
          <w:b/>
          <w:i/>
          <w:sz w:val="24"/>
          <w:szCs w:val="24"/>
          <w:u w:val="single"/>
        </w:rPr>
        <w:t>National Health (Highly S</w:t>
      </w:r>
      <w:r w:rsidRPr="00B54A5B">
        <w:rPr>
          <w:b/>
          <w:i/>
          <w:sz w:val="24"/>
          <w:szCs w:val="24"/>
          <w:u w:val="single"/>
        </w:rPr>
        <w:t xml:space="preserve">pecialised </w:t>
      </w:r>
      <w:r w:rsidR="008A5632">
        <w:rPr>
          <w:b/>
          <w:i/>
          <w:sz w:val="24"/>
          <w:szCs w:val="24"/>
          <w:u w:val="single"/>
        </w:rPr>
        <w:t>D</w:t>
      </w:r>
      <w:r w:rsidRPr="00B54A5B">
        <w:rPr>
          <w:b/>
          <w:i/>
          <w:sz w:val="24"/>
          <w:szCs w:val="24"/>
          <w:u w:val="single"/>
        </w:rPr>
        <w:t>rugs</w:t>
      </w:r>
      <w:r w:rsidR="008A5632">
        <w:rPr>
          <w:b/>
          <w:i/>
          <w:sz w:val="24"/>
          <w:szCs w:val="24"/>
          <w:u w:val="single"/>
        </w:rPr>
        <w:t xml:space="preserve"> P</w:t>
      </w:r>
      <w:r w:rsidRPr="00B54A5B">
        <w:rPr>
          <w:b/>
          <w:i/>
          <w:sz w:val="24"/>
          <w:szCs w:val="24"/>
          <w:u w:val="single"/>
        </w:rPr>
        <w:t>rogram) Special Arrangement Amendment Instrument 2015</w:t>
      </w:r>
    </w:p>
    <w:p w:rsidR="000A4B91" w:rsidRPr="008D3294" w:rsidRDefault="000A4B91" w:rsidP="007065AD">
      <w:pPr>
        <w:spacing w:before="480"/>
        <w:ind w:right="-46"/>
        <w:jc w:val="left"/>
        <w:rPr>
          <w:b/>
        </w:rPr>
      </w:pPr>
      <w:r>
        <w:rPr>
          <w:b/>
        </w:rPr>
        <w:t>Section 1</w:t>
      </w:r>
      <w:r>
        <w:rPr>
          <w:b/>
        </w:rPr>
        <w:tab/>
      </w:r>
      <w:r w:rsidRPr="00FD691D">
        <w:rPr>
          <w:b/>
        </w:rPr>
        <w:t>Name of Instrument</w:t>
      </w:r>
      <w:r>
        <w:rPr>
          <w:b/>
        </w:rPr>
        <w:br/>
      </w:r>
      <w:r>
        <w:t xml:space="preserve">This section provides the name of this instrument </w:t>
      </w:r>
      <w:r w:rsidR="00470E6B">
        <w:t>a</w:t>
      </w:r>
      <w:r>
        <w:t xml:space="preserve">s the </w:t>
      </w:r>
      <w:r w:rsidRPr="00FD691D">
        <w:rPr>
          <w:i/>
        </w:rPr>
        <w:t>National Health (</w:t>
      </w:r>
      <w:r w:rsidRPr="004E7E2D">
        <w:rPr>
          <w:i/>
        </w:rPr>
        <w:t>Highly specialised drugs program) Special Arrangement Amendment Instrument</w:t>
      </w:r>
      <w:r>
        <w:rPr>
          <w:i/>
        </w:rPr>
        <w:t> </w:t>
      </w:r>
      <w:r w:rsidRPr="004E7E2D">
        <w:rPr>
          <w:i/>
        </w:rPr>
        <w:t>2015</w:t>
      </w:r>
      <w:r w:rsidR="008A5632">
        <w:rPr>
          <w:i/>
        </w:rPr>
        <w:t xml:space="preserve"> (No</w:t>
      </w:r>
      <w:r w:rsidR="003E72C2">
        <w:rPr>
          <w:i/>
        </w:rPr>
        <w:t>. 1</w:t>
      </w:r>
      <w:r w:rsidR="009B5FAE">
        <w:rPr>
          <w:i/>
        </w:rPr>
        <w:t>2</w:t>
      </w:r>
      <w:r w:rsidR="008A5632">
        <w:rPr>
          <w:i/>
        </w:rPr>
        <w:t>)</w:t>
      </w:r>
      <w:r>
        <w:rPr>
          <w:i/>
        </w:rPr>
        <w:t xml:space="preserve">.  </w:t>
      </w:r>
      <w:r w:rsidRPr="003941CC">
        <w:t>It</w:t>
      </w:r>
      <w:r w:rsidR="004E7F32">
        <w:t xml:space="preserve"> can also be citied as </w:t>
      </w:r>
      <w:r w:rsidR="007437E8" w:rsidRPr="007437E8">
        <w:t xml:space="preserve">PB </w:t>
      </w:r>
      <w:r w:rsidR="009F376A">
        <w:t>1</w:t>
      </w:r>
      <w:r w:rsidR="009B5FAE">
        <w:t>11</w:t>
      </w:r>
      <w:r w:rsidR="00470E6B">
        <w:t xml:space="preserve"> </w:t>
      </w:r>
      <w:r w:rsidRPr="001B2BF9">
        <w:t>of</w:t>
      </w:r>
      <w:r>
        <w:t> 2015.</w:t>
      </w:r>
    </w:p>
    <w:p w:rsidR="000A4B91" w:rsidRPr="008D3294" w:rsidRDefault="000A4B91" w:rsidP="007065AD">
      <w:pPr>
        <w:spacing w:before="480"/>
        <w:ind w:right="-46"/>
        <w:jc w:val="left"/>
        <w:rPr>
          <w:b/>
        </w:rPr>
      </w:pPr>
      <w:r>
        <w:rPr>
          <w:b/>
        </w:rPr>
        <w:t>Section 2</w:t>
      </w:r>
      <w:r>
        <w:rPr>
          <w:b/>
        </w:rPr>
        <w:tab/>
      </w:r>
      <w:r w:rsidRPr="00FD691D">
        <w:rPr>
          <w:b/>
        </w:rPr>
        <w:t>Commencement</w:t>
      </w:r>
      <w:r>
        <w:rPr>
          <w:b/>
        </w:rPr>
        <w:br/>
      </w:r>
      <w:r>
        <w:t>This section provides that this instrument commences on 1 </w:t>
      </w:r>
      <w:r w:rsidR="009B5FAE">
        <w:t>Dec</w:t>
      </w:r>
      <w:r w:rsidR="009F376A">
        <w:t>ember</w:t>
      </w:r>
      <w:r>
        <w:t> 2015.</w:t>
      </w:r>
    </w:p>
    <w:p w:rsidR="000A4B91" w:rsidRPr="008D3294" w:rsidRDefault="000A4B91" w:rsidP="007065AD">
      <w:pPr>
        <w:spacing w:before="480"/>
        <w:ind w:right="-46"/>
        <w:jc w:val="left"/>
        <w:rPr>
          <w:b/>
        </w:rPr>
      </w:pPr>
      <w:r>
        <w:rPr>
          <w:b/>
        </w:rPr>
        <w:t>Section 3</w:t>
      </w:r>
      <w:r>
        <w:rPr>
          <w:b/>
        </w:rPr>
        <w:tab/>
        <w:t>Amendment</w:t>
      </w:r>
      <w:r>
        <w:rPr>
          <w:b/>
        </w:rPr>
        <w:br/>
      </w:r>
      <w:r w:rsidRPr="002B57BF">
        <w:t>This section provides that Schedule 1 amends the</w:t>
      </w:r>
      <w:r>
        <w:rPr>
          <w:b/>
        </w:rPr>
        <w:t xml:space="preserve"> </w:t>
      </w:r>
      <w:r>
        <w:rPr>
          <w:i/>
        </w:rPr>
        <w:t>National Health (Highly specialised drugs</w:t>
      </w:r>
      <w:r w:rsidR="00D05671">
        <w:rPr>
          <w:i/>
        </w:rPr>
        <w:t xml:space="preserve"> program</w:t>
      </w:r>
      <w:r>
        <w:rPr>
          <w:i/>
        </w:rPr>
        <w:t xml:space="preserve">) Special Arrangement 2010 </w:t>
      </w:r>
      <w:r w:rsidRPr="002943DE">
        <w:t>(PB</w:t>
      </w:r>
      <w:r>
        <w:t> 116 </w:t>
      </w:r>
      <w:r w:rsidRPr="002943DE">
        <w:t>of</w:t>
      </w:r>
      <w:r>
        <w:t> </w:t>
      </w:r>
      <w:r w:rsidRPr="002943DE">
        <w:t>201</w:t>
      </w:r>
      <w:r>
        <w:t>0</w:t>
      </w:r>
      <w:r w:rsidRPr="002943DE">
        <w:t>).</w:t>
      </w:r>
    </w:p>
    <w:p w:rsidR="007C6A68" w:rsidRPr="006564F3" w:rsidRDefault="007C6A68" w:rsidP="006564F3">
      <w:pPr>
        <w:tabs>
          <w:tab w:val="left" w:pos="1701"/>
        </w:tabs>
        <w:spacing w:before="480"/>
        <w:ind w:right="-46"/>
        <w:jc w:val="left"/>
        <w:rPr>
          <w:b/>
        </w:rPr>
      </w:pPr>
      <w:r w:rsidRPr="006564F3">
        <w:rPr>
          <w:b/>
          <w:lang w:val="en-US"/>
        </w:rPr>
        <w:t xml:space="preserve">Items </w:t>
      </w:r>
      <w:r w:rsidR="00AA0A60">
        <w:rPr>
          <w:b/>
          <w:lang w:val="en-US"/>
        </w:rPr>
        <w:t>1</w:t>
      </w:r>
      <w:r w:rsidRPr="006564F3">
        <w:rPr>
          <w:b/>
          <w:lang w:val="en-US"/>
        </w:rPr>
        <w:t xml:space="preserve"> - </w:t>
      </w:r>
      <w:r w:rsidR="006564F3" w:rsidRPr="006564F3">
        <w:rPr>
          <w:b/>
          <w:lang w:val="en-US"/>
        </w:rPr>
        <w:t>1</w:t>
      </w:r>
      <w:r w:rsidR="009D2FCF">
        <w:rPr>
          <w:b/>
          <w:lang w:val="en-US"/>
        </w:rPr>
        <w:t>4</w:t>
      </w:r>
      <w:r w:rsidRPr="006564F3">
        <w:rPr>
          <w:b/>
        </w:rPr>
        <w:t xml:space="preserve"> </w:t>
      </w:r>
      <w:r w:rsidR="006564F3" w:rsidRPr="006564F3">
        <w:rPr>
          <w:b/>
        </w:rPr>
        <w:br/>
      </w:r>
      <w:proofErr w:type="gramStart"/>
      <w:r w:rsidR="00D51D1F">
        <w:t>P</w:t>
      </w:r>
      <w:r w:rsidRPr="006564F3">
        <w:t>rovide</w:t>
      </w:r>
      <w:proofErr w:type="gramEnd"/>
      <w:r w:rsidRPr="006564F3">
        <w:t xml:space="preserve"> for deletions to drugs, forms, brands, </w:t>
      </w:r>
      <w:r w:rsidR="006564F3" w:rsidRPr="006564F3">
        <w:t xml:space="preserve">and </w:t>
      </w:r>
      <w:r w:rsidR="00D51D1F" w:rsidRPr="006564F3">
        <w:t xml:space="preserve">changes </w:t>
      </w:r>
      <w:r w:rsidR="00D51D1F">
        <w:t xml:space="preserve">to </w:t>
      </w:r>
      <w:r w:rsidRPr="006564F3">
        <w:t xml:space="preserve">the circumstances for prescribing various pharmaceutical benefits. </w:t>
      </w:r>
    </w:p>
    <w:p w:rsidR="007C6A68" w:rsidRPr="006564F3" w:rsidRDefault="007C6A68" w:rsidP="007C6A68">
      <w:pPr>
        <w:tabs>
          <w:tab w:val="left" w:pos="1440"/>
        </w:tabs>
        <w:spacing w:after="160"/>
        <w:jc w:val="left"/>
      </w:pPr>
      <w:r w:rsidRPr="006564F3">
        <w:t>These changes are summarised below.</w:t>
      </w:r>
    </w:p>
    <w:p w:rsidR="003848B5" w:rsidRPr="003A2E72" w:rsidRDefault="003848B5" w:rsidP="003A2E72">
      <w:pPr>
        <w:spacing w:before="240"/>
        <w:jc w:val="center"/>
        <w:rPr>
          <w:b/>
          <w:sz w:val="24"/>
          <w:szCs w:val="24"/>
          <w:u w:val="single"/>
        </w:rPr>
      </w:pPr>
      <w:r w:rsidRPr="003A2E72">
        <w:rPr>
          <w:b/>
          <w:sz w:val="24"/>
          <w:szCs w:val="24"/>
          <w:u w:val="single"/>
        </w:rPr>
        <w:t>Summary of Changes</w:t>
      </w:r>
    </w:p>
    <w:tbl>
      <w:tblPr>
        <w:tblW w:w="9214" w:type="dxa"/>
        <w:tblInd w:w="-34" w:type="dxa"/>
        <w:tblLook w:val="04A0" w:firstRow="1" w:lastRow="0" w:firstColumn="1" w:lastColumn="0" w:noHBand="0" w:noVBand="1"/>
      </w:tblPr>
      <w:tblGrid>
        <w:gridCol w:w="3119"/>
        <w:gridCol w:w="512"/>
        <w:gridCol w:w="5071"/>
        <w:gridCol w:w="512"/>
      </w:tblGrid>
      <w:tr w:rsidR="00A26488" w:rsidRPr="008B04D6" w:rsidTr="006C676E">
        <w:trPr>
          <w:trHeight w:val="300"/>
        </w:trPr>
        <w:tc>
          <w:tcPr>
            <w:tcW w:w="3631" w:type="dxa"/>
            <w:gridSpan w:val="2"/>
            <w:tcBorders>
              <w:top w:val="nil"/>
              <w:left w:val="nil"/>
              <w:bottom w:val="nil"/>
              <w:right w:val="nil"/>
            </w:tcBorders>
            <w:shd w:val="clear" w:color="auto" w:fill="auto"/>
            <w:noWrap/>
            <w:hideMark/>
          </w:tcPr>
          <w:p w:rsidR="00A26488" w:rsidRPr="00FD3D62" w:rsidRDefault="00A26488" w:rsidP="006C676E">
            <w:pPr>
              <w:keepLines w:val="0"/>
              <w:spacing w:after="0"/>
              <w:jc w:val="left"/>
              <w:rPr>
                <w:b/>
                <w:bCs/>
                <w:color w:val="000000"/>
                <w:sz w:val="24"/>
                <w:szCs w:val="24"/>
              </w:rPr>
            </w:pPr>
            <w:r w:rsidRPr="00FD3D62">
              <w:rPr>
                <w:b/>
                <w:bCs/>
                <w:color w:val="000000"/>
                <w:sz w:val="24"/>
                <w:szCs w:val="24"/>
              </w:rPr>
              <w:t>Alteration of Circumstances</w:t>
            </w:r>
          </w:p>
        </w:tc>
        <w:tc>
          <w:tcPr>
            <w:tcW w:w="5583" w:type="dxa"/>
            <w:gridSpan w:val="2"/>
            <w:tcBorders>
              <w:top w:val="nil"/>
              <w:left w:val="nil"/>
              <w:bottom w:val="nil"/>
              <w:right w:val="nil"/>
            </w:tcBorders>
            <w:shd w:val="clear" w:color="auto" w:fill="auto"/>
            <w:noWrap/>
            <w:hideMark/>
          </w:tcPr>
          <w:p w:rsidR="00A26488" w:rsidRPr="008B04D6" w:rsidRDefault="00A26488" w:rsidP="006C676E">
            <w:pPr>
              <w:keepLines w:val="0"/>
              <w:spacing w:after="0"/>
              <w:jc w:val="left"/>
              <w:rPr>
                <w:b/>
                <w:bCs/>
                <w:color w:val="000000"/>
              </w:rPr>
            </w:pPr>
          </w:p>
        </w:tc>
      </w:tr>
      <w:tr w:rsidR="00AE48CB" w:rsidRPr="008B04D6" w:rsidTr="00FD3D62">
        <w:trPr>
          <w:gridAfter w:val="1"/>
          <w:wAfter w:w="512" w:type="dxa"/>
          <w:trHeight w:val="300"/>
        </w:trPr>
        <w:tc>
          <w:tcPr>
            <w:tcW w:w="3119" w:type="dxa"/>
            <w:shd w:val="clear" w:color="auto" w:fill="auto"/>
            <w:noWrap/>
          </w:tcPr>
          <w:p w:rsidR="00AE48CB" w:rsidRDefault="002C1ECB" w:rsidP="006C676E">
            <w:pPr>
              <w:keepLines w:val="0"/>
              <w:spacing w:after="0"/>
              <w:jc w:val="left"/>
              <w:rPr>
                <w:color w:val="000000"/>
              </w:rPr>
            </w:pPr>
            <w:proofErr w:type="spellStart"/>
            <w:r>
              <w:rPr>
                <w:color w:val="000000"/>
              </w:rPr>
              <w:t>Dornase</w:t>
            </w:r>
            <w:proofErr w:type="spellEnd"/>
            <w:r>
              <w:rPr>
                <w:color w:val="000000"/>
              </w:rPr>
              <w:t xml:space="preserve"> </w:t>
            </w:r>
            <w:proofErr w:type="spellStart"/>
            <w:r>
              <w:rPr>
                <w:color w:val="000000"/>
              </w:rPr>
              <w:t>alfa</w:t>
            </w:r>
            <w:proofErr w:type="spellEnd"/>
          </w:p>
        </w:tc>
        <w:tc>
          <w:tcPr>
            <w:tcW w:w="5583" w:type="dxa"/>
            <w:gridSpan w:val="2"/>
            <w:shd w:val="clear" w:color="auto" w:fill="auto"/>
            <w:noWrap/>
          </w:tcPr>
          <w:p w:rsidR="00AE48CB" w:rsidRDefault="00AE48CB" w:rsidP="006C676E">
            <w:pPr>
              <w:keepLines w:val="0"/>
              <w:spacing w:after="0"/>
              <w:jc w:val="left"/>
              <w:rPr>
                <w:color w:val="000000"/>
              </w:rPr>
            </w:pPr>
            <w:r>
              <w:rPr>
                <w:color w:val="000000"/>
              </w:rPr>
              <w:t>Remodelled restrictions</w:t>
            </w:r>
          </w:p>
        </w:tc>
      </w:tr>
      <w:tr w:rsidR="003E72C2" w:rsidRPr="008B04D6" w:rsidTr="00FD3D62">
        <w:trPr>
          <w:gridAfter w:val="1"/>
          <w:wAfter w:w="512" w:type="dxa"/>
          <w:trHeight w:val="300"/>
        </w:trPr>
        <w:tc>
          <w:tcPr>
            <w:tcW w:w="3119" w:type="dxa"/>
            <w:shd w:val="clear" w:color="auto" w:fill="auto"/>
            <w:noWrap/>
          </w:tcPr>
          <w:p w:rsidR="003E72C2" w:rsidRDefault="003E72C2" w:rsidP="000539A1">
            <w:pPr>
              <w:keepLines w:val="0"/>
              <w:spacing w:after="0"/>
              <w:jc w:val="left"/>
              <w:rPr>
                <w:color w:val="000000"/>
              </w:rPr>
            </w:pPr>
            <w:proofErr w:type="spellStart"/>
            <w:r>
              <w:rPr>
                <w:color w:val="000000"/>
              </w:rPr>
              <w:t>Everolimus</w:t>
            </w:r>
            <w:proofErr w:type="spellEnd"/>
          </w:p>
        </w:tc>
        <w:tc>
          <w:tcPr>
            <w:tcW w:w="5583" w:type="dxa"/>
            <w:gridSpan w:val="2"/>
            <w:shd w:val="clear" w:color="auto" w:fill="auto"/>
            <w:noWrap/>
          </w:tcPr>
          <w:p w:rsidR="003E72C2" w:rsidRDefault="003E72C2" w:rsidP="006C676E">
            <w:pPr>
              <w:keepLines w:val="0"/>
              <w:spacing w:after="0"/>
              <w:jc w:val="left"/>
              <w:rPr>
                <w:color w:val="000000"/>
              </w:rPr>
            </w:pPr>
            <w:r>
              <w:rPr>
                <w:color w:val="000000"/>
              </w:rPr>
              <w:t>Remodelled restrictions</w:t>
            </w:r>
          </w:p>
        </w:tc>
      </w:tr>
      <w:tr w:rsidR="003E72C2" w:rsidRPr="008B04D6" w:rsidTr="00FD3D62">
        <w:trPr>
          <w:gridAfter w:val="1"/>
          <w:wAfter w:w="512" w:type="dxa"/>
          <w:trHeight w:val="300"/>
        </w:trPr>
        <w:tc>
          <w:tcPr>
            <w:tcW w:w="3119" w:type="dxa"/>
            <w:shd w:val="clear" w:color="auto" w:fill="auto"/>
            <w:noWrap/>
          </w:tcPr>
          <w:p w:rsidR="003E72C2" w:rsidRDefault="002C1ECB" w:rsidP="006C676E">
            <w:pPr>
              <w:keepLines w:val="0"/>
              <w:spacing w:after="0"/>
              <w:jc w:val="left"/>
              <w:rPr>
                <w:color w:val="000000"/>
              </w:rPr>
            </w:pPr>
            <w:r>
              <w:rPr>
                <w:color w:val="000000"/>
              </w:rPr>
              <w:t>Mannitol</w:t>
            </w:r>
          </w:p>
        </w:tc>
        <w:tc>
          <w:tcPr>
            <w:tcW w:w="5583" w:type="dxa"/>
            <w:gridSpan w:val="2"/>
            <w:shd w:val="clear" w:color="auto" w:fill="auto"/>
            <w:noWrap/>
          </w:tcPr>
          <w:p w:rsidR="003E72C2" w:rsidRDefault="003E72C2" w:rsidP="006C676E">
            <w:pPr>
              <w:keepLines w:val="0"/>
              <w:spacing w:after="0"/>
              <w:jc w:val="left"/>
              <w:rPr>
                <w:color w:val="000000"/>
              </w:rPr>
            </w:pPr>
            <w:r>
              <w:rPr>
                <w:color w:val="000000"/>
              </w:rPr>
              <w:t>Remodelled restrictions</w:t>
            </w:r>
          </w:p>
        </w:tc>
      </w:tr>
      <w:tr w:rsidR="003E72C2" w:rsidRPr="008B04D6" w:rsidTr="00FD3D62">
        <w:trPr>
          <w:gridAfter w:val="1"/>
          <w:wAfter w:w="512" w:type="dxa"/>
          <w:trHeight w:val="300"/>
        </w:trPr>
        <w:tc>
          <w:tcPr>
            <w:tcW w:w="3119" w:type="dxa"/>
            <w:shd w:val="clear" w:color="auto" w:fill="auto"/>
            <w:noWrap/>
          </w:tcPr>
          <w:p w:rsidR="003E72C2" w:rsidRDefault="003E72C2" w:rsidP="00BA1A01">
            <w:pPr>
              <w:keepLines w:val="0"/>
              <w:spacing w:after="0"/>
              <w:jc w:val="left"/>
              <w:rPr>
                <w:color w:val="000000"/>
              </w:rPr>
            </w:pPr>
            <w:proofErr w:type="spellStart"/>
            <w:r>
              <w:rPr>
                <w:color w:val="000000"/>
              </w:rPr>
              <w:t>Mycophenolic</w:t>
            </w:r>
            <w:proofErr w:type="spellEnd"/>
            <w:r>
              <w:rPr>
                <w:color w:val="000000"/>
              </w:rPr>
              <w:t xml:space="preserve"> acid</w:t>
            </w:r>
          </w:p>
        </w:tc>
        <w:tc>
          <w:tcPr>
            <w:tcW w:w="5583" w:type="dxa"/>
            <w:gridSpan w:val="2"/>
            <w:shd w:val="clear" w:color="auto" w:fill="auto"/>
            <w:noWrap/>
          </w:tcPr>
          <w:p w:rsidR="003E72C2" w:rsidRDefault="003E72C2" w:rsidP="006C676E">
            <w:pPr>
              <w:keepLines w:val="0"/>
              <w:spacing w:after="0"/>
              <w:jc w:val="left"/>
              <w:rPr>
                <w:color w:val="000000"/>
              </w:rPr>
            </w:pPr>
            <w:r>
              <w:rPr>
                <w:color w:val="000000"/>
              </w:rPr>
              <w:t>Remodelled restrictions</w:t>
            </w:r>
          </w:p>
        </w:tc>
      </w:tr>
      <w:tr w:rsidR="003E72C2" w:rsidRPr="008B04D6" w:rsidTr="00FD3D62">
        <w:trPr>
          <w:gridAfter w:val="1"/>
          <w:wAfter w:w="512" w:type="dxa"/>
          <w:trHeight w:val="300"/>
        </w:trPr>
        <w:tc>
          <w:tcPr>
            <w:tcW w:w="3119" w:type="dxa"/>
            <w:shd w:val="clear" w:color="auto" w:fill="auto"/>
            <w:noWrap/>
          </w:tcPr>
          <w:p w:rsidR="003E72C2" w:rsidRDefault="002C1ECB" w:rsidP="00BA1A01">
            <w:pPr>
              <w:keepLines w:val="0"/>
              <w:spacing w:after="0"/>
              <w:jc w:val="left"/>
              <w:rPr>
                <w:color w:val="000000"/>
              </w:rPr>
            </w:pPr>
            <w:proofErr w:type="spellStart"/>
            <w:r>
              <w:rPr>
                <w:color w:val="000000"/>
              </w:rPr>
              <w:t>Octreotide</w:t>
            </w:r>
            <w:proofErr w:type="spellEnd"/>
          </w:p>
        </w:tc>
        <w:tc>
          <w:tcPr>
            <w:tcW w:w="5583" w:type="dxa"/>
            <w:gridSpan w:val="2"/>
            <w:shd w:val="clear" w:color="auto" w:fill="auto"/>
            <w:noWrap/>
          </w:tcPr>
          <w:p w:rsidR="003E72C2" w:rsidRDefault="003E72C2" w:rsidP="009646FF">
            <w:pPr>
              <w:keepLines w:val="0"/>
              <w:spacing w:after="0"/>
              <w:jc w:val="left"/>
              <w:rPr>
                <w:color w:val="000000"/>
              </w:rPr>
            </w:pPr>
            <w:r>
              <w:rPr>
                <w:color w:val="000000"/>
              </w:rPr>
              <w:t>Remodelled restrictions</w:t>
            </w:r>
          </w:p>
        </w:tc>
      </w:tr>
      <w:tr w:rsidR="003E72C2" w:rsidRPr="008B04D6" w:rsidTr="00FD3D62">
        <w:trPr>
          <w:gridAfter w:val="1"/>
          <w:wAfter w:w="512" w:type="dxa"/>
          <w:trHeight w:val="300"/>
        </w:trPr>
        <w:tc>
          <w:tcPr>
            <w:tcW w:w="3119" w:type="dxa"/>
            <w:shd w:val="clear" w:color="auto" w:fill="auto"/>
            <w:noWrap/>
          </w:tcPr>
          <w:p w:rsidR="003E72C2" w:rsidRDefault="003E72C2" w:rsidP="00BA1A01">
            <w:pPr>
              <w:keepLines w:val="0"/>
              <w:spacing w:after="0"/>
              <w:jc w:val="left"/>
              <w:rPr>
                <w:color w:val="000000"/>
              </w:rPr>
            </w:pPr>
            <w:proofErr w:type="spellStart"/>
            <w:r>
              <w:rPr>
                <w:color w:val="000000"/>
              </w:rPr>
              <w:t>Sirolimus</w:t>
            </w:r>
            <w:proofErr w:type="spellEnd"/>
          </w:p>
        </w:tc>
        <w:tc>
          <w:tcPr>
            <w:tcW w:w="5583" w:type="dxa"/>
            <w:gridSpan w:val="2"/>
            <w:shd w:val="clear" w:color="auto" w:fill="auto"/>
            <w:noWrap/>
          </w:tcPr>
          <w:p w:rsidR="003E72C2" w:rsidRDefault="003E72C2" w:rsidP="009646FF">
            <w:pPr>
              <w:keepLines w:val="0"/>
              <w:spacing w:after="0"/>
              <w:jc w:val="left"/>
              <w:rPr>
                <w:color w:val="000000"/>
              </w:rPr>
            </w:pPr>
            <w:r>
              <w:rPr>
                <w:color w:val="000000"/>
              </w:rPr>
              <w:t>Remodelled restrictions</w:t>
            </w:r>
          </w:p>
        </w:tc>
      </w:tr>
      <w:tr w:rsidR="003E72C2" w:rsidRPr="008B04D6" w:rsidTr="00FD3D62">
        <w:trPr>
          <w:gridAfter w:val="1"/>
          <w:wAfter w:w="512" w:type="dxa"/>
          <w:trHeight w:val="300"/>
        </w:trPr>
        <w:tc>
          <w:tcPr>
            <w:tcW w:w="3119" w:type="dxa"/>
            <w:shd w:val="clear" w:color="auto" w:fill="auto"/>
            <w:noWrap/>
          </w:tcPr>
          <w:p w:rsidR="003E72C2" w:rsidRDefault="003E72C2" w:rsidP="002C1ECB">
            <w:pPr>
              <w:keepLines w:val="0"/>
              <w:spacing w:after="0"/>
              <w:jc w:val="left"/>
              <w:rPr>
                <w:color w:val="000000"/>
              </w:rPr>
            </w:pPr>
            <w:proofErr w:type="spellStart"/>
            <w:r>
              <w:rPr>
                <w:color w:val="000000"/>
              </w:rPr>
              <w:t>T</w:t>
            </w:r>
            <w:r w:rsidR="002C1ECB">
              <w:rPr>
                <w:color w:val="000000"/>
              </w:rPr>
              <w:t>ipranavir</w:t>
            </w:r>
            <w:proofErr w:type="spellEnd"/>
          </w:p>
        </w:tc>
        <w:tc>
          <w:tcPr>
            <w:tcW w:w="5583" w:type="dxa"/>
            <w:gridSpan w:val="2"/>
            <w:shd w:val="clear" w:color="auto" w:fill="auto"/>
            <w:noWrap/>
          </w:tcPr>
          <w:p w:rsidR="003E72C2" w:rsidRDefault="003E72C2" w:rsidP="009646FF">
            <w:pPr>
              <w:keepLines w:val="0"/>
              <w:spacing w:after="0"/>
              <w:jc w:val="left"/>
              <w:rPr>
                <w:color w:val="000000"/>
              </w:rPr>
            </w:pPr>
            <w:r>
              <w:rPr>
                <w:color w:val="000000"/>
              </w:rPr>
              <w:t>Remodelled restrictions</w:t>
            </w:r>
          </w:p>
        </w:tc>
      </w:tr>
      <w:tr w:rsidR="003E72C2" w:rsidRPr="008B04D6" w:rsidTr="00FD3D62">
        <w:trPr>
          <w:gridAfter w:val="1"/>
          <w:wAfter w:w="512" w:type="dxa"/>
          <w:trHeight w:val="300"/>
        </w:trPr>
        <w:tc>
          <w:tcPr>
            <w:tcW w:w="3119" w:type="dxa"/>
            <w:shd w:val="clear" w:color="auto" w:fill="auto"/>
            <w:noWrap/>
          </w:tcPr>
          <w:p w:rsidR="003E72C2" w:rsidRDefault="002C1ECB" w:rsidP="002C1ECB">
            <w:pPr>
              <w:keepLines w:val="0"/>
              <w:spacing w:after="0"/>
              <w:jc w:val="left"/>
              <w:rPr>
                <w:color w:val="000000"/>
              </w:rPr>
            </w:pPr>
            <w:proofErr w:type="spellStart"/>
            <w:r>
              <w:rPr>
                <w:color w:val="000000"/>
              </w:rPr>
              <w:t>Zoledronic</w:t>
            </w:r>
            <w:proofErr w:type="spellEnd"/>
            <w:r>
              <w:rPr>
                <w:color w:val="000000"/>
              </w:rPr>
              <w:t xml:space="preserve"> Acid</w:t>
            </w:r>
          </w:p>
        </w:tc>
        <w:tc>
          <w:tcPr>
            <w:tcW w:w="5583" w:type="dxa"/>
            <w:gridSpan w:val="2"/>
            <w:shd w:val="clear" w:color="auto" w:fill="auto"/>
            <w:noWrap/>
          </w:tcPr>
          <w:p w:rsidR="003E72C2" w:rsidRDefault="003E72C2" w:rsidP="009646FF">
            <w:pPr>
              <w:keepLines w:val="0"/>
              <w:spacing w:after="0"/>
              <w:jc w:val="left"/>
              <w:rPr>
                <w:color w:val="000000"/>
              </w:rPr>
            </w:pPr>
            <w:r>
              <w:rPr>
                <w:color w:val="000000"/>
              </w:rPr>
              <w:t>Remodelled restrictions</w:t>
            </w:r>
          </w:p>
        </w:tc>
      </w:tr>
    </w:tbl>
    <w:p w:rsidR="00005EFA" w:rsidRDefault="00005EFA" w:rsidP="00FD3D62">
      <w:pPr>
        <w:keepLines w:val="0"/>
        <w:spacing w:after="0"/>
        <w:jc w:val="left"/>
        <w:rPr>
          <w:b/>
          <w:bCs/>
          <w:color w:val="000000"/>
          <w:sz w:val="24"/>
          <w:szCs w:val="24"/>
        </w:rPr>
      </w:pPr>
    </w:p>
    <w:p w:rsidR="003E72C2" w:rsidRDefault="003E72C2" w:rsidP="0085223D">
      <w:pPr>
        <w:keepLines w:val="0"/>
        <w:spacing w:after="0"/>
        <w:jc w:val="left"/>
        <w:rPr>
          <w:b/>
          <w:bCs/>
          <w:color w:val="000000"/>
          <w:sz w:val="24"/>
          <w:szCs w:val="24"/>
        </w:rPr>
      </w:pPr>
      <w:r>
        <w:rPr>
          <w:b/>
          <w:bCs/>
          <w:color w:val="000000"/>
          <w:sz w:val="24"/>
          <w:szCs w:val="24"/>
        </w:rPr>
        <w:t xml:space="preserve">Addition of Brands </w:t>
      </w:r>
    </w:p>
    <w:p w:rsidR="003E72C2" w:rsidRDefault="002C1ECB" w:rsidP="003E72C2">
      <w:pPr>
        <w:keepLines w:val="0"/>
        <w:spacing w:after="0"/>
        <w:jc w:val="left"/>
        <w:rPr>
          <w:color w:val="000000"/>
        </w:rPr>
      </w:pPr>
      <w:r>
        <w:rPr>
          <w:color w:val="000000"/>
        </w:rPr>
        <w:t>Infliximab</w:t>
      </w:r>
      <w:r>
        <w:rPr>
          <w:color w:val="000000"/>
        </w:rPr>
        <w:tab/>
      </w:r>
      <w:r w:rsidR="00005EFA">
        <w:rPr>
          <w:color w:val="000000"/>
        </w:rPr>
        <w:tab/>
      </w:r>
      <w:r w:rsidR="003E72C2">
        <w:rPr>
          <w:color w:val="000000"/>
        </w:rPr>
        <w:tab/>
      </w:r>
      <w:r w:rsidR="003E72C2">
        <w:rPr>
          <w:color w:val="000000"/>
        </w:rPr>
        <w:tab/>
      </w:r>
      <w:r w:rsidR="00005EFA">
        <w:rPr>
          <w:color w:val="000000"/>
        </w:rPr>
        <w:t xml:space="preserve">   </w:t>
      </w:r>
      <w:r>
        <w:rPr>
          <w:color w:val="000000"/>
        </w:rPr>
        <w:t xml:space="preserve"> </w:t>
      </w:r>
      <w:r w:rsidR="00005EFA">
        <w:rPr>
          <w:color w:val="000000"/>
        </w:rPr>
        <w:t xml:space="preserve"> </w:t>
      </w:r>
      <w:proofErr w:type="spellStart"/>
      <w:r>
        <w:rPr>
          <w:color w:val="000000"/>
        </w:rPr>
        <w:t>Inflectra</w:t>
      </w:r>
      <w:proofErr w:type="spellEnd"/>
    </w:p>
    <w:p w:rsidR="00005EFA" w:rsidRDefault="002C1ECB" w:rsidP="003E72C2">
      <w:pPr>
        <w:keepLines w:val="0"/>
        <w:spacing w:after="0"/>
        <w:jc w:val="left"/>
        <w:rPr>
          <w:color w:val="000000"/>
        </w:rPr>
      </w:pPr>
      <w:proofErr w:type="spellStart"/>
      <w:r>
        <w:rPr>
          <w:color w:val="000000"/>
        </w:rPr>
        <w:t>Zoledronic</w:t>
      </w:r>
      <w:proofErr w:type="spellEnd"/>
      <w:r>
        <w:rPr>
          <w:color w:val="000000"/>
        </w:rPr>
        <w:t xml:space="preserve"> Acid</w:t>
      </w:r>
      <w:r w:rsidR="00005EFA">
        <w:rPr>
          <w:color w:val="000000"/>
        </w:rPr>
        <w:tab/>
      </w:r>
      <w:r w:rsidR="00005EFA">
        <w:rPr>
          <w:color w:val="000000"/>
        </w:rPr>
        <w:tab/>
      </w:r>
      <w:r w:rsidR="00005EFA">
        <w:rPr>
          <w:color w:val="000000"/>
        </w:rPr>
        <w:tab/>
        <w:t xml:space="preserve"> </w:t>
      </w:r>
      <w:r>
        <w:rPr>
          <w:color w:val="000000"/>
        </w:rPr>
        <w:t xml:space="preserve">    APO-</w:t>
      </w:r>
      <w:proofErr w:type="spellStart"/>
      <w:r>
        <w:rPr>
          <w:color w:val="000000"/>
        </w:rPr>
        <w:t>Zoledronic</w:t>
      </w:r>
      <w:proofErr w:type="spellEnd"/>
      <w:r>
        <w:rPr>
          <w:color w:val="000000"/>
        </w:rPr>
        <w:t xml:space="preserve"> Acid</w:t>
      </w:r>
    </w:p>
    <w:p w:rsidR="003E72C2" w:rsidRDefault="002C1ECB" w:rsidP="0085223D">
      <w:pPr>
        <w:keepLines w:val="0"/>
        <w:spacing w:after="0"/>
        <w:jc w:val="left"/>
        <w:rPr>
          <w:color w:val="000000"/>
        </w:rPr>
      </w:pP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t xml:space="preserve">    </w:t>
      </w:r>
      <w:r w:rsidRPr="002C1ECB">
        <w:rPr>
          <w:color w:val="000000"/>
        </w:rPr>
        <w:t xml:space="preserve">DBL </w:t>
      </w:r>
      <w:proofErr w:type="spellStart"/>
      <w:r w:rsidRPr="002C1ECB">
        <w:rPr>
          <w:color w:val="000000"/>
        </w:rPr>
        <w:t>Zoledronic</w:t>
      </w:r>
      <w:proofErr w:type="spellEnd"/>
      <w:r w:rsidRPr="002C1ECB">
        <w:rPr>
          <w:color w:val="000000"/>
        </w:rPr>
        <w:t xml:space="preserve"> Acid</w:t>
      </w:r>
    </w:p>
    <w:p w:rsidR="006A1101" w:rsidRDefault="006A1101">
      <w:pPr>
        <w:keepLines w:val="0"/>
        <w:spacing w:after="0"/>
        <w:jc w:val="left"/>
        <w:rPr>
          <w:color w:val="000000"/>
        </w:rPr>
      </w:pPr>
      <w:r>
        <w:rPr>
          <w:color w:val="000000"/>
        </w:rPr>
        <w:br w:type="page"/>
      </w:r>
      <w:bookmarkStart w:id="0" w:name="_GoBack"/>
      <w:bookmarkEnd w:id="0"/>
    </w:p>
    <w:p w:rsidR="0085223D" w:rsidRPr="00FD3D62" w:rsidRDefault="002C1ECB" w:rsidP="0085223D">
      <w:pPr>
        <w:keepLines w:val="0"/>
        <w:spacing w:after="0"/>
        <w:jc w:val="left"/>
        <w:rPr>
          <w:b/>
          <w:bCs/>
          <w:color w:val="000000"/>
          <w:sz w:val="24"/>
          <w:szCs w:val="24"/>
        </w:rPr>
      </w:pPr>
      <w:r>
        <w:rPr>
          <w:b/>
          <w:bCs/>
          <w:color w:val="000000"/>
          <w:sz w:val="24"/>
          <w:szCs w:val="24"/>
        </w:rPr>
        <w:lastRenderedPageBreak/>
        <w:t xml:space="preserve">  </w:t>
      </w:r>
    </w:p>
    <w:p w:rsidR="00866881" w:rsidRDefault="001A7975" w:rsidP="00FD3D62">
      <w:pPr>
        <w:keepLines w:val="0"/>
        <w:spacing w:before="120" w:after="0"/>
        <w:jc w:val="left"/>
        <w:rPr>
          <w:sz w:val="24"/>
          <w:szCs w:val="24"/>
        </w:rPr>
      </w:pPr>
      <w:r>
        <w:rPr>
          <w:b/>
          <w:noProof/>
          <w:sz w:val="28"/>
          <w:szCs w:val="28"/>
        </w:rPr>
        <mc:AlternateContent>
          <mc:Choice Requires="wps">
            <w:drawing>
              <wp:anchor distT="0" distB="0" distL="114300" distR="114300" simplePos="0" relativeHeight="251657728" behindDoc="0" locked="0" layoutInCell="1" allowOverlap="1" wp14:anchorId="5C5AED6F" wp14:editId="2753A5A6">
                <wp:simplePos x="0" y="0"/>
                <wp:positionH relativeFrom="column">
                  <wp:posOffset>-203200</wp:posOffset>
                </wp:positionH>
                <wp:positionV relativeFrom="paragraph">
                  <wp:posOffset>3810</wp:posOffset>
                </wp:positionV>
                <wp:extent cx="6118860" cy="9041765"/>
                <wp:effectExtent l="44450" t="41910" r="46990" b="412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041765"/>
                        </a:xfrm>
                        <a:prstGeom prst="rect">
                          <a:avLst/>
                        </a:prstGeom>
                        <a:solidFill>
                          <a:srgbClr val="FFFFFF"/>
                        </a:solidFill>
                        <a:ln w="76200" cmpd="tri">
                          <a:solidFill>
                            <a:srgbClr val="000000"/>
                          </a:solidFill>
                          <a:miter lim="800000"/>
                          <a:headEnd/>
                          <a:tailEnd/>
                        </a:ln>
                      </wps:spPr>
                      <wps:txbx>
                        <w:txbxContent>
                          <w:p w:rsidR="00866881" w:rsidRPr="00E4135E" w:rsidRDefault="00866881" w:rsidP="00866881">
                            <w:pPr>
                              <w:spacing w:before="480"/>
                              <w:jc w:val="center"/>
                              <w:rPr>
                                <w:b/>
                                <w:sz w:val="28"/>
                                <w:szCs w:val="28"/>
                              </w:rPr>
                            </w:pPr>
                            <w:bookmarkStart w:id="1" w:name="_Toc290210739"/>
                            <w:r w:rsidRPr="00E4135E">
                              <w:rPr>
                                <w:b/>
                                <w:sz w:val="28"/>
                                <w:szCs w:val="28"/>
                              </w:rPr>
                              <w:t>Statement of Compatibility with Human Rights</w:t>
                            </w:r>
                          </w:p>
                          <w:p w:rsidR="00866881" w:rsidRDefault="00866881" w:rsidP="00866881">
                            <w:pPr>
                              <w:spacing w:before="120"/>
                              <w:jc w:val="center"/>
                              <w:rPr>
                                <w:sz w:val="24"/>
                                <w:szCs w:val="24"/>
                              </w:rPr>
                            </w:pPr>
                            <w:r w:rsidRPr="00E4135E">
                              <w:rPr>
                                <w:i/>
                                <w:sz w:val="24"/>
                                <w:szCs w:val="24"/>
                              </w:rPr>
                              <w:t>Prepared in accordance with Part 3 of the Human Rights (Parliamentary Scrutiny) Act 2011</w:t>
                            </w:r>
                          </w:p>
                          <w:p w:rsidR="00866881" w:rsidRPr="005F6D41" w:rsidRDefault="00866881" w:rsidP="00866881">
                            <w:pPr>
                              <w:spacing w:before="120"/>
                              <w:jc w:val="center"/>
                              <w:rPr>
                                <w:sz w:val="24"/>
                                <w:szCs w:val="24"/>
                              </w:rPr>
                            </w:pPr>
                          </w:p>
                          <w:p w:rsidR="00866881" w:rsidRPr="00BC788A" w:rsidRDefault="00866881" w:rsidP="00866881">
                            <w:pPr>
                              <w:spacing w:before="120"/>
                              <w:jc w:val="center"/>
                              <w:rPr>
                                <w:b/>
                                <w:sz w:val="24"/>
                                <w:szCs w:val="24"/>
                              </w:rPr>
                            </w:pPr>
                            <w:r w:rsidRPr="00A43745">
                              <w:rPr>
                                <w:b/>
                                <w:i/>
                                <w:sz w:val="24"/>
                                <w:szCs w:val="24"/>
                              </w:rPr>
                              <w:t>National Health (Highly specialised drugs program) Special Arra</w:t>
                            </w:r>
                            <w:r>
                              <w:rPr>
                                <w:b/>
                                <w:i/>
                                <w:sz w:val="24"/>
                                <w:szCs w:val="24"/>
                              </w:rPr>
                              <w:t>ngement Amendment Instrument 2015</w:t>
                            </w:r>
                            <w:r w:rsidRPr="00973F8C">
                              <w:rPr>
                                <w:b/>
                                <w:i/>
                                <w:sz w:val="24"/>
                                <w:szCs w:val="24"/>
                              </w:rPr>
                              <w:t xml:space="preserve"> (No.</w:t>
                            </w:r>
                            <w:r w:rsidR="00FD3D62">
                              <w:rPr>
                                <w:b/>
                                <w:i/>
                                <w:sz w:val="24"/>
                                <w:szCs w:val="24"/>
                              </w:rPr>
                              <w:t xml:space="preserve"> </w:t>
                            </w:r>
                            <w:r w:rsidR="00005EFA">
                              <w:rPr>
                                <w:b/>
                                <w:i/>
                                <w:sz w:val="24"/>
                                <w:szCs w:val="24"/>
                              </w:rPr>
                              <w:t>1</w:t>
                            </w:r>
                            <w:r w:rsidR="009B5FAE">
                              <w:rPr>
                                <w:b/>
                                <w:i/>
                                <w:sz w:val="24"/>
                                <w:szCs w:val="24"/>
                              </w:rPr>
                              <w:t>2</w:t>
                            </w:r>
                            <w:r w:rsidRPr="00973F8C">
                              <w:rPr>
                                <w:b/>
                                <w:i/>
                                <w:sz w:val="24"/>
                                <w:szCs w:val="24"/>
                              </w:rPr>
                              <w:t>)</w:t>
                            </w:r>
                            <w:r w:rsidRPr="00A43745">
                              <w:rPr>
                                <w:b/>
                                <w:i/>
                                <w:sz w:val="24"/>
                                <w:szCs w:val="24"/>
                              </w:rPr>
                              <w:t xml:space="preserve"> </w:t>
                            </w:r>
                          </w:p>
                          <w:p w:rsidR="00866881" w:rsidRPr="00E4135E" w:rsidRDefault="00866881" w:rsidP="00866881">
                            <w:pPr>
                              <w:spacing w:before="120"/>
                              <w:jc w:val="left"/>
                              <w:rPr>
                                <w:sz w:val="24"/>
                                <w:szCs w:val="24"/>
                              </w:rPr>
                            </w:pPr>
                            <w:r>
                              <w:rPr>
                                <w:sz w:val="24"/>
                                <w:szCs w:val="24"/>
                              </w:rPr>
                              <w:t>This legislative i</w:t>
                            </w:r>
                            <w:r w:rsidRPr="00E4135E">
                              <w:rPr>
                                <w:sz w:val="24"/>
                                <w:szCs w:val="24"/>
                              </w:rPr>
                              <w:t xml:space="preserve">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rsidR="00866881" w:rsidRPr="00E4135E" w:rsidRDefault="00866881" w:rsidP="00866881">
                            <w:pPr>
                              <w:spacing w:before="120"/>
                              <w:rPr>
                                <w:b/>
                                <w:sz w:val="24"/>
                                <w:szCs w:val="24"/>
                              </w:rPr>
                            </w:pPr>
                            <w:r w:rsidRPr="00E4135E">
                              <w:rPr>
                                <w:b/>
                                <w:sz w:val="24"/>
                                <w:szCs w:val="24"/>
                              </w:rPr>
                              <w:t>Overview of the Legislative Instrument</w:t>
                            </w:r>
                          </w:p>
                          <w:p w:rsidR="00866881" w:rsidRDefault="00866881" w:rsidP="00866881">
                            <w:pPr>
                              <w:pStyle w:val="Heading6"/>
                              <w:spacing w:after="0"/>
                              <w:jc w:val="left"/>
                              <w:rPr>
                                <w:b w:val="0"/>
                                <w:sz w:val="24"/>
                                <w:szCs w:val="24"/>
                              </w:rPr>
                            </w:pPr>
                            <w:r>
                              <w:rPr>
                                <w:b w:val="0"/>
                                <w:sz w:val="24"/>
                                <w:szCs w:val="24"/>
                              </w:rPr>
                              <w:t xml:space="preserve">The purpose of this legislative instrument, made under subsections 100(1) and 100(2) of the </w:t>
                            </w:r>
                            <w:r w:rsidRPr="000E397C">
                              <w:rPr>
                                <w:b w:val="0"/>
                                <w:i/>
                                <w:sz w:val="24"/>
                                <w:szCs w:val="24"/>
                              </w:rPr>
                              <w:t xml:space="preserve">National Health Act 1953 </w:t>
                            </w:r>
                            <w:r>
                              <w:rPr>
                                <w:b w:val="0"/>
                                <w:sz w:val="24"/>
                                <w:szCs w:val="24"/>
                              </w:rPr>
                              <w:t xml:space="preserve">(the Act), is to amend the </w:t>
                            </w:r>
                            <w:r w:rsidRPr="003C231E">
                              <w:rPr>
                                <w:b w:val="0"/>
                                <w:i/>
                                <w:sz w:val="24"/>
                                <w:szCs w:val="24"/>
                              </w:rPr>
                              <w:t xml:space="preserve">National Health (Highly </w:t>
                            </w:r>
                            <w:r>
                              <w:rPr>
                                <w:b w:val="0"/>
                                <w:i/>
                                <w:sz w:val="24"/>
                                <w:szCs w:val="24"/>
                              </w:rPr>
                              <w:t>s</w:t>
                            </w:r>
                            <w:r w:rsidRPr="003C231E">
                              <w:rPr>
                                <w:b w:val="0"/>
                                <w:i/>
                                <w:sz w:val="24"/>
                                <w:szCs w:val="24"/>
                              </w:rPr>
                              <w:t xml:space="preserve">pecialised </w:t>
                            </w:r>
                            <w:r>
                              <w:rPr>
                                <w:b w:val="0"/>
                                <w:i/>
                                <w:sz w:val="24"/>
                                <w:szCs w:val="24"/>
                              </w:rPr>
                              <w:t>d</w:t>
                            </w:r>
                            <w:r w:rsidRPr="003C231E">
                              <w:rPr>
                                <w:b w:val="0"/>
                                <w:i/>
                                <w:sz w:val="24"/>
                                <w:szCs w:val="24"/>
                              </w:rPr>
                              <w:t xml:space="preserve">rugs </w:t>
                            </w:r>
                            <w:r>
                              <w:rPr>
                                <w:b w:val="0"/>
                                <w:i/>
                                <w:sz w:val="24"/>
                                <w:szCs w:val="24"/>
                              </w:rPr>
                              <w:t>p</w:t>
                            </w:r>
                            <w:r w:rsidRPr="003C231E">
                              <w:rPr>
                                <w:b w:val="0"/>
                                <w:i/>
                                <w:sz w:val="24"/>
                                <w:szCs w:val="24"/>
                              </w:rPr>
                              <w:t>rogram) Special Arrangement 2010</w:t>
                            </w:r>
                            <w:r>
                              <w:rPr>
                                <w:b w:val="0"/>
                                <w:sz w:val="24"/>
                                <w:szCs w:val="24"/>
                              </w:rPr>
                              <w:t xml:space="preserve"> (PB 116 of 2010) (the Special Arrangement), to make changes to the Special Arrangement relating to the highly specialised drugs program.</w:t>
                            </w:r>
                          </w:p>
                          <w:p w:rsidR="00866881" w:rsidRDefault="00866881" w:rsidP="00866881">
                            <w:pPr>
                              <w:spacing w:before="120"/>
                              <w:rPr>
                                <w:sz w:val="24"/>
                                <w:szCs w:val="24"/>
                              </w:rPr>
                            </w:pPr>
                            <w:r w:rsidRPr="00250068">
                              <w:rPr>
                                <w:sz w:val="24"/>
                                <w:szCs w:val="24"/>
                              </w:rPr>
                              <w:t xml:space="preserve">The pharmaceutical benefits supplied under the Special Arrangement are for the treatment of chronic conditions which, because of their clinical use or other special features, may only be supplied to patients receiving </w:t>
                            </w:r>
                            <w:r w:rsidR="00E17D95">
                              <w:rPr>
                                <w:sz w:val="24"/>
                                <w:szCs w:val="24"/>
                              </w:rPr>
                              <w:t>specialised</w:t>
                            </w:r>
                            <w:r w:rsidR="008726F3" w:rsidRPr="00250068">
                              <w:rPr>
                                <w:sz w:val="24"/>
                                <w:szCs w:val="24"/>
                              </w:rPr>
                              <w:t xml:space="preserve"> </w:t>
                            </w:r>
                            <w:r w:rsidRPr="00250068">
                              <w:rPr>
                                <w:sz w:val="24"/>
                                <w:szCs w:val="24"/>
                              </w:rPr>
                              <w:t>treatment</w:t>
                            </w:r>
                            <w:r w:rsidR="00250068" w:rsidRPr="00250068">
                              <w:rPr>
                                <w:sz w:val="24"/>
                                <w:szCs w:val="24"/>
                              </w:rPr>
                              <w:t>.</w:t>
                            </w:r>
                          </w:p>
                          <w:p w:rsidR="00866881" w:rsidRPr="00D61356" w:rsidRDefault="00866881" w:rsidP="00866881">
                            <w:pPr>
                              <w:spacing w:before="120"/>
                              <w:rPr>
                                <w:b/>
                                <w:sz w:val="24"/>
                                <w:szCs w:val="24"/>
                              </w:rPr>
                            </w:pPr>
                            <w:r w:rsidRPr="00D61356">
                              <w:rPr>
                                <w:b/>
                                <w:sz w:val="24"/>
                                <w:szCs w:val="24"/>
                              </w:rPr>
                              <w:t>Human rights implications</w:t>
                            </w:r>
                          </w:p>
                          <w:p w:rsidR="00866881" w:rsidRDefault="00866881" w:rsidP="00866881">
                            <w:pPr>
                              <w:spacing w:before="120"/>
                              <w:rPr>
                                <w:sz w:val="24"/>
                                <w:szCs w:val="24"/>
                              </w:rPr>
                            </w:pPr>
                            <w:r w:rsidRPr="00D61356">
                              <w:rPr>
                                <w:sz w:val="24"/>
                                <w:szCs w:val="24"/>
                              </w:rPr>
                              <w:t>This legislative instrument</w:t>
                            </w:r>
                            <w:r>
                              <w:rPr>
                                <w:sz w:val="24"/>
                                <w:szCs w:val="24"/>
                              </w:rPr>
                              <w:t xml:space="preserve"> engages Article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866881" w:rsidRPr="00E4135E" w:rsidRDefault="00866881" w:rsidP="00866881">
                            <w:pPr>
                              <w:spacing w:before="120"/>
                              <w:jc w:val="left"/>
                              <w:rPr>
                                <w:sz w:val="24"/>
                                <w:szCs w:val="24"/>
                              </w:rPr>
                            </w:pPr>
                            <w:r>
                              <w:rPr>
                                <w:sz w:val="24"/>
                                <w:szCs w:val="24"/>
                              </w:rPr>
                              <w:t xml:space="preserve">The Pharmaceutical Benefits Scheme (PBS) is a benefit scheme which assists with advancement of this human right by providing for subsidised access by patients to medicines.  </w:t>
                            </w:r>
                            <w:r w:rsidRPr="005D77B6">
                              <w:rPr>
                                <w:sz w:val="24"/>
                                <w:szCs w:val="24"/>
                              </w:rPr>
                              <w:t>The Regulation amendments and this instrument are a positive step towards attaining the highest standard of health for all Australians</w:t>
                            </w:r>
                            <w:r>
                              <w:rPr>
                                <w:sz w:val="24"/>
                                <w:szCs w:val="24"/>
                              </w:rPr>
                              <w:t xml:space="preserve">. </w:t>
                            </w:r>
                            <w:r w:rsidRPr="005D77B6">
                              <w:rPr>
                                <w:sz w:val="24"/>
                                <w:szCs w:val="24"/>
                              </w:rPr>
                              <w:t xml:space="preserve"> </w:t>
                            </w:r>
                            <w:r>
                              <w:rPr>
                                <w:sz w:val="24"/>
                                <w:szCs w:val="24"/>
                              </w:rPr>
                              <w:t>The recommendatory role of the Pharmaceutical Benefits Advisory Committee (PBAC) ensures that decisions about subsidised access to medicines on the PBS are evidence-based.</w:t>
                            </w:r>
                          </w:p>
                          <w:p w:rsidR="00866881" w:rsidRPr="00E4135E" w:rsidRDefault="00866881" w:rsidP="00866881">
                            <w:pPr>
                              <w:spacing w:before="120"/>
                              <w:rPr>
                                <w:b/>
                                <w:sz w:val="24"/>
                                <w:szCs w:val="24"/>
                              </w:rPr>
                            </w:pPr>
                            <w:r w:rsidRPr="00E4135E">
                              <w:rPr>
                                <w:b/>
                                <w:sz w:val="24"/>
                                <w:szCs w:val="24"/>
                              </w:rPr>
                              <w:t>Conclusion</w:t>
                            </w:r>
                          </w:p>
                          <w:p w:rsidR="00866881" w:rsidRDefault="00866881" w:rsidP="00866881">
                            <w:pPr>
                              <w:spacing w:before="120"/>
                              <w:rPr>
                                <w:sz w:val="24"/>
                                <w:szCs w:val="24"/>
                              </w:rPr>
                            </w:pPr>
                            <w:r>
                              <w:rPr>
                                <w:sz w:val="24"/>
                                <w:szCs w:val="24"/>
                              </w:rPr>
                              <w:t>This legislative i</w:t>
                            </w:r>
                            <w:r w:rsidRPr="00E4135E">
                              <w:rPr>
                                <w:sz w:val="24"/>
                                <w:szCs w:val="24"/>
                              </w:rPr>
                              <w:t xml:space="preserve">nstrument is compatible with human rights </w:t>
                            </w:r>
                            <w:r>
                              <w:rPr>
                                <w:sz w:val="24"/>
                                <w:szCs w:val="24"/>
                              </w:rPr>
                              <w:t>because it advances the protection of human rights</w:t>
                            </w:r>
                            <w:r w:rsidRPr="00E4135E">
                              <w:rPr>
                                <w:sz w:val="24"/>
                                <w:szCs w:val="24"/>
                              </w:rPr>
                              <w:t>.</w:t>
                            </w:r>
                          </w:p>
                          <w:p w:rsidR="00866881" w:rsidRDefault="00866881" w:rsidP="00866881">
                            <w:pPr>
                              <w:spacing w:before="120"/>
                              <w:rPr>
                                <w:sz w:val="24"/>
                                <w:szCs w:val="24"/>
                              </w:rPr>
                            </w:pPr>
                          </w:p>
                          <w:p w:rsidR="00866881" w:rsidRDefault="00866881" w:rsidP="00866881">
                            <w:pPr>
                              <w:spacing w:before="120"/>
                              <w:rPr>
                                <w:sz w:val="24"/>
                                <w:szCs w:val="24"/>
                              </w:rPr>
                            </w:pPr>
                          </w:p>
                          <w:p w:rsidR="00866881" w:rsidRPr="00940735" w:rsidRDefault="009F376A" w:rsidP="00866881">
                            <w:pPr>
                              <w:widowControl w:val="0"/>
                              <w:tabs>
                                <w:tab w:val="left" w:pos="3119"/>
                              </w:tabs>
                              <w:spacing w:after="0" w:line="300" w:lineRule="atLeast"/>
                              <w:jc w:val="center"/>
                              <w:rPr>
                                <w:b/>
                                <w:sz w:val="24"/>
                                <w:szCs w:val="24"/>
                              </w:rPr>
                            </w:pPr>
                            <w:r>
                              <w:rPr>
                                <w:b/>
                                <w:sz w:val="24"/>
                                <w:szCs w:val="24"/>
                              </w:rPr>
                              <w:t xml:space="preserve">Julianne </w:t>
                            </w:r>
                            <w:proofErr w:type="spellStart"/>
                            <w:r>
                              <w:rPr>
                                <w:b/>
                                <w:sz w:val="24"/>
                                <w:szCs w:val="24"/>
                              </w:rPr>
                              <w:t>Quaine</w:t>
                            </w:r>
                            <w:proofErr w:type="spellEnd"/>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Assistant Secretary</w:t>
                            </w:r>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Pharmaceutical Access Branch</w:t>
                            </w:r>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Pharmaceutical Benefits Division</w:t>
                            </w:r>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Department of Health</w:t>
                            </w:r>
                            <w:bookmarkEnd w:id="1"/>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6pt;margin-top:.3pt;width:481.8pt;height:7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" strokeweight="6pt">
                <v:stroke linestyle="thickBetweenThin"/>
                <v:textbox inset="5mm,,5mm">
                  <w:txbxContent>
                    <w:p w:rsidR="00866881" w:rsidRPr="00E4135E" w:rsidRDefault="00866881" w:rsidP="00866881">
                      <w:pPr>
                        <w:spacing w:before="480"/>
                        <w:jc w:val="center"/>
                        <w:rPr>
                          <w:b/>
                          <w:sz w:val="28"/>
                          <w:szCs w:val="28"/>
                        </w:rPr>
                      </w:pPr>
                      <w:bookmarkStart w:id="2" w:name="_Toc290210739"/>
                      <w:r w:rsidRPr="00E4135E">
                        <w:rPr>
                          <w:b/>
                          <w:sz w:val="28"/>
                          <w:szCs w:val="28"/>
                        </w:rPr>
                        <w:t>Statement of Compatibility with Human Rights</w:t>
                      </w:r>
                    </w:p>
                    <w:p w:rsidR="00866881" w:rsidRDefault="00866881" w:rsidP="00866881">
                      <w:pPr>
                        <w:spacing w:before="120"/>
                        <w:jc w:val="center"/>
                        <w:rPr>
                          <w:sz w:val="24"/>
                          <w:szCs w:val="24"/>
                        </w:rPr>
                      </w:pPr>
                      <w:r w:rsidRPr="00E4135E">
                        <w:rPr>
                          <w:i/>
                          <w:sz w:val="24"/>
                          <w:szCs w:val="24"/>
                        </w:rPr>
                        <w:t>Prepared in accordance with Part 3 of the Human Rights (Parliamentary Scrutiny) Act 2011</w:t>
                      </w:r>
                    </w:p>
                    <w:p w:rsidR="00866881" w:rsidRPr="005F6D41" w:rsidRDefault="00866881" w:rsidP="00866881">
                      <w:pPr>
                        <w:spacing w:before="120"/>
                        <w:jc w:val="center"/>
                        <w:rPr>
                          <w:sz w:val="24"/>
                          <w:szCs w:val="24"/>
                        </w:rPr>
                      </w:pPr>
                    </w:p>
                    <w:p w:rsidR="00866881" w:rsidRPr="00BC788A" w:rsidRDefault="00866881" w:rsidP="00866881">
                      <w:pPr>
                        <w:spacing w:before="120"/>
                        <w:jc w:val="center"/>
                        <w:rPr>
                          <w:b/>
                          <w:sz w:val="24"/>
                          <w:szCs w:val="24"/>
                        </w:rPr>
                      </w:pPr>
                      <w:r w:rsidRPr="00A43745">
                        <w:rPr>
                          <w:b/>
                          <w:i/>
                          <w:sz w:val="24"/>
                          <w:szCs w:val="24"/>
                        </w:rPr>
                        <w:t>National Health (Highly specialised drugs program) Special Arra</w:t>
                      </w:r>
                      <w:r>
                        <w:rPr>
                          <w:b/>
                          <w:i/>
                          <w:sz w:val="24"/>
                          <w:szCs w:val="24"/>
                        </w:rPr>
                        <w:t>ngement Amendment Instrument 2015</w:t>
                      </w:r>
                      <w:r w:rsidRPr="00973F8C">
                        <w:rPr>
                          <w:b/>
                          <w:i/>
                          <w:sz w:val="24"/>
                          <w:szCs w:val="24"/>
                        </w:rPr>
                        <w:t xml:space="preserve"> (No.</w:t>
                      </w:r>
                      <w:r w:rsidR="00FD3D62">
                        <w:rPr>
                          <w:b/>
                          <w:i/>
                          <w:sz w:val="24"/>
                          <w:szCs w:val="24"/>
                        </w:rPr>
                        <w:t xml:space="preserve"> </w:t>
                      </w:r>
                      <w:r w:rsidR="00005EFA">
                        <w:rPr>
                          <w:b/>
                          <w:i/>
                          <w:sz w:val="24"/>
                          <w:szCs w:val="24"/>
                        </w:rPr>
                        <w:t>1</w:t>
                      </w:r>
                      <w:r w:rsidR="009B5FAE">
                        <w:rPr>
                          <w:b/>
                          <w:i/>
                          <w:sz w:val="24"/>
                          <w:szCs w:val="24"/>
                        </w:rPr>
                        <w:t>2</w:t>
                      </w:r>
                      <w:r w:rsidRPr="00973F8C">
                        <w:rPr>
                          <w:b/>
                          <w:i/>
                          <w:sz w:val="24"/>
                          <w:szCs w:val="24"/>
                        </w:rPr>
                        <w:t>)</w:t>
                      </w:r>
                      <w:r w:rsidRPr="00A43745">
                        <w:rPr>
                          <w:b/>
                          <w:i/>
                          <w:sz w:val="24"/>
                          <w:szCs w:val="24"/>
                        </w:rPr>
                        <w:t xml:space="preserve"> </w:t>
                      </w:r>
                    </w:p>
                    <w:p w:rsidR="00866881" w:rsidRPr="00E4135E" w:rsidRDefault="00866881" w:rsidP="00866881">
                      <w:pPr>
                        <w:spacing w:before="120"/>
                        <w:jc w:val="left"/>
                        <w:rPr>
                          <w:sz w:val="24"/>
                          <w:szCs w:val="24"/>
                        </w:rPr>
                      </w:pPr>
                      <w:r>
                        <w:rPr>
                          <w:sz w:val="24"/>
                          <w:szCs w:val="24"/>
                        </w:rPr>
                        <w:t>This legislative i</w:t>
                      </w:r>
                      <w:r w:rsidRPr="00E4135E">
                        <w:rPr>
                          <w:sz w:val="24"/>
                          <w:szCs w:val="24"/>
                        </w:rPr>
                        <w:t xml:space="preserve">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rsidR="00866881" w:rsidRPr="00E4135E" w:rsidRDefault="00866881" w:rsidP="00866881">
                      <w:pPr>
                        <w:spacing w:before="120"/>
                        <w:rPr>
                          <w:b/>
                          <w:sz w:val="24"/>
                          <w:szCs w:val="24"/>
                        </w:rPr>
                      </w:pPr>
                      <w:r w:rsidRPr="00E4135E">
                        <w:rPr>
                          <w:b/>
                          <w:sz w:val="24"/>
                          <w:szCs w:val="24"/>
                        </w:rPr>
                        <w:t>Overview of the Legislative Instrument</w:t>
                      </w:r>
                    </w:p>
                    <w:p w:rsidR="00866881" w:rsidRDefault="00866881" w:rsidP="00866881">
                      <w:pPr>
                        <w:pStyle w:val="Heading6"/>
                        <w:spacing w:after="0"/>
                        <w:jc w:val="left"/>
                        <w:rPr>
                          <w:b w:val="0"/>
                          <w:sz w:val="24"/>
                          <w:szCs w:val="24"/>
                        </w:rPr>
                      </w:pPr>
                      <w:r>
                        <w:rPr>
                          <w:b w:val="0"/>
                          <w:sz w:val="24"/>
                          <w:szCs w:val="24"/>
                        </w:rPr>
                        <w:t xml:space="preserve">The purpose of this legislative instrument, made under subsections 100(1) and 100(2) of the </w:t>
                      </w:r>
                      <w:r w:rsidRPr="000E397C">
                        <w:rPr>
                          <w:b w:val="0"/>
                          <w:i/>
                          <w:sz w:val="24"/>
                          <w:szCs w:val="24"/>
                        </w:rPr>
                        <w:t xml:space="preserve">National Health Act 1953 </w:t>
                      </w:r>
                      <w:r>
                        <w:rPr>
                          <w:b w:val="0"/>
                          <w:sz w:val="24"/>
                          <w:szCs w:val="24"/>
                        </w:rPr>
                        <w:t xml:space="preserve">(the Act), is to amend the </w:t>
                      </w:r>
                      <w:r w:rsidRPr="003C231E">
                        <w:rPr>
                          <w:b w:val="0"/>
                          <w:i/>
                          <w:sz w:val="24"/>
                          <w:szCs w:val="24"/>
                        </w:rPr>
                        <w:t xml:space="preserve">National Health (Highly </w:t>
                      </w:r>
                      <w:r>
                        <w:rPr>
                          <w:b w:val="0"/>
                          <w:i/>
                          <w:sz w:val="24"/>
                          <w:szCs w:val="24"/>
                        </w:rPr>
                        <w:t>s</w:t>
                      </w:r>
                      <w:r w:rsidRPr="003C231E">
                        <w:rPr>
                          <w:b w:val="0"/>
                          <w:i/>
                          <w:sz w:val="24"/>
                          <w:szCs w:val="24"/>
                        </w:rPr>
                        <w:t xml:space="preserve">pecialised </w:t>
                      </w:r>
                      <w:r>
                        <w:rPr>
                          <w:b w:val="0"/>
                          <w:i/>
                          <w:sz w:val="24"/>
                          <w:szCs w:val="24"/>
                        </w:rPr>
                        <w:t>d</w:t>
                      </w:r>
                      <w:r w:rsidRPr="003C231E">
                        <w:rPr>
                          <w:b w:val="0"/>
                          <w:i/>
                          <w:sz w:val="24"/>
                          <w:szCs w:val="24"/>
                        </w:rPr>
                        <w:t xml:space="preserve">rugs </w:t>
                      </w:r>
                      <w:r>
                        <w:rPr>
                          <w:b w:val="0"/>
                          <w:i/>
                          <w:sz w:val="24"/>
                          <w:szCs w:val="24"/>
                        </w:rPr>
                        <w:t>p</w:t>
                      </w:r>
                      <w:r w:rsidRPr="003C231E">
                        <w:rPr>
                          <w:b w:val="0"/>
                          <w:i/>
                          <w:sz w:val="24"/>
                          <w:szCs w:val="24"/>
                        </w:rPr>
                        <w:t>rogram) Special Arrangement 2010</w:t>
                      </w:r>
                      <w:r>
                        <w:rPr>
                          <w:b w:val="0"/>
                          <w:sz w:val="24"/>
                          <w:szCs w:val="24"/>
                        </w:rPr>
                        <w:t xml:space="preserve"> (PB 116 of 2010) (the Special Arrangement), to make changes to the Special Arrangement relating to the highly specialised drugs program.</w:t>
                      </w:r>
                    </w:p>
                    <w:p w:rsidR="00866881" w:rsidRDefault="00866881" w:rsidP="00866881">
                      <w:pPr>
                        <w:spacing w:before="120"/>
                        <w:rPr>
                          <w:sz w:val="24"/>
                          <w:szCs w:val="24"/>
                        </w:rPr>
                      </w:pPr>
                      <w:r w:rsidRPr="00250068">
                        <w:rPr>
                          <w:sz w:val="24"/>
                          <w:szCs w:val="24"/>
                        </w:rPr>
                        <w:t xml:space="preserve">The pharmaceutical benefits supplied under the Special Arrangement are for the treatment of chronic conditions which, because of their clinical use or other special features, may only be supplied to patients receiving </w:t>
                      </w:r>
                      <w:r w:rsidR="00E17D95">
                        <w:rPr>
                          <w:sz w:val="24"/>
                          <w:szCs w:val="24"/>
                        </w:rPr>
                        <w:t>specialised</w:t>
                      </w:r>
                      <w:r w:rsidR="008726F3" w:rsidRPr="00250068">
                        <w:rPr>
                          <w:sz w:val="24"/>
                          <w:szCs w:val="24"/>
                        </w:rPr>
                        <w:t xml:space="preserve"> </w:t>
                      </w:r>
                      <w:r w:rsidRPr="00250068">
                        <w:rPr>
                          <w:sz w:val="24"/>
                          <w:szCs w:val="24"/>
                        </w:rPr>
                        <w:t>treatment</w:t>
                      </w:r>
                      <w:r w:rsidR="00250068" w:rsidRPr="00250068">
                        <w:rPr>
                          <w:sz w:val="24"/>
                          <w:szCs w:val="24"/>
                        </w:rPr>
                        <w:t>.</w:t>
                      </w:r>
                    </w:p>
                    <w:p w:rsidR="00866881" w:rsidRPr="00D61356" w:rsidRDefault="00866881" w:rsidP="00866881">
                      <w:pPr>
                        <w:spacing w:before="120"/>
                        <w:rPr>
                          <w:b/>
                          <w:sz w:val="24"/>
                          <w:szCs w:val="24"/>
                        </w:rPr>
                      </w:pPr>
                      <w:r w:rsidRPr="00D61356">
                        <w:rPr>
                          <w:b/>
                          <w:sz w:val="24"/>
                          <w:szCs w:val="24"/>
                        </w:rPr>
                        <w:t>Human rights implications</w:t>
                      </w:r>
                    </w:p>
                    <w:p w:rsidR="00866881" w:rsidRDefault="00866881" w:rsidP="00866881">
                      <w:pPr>
                        <w:spacing w:before="120"/>
                        <w:rPr>
                          <w:sz w:val="24"/>
                          <w:szCs w:val="24"/>
                        </w:rPr>
                      </w:pPr>
                      <w:r w:rsidRPr="00D61356">
                        <w:rPr>
                          <w:sz w:val="24"/>
                          <w:szCs w:val="24"/>
                        </w:rPr>
                        <w:t>This legislative instrument</w:t>
                      </w:r>
                      <w:r>
                        <w:rPr>
                          <w:sz w:val="24"/>
                          <w:szCs w:val="24"/>
                        </w:rPr>
                        <w:t xml:space="preserve"> engages Article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866881" w:rsidRPr="00E4135E" w:rsidRDefault="00866881" w:rsidP="00866881">
                      <w:pPr>
                        <w:spacing w:before="120"/>
                        <w:jc w:val="left"/>
                        <w:rPr>
                          <w:sz w:val="24"/>
                          <w:szCs w:val="24"/>
                        </w:rPr>
                      </w:pPr>
                      <w:r>
                        <w:rPr>
                          <w:sz w:val="24"/>
                          <w:szCs w:val="24"/>
                        </w:rPr>
                        <w:t xml:space="preserve">The Pharmaceutical Benefits Scheme (PBS) is a benefit scheme which assists with advancement of this human right by providing for subsidised access by patients to medicines.  </w:t>
                      </w:r>
                      <w:r w:rsidRPr="005D77B6">
                        <w:rPr>
                          <w:sz w:val="24"/>
                          <w:szCs w:val="24"/>
                        </w:rPr>
                        <w:t>The Regulation amendments and this instrument are a positive step towards attaining the highest standard of health for all Australians</w:t>
                      </w:r>
                      <w:r>
                        <w:rPr>
                          <w:sz w:val="24"/>
                          <w:szCs w:val="24"/>
                        </w:rPr>
                        <w:t xml:space="preserve">. </w:t>
                      </w:r>
                      <w:r w:rsidRPr="005D77B6">
                        <w:rPr>
                          <w:sz w:val="24"/>
                          <w:szCs w:val="24"/>
                        </w:rPr>
                        <w:t xml:space="preserve"> </w:t>
                      </w:r>
                      <w:r>
                        <w:rPr>
                          <w:sz w:val="24"/>
                          <w:szCs w:val="24"/>
                        </w:rPr>
                        <w:t>The recommendatory role of the Pharmaceutical Benefits Advisory Committee (PBAC) ensures that decisions about subsidised access to medicines on the PBS are evidence-based.</w:t>
                      </w:r>
                    </w:p>
                    <w:p w:rsidR="00866881" w:rsidRPr="00E4135E" w:rsidRDefault="00866881" w:rsidP="00866881">
                      <w:pPr>
                        <w:spacing w:before="120"/>
                        <w:rPr>
                          <w:b/>
                          <w:sz w:val="24"/>
                          <w:szCs w:val="24"/>
                        </w:rPr>
                      </w:pPr>
                      <w:r w:rsidRPr="00E4135E">
                        <w:rPr>
                          <w:b/>
                          <w:sz w:val="24"/>
                          <w:szCs w:val="24"/>
                        </w:rPr>
                        <w:t>Conclusion</w:t>
                      </w:r>
                    </w:p>
                    <w:p w:rsidR="00866881" w:rsidRDefault="00866881" w:rsidP="00866881">
                      <w:pPr>
                        <w:spacing w:before="120"/>
                        <w:rPr>
                          <w:sz w:val="24"/>
                          <w:szCs w:val="24"/>
                        </w:rPr>
                      </w:pPr>
                      <w:r>
                        <w:rPr>
                          <w:sz w:val="24"/>
                          <w:szCs w:val="24"/>
                        </w:rPr>
                        <w:t>This legislative i</w:t>
                      </w:r>
                      <w:r w:rsidRPr="00E4135E">
                        <w:rPr>
                          <w:sz w:val="24"/>
                          <w:szCs w:val="24"/>
                        </w:rPr>
                        <w:t xml:space="preserve">nstrument is compatible with human rights </w:t>
                      </w:r>
                      <w:r>
                        <w:rPr>
                          <w:sz w:val="24"/>
                          <w:szCs w:val="24"/>
                        </w:rPr>
                        <w:t>because it advances the protection of human rights</w:t>
                      </w:r>
                      <w:r w:rsidRPr="00E4135E">
                        <w:rPr>
                          <w:sz w:val="24"/>
                          <w:szCs w:val="24"/>
                        </w:rPr>
                        <w:t>.</w:t>
                      </w:r>
                    </w:p>
                    <w:p w:rsidR="00866881" w:rsidRDefault="00866881" w:rsidP="00866881">
                      <w:pPr>
                        <w:spacing w:before="120"/>
                        <w:rPr>
                          <w:sz w:val="24"/>
                          <w:szCs w:val="24"/>
                        </w:rPr>
                      </w:pPr>
                    </w:p>
                    <w:p w:rsidR="00866881" w:rsidRDefault="00866881" w:rsidP="00866881">
                      <w:pPr>
                        <w:spacing w:before="120"/>
                        <w:rPr>
                          <w:sz w:val="24"/>
                          <w:szCs w:val="24"/>
                        </w:rPr>
                      </w:pPr>
                    </w:p>
                    <w:p w:rsidR="00866881" w:rsidRPr="00940735" w:rsidRDefault="009F376A" w:rsidP="00866881">
                      <w:pPr>
                        <w:widowControl w:val="0"/>
                        <w:tabs>
                          <w:tab w:val="left" w:pos="3119"/>
                        </w:tabs>
                        <w:spacing w:after="0" w:line="300" w:lineRule="atLeast"/>
                        <w:jc w:val="center"/>
                        <w:rPr>
                          <w:b/>
                          <w:sz w:val="24"/>
                          <w:szCs w:val="24"/>
                        </w:rPr>
                      </w:pPr>
                      <w:r>
                        <w:rPr>
                          <w:b/>
                          <w:sz w:val="24"/>
                          <w:szCs w:val="24"/>
                        </w:rPr>
                        <w:t xml:space="preserve">Julianne </w:t>
                      </w:r>
                      <w:proofErr w:type="spellStart"/>
                      <w:r>
                        <w:rPr>
                          <w:b/>
                          <w:sz w:val="24"/>
                          <w:szCs w:val="24"/>
                        </w:rPr>
                        <w:t>Quaine</w:t>
                      </w:r>
                      <w:proofErr w:type="spellEnd"/>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Assistant Secretary</w:t>
                      </w:r>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Pharmaceutical Access Branch</w:t>
                      </w:r>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Pharmaceutical Benefits Division</w:t>
                      </w:r>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Department of Health</w:t>
                      </w:r>
                      <w:bookmarkEnd w:id="2"/>
                    </w:p>
                  </w:txbxContent>
                </v:textbox>
              </v:rect>
            </w:pict>
          </mc:Fallback>
        </mc:AlternateContent>
      </w:r>
    </w:p>
    <w:sectPr w:rsidR="00866881" w:rsidSect="008C1CB9">
      <w:headerReference w:type="even" r:id="rId8"/>
      <w:headerReference w:type="default" r:id="rId9"/>
      <w:footerReference w:type="even" r:id="rId10"/>
      <w:footerReference w:type="first" r:id="rId11"/>
      <w:type w:val="continuous"/>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B93" w:rsidRDefault="00341B93">
      <w:r>
        <w:separator/>
      </w:r>
    </w:p>
  </w:endnote>
  <w:endnote w:type="continuationSeparator" w:id="0">
    <w:p w:rsidR="00341B93" w:rsidRDefault="0034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0735" w:rsidRDefault="009407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5" w:rsidRDefault="00940735" w:rsidP="00DC29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B93" w:rsidRDefault="00341B93">
      <w:r>
        <w:separator/>
      </w:r>
    </w:p>
  </w:footnote>
  <w:footnote w:type="continuationSeparator" w:id="0">
    <w:p w:rsidR="00341B93" w:rsidRDefault="00341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0735" w:rsidRDefault="009407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5196">
      <w:rPr>
        <w:rStyle w:val="PageNumber"/>
        <w:noProof/>
      </w:rPr>
      <w:t>4</w:t>
    </w:r>
    <w:r>
      <w:rPr>
        <w:rStyle w:val="PageNumber"/>
      </w:rPr>
      <w:fldChar w:fldCharType="end"/>
    </w:r>
  </w:p>
  <w:p w:rsidR="00940735" w:rsidRDefault="00940735" w:rsidP="005751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62"/>
    <w:rsid w:val="000029AA"/>
    <w:rsid w:val="00005EFA"/>
    <w:rsid w:val="00006902"/>
    <w:rsid w:val="00006A8D"/>
    <w:rsid w:val="000117B8"/>
    <w:rsid w:val="000156DC"/>
    <w:rsid w:val="00015A54"/>
    <w:rsid w:val="00015E1C"/>
    <w:rsid w:val="00016B81"/>
    <w:rsid w:val="000202FF"/>
    <w:rsid w:val="000228C8"/>
    <w:rsid w:val="00022B06"/>
    <w:rsid w:val="00022BCE"/>
    <w:rsid w:val="00023501"/>
    <w:rsid w:val="00023CE1"/>
    <w:rsid w:val="0002404C"/>
    <w:rsid w:val="0002632B"/>
    <w:rsid w:val="00026352"/>
    <w:rsid w:val="00027C8E"/>
    <w:rsid w:val="00030979"/>
    <w:rsid w:val="00031683"/>
    <w:rsid w:val="00031841"/>
    <w:rsid w:val="00031DA4"/>
    <w:rsid w:val="00033202"/>
    <w:rsid w:val="00034A75"/>
    <w:rsid w:val="00035D1B"/>
    <w:rsid w:val="0003684F"/>
    <w:rsid w:val="00037E3C"/>
    <w:rsid w:val="0004135F"/>
    <w:rsid w:val="000413B3"/>
    <w:rsid w:val="000419D2"/>
    <w:rsid w:val="00041D3B"/>
    <w:rsid w:val="00043241"/>
    <w:rsid w:val="0004453E"/>
    <w:rsid w:val="00045826"/>
    <w:rsid w:val="00045DB6"/>
    <w:rsid w:val="0004700F"/>
    <w:rsid w:val="0004767F"/>
    <w:rsid w:val="00050CE4"/>
    <w:rsid w:val="00051DFF"/>
    <w:rsid w:val="000525A8"/>
    <w:rsid w:val="000534DD"/>
    <w:rsid w:val="00053624"/>
    <w:rsid w:val="00053739"/>
    <w:rsid w:val="000573B7"/>
    <w:rsid w:val="0005784C"/>
    <w:rsid w:val="0006234C"/>
    <w:rsid w:val="00063A64"/>
    <w:rsid w:val="00063C9F"/>
    <w:rsid w:val="00064AD6"/>
    <w:rsid w:val="00065348"/>
    <w:rsid w:val="00065C4D"/>
    <w:rsid w:val="000704B1"/>
    <w:rsid w:val="000705DA"/>
    <w:rsid w:val="00071C00"/>
    <w:rsid w:val="00071E58"/>
    <w:rsid w:val="000756F4"/>
    <w:rsid w:val="0007745B"/>
    <w:rsid w:val="00077F65"/>
    <w:rsid w:val="00081665"/>
    <w:rsid w:val="00082170"/>
    <w:rsid w:val="00082402"/>
    <w:rsid w:val="0008340B"/>
    <w:rsid w:val="00083677"/>
    <w:rsid w:val="000842A6"/>
    <w:rsid w:val="00084FC6"/>
    <w:rsid w:val="00087624"/>
    <w:rsid w:val="00090B86"/>
    <w:rsid w:val="00092D40"/>
    <w:rsid w:val="000966C5"/>
    <w:rsid w:val="000A094F"/>
    <w:rsid w:val="000A2C03"/>
    <w:rsid w:val="000A4B91"/>
    <w:rsid w:val="000A5B07"/>
    <w:rsid w:val="000A6881"/>
    <w:rsid w:val="000A6C4C"/>
    <w:rsid w:val="000B23F1"/>
    <w:rsid w:val="000B3602"/>
    <w:rsid w:val="000B4116"/>
    <w:rsid w:val="000B45FC"/>
    <w:rsid w:val="000C277C"/>
    <w:rsid w:val="000C2A2B"/>
    <w:rsid w:val="000C4D34"/>
    <w:rsid w:val="000C7205"/>
    <w:rsid w:val="000D0C85"/>
    <w:rsid w:val="000D2B6E"/>
    <w:rsid w:val="000D2C6C"/>
    <w:rsid w:val="000D32FE"/>
    <w:rsid w:val="000D787C"/>
    <w:rsid w:val="000D78FB"/>
    <w:rsid w:val="000D79C8"/>
    <w:rsid w:val="000D7C43"/>
    <w:rsid w:val="000E032F"/>
    <w:rsid w:val="000E10A0"/>
    <w:rsid w:val="000E2645"/>
    <w:rsid w:val="000E3E0A"/>
    <w:rsid w:val="000E489F"/>
    <w:rsid w:val="000E70DA"/>
    <w:rsid w:val="000E7761"/>
    <w:rsid w:val="000F068B"/>
    <w:rsid w:val="000F274D"/>
    <w:rsid w:val="000F2F00"/>
    <w:rsid w:val="000F5885"/>
    <w:rsid w:val="000F653B"/>
    <w:rsid w:val="00100E92"/>
    <w:rsid w:val="00102CFC"/>
    <w:rsid w:val="00105706"/>
    <w:rsid w:val="0010721F"/>
    <w:rsid w:val="001077D9"/>
    <w:rsid w:val="001078A1"/>
    <w:rsid w:val="00110374"/>
    <w:rsid w:val="00110F0F"/>
    <w:rsid w:val="0011193D"/>
    <w:rsid w:val="0011340E"/>
    <w:rsid w:val="00113E5C"/>
    <w:rsid w:val="00114270"/>
    <w:rsid w:val="00114355"/>
    <w:rsid w:val="00117A4C"/>
    <w:rsid w:val="0012081F"/>
    <w:rsid w:val="001228DB"/>
    <w:rsid w:val="001230A1"/>
    <w:rsid w:val="00123FD9"/>
    <w:rsid w:val="00124100"/>
    <w:rsid w:val="00124354"/>
    <w:rsid w:val="00126088"/>
    <w:rsid w:val="00130259"/>
    <w:rsid w:val="00131119"/>
    <w:rsid w:val="00131728"/>
    <w:rsid w:val="00136467"/>
    <w:rsid w:val="00136BAF"/>
    <w:rsid w:val="0014157D"/>
    <w:rsid w:val="00141708"/>
    <w:rsid w:val="001425B9"/>
    <w:rsid w:val="00142730"/>
    <w:rsid w:val="001428B2"/>
    <w:rsid w:val="00143781"/>
    <w:rsid w:val="001440F4"/>
    <w:rsid w:val="00144CA8"/>
    <w:rsid w:val="00147B16"/>
    <w:rsid w:val="00147B83"/>
    <w:rsid w:val="00150EC9"/>
    <w:rsid w:val="001517B5"/>
    <w:rsid w:val="0015185F"/>
    <w:rsid w:val="001533A0"/>
    <w:rsid w:val="00153C2A"/>
    <w:rsid w:val="00153EBF"/>
    <w:rsid w:val="00154C9A"/>
    <w:rsid w:val="00155092"/>
    <w:rsid w:val="00160EBF"/>
    <w:rsid w:val="00164F42"/>
    <w:rsid w:val="00167458"/>
    <w:rsid w:val="00171212"/>
    <w:rsid w:val="0017323A"/>
    <w:rsid w:val="00173E32"/>
    <w:rsid w:val="001810AB"/>
    <w:rsid w:val="00182B4E"/>
    <w:rsid w:val="0019021B"/>
    <w:rsid w:val="00190A04"/>
    <w:rsid w:val="0019211D"/>
    <w:rsid w:val="001922C2"/>
    <w:rsid w:val="001927A1"/>
    <w:rsid w:val="00192C91"/>
    <w:rsid w:val="001941C6"/>
    <w:rsid w:val="00195E78"/>
    <w:rsid w:val="001963EF"/>
    <w:rsid w:val="001A0413"/>
    <w:rsid w:val="001A2156"/>
    <w:rsid w:val="001A3CC3"/>
    <w:rsid w:val="001A49AD"/>
    <w:rsid w:val="001A7304"/>
    <w:rsid w:val="001A7975"/>
    <w:rsid w:val="001B16BE"/>
    <w:rsid w:val="001B1922"/>
    <w:rsid w:val="001B1E09"/>
    <w:rsid w:val="001B5453"/>
    <w:rsid w:val="001C0011"/>
    <w:rsid w:val="001C10C2"/>
    <w:rsid w:val="001C1A79"/>
    <w:rsid w:val="001C418C"/>
    <w:rsid w:val="001C43DE"/>
    <w:rsid w:val="001C5241"/>
    <w:rsid w:val="001D0B1B"/>
    <w:rsid w:val="001D1964"/>
    <w:rsid w:val="001D55CD"/>
    <w:rsid w:val="001D775C"/>
    <w:rsid w:val="001D7990"/>
    <w:rsid w:val="001E0818"/>
    <w:rsid w:val="001E0E85"/>
    <w:rsid w:val="001E1A78"/>
    <w:rsid w:val="001F220A"/>
    <w:rsid w:val="001F249A"/>
    <w:rsid w:val="001F299F"/>
    <w:rsid w:val="001F43A5"/>
    <w:rsid w:val="00202535"/>
    <w:rsid w:val="00205AEF"/>
    <w:rsid w:val="002075B9"/>
    <w:rsid w:val="002105F3"/>
    <w:rsid w:val="00210EF8"/>
    <w:rsid w:val="002117E9"/>
    <w:rsid w:val="00211A95"/>
    <w:rsid w:val="00217B84"/>
    <w:rsid w:val="00220C92"/>
    <w:rsid w:val="00220EF4"/>
    <w:rsid w:val="00221B1A"/>
    <w:rsid w:val="00222683"/>
    <w:rsid w:val="0022336C"/>
    <w:rsid w:val="00225F71"/>
    <w:rsid w:val="00226250"/>
    <w:rsid w:val="00226EF0"/>
    <w:rsid w:val="002272B1"/>
    <w:rsid w:val="00231D7B"/>
    <w:rsid w:val="00231E0E"/>
    <w:rsid w:val="0023637E"/>
    <w:rsid w:val="00236694"/>
    <w:rsid w:val="002417A2"/>
    <w:rsid w:val="00243137"/>
    <w:rsid w:val="00246782"/>
    <w:rsid w:val="00247663"/>
    <w:rsid w:val="00250068"/>
    <w:rsid w:val="00252503"/>
    <w:rsid w:val="002577D5"/>
    <w:rsid w:val="0026748B"/>
    <w:rsid w:val="00267B1A"/>
    <w:rsid w:val="002706D1"/>
    <w:rsid w:val="00271534"/>
    <w:rsid w:val="002727F0"/>
    <w:rsid w:val="0027324E"/>
    <w:rsid w:val="00273640"/>
    <w:rsid w:val="0027522F"/>
    <w:rsid w:val="00277AE5"/>
    <w:rsid w:val="00283A17"/>
    <w:rsid w:val="00284F06"/>
    <w:rsid w:val="002855CC"/>
    <w:rsid w:val="00286CF8"/>
    <w:rsid w:val="00287EC4"/>
    <w:rsid w:val="0029029F"/>
    <w:rsid w:val="00291B6D"/>
    <w:rsid w:val="00291FC5"/>
    <w:rsid w:val="002956CD"/>
    <w:rsid w:val="00296ABC"/>
    <w:rsid w:val="002A0F23"/>
    <w:rsid w:val="002A1F0F"/>
    <w:rsid w:val="002A2768"/>
    <w:rsid w:val="002B0004"/>
    <w:rsid w:val="002B1123"/>
    <w:rsid w:val="002B2151"/>
    <w:rsid w:val="002B5ACB"/>
    <w:rsid w:val="002B686B"/>
    <w:rsid w:val="002B6B82"/>
    <w:rsid w:val="002B7096"/>
    <w:rsid w:val="002B7B4E"/>
    <w:rsid w:val="002C0A52"/>
    <w:rsid w:val="002C1480"/>
    <w:rsid w:val="002C1ECB"/>
    <w:rsid w:val="002C24B2"/>
    <w:rsid w:val="002C2A53"/>
    <w:rsid w:val="002C3CF4"/>
    <w:rsid w:val="002C4911"/>
    <w:rsid w:val="002C4A2E"/>
    <w:rsid w:val="002C5315"/>
    <w:rsid w:val="002C5BBB"/>
    <w:rsid w:val="002C6E10"/>
    <w:rsid w:val="002D14FC"/>
    <w:rsid w:val="002D29D9"/>
    <w:rsid w:val="002D51D6"/>
    <w:rsid w:val="002D58EF"/>
    <w:rsid w:val="002D5C35"/>
    <w:rsid w:val="002D6620"/>
    <w:rsid w:val="002D7AED"/>
    <w:rsid w:val="002E0832"/>
    <w:rsid w:val="002E0D3C"/>
    <w:rsid w:val="002E2B5A"/>
    <w:rsid w:val="002F13BA"/>
    <w:rsid w:val="002F303F"/>
    <w:rsid w:val="002F30B0"/>
    <w:rsid w:val="002F4A74"/>
    <w:rsid w:val="002F4F29"/>
    <w:rsid w:val="002F78E7"/>
    <w:rsid w:val="002F7F3D"/>
    <w:rsid w:val="00302262"/>
    <w:rsid w:val="0030455A"/>
    <w:rsid w:val="00304CEC"/>
    <w:rsid w:val="0030558A"/>
    <w:rsid w:val="003056DB"/>
    <w:rsid w:val="00306C89"/>
    <w:rsid w:val="00306E0F"/>
    <w:rsid w:val="0031170A"/>
    <w:rsid w:val="00313037"/>
    <w:rsid w:val="00313293"/>
    <w:rsid w:val="003150B5"/>
    <w:rsid w:val="00316183"/>
    <w:rsid w:val="003167A9"/>
    <w:rsid w:val="00320C0E"/>
    <w:rsid w:val="00321291"/>
    <w:rsid w:val="00321388"/>
    <w:rsid w:val="00323172"/>
    <w:rsid w:val="003237F1"/>
    <w:rsid w:val="00324450"/>
    <w:rsid w:val="00324A45"/>
    <w:rsid w:val="00330838"/>
    <w:rsid w:val="00330E53"/>
    <w:rsid w:val="003334F6"/>
    <w:rsid w:val="003350A8"/>
    <w:rsid w:val="003405BA"/>
    <w:rsid w:val="00341B93"/>
    <w:rsid w:val="00342752"/>
    <w:rsid w:val="00342D16"/>
    <w:rsid w:val="003438AE"/>
    <w:rsid w:val="00345811"/>
    <w:rsid w:val="00347184"/>
    <w:rsid w:val="0035037E"/>
    <w:rsid w:val="003503AF"/>
    <w:rsid w:val="00350E6E"/>
    <w:rsid w:val="00351500"/>
    <w:rsid w:val="00352579"/>
    <w:rsid w:val="0035298D"/>
    <w:rsid w:val="00353B95"/>
    <w:rsid w:val="0036086F"/>
    <w:rsid w:val="00360954"/>
    <w:rsid w:val="00360A43"/>
    <w:rsid w:val="003610CD"/>
    <w:rsid w:val="00362D99"/>
    <w:rsid w:val="00362EE6"/>
    <w:rsid w:val="00362FAF"/>
    <w:rsid w:val="00363553"/>
    <w:rsid w:val="003644DD"/>
    <w:rsid w:val="00364B70"/>
    <w:rsid w:val="003672D6"/>
    <w:rsid w:val="0036777B"/>
    <w:rsid w:val="00370B88"/>
    <w:rsid w:val="00372F32"/>
    <w:rsid w:val="003732A8"/>
    <w:rsid w:val="00373CD4"/>
    <w:rsid w:val="00376803"/>
    <w:rsid w:val="003768C8"/>
    <w:rsid w:val="00376B17"/>
    <w:rsid w:val="0037739C"/>
    <w:rsid w:val="0037769E"/>
    <w:rsid w:val="0037779D"/>
    <w:rsid w:val="0038007A"/>
    <w:rsid w:val="003819FD"/>
    <w:rsid w:val="00381AA2"/>
    <w:rsid w:val="00382C38"/>
    <w:rsid w:val="003833AC"/>
    <w:rsid w:val="003834BE"/>
    <w:rsid w:val="003845B2"/>
    <w:rsid w:val="003848B5"/>
    <w:rsid w:val="00384E95"/>
    <w:rsid w:val="003853D9"/>
    <w:rsid w:val="00385524"/>
    <w:rsid w:val="003859D1"/>
    <w:rsid w:val="00390ED8"/>
    <w:rsid w:val="00392492"/>
    <w:rsid w:val="00393DD5"/>
    <w:rsid w:val="003A2E72"/>
    <w:rsid w:val="003A47DE"/>
    <w:rsid w:val="003A4D88"/>
    <w:rsid w:val="003B08FA"/>
    <w:rsid w:val="003B233E"/>
    <w:rsid w:val="003B23B6"/>
    <w:rsid w:val="003B5E7E"/>
    <w:rsid w:val="003B7C13"/>
    <w:rsid w:val="003C0C09"/>
    <w:rsid w:val="003C12FF"/>
    <w:rsid w:val="003C1CBC"/>
    <w:rsid w:val="003C40D2"/>
    <w:rsid w:val="003C4D76"/>
    <w:rsid w:val="003C59DB"/>
    <w:rsid w:val="003C671D"/>
    <w:rsid w:val="003D089D"/>
    <w:rsid w:val="003D1229"/>
    <w:rsid w:val="003D15C1"/>
    <w:rsid w:val="003D223E"/>
    <w:rsid w:val="003D2B0B"/>
    <w:rsid w:val="003D38B4"/>
    <w:rsid w:val="003D47F5"/>
    <w:rsid w:val="003D4E94"/>
    <w:rsid w:val="003D799C"/>
    <w:rsid w:val="003E04AA"/>
    <w:rsid w:val="003E22A5"/>
    <w:rsid w:val="003E2D4C"/>
    <w:rsid w:val="003E3D0C"/>
    <w:rsid w:val="003E3EA8"/>
    <w:rsid w:val="003E50D9"/>
    <w:rsid w:val="003E5AAD"/>
    <w:rsid w:val="003E5EEC"/>
    <w:rsid w:val="003E72C2"/>
    <w:rsid w:val="003F0A89"/>
    <w:rsid w:val="003F209F"/>
    <w:rsid w:val="004020B2"/>
    <w:rsid w:val="0040308D"/>
    <w:rsid w:val="004046DC"/>
    <w:rsid w:val="00404966"/>
    <w:rsid w:val="00405940"/>
    <w:rsid w:val="00411E96"/>
    <w:rsid w:val="00414394"/>
    <w:rsid w:val="00414776"/>
    <w:rsid w:val="00417E97"/>
    <w:rsid w:val="00420597"/>
    <w:rsid w:val="00420A37"/>
    <w:rsid w:val="00420BE9"/>
    <w:rsid w:val="00422032"/>
    <w:rsid w:val="004224CA"/>
    <w:rsid w:val="0042309B"/>
    <w:rsid w:val="00424269"/>
    <w:rsid w:val="00424AA2"/>
    <w:rsid w:val="00425DED"/>
    <w:rsid w:val="00426B4E"/>
    <w:rsid w:val="004272C8"/>
    <w:rsid w:val="00427E51"/>
    <w:rsid w:val="0043001E"/>
    <w:rsid w:val="0043151F"/>
    <w:rsid w:val="00431F00"/>
    <w:rsid w:val="0043398C"/>
    <w:rsid w:val="00433F89"/>
    <w:rsid w:val="004352FC"/>
    <w:rsid w:val="0044129C"/>
    <w:rsid w:val="00441C39"/>
    <w:rsid w:val="00444981"/>
    <w:rsid w:val="00445238"/>
    <w:rsid w:val="00445F3D"/>
    <w:rsid w:val="00447915"/>
    <w:rsid w:val="004501DA"/>
    <w:rsid w:val="00451EA7"/>
    <w:rsid w:val="00452149"/>
    <w:rsid w:val="004523DB"/>
    <w:rsid w:val="00453883"/>
    <w:rsid w:val="004547C7"/>
    <w:rsid w:val="004554B6"/>
    <w:rsid w:val="004642E2"/>
    <w:rsid w:val="00464318"/>
    <w:rsid w:val="0046622B"/>
    <w:rsid w:val="004663F6"/>
    <w:rsid w:val="00466F6A"/>
    <w:rsid w:val="00470E6B"/>
    <w:rsid w:val="00471C53"/>
    <w:rsid w:val="00472651"/>
    <w:rsid w:val="00473150"/>
    <w:rsid w:val="00473C0C"/>
    <w:rsid w:val="0047429D"/>
    <w:rsid w:val="00475C3D"/>
    <w:rsid w:val="00476D22"/>
    <w:rsid w:val="00476D2A"/>
    <w:rsid w:val="004777EC"/>
    <w:rsid w:val="00477F59"/>
    <w:rsid w:val="004801F1"/>
    <w:rsid w:val="00480A01"/>
    <w:rsid w:val="004812DB"/>
    <w:rsid w:val="00481310"/>
    <w:rsid w:val="00481C1F"/>
    <w:rsid w:val="00483D30"/>
    <w:rsid w:val="00483D86"/>
    <w:rsid w:val="00484D13"/>
    <w:rsid w:val="00485722"/>
    <w:rsid w:val="00486927"/>
    <w:rsid w:val="00491940"/>
    <w:rsid w:val="00491C0E"/>
    <w:rsid w:val="00494050"/>
    <w:rsid w:val="0049623E"/>
    <w:rsid w:val="004A0647"/>
    <w:rsid w:val="004A0947"/>
    <w:rsid w:val="004A0964"/>
    <w:rsid w:val="004A0DAB"/>
    <w:rsid w:val="004A55E3"/>
    <w:rsid w:val="004A578D"/>
    <w:rsid w:val="004A74A3"/>
    <w:rsid w:val="004B1671"/>
    <w:rsid w:val="004B30DA"/>
    <w:rsid w:val="004B77FC"/>
    <w:rsid w:val="004C4025"/>
    <w:rsid w:val="004C486D"/>
    <w:rsid w:val="004C4D10"/>
    <w:rsid w:val="004D1F98"/>
    <w:rsid w:val="004D2995"/>
    <w:rsid w:val="004D34F2"/>
    <w:rsid w:val="004D4169"/>
    <w:rsid w:val="004D4CAB"/>
    <w:rsid w:val="004D6A47"/>
    <w:rsid w:val="004D6A57"/>
    <w:rsid w:val="004E0F35"/>
    <w:rsid w:val="004E1DB4"/>
    <w:rsid w:val="004E2AF6"/>
    <w:rsid w:val="004E3263"/>
    <w:rsid w:val="004E4291"/>
    <w:rsid w:val="004E591C"/>
    <w:rsid w:val="004E7F32"/>
    <w:rsid w:val="004F0791"/>
    <w:rsid w:val="004F2AC2"/>
    <w:rsid w:val="004F2BB3"/>
    <w:rsid w:val="004F36DC"/>
    <w:rsid w:val="004F3BB5"/>
    <w:rsid w:val="004F3DCA"/>
    <w:rsid w:val="004F41D6"/>
    <w:rsid w:val="004F492C"/>
    <w:rsid w:val="004F5147"/>
    <w:rsid w:val="004F5C87"/>
    <w:rsid w:val="004F623B"/>
    <w:rsid w:val="004F6300"/>
    <w:rsid w:val="004F6D8E"/>
    <w:rsid w:val="00501895"/>
    <w:rsid w:val="005033FD"/>
    <w:rsid w:val="00503D54"/>
    <w:rsid w:val="00504A74"/>
    <w:rsid w:val="00512BDE"/>
    <w:rsid w:val="00513E2A"/>
    <w:rsid w:val="00514FF9"/>
    <w:rsid w:val="00520F75"/>
    <w:rsid w:val="00522C0B"/>
    <w:rsid w:val="00522F6C"/>
    <w:rsid w:val="005234B0"/>
    <w:rsid w:val="005238D5"/>
    <w:rsid w:val="005241F5"/>
    <w:rsid w:val="00524BD9"/>
    <w:rsid w:val="0052565C"/>
    <w:rsid w:val="0052697A"/>
    <w:rsid w:val="005277F8"/>
    <w:rsid w:val="00531DE9"/>
    <w:rsid w:val="00531E23"/>
    <w:rsid w:val="0053562E"/>
    <w:rsid w:val="00537CFC"/>
    <w:rsid w:val="00540DB6"/>
    <w:rsid w:val="00542083"/>
    <w:rsid w:val="0054458C"/>
    <w:rsid w:val="0054585B"/>
    <w:rsid w:val="00547EC6"/>
    <w:rsid w:val="00551D01"/>
    <w:rsid w:val="00551F42"/>
    <w:rsid w:val="00552B0D"/>
    <w:rsid w:val="005544E5"/>
    <w:rsid w:val="00554F44"/>
    <w:rsid w:val="005551E2"/>
    <w:rsid w:val="00555488"/>
    <w:rsid w:val="005559E4"/>
    <w:rsid w:val="00557400"/>
    <w:rsid w:val="00560680"/>
    <w:rsid w:val="005616BE"/>
    <w:rsid w:val="0056541F"/>
    <w:rsid w:val="005667B4"/>
    <w:rsid w:val="00567370"/>
    <w:rsid w:val="00571306"/>
    <w:rsid w:val="00571D5D"/>
    <w:rsid w:val="00574CA8"/>
    <w:rsid w:val="00575196"/>
    <w:rsid w:val="005819FE"/>
    <w:rsid w:val="00581DA3"/>
    <w:rsid w:val="00581F7D"/>
    <w:rsid w:val="00582EE8"/>
    <w:rsid w:val="005838B1"/>
    <w:rsid w:val="0058394C"/>
    <w:rsid w:val="005845A5"/>
    <w:rsid w:val="00584BC6"/>
    <w:rsid w:val="00584F0F"/>
    <w:rsid w:val="0058694B"/>
    <w:rsid w:val="00587765"/>
    <w:rsid w:val="00590F01"/>
    <w:rsid w:val="00591AC9"/>
    <w:rsid w:val="005956D7"/>
    <w:rsid w:val="005958C6"/>
    <w:rsid w:val="00595A09"/>
    <w:rsid w:val="005A08F6"/>
    <w:rsid w:val="005A0AB9"/>
    <w:rsid w:val="005A2E86"/>
    <w:rsid w:val="005A3E36"/>
    <w:rsid w:val="005A63A6"/>
    <w:rsid w:val="005A65A1"/>
    <w:rsid w:val="005B0177"/>
    <w:rsid w:val="005B0815"/>
    <w:rsid w:val="005B1BFD"/>
    <w:rsid w:val="005B50AB"/>
    <w:rsid w:val="005B7644"/>
    <w:rsid w:val="005B7D69"/>
    <w:rsid w:val="005C0C36"/>
    <w:rsid w:val="005C1205"/>
    <w:rsid w:val="005C2FAB"/>
    <w:rsid w:val="005C5154"/>
    <w:rsid w:val="005C58D3"/>
    <w:rsid w:val="005C5F7B"/>
    <w:rsid w:val="005C64BD"/>
    <w:rsid w:val="005C7547"/>
    <w:rsid w:val="005C79EC"/>
    <w:rsid w:val="005D0A87"/>
    <w:rsid w:val="005D19DF"/>
    <w:rsid w:val="005D28D9"/>
    <w:rsid w:val="005D4A1F"/>
    <w:rsid w:val="005D55A3"/>
    <w:rsid w:val="005D77B6"/>
    <w:rsid w:val="005E0615"/>
    <w:rsid w:val="005E0E18"/>
    <w:rsid w:val="005E29AA"/>
    <w:rsid w:val="005E3F10"/>
    <w:rsid w:val="005E59E8"/>
    <w:rsid w:val="005E63BB"/>
    <w:rsid w:val="005E7B71"/>
    <w:rsid w:val="005F1F3F"/>
    <w:rsid w:val="005F21A4"/>
    <w:rsid w:val="005F2BC8"/>
    <w:rsid w:val="005F3118"/>
    <w:rsid w:val="005F342F"/>
    <w:rsid w:val="005F376F"/>
    <w:rsid w:val="005F3ACD"/>
    <w:rsid w:val="005F5895"/>
    <w:rsid w:val="005F70A5"/>
    <w:rsid w:val="006000B9"/>
    <w:rsid w:val="00600EF4"/>
    <w:rsid w:val="00601498"/>
    <w:rsid w:val="006068E3"/>
    <w:rsid w:val="00607403"/>
    <w:rsid w:val="00607E56"/>
    <w:rsid w:val="0061316E"/>
    <w:rsid w:val="00615489"/>
    <w:rsid w:val="006155CB"/>
    <w:rsid w:val="00615653"/>
    <w:rsid w:val="00615F1F"/>
    <w:rsid w:val="0061688E"/>
    <w:rsid w:val="00617C97"/>
    <w:rsid w:val="0062046F"/>
    <w:rsid w:val="00621B53"/>
    <w:rsid w:val="00622C88"/>
    <w:rsid w:val="00623C79"/>
    <w:rsid w:val="00625087"/>
    <w:rsid w:val="006313BE"/>
    <w:rsid w:val="00631F6C"/>
    <w:rsid w:val="00632781"/>
    <w:rsid w:val="00632900"/>
    <w:rsid w:val="006336F5"/>
    <w:rsid w:val="0063554F"/>
    <w:rsid w:val="0064030F"/>
    <w:rsid w:val="00640B56"/>
    <w:rsid w:val="0064118C"/>
    <w:rsid w:val="00641CE9"/>
    <w:rsid w:val="0064747C"/>
    <w:rsid w:val="00650A31"/>
    <w:rsid w:val="00651266"/>
    <w:rsid w:val="00651372"/>
    <w:rsid w:val="00651DD8"/>
    <w:rsid w:val="00652701"/>
    <w:rsid w:val="00653C64"/>
    <w:rsid w:val="00655C57"/>
    <w:rsid w:val="006564F3"/>
    <w:rsid w:val="006617E8"/>
    <w:rsid w:val="00663BB3"/>
    <w:rsid w:val="00663E0F"/>
    <w:rsid w:val="006640D6"/>
    <w:rsid w:val="006657A7"/>
    <w:rsid w:val="00666306"/>
    <w:rsid w:val="006673E4"/>
    <w:rsid w:val="00671A22"/>
    <w:rsid w:val="00672138"/>
    <w:rsid w:val="0067223A"/>
    <w:rsid w:val="00672A9F"/>
    <w:rsid w:val="00672D62"/>
    <w:rsid w:val="00673FB2"/>
    <w:rsid w:val="00675E5E"/>
    <w:rsid w:val="00676DBA"/>
    <w:rsid w:val="00677593"/>
    <w:rsid w:val="0068009A"/>
    <w:rsid w:val="006819CA"/>
    <w:rsid w:val="00681D0B"/>
    <w:rsid w:val="00682FE1"/>
    <w:rsid w:val="0068393C"/>
    <w:rsid w:val="00684733"/>
    <w:rsid w:val="00685BD6"/>
    <w:rsid w:val="0068633F"/>
    <w:rsid w:val="00691D4E"/>
    <w:rsid w:val="00693DFC"/>
    <w:rsid w:val="00694E0F"/>
    <w:rsid w:val="006956C9"/>
    <w:rsid w:val="006978F2"/>
    <w:rsid w:val="006A0B32"/>
    <w:rsid w:val="006A1101"/>
    <w:rsid w:val="006A1CB2"/>
    <w:rsid w:val="006A2C3F"/>
    <w:rsid w:val="006A382C"/>
    <w:rsid w:val="006A3A75"/>
    <w:rsid w:val="006A449F"/>
    <w:rsid w:val="006A55B6"/>
    <w:rsid w:val="006A56DE"/>
    <w:rsid w:val="006A6682"/>
    <w:rsid w:val="006B00C7"/>
    <w:rsid w:val="006B1C58"/>
    <w:rsid w:val="006B2290"/>
    <w:rsid w:val="006B2AC1"/>
    <w:rsid w:val="006B634C"/>
    <w:rsid w:val="006C20FF"/>
    <w:rsid w:val="006C256A"/>
    <w:rsid w:val="006C339A"/>
    <w:rsid w:val="006D13B9"/>
    <w:rsid w:val="006D1807"/>
    <w:rsid w:val="006D6954"/>
    <w:rsid w:val="006D765E"/>
    <w:rsid w:val="006E0B09"/>
    <w:rsid w:val="006E0EC8"/>
    <w:rsid w:val="006E1A9D"/>
    <w:rsid w:val="006E2164"/>
    <w:rsid w:val="006E3FAA"/>
    <w:rsid w:val="006F049B"/>
    <w:rsid w:val="006F179D"/>
    <w:rsid w:val="006F5905"/>
    <w:rsid w:val="0070001E"/>
    <w:rsid w:val="007031EF"/>
    <w:rsid w:val="00704D53"/>
    <w:rsid w:val="007053C4"/>
    <w:rsid w:val="00705CE6"/>
    <w:rsid w:val="007065AD"/>
    <w:rsid w:val="00706660"/>
    <w:rsid w:val="00707D68"/>
    <w:rsid w:val="007104FC"/>
    <w:rsid w:val="00710FA2"/>
    <w:rsid w:val="00711A1D"/>
    <w:rsid w:val="00714961"/>
    <w:rsid w:val="00715ECD"/>
    <w:rsid w:val="0072261F"/>
    <w:rsid w:val="00722900"/>
    <w:rsid w:val="007233D3"/>
    <w:rsid w:val="007239E0"/>
    <w:rsid w:val="007240C1"/>
    <w:rsid w:val="0072423C"/>
    <w:rsid w:val="007242B9"/>
    <w:rsid w:val="00725EDD"/>
    <w:rsid w:val="00726F2E"/>
    <w:rsid w:val="007309DC"/>
    <w:rsid w:val="00730FC1"/>
    <w:rsid w:val="00731C4D"/>
    <w:rsid w:val="00732A50"/>
    <w:rsid w:val="007366E9"/>
    <w:rsid w:val="00736980"/>
    <w:rsid w:val="0073744A"/>
    <w:rsid w:val="00737BCF"/>
    <w:rsid w:val="00741E8B"/>
    <w:rsid w:val="007437E8"/>
    <w:rsid w:val="00745A42"/>
    <w:rsid w:val="0074657E"/>
    <w:rsid w:val="00754A23"/>
    <w:rsid w:val="007613A3"/>
    <w:rsid w:val="0076184C"/>
    <w:rsid w:val="00761973"/>
    <w:rsid w:val="00765EA3"/>
    <w:rsid w:val="007670DA"/>
    <w:rsid w:val="00771557"/>
    <w:rsid w:val="00775790"/>
    <w:rsid w:val="007803D2"/>
    <w:rsid w:val="00785543"/>
    <w:rsid w:val="007856B2"/>
    <w:rsid w:val="007873F0"/>
    <w:rsid w:val="0078749A"/>
    <w:rsid w:val="0079464D"/>
    <w:rsid w:val="00794FB2"/>
    <w:rsid w:val="00795054"/>
    <w:rsid w:val="00797658"/>
    <w:rsid w:val="00797759"/>
    <w:rsid w:val="007A02AE"/>
    <w:rsid w:val="007A2064"/>
    <w:rsid w:val="007A76B2"/>
    <w:rsid w:val="007B31BA"/>
    <w:rsid w:val="007B4D16"/>
    <w:rsid w:val="007B5A81"/>
    <w:rsid w:val="007C0306"/>
    <w:rsid w:val="007C0646"/>
    <w:rsid w:val="007C1248"/>
    <w:rsid w:val="007C1D87"/>
    <w:rsid w:val="007C1FBF"/>
    <w:rsid w:val="007C28E0"/>
    <w:rsid w:val="007C2CA7"/>
    <w:rsid w:val="007C4151"/>
    <w:rsid w:val="007C4A32"/>
    <w:rsid w:val="007C614E"/>
    <w:rsid w:val="007C618F"/>
    <w:rsid w:val="007C6A68"/>
    <w:rsid w:val="007C6ECB"/>
    <w:rsid w:val="007C6F12"/>
    <w:rsid w:val="007D0631"/>
    <w:rsid w:val="007D1488"/>
    <w:rsid w:val="007D3C6F"/>
    <w:rsid w:val="007D5EA5"/>
    <w:rsid w:val="007D769E"/>
    <w:rsid w:val="007D7F35"/>
    <w:rsid w:val="007E0D57"/>
    <w:rsid w:val="007E1660"/>
    <w:rsid w:val="007E7E2D"/>
    <w:rsid w:val="007F0755"/>
    <w:rsid w:val="007F2B8C"/>
    <w:rsid w:val="007F2ECE"/>
    <w:rsid w:val="007F3CC1"/>
    <w:rsid w:val="007F7349"/>
    <w:rsid w:val="00800BC5"/>
    <w:rsid w:val="00801C5E"/>
    <w:rsid w:val="00802B2B"/>
    <w:rsid w:val="008035B8"/>
    <w:rsid w:val="0080506B"/>
    <w:rsid w:val="00805957"/>
    <w:rsid w:val="008075EA"/>
    <w:rsid w:val="008077E3"/>
    <w:rsid w:val="00807D95"/>
    <w:rsid w:val="00812310"/>
    <w:rsid w:val="008123C5"/>
    <w:rsid w:val="008124ED"/>
    <w:rsid w:val="00812602"/>
    <w:rsid w:val="008133BF"/>
    <w:rsid w:val="00813D1C"/>
    <w:rsid w:val="008143EE"/>
    <w:rsid w:val="00816238"/>
    <w:rsid w:val="0081672C"/>
    <w:rsid w:val="00821962"/>
    <w:rsid w:val="00821E24"/>
    <w:rsid w:val="008305EF"/>
    <w:rsid w:val="00832358"/>
    <w:rsid w:val="00833699"/>
    <w:rsid w:val="00836D97"/>
    <w:rsid w:val="00837D71"/>
    <w:rsid w:val="00840E0A"/>
    <w:rsid w:val="00842336"/>
    <w:rsid w:val="0084296B"/>
    <w:rsid w:val="008458D6"/>
    <w:rsid w:val="00845EA4"/>
    <w:rsid w:val="00846466"/>
    <w:rsid w:val="00846619"/>
    <w:rsid w:val="0085038C"/>
    <w:rsid w:val="0085223D"/>
    <w:rsid w:val="00852A72"/>
    <w:rsid w:val="00855527"/>
    <w:rsid w:val="00855A06"/>
    <w:rsid w:val="008566B3"/>
    <w:rsid w:val="0085737C"/>
    <w:rsid w:val="0085767C"/>
    <w:rsid w:val="008624FE"/>
    <w:rsid w:val="0086366E"/>
    <w:rsid w:val="0086474A"/>
    <w:rsid w:val="00864C23"/>
    <w:rsid w:val="00865008"/>
    <w:rsid w:val="008653E3"/>
    <w:rsid w:val="0086569B"/>
    <w:rsid w:val="00866881"/>
    <w:rsid w:val="008671C0"/>
    <w:rsid w:val="00867635"/>
    <w:rsid w:val="008726F3"/>
    <w:rsid w:val="00872814"/>
    <w:rsid w:val="00872E5E"/>
    <w:rsid w:val="008738B5"/>
    <w:rsid w:val="0087674C"/>
    <w:rsid w:val="008772D4"/>
    <w:rsid w:val="008776BB"/>
    <w:rsid w:val="008815D6"/>
    <w:rsid w:val="00881F64"/>
    <w:rsid w:val="00886CCC"/>
    <w:rsid w:val="0088729C"/>
    <w:rsid w:val="008879C8"/>
    <w:rsid w:val="00892762"/>
    <w:rsid w:val="00892DE3"/>
    <w:rsid w:val="00892FB1"/>
    <w:rsid w:val="008955DE"/>
    <w:rsid w:val="00895C10"/>
    <w:rsid w:val="00897991"/>
    <w:rsid w:val="008A3D19"/>
    <w:rsid w:val="008A5632"/>
    <w:rsid w:val="008A58EF"/>
    <w:rsid w:val="008A69D6"/>
    <w:rsid w:val="008B04D6"/>
    <w:rsid w:val="008B193A"/>
    <w:rsid w:val="008B2554"/>
    <w:rsid w:val="008B4CE1"/>
    <w:rsid w:val="008B55A0"/>
    <w:rsid w:val="008B6686"/>
    <w:rsid w:val="008B70CB"/>
    <w:rsid w:val="008C15C7"/>
    <w:rsid w:val="008C1CB9"/>
    <w:rsid w:val="008C3137"/>
    <w:rsid w:val="008C456D"/>
    <w:rsid w:val="008C5181"/>
    <w:rsid w:val="008C53C4"/>
    <w:rsid w:val="008C715D"/>
    <w:rsid w:val="008D133B"/>
    <w:rsid w:val="008D1D7E"/>
    <w:rsid w:val="008D293B"/>
    <w:rsid w:val="008D30C8"/>
    <w:rsid w:val="008D31AA"/>
    <w:rsid w:val="008D38DA"/>
    <w:rsid w:val="008D3C2A"/>
    <w:rsid w:val="008D42A1"/>
    <w:rsid w:val="008D4711"/>
    <w:rsid w:val="008E20B7"/>
    <w:rsid w:val="008E2785"/>
    <w:rsid w:val="008E49FF"/>
    <w:rsid w:val="008E64B4"/>
    <w:rsid w:val="008E66AD"/>
    <w:rsid w:val="008E6C77"/>
    <w:rsid w:val="008F03AB"/>
    <w:rsid w:val="008F2F59"/>
    <w:rsid w:val="008F4516"/>
    <w:rsid w:val="008F51DF"/>
    <w:rsid w:val="008F565A"/>
    <w:rsid w:val="008F6B57"/>
    <w:rsid w:val="0090156B"/>
    <w:rsid w:val="009025D0"/>
    <w:rsid w:val="00902BBC"/>
    <w:rsid w:val="00902DF2"/>
    <w:rsid w:val="0090437E"/>
    <w:rsid w:val="00904C56"/>
    <w:rsid w:val="00906976"/>
    <w:rsid w:val="00906BCE"/>
    <w:rsid w:val="009109BC"/>
    <w:rsid w:val="00910E03"/>
    <w:rsid w:val="00911425"/>
    <w:rsid w:val="00913617"/>
    <w:rsid w:val="00917A4D"/>
    <w:rsid w:val="00921CBA"/>
    <w:rsid w:val="00924282"/>
    <w:rsid w:val="00927093"/>
    <w:rsid w:val="009334EE"/>
    <w:rsid w:val="00933743"/>
    <w:rsid w:val="00933EF4"/>
    <w:rsid w:val="00934C1F"/>
    <w:rsid w:val="009377DB"/>
    <w:rsid w:val="00937F94"/>
    <w:rsid w:val="009404D5"/>
    <w:rsid w:val="00940735"/>
    <w:rsid w:val="00943B47"/>
    <w:rsid w:val="00943EDC"/>
    <w:rsid w:val="00946CB5"/>
    <w:rsid w:val="009478FB"/>
    <w:rsid w:val="009508CC"/>
    <w:rsid w:val="00953664"/>
    <w:rsid w:val="00955892"/>
    <w:rsid w:val="00960ACF"/>
    <w:rsid w:val="00960BB5"/>
    <w:rsid w:val="00963567"/>
    <w:rsid w:val="00966496"/>
    <w:rsid w:val="009664B1"/>
    <w:rsid w:val="009670B7"/>
    <w:rsid w:val="0097162F"/>
    <w:rsid w:val="00972211"/>
    <w:rsid w:val="00972556"/>
    <w:rsid w:val="00972BB1"/>
    <w:rsid w:val="00973F8C"/>
    <w:rsid w:val="00974545"/>
    <w:rsid w:val="00975A63"/>
    <w:rsid w:val="00976C2F"/>
    <w:rsid w:val="009818A9"/>
    <w:rsid w:val="00981E49"/>
    <w:rsid w:val="00982239"/>
    <w:rsid w:val="00982810"/>
    <w:rsid w:val="0098420D"/>
    <w:rsid w:val="009853D4"/>
    <w:rsid w:val="00985F22"/>
    <w:rsid w:val="00986E4A"/>
    <w:rsid w:val="009941E5"/>
    <w:rsid w:val="00996124"/>
    <w:rsid w:val="00996973"/>
    <w:rsid w:val="009A10CB"/>
    <w:rsid w:val="009A1F4E"/>
    <w:rsid w:val="009A2997"/>
    <w:rsid w:val="009A2CCC"/>
    <w:rsid w:val="009A6C62"/>
    <w:rsid w:val="009B1686"/>
    <w:rsid w:val="009B1BC4"/>
    <w:rsid w:val="009B5CE3"/>
    <w:rsid w:val="009B5FAE"/>
    <w:rsid w:val="009C075B"/>
    <w:rsid w:val="009C7978"/>
    <w:rsid w:val="009D0B88"/>
    <w:rsid w:val="009D2FCF"/>
    <w:rsid w:val="009D358B"/>
    <w:rsid w:val="009D4514"/>
    <w:rsid w:val="009D5514"/>
    <w:rsid w:val="009D7F10"/>
    <w:rsid w:val="009E1544"/>
    <w:rsid w:val="009E30EC"/>
    <w:rsid w:val="009E4829"/>
    <w:rsid w:val="009E4BD1"/>
    <w:rsid w:val="009E7162"/>
    <w:rsid w:val="009E7AAD"/>
    <w:rsid w:val="009F0B75"/>
    <w:rsid w:val="009F3473"/>
    <w:rsid w:val="009F376A"/>
    <w:rsid w:val="009F3992"/>
    <w:rsid w:val="009F5D28"/>
    <w:rsid w:val="009F6651"/>
    <w:rsid w:val="009F6E9F"/>
    <w:rsid w:val="009F7652"/>
    <w:rsid w:val="00A012B5"/>
    <w:rsid w:val="00A018C0"/>
    <w:rsid w:val="00A04D3A"/>
    <w:rsid w:val="00A05C7D"/>
    <w:rsid w:val="00A1354C"/>
    <w:rsid w:val="00A1641D"/>
    <w:rsid w:val="00A1720E"/>
    <w:rsid w:val="00A22077"/>
    <w:rsid w:val="00A22B6C"/>
    <w:rsid w:val="00A23C43"/>
    <w:rsid w:val="00A24D46"/>
    <w:rsid w:val="00A25141"/>
    <w:rsid w:val="00A25650"/>
    <w:rsid w:val="00A25B66"/>
    <w:rsid w:val="00A26488"/>
    <w:rsid w:val="00A27AC7"/>
    <w:rsid w:val="00A27FC4"/>
    <w:rsid w:val="00A305D9"/>
    <w:rsid w:val="00A3153C"/>
    <w:rsid w:val="00A3317C"/>
    <w:rsid w:val="00A35E48"/>
    <w:rsid w:val="00A36625"/>
    <w:rsid w:val="00A369F4"/>
    <w:rsid w:val="00A4299F"/>
    <w:rsid w:val="00A4303C"/>
    <w:rsid w:val="00A43E50"/>
    <w:rsid w:val="00A43EA2"/>
    <w:rsid w:val="00A4575F"/>
    <w:rsid w:val="00A45F1C"/>
    <w:rsid w:val="00A4753B"/>
    <w:rsid w:val="00A47B53"/>
    <w:rsid w:val="00A50CC7"/>
    <w:rsid w:val="00A5126F"/>
    <w:rsid w:val="00A51F73"/>
    <w:rsid w:val="00A5253D"/>
    <w:rsid w:val="00A5311B"/>
    <w:rsid w:val="00A53429"/>
    <w:rsid w:val="00A54CFC"/>
    <w:rsid w:val="00A56D80"/>
    <w:rsid w:val="00A60E82"/>
    <w:rsid w:val="00A62904"/>
    <w:rsid w:val="00A63788"/>
    <w:rsid w:val="00A64D5F"/>
    <w:rsid w:val="00A7079B"/>
    <w:rsid w:val="00A70E9D"/>
    <w:rsid w:val="00A732F2"/>
    <w:rsid w:val="00A7363A"/>
    <w:rsid w:val="00A73967"/>
    <w:rsid w:val="00A74067"/>
    <w:rsid w:val="00A76973"/>
    <w:rsid w:val="00A819EC"/>
    <w:rsid w:val="00A82862"/>
    <w:rsid w:val="00A82C0E"/>
    <w:rsid w:val="00A83DBB"/>
    <w:rsid w:val="00A85323"/>
    <w:rsid w:val="00A85BDF"/>
    <w:rsid w:val="00A8649F"/>
    <w:rsid w:val="00A90687"/>
    <w:rsid w:val="00A90917"/>
    <w:rsid w:val="00A91BE6"/>
    <w:rsid w:val="00A93C80"/>
    <w:rsid w:val="00AA0A60"/>
    <w:rsid w:val="00AA17F2"/>
    <w:rsid w:val="00AA26DE"/>
    <w:rsid w:val="00AA2C4D"/>
    <w:rsid w:val="00AA339B"/>
    <w:rsid w:val="00AA4178"/>
    <w:rsid w:val="00AA5A62"/>
    <w:rsid w:val="00AA6A18"/>
    <w:rsid w:val="00AA6A51"/>
    <w:rsid w:val="00AA7468"/>
    <w:rsid w:val="00AA7E95"/>
    <w:rsid w:val="00AB0B6A"/>
    <w:rsid w:val="00AB12CA"/>
    <w:rsid w:val="00AB18E5"/>
    <w:rsid w:val="00AB2B18"/>
    <w:rsid w:val="00AB2FA2"/>
    <w:rsid w:val="00AC2BC7"/>
    <w:rsid w:val="00AC49F5"/>
    <w:rsid w:val="00AC4DC3"/>
    <w:rsid w:val="00AC5875"/>
    <w:rsid w:val="00AC723F"/>
    <w:rsid w:val="00AC7D5D"/>
    <w:rsid w:val="00AD1803"/>
    <w:rsid w:val="00AD2082"/>
    <w:rsid w:val="00AD3373"/>
    <w:rsid w:val="00AD4B39"/>
    <w:rsid w:val="00AD4F2C"/>
    <w:rsid w:val="00AD4F4C"/>
    <w:rsid w:val="00AD52C0"/>
    <w:rsid w:val="00AD59D9"/>
    <w:rsid w:val="00AD5C7D"/>
    <w:rsid w:val="00AE0100"/>
    <w:rsid w:val="00AE0873"/>
    <w:rsid w:val="00AE3335"/>
    <w:rsid w:val="00AE3BD4"/>
    <w:rsid w:val="00AE48CB"/>
    <w:rsid w:val="00AE4901"/>
    <w:rsid w:val="00AE5528"/>
    <w:rsid w:val="00AE579D"/>
    <w:rsid w:val="00AF1133"/>
    <w:rsid w:val="00AF1E16"/>
    <w:rsid w:val="00AF27C3"/>
    <w:rsid w:val="00AF29ED"/>
    <w:rsid w:val="00AF390D"/>
    <w:rsid w:val="00AF3F85"/>
    <w:rsid w:val="00AF405C"/>
    <w:rsid w:val="00AF567C"/>
    <w:rsid w:val="00AF7120"/>
    <w:rsid w:val="00AF763D"/>
    <w:rsid w:val="00B00746"/>
    <w:rsid w:val="00B02116"/>
    <w:rsid w:val="00B03583"/>
    <w:rsid w:val="00B0725E"/>
    <w:rsid w:val="00B11C49"/>
    <w:rsid w:val="00B12ED1"/>
    <w:rsid w:val="00B1372E"/>
    <w:rsid w:val="00B17038"/>
    <w:rsid w:val="00B17ACC"/>
    <w:rsid w:val="00B17BDC"/>
    <w:rsid w:val="00B20B23"/>
    <w:rsid w:val="00B23A1B"/>
    <w:rsid w:val="00B2414A"/>
    <w:rsid w:val="00B2524A"/>
    <w:rsid w:val="00B2788E"/>
    <w:rsid w:val="00B315E3"/>
    <w:rsid w:val="00B31E95"/>
    <w:rsid w:val="00B34DC9"/>
    <w:rsid w:val="00B40AF2"/>
    <w:rsid w:val="00B4108E"/>
    <w:rsid w:val="00B4219A"/>
    <w:rsid w:val="00B43E5B"/>
    <w:rsid w:val="00B459E4"/>
    <w:rsid w:val="00B45D67"/>
    <w:rsid w:val="00B46D78"/>
    <w:rsid w:val="00B47DE9"/>
    <w:rsid w:val="00B504EC"/>
    <w:rsid w:val="00B515E2"/>
    <w:rsid w:val="00B51C81"/>
    <w:rsid w:val="00B5208C"/>
    <w:rsid w:val="00B5433B"/>
    <w:rsid w:val="00B54A5B"/>
    <w:rsid w:val="00B55443"/>
    <w:rsid w:val="00B56518"/>
    <w:rsid w:val="00B56DBB"/>
    <w:rsid w:val="00B60825"/>
    <w:rsid w:val="00B6165B"/>
    <w:rsid w:val="00B61894"/>
    <w:rsid w:val="00B61F6C"/>
    <w:rsid w:val="00B62187"/>
    <w:rsid w:val="00B6326F"/>
    <w:rsid w:val="00B63CB1"/>
    <w:rsid w:val="00B63F99"/>
    <w:rsid w:val="00B645D1"/>
    <w:rsid w:val="00B6466B"/>
    <w:rsid w:val="00B74922"/>
    <w:rsid w:val="00B74BAB"/>
    <w:rsid w:val="00B77B3B"/>
    <w:rsid w:val="00B8528A"/>
    <w:rsid w:val="00B85984"/>
    <w:rsid w:val="00B8790F"/>
    <w:rsid w:val="00B879F3"/>
    <w:rsid w:val="00B904AE"/>
    <w:rsid w:val="00B91E1A"/>
    <w:rsid w:val="00B962F1"/>
    <w:rsid w:val="00B96A91"/>
    <w:rsid w:val="00B9780D"/>
    <w:rsid w:val="00BA1A01"/>
    <w:rsid w:val="00BA2477"/>
    <w:rsid w:val="00BA3E74"/>
    <w:rsid w:val="00BA4B26"/>
    <w:rsid w:val="00BA554A"/>
    <w:rsid w:val="00BB024C"/>
    <w:rsid w:val="00BB0576"/>
    <w:rsid w:val="00BB0875"/>
    <w:rsid w:val="00BB3084"/>
    <w:rsid w:val="00BB360D"/>
    <w:rsid w:val="00BB5A5C"/>
    <w:rsid w:val="00BC0DC1"/>
    <w:rsid w:val="00BC439F"/>
    <w:rsid w:val="00BD0F4A"/>
    <w:rsid w:val="00BD10B8"/>
    <w:rsid w:val="00BD28CE"/>
    <w:rsid w:val="00BD33DA"/>
    <w:rsid w:val="00BD3629"/>
    <w:rsid w:val="00BD3814"/>
    <w:rsid w:val="00BD417E"/>
    <w:rsid w:val="00BE0857"/>
    <w:rsid w:val="00BE1489"/>
    <w:rsid w:val="00BE15CE"/>
    <w:rsid w:val="00BE2E12"/>
    <w:rsid w:val="00BE3255"/>
    <w:rsid w:val="00BE3F0F"/>
    <w:rsid w:val="00BE4AF0"/>
    <w:rsid w:val="00BE6E77"/>
    <w:rsid w:val="00BE7002"/>
    <w:rsid w:val="00BF13E3"/>
    <w:rsid w:val="00BF23F0"/>
    <w:rsid w:val="00BF5F9C"/>
    <w:rsid w:val="00BF6102"/>
    <w:rsid w:val="00BF6145"/>
    <w:rsid w:val="00C02BED"/>
    <w:rsid w:val="00C03001"/>
    <w:rsid w:val="00C0319A"/>
    <w:rsid w:val="00C037FE"/>
    <w:rsid w:val="00C04F78"/>
    <w:rsid w:val="00C0504C"/>
    <w:rsid w:val="00C05F52"/>
    <w:rsid w:val="00C1562B"/>
    <w:rsid w:val="00C16736"/>
    <w:rsid w:val="00C17CD7"/>
    <w:rsid w:val="00C20904"/>
    <w:rsid w:val="00C223B4"/>
    <w:rsid w:val="00C22CC5"/>
    <w:rsid w:val="00C22FE4"/>
    <w:rsid w:val="00C236CC"/>
    <w:rsid w:val="00C2423E"/>
    <w:rsid w:val="00C2470C"/>
    <w:rsid w:val="00C262FD"/>
    <w:rsid w:val="00C2722A"/>
    <w:rsid w:val="00C27CE7"/>
    <w:rsid w:val="00C346CB"/>
    <w:rsid w:val="00C3615E"/>
    <w:rsid w:val="00C402F9"/>
    <w:rsid w:val="00C4167D"/>
    <w:rsid w:val="00C41A1C"/>
    <w:rsid w:val="00C4267B"/>
    <w:rsid w:val="00C43225"/>
    <w:rsid w:val="00C43370"/>
    <w:rsid w:val="00C446D6"/>
    <w:rsid w:val="00C44BE4"/>
    <w:rsid w:val="00C44C37"/>
    <w:rsid w:val="00C46FF0"/>
    <w:rsid w:val="00C50283"/>
    <w:rsid w:val="00C51129"/>
    <w:rsid w:val="00C52B21"/>
    <w:rsid w:val="00C5348F"/>
    <w:rsid w:val="00C53BEE"/>
    <w:rsid w:val="00C54F38"/>
    <w:rsid w:val="00C556F0"/>
    <w:rsid w:val="00C56B46"/>
    <w:rsid w:val="00C65E67"/>
    <w:rsid w:val="00C66E17"/>
    <w:rsid w:val="00C67D02"/>
    <w:rsid w:val="00C7077F"/>
    <w:rsid w:val="00C70B4A"/>
    <w:rsid w:val="00C70BED"/>
    <w:rsid w:val="00C70F34"/>
    <w:rsid w:val="00C74149"/>
    <w:rsid w:val="00C74AE4"/>
    <w:rsid w:val="00C76EC4"/>
    <w:rsid w:val="00C77F91"/>
    <w:rsid w:val="00C82F94"/>
    <w:rsid w:val="00C837CF"/>
    <w:rsid w:val="00C84480"/>
    <w:rsid w:val="00C84D21"/>
    <w:rsid w:val="00C9250A"/>
    <w:rsid w:val="00C93A52"/>
    <w:rsid w:val="00C968BA"/>
    <w:rsid w:val="00C97192"/>
    <w:rsid w:val="00C97420"/>
    <w:rsid w:val="00C97642"/>
    <w:rsid w:val="00CA139B"/>
    <w:rsid w:val="00CA2A35"/>
    <w:rsid w:val="00CA2B89"/>
    <w:rsid w:val="00CA346A"/>
    <w:rsid w:val="00CB10F0"/>
    <w:rsid w:val="00CB3239"/>
    <w:rsid w:val="00CB38B1"/>
    <w:rsid w:val="00CB5573"/>
    <w:rsid w:val="00CB796F"/>
    <w:rsid w:val="00CC228D"/>
    <w:rsid w:val="00CC22A2"/>
    <w:rsid w:val="00CC2C4F"/>
    <w:rsid w:val="00CC30BE"/>
    <w:rsid w:val="00CC4B83"/>
    <w:rsid w:val="00CD0461"/>
    <w:rsid w:val="00CD7CFC"/>
    <w:rsid w:val="00CD7EC8"/>
    <w:rsid w:val="00CE2EBF"/>
    <w:rsid w:val="00CE3B6B"/>
    <w:rsid w:val="00CE4428"/>
    <w:rsid w:val="00CE45DE"/>
    <w:rsid w:val="00CE493A"/>
    <w:rsid w:val="00CE5396"/>
    <w:rsid w:val="00CE6E6C"/>
    <w:rsid w:val="00CF1375"/>
    <w:rsid w:val="00CF1C75"/>
    <w:rsid w:val="00CF28CB"/>
    <w:rsid w:val="00CF2B39"/>
    <w:rsid w:val="00CF7AD0"/>
    <w:rsid w:val="00D0476C"/>
    <w:rsid w:val="00D054E9"/>
    <w:rsid w:val="00D05671"/>
    <w:rsid w:val="00D0632B"/>
    <w:rsid w:val="00D107C4"/>
    <w:rsid w:val="00D10DDB"/>
    <w:rsid w:val="00D121E2"/>
    <w:rsid w:val="00D12C5E"/>
    <w:rsid w:val="00D13325"/>
    <w:rsid w:val="00D14E1D"/>
    <w:rsid w:val="00D162BA"/>
    <w:rsid w:val="00D17E2E"/>
    <w:rsid w:val="00D17EBE"/>
    <w:rsid w:val="00D20011"/>
    <w:rsid w:val="00D2180D"/>
    <w:rsid w:val="00D22B7A"/>
    <w:rsid w:val="00D23627"/>
    <w:rsid w:val="00D24019"/>
    <w:rsid w:val="00D265BE"/>
    <w:rsid w:val="00D3160B"/>
    <w:rsid w:val="00D31807"/>
    <w:rsid w:val="00D3220D"/>
    <w:rsid w:val="00D3344F"/>
    <w:rsid w:val="00D34B7D"/>
    <w:rsid w:val="00D35D4B"/>
    <w:rsid w:val="00D360B6"/>
    <w:rsid w:val="00D362CB"/>
    <w:rsid w:val="00D3725B"/>
    <w:rsid w:val="00D37C94"/>
    <w:rsid w:val="00D43460"/>
    <w:rsid w:val="00D44046"/>
    <w:rsid w:val="00D458D1"/>
    <w:rsid w:val="00D46352"/>
    <w:rsid w:val="00D50051"/>
    <w:rsid w:val="00D51D1F"/>
    <w:rsid w:val="00D532C7"/>
    <w:rsid w:val="00D61356"/>
    <w:rsid w:val="00D6200A"/>
    <w:rsid w:val="00D639F1"/>
    <w:rsid w:val="00D640D5"/>
    <w:rsid w:val="00D666A2"/>
    <w:rsid w:val="00D674DE"/>
    <w:rsid w:val="00D67720"/>
    <w:rsid w:val="00D70A24"/>
    <w:rsid w:val="00D71DF2"/>
    <w:rsid w:val="00D735B2"/>
    <w:rsid w:val="00D73735"/>
    <w:rsid w:val="00D75C0C"/>
    <w:rsid w:val="00D814BE"/>
    <w:rsid w:val="00D82F98"/>
    <w:rsid w:val="00D83282"/>
    <w:rsid w:val="00D8478D"/>
    <w:rsid w:val="00D90554"/>
    <w:rsid w:val="00D9055D"/>
    <w:rsid w:val="00D927A6"/>
    <w:rsid w:val="00D946D5"/>
    <w:rsid w:val="00D95FE4"/>
    <w:rsid w:val="00D96758"/>
    <w:rsid w:val="00DA0828"/>
    <w:rsid w:val="00DA13A0"/>
    <w:rsid w:val="00DA14A6"/>
    <w:rsid w:val="00DA1C48"/>
    <w:rsid w:val="00DA1FD9"/>
    <w:rsid w:val="00DA3732"/>
    <w:rsid w:val="00DA41D4"/>
    <w:rsid w:val="00DA4F02"/>
    <w:rsid w:val="00DB2BCF"/>
    <w:rsid w:val="00DB5D28"/>
    <w:rsid w:val="00DB5DCB"/>
    <w:rsid w:val="00DC0C7D"/>
    <w:rsid w:val="00DC1260"/>
    <w:rsid w:val="00DC1B06"/>
    <w:rsid w:val="00DC1B28"/>
    <w:rsid w:val="00DC2627"/>
    <w:rsid w:val="00DC298E"/>
    <w:rsid w:val="00DC42CC"/>
    <w:rsid w:val="00DC6AC6"/>
    <w:rsid w:val="00DC7216"/>
    <w:rsid w:val="00DD1856"/>
    <w:rsid w:val="00DD4277"/>
    <w:rsid w:val="00DD6D04"/>
    <w:rsid w:val="00DE1FE5"/>
    <w:rsid w:val="00DE302B"/>
    <w:rsid w:val="00DE34DC"/>
    <w:rsid w:val="00DE3D14"/>
    <w:rsid w:val="00DE55BF"/>
    <w:rsid w:val="00DF13DA"/>
    <w:rsid w:val="00DF2DCB"/>
    <w:rsid w:val="00DF5A21"/>
    <w:rsid w:val="00DF649C"/>
    <w:rsid w:val="00DF650A"/>
    <w:rsid w:val="00DF7115"/>
    <w:rsid w:val="00E02836"/>
    <w:rsid w:val="00E02ED2"/>
    <w:rsid w:val="00E03FF5"/>
    <w:rsid w:val="00E06843"/>
    <w:rsid w:val="00E07315"/>
    <w:rsid w:val="00E1050E"/>
    <w:rsid w:val="00E11072"/>
    <w:rsid w:val="00E12F3B"/>
    <w:rsid w:val="00E140A9"/>
    <w:rsid w:val="00E17D95"/>
    <w:rsid w:val="00E2037C"/>
    <w:rsid w:val="00E212DF"/>
    <w:rsid w:val="00E21DAB"/>
    <w:rsid w:val="00E234C0"/>
    <w:rsid w:val="00E24081"/>
    <w:rsid w:val="00E241D9"/>
    <w:rsid w:val="00E244C2"/>
    <w:rsid w:val="00E24B40"/>
    <w:rsid w:val="00E24F47"/>
    <w:rsid w:val="00E25545"/>
    <w:rsid w:val="00E25B58"/>
    <w:rsid w:val="00E26F25"/>
    <w:rsid w:val="00E2719C"/>
    <w:rsid w:val="00E3008B"/>
    <w:rsid w:val="00E30999"/>
    <w:rsid w:val="00E35337"/>
    <w:rsid w:val="00E35D60"/>
    <w:rsid w:val="00E37C45"/>
    <w:rsid w:val="00E40170"/>
    <w:rsid w:val="00E408F1"/>
    <w:rsid w:val="00E4424A"/>
    <w:rsid w:val="00E45338"/>
    <w:rsid w:val="00E4563B"/>
    <w:rsid w:val="00E45A0E"/>
    <w:rsid w:val="00E46042"/>
    <w:rsid w:val="00E47589"/>
    <w:rsid w:val="00E50620"/>
    <w:rsid w:val="00E51716"/>
    <w:rsid w:val="00E52103"/>
    <w:rsid w:val="00E52935"/>
    <w:rsid w:val="00E53724"/>
    <w:rsid w:val="00E5373E"/>
    <w:rsid w:val="00E55C2E"/>
    <w:rsid w:val="00E56A4A"/>
    <w:rsid w:val="00E61057"/>
    <w:rsid w:val="00E61CCB"/>
    <w:rsid w:val="00E6238C"/>
    <w:rsid w:val="00E65A31"/>
    <w:rsid w:val="00E65D20"/>
    <w:rsid w:val="00E709AB"/>
    <w:rsid w:val="00E71E14"/>
    <w:rsid w:val="00E741F0"/>
    <w:rsid w:val="00E74D08"/>
    <w:rsid w:val="00E75D5C"/>
    <w:rsid w:val="00E7761D"/>
    <w:rsid w:val="00E81762"/>
    <w:rsid w:val="00E82163"/>
    <w:rsid w:val="00E8245A"/>
    <w:rsid w:val="00E84763"/>
    <w:rsid w:val="00E916C3"/>
    <w:rsid w:val="00E93CEB"/>
    <w:rsid w:val="00E9536B"/>
    <w:rsid w:val="00E970D8"/>
    <w:rsid w:val="00EA099C"/>
    <w:rsid w:val="00EA1004"/>
    <w:rsid w:val="00EA1877"/>
    <w:rsid w:val="00EA32F7"/>
    <w:rsid w:val="00EA3FE2"/>
    <w:rsid w:val="00EA7986"/>
    <w:rsid w:val="00EB18F8"/>
    <w:rsid w:val="00EB208B"/>
    <w:rsid w:val="00EB250C"/>
    <w:rsid w:val="00EB4B13"/>
    <w:rsid w:val="00EB6333"/>
    <w:rsid w:val="00EB66B6"/>
    <w:rsid w:val="00EB6D4C"/>
    <w:rsid w:val="00EB7CDC"/>
    <w:rsid w:val="00EC0437"/>
    <w:rsid w:val="00EC1382"/>
    <w:rsid w:val="00EC1F76"/>
    <w:rsid w:val="00EC2AE3"/>
    <w:rsid w:val="00EC3FBA"/>
    <w:rsid w:val="00EC44F8"/>
    <w:rsid w:val="00EC58D0"/>
    <w:rsid w:val="00EC5908"/>
    <w:rsid w:val="00EC6033"/>
    <w:rsid w:val="00ED0DE1"/>
    <w:rsid w:val="00ED38B4"/>
    <w:rsid w:val="00ED3A75"/>
    <w:rsid w:val="00ED66F6"/>
    <w:rsid w:val="00ED7EF7"/>
    <w:rsid w:val="00EE0D00"/>
    <w:rsid w:val="00EE2DD6"/>
    <w:rsid w:val="00EE4D8B"/>
    <w:rsid w:val="00EF0345"/>
    <w:rsid w:val="00EF4040"/>
    <w:rsid w:val="00EF5C4A"/>
    <w:rsid w:val="00EF66B3"/>
    <w:rsid w:val="00EF6DA3"/>
    <w:rsid w:val="00EF7621"/>
    <w:rsid w:val="00EF7DC4"/>
    <w:rsid w:val="00F01D53"/>
    <w:rsid w:val="00F01E57"/>
    <w:rsid w:val="00F02767"/>
    <w:rsid w:val="00F03483"/>
    <w:rsid w:val="00F03921"/>
    <w:rsid w:val="00F058C6"/>
    <w:rsid w:val="00F10A45"/>
    <w:rsid w:val="00F11A29"/>
    <w:rsid w:val="00F12307"/>
    <w:rsid w:val="00F1283A"/>
    <w:rsid w:val="00F12BDE"/>
    <w:rsid w:val="00F17698"/>
    <w:rsid w:val="00F17FAB"/>
    <w:rsid w:val="00F20B43"/>
    <w:rsid w:val="00F217AA"/>
    <w:rsid w:val="00F225E1"/>
    <w:rsid w:val="00F239EF"/>
    <w:rsid w:val="00F24247"/>
    <w:rsid w:val="00F250DD"/>
    <w:rsid w:val="00F27598"/>
    <w:rsid w:val="00F31E11"/>
    <w:rsid w:val="00F3209F"/>
    <w:rsid w:val="00F32C2B"/>
    <w:rsid w:val="00F33EA0"/>
    <w:rsid w:val="00F344D5"/>
    <w:rsid w:val="00F35F89"/>
    <w:rsid w:val="00F42640"/>
    <w:rsid w:val="00F435F9"/>
    <w:rsid w:val="00F43D0E"/>
    <w:rsid w:val="00F467DD"/>
    <w:rsid w:val="00F46C98"/>
    <w:rsid w:val="00F50EF6"/>
    <w:rsid w:val="00F51539"/>
    <w:rsid w:val="00F52F11"/>
    <w:rsid w:val="00F53B81"/>
    <w:rsid w:val="00F53C7D"/>
    <w:rsid w:val="00F54622"/>
    <w:rsid w:val="00F54F2F"/>
    <w:rsid w:val="00F55316"/>
    <w:rsid w:val="00F60438"/>
    <w:rsid w:val="00F61041"/>
    <w:rsid w:val="00F64698"/>
    <w:rsid w:val="00F6697C"/>
    <w:rsid w:val="00F73EDB"/>
    <w:rsid w:val="00F743E9"/>
    <w:rsid w:val="00F7517D"/>
    <w:rsid w:val="00F75305"/>
    <w:rsid w:val="00F8358F"/>
    <w:rsid w:val="00F83C68"/>
    <w:rsid w:val="00F8429E"/>
    <w:rsid w:val="00F8534E"/>
    <w:rsid w:val="00F857B7"/>
    <w:rsid w:val="00F86E0F"/>
    <w:rsid w:val="00F8702F"/>
    <w:rsid w:val="00F87BEF"/>
    <w:rsid w:val="00F922B0"/>
    <w:rsid w:val="00F92A9A"/>
    <w:rsid w:val="00F94CA1"/>
    <w:rsid w:val="00F9553C"/>
    <w:rsid w:val="00F96B13"/>
    <w:rsid w:val="00F97135"/>
    <w:rsid w:val="00F97BDF"/>
    <w:rsid w:val="00FA21F5"/>
    <w:rsid w:val="00FA2DDE"/>
    <w:rsid w:val="00FA37D0"/>
    <w:rsid w:val="00FA4FCE"/>
    <w:rsid w:val="00FB07B7"/>
    <w:rsid w:val="00FB167E"/>
    <w:rsid w:val="00FB1CF9"/>
    <w:rsid w:val="00FB33BC"/>
    <w:rsid w:val="00FB3B5E"/>
    <w:rsid w:val="00FB5F72"/>
    <w:rsid w:val="00FB6A6F"/>
    <w:rsid w:val="00FC0C8D"/>
    <w:rsid w:val="00FC13C8"/>
    <w:rsid w:val="00FC3332"/>
    <w:rsid w:val="00FC3B53"/>
    <w:rsid w:val="00FC45F3"/>
    <w:rsid w:val="00FC5360"/>
    <w:rsid w:val="00FC5EE3"/>
    <w:rsid w:val="00FC74B0"/>
    <w:rsid w:val="00FD13E0"/>
    <w:rsid w:val="00FD1A20"/>
    <w:rsid w:val="00FD3D62"/>
    <w:rsid w:val="00FD4802"/>
    <w:rsid w:val="00FE1756"/>
    <w:rsid w:val="00FE2067"/>
    <w:rsid w:val="00FE4617"/>
    <w:rsid w:val="00FE47F0"/>
    <w:rsid w:val="00FE5612"/>
    <w:rsid w:val="00FE637D"/>
    <w:rsid w:val="00FE678C"/>
    <w:rsid w:val="00FE6B6E"/>
    <w:rsid w:val="00FF0CDB"/>
    <w:rsid w:val="00FF1870"/>
    <w:rsid w:val="00FF33CE"/>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640</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kraket</dc:creator>
  <cp:lastModifiedBy>Lewis Eleanor</cp:lastModifiedBy>
  <cp:revision>3</cp:revision>
  <cp:lastPrinted>2015-09-24T02:01:00Z</cp:lastPrinted>
  <dcterms:created xsi:type="dcterms:W3CDTF">2015-12-01T02:53:00Z</dcterms:created>
  <dcterms:modified xsi:type="dcterms:W3CDTF">2015-12-01T02:56:00Z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