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7B" w:rsidRDefault="008B377B">
      <w:pPr>
        <w:pStyle w:val="Title"/>
        <w:rPr>
          <w:rFonts w:ascii="Times New Roman" w:hAnsi="Times New Roman"/>
          <w:sz w:val="24"/>
        </w:rPr>
      </w:pPr>
      <w:bookmarkStart w:id="0" w:name="_GoBack"/>
      <w:bookmarkEnd w:id="0"/>
    </w:p>
    <w:p w:rsidR="008B377B" w:rsidRPr="0093146C" w:rsidRDefault="008B377B">
      <w:pPr>
        <w:pStyle w:val="Title"/>
        <w:rPr>
          <w:rFonts w:ascii="Times New Roman" w:hAnsi="Times New Roman"/>
          <w:b w:val="0"/>
          <w:sz w:val="24"/>
          <w:u w:val="single"/>
        </w:rPr>
      </w:pPr>
      <w:r w:rsidRPr="0093146C">
        <w:rPr>
          <w:rFonts w:ascii="Times New Roman" w:hAnsi="Times New Roman"/>
          <w:b w:val="0"/>
          <w:sz w:val="24"/>
          <w:u w:val="single"/>
        </w:rPr>
        <w:t>EXPLANATORY STATEMENT</w:t>
      </w:r>
    </w:p>
    <w:p w:rsidR="008B377B" w:rsidRDefault="008B377B">
      <w:pPr>
        <w:jc w:val="center"/>
      </w:pPr>
    </w:p>
    <w:p w:rsidR="008B377B" w:rsidRDefault="008B377B">
      <w:pPr>
        <w:jc w:val="center"/>
        <w:rPr>
          <w:u w:val="single"/>
        </w:rPr>
      </w:pPr>
      <w:r>
        <w:rPr>
          <w:u w:val="single"/>
        </w:rPr>
        <w:t>Issued by the authority of the Minister for Agriculture</w:t>
      </w:r>
      <w:r w:rsidR="00867BF2">
        <w:rPr>
          <w:u w:val="single"/>
        </w:rPr>
        <w:t xml:space="preserve"> and Water Resources</w:t>
      </w:r>
    </w:p>
    <w:p w:rsidR="008B377B" w:rsidRDefault="008B377B">
      <w:pPr>
        <w:jc w:val="center"/>
        <w:rPr>
          <w:i/>
        </w:rPr>
      </w:pPr>
    </w:p>
    <w:p w:rsidR="008B377B" w:rsidRDefault="008B377B">
      <w:pPr>
        <w:jc w:val="center"/>
        <w:rPr>
          <w:i/>
        </w:rPr>
      </w:pPr>
      <w:r>
        <w:rPr>
          <w:i/>
        </w:rPr>
        <w:t>Quarantine Act 1908</w:t>
      </w:r>
    </w:p>
    <w:p w:rsidR="008B377B" w:rsidRDefault="008B377B">
      <w:pPr>
        <w:jc w:val="center"/>
      </w:pPr>
    </w:p>
    <w:p w:rsidR="008B377B" w:rsidRDefault="008B377B">
      <w:pPr>
        <w:jc w:val="center"/>
        <w:rPr>
          <w:i/>
        </w:rPr>
      </w:pPr>
      <w:r>
        <w:rPr>
          <w:i/>
        </w:rPr>
        <w:t xml:space="preserve">Quarantine Service Fees (Australia Post) </w:t>
      </w:r>
      <w:r w:rsidR="006446A7">
        <w:rPr>
          <w:i/>
        </w:rPr>
        <w:t>Amendment (</w:t>
      </w:r>
      <w:r w:rsidR="00C71870">
        <w:rPr>
          <w:i/>
        </w:rPr>
        <w:t>Cost Recovery</w:t>
      </w:r>
      <w:r w:rsidR="006446A7">
        <w:rPr>
          <w:i/>
        </w:rPr>
        <w:t xml:space="preserve">) </w:t>
      </w:r>
      <w:r>
        <w:rPr>
          <w:i/>
        </w:rPr>
        <w:t>Determination 2015</w:t>
      </w:r>
    </w:p>
    <w:p w:rsidR="008B377B" w:rsidRDefault="008B377B"/>
    <w:p w:rsidR="008B377B" w:rsidRDefault="008B377B">
      <w:pPr>
        <w:spacing w:before="100" w:beforeAutospacing="1" w:after="100" w:afterAutospacing="1"/>
        <w:contextualSpacing/>
        <w:rPr>
          <w:b/>
          <w:bCs/>
          <w:szCs w:val="24"/>
        </w:rPr>
      </w:pPr>
      <w:r>
        <w:rPr>
          <w:b/>
          <w:bCs/>
          <w:szCs w:val="24"/>
        </w:rPr>
        <w:t xml:space="preserve">Legislative Authority </w:t>
      </w:r>
    </w:p>
    <w:p w:rsidR="00057190" w:rsidRDefault="00057190" w:rsidP="00932C43">
      <w:pPr>
        <w:spacing w:before="100" w:beforeAutospacing="1" w:after="100" w:afterAutospacing="1" w:line="276" w:lineRule="auto"/>
        <w:contextualSpacing/>
        <w:rPr>
          <w:b/>
          <w:bCs/>
          <w:szCs w:val="24"/>
        </w:rPr>
      </w:pPr>
    </w:p>
    <w:p w:rsidR="008B377B" w:rsidRDefault="008B377B" w:rsidP="00932C43">
      <w:pPr>
        <w:spacing w:line="276" w:lineRule="auto"/>
        <w:rPr>
          <w:color w:val="000000"/>
        </w:rPr>
      </w:pPr>
      <w:r>
        <w:rPr>
          <w:color w:val="000000"/>
        </w:rPr>
        <w:t xml:space="preserve">Section 86E of the </w:t>
      </w:r>
      <w:r>
        <w:rPr>
          <w:i/>
          <w:color w:val="000000"/>
        </w:rPr>
        <w:t>Quarantine Act 1908</w:t>
      </w:r>
      <w:r>
        <w:rPr>
          <w:color w:val="000000"/>
        </w:rPr>
        <w:t xml:space="preserve"> (the Act) provides that the Minister may </w:t>
      </w:r>
      <w:r w:rsidR="00867BF2" w:rsidRPr="00B47C98">
        <w:t xml:space="preserve">make a </w:t>
      </w:r>
      <w:r w:rsidR="00706671">
        <w:t>d</w:t>
      </w:r>
      <w:r w:rsidR="00867BF2" w:rsidRPr="00B47C98">
        <w:t xml:space="preserve">etermination requiring </w:t>
      </w:r>
      <w:r w:rsidR="00867BF2">
        <w:t xml:space="preserve">fees of amounts set out in the </w:t>
      </w:r>
      <w:r w:rsidR="00706671">
        <w:t>d</w:t>
      </w:r>
      <w:r w:rsidR="00867BF2" w:rsidRPr="00B47C98">
        <w:t>etermination to be paid for or in relation to the doing of anything in connection with various matters specified in this section, including specified examinations, services or other quarantine measures carried out or provided under the Act and the giving of permissions and permits under the Act.</w:t>
      </w:r>
    </w:p>
    <w:p w:rsidR="008B377B" w:rsidRDefault="008B377B" w:rsidP="00932C43">
      <w:pPr>
        <w:spacing w:before="100" w:beforeAutospacing="1" w:after="100" w:afterAutospacing="1" w:line="276" w:lineRule="auto"/>
        <w:contextualSpacing/>
        <w:rPr>
          <w:b/>
          <w:bCs/>
          <w:szCs w:val="24"/>
        </w:rPr>
      </w:pPr>
    </w:p>
    <w:p w:rsidR="008B377B" w:rsidRDefault="008B377B" w:rsidP="00932C43">
      <w:pPr>
        <w:spacing w:before="100" w:beforeAutospacing="1" w:after="100" w:afterAutospacing="1" w:line="276" w:lineRule="auto"/>
        <w:contextualSpacing/>
        <w:rPr>
          <w:b/>
          <w:bCs/>
          <w:szCs w:val="24"/>
        </w:rPr>
      </w:pPr>
      <w:r>
        <w:t xml:space="preserve">The </w:t>
      </w:r>
      <w:r w:rsidR="00867BF2">
        <w:rPr>
          <w:i/>
        </w:rPr>
        <w:t xml:space="preserve">Quarantine Service Fees (Australia Post) Determination 2010 </w:t>
      </w:r>
      <w:r w:rsidR="00867BF2">
        <w:t xml:space="preserve">(the Determination) sets out the current fees payable by Australia Post. </w:t>
      </w:r>
      <w:r w:rsidR="000152D6">
        <w:t xml:space="preserve"> </w:t>
      </w:r>
      <w:r w:rsidR="00867BF2">
        <w:t>These fees are for the provision of quarantine services performed by the Department of Agriculture and Water Resources (the department) for postal articles received by Australia Post from places outside Australia in a given financial year</w:t>
      </w:r>
      <w:r w:rsidR="00430E05">
        <w:t>.</w:t>
      </w:r>
      <w:r w:rsidR="00867BF2">
        <w:t xml:space="preserve"> </w:t>
      </w:r>
    </w:p>
    <w:p w:rsidR="008B377B" w:rsidRDefault="008B377B" w:rsidP="00932C43">
      <w:pPr>
        <w:spacing w:line="276" w:lineRule="auto"/>
      </w:pPr>
    </w:p>
    <w:p w:rsidR="008B377B" w:rsidRDefault="008B377B" w:rsidP="00932C43">
      <w:pPr>
        <w:spacing w:before="100" w:beforeAutospacing="1" w:after="100" w:afterAutospacing="1" w:line="276" w:lineRule="auto"/>
        <w:contextualSpacing/>
        <w:rPr>
          <w:b/>
          <w:bCs/>
          <w:szCs w:val="24"/>
        </w:rPr>
      </w:pPr>
      <w:r>
        <w:rPr>
          <w:b/>
          <w:bCs/>
          <w:szCs w:val="24"/>
        </w:rPr>
        <w:t>Purpose</w:t>
      </w:r>
    </w:p>
    <w:p w:rsidR="00057190" w:rsidRDefault="00057190" w:rsidP="00932C43">
      <w:pPr>
        <w:spacing w:before="100" w:beforeAutospacing="1" w:after="100" w:afterAutospacing="1" w:line="276" w:lineRule="auto"/>
        <w:contextualSpacing/>
      </w:pPr>
    </w:p>
    <w:p w:rsidR="00730828" w:rsidRDefault="008B377B" w:rsidP="00932C43">
      <w:pPr>
        <w:spacing w:line="276" w:lineRule="auto"/>
      </w:pPr>
      <w:r>
        <w:t xml:space="preserve">The purpose of the </w:t>
      </w:r>
      <w:r w:rsidR="00867BF2">
        <w:rPr>
          <w:i/>
        </w:rPr>
        <w:t xml:space="preserve">Quarantine Service Fees (Australia Post) Amendment (Cost Recovery) Determination 2015 </w:t>
      </w:r>
      <w:r w:rsidR="00867BF2">
        <w:t>(the</w:t>
      </w:r>
      <w:r w:rsidR="00867BF2">
        <w:rPr>
          <w:i/>
        </w:rPr>
        <w:t xml:space="preserve"> </w:t>
      </w:r>
      <w:r w:rsidR="006446A7">
        <w:t>Amendment</w:t>
      </w:r>
      <w:r>
        <w:t xml:space="preserve"> Determination</w:t>
      </w:r>
      <w:r w:rsidR="00867BF2">
        <w:t>)</w:t>
      </w:r>
      <w:r>
        <w:t xml:space="preserve"> </w:t>
      </w:r>
      <w:r w:rsidR="00867BF2">
        <w:t xml:space="preserve">is to amend </w:t>
      </w:r>
      <w:r w:rsidR="00C105C7">
        <w:t xml:space="preserve">the Determination which </w:t>
      </w:r>
      <w:r w:rsidR="00867BF2">
        <w:t>prescribe</w:t>
      </w:r>
      <w:r w:rsidR="00C105C7">
        <w:t xml:space="preserve">s the </w:t>
      </w:r>
      <w:r>
        <w:t>fees payable by Australia Post</w:t>
      </w:r>
      <w:r w:rsidR="00867BF2">
        <w:t xml:space="preserve"> and to adjust the timing for paying any </w:t>
      </w:r>
      <w:r w:rsidR="00867BF2" w:rsidRPr="00FA6F66">
        <w:t>such fees</w:t>
      </w:r>
      <w:r w:rsidR="00867BF2">
        <w:t xml:space="preserve">. </w:t>
      </w:r>
      <w:r w:rsidR="000152D6">
        <w:t xml:space="preserve"> </w:t>
      </w:r>
    </w:p>
    <w:p w:rsidR="00730828" w:rsidRDefault="00730828" w:rsidP="00932C43">
      <w:pPr>
        <w:spacing w:line="276" w:lineRule="auto"/>
      </w:pPr>
    </w:p>
    <w:p w:rsidR="008B377B" w:rsidRDefault="000152D6" w:rsidP="00932C43">
      <w:pPr>
        <w:spacing w:line="276" w:lineRule="auto"/>
      </w:pPr>
      <w:r>
        <w:t>T</w:t>
      </w:r>
      <w:r w:rsidR="00867BF2">
        <w:t xml:space="preserve">he Amendment Determination gives effect to the new quarantine cost recovery fees developed </w:t>
      </w:r>
      <w:r w:rsidR="00867BF2" w:rsidRPr="00FA3FD5">
        <w:t>as part of the Department of Agriculture</w:t>
      </w:r>
      <w:r w:rsidR="00867BF2">
        <w:t xml:space="preserve"> and Water Resources’</w:t>
      </w:r>
      <w:r w:rsidR="00867BF2" w:rsidRPr="00FA3FD5">
        <w:t xml:space="preserve"> (the department) redesign</w:t>
      </w:r>
      <w:r w:rsidR="00867BF2">
        <w:t xml:space="preserve"> of cost recovery arrangements.</w:t>
      </w:r>
      <w:r w:rsidR="00867BF2" w:rsidRPr="00705E88">
        <w:rPr>
          <w:iCs/>
        </w:rPr>
        <w:t xml:space="preserve"> </w:t>
      </w:r>
      <w:r w:rsidR="00867BF2" w:rsidRPr="00202900">
        <w:t xml:space="preserve"> </w:t>
      </w:r>
    </w:p>
    <w:p w:rsidR="008B377B" w:rsidRDefault="008B377B" w:rsidP="00932C43">
      <w:pPr>
        <w:spacing w:line="276" w:lineRule="auto"/>
      </w:pPr>
    </w:p>
    <w:p w:rsidR="008B377B" w:rsidRDefault="008B377B" w:rsidP="00932C43">
      <w:pPr>
        <w:spacing w:before="100" w:beforeAutospacing="1" w:line="276" w:lineRule="auto"/>
        <w:contextualSpacing/>
        <w:rPr>
          <w:b/>
          <w:bCs/>
          <w:szCs w:val="24"/>
        </w:rPr>
      </w:pPr>
      <w:r>
        <w:rPr>
          <w:b/>
          <w:bCs/>
          <w:szCs w:val="24"/>
        </w:rPr>
        <w:t>Background</w:t>
      </w:r>
    </w:p>
    <w:p w:rsidR="00057190" w:rsidRDefault="00057190" w:rsidP="00932C43">
      <w:pPr>
        <w:spacing w:before="100" w:beforeAutospacing="1" w:line="276" w:lineRule="auto"/>
        <w:contextualSpacing/>
      </w:pPr>
    </w:p>
    <w:p w:rsidR="00706671" w:rsidRDefault="00706671" w:rsidP="00CC0362">
      <w:pPr>
        <w:keepLines/>
        <w:spacing w:line="276" w:lineRule="auto"/>
        <w:contextualSpacing/>
      </w:pPr>
      <w:r>
        <w:t>Shifting global demands, growing passenger and trade volumes, increasing imports from a growing number of countries and population expansion all contribute to the complexity of the modern quarantine environment.</w:t>
      </w:r>
    </w:p>
    <w:p w:rsidR="00706671" w:rsidRDefault="00706671" w:rsidP="00CC0362">
      <w:pPr>
        <w:keepLines/>
        <w:spacing w:line="276" w:lineRule="auto"/>
        <w:contextualSpacing/>
      </w:pPr>
    </w:p>
    <w:p w:rsidR="00706671" w:rsidRDefault="00706671" w:rsidP="00932C43">
      <w:pPr>
        <w:pStyle w:val="dot"/>
        <w:numPr>
          <w:ilvl w:val="0"/>
          <w:numId w:val="0"/>
        </w:numPr>
        <w:spacing w:before="0" w:line="276" w:lineRule="auto"/>
        <w:ind w:left="1"/>
      </w:pPr>
      <w:r w:rsidRPr="00706671">
        <w:rPr>
          <w:rFonts w:ascii="Times New Roman" w:hAnsi="Times New Roman"/>
          <w:szCs w:val="24"/>
        </w:rPr>
        <w:t xml:space="preserve">Quarantine services undertaken by the department include assessing and managing the quarantine risks arising from people, goods and vessels (sea and aircraft) entering Australia.  These essential services which occur onshore, offshore and at the border are a major part of the department’s day-to-day business. </w:t>
      </w:r>
      <w:r>
        <w:rPr>
          <w:rFonts w:ascii="Times New Roman" w:hAnsi="Times New Roman"/>
          <w:szCs w:val="24"/>
        </w:rPr>
        <w:t xml:space="preserve"> </w:t>
      </w:r>
      <w:r>
        <w:t xml:space="preserve">These services include the clearance of international mail. </w:t>
      </w:r>
    </w:p>
    <w:p w:rsidR="00706671" w:rsidRDefault="00706671" w:rsidP="00CC0362">
      <w:pPr>
        <w:keepLines/>
        <w:spacing w:line="276" w:lineRule="auto"/>
        <w:contextualSpacing/>
      </w:pPr>
    </w:p>
    <w:p w:rsidR="00706671" w:rsidRDefault="00706671" w:rsidP="00054BC9">
      <w:pPr>
        <w:keepLines/>
        <w:spacing w:line="276" w:lineRule="auto"/>
        <w:contextualSpacing/>
      </w:pPr>
      <w:r w:rsidRPr="00760CCE">
        <w:t xml:space="preserve">Monitoring compliance with quarantine legislation comes at a cost. </w:t>
      </w:r>
      <w:r>
        <w:t xml:space="preserve"> </w:t>
      </w:r>
      <w:r w:rsidRPr="00792EFE">
        <w:t xml:space="preserve">The Australian Government Cost Recovery Guidelines </w:t>
      </w:r>
      <w:r w:rsidRPr="00760CCE">
        <w:t>state that agencies should recover some or all of the costs of activities that they provid</w:t>
      </w:r>
      <w:r>
        <w:t xml:space="preserve">e. </w:t>
      </w:r>
    </w:p>
    <w:p w:rsidR="000152D6" w:rsidRDefault="000152D6" w:rsidP="00160D98">
      <w:pPr>
        <w:keepLines/>
        <w:spacing w:line="276" w:lineRule="auto"/>
        <w:contextualSpacing/>
      </w:pPr>
    </w:p>
    <w:p w:rsidR="00706671" w:rsidRPr="00A76547" w:rsidRDefault="00706671" w:rsidP="00A040B8">
      <w:pPr>
        <w:keepLines/>
        <w:spacing w:line="276" w:lineRule="auto"/>
        <w:contextualSpacing/>
      </w:pPr>
      <w:r w:rsidRPr="00A76547">
        <w:lastRenderedPageBreak/>
        <w:t xml:space="preserve">Historically, the </w:t>
      </w:r>
      <w:r>
        <w:t>Commonwealth</w:t>
      </w:r>
      <w:r w:rsidRPr="00A76547">
        <w:t xml:space="preserve"> recovers the costs of its </w:t>
      </w:r>
      <w:r>
        <w:t>quarantine</w:t>
      </w:r>
      <w:r w:rsidRPr="00A76547">
        <w:t xml:space="preserve"> services provided to a person (for example, inspection, analysis, treatment and destruction) through fees imposed in the </w:t>
      </w:r>
      <w:r>
        <w:t>Determination</w:t>
      </w:r>
      <w:r w:rsidR="00A040B8">
        <w:t xml:space="preserve"> under section 86E of the Act.</w:t>
      </w:r>
      <w:r>
        <w:t xml:space="preserve"> </w:t>
      </w:r>
      <w:r w:rsidRPr="00A76547">
        <w:t xml:space="preserve"> </w:t>
      </w:r>
    </w:p>
    <w:p w:rsidR="00706671" w:rsidRDefault="00706671" w:rsidP="00932C43">
      <w:pPr>
        <w:keepLines/>
        <w:spacing w:line="276" w:lineRule="auto"/>
        <w:contextualSpacing/>
      </w:pPr>
    </w:p>
    <w:p w:rsidR="00706671" w:rsidRDefault="00706671" w:rsidP="00932C43">
      <w:pPr>
        <w:keepLines/>
        <w:spacing w:line="276" w:lineRule="auto"/>
        <w:contextualSpacing/>
      </w:pPr>
      <w:r w:rsidRPr="003B53A5">
        <w:t xml:space="preserve">The policy authority for continued cost recovery of </w:t>
      </w:r>
      <w:r>
        <w:t>quarantine</w:t>
      </w:r>
      <w:r w:rsidRPr="003B53A5">
        <w:t xml:space="preserve"> </w:t>
      </w:r>
      <w:r>
        <w:t xml:space="preserve">services </w:t>
      </w:r>
      <w:r w:rsidRPr="003B53A5">
        <w:t>was confirmed in</w:t>
      </w:r>
      <w:r>
        <w:t xml:space="preserve"> </w:t>
      </w:r>
      <w:r w:rsidRPr="003B53A5">
        <w:t>the 2015–16 Budget</w:t>
      </w:r>
      <w:r>
        <w:t xml:space="preserve"> when the Commonwealth announced the</w:t>
      </w:r>
      <w:r w:rsidRPr="003B53A5">
        <w:t xml:space="preserve"> redesign</w:t>
      </w:r>
      <w:r>
        <w:t xml:space="preserve"> of the department’s cost recovery arrangements</w:t>
      </w:r>
      <w:r w:rsidRPr="003B53A5">
        <w:t>.</w:t>
      </w:r>
      <w:r w:rsidR="000152D6">
        <w:t xml:space="preserve"> </w:t>
      </w:r>
      <w:r w:rsidRPr="003B53A5">
        <w:t xml:space="preserve"> </w:t>
      </w:r>
      <w:r>
        <w:t>The redesign improves</w:t>
      </w:r>
      <w:r w:rsidRPr="003B53A5">
        <w:t xml:space="preserve"> the department’s cost</w:t>
      </w:r>
      <w:r>
        <w:t xml:space="preserve"> </w:t>
      </w:r>
      <w:r w:rsidRPr="003B53A5">
        <w:t xml:space="preserve">recovery arrangements </w:t>
      </w:r>
      <w:r>
        <w:t xml:space="preserve">so they </w:t>
      </w:r>
      <w:r w:rsidRPr="003B53A5">
        <w:t>are</w:t>
      </w:r>
      <w:r>
        <w:t xml:space="preserve"> </w:t>
      </w:r>
      <w:r w:rsidRPr="003B53A5">
        <w:t>financially sustainable and support the efficient and</w:t>
      </w:r>
      <w:r>
        <w:t xml:space="preserve"> </w:t>
      </w:r>
      <w:r w:rsidRPr="003B53A5">
        <w:t xml:space="preserve">effective delivery of </w:t>
      </w:r>
      <w:r>
        <w:t>quarantine</w:t>
      </w:r>
      <w:r w:rsidRPr="003B53A5">
        <w:t xml:space="preserve"> </w:t>
      </w:r>
      <w:r>
        <w:t xml:space="preserve">services </w:t>
      </w:r>
      <w:r w:rsidRPr="003B53A5">
        <w:t>into the future.</w:t>
      </w:r>
      <w:r>
        <w:t xml:space="preserve"> </w:t>
      </w:r>
      <w:r w:rsidR="000152D6">
        <w:t xml:space="preserve"> </w:t>
      </w:r>
      <w:r w:rsidRPr="003B53A5">
        <w:t xml:space="preserve">The redesign improves the cost recovery of </w:t>
      </w:r>
      <w:r>
        <w:t>quarantine</w:t>
      </w:r>
      <w:r w:rsidRPr="003B53A5">
        <w:t xml:space="preserve"> </w:t>
      </w:r>
      <w:r>
        <w:t>services</w:t>
      </w:r>
      <w:r w:rsidRPr="003B53A5">
        <w:t xml:space="preserve"> by:</w:t>
      </w:r>
    </w:p>
    <w:p w:rsidR="00706671" w:rsidRPr="003B53A5" w:rsidRDefault="00706671" w:rsidP="00932C43">
      <w:pPr>
        <w:pStyle w:val="ListParagraph"/>
        <w:keepLines/>
        <w:numPr>
          <w:ilvl w:val="0"/>
          <w:numId w:val="48"/>
        </w:numPr>
        <w:spacing w:before="0" w:beforeAutospacing="0" w:after="0" w:afterAutospacing="0" w:line="276" w:lineRule="auto"/>
        <w:contextualSpacing/>
      </w:pPr>
      <w:r w:rsidRPr="003B53A5">
        <w:t xml:space="preserve">recovering the full costs of </w:t>
      </w:r>
      <w:r>
        <w:t>services</w:t>
      </w:r>
      <w:r w:rsidRPr="003B53A5">
        <w:t xml:space="preserve"> undertaken by the department </w:t>
      </w:r>
    </w:p>
    <w:p w:rsidR="00706671" w:rsidRPr="003B53A5" w:rsidRDefault="00706671" w:rsidP="00932C43">
      <w:pPr>
        <w:pStyle w:val="ListParagraph"/>
        <w:keepLines/>
        <w:numPr>
          <w:ilvl w:val="0"/>
          <w:numId w:val="48"/>
        </w:numPr>
        <w:spacing w:before="0" w:beforeAutospacing="0" w:after="0" w:afterAutospacing="0" w:line="276" w:lineRule="auto"/>
        <w:contextualSpacing/>
      </w:pPr>
      <w:r w:rsidRPr="003B53A5">
        <w:t xml:space="preserve">simplifying the structure of fees and </w:t>
      </w:r>
      <w:r>
        <w:t>charges</w:t>
      </w:r>
    </w:p>
    <w:p w:rsidR="00706671" w:rsidRPr="003B53A5" w:rsidRDefault="00706671" w:rsidP="00932C43">
      <w:pPr>
        <w:pStyle w:val="ListParagraph"/>
        <w:keepLines/>
        <w:numPr>
          <w:ilvl w:val="0"/>
          <w:numId w:val="48"/>
        </w:numPr>
        <w:spacing w:before="0" w:beforeAutospacing="0" w:after="0" w:afterAutospacing="0" w:line="276" w:lineRule="auto"/>
        <w:contextualSpacing/>
      </w:pPr>
      <w:r w:rsidRPr="003B53A5">
        <w:t>achieving greater equity in client contributions to system costs</w:t>
      </w:r>
    </w:p>
    <w:p w:rsidR="00706671" w:rsidRDefault="00706671" w:rsidP="00932C43">
      <w:pPr>
        <w:pStyle w:val="ListParagraph"/>
        <w:keepLines/>
        <w:numPr>
          <w:ilvl w:val="0"/>
          <w:numId w:val="48"/>
        </w:numPr>
        <w:spacing w:before="0" w:beforeAutospacing="0" w:after="0" w:afterAutospacing="0" w:line="276" w:lineRule="auto"/>
        <w:contextualSpacing/>
      </w:pPr>
      <w:r w:rsidRPr="003B53A5">
        <w:t xml:space="preserve">expanding and enhancing </w:t>
      </w:r>
      <w:r>
        <w:t>services</w:t>
      </w:r>
      <w:r w:rsidRPr="003B53A5">
        <w:t xml:space="preserve"> to strengthen the management of </w:t>
      </w:r>
      <w:r>
        <w:t>quarantine</w:t>
      </w:r>
      <w:r w:rsidRPr="003B53A5">
        <w:t xml:space="preserve"> risk</w:t>
      </w:r>
      <w:r>
        <w:t>s</w:t>
      </w:r>
      <w:r w:rsidRPr="003B53A5">
        <w:t>.</w:t>
      </w:r>
    </w:p>
    <w:p w:rsidR="008B377B" w:rsidRDefault="008B377B" w:rsidP="00932C43">
      <w:pPr>
        <w:spacing w:line="276" w:lineRule="auto"/>
      </w:pPr>
    </w:p>
    <w:p w:rsidR="008B377B" w:rsidRDefault="008B377B" w:rsidP="00932C43">
      <w:pPr>
        <w:spacing w:line="276" w:lineRule="auto"/>
        <w:contextualSpacing/>
        <w:rPr>
          <w:b/>
          <w:iCs/>
          <w:szCs w:val="24"/>
        </w:rPr>
      </w:pPr>
      <w:r>
        <w:rPr>
          <w:b/>
          <w:iCs/>
          <w:szCs w:val="24"/>
        </w:rPr>
        <w:t>Impact and Effect</w:t>
      </w:r>
    </w:p>
    <w:p w:rsidR="00057190" w:rsidRDefault="00057190" w:rsidP="00932C43">
      <w:pPr>
        <w:spacing w:line="276" w:lineRule="auto"/>
        <w:contextualSpacing/>
        <w:rPr>
          <w:b/>
          <w:iCs/>
          <w:szCs w:val="24"/>
        </w:rPr>
      </w:pPr>
    </w:p>
    <w:p w:rsidR="008B377B" w:rsidRDefault="008B377B" w:rsidP="00932C43">
      <w:pPr>
        <w:spacing w:line="276" w:lineRule="auto"/>
      </w:pPr>
      <w:r>
        <w:t xml:space="preserve">The </w:t>
      </w:r>
      <w:r w:rsidR="006446A7">
        <w:t>Amendment</w:t>
      </w:r>
      <w:r>
        <w:t xml:space="preserve"> Determination </w:t>
      </w:r>
      <w:r w:rsidR="008B4110">
        <w:t>increases the fees payable by Australia Post to ensure cost recovery</w:t>
      </w:r>
      <w:r w:rsidR="008151C5">
        <w:t xml:space="preserve"> by the department for the services it provides to Australia Post</w:t>
      </w:r>
      <w:r w:rsidR="008B4110">
        <w:t xml:space="preserve">. </w:t>
      </w:r>
      <w:r w:rsidR="00730828">
        <w:t xml:space="preserve"> </w:t>
      </w:r>
      <w:r w:rsidR="008B4110">
        <w:t>It</w:t>
      </w:r>
      <w:r>
        <w:t xml:space="preserve"> does not alter the existing regulatory arrangement. </w:t>
      </w:r>
      <w:r w:rsidR="000152D6">
        <w:t xml:space="preserve"> </w:t>
      </w:r>
      <w:r>
        <w:t xml:space="preserve">It is also an instrument which gives effect, in terms announced in the </w:t>
      </w:r>
      <w:r w:rsidR="008B4110">
        <w:t xml:space="preserve">2015-16 </w:t>
      </w:r>
      <w:r>
        <w:t xml:space="preserve">Budget, to a decision to adjust </w:t>
      </w:r>
      <w:r w:rsidR="00887CC8">
        <w:t>the</w:t>
      </w:r>
      <w:r>
        <w:t xml:space="preserve"> fee</w:t>
      </w:r>
      <w:r w:rsidR="00887CC8">
        <w:t>s</w:t>
      </w:r>
      <w:r>
        <w:t>.</w:t>
      </w:r>
    </w:p>
    <w:p w:rsidR="00325E4D" w:rsidRDefault="00325E4D" w:rsidP="00932C43">
      <w:pPr>
        <w:spacing w:line="276" w:lineRule="auto"/>
        <w:contextualSpacing/>
        <w:rPr>
          <w:b/>
          <w:iCs/>
          <w:szCs w:val="24"/>
        </w:rPr>
      </w:pPr>
    </w:p>
    <w:p w:rsidR="008B377B" w:rsidRDefault="008B377B" w:rsidP="00932C43">
      <w:pPr>
        <w:spacing w:line="276" w:lineRule="auto"/>
        <w:contextualSpacing/>
        <w:rPr>
          <w:b/>
          <w:iCs/>
          <w:szCs w:val="24"/>
        </w:rPr>
      </w:pPr>
      <w:r>
        <w:rPr>
          <w:b/>
          <w:iCs/>
          <w:szCs w:val="24"/>
        </w:rPr>
        <w:t>Consultation</w:t>
      </w:r>
    </w:p>
    <w:p w:rsidR="00160D98" w:rsidRDefault="00160D98" w:rsidP="00932C43">
      <w:pPr>
        <w:spacing w:line="276" w:lineRule="auto"/>
        <w:contextualSpacing/>
        <w:rPr>
          <w:b/>
          <w:iCs/>
          <w:szCs w:val="24"/>
        </w:rPr>
      </w:pPr>
    </w:p>
    <w:p w:rsidR="00057190" w:rsidRDefault="0007698C" w:rsidP="00932C43">
      <w:pPr>
        <w:spacing w:line="276" w:lineRule="auto"/>
        <w:contextualSpacing/>
        <w:rPr>
          <w:iCs/>
        </w:rPr>
      </w:pPr>
      <w:r>
        <w:t>T</w:t>
      </w:r>
      <w:r w:rsidRPr="006446A7">
        <w:t xml:space="preserve">he </w:t>
      </w:r>
      <w:r>
        <w:t>d</w:t>
      </w:r>
      <w:r w:rsidRPr="006446A7">
        <w:t xml:space="preserve">epartment consulted with Australia Post and the Department of Communications </w:t>
      </w:r>
      <w:r w:rsidRPr="003B53A5">
        <w:rPr>
          <w:iCs/>
        </w:rPr>
        <w:t xml:space="preserve">during the development of the redesigned cost recovery fees </w:t>
      </w:r>
      <w:r>
        <w:rPr>
          <w:iCs/>
        </w:rPr>
        <w:t>and charges</w:t>
      </w:r>
      <w:r w:rsidRPr="003B53A5">
        <w:rPr>
          <w:iCs/>
        </w:rPr>
        <w:t>.</w:t>
      </w:r>
    </w:p>
    <w:p w:rsidR="0007698C" w:rsidRDefault="0007698C" w:rsidP="00932C43">
      <w:pPr>
        <w:spacing w:line="276" w:lineRule="auto"/>
        <w:contextualSpacing/>
        <w:rPr>
          <w:b/>
          <w:iCs/>
          <w:szCs w:val="24"/>
        </w:rPr>
      </w:pPr>
    </w:p>
    <w:p w:rsidR="0007698C" w:rsidRDefault="0007698C" w:rsidP="00932C43">
      <w:pPr>
        <w:keepLines/>
        <w:spacing w:line="276" w:lineRule="auto"/>
        <w:contextualSpacing/>
        <w:rPr>
          <w:iCs/>
        </w:rPr>
      </w:pPr>
      <w:r>
        <w:rPr>
          <w:iCs/>
        </w:rPr>
        <w:t xml:space="preserve">The Amendment Determination is compatible with human rights and freedoms recognised or declared under section 3 of the </w:t>
      </w:r>
      <w:r>
        <w:rPr>
          <w:i/>
          <w:iCs/>
        </w:rPr>
        <w:t>Human Rights (Parliamentary Scrutiny) Act 2011</w:t>
      </w:r>
      <w:r>
        <w:rPr>
          <w:iCs/>
        </w:rPr>
        <w:t xml:space="preserve">.  A full statement of compatibility is set out in </w:t>
      </w:r>
      <w:r w:rsidRPr="006069C1">
        <w:rPr>
          <w:iCs/>
          <w:u w:val="single"/>
        </w:rPr>
        <w:t>Attachment A</w:t>
      </w:r>
      <w:r>
        <w:rPr>
          <w:iCs/>
        </w:rPr>
        <w:t>.</w:t>
      </w:r>
    </w:p>
    <w:p w:rsidR="0007698C" w:rsidRPr="003B53A5" w:rsidRDefault="0007698C" w:rsidP="00CC0362">
      <w:pPr>
        <w:keepLines/>
        <w:spacing w:line="276" w:lineRule="auto"/>
        <w:contextualSpacing/>
        <w:rPr>
          <w:iCs/>
        </w:rPr>
      </w:pPr>
    </w:p>
    <w:p w:rsidR="0007698C" w:rsidRDefault="0007698C" w:rsidP="00054BC9">
      <w:pPr>
        <w:keepLines/>
        <w:spacing w:line="276" w:lineRule="auto"/>
        <w:contextualSpacing/>
        <w:rPr>
          <w:iCs/>
        </w:rPr>
      </w:pPr>
      <w:r w:rsidRPr="003B53A5">
        <w:rPr>
          <w:iCs/>
        </w:rPr>
        <w:t xml:space="preserve">A Regulatory Impact Statement (RIS) was completed on the department’s </w:t>
      </w:r>
      <w:r>
        <w:rPr>
          <w:iCs/>
        </w:rPr>
        <w:t>quarantine, imported food</w:t>
      </w:r>
      <w:r w:rsidRPr="003B53A5">
        <w:rPr>
          <w:iCs/>
        </w:rPr>
        <w:t xml:space="preserve"> and export certification cost recovery redesign </w:t>
      </w:r>
      <w:r w:rsidRPr="003B53A5">
        <w:rPr>
          <w:rFonts w:eastAsia="Calibri"/>
        </w:rPr>
        <w:t>(Office of Best Practice Regulation ID: 17726).</w:t>
      </w:r>
      <w:r w:rsidRPr="003B53A5">
        <w:rPr>
          <w:iCs/>
        </w:rPr>
        <w:t xml:space="preserve"> OBPR assessed the RIS as best practice</w:t>
      </w:r>
      <w:r>
        <w:rPr>
          <w:iCs/>
        </w:rPr>
        <w:t>.</w:t>
      </w:r>
      <w:r w:rsidR="00730828">
        <w:rPr>
          <w:iCs/>
        </w:rPr>
        <w:t xml:space="preserve"> </w:t>
      </w:r>
      <w:r>
        <w:rPr>
          <w:iCs/>
        </w:rPr>
        <w:t xml:space="preserve"> A copy of </w:t>
      </w:r>
      <w:r w:rsidRPr="00054BC9">
        <w:rPr>
          <w:iCs/>
        </w:rPr>
        <w:t xml:space="preserve">the RIS is at </w:t>
      </w:r>
      <w:r w:rsidR="00730828" w:rsidRPr="00932C43">
        <w:rPr>
          <w:iCs/>
        </w:rPr>
        <w:t>a</w:t>
      </w:r>
      <w:r w:rsidRPr="00932C43">
        <w:rPr>
          <w:iCs/>
        </w:rPr>
        <w:t>ttach</w:t>
      </w:r>
      <w:r w:rsidR="00054BC9">
        <w:rPr>
          <w:iCs/>
        </w:rPr>
        <w:t>ed.</w:t>
      </w:r>
    </w:p>
    <w:p w:rsidR="0037148F" w:rsidRDefault="0037148F" w:rsidP="00054BC9">
      <w:pPr>
        <w:keepLines/>
        <w:spacing w:line="276" w:lineRule="auto"/>
        <w:contextualSpacing/>
        <w:rPr>
          <w:iCs/>
        </w:rPr>
      </w:pPr>
    </w:p>
    <w:p w:rsidR="0037148F" w:rsidRDefault="0037148F" w:rsidP="0037148F">
      <w:pPr>
        <w:keepLines/>
        <w:contextualSpacing/>
      </w:pPr>
      <w:r>
        <w:t>The Amendment</w:t>
      </w:r>
      <w:r w:rsidRPr="00E22290">
        <w:t xml:space="preserve"> </w:t>
      </w:r>
      <w:r>
        <w:t xml:space="preserve">Determination </w:t>
      </w:r>
      <w:r w:rsidRPr="00E22290">
        <w:t xml:space="preserve">is a legislative instrument for the purpose of the </w:t>
      </w:r>
      <w:r w:rsidRPr="00C536A2">
        <w:rPr>
          <w:i/>
        </w:rPr>
        <w:t>Legislative Instruments Act 2003</w:t>
      </w:r>
      <w:r w:rsidRPr="00E22290">
        <w:t>.</w:t>
      </w:r>
    </w:p>
    <w:p w:rsidR="0037148F" w:rsidRPr="003B53A5" w:rsidRDefault="0037148F" w:rsidP="00054BC9">
      <w:pPr>
        <w:keepLines/>
        <w:spacing w:line="276" w:lineRule="auto"/>
        <w:contextualSpacing/>
        <w:rPr>
          <w:rFonts w:eastAsia="Calibri"/>
        </w:rPr>
      </w:pPr>
    </w:p>
    <w:p w:rsidR="008B377B" w:rsidRDefault="00730828" w:rsidP="00932C43">
      <w:pPr>
        <w:spacing w:line="276" w:lineRule="auto"/>
      </w:pPr>
      <w:r>
        <w:rPr>
          <w:szCs w:val="24"/>
        </w:rPr>
        <w:br w:type="page"/>
      </w:r>
    </w:p>
    <w:p w:rsidR="008B377B" w:rsidRPr="00932C43" w:rsidRDefault="008B377B" w:rsidP="00932C43">
      <w:pPr>
        <w:spacing w:line="276" w:lineRule="auto"/>
        <w:rPr>
          <w:b/>
          <w:u w:val="single"/>
        </w:rPr>
      </w:pPr>
      <w:r w:rsidRPr="00932C43">
        <w:rPr>
          <w:b/>
          <w:u w:val="single"/>
        </w:rPr>
        <w:t xml:space="preserve">Details of the </w:t>
      </w:r>
      <w:r w:rsidR="00760B29" w:rsidRPr="00932C43">
        <w:rPr>
          <w:b/>
          <w:i/>
          <w:u w:val="single"/>
        </w:rPr>
        <w:t>Quarantine Service Fees (Australia Post) Amendment (</w:t>
      </w:r>
      <w:r w:rsidR="008B4110" w:rsidRPr="00932C43">
        <w:rPr>
          <w:b/>
          <w:i/>
          <w:u w:val="single"/>
        </w:rPr>
        <w:t>Cost Recovery</w:t>
      </w:r>
      <w:r w:rsidR="00760B29" w:rsidRPr="00932C43">
        <w:rPr>
          <w:b/>
          <w:i/>
          <w:u w:val="single"/>
        </w:rPr>
        <w:t>) Determination 2015</w:t>
      </w:r>
    </w:p>
    <w:p w:rsidR="008E74B2" w:rsidRDefault="008E74B2" w:rsidP="00932C43">
      <w:pPr>
        <w:spacing w:line="276" w:lineRule="auto"/>
        <w:rPr>
          <w:u w:val="single"/>
        </w:rPr>
      </w:pPr>
    </w:p>
    <w:p w:rsidR="008B377B" w:rsidRPr="00760B29" w:rsidRDefault="008B377B" w:rsidP="00932C43">
      <w:pPr>
        <w:spacing w:line="276" w:lineRule="auto"/>
        <w:rPr>
          <w:u w:val="single"/>
        </w:rPr>
      </w:pPr>
      <w:r w:rsidRPr="00760B29">
        <w:rPr>
          <w:u w:val="single"/>
        </w:rPr>
        <w:t>Section 1</w:t>
      </w:r>
      <w:r w:rsidR="00760B29" w:rsidRPr="00760B29">
        <w:rPr>
          <w:u w:val="single"/>
        </w:rPr>
        <w:t xml:space="preserve"> – Name </w:t>
      </w:r>
    </w:p>
    <w:p w:rsidR="008B377B" w:rsidRDefault="008B377B" w:rsidP="00932C43">
      <w:pPr>
        <w:spacing w:line="276" w:lineRule="auto"/>
      </w:pPr>
    </w:p>
    <w:p w:rsidR="008B377B" w:rsidRDefault="008B377B" w:rsidP="00932C43">
      <w:pPr>
        <w:spacing w:line="276" w:lineRule="auto"/>
      </w:pPr>
      <w:r>
        <w:t xml:space="preserve">This section provides that the name of the </w:t>
      </w:r>
      <w:r w:rsidR="0007698C">
        <w:t xml:space="preserve">Amendment </w:t>
      </w:r>
      <w:r>
        <w:t xml:space="preserve">Determination is </w:t>
      </w:r>
      <w:r w:rsidRPr="00932C43">
        <w:rPr>
          <w:i/>
        </w:rPr>
        <w:t xml:space="preserve">the Quarantine Service Fees (Australia Post) </w:t>
      </w:r>
      <w:r w:rsidR="005C4750" w:rsidRPr="00932C43">
        <w:rPr>
          <w:i/>
        </w:rPr>
        <w:t>Amendment (</w:t>
      </w:r>
      <w:r w:rsidR="008B4110" w:rsidRPr="00932C43">
        <w:rPr>
          <w:i/>
        </w:rPr>
        <w:t>Cost Recovery</w:t>
      </w:r>
      <w:r w:rsidR="005C4750" w:rsidRPr="00932C43">
        <w:rPr>
          <w:i/>
        </w:rPr>
        <w:t xml:space="preserve">) </w:t>
      </w:r>
      <w:r w:rsidRPr="00932C43">
        <w:rPr>
          <w:i/>
        </w:rPr>
        <w:t>Determination 2015</w:t>
      </w:r>
      <w:r w:rsidRPr="00083579">
        <w:t>.</w:t>
      </w:r>
    </w:p>
    <w:p w:rsidR="008B377B" w:rsidRDefault="008B377B" w:rsidP="00932C43">
      <w:pPr>
        <w:spacing w:line="276" w:lineRule="auto"/>
        <w:rPr>
          <w:i/>
        </w:rPr>
      </w:pPr>
    </w:p>
    <w:p w:rsidR="008B377B" w:rsidRPr="00760B29" w:rsidRDefault="008B377B" w:rsidP="00932C43">
      <w:pPr>
        <w:spacing w:line="276" w:lineRule="auto"/>
        <w:rPr>
          <w:u w:val="single"/>
        </w:rPr>
      </w:pPr>
      <w:r w:rsidRPr="00760B29">
        <w:rPr>
          <w:u w:val="single"/>
        </w:rPr>
        <w:t>Section 2</w:t>
      </w:r>
      <w:r w:rsidR="00760B29" w:rsidRPr="00760B29">
        <w:rPr>
          <w:u w:val="single"/>
        </w:rPr>
        <w:t xml:space="preserve"> - Commencement</w:t>
      </w:r>
    </w:p>
    <w:p w:rsidR="008B377B" w:rsidRDefault="008B377B" w:rsidP="00932C43">
      <w:pPr>
        <w:spacing w:line="276" w:lineRule="auto"/>
      </w:pPr>
    </w:p>
    <w:p w:rsidR="008B377B" w:rsidRDefault="008B377B" w:rsidP="00932C43">
      <w:pPr>
        <w:spacing w:line="276" w:lineRule="auto"/>
      </w:pPr>
      <w:r>
        <w:t xml:space="preserve">This section provides that the </w:t>
      </w:r>
      <w:r w:rsidR="00C105C7">
        <w:t xml:space="preserve">Amendment </w:t>
      </w:r>
      <w:r>
        <w:t xml:space="preserve">Determination will commence on 1 </w:t>
      </w:r>
      <w:r w:rsidR="00C105C7">
        <w:t xml:space="preserve">December </w:t>
      </w:r>
      <w:r>
        <w:t>2015.</w:t>
      </w:r>
    </w:p>
    <w:p w:rsidR="008B377B" w:rsidRDefault="008B377B" w:rsidP="00932C43">
      <w:pPr>
        <w:spacing w:line="276" w:lineRule="auto"/>
        <w:rPr>
          <w:i/>
        </w:rPr>
      </w:pPr>
    </w:p>
    <w:p w:rsidR="008B377B" w:rsidRPr="00760B29" w:rsidRDefault="008B377B" w:rsidP="00932C43">
      <w:pPr>
        <w:keepNext/>
        <w:spacing w:line="276" w:lineRule="auto"/>
        <w:rPr>
          <w:u w:val="single"/>
        </w:rPr>
      </w:pPr>
      <w:r w:rsidRPr="00760B29">
        <w:rPr>
          <w:u w:val="single"/>
        </w:rPr>
        <w:t>Section 3</w:t>
      </w:r>
      <w:r w:rsidR="00760B29" w:rsidRPr="00760B29">
        <w:rPr>
          <w:u w:val="single"/>
        </w:rPr>
        <w:t xml:space="preserve"> - Authority</w:t>
      </w:r>
    </w:p>
    <w:p w:rsidR="008B377B" w:rsidRDefault="008B377B" w:rsidP="00932C43">
      <w:pPr>
        <w:keepNext/>
        <w:spacing w:line="276" w:lineRule="auto"/>
        <w:rPr>
          <w:b/>
        </w:rPr>
      </w:pPr>
    </w:p>
    <w:p w:rsidR="00815E8F" w:rsidRDefault="00815E8F" w:rsidP="00932C43">
      <w:pPr>
        <w:spacing w:line="276" w:lineRule="auto"/>
      </w:pPr>
      <w:r>
        <w:t>This section provides that</w:t>
      </w:r>
      <w:r w:rsidR="004738E1">
        <w:t xml:space="preserve"> the Amendment Determination </w:t>
      </w:r>
      <w:r>
        <w:t xml:space="preserve">is made under section 86E of the </w:t>
      </w:r>
      <w:r w:rsidRPr="00815E8F">
        <w:rPr>
          <w:i/>
        </w:rPr>
        <w:t>Quarantine Act 1908</w:t>
      </w:r>
      <w:r>
        <w:t>.</w:t>
      </w:r>
    </w:p>
    <w:p w:rsidR="008B377B" w:rsidRDefault="008B377B" w:rsidP="00932C43">
      <w:pPr>
        <w:spacing w:line="276" w:lineRule="auto"/>
        <w:rPr>
          <w:i/>
        </w:rPr>
      </w:pPr>
    </w:p>
    <w:p w:rsidR="008B377B" w:rsidRPr="00760B29" w:rsidRDefault="008B377B" w:rsidP="00932C43">
      <w:pPr>
        <w:keepNext/>
        <w:spacing w:line="276" w:lineRule="auto"/>
        <w:rPr>
          <w:u w:val="single"/>
        </w:rPr>
      </w:pPr>
      <w:r w:rsidRPr="00760B29">
        <w:rPr>
          <w:u w:val="single"/>
        </w:rPr>
        <w:t>Section 4</w:t>
      </w:r>
      <w:r w:rsidR="00760B29" w:rsidRPr="00760B29">
        <w:rPr>
          <w:u w:val="single"/>
        </w:rPr>
        <w:t xml:space="preserve"> - Schedules</w:t>
      </w:r>
    </w:p>
    <w:p w:rsidR="008B377B" w:rsidRDefault="008B377B" w:rsidP="00932C43">
      <w:pPr>
        <w:keepNext/>
        <w:spacing w:line="276" w:lineRule="auto"/>
      </w:pPr>
    </w:p>
    <w:p w:rsidR="00760B29" w:rsidRDefault="00760B29" w:rsidP="00932C43">
      <w:pPr>
        <w:spacing w:before="360" w:after="120" w:line="276" w:lineRule="auto"/>
        <w:contextualSpacing/>
        <w:rPr>
          <w:szCs w:val="24"/>
        </w:rPr>
      </w:pPr>
      <w:r>
        <w:rPr>
          <w:szCs w:val="24"/>
        </w:rPr>
        <w:t>This section provides that each instrument that is specified in Schedule 1 to the Amendment Determination is amended or repealed as set out in the applicable items in the Schedule, and any other item in Schedule 1 has effect according to its terms.</w:t>
      </w:r>
    </w:p>
    <w:p w:rsidR="00760B29" w:rsidRDefault="00760B29" w:rsidP="00932C43">
      <w:pPr>
        <w:spacing w:before="360" w:after="120" w:line="276" w:lineRule="auto"/>
        <w:contextualSpacing/>
        <w:rPr>
          <w:szCs w:val="24"/>
        </w:rPr>
      </w:pPr>
    </w:p>
    <w:p w:rsidR="00760B29" w:rsidRPr="00887CC8" w:rsidRDefault="00760B29" w:rsidP="00932C43">
      <w:pPr>
        <w:spacing w:before="360" w:after="120" w:line="276" w:lineRule="auto"/>
        <w:contextualSpacing/>
        <w:rPr>
          <w:szCs w:val="24"/>
          <w:u w:val="single"/>
        </w:rPr>
      </w:pPr>
      <w:r w:rsidRPr="00887CC8">
        <w:rPr>
          <w:szCs w:val="24"/>
          <w:u w:val="single"/>
        </w:rPr>
        <w:t>Schedule 1 – Amendments</w:t>
      </w:r>
    </w:p>
    <w:p w:rsidR="00760B29" w:rsidRDefault="00760B29" w:rsidP="00932C43">
      <w:pPr>
        <w:spacing w:before="360" w:after="120" w:line="276" w:lineRule="auto"/>
        <w:contextualSpacing/>
        <w:rPr>
          <w:szCs w:val="24"/>
        </w:rPr>
      </w:pPr>
    </w:p>
    <w:p w:rsidR="00760B29" w:rsidRPr="00083579" w:rsidRDefault="00760B29" w:rsidP="00932C43">
      <w:pPr>
        <w:spacing w:line="276" w:lineRule="auto"/>
      </w:pPr>
      <w:r w:rsidRPr="00760B29">
        <w:rPr>
          <w:b/>
          <w:szCs w:val="24"/>
        </w:rPr>
        <w:t>Item 1</w:t>
      </w:r>
      <w:r>
        <w:rPr>
          <w:szCs w:val="24"/>
        </w:rPr>
        <w:t xml:space="preserve"> repeals section 3</w:t>
      </w:r>
      <w:r w:rsidR="00903944">
        <w:rPr>
          <w:szCs w:val="24"/>
        </w:rPr>
        <w:t xml:space="preserve"> which provides for the revocation of the </w:t>
      </w:r>
      <w:r w:rsidR="008E74B2" w:rsidRPr="00932C43">
        <w:rPr>
          <w:i/>
        </w:rPr>
        <w:t xml:space="preserve">Quarantine Service Fees (Australia Post) Determination </w:t>
      </w:r>
      <w:r w:rsidR="00903944" w:rsidRPr="00932C43">
        <w:rPr>
          <w:i/>
        </w:rPr>
        <w:t>2005</w:t>
      </w:r>
      <w:r w:rsidRPr="00083579">
        <w:rPr>
          <w:szCs w:val="24"/>
        </w:rPr>
        <w:t>.</w:t>
      </w:r>
    </w:p>
    <w:p w:rsidR="00760B29" w:rsidRPr="00083579" w:rsidRDefault="00760B29" w:rsidP="00932C43">
      <w:pPr>
        <w:spacing w:before="360" w:after="120" w:line="276" w:lineRule="auto"/>
        <w:contextualSpacing/>
        <w:rPr>
          <w:szCs w:val="24"/>
        </w:rPr>
      </w:pPr>
    </w:p>
    <w:p w:rsidR="00760B29" w:rsidRDefault="00760B29" w:rsidP="00932C43">
      <w:pPr>
        <w:spacing w:before="360" w:after="120" w:line="276" w:lineRule="auto"/>
        <w:contextualSpacing/>
        <w:rPr>
          <w:szCs w:val="24"/>
        </w:rPr>
      </w:pPr>
      <w:r w:rsidRPr="00760B29">
        <w:rPr>
          <w:b/>
          <w:szCs w:val="24"/>
        </w:rPr>
        <w:t>Item 2</w:t>
      </w:r>
      <w:r>
        <w:rPr>
          <w:szCs w:val="24"/>
        </w:rPr>
        <w:t xml:space="preserve"> inserts new definitions into section 4 of the Determination. </w:t>
      </w:r>
      <w:r w:rsidR="000152D6">
        <w:rPr>
          <w:szCs w:val="24"/>
        </w:rPr>
        <w:t xml:space="preserve"> </w:t>
      </w:r>
      <w:r>
        <w:rPr>
          <w:szCs w:val="24"/>
        </w:rPr>
        <w:t xml:space="preserve">This ensures that definitions for </w:t>
      </w:r>
      <w:r w:rsidRPr="00760B29">
        <w:rPr>
          <w:b/>
          <w:i/>
          <w:szCs w:val="24"/>
        </w:rPr>
        <w:t>late payment fee</w:t>
      </w:r>
      <w:r w:rsidRPr="00760B29">
        <w:rPr>
          <w:i/>
          <w:szCs w:val="24"/>
        </w:rPr>
        <w:t xml:space="preserve">, </w:t>
      </w:r>
      <w:r w:rsidRPr="00760B29">
        <w:rPr>
          <w:b/>
          <w:i/>
          <w:szCs w:val="24"/>
        </w:rPr>
        <w:t>payment day</w:t>
      </w:r>
      <w:r w:rsidRPr="00760B29">
        <w:rPr>
          <w:i/>
          <w:szCs w:val="24"/>
        </w:rPr>
        <w:t xml:space="preserve"> </w:t>
      </w:r>
      <w:r w:rsidRPr="00760B29">
        <w:rPr>
          <w:szCs w:val="24"/>
        </w:rPr>
        <w:t>and</w:t>
      </w:r>
      <w:r w:rsidRPr="00760B29">
        <w:rPr>
          <w:i/>
          <w:szCs w:val="24"/>
        </w:rPr>
        <w:t xml:space="preserve"> </w:t>
      </w:r>
      <w:r w:rsidRPr="00760B29">
        <w:rPr>
          <w:b/>
          <w:i/>
          <w:szCs w:val="24"/>
        </w:rPr>
        <w:t>quarantine service</w:t>
      </w:r>
      <w:r>
        <w:rPr>
          <w:szCs w:val="24"/>
        </w:rPr>
        <w:t xml:space="preserve"> are consistent with the </w:t>
      </w:r>
      <w:r w:rsidR="002B6F20">
        <w:rPr>
          <w:szCs w:val="24"/>
        </w:rPr>
        <w:t>Act</w:t>
      </w:r>
      <w:r>
        <w:rPr>
          <w:szCs w:val="24"/>
        </w:rPr>
        <w:t>.</w:t>
      </w:r>
    </w:p>
    <w:p w:rsidR="008B377B" w:rsidRDefault="008B377B" w:rsidP="00932C43">
      <w:pPr>
        <w:spacing w:line="276" w:lineRule="auto"/>
      </w:pPr>
    </w:p>
    <w:p w:rsidR="00760B29" w:rsidRDefault="00760B29" w:rsidP="00932C43">
      <w:pPr>
        <w:spacing w:line="276" w:lineRule="auto"/>
      </w:pPr>
      <w:r w:rsidRPr="00760B29">
        <w:rPr>
          <w:b/>
        </w:rPr>
        <w:t>Item 3</w:t>
      </w:r>
      <w:r>
        <w:t xml:space="preserve"> repeals the note in section 4</w:t>
      </w:r>
      <w:r w:rsidR="00C70871">
        <w:t xml:space="preserve"> which says that the terms such as </w:t>
      </w:r>
      <w:r w:rsidR="002B6F20">
        <w:t>late payment fee, payment day and quarantine service have the same meaning as the</w:t>
      </w:r>
      <w:r w:rsidR="008B679F">
        <w:t xml:space="preserve"> Act. </w:t>
      </w:r>
      <w:r w:rsidR="00054BC9">
        <w:t xml:space="preserve"> </w:t>
      </w:r>
      <w:r w:rsidR="008B679F">
        <w:t>Definitions for these terms</w:t>
      </w:r>
      <w:r w:rsidR="002B6F20">
        <w:t xml:space="preserve"> </w:t>
      </w:r>
      <w:r w:rsidR="008B679F">
        <w:t xml:space="preserve">have been included by </w:t>
      </w:r>
      <w:r w:rsidRPr="00932C43">
        <w:rPr>
          <w:b/>
        </w:rPr>
        <w:t>Item 2</w:t>
      </w:r>
      <w:r>
        <w:t>.</w:t>
      </w:r>
    </w:p>
    <w:p w:rsidR="00760B29" w:rsidRDefault="00760B29" w:rsidP="00932C43">
      <w:pPr>
        <w:spacing w:line="276" w:lineRule="auto"/>
      </w:pPr>
    </w:p>
    <w:p w:rsidR="00760B29" w:rsidRDefault="00760B29" w:rsidP="00932C43">
      <w:pPr>
        <w:spacing w:line="276" w:lineRule="auto"/>
      </w:pPr>
      <w:r w:rsidRPr="00EF3980">
        <w:rPr>
          <w:b/>
        </w:rPr>
        <w:t>Item 4</w:t>
      </w:r>
      <w:r>
        <w:t xml:space="preserve"> </w:t>
      </w:r>
      <w:r w:rsidR="00E4241F">
        <w:t xml:space="preserve">repeals the existing subsection </w:t>
      </w:r>
      <w:r w:rsidR="00336689">
        <w:t>5(2</w:t>
      </w:r>
      <w:r w:rsidR="00DD15F9">
        <w:t>) which specified the fee payable</w:t>
      </w:r>
      <w:r w:rsidR="00C370C7">
        <w:t xml:space="preserve"> by </w:t>
      </w:r>
      <w:r w:rsidR="00107372">
        <w:t>Australia</w:t>
      </w:r>
      <w:r w:rsidR="00C370C7">
        <w:t xml:space="preserve"> Post for a financial year</w:t>
      </w:r>
      <w:r w:rsidR="00DD15F9">
        <w:t xml:space="preserve">. </w:t>
      </w:r>
      <w:r w:rsidR="008A4619">
        <w:t xml:space="preserve"> </w:t>
      </w:r>
      <w:r w:rsidR="00DD15F9">
        <w:t xml:space="preserve">New subsection 5(2) </w:t>
      </w:r>
      <w:r w:rsidR="008A4619">
        <w:t xml:space="preserve">specifies </w:t>
      </w:r>
      <w:r w:rsidR="00EF3980">
        <w:t xml:space="preserve">fees </w:t>
      </w:r>
      <w:r w:rsidR="008A4619">
        <w:t>as follows</w:t>
      </w:r>
      <w:r w:rsidR="00FA6C8A">
        <w:t>:</w:t>
      </w:r>
    </w:p>
    <w:p w:rsidR="00FA6C8A" w:rsidRPr="00325E4D" w:rsidRDefault="00FA6C8A" w:rsidP="00932C43">
      <w:pPr>
        <w:pStyle w:val="notedraft"/>
        <w:numPr>
          <w:ilvl w:val="0"/>
          <w:numId w:val="46"/>
        </w:numPr>
        <w:spacing w:line="276" w:lineRule="auto"/>
        <w:rPr>
          <w:i w:val="0"/>
        </w:rPr>
      </w:pPr>
      <w:r w:rsidRPr="00325E4D">
        <w:rPr>
          <w:i w:val="0"/>
        </w:rPr>
        <w:t xml:space="preserve">For </w:t>
      </w:r>
      <w:r w:rsidR="003C6EAE">
        <w:rPr>
          <w:i w:val="0"/>
        </w:rPr>
        <w:t>a</w:t>
      </w:r>
      <w:r w:rsidR="003C6EAE" w:rsidRPr="00325E4D">
        <w:rPr>
          <w:i w:val="0"/>
        </w:rPr>
        <w:t xml:space="preserve"> </w:t>
      </w:r>
      <w:r w:rsidRPr="00325E4D">
        <w:rPr>
          <w:i w:val="0"/>
        </w:rPr>
        <w:t>financial year commencing on</w:t>
      </w:r>
      <w:r w:rsidR="001545CB">
        <w:rPr>
          <w:i w:val="0"/>
        </w:rPr>
        <w:t xml:space="preserve"> or before</w:t>
      </w:r>
      <w:r w:rsidRPr="00325E4D">
        <w:rPr>
          <w:i w:val="0"/>
        </w:rPr>
        <w:t xml:space="preserve"> 1 July 2015—$8,200,000. </w:t>
      </w:r>
    </w:p>
    <w:p w:rsidR="00FA6C8A" w:rsidRPr="00325E4D" w:rsidRDefault="00FA6C8A" w:rsidP="00932C43">
      <w:pPr>
        <w:pStyle w:val="notedraft"/>
        <w:numPr>
          <w:ilvl w:val="0"/>
          <w:numId w:val="46"/>
        </w:numPr>
        <w:spacing w:line="276" w:lineRule="auto"/>
        <w:rPr>
          <w:i w:val="0"/>
        </w:rPr>
      </w:pPr>
      <w:r w:rsidRPr="00325E4D">
        <w:rPr>
          <w:i w:val="0"/>
        </w:rPr>
        <w:t>For the financial year commencing on 1 July 2016—$11,700,000.</w:t>
      </w:r>
    </w:p>
    <w:p w:rsidR="00FA6C8A" w:rsidRPr="00325E4D" w:rsidRDefault="00FA6C8A" w:rsidP="00932C43">
      <w:pPr>
        <w:pStyle w:val="notedraft"/>
        <w:numPr>
          <w:ilvl w:val="0"/>
          <w:numId w:val="46"/>
        </w:numPr>
        <w:spacing w:line="276" w:lineRule="auto"/>
        <w:rPr>
          <w:i w:val="0"/>
        </w:rPr>
      </w:pPr>
      <w:r w:rsidRPr="00325E4D">
        <w:rPr>
          <w:i w:val="0"/>
        </w:rPr>
        <w:t>For the financial year commencing on 1 July 2017—$15,100,000.</w:t>
      </w:r>
    </w:p>
    <w:p w:rsidR="00FA6C8A" w:rsidRPr="00325E4D" w:rsidRDefault="00FA6C8A" w:rsidP="00932C43">
      <w:pPr>
        <w:pStyle w:val="notedraft"/>
        <w:numPr>
          <w:ilvl w:val="0"/>
          <w:numId w:val="46"/>
        </w:numPr>
        <w:spacing w:line="276" w:lineRule="auto"/>
        <w:rPr>
          <w:i w:val="0"/>
        </w:rPr>
      </w:pPr>
      <w:r w:rsidRPr="00325E4D">
        <w:rPr>
          <w:i w:val="0"/>
        </w:rPr>
        <w:t>For the financial year commencing on 1 July 2018—$15,300,000.</w:t>
      </w:r>
    </w:p>
    <w:p w:rsidR="008E74B2" w:rsidRDefault="00325E4D" w:rsidP="00932C43">
      <w:pPr>
        <w:spacing w:before="360" w:after="120" w:line="276" w:lineRule="auto"/>
        <w:contextualSpacing/>
      </w:pPr>
      <w:r w:rsidRPr="00325E4D">
        <w:rPr>
          <w:b/>
        </w:rPr>
        <w:t xml:space="preserve">Item </w:t>
      </w:r>
      <w:r w:rsidR="008E74B2">
        <w:rPr>
          <w:b/>
        </w:rPr>
        <w:t>5</w:t>
      </w:r>
      <w:r w:rsidR="00E4241F">
        <w:rPr>
          <w:b/>
        </w:rPr>
        <w:t xml:space="preserve"> </w:t>
      </w:r>
      <w:r w:rsidR="008E74B2" w:rsidRPr="008E74B2">
        <w:t>repeals</w:t>
      </w:r>
      <w:r w:rsidRPr="008E74B2">
        <w:t xml:space="preserve"> </w:t>
      </w:r>
      <w:r w:rsidR="008E74B2">
        <w:t>sections 6 and 7 and substitutes new section</w:t>
      </w:r>
      <w:r w:rsidR="008B4110">
        <w:t>s</w:t>
      </w:r>
      <w:r w:rsidR="00495C93">
        <w:t xml:space="preserve"> 6 and 7</w:t>
      </w:r>
      <w:r w:rsidR="008E74B2">
        <w:t xml:space="preserve">. </w:t>
      </w:r>
    </w:p>
    <w:p w:rsidR="008E74B2" w:rsidRDefault="008E74B2" w:rsidP="00932C43">
      <w:pPr>
        <w:spacing w:before="360" w:after="120" w:line="276" w:lineRule="auto"/>
        <w:contextualSpacing/>
      </w:pPr>
    </w:p>
    <w:p w:rsidR="001B0F93" w:rsidRDefault="001B0F93" w:rsidP="00932C43">
      <w:pPr>
        <w:spacing w:before="360" w:after="120" w:line="276" w:lineRule="auto"/>
        <w:contextualSpacing/>
      </w:pPr>
      <w:r>
        <w:t>Subsection 6(1) specifies that th</w:t>
      </w:r>
      <w:r w:rsidR="00107372">
        <w:t>e</w:t>
      </w:r>
      <w:r>
        <w:t xml:space="preserve"> annual fee is payable either as a single instalment or </w:t>
      </w:r>
      <w:r w:rsidR="00107372">
        <w:t>i</w:t>
      </w:r>
      <w:r>
        <w:t>n 2 or more equal instalments.</w:t>
      </w:r>
      <w:r w:rsidR="00054BC9">
        <w:t xml:space="preserve"> </w:t>
      </w:r>
      <w:r>
        <w:t xml:space="preserve"> </w:t>
      </w:r>
      <w:r w:rsidR="00842AFF">
        <w:t>Subsection 6(2) provides that the annual fee, or an instalment of the annual fee</w:t>
      </w:r>
      <w:r w:rsidR="00107372">
        <w:t>,</w:t>
      </w:r>
      <w:r w:rsidR="00842AFF">
        <w:t xml:space="preserve"> is payable within 30 days after the</w:t>
      </w:r>
      <w:r w:rsidR="00107372">
        <w:t xml:space="preserve"> day the</w:t>
      </w:r>
      <w:r w:rsidR="00842AFF">
        <w:t xml:space="preserve"> demand for payment is </w:t>
      </w:r>
      <w:r w:rsidR="00107372">
        <w:t>made</w:t>
      </w:r>
      <w:r w:rsidR="00842AFF">
        <w:t xml:space="preserve">. </w:t>
      </w:r>
    </w:p>
    <w:p w:rsidR="001B0F93" w:rsidRDefault="001B0F93" w:rsidP="00932C43">
      <w:pPr>
        <w:spacing w:before="360" w:after="120" w:line="276" w:lineRule="auto"/>
        <w:contextualSpacing/>
      </w:pPr>
    </w:p>
    <w:p w:rsidR="00842AFF" w:rsidRDefault="00842AFF" w:rsidP="00932C43">
      <w:pPr>
        <w:spacing w:line="276" w:lineRule="auto"/>
        <w:contextualSpacing/>
        <w:rPr>
          <w:szCs w:val="24"/>
        </w:rPr>
      </w:pPr>
      <w:r>
        <w:t>Subsection 7(1) provides that</w:t>
      </w:r>
      <w:r>
        <w:rPr>
          <w:szCs w:val="24"/>
        </w:rPr>
        <w:t xml:space="preserve">, in circumstances where the annual fee or the instalment of the annual fee is not paid on or before the fee </w:t>
      </w:r>
      <w:r w:rsidR="003A02E9">
        <w:rPr>
          <w:szCs w:val="24"/>
        </w:rPr>
        <w:t xml:space="preserve">or instalment </w:t>
      </w:r>
      <w:r>
        <w:rPr>
          <w:szCs w:val="24"/>
        </w:rPr>
        <w:t xml:space="preserve">is payable, a late payment fee will also be payable in addition to the service fee. </w:t>
      </w:r>
      <w:r w:rsidR="00054BC9">
        <w:rPr>
          <w:szCs w:val="24"/>
        </w:rPr>
        <w:t xml:space="preserve"> </w:t>
      </w:r>
      <w:r>
        <w:t xml:space="preserve">Subsection 7(2) provides the formula by which the late payment fee will be calculated. </w:t>
      </w:r>
    </w:p>
    <w:p w:rsidR="00842AFF" w:rsidRDefault="00842AFF" w:rsidP="00FA6C8A">
      <w:pPr>
        <w:spacing w:before="360" w:after="120"/>
        <w:contextualSpacing/>
      </w:pPr>
    </w:p>
    <w:p w:rsidR="008B377B" w:rsidRDefault="008B377B" w:rsidP="00057190">
      <w:pPr>
        <w:spacing w:before="360" w:after="120"/>
        <w:contextualSpacing/>
        <w:jc w:val="right"/>
        <w:rPr>
          <w:b/>
          <w:szCs w:val="24"/>
          <w:u w:val="single"/>
        </w:rPr>
      </w:pPr>
      <w:r>
        <w:rPr>
          <w:i/>
        </w:rPr>
        <w:br w:type="page"/>
      </w:r>
      <w:r>
        <w:rPr>
          <w:b/>
          <w:szCs w:val="24"/>
          <w:u w:val="single"/>
        </w:rPr>
        <w:t>ATTACHMENT</w:t>
      </w:r>
      <w:r w:rsidR="00057190">
        <w:rPr>
          <w:b/>
          <w:szCs w:val="24"/>
          <w:u w:val="single"/>
        </w:rPr>
        <w:t xml:space="preserve"> A</w:t>
      </w:r>
    </w:p>
    <w:p w:rsidR="008B377B" w:rsidRDefault="008B377B">
      <w:pPr>
        <w:spacing w:before="360" w:after="120"/>
        <w:contextualSpacing/>
        <w:rPr>
          <w:szCs w:val="24"/>
        </w:rPr>
      </w:pPr>
    </w:p>
    <w:p w:rsidR="008B377B" w:rsidRDefault="008B377B">
      <w:pPr>
        <w:spacing w:before="360" w:after="120"/>
        <w:contextualSpacing/>
        <w:jc w:val="center"/>
        <w:rPr>
          <w:b/>
          <w:sz w:val="28"/>
          <w:szCs w:val="28"/>
        </w:rPr>
      </w:pPr>
      <w:r>
        <w:rPr>
          <w:b/>
          <w:sz w:val="28"/>
          <w:szCs w:val="28"/>
        </w:rPr>
        <w:t>Statement of Compatibility with Human Rights</w:t>
      </w:r>
    </w:p>
    <w:p w:rsidR="008B377B" w:rsidRDefault="008B377B">
      <w:pPr>
        <w:spacing w:before="360" w:after="120"/>
        <w:contextualSpacing/>
        <w:jc w:val="center"/>
        <w:rPr>
          <w:b/>
          <w:szCs w:val="24"/>
        </w:rPr>
      </w:pPr>
    </w:p>
    <w:p w:rsidR="008B377B" w:rsidRDefault="008B377B" w:rsidP="00932C43">
      <w:pPr>
        <w:spacing w:line="276" w:lineRule="auto"/>
        <w:contextualSpacing/>
        <w:jc w:val="center"/>
        <w:rPr>
          <w:i/>
          <w:szCs w:val="24"/>
        </w:rPr>
      </w:pPr>
      <w:r w:rsidRPr="00932C43">
        <w:rPr>
          <w:szCs w:val="24"/>
        </w:rPr>
        <w:t>Prepared in accordance with</w:t>
      </w:r>
      <w:r>
        <w:rPr>
          <w:i/>
          <w:szCs w:val="24"/>
        </w:rPr>
        <w:t xml:space="preserve"> </w:t>
      </w:r>
      <w:r w:rsidRPr="000E4AB7">
        <w:rPr>
          <w:szCs w:val="24"/>
        </w:rPr>
        <w:t>Part 3 of the</w:t>
      </w:r>
      <w:r>
        <w:rPr>
          <w:i/>
          <w:szCs w:val="24"/>
        </w:rPr>
        <w:t xml:space="preserve"> Human Rights (Parliamentary Scrutiny) Act 2011</w:t>
      </w:r>
    </w:p>
    <w:p w:rsidR="008B377B" w:rsidRDefault="008B377B" w:rsidP="00932C43">
      <w:pPr>
        <w:spacing w:line="276" w:lineRule="auto"/>
        <w:contextualSpacing/>
        <w:jc w:val="center"/>
        <w:rPr>
          <w:szCs w:val="24"/>
        </w:rPr>
      </w:pPr>
    </w:p>
    <w:p w:rsidR="008B377B" w:rsidRDefault="008B377B" w:rsidP="00932C43">
      <w:pPr>
        <w:spacing w:line="276" w:lineRule="auto"/>
        <w:contextualSpacing/>
        <w:jc w:val="center"/>
        <w:rPr>
          <w:szCs w:val="24"/>
        </w:rPr>
      </w:pPr>
    </w:p>
    <w:p w:rsidR="008B377B" w:rsidRPr="00DA6C32" w:rsidRDefault="008B377B" w:rsidP="00932C43">
      <w:pPr>
        <w:spacing w:line="276" w:lineRule="auto"/>
        <w:contextualSpacing/>
        <w:jc w:val="center"/>
        <w:rPr>
          <w:b/>
          <w:i/>
          <w:szCs w:val="24"/>
        </w:rPr>
      </w:pPr>
      <w:r w:rsidRPr="00DA6C32">
        <w:rPr>
          <w:b/>
          <w:i/>
        </w:rPr>
        <w:t>Quarantine Service Fees (</w:t>
      </w:r>
      <w:r w:rsidRPr="00DA6C32">
        <w:rPr>
          <w:b/>
          <w:i/>
          <w:szCs w:val="24"/>
        </w:rPr>
        <w:t xml:space="preserve">Australia Post) </w:t>
      </w:r>
      <w:r w:rsidR="008E74B2" w:rsidRPr="00DA6C32">
        <w:rPr>
          <w:b/>
          <w:i/>
          <w:szCs w:val="24"/>
        </w:rPr>
        <w:t>Amendment (</w:t>
      </w:r>
      <w:r w:rsidR="00C15C52" w:rsidRPr="00DA6C32">
        <w:rPr>
          <w:b/>
          <w:i/>
          <w:szCs w:val="24"/>
        </w:rPr>
        <w:t>Cost Recovery</w:t>
      </w:r>
      <w:r w:rsidR="008E74B2" w:rsidRPr="00DA6C32">
        <w:rPr>
          <w:b/>
          <w:i/>
          <w:szCs w:val="24"/>
        </w:rPr>
        <w:t xml:space="preserve">) </w:t>
      </w:r>
      <w:r w:rsidRPr="00DA6C32">
        <w:rPr>
          <w:b/>
          <w:i/>
          <w:szCs w:val="24"/>
        </w:rPr>
        <w:t>Determination 2015</w:t>
      </w:r>
    </w:p>
    <w:p w:rsidR="008B377B" w:rsidRDefault="008B377B" w:rsidP="00932C43">
      <w:pPr>
        <w:spacing w:line="276" w:lineRule="auto"/>
        <w:contextualSpacing/>
        <w:jc w:val="center"/>
        <w:rPr>
          <w:b/>
          <w:szCs w:val="24"/>
        </w:rPr>
      </w:pPr>
    </w:p>
    <w:p w:rsidR="001E393F" w:rsidRDefault="001E393F" w:rsidP="00932C43">
      <w:pPr>
        <w:spacing w:line="276" w:lineRule="auto"/>
        <w:contextualSpacing/>
        <w:jc w:val="center"/>
        <w:rPr>
          <w:b/>
          <w:szCs w:val="24"/>
        </w:rPr>
      </w:pPr>
    </w:p>
    <w:p w:rsidR="008B377B" w:rsidRDefault="008B377B" w:rsidP="00932C43">
      <w:pPr>
        <w:spacing w:line="276" w:lineRule="auto"/>
        <w:contextualSpacing/>
        <w:jc w:val="cente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8B377B" w:rsidRDefault="008B377B">
      <w:pPr>
        <w:contextualSpacing/>
        <w:rPr>
          <w:szCs w:val="24"/>
        </w:rPr>
      </w:pPr>
    </w:p>
    <w:p w:rsidR="008B377B" w:rsidRDefault="008B377B">
      <w:pPr>
        <w:spacing w:before="120" w:after="120"/>
        <w:contextualSpacing/>
        <w:rPr>
          <w:b/>
          <w:szCs w:val="24"/>
        </w:rPr>
      </w:pPr>
      <w:r>
        <w:rPr>
          <w:b/>
          <w:szCs w:val="24"/>
        </w:rPr>
        <w:t>Overview of the Legislative Instrument</w:t>
      </w:r>
    </w:p>
    <w:p w:rsidR="008B377B" w:rsidRDefault="008B377B" w:rsidP="00932C43">
      <w:pPr>
        <w:spacing w:before="120" w:after="120" w:line="276" w:lineRule="auto"/>
        <w:contextualSpacing/>
        <w:rPr>
          <w:b/>
          <w:szCs w:val="24"/>
        </w:rPr>
      </w:pPr>
    </w:p>
    <w:p w:rsidR="00EF6A54" w:rsidRDefault="00EF6A54" w:rsidP="00EF6A54">
      <w:pPr>
        <w:spacing w:line="276" w:lineRule="auto"/>
      </w:pPr>
      <w:r>
        <w:t xml:space="preserve">The purpose of the </w:t>
      </w:r>
      <w:r>
        <w:rPr>
          <w:i/>
        </w:rPr>
        <w:t xml:space="preserve">Quarantine Service Fees (Australia Post) Amendment (Cost Recovery) Determination 2015 </w:t>
      </w:r>
      <w:r>
        <w:t>(the</w:t>
      </w:r>
      <w:r>
        <w:rPr>
          <w:i/>
        </w:rPr>
        <w:t xml:space="preserve"> </w:t>
      </w:r>
      <w:r>
        <w:t xml:space="preserve">Amendment Determination) is to amend the </w:t>
      </w:r>
      <w:r w:rsidRPr="00932C43">
        <w:rPr>
          <w:i/>
        </w:rPr>
        <w:t>Quarantine Service Fees (Australia Post) Determination 2010</w:t>
      </w:r>
      <w:r>
        <w:t xml:space="preserve"> which prescribes the fees payable by Australia Post and to adjust the timing for paying any </w:t>
      </w:r>
      <w:r w:rsidRPr="00FA6F66">
        <w:t>such fees</w:t>
      </w:r>
      <w:r>
        <w:t xml:space="preserve">.  </w:t>
      </w:r>
    </w:p>
    <w:p w:rsidR="00EF6A54" w:rsidRDefault="00EF6A54" w:rsidP="00EF6A54">
      <w:pPr>
        <w:spacing w:line="276" w:lineRule="auto"/>
      </w:pPr>
    </w:p>
    <w:p w:rsidR="00EF6A54" w:rsidRDefault="00EF6A54" w:rsidP="00EF6A54">
      <w:pPr>
        <w:spacing w:line="276" w:lineRule="auto"/>
      </w:pPr>
      <w:r>
        <w:t xml:space="preserve">The Amendment Determination gives effect to the new quarantine cost recovery fees developed </w:t>
      </w:r>
      <w:r w:rsidRPr="00FA3FD5">
        <w:t>as part of the Department of Agriculture</w:t>
      </w:r>
      <w:r>
        <w:t xml:space="preserve"> and Water Resources’</w:t>
      </w:r>
      <w:r w:rsidRPr="00FA3FD5">
        <w:t xml:space="preserve"> redesign</w:t>
      </w:r>
      <w:r>
        <w:t xml:space="preserve"> of cost recovery arrangements.</w:t>
      </w:r>
      <w:r w:rsidRPr="00705E88">
        <w:rPr>
          <w:iCs/>
        </w:rPr>
        <w:t xml:space="preserve"> </w:t>
      </w:r>
      <w:r w:rsidRPr="00202900">
        <w:t xml:space="preserve"> </w:t>
      </w:r>
    </w:p>
    <w:p w:rsidR="008B377B" w:rsidRDefault="008B377B" w:rsidP="00932C43">
      <w:pPr>
        <w:spacing w:line="276" w:lineRule="auto"/>
        <w:contextualSpacing/>
        <w:rPr>
          <w:szCs w:val="24"/>
        </w:rPr>
      </w:pPr>
    </w:p>
    <w:p w:rsidR="008B377B" w:rsidRDefault="008B377B">
      <w:pPr>
        <w:spacing w:before="120" w:after="120"/>
        <w:contextualSpacing/>
        <w:rPr>
          <w:b/>
          <w:szCs w:val="24"/>
        </w:rPr>
      </w:pPr>
      <w:r>
        <w:rPr>
          <w:b/>
          <w:szCs w:val="24"/>
        </w:rPr>
        <w:t>Human rights implications</w:t>
      </w:r>
    </w:p>
    <w:p w:rsidR="008B377B" w:rsidRDefault="008B377B" w:rsidP="00932C43">
      <w:pPr>
        <w:spacing w:before="120" w:after="120" w:line="276" w:lineRule="auto"/>
        <w:contextualSpacing/>
        <w:rPr>
          <w:b/>
          <w:szCs w:val="24"/>
        </w:rPr>
      </w:pPr>
    </w:p>
    <w:p w:rsidR="008B377B" w:rsidRDefault="008B377B" w:rsidP="00932C43">
      <w:pPr>
        <w:spacing w:before="120" w:after="120" w:line="276" w:lineRule="auto"/>
        <w:contextualSpacing/>
        <w:rPr>
          <w:szCs w:val="24"/>
        </w:rPr>
      </w:pPr>
      <w:r>
        <w:rPr>
          <w:szCs w:val="24"/>
        </w:rPr>
        <w:t>This Legislative Instrument does not engage any of the applicable rights or freedoms.</w:t>
      </w:r>
    </w:p>
    <w:p w:rsidR="008B377B" w:rsidRDefault="008B377B" w:rsidP="00932C43">
      <w:pPr>
        <w:spacing w:line="276" w:lineRule="auto"/>
        <w:contextualSpacing/>
        <w:rPr>
          <w:szCs w:val="24"/>
        </w:rPr>
      </w:pPr>
    </w:p>
    <w:p w:rsidR="008B377B" w:rsidRDefault="008B377B" w:rsidP="00932C43">
      <w:pPr>
        <w:spacing w:before="120" w:after="120" w:line="276" w:lineRule="auto"/>
        <w:contextualSpacing/>
        <w:rPr>
          <w:b/>
          <w:szCs w:val="24"/>
        </w:rPr>
      </w:pPr>
      <w:r>
        <w:rPr>
          <w:b/>
          <w:szCs w:val="24"/>
        </w:rPr>
        <w:t>Conclusion</w:t>
      </w:r>
    </w:p>
    <w:p w:rsidR="008B377B" w:rsidRDefault="008B377B" w:rsidP="00932C43">
      <w:pPr>
        <w:spacing w:before="120" w:after="120" w:line="276" w:lineRule="auto"/>
        <w:contextualSpacing/>
        <w:rPr>
          <w:b/>
          <w:szCs w:val="24"/>
        </w:rPr>
      </w:pPr>
    </w:p>
    <w:p w:rsidR="008B377B" w:rsidRDefault="008B377B" w:rsidP="00932C43">
      <w:pPr>
        <w:spacing w:before="120" w:after="120" w:line="276" w:lineRule="auto"/>
        <w:contextualSpacing/>
        <w:rPr>
          <w:szCs w:val="24"/>
        </w:rPr>
      </w:pPr>
      <w:r>
        <w:rPr>
          <w:szCs w:val="24"/>
        </w:rPr>
        <w:t>This Legislative Instrument is compatible with human rights as it does not raise any human rights issues.</w:t>
      </w:r>
    </w:p>
    <w:p w:rsidR="008B377B" w:rsidRDefault="008B377B" w:rsidP="00932C43">
      <w:pPr>
        <w:spacing w:before="120" w:after="120" w:line="276" w:lineRule="auto"/>
        <w:contextualSpacing/>
        <w:rPr>
          <w:szCs w:val="24"/>
        </w:rPr>
      </w:pPr>
    </w:p>
    <w:p w:rsidR="008B377B" w:rsidRDefault="008B377B" w:rsidP="00932C43">
      <w:pPr>
        <w:spacing w:line="276" w:lineRule="auto"/>
        <w:contextualSpacing/>
        <w:rPr>
          <w:szCs w:val="24"/>
        </w:rPr>
      </w:pPr>
    </w:p>
    <w:p w:rsidR="008B377B" w:rsidRDefault="008B377B">
      <w:pPr>
        <w:spacing w:before="120" w:after="120"/>
        <w:contextualSpacing/>
        <w:jc w:val="center"/>
        <w:rPr>
          <w:b/>
          <w:szCs w:val="24"/>
        </w:rPr>
      </w:pPr>
      <w:r>
        <w:rPr>
          <w:b/>
          <w:szCs w:val="24"/>
        </w:rPr>
        <w:t>The Hon. Barnaby Joyce MP</w:t>
      </w:r>
    </w:p>
    <w:p w:rsidR="008B377B" w:rsidRDefault="008B377B">
      <w:pPr>
        <w:spacing w:before="120" w:after="120"/>
        <w:contextualSpacing/>
        <w:jc w:val="center"/>
        <w:rPr>
          <w:szCs w:val="24"/>
        </w:rPr>
      </w:pPr>
      <w:r>
        <w:rPr>
          <w:b/>
          <w:szCs w:val="24"/>
        </w:rPr>
        <w:t>Minister for Agriculture</w:t>
      </w:r>
      <w:r w:rsidR="00D47484">
        <w:rPr>
          <w:b/>
          <w:szCs w:val="24"/>
        </w:rPr>
        <w:t xml:space="preserve"> and Water Resources</w:t>
      </w:r>
    </w:p>
    <w:p w:rsidR="008B377B" w:rsidRDefault="008B377B">
      <w:pPr>
        <w:rPr>
          <w:i/>
        </w:rPr>
      </w:pPr>
    </w:p>
    <w:sectPr w:rsidR="008B377B" w:rsidSect="0030440D">
      <w:headerReference w:type="even" r:id="rId7"/>
      <w:headerReference w:type="default" r:id="rId8"/>
      <w:footerReference w:type="even" r:id="rId9"/>
      <w:footerReference w:type="default" r:id="rId10"/>
      <w:headerReference w:type="first" r:id="rId11"/>
      <w:footerReference w:type="first" r:id="rId12"/>
      <w:pgSz w:w="11907" w:h="16840" w:code="9"/>
      <w:pgMar w:top="851" w:right="992" w:bottom="851"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995" w:rsidRDefault="00CC1995">
      <w:r>
        <w:separator/>
      </w:r>
    </w:p>
  </w:endnote>
  <w:endnote w:type="continuationSeparator" w:id="0">
    <w:p w:rsidR="00CC1995" w:rsidRDefault="00CC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A7" w:rsidRDefault="006446A7">
    <w:pPr>
      <w:pStyle w:val="Footer"/>
    </w:pPr>
    <w:r>
      <w:t>CBR3_422243_1 (W97)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A7" w:rsidRDefault="006446A7">
    <w:pPr>
      <w:pStyle w:val="Footer"/>
      <w:tabs>
        <w:tab w:val="clear" w:pos="4320"/>
        <w:tab w:val="clear" w:pos="8640"/>
        <w:tab w:val="center" w:pos="4678"/>
        <w:tab w:val="right" w:pos="935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A7" w:rsidRDefault="006446A7">
    <w:pPr>
      <w:pStyle w:val="Footer"/>
      <w:tabs>
        <w:tab w:val="clear" w:pos="4320"/>
        <w:tab w:val="clear" w:pos="8640"/>
        <w:tab w:val="center" w:pos="4678"/>
        <w:tab w:val="right" w:pos="935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995" w:rsidRDefault="00CC1995">
      <w:r>
        <w:separator/>
      </w:r>
    </w:p>
  </w:footnote>
  <w:footnote w:type="continuationSeparator" w:id="0">
    <w:p w:rsidR="00CC1995" w:rsidRDefault="00CC1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E9" w:rsidRDefault="00C04C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A7" w:rsidRDefault="006446A7">
    <w:pPr>
      <w:pStyle w:val="Header"/>
      <w:tabs>
        <w:tab w:val="clear" w:pos="4320"/>
        <w:tab w:val="clear" w:pos="8640"/>
        <w:tab w:val="center" w:pos="4678"/>
        <w:tab w:val="right" w:pos="9356"/>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6C184E">
      <w:rPr>
        <w:rStyle w:val="PageNumber"/>
        <w:noProof/>
      </w:rPr>
      <w:t>5</w:t>
    </w:r>
    <w:r>
      <w:rPr>
        <w:rStyle w:val="PageNumber"/>
      </w:rPr>
      <w:fldChar w:fldCharType="end"/>
    </w:r>
  </w:p>
  <w:p w:rsidR="006446A7" w:rsidRDefault="006446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A7" w:rsidRDefault="006446A7">
    <w:pPr>
      <w:pStyle w:val="Header"/>
      <w:tabs>
        <w:tab w:val="clear" w:pos="4320"/>
        <w:tab w:val="clear" w:pos="8640"/>
        <w:tab w:val="center" w:pos="4678"/>
        <w:tab w:val="right" w:pos="9356"/>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265"/>
    <w:multiLevelType w:val="multilevel"/>
    <w:tmpl w:val="8084ADFE"/>
    <w:lvl w:ilvl="0">
      <w:start w:val="1"/>
      <w:numFmt w:val="decimal"/>
      <w:pStyle w:val="SectionL1"/>
      <w:suff w:val="nothing"/>
      <w:lvlText w:val="SECTION %1."/>
      <w:lvlJc w:val="left"/>
      <w:pPr>
        <w:ind w:left="0" w:firstLine="0"/>
      </w:pPr>
      <w:rPr>
        <w:b/>
        <w:i w:val="0"/>
      </w:rPr>
    </w:lvl>
    <w:lvl w:ilvl="1">
      <w:start w:val="1"/>
      <w:numFmt w:val="decimal"/>
      <w:pStyle w:val="SectionL2"/>
      <w:lvlText w:val="%1.%2"/>
      <w:lvlJc w:val="left"/>
      <w:pPr>
        <w:tabs>
          <w:tab w:val="num" w:pos="851"/>
        </w:tabs>
        <w:ind w:left="851" w:hanging="851"/>
      </w:pPr>
    </w:lvl>
    <w:lvl w:ilvl="2">
      <w:start w:val="1"/>
      <w:numFmt w:val="lowerLetter"/>
      <w:pStyle w:val="SectionL3"/>
      <w:lvlText w:val="(%3)"/>
      <w:lvlJc w:val="left"/>
      <w:pPr>
        <w:tabs>
          <w:tab w:val="num" w:pos="1701"/>
        </w:tabs>
        <w:ind w:left="1701" w:hanging="850"/>
      </w:pPr>
    </w:lvl>
    <w:lvl w:ilvl="3">
      <w:start w:val="1"/>
      <w:numFmt w:val="lowerRoman"/>
      <w:pStyle w:val="SectionL4"/>
      <w:lvlText w:val="(%4)"/>
      <w:lvlJc w:val="left"/>
      <w:pPr>
        <w:tabs>
          <w:tab w:val="num" w:pos="2552"/>
        </w:tabs>
        <w:ind w:left="2552" w:hanging="851"/>
      </w:pPr>
    </w:lvl>
    <w:lvl w:ilvl="4">
      <w:start w:val="1"/>
      <w:numFmt w:val="upperLetter"/>
      <w:pStyle w:val="SectionL5"/>
      <w:lvlText w:val="(%5)"/>
      <w:lvlJc w:val="left"/>
      <w:pPr>
        <w:tabs>
          <w:tab w:val="num" w:pos="3402"/>
        </w:tabs>
        <w:ind w:left="3402" w:hanging="850"/>
      </w:pPr>
    </w:lvl>
    <w:lvl w:ilvl="5">
      <w:start w:val="1"/>
      <w:numFmt w:val="upperRoman"/>
      <w:pStyle w:val="SectionL6"/>
      <w:lvlText w:val="(%6)"/>
      <w:lvlJc w:val="left"/>
      <w:pPr>
        <w:tabs>
          <w:tab w:val="num" w:pos="4253"/>
        </w:tabs>
        <w:ind w:left="4253" w:hanging="851"/>
      </w:pPr>
    </w:lvl>
    <w:lvl w:ilvl="6">
      <w:start w:val="1"/>
      <w:numFmt w:val="upperRoman"/>
      <w:pStyle w:val="Section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nsid w:val="0B346C8B"/>
    <w:multiLevelType w:val="multilevel"/>
    <w:tmpl w:val="76C830DE"/>
    <w:lvl w:ilvl="0">
      <w:start w:val="1"/>
      <w:numFmt w:val="upperLetter"/>
      <w:pStyle w:val="Level1"/>
      <w:lvlText w:val="%1."/>
      <w:lvlJc w:val="left"/>
      <w:pPr>
        <w:tabs>
          <w:tab w:val="num" w:pos="851"/>
        </w:tabs>
        <w:ind w:left="851" w:hanging="851"/>
      </w:pPr>
    </w:lvl>
    <w:lvl w:ilvl="1">
      <w:start w:val="1"/>
      <w:numFmt w:val="decimal"/>
      <w:pStyle w:val="Level2"/>
      <w:lvlText w:val="%2."/>
      <w:lvlJc w:val="left"/>
      <w:pPr>
        <w:tabs>
          <w:tab w:val="num" w:pos="1701"/>
        </w:tabs>
        <w:ind w:left="1701" w:hanging="850"/>
      </w:pPr>
    </w:lvl>
    <w:lvl w:ilvl="2">
      <w:start w:val="1"/>
      <w:numFmt w:val="lowerLetter"/>
      <w:pStyle w:val="Level3"/>
      <w:lvlText w:val="(%3)"/>
      <w:lvlJc w:val="left"/>
      <w:pPr>
        <w:tabs>
          <w:tab w:val="num" w:pos="2552"/>
        </w:tabs>
        <w:ind w:left="2552" w:hanging="851"/>
      </w:pPr>
    </w:lvl>
    <w:lvl w:ilvl="3">
      <w:start w:val="1"/>
      <w:numFmt w:val="lowerRoman"/>
      <w:pStyle w:val="Level4"/>
      <w:lvlText w:val="(%4)"/>
      <w:lvlJc w:val="left"/>
      <w:pPr>
        <w:tabs>
          <w:tab w:val="num" w:pos="3402"/>
        </w:tabs>
        <w:ind w:left="3402" w:hanging="850"/>
      </w:pPr>
    </w:lvl>
    <w:lvl w:ilvl="4">
      <w:start w:val="1"/>
      <w:numFmt w:val="upperLetter"/>
      <w:pStyle w:val="Level5"/>
      <w:lvlText w:val="(%5)"/>
      <w:lvlJc w:val="left"/>
      <w:pPr>
        <w:tabs>
          <w:tab w:val="num" w:pos="4253"/>
        </w:tabs>
        <w:ind w:left="4253"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2">
    <w:nsid w:val="11B74A1F"/>
    <w:multiLevelType w:val="multilevel"/>
    <w:tmpl w:val="12BE6386"/>
    <w:lvl w:ilvl="0">
      <w:start w:val="1"/>
      <w:numFmt w:val="decimal"/>
      <w:pStyle w:val="WarrantyL1"/>
      <w:suff w:val="space"/>
      <w:lvlText w:val="Warranty %1"/>
      <w:lvlJc w:val="left"/>
      <w:pPr>
        <w:ind w:left="0" w:firstLine="0"/>
      </w:pPr>
    </w:lvl>
    <w:lvl w:ilvl="1">
      <w:start w:val="1"/>
      <w:numFmt w:val="decimal"/>
      <w:pStyle w:val="WarrantyL2"/>
      <w:lvlText w:val="%1.%2"/>
      <w:lvlJc w:val="left"/>
      <w:pPr>
        <w:tabs>
          <w:tab w:val="num" w:pos="851"/>
        </w:tabs>
        <w:ind w:left="851" w:hanging="851"/>
      </w:pPr>
    </w:lvl>
    <w:lvl w:ilvl="2">
      <w:start w:val="1"/>
      <w:numFmt w:val="lowerLetter"/>
      <w:pStyle w:val="WarrantyL3"/>
      <w:lvlText w:val="(%3)"/>
      <w:lvlJc w:val="left"/>
      <w:pPr>
        <w:tabs>
          <w:tab w:val="num" w:pos="1701"/>
        </w:tabs>
        <w:ind w:left="1701" w:hanging="850"/>
      </w:pPr>
    </w:lvl>
    <w:lvl w:ilvl="3">
      <w:start w:val="1"/>
      <w:numFmt w:val="lowerRoman"/>
      <w:pStyle w:val="WarrantyL4"/>
      <w:lvlText w:val="(%4)"/>
      <w:lvlJc w:val="left"/>
      <w:pPr>
        <w:tabs>
          <w:tab w:val="num" w:pos="2552"/>
        </w:tabs>
        <w:ind w:left="2552" w:hanging="851"/>
      </w:pPr>
    </w:lvl>
    <w:lvl w:ilvl="4">
      <w:start w:val="1"/>
      <w:numFmt w:val="upperLetter"/>
      <w:pStyle w:val="WarrantyL5"/>
      <w:lvlText w:val="(%5)"/>
      <w:lvlJc w:val="left"/>
      <w:pPr>
        <w:tabs>
          <w:tab w:val="num" w:pos="3402"/>
        </w:tabs>
        <w:ind w:left="3402" w:hanging="850"/>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3">
    <w:nsid w:val="4A740E0E"/>
    <w:multiLevelType w:val="multilevel"/>
    <w:tmpl w:val="49C46740"/>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
    <w:nsid w:val="4B595E74"/>
    <w:multiLevelType w:val="hybridMultilevel"/>
    <w:tmpl w:val="CB087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9281563"/>
    <w:multiLevelType w:val="hybridMultilevel"/>
    <w:tmpl w:val="3CE20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E007C75"/>
    <w:multiLevelType w:val="multilevel"/>
    <w:tmpl w:val="A2B0C6A6"/>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Legal3"/>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7">
    <w:nsid w:val="644E6124"/>
    <w:multiLevelType w:val="multilevel"/>
    <w:tmpl w:val="D994A868"/>
    <w:lvl w:ilvl="0">
      <w:start w:val="1"/>
      <w:numFmt w:val="lowerLetter"/>
      <w:pStyle w:val="MEBasic1"/>
      <w:lvlText w:val="(%1)"/>
      <w:lvlJc w:val="left"/>
      <w:pPr>
        <w:tabs>
          <w:tab w:val="num" w:pos="851"/>
        </w:tabs>
        <w:ind w:left="851" w:hanging="851"/>
      </w:pPr>
    </w:lvl>
    <w:lvl w:ilvl="1">
      <w:start w:val="1"/>
      <w:numFmt w:val="lowerRoman"/>
      <w:pStyle w:val="MEBasic2"/>
      <w:lvlText w:val="(%2)"/>
      <w:lvlJc w:val="left"/>
      <w:pPr>
        <w:tabs>
          <w:tab w:val="num" w:pos="1701"/>
        </w:tabs>
        <w:ind w:left="1701" w:hanging="850"/>
      </w:pPr>
    </w:lvl>
    <w:lvl w:ilvl="2">
      <w:start w:val="1"/>
      <w:numFmt w:val="upperLetter"/>
      <w:pStyle w:val="MEBasic3"/>
      <w:lvlText w:val="(%3)"/>
      <w:lvlJc w:val="left"/>
      <w:pPr>
        <w:tabs>
          <w:tab w:val="num" w:pos="2552"/>
        </w:tabs>
        <w:ind w:left="2552" w:hanging="851"/>
      </w:pPr>
    </w:lvl>
    <w:lvl w:ilvl="3">
      <w:start w:val="1"/>
      <w:numFmt w:val="upperRoman"/>
      <w:pStyle w:val="MEBasic4"/>
      <w:lvlText w:val="(%4)"/>
      <w:lvlJc w:val="left"/>
      <w:pPr>
        <w:tabs>
          <w:tab w:val="num" w:pos="3402"/>
        </w:tabs>
        <w:ind w:left="3402" w:hanging="850"/>
      </w:pPr>
    </w:lvl>
    <w:lvl w:ilvl="4">
      <w:start w:val="1"/>
      <w:numFmt w:val="upperLetter"/>
      <w:pStyle w:val="MEBasic5"/>
      <w:lvlText w:val="(%5)"/>
      <w:lvlJc w:val="left"/>
      <w:pPr>
        <w:tabs>
          <w:tab w:val="num" w:pos="4253"/>
        </w:tabs>
        <w:ind w:left="4253" w:hanging="851"/>
      </w:pPr>
    </w:lvl>
    <w:lvl w:ilvl="5">
      <w:start w:val="1"/>
      <w:numFmt w:val="upperRoman"/>
      <w:lvlText w:val="(%6)"/>
      <w:lvlJc w:val="left"/>
      <w:pPr>
        <w:tabs>
          <w:tab w:val="num" w:pos="5103"/>
        </w:tabs>
        <w:ind w:left="5103" w:hanging="850"/>
      </w:pPr>
    </w:lvl>
    <w:lvl w:ilvl="6">
      <w:start w:val="1"/>
      <w:numFmt w:val="decimal"/>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nsid w:val="6576234D"/>
    <w:multiLevelType w:val="hybridMultilevel"/>
    <w:tmpl w:val="E14CB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5996087"/>
    <w:multiLevelType w:val="multilevel"/>
    <w:tmpl w:val="265AAB0E"/>
    <w:lvl w:ilvl="0">
      <w:start w:val="1"/>
      <w:numFmt w:val="decimal"/>
      <w:pStyle w:val="MENoIndent1"/>
      <w:suff w:val="space"/>
      <w:lvlText w:val="%1."/>
      <w:lvlJc w:val="left"/>
      <w:pPr>
        <w:ind w:left="0" w:firstLine="0"/>
      </w:pPr>
    </w:lvl>
    <w:lvl w:ilvl="1">
      <w:start w:val="1"/>
      <w:numFmt w:val="decimal"/>
      <w:pStyle w:val="MENoIndent2"/>
      <w:suff w:val="space"/>
      <w:lvlText w:val="%1.%2"/>
      <w:lvlJc w:val="left"/>
      <w:pPr>
        <w:ind w:left="0" w:firstLine="0"/>
      </w:pPr>
    </w:lvl>
    <w:lvl w:ilvl="2">
      <w:start w:val="1"/>
      <w:numFmt w:val="lowerLetter"/>
      <w:pStyle w:val="MENoIndent3"/>
      <w:suff w:val="space"/>
      <w:lvlText w:val="(%3)"/>
      <w:lvlJc w:val="left"/>
      <w:pPr>
        <w:ind w:left="0" w:firstLine="0"/>
      </w:pPr>
    </w:lvl>
    <w:lvl w:ilvl="3">
      <w:start w:val="1"/>
      <w:numFmt w:val="lowerRoman"/>
      <w:pStyle w:val="MENoIndent4"/>
      <w:suff w:val="space"/>
      <w:lvlText w:val="(%4)"/>
      <w:lvlJc w:val="left"/>
      <w:pPr>
        <w:ind w:left="0" w:firstLine="0"/>
      </w:pPr>
    </w:lvl>
    <w:lvl w:ilvl="4">
      <w:start w:val="1"/>
      <w:numFmt w:val="upperLetter"/>
      <w:pStyle w:val="MENoIndent5"/>
      <w:suff w:val="space"/>
      <w:lvlText w:val="(%5)"/>
      <w:lvlJc w:val="left"/>
      <w:pPr>
        <w:ind w:left="0" w:firstLine="0"/>
      </w:pPr>
    </w:lvl>
    <w:lvl w:ilvl="5">
      <w:start w:val="1"/>
      <w:numFmt w:val="upperRoman"/>
      <w:pStyle w:val="MENoIndent6"/>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0">
    <w:nsid w:val="65E00F9D"/>
    <w:multiLevelType w:val="multilevel"/>
    <w:tmpl w:val="BE94D88A"/>
    <w:lvl w:ilvl="0">
      <w:start w:val="1"/>
      <w:numFmt w:val="decimal"/>
      <w:pStyle w:val="PartL1"/>
      <w:suff w:val="nothing"/>
      <w:lvlText w:val="PART %1"/>
      <w:lvlJc w:val="left"/>
      <w:pPr>
        <w:ind w:left="851" w:hanging="851"/>
      </w:pPr>
      <w:rPr>
        <w:b/>
        <w:i w:val="0"/>
      </w:rPr>
    </w:lvl>
    <w:lvl w:ilvl="1">
      <w:start w:val="1"/>
      <w:numFmt w:val="decimal"/>
      <w:pStyle w:val="PartL2"/>
      <w:lvlText w:val="%1.%2"/>
      <w:lvlJc w:val="left"/>
      <w:pPr>
        <w:tabs>
          <w:tab w:val="num" w:pos="851"/>
        </w:tabs>
        <w:ind w:left="851" w:hanging="851"/>
      </w:pPr>
    </w:lvl>
    <w:lvl w:ilvl="2">
      <w:start w:val="1"/>
      <w:numFmt w:val="lowerLetter"/>
      <w:pStyle w:val="PartL3"/>
      <w:lvlText w:val="(%3)"/>
      <w:lvlJc w:val="left"/>
      <w:pPr>
        <w:tabs>
          <w:tab w:val="num" w:pos="1701"/>
        </w:tabs>
        <w:ind w:left="1701" w:hanging="850"/>
      </w:pPr>
    </w:lvl>
    <w:lvl w:ilvl="3">
      <w:start w:val="1"/>
      <w:numFmt w:val="lowerRoman"/>
      <w:pStyle w:val="PartL4"/>
      <w:lvlText w:val="(%4)"/>
      <w:lvlJc w:val="left"/>
      <w:pPr>
        <w:tabs>
          <w:tab w:val="num" w:pos="2552"/>
        </w:tabs>
        <w:ind w:left="2552" w:hanging="851"/>
      </w:pPr>
    </w:lvl>
    <w:lvl w:ilvl="4">
      <w:start w:val="1"/>
      <w:numFmt w:val="upperLetter"/>
      <w:pStyle w:val="PartL5"/>
      <w:lvlText w:val="(%5)"/>
      <w:lvlJc w:val="left"/>
      <w:pPr>
        <w:tabs>
          <w:tab w:val="num" w:pos="3402"/>
        </w:tabs>
        <w:ind w:left="3402" w:hanging="850"/>
      </w:pPr>
    </w:lvl>
    <w:lvl w:ilvl="5">
      <w:start w:val="1"/>
      <w:numFmt w:val="upperRoman"/>
      <w:pStyle w:val="PartL6"/>
      <w:lvlText w:val="(%6)"/>
      <w:lvlJc w:val="left"/>
      <w:pPr>
        <w:tabs>
          <w:tab w:val="num" w:pos="4253"/>
        </w:tabs>
        <w:ind w:left="4253" w:hanging="851"/>
      </w:pPr>
    </w:lvl>
    <w:lvl w:ilvl="6">
      <w:start w:val="1"/>
      <w:numFmt w:val="decimal"/>
      <w:pStyle w:val="Part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11">
    <w:nsid w:val="6B1420C2"/>
    <w:multiLevelType w:val="multilevel"/>
    <w:tmpl w:val="6A0CAD36"/>
    <w:lvl w:ilvl="0">
      <w:start w:val="1"/>
      <w:numFmt w:val="decimal"/>
      <w:pStyle w:val="ScheduleL1"/>
      <w:suff w:val="nothing"/>
      <w:lvlText w:val="Schedule %1"/>
      <w:lvlJc w:val="left"/>
      <w:pPr>
        <w:ind w:left="0" w:firstLine="0"/>
      </w:pPr>
      <w:rPr>
        <w:b/>
        <w:i w:val="0"/>
      </w:rPr>
    </w:lvl>
    <w:lvl w:ilvl="1">
      <w:start w:val="1"/>
      <w:numFmt w:val="decimal"/>
      <w:pStyle w:val="ScheduleL2"/>
      <w:lvlText w:val="%2."/>
      <w:lvlJc w:val="left"/>
      <w:pPr>
        <w:tabs>
          <w:tab w:val="num" w:pos="851"/>
        </w:tabs>
        <w:ind w:left="851" w:hanging="851"/>
      </w:pPr>
    </w:lvl>
    <w:lvl w:ilvl="2">
      <w:start w:val="1"/>
      <w:numFmt w:val="decimal"/>
      <w:pStyle w:val="ScheduleL3"/>
      <w:lvlText w:val="%2.%3"/>
      <w:lvlJc w:val="left"/>
      <w:pPr>
        <w:tabs>
          <w:tab w:val="num" w:pos="851"/>
        </w:tabs>
        <w:ind w:left="851" w:hanging="851"/>
      </w:pPr>
    </w:lvl>
    <w:lvl w:ilvl="3">
      <w:start w:val="1"/>
      <w:numFmt w:val="lowerLetter"/>
      <w:pStyle w:val="ScheduleL4"/>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2">
    <w:nsid w:val="76DC1C9D"/>
    <w:multiLevelType w:val="multilevel"/>
    <w:tmpl w:val="C2C82344"/>
    <w:lvl w:ilvl="0">
      <w:start w:val="1"/>
      <w:numFmt w:val="decimal"/>
      <w:pStyle w:val="MEGen1"/>
      <w:lvlText w:val="%1."/>
      <w:lvlJc w:val="left"/>
      <w:pPr>
        <w:tabs>
          <w:tab w:val="num" w:pos="851"/>
        </w:tabs>
        <w:ind w:left="851" w:hanging="851"/>
      </w:pPr>
    </w:lvl>
    <w:lvl w:ilvl="1">
      <w:start w:val="1"/>
      <w:numFmt w:val="lowerLetter"/>
      <w:pStyle w:val="MEGen2"/>
      <w:lvlText w:val="(%2)"/>
      <w:lvlJc w:val="left"/>
      <w:pPr>
        <w:tabs>
          <w:tab w:val="num" w:pos="1701"/>
        </w:tabs>
        <w:ind w:left="1701" w:hanging="850"/>
      </w:pPr>
    </w:lvl>
    <w:lvl w:ilvl="2">
      <w:start w:val="1"/>
      <w:numFmt w:val="lowerRoman"/>
      <w:pStyle w:val="MEGen3"/>
      <w:lvlText w:val="(%3)"/>
      <w:lvlJc w:val="left"/>
      <w:pPr>
        <w:tabs>
          <w:tab w:val="num" w:pos="2552"/>
        </w:tabs>
        <w:ind w:left="2552" w:hanging="851"/>
      </w:pPr>
    </w:lvl>
    <w:lvl w:ilvl="3">
      <w:start w:val="1"/>
      <w:numFmt w:val="upperLetter"/>
      <w:pStyle w:val="MEGen4"/>
      <w:lvlText w:val="(%4)"/>
      <w:lvlJc w:val="left"/>
      <w:pPr>
        <w:tabs>
          <w:tab w:val="num" w:pos="3402"/>
        </w:tabs>
        <w:ind w:left="3402" w:hanging="850"/>
      </w:pPr>
    </w:lvl>
    <w:lvl w:ilvl="4">
      <w:start w:val="1"/>
      <w:numFmt w:val="upperRoman"/>
      <w:pStyle w:val="MEGen5"/>
      <w:lvlText w:val="(%5)"/>
      <w:lvlJc w:val="left"/>
      <w:pPr>
        <w:tabs>
          <w:tab w:val="num" w:pos="4253"/>
        </w:tabs>
        <w:ind w:left="4253" w:hanging="851"/>
      </w:pPr>
    </w:lvl>
    <w:lvl w:ilvl="5">
      <w:start w:val="1"/>
      <w:numFmt w:val="lowerRoman"/>
      <w:pStyle w:val="MEGen6"/>
      <w:lvlText w:val="(%6)"/>
      <w:lvlJc w:val="left"/>
      <w:pPr>
        <w:tabs>
          <w:tab w:val="num" w:pos="5103"/>
        </w:tabs>
        <w:ind w:left="5103" w:hanging="850"/>
      </w:pPr>
    </w:lvl>
    <w:lvl w:ilvl="6">
      <w:start w:val="1"/>
      <w:numFmt w:val="decimal"/>
      <w:pStyle w:val="MEGen7"/>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3">
    <w:nsid w:val="7CD4220A"/>
    <w:multiLevelType w:val="multilevel"/>
    <w:tmpl w:val="1500EE46"/>
    <w:lvl w:ilvl="0">
      <w:start w:val="1"/>
      <w:numFmt w:val="none"/>
      <w:pStyle w:val="DefinitionL1"/>
      <w:suff w:val="nothing"/>
      <w:lvlText w:val=""/>
      <w:lvlJc w:val="left"/>
      <w:pPr>
        <w:ind w:left="680" w:firstLine="0"/>
      </w:pPr>
    </w:lvl>
    <w:lvl w:ilvl="1">
      <w:start w:val="1"/>
      <w:numFmt w:val="lowerLetter"/>
      <w:pStyle w:val="DefinitionL2"/>
      <w:lvlText w:val="(%2)"/>
      <w:lvlJc w:val="left"/>
      <w:pPr>
        <w:tabs>
          <w:tab w:val="num" w:pos="1361"/>
        </w:tabs>
        <w:ind w:left="1361" w:hanging="681"/>
      </w:pPr>
    </w:lvl>
    <w:lvl w:ilvl="2">
      <w:start w:val="1"/>
      <w:numFmt w:val="lowerRoman"/>
      <w:pStyle w:val="DefinitionL3"/>
      <w:lvlText w:val="(%3)"/>
      <w:lvlJc w:val="left"/>
      <w:pPr>
        <w:tabs>
          <w:tab w:val="num" w:pos="2081"/>
        </w:tabs>
        <w:ind w:left="2041" w:hanging="68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1"/>
  </w:num>
  <w:num w:numId="10">
    <w:abstractNumId w:val="1"/>
  </w:num>
  <w:num w:numId="11">
    <w:abstractNumId w:val="1"/>
  </w:num>
  <w:num w:numId="12">
    <w:abstractNumId w:val="1"/>
  </w:num>
  <w:num w:numId="13">
    <w:abstractNumId w:val="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10"/>
  </w:num>
  <w:num w:numId="29">
    <w:abstractNumId w:val="11"/>
  </w:num>
  <w:num w:numId="30">
    <w:abstractNumId w:val="0"/>
  </w:num>
  <w:num w:numId="31">
    <w:abstractNumId w:val="9"/>
  </w:num>
  <w:num w:numId="32">
    <w:abstractNumId w:val="9"/>
  </w:num>
  <w:num w:numId="33">
    <w:abstractNumId w:val="9"/>
  </w:num>
  <w:num w:numId="34">
    <w:abstractNumId w:val="9"/>
  </w:num>
  <w:num w:numId="35">
    <w:abstractNumId w:val="9"/>
  </w:num>
  <w:num w:numId="36">
    <w:abstractNumId w:val="9"/>
  </w:num>
  <w:num w:numId="37">
    <w:abstractNumId w:val="7"/>
  </w:num>
  <w:num w:numId="38">
    <w:abstractNumId w:val="2"/>
  </w:num>
  <w:num w:numId="39">
    <w:abstractNumId w:val="2"/>
  </w:num>
  <w:num w:numId="40">
    <w:abstractNumId w:val="2"/>
  </w:num>
  <w:num w:numId="41">
    <w:abstractNumId w:val="2"/>
  </w:num>
  <w:num w:numId="42">
    <w:abstractNumId w:val="2"/>
  </w:num>
  <w:num w:numId="43">
    <w:abstractNumId w:val="13"/>
  </w:num>
  <w:num w:numId="44">
    <w:abstractNumId w:val="13"/>
  </w:num>
  <w:num w:numId="45">
    <w:abstractNumId w:val="13"/>
  </w:num>
  <w:num w:numId="46">
    <w:abstractNumId w:val="5"/>
  </w:num>
  <w:num w:numId="47">
    <w:abstractNumId w:val="4"/>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D48"/>
    <w:rsid w:val="00000FD6"/>
    <w:rsid w:val="000152D6"/>
    <w:rsid w:val="00054BC9"/>
    <w:rsid w:val="00057190"/>
    <w:rsid w:val="0007698C"/>
    <w:rsid w:val="00081ECC"/>
    <w:rsid w:val="00083579"/>
    <w:rsid w:val="00096942"/>
    <w:rsid w:val="000E4AB7"/>
    <w:rsid w:val="00107372"/>
    <w:rsid w:val="001545CB"/>
    <w:rsid w:val="00160D98"/>
    <w:rsid w:val="00196BB2"/>
    <w:rsid w:val="001B0F93"/>
    <w:rsid w:val="001E393F"/>
    <w:rsid w:val="00220166"/>
    <w:rsid w:val="002B6F20"/>
    <w:rsid w:val="002F0A6F"/>
    <w:rsid w:val="0030440D"/>
    <w:rsid w:val="00316B11"/>
    <w:rsid w:val="00325E4D"/>
    <w:rsid w:val="00336689"/>
    <w:rsid w:val="0037148F"/>
    <w:rsid w:val="003A02E9"/>
    <w:rsid w:val="003B059E"/>
    <w:rsid w:val="003C6EAE"/>
    <w:rsid w:val="003E3B4C"/>
    <w:rsid w:val="004038D7"/>
    <w:rsid w:val="0042178C"/>
    <w:rsid w:val="00430E05"/>
    <w:rsid w:val="004738E1"/>
    <w:rsid w:val="00495C93"/>
    <w:rsid w:val="004A6D44"/>
    <w:rsid w:val="005C4750"/>
    <w:rsid w:val="005F4856"/>
    <w:rsid w:val="00635F78"/>
    <w:rsid w:val="006446A7"/>
    <w:rsid w:val="00673471"/>
    <w:rsid w:val="006B2820"/>
    <w:rsid w:val="006C184E"/>
    <w:rsid w:val="006C4D48"/>
    <w:rsid w:val="006C5857"/>
    <w:rsid w:val="006F2F8B"/>
    <w:rsid w:val="00706671"/>
    <w:rsid w:val="00730828"/>
    <w:rsid w:val="00760B29"/>
    <w:rsid w:val="00792EFE"/>
    <w:rsid w:val="007B6684"/>
    <w:rsid w:val="007C6433"/>
    <w:rsid w:val="007D52B3"/>
    <w:rsid w:val="007E610A"/>
    <w:rsid w:val="008151C5"/>
    <w:rsid w:val="00815E8F"/>
    <w:rsid w:val="00842AFF"/>
    <w:rsid w:val="00851139"/>
    <w:rsid w:val="00867BF2"/>
    <w:rsid w:val="00887CC8"/>
    <w:rsid w:val="008A4619"/>
    <w:rsid w:val="008B377B"/>
    <w:rsid w:val="008B4110"/>
    <w:rsid w:val="008B679F"/>
    <w:rsid w:val="008E74B2"/>
    <w:rsid w:val="00903944"/>
    <w:rsid w:val="0093146C"/>
    <w:rsid w:val="00932C43"/>
    <w:rsid w:val="0096425F"/>
    <w:rsid w:val="009A0811"/>
    <w:rsid w:val="009C1838"/>
    <w:rsid w:val="009E0312"/>
    <w:rsid w:val="00A00E4C"/>
    <w:rsid w:val="00A040B8"/>
    <w:rsid w:val="00A474DC"/>
    <w:rsid w:val="00A52E19"/>
    <w:rsid w:val="00A70E8B"/>
    <w:rsid w:val="00A95727"/>
    <w:rsid w:val="00B13D1E"/>
    <w:rsid w:val="00B23674"/>
    <w:rsid w:val="00B348D0"/>
    <w:rsid w:val="00B65710"/>
    <w:rsid w:val="00BE2390"/>
    <w:rsid w:val="00C04CE9"/>
    <w:rsid w:val="00C105C7"/>
    <w:rsid w:val="00C15C52"/>
    <w:rsid w:val="00C370C7"/>
    <w:rsid w:val="00C51517"/>
    <w:rsid w:val="00C70871"/>
    <w:rsid w:val="00C71870"/>
    <w:rsid w:val="00CC0362"/>
    <w:rsid w:val="00CC1995"/>
    <w:rsid w:val="00D02D52"/>
    <w:rsid w:val="00D47484"/>
    <w:rsid w:val="00D95292"/>
    <w:rsid w:val="00DA6C32"/>
    <w:rsid w:val="00DD15F9"/>
    <w:rsid w:val="00DF7902"/>
    <w:rsid w:val="00E4241F"/>
    <w:rsid w:val="00E5557F"/>
    <w:rsid w:val="00EF3980"/>
    <w:rsid w:val="00EF6A54"/>
    <w:rsid w:val="00FA6C8A"/>
    <w:rsid w:val="00FE4A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Legal1">
    <w:name w:val="Legal 1"/>
    <w:basedOn w:val="Normal"/>
    <w:next w:val="Normal"/>
    <w:pPr>
      <w:numPr>
        <w:numId w:val="1"/>
      </w:numPr>
      <w:tabs>
        <w:tab w:val="clear" w:pos="851"/>
      </w:tabs>
      <w:spacing w:after="240"/>
      <w:outlineLvl w:val="0"/>
    </w:pPr>
  </w:style>
  <w:style w:type="paragraph" w:customStyle="1" w:styleId="Legal2">
    <w:name w:val="Legal 2"/>
    <w:basedOn w:val="Normal"/>
    <w:next w:val="Normal"/>
    <w:pPr>
      <w:numPr>
        <w:ilvl w:val="1"/>
        <w:numId w:val="2"/>
      </w:numPr>
      <w:tabs>
        <w:tab w:val="clear" w:pos="851"/>
      </w:tabs>
      <w:spacing w:after="240"/>
      <w:outlineLvl w:val="1"/>
    </w:pPr>
  </w:style>
  <w:style w:type="paragraph" w:customStyle="1" w:styleId="Legal3">
    <w:name w:val="Legal 3"/>
    <w:basedOn w:val="Normal"/>
    <w:next w:val="Normal"/>
    <w:pPr>
      <w:numPr>
        <w:ilvl w:val="2"/>
        <w:numId w:val="3"/>
      </w:numPr>
      <w:tabs>
        <w:tab w:val="clear" w:pos="851"/>
      </w:tabs>
      <w:spacing w:after="240"/>
      <w:outlineLvl w:val="2"/>
    </w:pPr>
  </w:style>
  <w:style w:type="paragraph" w:customStyle="1" w:styleId="Legal4">
    <w:name w:val="Legal 4"/>
    <w:basedOn w:val="Normal"/>
    <w:next w:val="Normal"/>
    <w:pPr>
      <w:numPr>
        <w:ilvl w:val="3"/>
        <w:numId w:val="4"/>
      </w:numPr>
      <w:tabs>
        <w:tab w:val="clear" w:pos="1080"/>
      </w:tabs>
      <w:spacing w:after="240"/>
      <w:outlineLvl w:val="3"/>
    </w:pPr>
  </w:style>
  <w:style w:type="paragraph" w:customStyle="1" w:styleId="Legal5">
    <w:name w:val="Legal 5"/>
    <w:basedOn w:val="Normal"/>
    <w:next w:val="Normal"/>
    <w:pPr>
      <w:numPr>
        <w:ilvl w:val="4"/>
        <w:numId w:val="5"/>
      </w:numPr>
      <w:tabs>
        <w:tab w:val="clear" w:pos="1701"/>
      </w:tabs>
      <w:spacing w:after="240"/>
      <w:outlineLvl w:val="4"/>
    </w:pPr>
  </w:style>
  <w:style w:type="paragraph" w:customStyle="1" w:styleId="Legal6">
    <w:name w:val="Legal 6"/>
    <w:basedOn w:val="Normal"/>
    <w:next w:val="Normal"/>
    <w:pPr>
      <w:numPr>
        <w:ilvl w:val="5"/>
        <w:numId w:val="6"/>
      </w:numPr>
      <w:tabs>
        <w:tab w:val="clear" w:pos="1701"/>
      </w:tabs>
      <w:spacing w:after="240"/>
      <w:outlineLvl w:val="5"/>
    </w:pPr>
  </w:style>
  <w:style w:type="paragraph" w:customStyle="1" w:styleId="Legal7">
    <w:name w:val="Legal 7"/>
    <w:basedOn w:val="Normal"/>
    <w:next w:val="Normal"/>
    <w:pPr>
      <w:numPr>
        <w:ilvl w:val="6"/>
        <w:numId w:val="7"/>
      </w:numPr>
      <w:tabs>
        <w:tab w:val="clear" w:pos="1701"/>
      </w:tabs>
      <w:spacing w:after="240"/>
      <w:outlineLvl w:val="6"/>
    </w:pPr>
  </w:style>
  <w:style w:type="paragraph" w:customStyle="1" w:styleId="Legal8">
    <w:name w:val="Legal 8"/>
    <w:basedOn w:val="Normal"/>
    <w:next w:val="Normal"/>
    <w:pPr>
      <w:numPr>
        <w:ilvl w:val="7"/>
        <w:numId w:val="8"/>
      </w:numPr>
      <w:tabs>
        <w:tab w:val="clear" w:pos="1800"/>
      </w:tabs>
      <w:spacing w:after="240"/>
      <w:outlineLvl w:val="7"/>
    </w:pPr>
  </w:style>
  <w:style w:type="paragraph" w:customStyle="1" w:styleId="Level1">
    <w:name w:val="Level 1"/>
    <w:basedOn w:val="Normal"/>
    <w:next w:val="Normal"/>
    <w:pPr>
      <w:numPr>
        <w:numId w:val="9"/>
      </w:numPr>
      <w:tabs>
        <w:tab w:val="clear" w:pos="851"/>
      </w:tabs>
      <w:spacing w:after="240"/>
      <w:outlineLvl w:val="0"/>
    </w:pPr>
  </w:style>
  <w:style w:type="paragraph" w:customStyle="1" w:styleId="Level2">
    <w:name w:val="Level 2"/>
    <w:basedOn w:val="Normal"/>
    <w:next w:val="Normal"/>
    <w:pPr>
      <w:numPr>
        <w:ilvl w:val="1"/>
        <w:numId w:val="10"/>
      </w:numPr>
      <w:tabs>
        <w:tab w:val="clear" w:pos="1701"/>
      </w:tabs>
      <w:spacing w:after="240"/>
      <w:outlineLvl w:val="1"/>
    </w:pPr>
  </w:style>
  <w:style w:type="paragraph" w:customStyle="1" w:styleId="Level3">
    <w:name w:val="Level 3"/>
    <w:basedOn w:val="Normal"/>
    <w:next w:val="Normal"/>
    <w:pPr>
      <w:numPr>
        <w:ilvl w:val="2"/>
        <w:numId w:val="11"/>
      </w:numPr>
      <w:tabs>
        <w:tab w:val="clear" w:pos="2552"/>
      </w:tabs>
      <w:spacing w:after="240"/>
      <w:outlineLvl w:val="2"/>
    </w:pPr>
  </w:style>
  <w:style w:type="paragraph" w:customStyle="1" w:styleId="Level4">
    <w:name w:val="Level 4"/>
    <w:basedOn w:val="Normal"/>
    <w:next w:val="Normal"/>
    <w:pPr>
      <w:numPr>
        <w:ilvl w:val="3"/>
        <w:numId w:val="12"/>
      </w:numPr>
      <w:tabs>
        <w:tab w:val="clear" w:pos="3402"/>
      </w:tabs>
      <w:spacing w:after="240"/>
      <w:outlineLvl w:val="3"/>
    </w:pPr>
  </w:style>
  <w:style w:type="paragraph" w:customStyle="1" w:styleId="Level5">
    <w:name w:val="Level 5"/>
    <w:basedOn w:val="Normal"/>
    <w:next w:val="Normal"/>
    <w:pPr>
      <w:numPr>
        <w:ilvl w:val="4"/>
        <w:numId w:val="13"/>
      </w:numPr>
      <w:tabs>
        <w:tab w:val="clear" w:pos="4253"/>
      </w:tabs>
      <w:spacing w:after="240"/>
      <w:outlineLvl w:val="4"/>
    </w:pPr>
  </w:style>
  <w:style w:type="paragraph" w:customStyle="1" w:styleId="MEGen1">
    <w:name w:val="ME Gen 1"/>
    <w:basedOn w:val="Normal"/>
    <w:next w:val="Normal"/>
    <w:pPr>
      <w:numPr>
        <w:numId w:val="14"/>
      </w:numPr>
      <w:tabs>
        <w:tab w:val="clear" w:pos="851"/>
      </w:tabs>
      <w:spacing w:after="240"/>
      <w:outlineLvl w:val="0"/>
    </w:pPr>
  </w:style>
  <w:style w:type="paragraph" w:customStyle="1" w:styleId="MEGen2">
    <w:name w:val="ME Gen 2"/>
    <w:basedOn w:val="Normal"/>
    <w:next w:val="Normal"/>
    <w:pPr>
      <w:numPr>
        <w:ilvl w:val="1"/>
        <w:numId w:val="15"/>
      </w:numPr>
      <w:tabs>
        <w:tab w:val="clear" w:pos="1701"/>
      </w:tabs>
      <w:spacing w:after="240"/>
      <w:outlineLvl w:val="1"/>
    </w:pPr>
  </w:style>
  <w:style w:type="paragraph" w:customStyle="1" w:styleId="MEGen3">
    <w:name w:val="ME Gen 3"/>
    <w:basedOn w:val="Normal"/>
    <w:next w:val="Normal"/>
    <w:pPr>
      <w:numPr>
        <w:ilvl w:val="2"/>
        <w:numId w:val="16"/>
      </w:numPr>
      <w:tabs>
        <w:tab w:val="clear" w:pos="2552"/>
      </w:tabs>
      <w:spacing w:after="240"/>
      <w:outlineLvl w:val="2"/>
    </w:pPr>
  </w:style>
  <w:style w:type="paragraph" w:customStyle="1" w:styleId="MEGen4">
    <w:name w:val="ME Gen 4"/>
    <w:basedOn w:val="Normal"/>
    <w:next w:val="Normal"/>
    <w:pPr>
      <w:numPr>
        <w:ilvl w:val="3"/>
        <w:numId w:val="17"/>
      </w:numPr>
      <w:tabs>
        <w:tab w:val="clear" w:pos="3402"/>
      </w:tabs>
      <w:spacing w:after="240"/>
      <w:outlineLvl w:val="3"/>
    </w:pPr>
  </w:style>
  <w:style w:type="paragraph" w:customStyle="1" w:styleId="MEGen5">
    <w:name w:val="ME Gen 5"/>
    <w:basedOn w:val="Normal"/>
    <w:next w:val="Normal"/>
    <w:pPr>
      <w:numPr>
        <w:ilvl w:val="4"/>
        <w:numId w:val="18"/>
      </w:numPr>
      <w:tabs>
        <w:tab w:val="clear" w:pos="4253"/>
      </w:tabs>
      <w:spacing w:after="240"/>
      <w:outlineLvl w:val="4"/>
    </w:pPr>
  </w:style>
  <w:style w:type="paragraph" w:customStyle="1" w:styleId="MEGen6">
    <w:name w:val="ME Gen 6"/>
    <w:basedOn w:val="Normal"/>
    <w:next w:val="Normal"/>
    <w:pPr>
      <w:numPr>
        <w:ilvl w:val="5"/>
        <w:numId w:val="19"/>
      </w:numPr>
      <w:tabs>
        <w:tab w:val="clear" w:pos="5103"/>
      </w:tabs>
      <w:spacing w:after="240"/>
      <w:outlineLvl w:val="5"/>
    </w:pPr>
  </w:style>
  <w:style w:type="paragraph" w:customStyle="1" w:styleId="MEGen7">
    <w:name w:val="ME Gen 7"/>
    <w:basedOn w:val="Normal"/>
    <w:next w:val="Normal"/>
    <w:pPr>
      <w:numPr>
        <w:ilvl w:val="6"/>
        <w:numId w:val="20"/>
      </w:numPr>
      <w:tabs>
        <w:tab w:val="clear" w:pos="5954"/>
      </w:tabs>
      <w:spacing w:after="240"/>
      <w:outlineLvl w:val="6"/>
    </w:pPr>
  </w:style>
  <w:style w:type="paragraph" w:customStyle="1" w:styleId="MELegal1">
    <w:name w:val="ME Legal 1"/>
    <w:basedOn w:val="Normal"/>
    <w:next w:val="Normal"/>
    <w:pPr>
      <w:numPr>
        <w:numId w:val="21"/>
      </w:numPr>
      <w:tabs>
        <w:tab w:val="clear" w:pos="851"/>
      </w:tabs>
      <w:spacing w:after="240"/>
      <w:outlineLvl w:val="0"/>
    </w:pPr>
  </w:style>
  <w:style w:type="paragraph" w:customStyle="1" w:styleId="MELegal2">
    <w:name w:val="ME Legal 2"/>
    <w:basedOn w:val="Normal"/>
    <w:next w:val="Normal"/>
    <w:pPr>
      <w:numPr>
        <w:ilvl w:val="1"/>
        <w:numId w:val="22"/>
      </w:numPr>
      <w:tabs>
        <w:tab w:val="clear" w:pos="851"/>
      </w:tabs>
      <w:spacing w:after="240"/>
      <w:outlineLvl w:val="1"/>
    </w:pPr>
  </w:style>
  <w:style w:type="paragraph" w:customStyle="1" w:styleId="MELegal3">
    <w:name w:val="ME Legal 3"/>
    <w:basedOn w:val="Normal"/>
    <w:next w:val="Normal"/>
    <w:pPr>
      <w:numPr>
        <w:ilvl w:val="2"/>
        <w:numId w:val="23"/>
      </w:numPr>
      <w:tabs>
        <w:tab w:val="clear" w:pos="1701"/>
      </w:tabs>
      <w:spacing w:after="240"/>
      <w:ind w:left="1702" w:hanging="851"/>
      <w:outlineLvl w:val="2"/>
    </w:pPr>
  </w:style>
  <w:style w:type="paragraph" w:customStyle="1" w:styleId="MELegal4">
    <w:name w:val="ME Legal 4"/>
    <w:basedOn w:val="Normal"/>
    <w:next w:val="Normal"/>
    <w:pPr>
      <w:numPr>
        <w:ilvl w:val="3"/>
        <w:numId w:val="24"/>
      </w:numPr>
      <w:tabs>
        <w:tab w:val="clear" w:pos="2552"/>
      </w:tabs>
      <w:spacing w:after="240"/>
      <w:outlineLvl w:val="3"/>
    </w:pPr>
  </w:style>
  <w:style w:type="paragraph" w:customStyle="1" w:styleId="MELegal5">
    <w:name w:val="ME Legal 5"/>
    <w:basedOn w:val="Normal"/>
    <w:next w:val="Normal"/>
    <w:pPr>
      <w:numPr>
        <w:ilvl w:val="4"/>
        <w:numId w:val="25"/>
      </w:numPr>
      <w:tabs>
        <w:tab w:val="clear" w:pos="3402"/>
      </w:tabs>
      <w:spacing w:after="240"/>
      <w:ind w:left="3403" w:hanging="851"/>
      <w:outlineLvl w:val="4"/>
    </w:pPr>
  </w:style>
  <w:style w:type="paragraph" w:customStyle="1" w:styleId="MELegal6">
    <w:name w:val="ME Legal 6"/>
    <w:basedOn w:val="Normal"/>
    <w:next w:val="Normal"/>
    <w:pPr>
      <w:numPr>
        <w:ilvl w:val="5"/>
        <w:numId w:val="26"/>
      </w:numPr>
      <w:tabs>
        <w:tab w:val="clear" w:pos="4253"/>
      </w:tabs>
      <w:spacing w:after="240"/>
      <w:outlineLvl w:val="5"/>
    </w:pPr>
  </w:style>
  <w:style w:type="paragraph" w:customStyle="1" w:styleId="MELegal7">
    <w:name w:val="ME Legal 7"/>
    <w:basedOn w:val="Normal"/>
    <w:next w:val="Normal"/>
    <w:pPr>
      <w:numPr>
        <w:ilvl w:val="6"/>
        <w:numId w:val="27"/>
      </w:numPr>
      <w:tabs>
        <w:tab w:val="clear" w:pos="5103"/>
      </w:tabs>
      <w:spacing w:after="240"/>
      <w:ind w:left="5104" w:hanging="851"/>
      <w:outlineLvl w:val="6"/>
    </w:pPr>
  </w:style>
  <w:style w:type="character" w:styleId="PageNumber">
    <w:name w:val="page number"/>
    <w:basedOn w:val="DefaultParagraphFont"/>
  </w:style>
  <w:style w:type="paragraph" w:customStyle="1" w:styleId="PartL1">
    <w:name w:val="Part L1"/>
    <w:basedOn w:val="Normal"/>
    <w:next w:val="Normal"/>
    <w:pPr>
      <w:numPr>
        <w:numId w:val="28"/>
      </w:numPr>
      <w:spacing w:after="240"/>
      <w:outlineLvl w:val="0"/>
    </w:pPr>
  </w:style>
  <w:style w:type="paragraph" w:customStyle="1" w:styleId="PartL2">
    <w:name w:val="Part L2"/>
    <w:basedOn w:val="Normal"/>
    <w:next w:val="Normal"/>
    <w:pPr>
      <w:numPr>
        <w:ilvl w:val="1"/>
        <w:numId w:val="28"/>
      </w:numPr>
      <w:tabs>
        <w:tab w:val="clear" w:pos="851"/>
      </w:tabs>
      <w:spacing w:after="240"/>
      <w:outlineLvl w:val="1"/>
    </w:pPr>
  </w:style>
  <w:style w:type="paragraph" w:customStyle="1" w:styleId="PartL3">
    <w:name w:val="Part L3"/>
    <w:basedOn w:val="Normal"/>
    <w:next w:val="Normal"/>
    <w:pPr>
      <w:numPr>
        <w:ilvl w:val="2"/>
        <w:numId w:val="28"/>
      </w:numPr>
      <w:tabs>
        <w:tab w:val="clear" w:pos="1701"/>
      </w:tabs>
      <w:spacing w:after="240"/>
      <w:outlineLvl w:val="2"/>
    </w:pPr>
  </w:style>
  <w:style w:type="paragraph" w:customStyle="1" w:styleId="PartL4">
    <w:name w:val="Part L4"/>
    <w:basedOn w:val="Normal"/>
    <w:next w:val="Normal"/>
    <w:pPr>
      <w:numPr>
        <w:ilvl w:val="3"/>
        <w:numId w:val="28"/>
      </w:numPr>
      <w:tabs>
        <w:tab w:val="clear" w:pos="2552"/>
      </w:tabs>
      <w:spacing w:after="240"/>
      <w:outlineLvl w:val="3"/>
    </w:pPr>
  </w:style>
  <w:style w:type="paragraph" w:customStyle="1" w:styleId="PartL5">
    <w:name w:val="Part L5"/>
    <w:basedOn w:val="Normal"/>
    <w:next w:val="Normal"/>
    <w:pPr>
      <w:numPr>
        <w:ilvl w:val="4"/>
        <w:numId w:val="28"/>
      </w:numPr>
      <w:tabs>
        <w:tab w:val="clear" w:pos="3402"/>
      </w:tabs>
      <w:spacing w:after="240"/>
      <w:outlineLvl w:val="4"/>
    </w:pPr>
  </w:style>
  <w:style w:type="paragraph" w:customStyle="1" w:styleId="PartL6">
    <w:name w:val="Part L6"/>
    <w:basedOn w:val="Normal"/>
    <w:next w:val="Normal"/>
    <w:pPr>
      <w:numPr>
        <w:ilvl w:val="5"/>
        <w:numId w:val="28"/>
      </w:numPr>
      <w:tabs>
        <w:tab w:val="clear" w:pos="4253"/>
      </w:tabs>
      <w:spacing w:after="240"/>
      <w:outlineLvl w:val="5"/>
    </w:pPr>
  </w:style>
  <w:style w:type="paragraph" w:customStyle="1" w:styleId="PartL7">
    <w:name w:val="Part L7"/>
    <w:basedOn w:val="Normal"/>
    <w:next w:val="Normal"/>
    <w:pPr>
      <w:numPr>
        <w:ilvl w:val="6"/>
        <w:numId w:val="28"/>
      </w:numPr>
      <w:tabs>
        <w:tab w:val="clear" w:pos="5103"/>
      </w:tabs>
      <w:spacing w:after="240"/>
      <w:outlineLvl w:val="6"/>
    </w:pPr>
  </w:style>
  <w:style w:type="paragraph" w:customStyle="1" w:styleId="ScheduleL1">
    <w:name w:val="Schedule L1"/>
    <w:basedOn w:val="Normal"/>
    <w:next w:val="Normal"/>
    <w:pPr>
      <w:numPr>
        <w:numId w:val="29"/>
      </w:numPr>
      <w:spacing w:after="240"/>
      <w:jc w:val="center"/>
      <w:outlineLvl w:val="0"/>
    </w:pPr>
    <w:rPr>
      <w:caps/>
    </w:rPr>
  </w:style>
  <w:style w:type="paragraph" w:customStyle="1" w:styleId="ScheduleL2">
    <w:name w:val="Schedule L2"/>
    <w:basedOn w:val="Normal"/>
    <w:next w:val="Normal"/>
    <w:pPr>
      <w:numPr>
        <w:ilvl w:val="1"/>
        <w:numId w:val="29"/>
      </w:numPr>
      <w:tabs>
        <w:tab w:val="clear" w:pos="851"/>
      </w:tabs>
      <w:spacing w:after="240"/>
      <w:outlineLvl w:val="1"/>
    </w:pPr>
  </w:style>
  <w:style w:type="paragraph" w:customStyle="1" w:styleId="ScheduleL3">
    <w:name w:val="Schedule L3"/>
    <w:basedOn w:val="Normal"/>
    <w:next w:val="Normal"/>
    <w:pPr>
      <w:numPr>
        <w:ilvl w:val="2"/>
        <w:numId w:val="29"/>
      </w:numPr>
      <w:tabs>
        <w:tab w:val="clear" w:pos="851"/>
      </w:tabs>
      <w:spacing w:after="240"/>
      <w:outlineLvl w:val="2"/>
    </w:pPr>
  </w:style>
  <w:style w:type="paragraph" w:customStyle="1" w:styleId="ScheduleL4">
    <w:name w:val="Schedule L4"/>
    <w:basedOn w:val="Normal"/>
    <w:next w:val="Normal"/>
    <w:pPr>
      <w:numPr>
        <w:ilvl w:val="3"/>
        <w:numId w:val="29"/>
      </w:numPr>
      <w:tabs>
        <w:tab w:val="clear" w:pos="1701"/>
      </w:tabs>
      <w:spacing w:after="240"/>
      <w:outlineLvl w:val="3"/>
    </w:pPr>
  </w:style>
  <w:style w:type="paragraph" w:customStyle="1" w:styleId="ScheduleL5">
    <w:name w:val="Schedule L5"/>
    <w:basedOn w:val="Normal"/>
    <w:next w:val="Normal"/>
    <w:pPr>
      <w:numPr>
        <w:ilvl w:val="4"/>
        <w:numId w:val="29"/>
      </w:numPr>
      <w:tabs>
        <w:tab w:val="clear" w:pos="2552"/>
      </w:tabs>
      <w:spacing w:after="240"/>
      <w:outlineLvl w:val="4"/>
    </w:pPr>
  </w:style>
  <w:style w:type="paragraph" w:customStyle="1" w:styleId="ScheduleL6">
    <w:name w:val="Schedule L6"/>
    <w:basedOn w:val="Normal"/>
    <w:next w:val="Normal"/>
    <w:pPr>
      <w:numPr>
        <w:ilvl w:val="5"/>
        <w:numId w:val="29"/>
      </w:numPr>
      <w:tabs>
        <w:tab w:val="clear" w:pos="3402"/>
      </w:tabs>
      <w:spacing w:after="240"/>
      <w:outlineLvl w:val="5"/>
    </w:pPr>
  </w:style>
  <w:style w:type="paragraph" w:customStyle="1" w:styleId="SectionL1">
    <w:name w:val="Section L1"/>
    <w:basedOn w:val="Normal"/>
    <w:next w:val="Normal"/>
    <w:pPr>
      <w:numPr>
        <w:numId w:val="30"/>
      </w:numPr>
      <w:spacing w:after="240"/>
      <w:outlineLvl w:val="0"/>
    </w:pPr>
  </w:style>
  <w:style w:type="paragraph" w:customStyle="1" w:styleId="SectionL2">
    <w:name w:val="Section L2"/>
    <w:basedOn w:val="Normal"/>
    <w:next w:val="Normal"/>
    <w:pPr>
      <w:numPr>
        <w:ilvl w:val="1"/>
        <w:numId w:val="30"/>
      </w:numPr>
      <w:tabs>
        <w:tab w:val="clear" w:pos="851"/>
      </w:tabs>
      <w:spacing w:after="240"/>
      <w:outlineLvl w:val="1"/>
    </w:pPr>
  </w:style>
  <w:style w:type="paragraph" w:customStyle="1" w:styleId="SectionL3">
    <w:name w:val="Section L3"/>
    <w:basedOn w:val="Normal"/>
    <w:next w:val="Normal"/>
    <w:pPr>
      <w:numPr>
        <w:ilvl w:val="2"/>
        <w:numId w:val="30"/>
      </w:numPr>
      <w:tabs>
        <w:tab w:val="clear" w:pos="1701"/>
      </w:tabs>
      <w:spacing w:after="240"/>
      <w:outlineLvl w:val="2"/>
    </w:pPr>
  </w:style>
  <w:style w:type="paragraph" w:customStyle="1" w:styleId="SectionL4">
    <w:name w:val="Section L4"/>
    <w:basedOn w:val="Normal"/>
    <w:next w:val="Normal"/>
    <w:pPr>
      <w:numPr>
        <w:ilvl w:val="3"/>
        <w:numId w:val="30"/>
      </w:numPr>
      <w:tabs>
        <w:tab w:val="clear" w:pos="2552"/>
      </w:tabs>
      <w:spacing w:after="240"/>
      <w:outlineLvl w:val="3"/>
    </w:pPr>
  </w:style>
  <w:style w:type="paragraph" w:customStyle="1" w:styleId="SectionL5">
    <w:name w:val="Section L5"/>
    <w:basedOn w:val="Normal"/>
    <w:next w:val="Normal"/>
    <w:pPr>
      <w:numPr>
        <w:ilvl w:val="4"/>
        <w:numId w:val="30"/>
      </w:numPr>
      <w:tabs>
        <w:tab w:val="clear" w:pos="3402"/>
      </w:tabs>
      <w:spacing w:after="240"/>
      <w:outlineLvl w:val="4"/>
    </w:pPr>
  </w:style>
  <w:style w:type="paragraph" w:customStyle="1" w:styleId="SectionL6">
    <w:name w:val="Section L6"/>
    <w:basedOn w:val="Normal"/>
    <w:next w:val="Normal"/>
    <w:pPr>
      <w:numPr>
        <w:ilvl w:val="5"/>
        <w:numId w:val="30"/>
      </w:numPr>
      <w:tabs>
        <w:tab w:val="clear" w:pos="4253"/>
      </w:tabs>
      <w:spacing w:after="240"/>
      <w:outlineLvl w:val="5"/>
    </w:pPr>
  </w:style>
  <w:style w:type="paragraph" w:customStyle="1" w:styleId="SectionL7">
    <w:name w:val="Section L7"/>
    <w:basedOn w:val="Normal"/>
    <w:next w:val="Normal"/>
    <w:pPr>
      <w:numPr>
        <w:ilvl w:val="6"/>
        <w:numId w:val="30"/>
      </w:numPr>
      <w:tabs>
        <w:tab w:val="clear" w:pos="5103"/>
      </w:tabs>
      <w:spacing w:after="240"/>
      <w:outlineLvl w:val="6"/>
    </w:pPr>
  </w:style>
  <w:style w:type="paragraph" w:customStyle="1" w:styleId="WarrantyL1">
    <w:name w:val="WarrantyL1"/>
    <w:basedOn w:val="Normal"/>
    <w:next w:val="Normal"/>
    <w:pPr>
      <w:numPr>
        <w:numId w:val="38"/>
      </w:numPr>
      <w:spacing w:after="240"/>
    </w:pPr>
  </w:style>
  <w:style w:type="paragraph" w:customStyle="1" w:styleId="MEBasic1">
    <w:name w:val="ME Basic 1"/>
    <w:basedOn w:val="Normal"/>
    <w:next w:val="Normal"/>
    <w:pPr>
      <w:numPr>
        <w:numId w:val="37"/>
      </w:numPr>
      <w:tabs>
        <w:tab w:val="clear" w:pos="851"/>
      </w:tabs>
      <w:spacing w:after="240"/>
    </w:pPr>
  </w:style>
  <w:style w:type="paragraph" w:customStyle="1" w:styleId="MEBasic2">
    <w:name w:val="ME Basic 2"/>
    <w:basedOn w:val="Normal"/>
    <w:next w:val="Normal"/>
    <w:pPr>
      <w:numPr>
        <w:ilvl w:val="1"/>
        <w:numId w:val="37"/>
      </w:numPr>
      <w:tabs>
        <w:tab w:val="clear" w:pos="1701"/>
      </w:tabs>
      <w:spacing w:after="240"/>
    </w:pPr>
  </w:style>
  <w:style w:type="paragraph" w:customStyle="1" w:styleId="MEBasic3">
    <w:name w:val="ME Basic 3"/>
    <w:basedOn w:val="Normal"/>
    <w:next w:val="Normal"/>
    <w:pPr>
      <w:numPr>
        <w:ilvl w:val="2"/>
        <w:numId w:val="37"/>
      </w:numPr>
      <w:tabs>
        <w:tab w:val="clear" w:pos="2552"/>
      </w:tabs>
      <w:spacing w:after="240"/>
    </w:pPr>
  </w:style>
  <w:style w:type="paragraph" w:customStyle="1" w:styleId="MENoIndent1">
    <w:name w:val="ME NoIndent 1"/>
    <w:basedOn w:val="Normal"/>
    <w:next w:val="Normal"/>
    <w:pPr>
      <w:numPr>
        <w:numId w:val="31"/>
      </w:numPr>
    </w:pPr>
  </w:style>
  <w:style w:type="paragraph" w:customStyle="1" w:styleId="MENoIndent2">
    <w:name w:val="ME NoIndent 2"/>
    <w:basedOn w:val="MENoIndent1"/>
    <w:next w:val="Normal"/>
    <w:pPr>
      <w:numPr>
        <w:ilvl w:val="1"/>
        <w:numId w:val="32"/>
      </w:numPr>
    </w:pPr>
  </w:style>
  <w:style w:type="paragraph" w:customStyle="1" w:styleId="MENoIndent3">
    <w:name w:val="ME NoIndent 3"/>
    <w:basedOn w:val="Normal"/>
    <w:next w:val="Normal"/>
    <w:pPr>
      <w:numPr>
        <w:ilvl w:val="2"/>
        <w:numId w:val="33"/>
      </w:numPr>
    </w:pPr>
  </w:style>
  <w:style w:type="paragraph" w:customStyle="1" w:styleId="MENoIndent4">
    <w:name w:val="ME NoIndent 4"/>
    <w:basedOn w:val="Normal"/>
    <w:next w:val="Normal"/>
    <w:pPr>
      <w:numPr>
        <w:ilvl w:val="3"/>
        <w:numId w:val="34"/>
      </w:numPr>
    </w:pPr>
  </w:style>
  <w:style w:type="paragraph" w:customStyle="1" w:styleId="MENoIndent5">
    <w:name w:val="ME NoIndent 5"/>
    <w:basedOn w:val="Normal"/>
    <w:next w:val="Normal"/>
    <w:pPr>
      <w:numPr>
        <w:ilvl w:val="4"/>
        <w:numId w:val="35"/>
      </w:numPr>
    </w:pPr>
  </w:style>
  <w:style w:type="paragraph" w:customStyle="1" w:styleId="MENoIndent6">
    <w:name w:val="ME NoIndent 6"/>
    <w:basedOn w:val="Normal"/>
    <w:next w:val="Normal"/>
    <w:pPr>
      <w:numPr>
        <w:ilvl w:val="5"/>
        <w:numId w:val="36"/>
      </w:numPr>
    </w:pPr>
  </w:style>
  <w:style w:type="paragraph" w:customStyle="1" w:styleId="MEBasic4">
    <w:name w:val="ME Basic 4"/>
    <w:basedOn w:val="Normal"/>
    <w:next w:val="Normal"/>
    <w:pPr>
      <w:numPr>
        <w:ilvl w:val="3"/>
        <w:numId w:val="37"/>
      </w:numPr>
      <w:tabs>
        <w:tab w:val="clear" w:pos="3402"/>
      </w:tabs>
      <w:spacing w:after="240"/>
    </w:pPr>
  </w:style>
  <w:style w:type="paragraph" w:customStyle="1" w:styleId="WarrantyL2">
    <w:name w:val="WarrantyL2"/>
    <w:basedOn w:val="Normal"/>
    <w:next w:val="Normal"/>
    <w:pPr>
      <w:numPr>
        <w:ilvl w:val="1"/>
        <w:numId w:val="39"/>
      </w:numPr>
      <w:tabs>
        <w:tab w:val="clear" w:pos="851"/>
      </w:tabs>
      <w:spacing w:after="240"/>
      <w:outlineLvl w:val="1"/>
    </w:pPr>
  </w:style>
  <w:style w:type="paragraph" w:customStyle="1" w:styleId="WarrantyL3">
    <w:name w:val="WarrantyL3"/>
    <w:basedOn w:val="Normal"/>
    <w:next w:val="Normal"/>
    <w:pPr>
      <w:numPr>
        <w:ilvl w:val="2"/>
        <w:numId w:val="40"/>
      </w:numPr>
      <w:tabs>
        <w:tab w:val="clear" w:pos="1701"/>
      </w:tabs>
      <w:spacing w:after="240"/>
      <w:outlineLvl w:val="2"/>
    </w:pPr>
  </w:style>
  <w:style w:type="paragraph" w:customStyle="1" w:styleId="WarrantyL4">
    <w:name w:val="WarrantyL4"/>
    <w:basedOn w:val="Normal"/>
    <w:next w:val="Normal"/>
    <w:pPr>
      <w:numPr>
        <w:ilvl w:val="3"/>
        <w:numId w:val="41"/>
      </w:numPr>
      <w:tabs>
        <w:tab w:val="clear" w:pos="2552"/>
      </w:tabs>
      <w:spacing w:after="240"/>
      <w:outlineLvl w:val="3"/>
    </w:pPr>
  </w:style>
  <w:style w:type="paragraph" w:customStyle="1" w:styleId="WarrantyL5">
    <w:name w:val="WarrantyL5"/>
    <w:basedOn w:val="Normal"/>
    <w:next w:val="Normal"/>
    <w:pPr>
      <w:numPr>
        <w:ilvl w:val="4"/>
        <w:numId w:val="42"/>
      </w:numPr>
      <w:tabs>
        <w:tab w:val="clear" w:pos="3402"/>
      </w:tabs>
      <w:spacing w:after="240"/>
      <w:outlineLvl w:val="4"/>
    </w:pPr>
  </w:style>
  <w:style w:type="paragraph" w:customStyle="1" w:styleId="zMEConsultLogo">
    <w:name w:val="zMEConsultLogo"/>
    <w:basedOn w:val="Normal"/>
    <w:next w:val="Normal"/>
    <w:rPr>
      <w:spacing w:val="-20"/>
      <w:sz w:val="46"/>
    </w:rPr>
  </w:style>
  <w:style w:type="paragraph" w:customStyle="1" w:styleId="MEBasic5">
    <w:name w:val="ME Basic 5"/>
    <w:basedOn w:val="Normal"/>
    <w:next w:val="Normal"/>
    <w:pPr>
      <w:numPr>
        <w:ilvl w:val="4"/>
        <w:numId w:val="37"/>
      </w:numPr>
      <w:tabs>
        <w:tab w:val="clear" w:pos="4253"/>
      </w:tabs>
      <w:spacing w:after="240"/>
    </w:pPr>
  </w:style>
  <w:style w:type="paragraph" w:customStyle="1" w:styleId="DefinitionL1">
    <w:name w:val="Definition L1"/>
    <w:basedOn w:val="Normal"/>
    <w:next w:val="Normal"/>
    <w:pPr>
      <w:numPr>
        <w:numId w:val="43"/>
      </w:numPr>
      <w:outlineLvl w:val="0"/>
    </w:pPr>
  </w:style>
  <w:style w:type="paragraph" w:customStyle="1" w:styleId="DefinitionL2">
    <w:name w:val="Definition L2"/>
    <w:basedOn w:val="Normal"/>
    <w:next w:val="Normal"/>
    <w:pPr>
      <w:numPr>
        <w:ilvl w:val="1"/>
        <w:numId w:val="44"/>
      </w:numPr>
      <w:tabs>
        <w:tab w:val="clear" w:pos="1361"/>
      </w:tabs>
      <w:outlineLvl w:val="1"/>
    </w:pPr>
  </w:style>
  <w:style w:type="paragraph" w:customStyle="1" w:styleId="DefinitionL3">
    <w:name w:val="Definition L3"/>
    <w:basedOn w:val="Normal"/>
    <w:next w:val="Normal"/>
    <w:pPr>
      <w:numPr>
        <w:ilvl w:val="2"/>
        <w:numId w:val="45"/>
      </w:numPr>
      <w:tabs>
        <w:tab w:val="clear" w:pos="2081"/>
      </w:tabs>
      <w:outlineLvl w:val="2"/>
    </w:pPr>
  </w:style>
  <w:style w:type="paragraph" w:styleId="Title">
    <w:name w:val="Title"/>
    <w:basedOn w:val="Normal"/>
    <w:qFormat/>
    <w:pPr>
      <w:jc w:val="center"/>
    </w:pPr>
    <w:rPr>
      <w:rFonts w:ascii="Footlight MT Light" w:hAnsi="Footlight MT Light"/>
      <w:b/>
      <w:sz w:val="28"/>
      <w:lang w:val="en-US"/>
    </w:rPr>
  </w:style>
  <w:style w:type="paragraph" w:styleId="BodyText2">
    <w:name w:val="Body Text 2"/>
    <w:basedOn w:val="Normal"/>
    <w:rPr>
      <w:rFonts w:ascii="Footlight MT Light" w:hAnsi="Footlight MT Light"/>
      <w:lang w:val="en-US"/>
    </w:rPr>
  </w:style>
  <w:style w:type="paragraph" w:customStyle="1" w:styleId="dot">
    <w:name w:val="dot"/>
    <w:basedOn w:val="Normal"/>
    <w:pPr>
      <w:tabs>
        <w:tab w:val="left" w:pos="1134"/>
        <w:tab w:val="left" w:pos="1702"/>
        <w:tab w:val="left" w:pos="2269"/>
        <w:tab w:val="left" w:pos="2835"/>
        <w:tab w:val="left" w:pos="3402"/>
      </w:tabs>
      <w:spacing w:before="60" w:after="60"/>
      <w:ind w:left="426" w:hanging="425"/>
    </w:pPr>
    <w:rPr>
      <w:rFonts w:ascii="Times" w:hAnsi="Times"/>
    </w:rPr>
  </w:style>
  <w:style w:type="paragraph" w:styleId="BalloonText">
    <w:name w:val="Balloon Text"/>
    <w:basedOn w:val="Normal"/>
    <w:semiHidden/>
    <w:rPr>
      <w:rFonts w:ascii="Tahoma" w:hAnsi="Tahoma" w:cs="Tahoma"/>
      <w:sz w:val="16"/>
      <w:szCs w:val="16"/>
    </w:rPr>
  </w:style>
  <w:style w:type="paragraph" w:customStyle="1" w:styleId="notedraft">
    <w:name w:val="note(draft)"/>
    <w:aliases w:val="nd"/>
    <w:basedOn w:val="Normal"/>
    <w:rsid w:val="00FA6C8A"/>
    <w:pPr>
      <w:spacing w:before="240"/>
      <w:ind w:left="284" w:hanging="284"/>
    </w:pPr>
    <w:rPr>
      <w:i/>
    </w:rPr>
  </w:style>
  <w:style w:type="paragraph" w:styleId="PlainText">
    <w:name w:val="Plain Text"/>
    <w:basedOn w:val="Normal"/>
    <w:link w:val="PlainTextChar"/>
    <w:uiPriority w:val="99"/>
    <w:unhideWhenUsed/>
    <w:rsid w:val="00867BF2"/>
    <w:rPr>
      <w:rFonts w:ascii="Consolas" w:eastAsia="Calibri" w:hAnsi="Consolas"/>
      <w:sz w:val="21"/>
      <w:szCs w:val="21"/>
      <w:lang w:eastAsia="en-US"/>
    </w:rPr>
  </w:style>
  <w:style w:type="character" w:customStyle="1" w:styleId="PlainTextChar">
    <w:name w:val="Plain Text Char"/>
    <w:link w:val="PlainText"/>
    <w:uiPriority w:val="99"/>
    <w:rsid w:val="00867BF2"/>
    <w:rPr>
      <w:rFonts w:ascii="Consolas" w:eastAsia="Calibri" w:hAnsi="Consolas"/>
      <w:sz w:val="21"/>
      <w:szCs w:val="21"/>
      <w:lang w:eastAsia="en-US"/>
    </w:rPr>
  </w:style>
  <w:style w:type="paragraph" w:styleId="ListParagraph">
    <w:name w:val="List Paragraph"/>
    <w:basedOn w:val="Normal"/>
    <w:uiPriority w:val="34"/>
    <w:qFormat/>
    <w:rsid w:val="0070667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7197</Characters>
  <Application>Microsoft Office Word</Application>
  <DocSecurity>4</DocSecurity>
  <Lines>189</Lines>
  <Paragraphs>130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1601-01-01T00:00:00Z</cp:lastPrinted>
  <dcterms:created xsi:type="dcterms:W3CDTF">2016-09-16T05:53:00Z</dcterms:created>
  <dcterms:modified xsi:type="dcterms:W3CDTF">2016-09-16T05:53:00Z</dcterms:modified>
</cp:coreProperties>
</file>