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AA236" w14:textId="77777777" w:rsidR="00F109D4" w:rsidRPr="00503E44" w:rsidRDefault="00F109D4" w:rsidP="00A12209">
      <w:pPr>
        <w:pStyle w:val="Heading1"/>
      </w:pPr>
      <w:r w:rsidRPr="00503E44">
        <w:t>EXPLANATORY STATEMENT</w:t>
      </w:r>
    </w:p>
    <w:p w14:paraId="638CA09E" w14:textId="24FACBE1" w:rsidR="00686E7E" w:rsidRDefault="00686E7E" w:rsidP="00A11C1A">
      <w:pPr>
        <w:pStyle w:val="Heading2"/>
        <w:jc w:val="center"/>
      </w:pPr>
      <w:r>
        <w:t>Select Legislative Instrument No. 216, 2015</w:t>
      </w:r>
    </w:p>
    <w:p w14:paraId="22658696" w14:textId="77777777" w:rsidR="00A11C1A" w:rsidRPr="00503E44" w:rsidRDefault="00A11C1A" w:rsidP="00A11C1A">
      <w:pPr>
        <w:pStyle w:val="Heading2"/>
        <w:jc w:val="center"/>
      </w:pPr>
      <w:r w:rsidRPr="00503E44">
        <w:t xml:space="preserve">Issued by authority of the </w:t>
      </w:r>
      <w:r>
        <w:t>Treasurer</w:t>
      </w:r>
    </w:p>
    <w:p w14:paraId="2BE8E111" w14:textId="3EBB1575" w:rsidR="00A11C1A" w:rsidRPr="00503E44" w:rsidRDefault="00A11C1A" w:rsidP="00A11C1A">
      <w:pPr>
        <w:jc w:val="center"/>
        <w:rPr>
          <w:i/>
        </w:rPr>
      </w:pPr>
      <w:r>
        <w:rPr>
          <w:i/>
        </w:rPr>
        <w:t>Foreign Acquisitions and Takeovers Act 1975</w:t>
      </w:r>
      <w:r w:rsidR="00C238EE">
        <w:rPr>
          <w:i/>
        </w:rPr>
        <w:t xml:space="preserve"> and Commonwealth Electoral Act 1918</w:t>
      </w:r>
    </w:p>
    <w:p w14:paraId="200F01F9" w14:textId="3BA77C89" w:rsidR="00A11C1A" w:rsidRPr="00503E44" w:rsidRDefault="003A3F88" w:rsidP="008875F0">
      <w:pPr>
        <w:tabs>
          <w:tab w:val="left" w:pos="1418"/>
        </w:tabs>
        <w:spacing w:after="240"/>
        <w:jc w:val="center"/>
        <w:rPr>
          <w:i/>
        </w:rPr>
      </w:pPr>
      <w:bookmarkStart w:id="0" w:name="_GoBack"/>
      <w:r>
        <w:rPr>
          <w:i/>
        </w:rPr>
        <w:t xml:space="preserve">Foreign Acquisitions and Takeovers Legislation Amendment </w:t>
      </w:r>
      <w:r w:rsidR="0073041C">
        <w:rPr>
          <w:i/>
        </w:rPr>
        <w:t>Regulation </w:t>
      </w:r>
      <w:r>
        <w:rPr>
          <w:i/>
        </w:rPr>
        <w:t>2015</w:t>
      </w:r>
      <w:bookmarkEnd w:id="0"/>
    </w:p>
    <w:p w14:paraId="1D27CF97" w14:textId="7679C18D" w:rsidR="00BE484D" w:rsidRPr="003A3F88" w:rsidRDefault="00BF75BA" w:rsidP="00A11C1A">
      <w:r>
        <w:t>Subsection </w:t>
      </w:r>
      <w:r w:rsidR="00A11C1A">
        <w:t>139(1)</w:t>
      </w:r>
      <w:r w:rsidR="00A11C1A" w:rsidRPr="00503E44">
        <w:t xml:space="preserve"> of the </w:t>
      </w:r>
      <w:r w:rsidR="00A11C1A" w:rsidRPr="00326682">
        <w:rPr>
          <w:i/>
        </w:rPr>
        <w:t xml:space="preserve">Foreign Acquisitions and Takeovers </w:t>
      </w:r>
      <w:r w:rsidRPr="00326682">
        <w:rPr>
          <w:i/>
        </w:rPr>
        <w:t>Act</w:t>
      </w:r>
      <w:r>
        <w:rPr>
          <w:i/>
        </w:rPr>
        <w:t> </w:t>
      </w:r>
      <w:r w:rsidR="00A11C1A" w:rsidRPr="00326682">
        <w:rPr>
          <w:i/>
        </w:rPr>
        <w:t>1975</w:t>
      </w:r>
      <w:r w:rsidR="00A11C1A">
        <w:t xml:space="preserve"> </w:t>
      </w:r>
      <w:r w:rsidR="003A3F88">
        <w:t xml:space="preserve">(Act) </w:t>
      </w:r>
      <w:r w:rsidR="00A11C1A" w:rsidRPr="00503E44">
        <w:t>provides that the Governor</w:t>
      </w:r>
      <w:r>
        <w:noBreakHyphen/>
      </w:r>
      <w:r w:rsidR="00A11C1A" w:rsidRPr="00503E44">
        <w:t xml:space="preserve">General may make regulations prescribing matters required or permitted by the Act to be prescribed, or necessary or convenient to be prescribed for carrying </w:t>
      </w:r>
      <w:r w:rsidR="00A11C1A">
        <w:t>out or giving effect to that Act.</w:t>
      </w:r>
      <w:r w:rsidR="003A3F88">
        <w:t xml:space="preserve"> </w:t>
      </w:r>
      <w:r>
        <w:t>Section </w:t>
      </w:r>
      <w:r w:rsidR="003A3F88">
        <w:t xml:space="preserve">395 of the </w:t>
      </w:r>
      <w:r w:rsidRPr="003A3F88">
        <w:rPr>
          <w:i/>
        </w:rPr>
        <w:t>Commonwealth</w:t>
      </w:r>
      <w:r>
        <w:rPr>
          <w:i/>
        </w:rPr>
        <w:t> </w:t>
      </w:r>
      <w:r w:rsidR="003A3F88" w:rsidRPr="003A3F88">
        <w:rPr>
          <w:i/>
        </w:rPr>
        <w:t xml:space="preserve">Electoral </w:t>
      </w:r>
      <w:r w:rsidRPr="003A3F88">
        <w:rPr>
          <w:i/>
        </w:rPr>
        <w:t>Act</w:t>
      </w:r>
      <w:r>
        <w:rPr>
          <w:i/>
        </w:rPr>
        <w:t> </w:t>
      </w:r>
      <w:r w:rsidR="003A3F88" w:rsidRPr="003A3F88">
        <w:rPr>
          <w:i/>
        </w:rPr>
        <w:t>1918</w:t>
      </w:r>
      <w:r w:rsidR="003A3F88">
        <w:t xml:space="preserve"> provides that the Governor</w:t>
      </w:r>
      <w:r>
        <w:noBreakHyphen/>
      </w:r>
      <w:r w:rsidR="003A3F88">
        <w:t>General may make regulations</w:t>
      </w:r>
      <w:r w:rsidR="008908CC">
        <w:t xml:space="preserve"> prescribing matters which by that Act are required or permitted to be prescribed</w:t>
      </w:r>
      <w:r>
        <w:t>,</w:t>
      </w:r>
      <w:r w:rsidR="008908CC">
        <w:t xml:space="preserve"> or which are necessary or convenient to be prescribed for giving effect to that Act.</w:t>
      </w:r>
    </w:p>
    <w:p w14:paraId="4887E200" w14:textId="3F346818" w:rsidR="00FB7880" w:rsidRDefault="00FB7880" w:rsidP="003D51E8">
      <w:pPr>
        <w:jc w:val="both"/>
      </w:pPr>
      <w:r>
        <w:t>T</w:t>
      </w:r>
      <w:r w:rsidR="003A3F88">
        <w:t xml:space="preserve">he </w:t>
      </w:r>
      <w:r w:rsidR="003A3F88" w:rsidRPr="009363E1">
        <w:rPr>
          <w:i/>
        </w:rPr>
        <w:t>Foreign Acquisitions and Takeovers Amendment Regulation 2015</w:t>
      </w:r>
      <w:r w:rsidRPr="008875F0">
        <w:t xml:space="preserve"> </w:t>
      </w:r>
      <w:r>
        <w:t xml:space="preserve">(Regulation) </w:t>
      </w:r>
      <w:r w:rsidR="003A3F88">
        <w:t>repeal</w:t>
      </w:r>
      <w:r>
        <w:t>ed</w:t>
      </w:r>
      <w:r w:rsidR="003A3F88">
        <w:t xml:space="preserve"> the </w:t>
      </w:r>
      <w:r w:rsidR="003A3F88" w:rsidRPr="009363E1">
        <w:rPr>
          <w:i/>
        </w:rPr>
        <w:t>Foreign Acquisitions and Takeovers (Notices) Regulations 1975</w:t>
      </w:r>
      <w:r w:rsidR="003A3F88">
        <w:rPr>
          <w:i/>
        </w:rPr>
        <w:t xml:space="preserve"> </w:t>
      </w:r>
      <w:r w:rsidR="003A3F88">
        <w:t xml:space="preserve">and the </w:t>
      </w:r>
      <w:r w:rsidR="00BF75BA" w:rsidRPr="009363E1">
        <w:rPr>
          <w:i/>
        </w:rPr>
        <w:t>Foreign </w:t>
      </w:r>
      <w:r w:rsidR="003A3F88" w:rsidRPr="009363E1">
        <w:rPr>
          <w:i/>
        </w:rPr>
        <w:t>Acquisitions and Takeovers Regulations 1989</w:t>
      </w:r>
      <w:r w:rsidR="003A3F88">
        <w:rPr>
          <w:i/>
        </w:rPr>
        <w:t xml:space="preserve">. </w:t>
      </w:r>
      <w:r w:rsidR="009363E1">
        <w:t xml:space="preserve">The repealed regulations </w:t>
      </w:r>
      <w:r w:rsidR="005A6537">
        <w:t xml:space="preserve">have been replaced by the </w:t>
      </w:r>
      <w:r w:rsidR="005A6537" w:rsidRPr="009363E1">
        <w:rPr>
          <w:i/>
        </w:rPr>
        <w:t xml:space="preserve">Foreign Acquisitions and Takeovers </w:t>
      </w:r>
      <w:r w:rsidR="00BF75BA" w:rsidRPr="009363E1">
        <w:rPr>
          <w:i/>
        </w:rPr>
        <w:t>Regulation </w:t>
      </w:r>
      <w:r w:rsidR="005A6537" w:rsidRPr="009363E1">
        <w:rPr>
          <w:i/>
        </w:rPr>
        <w:t>2015</w:t>
      </w:r>
      <w:r w:rsidR="005A6537">
        <w:t xml:space="preserve">. </w:t>
      </w:r>
    </w:p>
    <w:p w14:paraId="6DC2EC7F" w14:textId="236162F9" w:rsidR="003A3F88" w:rsidRPr="003D51E8" w:rsidRDefault="003D51E8" w:rsidP="003D51E8">
      <w:pPr>
        <w:jc w:val="both"/>
      </w:pPr>
      <w:r>
        <w:t>The Regulation</w:t>
      </w:r>
      <w:r w:rsidR="00FB7880">
        <w:t xml:space="preserve"> also amended</w:t>
      </w:r>
      <w:r w:rsidR="003A3F88">
        <w:t xml:space="preserve"> the </w:t>
      </w:r>
      <w:r w:rsidR="00BF75BA" w:rsidRPr="009363E1">
        <w:rPr>
          <w:i/>
        </w:rPr>
        <w:t>Electoral </w:t>
      </w:r>
      <w:r w:rsidR="003A3F88" w:rsidRPr="009363E1">
        <w:rPr>
          <w:i/>
        </w:rPr>
        <w:t xml:space="preserve">and Referendum </w:t>
      </w:r>
      <w:r w:rsidR="00BF75BA" w:rsidRPr="009363E1">
        <w:rPr>
          <w:i/>
        </w:rPr>
        <w:t>Regulations </w:t>
      </w:r>
      <w:r w:rsidR="003A3F88" w:rsidRPr="009363E1">
        <w:rPr>
          <w:i/>
        </w:rPr>
        <w:t>1940</w:t>
      </w:r>
      <w:r w:rsidR="00FB7880">
        <w:t xml:space="preserve"> by</w:t>
      </w:r>
      <w:r w:rsidR="003A3F88" w:rsidRPr="003A3F88">
        <w:t xml:space="preserve"> allow</w:t>
      </w:r>
      <w:r w:rsidR="00FB7880">
        <w:t>ing</w:t>
      </w:r>
      <w:r w:rsidR="003A3F88" w:rsidRPr="003A3F88">
        <w:t xml:space="preserve"> </w:t>
      </w:r>
      <w:r>
        <w:t xml:space="preserve">the </w:t>
      </w:r>
      <w:r w:rsidR="0064028A">
        <w:t xml:space="preserve">Australian </w:t>
      </w:r>
      <w:r>
        <w:t xml:space="preserve">Electoral Commission </w:t>
      </w:r>
      <w:r w:rsidR="0064028A">
        <w:t>(</w:t>
      </w:r>
      <w:proofErr w:type="spellStart"/>
      <w:r w:rsidR="0064028A">
        <w:t>AEC</w:t>
      </w:r>
      <w:proofErr w:type="spellEnd"/>
      <w:r w:rsidR="0064028A">
        <w:t xml:space="preserve">) </w:t>
      </w:r>
      <w:r w:rsidR="005A6537">
        <w:t xml:space="preserve">to disclose </w:t>
      </w:r>
      <w:r w:rsidR="003A3F88" w:rsidRPr="003A3F88">
        <w:t xml:space="preserve">information </w:t>
      </w:r>
      <w:r>
        <w:t>from an Electoral R</w:t>
      </w:r>
      <w:r w:rsidR="009C0F01">
        <w:t>oll</w:t>
      </w:r>
      <w:r w:rsidR="003A3F88">
        <w:t xml:space="preserve"> </w:t>
      </w:r>
      <w:r>
        <w:t>to the Australian Taxation Office (</w:t>
      </w:r>
      <w:proofErr w:type="spellStart"/>
      <w:r>
        <w:t>ATO</w:t>
      </w:r>
      <w:proofErr w:type="spellEnd"/>
      <w:r>
        <w:t xml:space="preserve">) or the Department of the Treasury (Treasury) </w:t>
      </w:r>
      <w:r w:rsidR="003A3F88">
        <w:t xml:space="preserve">for the purposes </w:t>
      </w:r>
      <w:r w:rsidR="003A3F88" w:rsidRPr="003A3F88">
        <w:t>of administering</w:t>
      </w:r>
      <w:r w:rsidR="003A3F88">
        <w:rPr>
          <w:i/>
        </w:rPr>
        <w:t xml:space="preserve"> </w:t>
      </w:r>
      <w:r>
        <w:t xml:space="preserve">specified statutes </w:t>
      </w:r>
      <w:r w:rsidR="00BF75BA">
        <w:t xml:space="preserve">that </w:t>
      </w:r>
      <w:r>
        <w:t>regulate foreign investment in Australia.</w:t>
      </w:r>
    </w:p>
    <w:p w14:paraId="56981C46" w14:textId="317B1F11" w:rsidR="00437947" w:rsidRDefault="007A6572" w:rsidP="00437947">
      <w:r>
        <w:t xml:space="preserve">Further </w:t>
      </w:r>
      <w:r w:rsidR="00437947">
        <w:t xml:space="preserve">details of the Regulation are set out in </w:t>
      </w:r>
      <w:r w:rsidR="00BF75BA">
        <w:rPr>
          <w:u w:val="single"/>
        </w:rPr>
        <w:t>Attachment </w:t>
      </w:r>
      <w:r w:rsidR="00437947">
        <w:rPr>
          <w:u w:val="single"/>
        </w:rPr>
        <w:t>A</w:t>
      </w:r>
      <w:r w:rsidR="00437947">
        <w:t>.</w:t>
      </w:r>
    </w:p>
    <w:p w14:paraId="75510D95" w14:textId="06967F34" w:rsidR="00437947" w:rsidRPr="00437947" w:rsidRDefault="00437947" w:rsidP="003A3F88">
      <w:pPr>
        <w:rPr>
          <w:u w:val="single"/>
        </w:rPr>
      </w:pPr>
      <w:r>
        <w:t xml:space="preserve">The Statement of Compatibility is set out in </w:t>
      </w:r>
      <w:r w:rsidR="00BF75BA">
        <w:rPr>
          <w:u w:val="single"/>
        </w:rPr>
        <w:t>Attachment </w:t>
      </w:r>
      <w:r>
        <w:rPr>
          <w:u w:val="single"/>
        </w:rPr>
        <w:t>B</w:t>
      </w:r>
      <w:r>
        <w:t>.</w:t>
      </w:r>
    </w:p>
    <w:p w14:paraId="7B85329C" w14:textId="7E8BF5E4" w:rsidR="003A3F88" w:rsidRDefault="008908CC" w:rsidP="003A3F88">
      <w:r>
        <w:t>Neither t</w:t>
      </w:r>
      <w:r w:rsidR="003A3F88">
        <w:t xml:space="preserve">he Act </w:t>
      </w:r>
      <w:r>
        <w:t xml:space="preserve">nor the Commonwealth Electoral Act </w:t>
      </w:r>
      <w:r w:rsidR="003A3F88">
        <w:t>spe</w:t>
      </w:r>
      <w:r w:rsidR="009C0F01">
        <w:t>cify any condition</w:t>
      </w:r>
      <w:r w:rsidR="00DA750B">
        <w:t xml:space="preserve"> that must</w:t>
      </w:r>
      <w:r w:rsidR="00FB7880">
        <w:t xml:space="preserve"> be met before either </w:t>
      </w:r>
      <w:r w:rsidR="003A3F88">
        <w:t xml:space="preserve">power to make the Regulation may be exercised. </w:t>
      </w:r>
    </w:p>
    <w:p w14:paraId="1E804C20" w14:textId="592F26DB" w:rsidR="00DA750B" w:rsidRDefault="003A3F88" w:rsidP="003A3F88">
      <w:r>
        <w:t xml:space="preserve">The Regulation is a legislative instrument for the purposes of the </w:t>
      </w:r>
      <w:r>
        <w:rPr>
          <w:i/>
        </w:rPr>
        <w:t xml:space="preserve">Legislative Instruments </w:t>
      </w:r>
      <w:r w:rsidR="00BF75BA">
        <w:rPr>
          <w:i/>
        </w:rPr>
        <w:t>Act </w:t>
      </w:r>
      <w:r>
        <w:rPr>
          <w:i/>
        </w:rPr>
        <w:t>2003</w:t>
      </w:r>
      <w:r>
        <w:t>.</w:t>
      </w:r>
    </w:p>
    <w:p w14:paraId="46E495A2" w14:textId="4D35C726" w:rsidR="00DA750B" w:rsidRDefault="003D51E8" w:rsidP="003A3F88">
      <w:r>
        <w:t>The Treasury</w:t>
      </w:r>
      <w:r w:rsidR="00053B2D">
        <w:t xml:space="preserve"> </w:t>
      </w:r>
      <w:r w:rsidR="00DA750B">
        <w:t xml:space="preserve">undertook consultation </w:t>
      </w:r>
      <w:r w:rsidR="009363E1">
        <w:t xml:space="preserve">on two occasions </w:t>
      </w:r>
      <w:r w:rsidR="00DA750B">
        <w:t xml:space="preserve">on </w:t>
      </w:r>
      <w:r w:rsidR="009363E1">
        <w:t>exposure</w:t>
      </w:r>
      <w:r w:rsidR="00DA750B">
        <w:t xml:space="preserve"> draft</w:t>
      </w:r>
      <w:r w:rsidR="009363E1">
        <w:t>s</w:t>
      </w:r>
      <w:r w:rsidR="00DA750B">
        <w:t xml:space="preserve"> of the </w:t>
      </w:r>
      <w:r w:rsidR="00BF75BA" w:rsidRPr="000912B6">
        <w:rPr>
          <w:i/>
        </w:rPr>
        <w:t>Foreign </w:t>
      </w:r>
      <w:r w:rsidR="00DA750B" w:rsidRPr="000912B6">
        <w:rPr>
          <w:i/>
        </w:rPr>
        <w:t xml:space="preserve">Acquisitions and Takeovers </w:t>
      </w:r>
      <w:r w:rsidR="00BF75BA" w:rsidRPr="000912B6">
        <w:rPr>
          <w:i/>
        </w:rPr>
        <w:t>Regulations </w:t>
      </w:r>
      <w:r w:rsidR="00DA750B" w:rsidRPr="000912B6">
        <w:rPr>
          <w:i/>
        </w:rPr>
        <w:t>2015</w:t>
      </w:r>
      <w:r w:rsidR="009363E1">
        <w:t>. The exposure drafts</w:t>
      </w:r>
      <w:r w:rsidR="00DA750B">
        <w:t xml:space="preserve"> included provisions which </w:t>
      </w:r>
      <w:r w:rsidR="009C0F01">
        <w:t xml:space="preserve">provided for the repeal of </w:t>
      </w:r>
      <w:r w:rsidR="00DA750B">
        <w:t xml:space="preserve">the </w:t>
      </w:r>
      <w:r w:rsidR="008875F0" w:rsidRPr="009363E1">
        <w:rPr>
          <w:i/>
        </w:rPr>
        <w:t>Foreign </w:t>
      </w:r>
      <w:r w:rsidR="006C3662" w:rsidRPr="009363E1">
        <w:rPr>
          <w:i/>
        </w:rPr>
        <w:t xml:space="preserve">Acquisitions and Takeovers </w:t>
      </w:r>
      <w:r w:rsidR="008875F0" w:rsidRPr="009363E1">
        <w:rPr>
          <w:i/>
        </w:rPr>
        <w:t>Regulations </w:t>
      </w:r>
      <w:r w:rsidR="0064028A" w:rsidRPr="009363E1">
        <w:rPr>
          <w:i/>
        </w:rPr>
        <w:t>1989</w:t>
      </w:r>
      <w:r w:rsidR="006C3662">
        <w:t xml:space="preserve"> and the </w:t>
      </w:r>
      <w:r w:rsidR="008875F0" w:rsidRPr="009363E1">
        <w:rPr>
          <w:i/>
        </w:rPr>
        <w:t>Foreign </w:t>
      </w:r>
      <w:r w:rsidR="006C3662" w:rsidRPr="009363E1">
        <w:rPr>
          <w:i/>
        </w:rPr>
        <w:t>Acquisitions and Takeovers (Notices) Regulations</w:t>
      </w:r>
      <w:r w:rsidR="008875F0" w:rsidRPr="009363E1">
        <w:rPr>
          <w:i/>
        </w:rPr>
        <w:t> 1975</w:t>
      </w:r>
      <w:r w:rsidR="006C3662">
        <w:t>.</w:t>
      </w:r>
      <w:r w:rsidR="00053B2D">
        <w:t xml:space="preserve"> </w:t>
      </w:r>
      <w:r w:rsidR="0064028A">
        <w:t xml:space="preserve">The scope of that consultation is outlined in the explanatory statement for the </w:t>
      </w:r>
      <w:r w:rsidR="008875F0" w:rsidRPr="009363E1">
        <w:rPr>
          <w:i/>
        </w:rPr>
        <w:t>Foreign </w:t>
      </w:r>
      <w:r w:rsidR="0064028A" w:rsidRPr="009363E1">
        <w:rPr>
          <w:i/>
        </w:rPr>
        <w:t>Acquis</w:t>
      </w:r>
      <w:r w:rsidR="005A6537" w:rsidRPr="009363E1">
        <w:rPr>
          <w:i/>
        </w:rPr>
        <w:t xml:space="preserve">itions and Takeovers </w:t>
      </w:r>
      <w:r w:rsidR="008875F0" w:rsidRPr="009363E1">
        <w:rPr>
          <w:i/>
        </w:rPr>
        <w:t>Regulation </w:t>
      </w:r>
      <w:r w:rsidR="0064028A" w:rsidRPr="009363E1">
        <w:rPr>
          <w:i/>
        </w:rPr>
        <w:t>2015</w:t>
      </w:r>
      <w:r w:rsidR="0064028A">
        <w:t xml:space="preserve">. </w:t>
      </w:r>
      <w:r w:rsidR="00053B2D">
        <w:t>Treasury consulted with the Department of Finance an</w:t>
      </w:r>
      <w:r w:rsidR="00D701F0">
        <w:t xml:space="preserve">d the </w:t>
      </w:r>
      <w:proofErr w:type="spellStart"/>
      <w:r w:rsidR="00D701F0">
        <w:t>ATO</w:t>
      </w:r>
      <w:proofErr w:type="spellEnd"/>
      <w:r w:rsidR="00053B2D">
        <w:t xml:space="preserve"> on the amendments to the </w:t>
      </w:r>
      <w:r w:rsidR="00053B2D" w:rsidRPr="001D7B16">
        <w:rPr>
          <w:i/>
        </w:rPr>
        <w:t>Elect</w:t>
      </w:r>
      <w:r w:rsidR="009C0F01" w:rsidRPr="001D7B16">
        <w:rPr>
          <w:i/>
        </w:rPr>
        <w:t>oral and Referendum Regulations</w:t>
      </w:r>
      <w:r w:rsidR="001D7B16" w:rsidRPr="001D7B16">
        <w:rPr>
          <w:i/>
        </w:rPr>
        <w:t> 1940</w:t>
      </w:r>
      <w:r w:rsidR="009C0F01">
        <w:t>.</w:t>
      </w:r>
      <w:r w:rsidR="009363E1">
        <w:t xml:space="preserve"> </w:t>
      </w:r>
      <w:r w:rsidR="001D7B16">
        <w:t xml:space="preserve">The </w:t>
      </w:r>
      <w:proofErr w:type="spellStart"/>
      <w:r w:rsidR="001D7B16">
        <w:t>ATO</w:t>
      </w:r>
      <w:proofErr w:type="spellEnd"/>
      <w:r w:rsidR="001D7B16">
        <w:t xml:space="preserve"> and Treasury also held a confidential consultation with industry stakeholders</w:t>
      </w:r>
      <w:r w:rsidR="001D7B16" w:rsidRPr="001D7B16">
        <w:t xml:space="preserve"> on </w:t>
      </w:r>
      <w:r w:rsidR="001D7B16">
        <w:t xml:space="preserve">information sharing, including </w:t>
      </w:r>
      <w:r w:rsidR="001D7B16" w:rsidRPr="001D7B16">
        <w:t xml:space="preserve">the amendments to the </w:t>
      </w:r>
      <w:r w:rsidR="001D7B16" w:rsidRPr="001D7B16">
        <w:rPr>
          <w:i/>
        </w:rPr>
        <w:t>Electoral and Referendum Regulations 1940</w:t>
      </w:r>
      <w:r w:rsidR="001D7B16">
        <w:t>.</w:t>
      </w:r>
    </w:p>
    <w:p w14:paraId="71254898" w14:textId="73ABFC21" w:rsidR="00250BA4" w:rsidRPr="00EA06F3" w:rsidRDefault="00250BA4" w:rsidP="00250BA4">
      <w:r w:rsidRPr="00EA06F3">
        <w:t>A separate Regulation Impact Statement (</w:t>
      </w:r>
      <w:proofErr w:type="spellStart"/>
      <w:r w:rsidRPr="00EA06F3">
        <w:t>RIS</w:t>
      </w:r>
      <w:proofErr w:type="spellEnd"/>
      <w:r w:rsidRPr="00EA06F3">
        <w:t xml:space="preserve">) was not required for the Regulation as the measures in the Regulation are covered by the </w:t>
      </w:r>
      <w:proofErr w:type="spellStart"/>
      <w:r w:rsidRPr="00EA06F3">
        <w:t>RIS</w:t>
      </w:r>
      <w:proofErr w:type="spellEnd"/>
      <w:r w:rsidRPr="00EA06F3">
        <w:t xml:space="preserve"> included at Chapter 15 of the explanatory memorandum to the Foreign Acquisitions and Takeovers Legislation Amendment Bill 2015, the Foreign Acquisitions and Takeovers Fee Imposition Bill 2015 and the Register of Foreign Ownership of Agricultural Land Bill 2015.</w:t>
      </w:r>
    </w:p>
    <w:p w14:paraId="1CDA78B2" w14:textId="27F46BFC" w:rsidR="001D7B16" w:rsidRDefault="0064028A" w:rsidP="00250BA4">
      <w:pPr>
        <w:keepNext/>
      </w:pPr>
      <w:r>
        <w:lastRenderedPageBreak/>
        <w:t>The Regulation</w:t>
      </w:r>
      <w:r w:rsidR="005A6537">
        <w:t xml:space="preserve"> </w:t>
      </w:r>
      <w:r w:rsidR="008908CC">
        <w:t>commence</w:t>
      </w:r>
      <w:r w:rsidR="005A6537">
        <w:t>d</w:t>
      </w:r>
      <w:r w:rsidR="008908CC">
        <w:t xml:space="preserve"> on the later of</w:t>
      </w:r>
      <w:r w:rsidR="001D7B16">
        <w:t>:</w:t>
      </w:r>
    </w:p>
    <w:p w14:paraId="577B4910" w14:textId="39CC1B6E" w:rsidR="001D7B16" w:rsidRDefault="001D7B16" w:rsidP="0020051A">
      <w:pPr>
        <w:pStyle w:val="Bullet"/>
        <w:spacing w:before="120"/>
      </w:pPr>
      <w:r>
        <w:t xml:space="preserve">immediately after the commencement of Schedule 1 to the </w:t>
      </w:r>
      <w:r w:rsidRPr="00656107">
        <w:rPr>
          <w:i/>
        </w:rPr>
        <w:t>Foreign</w:t>
      </w:r>
      <w:r>
        <w:rPr>
          <w:i/>
        </w:rPr>
        <w:t> </w:t>
      </w:r>
      <w:r w:rsidRPr="00656107">
        <w:rPr>
          <w:i/>
        </w:rPr>
        <w:t>Acquisitions and Takeovers Legislation Amendment Act</w:t>
      </w:r>
      <w:r>
        <w:rPr>
          <w:i/>
        </w:rPr>
        <w:t> 2015</w:t>
      </w:r>
      <w:r w:rsidRPr="001D7B16">
        <w:t>; and</w:t>
      </w:r>
    </w:p>
    <w:p w14:paraId="64D8362A" w14:textId="75BEF46D" w:rsidR="00E457F3" w:rsidRPr="001D7B16" w:rsidRDefault="008908CC" w:rsidP="0020051A">
      <w:pPr>
        <w:pStyle w:val="Bullet"/>
        <w:spacing w:before="120"/>
        <w:rPr>
          <w:rFonts w:ascii="Arial Bold" w:hAnsi="Arial Bold"/>
          <w:kern w:val="28"/>
        </w:rPr>
      </w:pPr>
      <w:r>
        <w:t xml:space="preserve">the start of the day after the </w:t>
      </w:r>
      <w:r w:rsidR="005A6537">
        <w:t xml:space="preserve">Regulation was </w:t>
      </w:r>
      <w:r>
        <w:t>registered</w:t>
      </w:r>
      <w:r w:rsidR="001D7B16">
        <w:t xml:space="preserve"> on the Federal Register of Legislative Instruments</w:t>
      </w:r>
      <w:r w:rsidR="006D4C93">
        <w:t xml:space="preserve">. </w:t>
      </w:r>
      <w:r w:rsidR="00F109D4" w:rsidRPr="00503E44">
        <w:br w:type="page"/>
      </w:r>
    </w:p>
    <w:p w14:paraId="362E0EB0" w14:textId="503947DD" w:rsidR="00053B2D" w:rsidRPr="00AD1275" w:rsidRDefault="00AD1275" w:rsidP="003E28AB">
      <w:pPr>
        <w:pStyle w:val="Heading3"/>
        <w:jc w:val="right"/>
        <w:rPr>
          <w:rFonts w:ascii="Times New Roman" w:hAnsi="Times New Roman"/>
          <w:u w:val="single"/>
        </w:rPr>
      </w:pPr>
      <w:r w:rsidRPr="00AD1275">
        <w:rPr>
          <w:rFonts w:ascii="Times New Roman" w:hAnsi="Times New Roman"/>
          <w:u w:val="single"/>
        </w:rPr>
        <w:lastRenderedPageBreak/>
        <w:t>ATTACHMENT A</w:t>
      </w:r>
    </w:p>
    <w:p w14:paraId="31D6FFAA" w14:textId="77777777" w:rsidR="00EC7A8F" w:rsidRPr="009C0F01" w:rsidRDefault="00EC7A8F" w:rsidP="00EC7A8F">
      <w:pPr>
        <w:rPr>
          <w:b/>
        </w:rPr>
      </w:pPr>
      <w:r w:rsidRPr="009C0F01">
        <w:rPr>
          <w:b/>
        </w:rPr>
        <w:t>Section 1 — Name</w:t>
      </w:r>
    </w:p>
    <w:p w14:paraId="201AE72A" w14:textId="7E2E25A5" w:rsidR="00EC7A8F" w:rsidRPr="009C0F01" w:rsidRDefault="00EC7A8F" w:rsidP="00EC7A8F">
      <w:r w:rsidRPr="009C0F01">
        <w:t xml:space="preserve">The title of the Regulation is the </w:t>
      </w:r>
      <w:r w:rsidR="0073041C" w:rsidRPr="009C0F01">
        <w:rPr>
          <w:i/>
        </w:rPr>
        <w:t>Foreign</w:t>
      </w:r>
      <w:r w:rsidR="0073041C">
        <w:rPr>
          <w:i/>
        </w:rPr>
        <w:t> </w:t>
      </w:r>
      <w:r w:rsidRPr="009C0F01">
        <w:rPr>
          <w:i/>
        </w:rPr>
        <w:t>Acquisitions and Takeovers Legislation Amendment Regulation 2015</w:t>
      </w:r>
      <w:r w:rsidRPr="009C0F01">
        <w:t xml:space="preserve">. </w:t>
      </w:r>
    </w:p>
    <w:p w14:paraId="4322F7E5" w14:textId="77777777" w:rsidR="00EC7A8F" w:rsidRPr="009C0F01" w:rsidRDefault="00EC7A8F" w:rsidP="00EC7A8F">
      <w:pPr>
        <w:rPr>
          <w:b/>
        </w:rPr>
      </w:pPr>
      <w:r w:rsidRPr="009C0F01">
        <w:rPr>
          <w:b/>
        </w:rPr>
        <w:t>Section 2 — Commencement</w:t>
      </w:r>
    </w:p>
    <w:p w14:paraId="5CB37598" w14:textId="77777777" w:rsidR="00FB7880" w:rsidRDefault="005A6537" w:rsidP="00EC7A8F">
      <w:r>
        <w:t>The Regulation commenced</w:t>
      </w:r>
      <w:r w:rsidR="00EC7A8F" w:rsidRPr="009C0F01">
        <w:t xml:space="preserve"> on the later of</w:t>
      </w:r>
      <w:r w:rsidR="00FB7880">
        <w:t>:</w:t>
      </w:r>
      <w:r w:rsidR="00EC7A8F" w:rsidRPr="009C0F01">
        <w:t xml:space="preserve"> </w:t>
      </w:r>
    </w:p>
    <w:p w14:paraId="35CE2703" w14:textId="77777777" w:rsidR="00FB7880" w:rsidRDefault="00EC7A8F" w:rsidP="0020051A">
      <w:pPr>
        <w:pStyle w:val="Bullet"/>
        <w:spacing w:before="120"/>
      </w:pPr>
      <w:r w:rsidRPr="009C0F01">
        <w:t>the start o</w:t>
      </w:r>
      <w:r w:rsidR="00FB7880">
        <w:t>f the day after the Regulation wa</w:t>
      </w:r>
      <w:r w:rsidRPr="009C0F01">
        <w:t>s registered in the Federal Register of Legislative Instruments</w:t>
      </w:r>
      <w:r w:rsidR="00FB7880">
        <w:t>;</w:t>
      </w:r>
      <w:r w:rsidRPr="009C0F01">
        <w:t xml:space="preserve"> and </w:t>
      </w:r>
    </w:p>
    <w:p w14:paraId="2F8CEA87" w14:textId="598E440F" w:rsidR="00EC7A8F" w:rsidRPr="009C0F01" w:rsidRDefault="00EC7A8F" w:rsidP="0020051A">
      <w:pPr>
        <w:pStyle w:val="Bullet"/>
        <w:spacing w:before="120"/>
      </w:pPr>
      <w:r w:rsidRPr="009C0F01">
        <w:t xml:space="preserve">immediately after the commencement of Schedule 1 to the </w:t>
      </w:r>
      <w:r w:rsidRPr="0020051A">
        <w:rPr>
          <w:i/>
        </w:rPr>
        <w:t>Foreign Acquisitions and Takeovers Amendment Act</w:t>
      </w:r>
      <w:r w:rsidR="0020051A">
        <w:rPr>
          <w:i/>
        </w:rPr>
        <w:t> </w:t>
      </w:r>
      <w:r w:rsidR="0020051A" w:rsidRPr="0020051A">
        <w:rPr>
          <w:i/>
        </w:rPr>
        <w:t>2015</w:t>
      </w:r>
      <w:r w:rsidRPr="009C0F01">
        <w:t xml:space="preserve">. </w:t>
      </w:r>
    </w:p>
    <w:p w14:paraId="4C0E0AD1" w14:textId="77777777" w:rsidR="00EC7A8F" w:rsidRPr="009C0F01" w:rsidRDefault="00EC7A8F" w:rsidP="00EC7A8F">
      <w:pPr>
        <w:rPr>
          <w:b/>
        </w:rPr>
      </w:pPr>
      <w:r w:rsidRPr="009C0F01">
        <w:rPr>
          <w:b/>
        </w:rPr>
        <w:t>Section 3 — Authority</w:t>
      </w:r>
    </w:p>
    <w:p w14:paraId="51C1E298" w14:textId="1F27C13B" w:rsidR="00EC7A8F" w:rsidRPr="009C0F01" w:rsidRDefault="00EC7A8F" w:rsidP="00EC7A8F">
      <w:r w:rsidRPr="009C0F01">
        <w:t xml:space="preserve">The Regulation is made under the Act and the </w:t>
      </w:r>
      <w:r w:rsidRPr="006538E7">
        <w:rPr>
          <w:i/>
        </w:rPr>
        <w:t xml:space="preserve">Commonwealth </w:t>
      </w:r>
      <w:r w:rsidR="0073041C" w:rsidRPr="006538E7">
        <w:rPr>
          <w:i/>
        </w:rPr>
        <w:t xml:space="preserve">Electoral </w:t>
      </w:r>
      <w:r w:rsidRPr="006538E7">
        <w:rPr>
          <w:i/>
        </w:rPr>
        <w:t>Act</w:t>
      </w:r>
      <w:r w:rsidR="0073041C" w:rsidRPr="006538E7">
        <w:rPr>
          <w:i/>
        </w:rPr>
        <w:t> 1918</w:t>
      </w:r>
      <w:r w:rsidRPr="009C0F01">
        <w:t xml:space="preserve">. </w:t>
      </w:r>
    </w:p>
    <w:p w14:paraId="161EC5ED" w14:textId="77777777" w:rsidR="00EC7A8F" w:rsidRPr="009C0F01" w:rsidRDefault="00EC7A8F" w:rsidP="00EC7A8F">
      <w:pPr>
        <w:rPr>
          <w:b/>
        </w:rPr>
      </w:pPr>
      <w:r w:rsidRPr="009C0F01">
        <w:rPr>
          <w:b/>
        </w:rPr>
        <w:t>Section 4 — Schedules</w:t>
      </w:r>
    </w:p>
    <w:p w14:paraId="7D8DCD19" w14:textId="07BFD5A4" w:rsidR="00EC7A8F" w:rsidRPr="009C0F01" w:rsidRDefault="00EC7A8F" w:rsidP="00EC7A8F">
      <w:r w:rsidRPr="009C0F01">
        <w:t>Each instrument that is specified in a Schedule to the Regulation is amended or repealed as set out in the applicable items in the Schedule concerned, and any other item in a Schedule to the Regulation has effect according to its terms.</w:t>
      </w:r>
      <w:r w:rsidR="00FB7880">
        <w:t xml:space="preserve"> This is a technical provision which gives operational effect to the amendments contained in the Schedules. </w:t>
      </w:r>
    </w:p>
    <w:p w14:paraId="69DB4978" w14:textId="5161CB6E" w:rsidR="00EC7A8F" w:rsidRPr="00FA438D" w:rsidRDefault="0073041C" w:rsidP="00EC7A8F">
      <w:pPr>
        <w:rPr>
          <w:b/>
          <w:u w:val="single"/>
        </w:rPr>
      </w:pPr>
      <w:r w:rsidRPr="00FA438D">
        <w:rPr>
          <w:b/>
          <w:u w:val="single"/>
        </w:rPr>
        <w:t>Schedule</w:t>
      </w:r>
      <w:r>
        <w:rPr>
          <w:b/>
          <w:u w:val="single"/>
        </w:rPr>
        <w:t> </w:t>
      </w:r>
      <w:r w:rsidR="00EC7A8F" w:rsidRPr="00FA438D">
        <w:rPr>
          <w:b/>
          <w:u w:val="single"/>
        </w:rPr>
        <w:t>1 — Repeals</w:t>
      </w:r>
    </w:p>
    <w:p w14:paraId="23890525" w14:textId="0D5E3D54" w:rsidR="00B55914" w:rsidRPr="009C0F01" w:rsidRDefault="00B55914" w:rsidP="006015FE">
      <w:pPr>
        <w:pStyle w:val="Bullet"/>
        <w:numPr>
          <w:ilvl w:val="0"/>
          <w:numId w:val="0"/>
        </w:numPr>
        <w:tabs>
          <w:tab w:val="left" w:pos="720"/>
        </w:tabs>
        <w:spacing w:before="120"/>
        <w:rPr>
          <w:b/>
        </w:rPr>
      </w:pPr>
      <w:r w:rsidRPr="009C0F01">
        <w:rPr>
          <w:b/>
        </w:rPr>
        <w:t>1 The whole of the Regulations</w:t>
      </w:r>
    </w:p>
    <w:p w14:paraId="58150179" w14:textId="5DD9657A" w:rsidR="006015FE" w:rsidRPr="009C0F01" w:rsidRDefault="006015FE" w:rsidP="006015FE">
      <w:pPr>
        <w:pStyle w:val="Bullet"/>
        <w:numPr>
          <w:ilvl w:val="0"/>
          <w:numId w:val="0"/>
        </w:numPr>
        <w:tabs>
          <w:tab w:val="left" w:pos="720"/>
        </w:tabs>
        <w:spacing w:before="120"/>
        <w:rPr>
          <w:i/>
        </w:rPr>
      </w:pPr>
      <w:r w:rsidRPr="009C0F01">
        <w:t>Item 1 repe</w:t>
      </w:r>
      <w:r w:rsidR="00D701F0">
        <w:t>aled</w:t>
      </w:r>
      <w:r w:rsidRPr="009C0F01">
        <w:t xml:space="preserve"> the whole of the </w:t>
      </w:r>
      <w:r w:rsidR="0073041C" w:rsidRPr="000912B6">
        <w:rPr>
          <w:i/>
        </w:rPr>
        <w:t>Foreign </w:t>
      </w:r>
      <w:r w:rsidRPr="000912B6">
        <w:rPr>
          <w:i/>
        </w:rPr>
        <w:t xml:space="preserve">Acquisitions and Takeovers (Notices) </w:t>
      </w:r>
      <w:r w:rsidR="0073041C" w:rsidRPr="000912B6">
        <w:rPr>
          <w:i/>
        </w:rPr>
        <w:t>Regulations </w:t>
      </w:r>
      <w:r w:rsidRPr="000912B6">
        <w:rPr>
          <w:i/>
        </w:rPr>
        <w:t>1975</w:t>
      </w:r>
      <w:r w:rsidRPr="009C0F01">
        <w:rPr>
          <w:i/>
        </w:rPr>
        <w:t>.</w:t>
      </w:r>
    </w:p>
    <w:p w14:paraId="736364E7" w14:textId="79A393B6" w:rsidR="00B55914" w:rsidRPr="009C0F01" w:rsidRDefault="009C0F01" w:rsidP="006015FE">
      <w:pPr>
        <w:pStyle w:val="Bullet"/>
        <w:numPr>
          <w:ilvl w:val="0"/>
          <w:numId w:val="0"/>
        </w:numPr>
        <w:tabs>
          <w:tab w:val="left" w:pos="720"/>
        </w:tabs>
        <w:spacing w:before="120"/>
        <w:rPr>
          <w:b/>
          <w:i/>
        </w:rPr>
      </w:pPr>
      <w:r>
        <w:rPr>
          <w:b/>
        </w:rPr>
        <w:t>2 The whole of the R</w:t>
      </w:r>
      <w:r w:rsidR="00B55914" w:rsidRPr="009C0F01">
        <w:rPr>
          <w:b/>
        </w:rPr>
        <w:t>egulations</w:t>
      </w:r>
    </w:p>
    <w:p w14:paraId="499A5329" w14:textId="233BC931" w:rsidR="006015FE" w:rsidRPr="003D51E8" w:rsidRDefault="00D701F0" w:rsidP="006015FE">
      <w:pPr>
        <w:pStyle w:val="Bullet"/>
        <w:numPr>
          <w:ilvl w:val="0"/>
          <w:numId w:val="0"/>
        </w:numPr>
        <w:tabs>
          <w:tab w:val="left" w:pos="720"/>
        </w:tabs>
        <w:spacing w:before="120"/>
      </w:pPr>
      <w:r>
        <w:t>Item 2 repealed</w:t>
      </w:r>
      <w:r w:rsidR="006015FE" w:rsidRPr="009C0F01">
        <w:t xml:space="preserve"> the </w:t>
      </w:r>
      <w:r w:rsidR="000A6DC9">
        <w:t xml:space="preserve">whole of the </w:t>
      </w:r>
      <w:r w:rsidR="0073041C" w:rsidRPr="000912B6">
        <w:rPr>
          <w:i/>
        </w:rPr>
        <w:t>Foreign </w:t>
      </w:r>
      <w:r w:rsidR="006015FE" w:rsidRPr="000912B6">
        <w:rPr>
          <w:i/>
        </w:rPr>
        <w:t xml:space="preserve">Acquisitions and Takeovers </w:t>
      </w:r>
      <w:r w:rsidR="0073041C" w:rsidRPr="000912B6">
        <w:rPr>
          <w:i/>
        </w:rPr>
        <w:t>Regulations </w:t>
      </w:r>
      <w:r w:rsidR="006015FE" w:rsidRPr="000912B6">
        <w:rPr>
          <w:i/>
        </w:rPr>
        <w:t>1989</w:t>
      </w:r>
      <w:r w:rsidR="006015FE" w:rsidRPr="009C0F01">
        <w:rPr>
          <w:i/>
        </w:rPr>
        <w:t>.</w:t>
      </w:r>
      <w:r w:rsidR="003D51E8">
        <w:rPr>
          <w:i/>
        </w:rPr>
        <w:t xml:space="preserve"> </w:t>
      </w:r>
    </w:p>
    <w:p w14:paraId="13AA88B5" w14:textId="47A222DC" w:rsidR="00B55914" w:rsidRPr="00FA438D" w:rsidRDefault="0073041C" w:rsidP="006015FE">
      <w:pPr>
        <w:pStyle w:val="Bullet"/>
        <w:numPr>
          <w:ilvl w:val="0"/>
          <w:numId w:val="0"/>
        </w:numPr>
        <w:tabs>
          <w:tab w:val="left" w:pos="720"/>
        </w:tabs>
        <w:spacing w:before="120"/>
        <w:rPr>
          <w:b/>
          <w:u w:val="single"/>
        </w:rPr>
      </w:pPr>
      <w:r w:rsidRPr="00FA438D">
        <w:rPr>
          <w:b/>
          <w:u w:val="single"/>
        </w:rPr>
        <w:t>Schedule</w:t>
      </w:r>
      <w:r>
        <w:rPr>
          <w:b/>
          <w:u w:val="single"/>
        </w:rPr>
        <w:t> </w:t>
      </w:r>
      <w:r w:rsidR="00B55914" w:rsidRPr="00FA438D">
        <w:rPr>
          <w:b/>
          <w:u w:val="single"/>
        </w:rPr>
        <w:t>2— Amendments</w:t>
      </w:r>
    </w:p>
    <w:p w14:paraId="6F9021B9" w14:textId="32202565" w:rsidR="00DA4640" w:rsidRPr="009C0F01" w:rsidRDefault="00DA4640" w:rsidP="003E28AB">
      <w:pPr>
        <w:pStyle w:val="base-text-paragraph"/>
        <w:tabs>
          <w:tab w:val="clear" w:pos="1987"/>
          <w:tab w:val="left" w:pos="0"/>
        </w:tabs>
        <w:ind w:left="0"/>
        <w:rPr>
          <w:b/>
        </w:rPr>
      </w:pPr>
      <w:r w:rsidRPr="009C0F01">
        <w:rPr>
          <w:b/>
        </w:rPr>
        <w:t xml:space="preserve">1 </w:t>
      </w:r>
      <w:proofErr w:type="spellStart"/>
      <w:r w:rsidR="0073041C" w:rsidRPr="009C0F01">
        <w:rPr>
          <w:b/>
        </w:rPr>
        <w:t>Subregulation</w:t>
      </w:r>
      <w:proofErr w:type="spellEnd"/>
      <w:r w:rsidR="0073041C">
        <w:rPr>
          <w:b/>
        </w:rPr>
        <w:t> </w:t>
      </w:r>
      <w:r w:rsidRPr="009C0F01">
        <w:rPr>
          <w:b/>
        </w:rPr>
        <w:t>5(1)</w:t>
      </w:r>
    </w:p>
    <w:p w14:paraId="7233BBEB" w14:textId="21823585" w:rsidR="00DA4640" w:rsidRPr="009C0F01" w:rsidRDefault="0073041C" w:rsidP="003E28AB">
      <w:pPr>
        <w:pStyle w:val="base-text-paragraph"/>
        <w:tabs>
          <w:tab w:val="clear" w:pos="1987"/>
          <w:tab w:val="left" w:pos="0"/>
        </w:tabs>
        <w:ind w:left="0"/>
      </w:pPr>
      <w:r w:rsidRPr="009C0F01">
        <w:t>Item</w:t>
      </w:r>
      <w:r>
        <w:t> </w:t>
      </w:r>
      <w:r w:rsidR="00B55914" w:rsidRPr="009C0F01">
        <w:t xml:space="preserve">1 of </w:t>
      </w:r>
      <w:r w:rsidRPr="009C0F01">
        <w:t>Schedule</w:t>
      </w:r>
      <w:r>
        <w:t> </w:t>
      </w:r>
      <w:r w:rsidR="00B55914" w:rsidRPr="009C0F01">
        <w:t xml:space="preserve">2 </w:t>
      </w:r>
      <w:r w:rsidR="00AF757E">
        <w:t xml:space="preserve">of the Regulation </w:t>
      </w:r>
      <w:r w:rsidR="00B55914" w:rsidRPr="009C0F01">
        <w:t>inse</w:t>
      </w:r>
      <w:r w:rsidR="00D701F0">
        <w:t>rted</w:t>
      </w:r>
      <w:r w:rsidR="00B55914" w:rsidRPr="009C0F01">
        <w:t xml:space="preserve"> a definition of the term ‘Australia’s Foreign Investment Framework’ </w:t>
      </w:r>
      <w:r w:rsidR="009573B5" w:rsidRPr="009C0F01">
        <w:t>in</w:t>
      </w:r>
      <w:r>
        <w:t>to</w:t>
      </w:r>
      <w:r w:rsidR="009573B5" w:rsidRPr="009C0F01">
        <w:t xml:space="preserve"> </w:t>
      </w:r>
      <w:proofErr w:type="spellStart"/>
      <w:r w:rsidR="009573B5" w:rsidRPr="009C0F01">
        <w:t>subregulation</w:t>
      </w:r>
      <w:proofErr w:type="spellEnd"/>
      <w:r w:rsidR="009573B5" w:rsidRPr="009C0F01">
        <w:t> </w:t>
      </w:r>
      <w:r w:rsidR="00B55914" w:rsidRPr="009C0F01">
        <w:t xml:space="preserve">5(1) of the </w:t>
      </w:r>
      <w:r w:rsidR="00B55914" w:rsidRPr="000912B6">
        <w:rPr>
          <w:i/>
        </w:rPr>
        <w:t>Elect</w:t>
      </w:r>
      <w:r w:rsidR="00DA4640" w:rsidRPr="000912B6">
        <w:rPr>
          <w:i/>
        </w:rPr>
        <w:t xml:space="preserve">oral and </w:t>
      </w:r>
      <w:r w:rsidRPr="000912B6">
        <w:rPr>
          <w:i/>
        </w:rPr>
        <w:t>Referendum </w:t>
      </w:r>
      <w:r w:rsidR="00DA4640" w:rsidRPr="000912B6">
        <w:rPr>
          <w:i/>
        </w:rPr>
        <w:t>Regulations</w:t>
      </w:r>
      <w:r w:rsidR="000912B6" w:rsidRPr="000912B6">
        <w:rPr>
          <w:i/>
        </w:rPr>
        <w:t> 1940</w:t>
      </w:r>
      <w:r w:rsidR="00DA4640" w:rsidRPr="009C0F01">
        <w:t>.</w:t>
      </w:r>
      <w:r w:rsidR="00D701F0">
        <w:t xml:space="preserve"> This term is used by the amendments </w:t>
      </w:r>
      <w:r w:rsidR="00AF757E">
        <w:t xml:space="preserve">made by the Regulation </w:t>
      </w:r>
      <w:r w:rsidR="00D701F0">
        <w:t xml:space="preserve">to </w:t>
      </w:r>
      <w:r>
        <w:t>Schedule </w:t>
      </w:r>
      <w:r w:rsidR="00D701F0">
        <w:t xml:space="preserve">1 to the </w:t>
      </w:r>
      <w:r w:rsidR="00D701F0" w:rsidRPr="000912B6">
        <w:rPr>
          <w:i/>
        </w:rPr>
        <w:t>Electoral and Referendum Regulations</w:t>
      </w:r>
      <w:r w:rsidR="000912B6" w:rsidRPr="000912B6">
        <w:rPr>
          <w:i/>
        </w:rPr>
        <w:t> 1940</w:t>
      </w:r>
      <w:r w:rsidR="00D701F0">
        <w:t>.</w:t>
      </w:r>
    </w:p>
    <w:p w14:paraId="79C16A2B" w14:textId="6CABFB88" w:rsidR="00DA4640" w:rsidRPr="009C0F01" w:rsidRDefault="00DA4640" w:rsidP="003E28AB">
      <w:pPr>
        <w:pStyle w:val="base-text-paragraph"/>
        <w:tabs>
          <w:tab w:val="clear" w:pos="1987"/>
          <w:tab w:val="left" w:pos="0"/>
        </w:tabs>
        <w:ind w:left="0"/>
        <w:rPr>
          <w:b/>
        </w:rPr>
      </w:pPr>
      <w:r w:rsidRPr="009C0F01">
        <w:rPr>
          <w:b/>
        </w:rPr>
        <w:t xml:space="preserve">2 After </w:t>
      </w:r>
      <w:r w:rsidR="0073041C" w:rsidRPr="009C0F01">
        <w:rPr>
          <w:b/>
        </w:rPr>
        <w:t>Part</w:t>
      </w:r>
      <w:r w:rsidR="0073041C">
        <w:rPr>
          <w:b/>
        </w:rPr>
        <w:t> </w:t>
      </w:r>
      <w:r w:rsidRPr="009C0F01">
        <w:rPr>
          <w:b/>
        </w:rPr>
        <w:t>III</w:t>
      </w:r>
    </w:p>
    <w:p w14:paraId="4A52A406" w14:textId="4861FB95" w:rsidR="00597766" w:rsidRPr="009C0F01" w:rsidRDefault="0073041C" w:rsidP="003E28AB">
      <w:pPr>
        <w:pStyle w:val="base-text-paragraph"/>
        <w:tabs>
          <w:tab w:val="clear" w:pos="1987"/>
          <w:tab w:val="left" w:pos="0"/>
        </w:tabs>
        <w:ind w:left="0"/>
      </w:pPr>
      <w:r w:rsidRPr="009C0F01">
        <w:t>Item</w:t>
      </w:r>
      <w:r>
        <w:t> </w:t>
      </w:r>
      <w:r w:rsidR="0005722B" w:rsidRPr="009C0F01">
        <w:t xml:space="preserve">2 of </w:t>
      </w:r>
      <w:r w:rsidRPr="009C0F01">
        <w:t>Schedule</w:t>
      </w:r>
      <w:r>
        <w:t> </w:t>
      </w:r>
      <w:r w:rsidR="0005722B" w:rsidRPr="009C0F01">
        <w:t xml:space="preserve">2 to the Regulation inserted new regulation 84 in the </w:t>
      </w:r>
      <w:r w:rsidR="0005722B" w:rsidRPr="000912B6">
        <w:rPr>
          <w:i/>
        </w:rPr>
        <w:t>Electoral and Referendum Regulation</w:t>
      </w:r>
      <w:r w:rsidR="00C44BB5" w:rsidRPr="000912B6">
        <w:rPr>
          <w:i/>
        </w:rPr>
        <w:t>s</w:t>
      </w:r>
      <w:r w:rsidR="000912B6" w:rsidRPr="000912B6">
        <w:rPr>
          <w:i/>
        </w:rPr>
        <w:t> 1940</w:t>
      </w:r>
      <w:r w:rsidR="0005722B" w:rsidRPr="009C0F01">
        <w:t xml:space="preserve">. </w:t>
      </w:r>
      <w:r w:rsidR="000A6DC9">
        <w:t>The effect of the item</w:t>
      </w:r>
      <w:r w:rsidR="0005722B" w:rsidRPr="009C0F01">
        <w:t xml:space="preserve"> is </w:t>
      </w:r>
      <w:r w:rsidR="00AF757E">
        <w:t>that the amendments to Schedule </w:t>
      </w:r>
      <w:r w:rsidR="0005722B" w:rsidRPr="009C0F01">
        <w:t xml:space="preserve">1 to the </w:t>
      </w:r>
      <w:r w:rsidR="0005722B" w:rsidRPr="000912B6">
        <w:rPr>
          <w:i/>
        </w:rPr>
        <w:t xml:space="preserve">Electoral and Referendum </w:t>
      </w:r>
      <w:r w:rsidR="000912B6" w:rsidRPr="000912B6">
        <w:rPr>
          <w:i/>
        </w:rPr>
        <w:t>Regulations 1940</w:t>
      </w:r>
      <w:r w:rsidR="000912B6">
        <w:t xml:space="preserve"> </w:t>
      </w:r>
      <w:r w:rsidR="00F7251C" w:rsidRPr="009C0F01">
        <w:t xml:space="preserve">made by </w:t>
      </w:r>
      <w:r w:rsidR="000912B6" w:rsidRPr="009C0F01">
        <w:t>th</w:t>
      </w:r>
      <w:r w:rsidR="000912B6">
        <w:t>e</w:t>
      </w:r>
      <w:r w:rsidR="000912B6" w:rsidRPr="009C0F01">
        <w:t xml:space="preserve"> </w:t>
      </w:r>
      <w:r w:rsidR="00F7251C" w:rsidRPr="009C0F01">
        <w:t>Regulation apply in relation to the use of information by a person or organisation after the amendments commence</w:t>
      </w:r>
      <w:r w:rsidR="00AF757E">
        <w:t>d</w:t>
      </w:r>
      <w:r w:rsidR="00F7251C" w:rsidRPr="009C0F01">
        <w:t>, regardless of whether the i</w:t>
      </w:r>
      <w:r w:rsidR="00AF757E">
        <w:t>nformation was</w:t>
      </w:r>
      <w:r w:rsidR="00F7251C" w:rsidRPr="009C0F01">
        <w:t xml:space="preserve"> given before or after that time.</w:t>
      </w:r>
    </w:p>
    <w:p w14:paraId="1C3C23E2" w14:textId="446BEF23" w:rsidR="00597766" w:rsidRPr="009C0F01" w:rsidRDefault="00597766" w:rsidP="0020051A">
      <w:pPr>
        <w:pStyle w:val="base-text-paragraph"/>
        <w:keepNext/>
        <w:keepLines/>
        <w:tabs>
          <w:tab w:val="clear" w:pos="1987"/>
          <w:tab w:val="left" w:pos="0"/>
        </w:tabs>
        <w:ind w:left="0"/>
        <w:rPr>
          <w:b/>
        </w:rPr>
      </w:pPr>
      <w:r w:rsidRPr="009C0F01">
        <w:rPr>
          <w:b/>
        </w:rPr>
        <w:t xml:space="preserve">3 </w:t>
      </w:r>
      <w:r w:rsidR="0073041C" w:rsidRPr="009C0F01">
        <w:rPr>
          <w:b/>
        </w:rPr>
        <w:t>Schedule</w:t>
      </w:r>
      <w:r w:rsidR="0073041C">
        <w:rPr>
          <w:b/>
        </w:rPr>
        <w:t> </w:t>
      </w:r>
      <w:r w:rsidRPr="009C0F01">
        <w:rPr>
          <w:b/>
        </w:rPr>
        <w:t xml:space="preserve">1 (at the end of the cell at table </w:t>
      </w:r>
      <w:r w:rsidR="0073041C" w:rsidRPr="009C0F01">
        <w:rPr>
          <w:b/>
        </w:rPr>
        <w:t>item</w:t>
      </w:r>
      <w:r w:rsidR="0073041C">
        <w:rPr>
          <w:b/>
        </w:rPr>
        <w:t> </w:t>
      </w:r>
      <w:r w:rsidRPr="009C0F01">
        <w:rPr>
          <w:b/>
        </w:rPr>
        <w:t xml:space="preserve">9, column headed </w:t>
      </w:r>
      <w:r w:rsidR="00EF47B0" w:rsidRPr="009C0F01">
        <w:rPr>
          <w:b/>
        </w:rPr>
        <w:t>“</w:t>
      </w:r>
      <w:r w:rsidRPr="009C0F01">
        <w:rPr>
          <w:b/>
        </w:rPr>
        <w:t>purpose</w:t>
      </w:r>
      <w:r w:rsidR="00EF47B0" w:rsidRPr="009C0F01">
        <w:rPr>
          <w:b/>
        </w:rPr>
        <w:t>”)</w:t>
      </w:r>
    </w:p>
    <w:p w14:paraId="5C35DC07" w14:textId="61B75485" w:rsidR="00DF121A" w:rsidRDefault="00FA4745" w:rsidP="0020051A">
      <w:pPr>
        <w:pStyle w:val="base-text-paragraph"/>
        <w:keepNext/>
        <w:keepLines/>
        <w:tabs>
          <w:tab w:val="clear" w:pos="1987"/>
          <w:tab w:val="left" w:pos="0"/>
        </w:tabs>
        <w:ind w:left="0"/>
      </w:pPr>
      <w:r>
        <w:t xml:space="preserve">The effect of </w:t>
      </w:r>
      <w:r w:rsidRPr="000912B6">
        <w:t>s</w:t>
      </w:r>
      <w:r w:rsidR="00C44BB5" w:rsidRPr="000912B6">
        <w:t>ubsection </w:t>
      </w:r>
      <w:r w:rsidR="004C4311" w:rsidRPr="000912B6">
        <w:t>90B</w:t>
      </w:r>
      <w:r w:rsidR="00A40833" w:rsidRPr="000912B6">
        <w:t>(4)</w:t>
      </w:r>
      <w:r w:rsidR="004C4311" w:rsidRPr="009C0F01">
        <w:t xml:space="preserve"> of the </w:t>
      </w:r>
      <w:r w:rsidR="004C4311" w:rsidRPr="006538E7">
        <w:rPr>
          <w:i/>
        </w:rPr>
        <w:t xml:space="preserve">Commonwealth Electoral </w:t>
      </w:r>
      <w:r w:rsidR="0073041C" w:rsidRPr="006538E7">
        <w:rPr>
          <w:i/>
        </w:rPr>
        <w:t>Act 1918</w:t>
      </w:r>
      <w:r w:rsidR="0073041C">
        <w:t xml:space="preserve"> </w:t>
      </w:r>
      <w:r>
        <w:t xml:space="preserve">is that </w:t>
      </w:r>
      <w:r w:rsidR="00D4087C" w:rsidRPr="009C0F01">
        <w:t xml:space="preserve">the </w:t>
      </w:r>
      <w:r w:rsidR="0073041C" w:rsidRPr="0073041C">
        <w:t>Australian Electoral Commission (</w:t>
      </w:r>
      <w:proofErr w:type="spellStart"/>
      <w:r w:rsidR="0073041C" w:rsidRPr="0073041C">
        <w:t>AEC</w:t>
      </w:r>
      <w:proofErr w:type="spellEnd"/>
      <w:r w:rsidR="0073041C" w:rsidRPr="0073041C">
        <w:t>)</w:t>
      </w:r>
      <w:r w:rsidR="00D701F0">
        <w:t xml:space="preserve"> </w:t>
      </w:r>
      <w:r>
        <w:t>may</w:t>
      </w:r>
      <w:r w:rsidR="00D4087C" w:rsidRPr="009C0F01">
        <w:t xml:space="preserve"> give </w:t>
      </w:r>
      <w:r w:rsidR="001523F5">
        <w:t xml:space="preserve">the </w:t>
      </w:r>
      <w:r w:rsidR="00AD6FE9">
        <w:t xml:space="preserve">persons and organisations </w:t>
      </w:r>
      <w:r w:rsidR="001523F5">
        <w:t xml:space="preserve">specified in the table that follows the provision </w:t>
      </w:r>
      <w:r w:rsidR="00D4087C" w:rsidRPr="009C0F01">
        <w:t xml:space="preserve">information </w:t>
      </w:r>
      <w:r>
        <w:t>in relation to the Electoral Rolls that is specified in the table in the circumstances specified in the table</w:t>
      </w:r>
      <w:r w:rsidR="00461C9F">
        <w:t>.</w:t>
      </w:r>
      <w:r w:rsidR="00AD6FE9">
        <w:t xml:space="preserve"> </w:t>
      </w:r>
      <w:r w:rsidR="00461C9F">
        <w:t xml:space="preserve">Most relevantly, </w:t>
      </w:r>
      <w:r w:rsidR="0073041C" w:rsidRPr="009C0F01">
        <w:t>item</w:t>
      </w:r>
      <w:r w:rsidR="0073041C">
        <w:t> </w:t>
      </w:r>
      <w:r w:rsidR="00D4087C" w:rsidRPr="009C0F01">
        <w:t xml:space="preserve">4 </w:t>
      </w:r>
      <w:r w:rsidR="00461C9F">
        <w:t xml:space="preserve">of the table </w:t>
      </w:r>
      <w:r w:rsidR="00D4087C" w:rsidRPr="009C0F01">
        <w:t xml:space="preserve">specifies that the </w:t>
      </w:r>
      <w:proofErr w:type="spellStart"/>
      <w:r w:rsidR="00DF121A">
        <w:t>AEC</w:t>
      </w:r>
      <w:proofErr w:type="spellEnd"/>
      <w:r w:rsidR="00D4087C" w:rsidRPr="009C0F01">
        <w:t xml:space="preserve"> can g</w:t>
      </w:r>
      <w:r w:rsidR="00DF121A">
        <w:t>ive a ‘prescribed authority’ any</w:t>
      </w:r>
      <w:r w:rsidR="00D4087C" w:rsidRPr="009C0F01">
        <w:t xml:space="preserve"> information on a</w:t>
      </w:r>
      <w:r w:rsidR="000A6DC9">
        <w:t>n</w:t>
      </w:r>
      <w:r w:rsidR="00D4087C" w:rsidRPr="009C0F01">
        <w:t xml:space="preserve"> </w:t>
      </w:r>
      <w:r w:rsidR="000A6DC9">
        <w:t xml:space="preserve">Electoral </w:t>
      </w:r>
      <w:r w:rsidR="00D4087C" w:rsidRPr="009C0F01">
        <w:t>Roll</w:t>
      </w:r>
      <w:r w:rsidR="00AF757E">
        <w:t>,</w:t>
      </w:r>
      <w:r w:rsidR="00D4087C" w:rsidRPr="009C0F01">
        <w:t xml:space="preserve"> and, if it</w:t>
      </w:r>
      <w:r w:rsidR="007D5E52" w:rsidRPr="009C0F01">
        <w:t xml:space="preserve"> wishes, the sex, date o</w:t>
      </w:r>
      <w:r w:rsidR="00D4087C" w:rsidRPr="009C0F01">
        <w:t>f birth</w:t>
      </w:r>
      <w:r w:rsidR="007D5E52" w:rsidRPr="009C0F01">
        <w:t xml:space="preserve"> </w:t>
      </w:r>
      <w:r w:rsidR="00D4087C" w:rsidRPr="009C0F01">
        <w:t>or the oc</w:t>
      </w:r>
      <w:r w:rsidR="007D5E52" w:rsidRPr="009C0F01">
        <w:t>cupation of a person whose name</w:t>
      </w:r>
      <w:r w:rsidR="00D4087C" w:rsidRPr="009C0F01">
        <w:t xml:space="preserve"> is included on the Roll. </w:t>
      </w:r>
      <w:r w:rsidR="007D5E52" w:rsidRPr="009C0F01">
        <w:t>Th</w:t>
      </w:r>
      <w:r w:rsidR="00DF121A">
        <w:t xml:space="preserve">e </w:t>
      </w:r>
      <w:proofErr w:type="spellStart"/>
      <w:r w:rsidR="00DF121A">
        <w:t>AEC</w:t>
      </w:r>
      <w:proofErr w:type="spellEnd"/>
      <w:r w:rsidR="00AF757E">
        <w:t xml:space="preserve"> can give this information provided</w:t>
      </w:r>
      <w:r w:rsidR="007D5E52" w:rsidRPr="009C0F01">
        <w:t xml:space="preserve"> the provision of the information is authorised by the regulations. </w:t>
      </w:r>
      <w:r w:rsidR="0073041C" w:rsidRPr="000912B6">
        <w:t>Subsection </w:t>
      </w:r>
      <w:r w:rsidR="00393FE7" w:rsidRPr="000912B6">
        <w:t>91A(1)</w:t>
      </w:r>
      <w:r w:rsidR="00393FE7">
        <w:t xml:space="preserve"> of the Commonwealth Electoral Act makes it an offence for a person to use information which is given to a person or organisation under </w:t>
      </w:r>
      <w:r w:rsidR="0073041C" w:rsidRPr="000912B6">
        <w:t>section </w:t>
      </w:r>
      <w:r w:rsidR="00393FE7" w:rsidRPr="000912B6">
        <w:t>90B</w:t>
      </w:r>
      <w:r w:rsidR="00393FE7">
        <w:t xml:space="preserve"> except for a purpose that is a permitted purpose in relation to the person or organisation the information is given to. </w:t>
      </w:r>
      <w:r w:rsidR="0073041C">
        <w:t>Subsection </w:t>
      </w:r>
      <w:r w:rsidR="00393FE7">
        <w:t>91A(2AA) provides that the permitted purposes in relation to a prescribed authority include ‘any other purpose that is prescribed</w:t>
      </w:r>
      <w:r w:rsidR="00996241">
        <w:t xml:space="preserve"> for the prescribed authority’. </w:t>
      </w:r>
      <w:r w:rsidR="00AF757E">
        <w:t>Schedule </w:t>
      </w:r>
      <w:r w:rsidR="00DF121A">
        <w:t xml:space="preserve">1 to the </w:t>
      </w:r>
      <w:r w:rsidR="00DF121A" w:rsidRPr="000912B6">
        <w:rPr>
          <w:i/>
        </w:rPr>
        <w:t xml:space="preserve">Electoral and Referendum </w:t>
      </w:r>
      <w:r w:rsidR="000912B6" w:rsidRPr="000912B6">
        <w:rPr>
          <w:i/>
        </w:rPr>
        <w:t>Regulations 1940</w:t>
      </w:r>
      <w:r w:rsidR="000912B6">
        <w:t xml:space="preserve"> </w:t>
      </w:r>
      <w:r w:rsidR="00DF121A">
        <w:t>prescribe</w:t>
      </w:r>
      <w:r w:rsidR="000379A4">
        <w:t>s</w:t>
      </w:r>
      <w:r w:rsidR="00DF121A">
        <w:t xml:space="preserve"> the purposes that </w:t>
      </w:r>
      <w:r w:rsidR="00996241">
        <w:t>that are permitted</w:t>
      </w:r>
      <w:r w:rsidR="00DF121A">
        <w:t xml:space="preserve"> and the entities that a </w:t>
      </w:r>
      <w:r w:rsidR="000379A4">
        <w:t>‘</w:t>
      </w:r>
      <w:r w:rsidR="00DF121A">
        <w:t>prescribed authority</w:t>
      </w:r>
      <w:r w:rsidR="000379A4">
        <w:t>’</w:t>
      </w:r>
      <w:r w:rsidR="00AF757E">
        <w:t xml:space="preserve"> within the meaning</w:t>
      </w:r>
      <w:r w:rsidR="00DF121A">
        <w:t xml:space="preserve"> of the </w:t>
      </w:r>
      <w:r w:rsidR="00DF121A" w:rsidRPr="000912B6">
        <w:rPr>
          <w:i/>
        </w:rPr>
        <w:t xml:space="preserve">Commonwealth </w:t>
      </w:r>
      <w:r w:rsidR="0073041C" w:rsidRPr="000912B6">
        <w:rPr>
          <w:i/>
        </w:rPr>
        <w:t>Electoral </w:t>
      </w:r>
      <w:r w:rsidR="000912B6" w:rsidRPr="000912B6">
        <w:rPr>
          <w:i/>
        </w:rPr>
        <w:t>Act 1918</w:t>
      </w:r>
      <w:r w:rsidR="000912B6">
        <w:t xml:space="preserve"> </w:t>
      </w:r>
      <w:r w:rsidR="00996241">
        <w:t>(</w:t>
      </w:r>
      <w:r w:rsidR="0073041C">
        <w:t>regulations </w:t>
      </w:r>
      <w:r w:rsidR="00996241">
        <w:t>5A and 8)</w:t>
      </w:r>
      <w:r w:rsidR="00DF121A">
        <w:t>.</w:t>
      </w:r>
      <w:r w:rsidR="00AF757E">
        <w:t xml:space="preserve"> </w:t>
      </w:r>
    </w:p>
    <w:p w14:paraId="48400F5E" w14:textId="51325E36" w:rsidR="00EB4430" w:rsidRDefault="000D101C" w:rsidP="003E28AB">
      <w:pPr>
        <w:pStyle w:val="base-text-paragraph"/>
        <w:tabs>
          <w:tab w:val="clear" w:pos="1987"/>
          <w:tab w:val="left" w:pos="0"/>
        </w:tabs>
        <w:ind w:left="0"/>
      </w:pPr>
      <w:r>
        <w:t xml:space="preserve">Table </w:t>
      </w:r>
      <w:r w:rsidR="0073041C">
        <w:t>item </w:t>
      </w:r>
      <w:r>
        <w:t xml:space="preserve">9 </w:t>
      </w:r>
      <w:r w:rsidR="00996241">
        <w:t>of Schedule </w:t>
      </w:r>
      <w:r w:rsidR="000379A4">
        <w:t xml:space="preserve">1 to the </w:t>
      </w:r>
      <w:r w:rsidR="000379A4" w:rsidRPr="000912B6">
        <w:rPr>
          <w:i/>
        </w:rPr>
        <w:t xml:space="preserve">Electoral and Referendum </w:t>
      </w:r>
      <w:r w:rsidR="000912B6" w:rsidRPr="000912B6">
        <w:rPr>
          <w:i/>
        </w:rPr>
        <w:t>Regulations 1940</w:t>
      </w:r>
      <w:r w:rsidR="000912B6">
        <w:t xml:space="preserve"> </w:t>
      </w:r>
      <w:r>
        <w:t xml:space="preserve">permits the </w:t>
      </w:r>
      <w:r w:rsidR="0073041C" w:rsidRPr="0073041C">
        <w:t>Australian Taxation Office (</w:t>
      </w:r>
      <w:proofErr w:type="spellStart"/>
      <w:r w:rsidR="0073041C" w:rsidRPr="0073041C">
        <w:t>ATO</w:t>
      </w:r>
      <w:proofErr w:type="spellEnd"/>
      <w:r w:rsidR="0073041C">
        <w:t xml:space="preserve">: </w:t>
      </w:r>
      <w:r w:rsidR="00347353">
        <w:t>that is,</w:t>
      </w:r>
      <w:r w:rsidR="00EB4430">
        <w:t xml:space="preserve"> the Statutory Agency consisting of the Commissioner of Taxation </w:t>
      </w:r>
      <w:r w:rsidR="00347353">
        <w:t xml:space="preserve">(Commissioner) </w:t>
      </w:r>
      <w:r w:rsidR="00EB4430">
        <w:t xml:space="preserve">and staff) </w:t>
      </w:r>
      <w:r>
        <w:t>to use information for the purpose of ident</w:t>
      </w:r>
      <w:r w:rsidR="00EB4430">
        <w:t>ifying or locating taxpayers as well as</w:t>
      </w:r>
      <w:r>
        <w:t xml:space="preserve"> preventing, detecting or investigating taxation fraud. </w:t>
      </w:r>
    </w:p>
    <w:p w14:paraId="51714F05" w14:textId="1C26BE87" w:rsidR="000D101C" w:rsidRPr="00AC6E07" w:rsidRDefault="004C4311" w:rsidP="003E28AB">
      <w:pPr>
        <w:pStyle w:val="base-text-paragraph"/>
        <w:tabs>
          <w:tab w:val="clear" w:pos="1987"/>
          <w:tab w:val="left" w:pos="0"/>
        </w:tabs>
        <w:ind w:left="0"/>
      </w:pPr>
      <w:r>
        <w:t xml:space="preserve">The effect of </w:t>
      </w:r>
      <w:r w:rsidR="0073041C">
        <w:t>item </w:t>
      </w:r>
      <w:r>
        <w:t xml:space="preserve">3 of </w:t>
      </w:r>
      <w:r w:rsidR="0073041C">
        <w:t>Schedule </w:t>
      </w:r>
      <w:r>
        <w:t xml:space="preserve">2 </w:t>
      </w:r>
      <w:r w:rsidR="000379A4">
        <w:t xml:space="preserve">to the Regulation </w:t>
      </w:r>
      <w:r>
        <w:t>is</w:t>
      </w:r>
      <w:r w:rsidR="000D101C">
        <w:t xml:space="preserve"> that the </w:t>
      </w:r>
      <w:proofErr w:type="spellStart"/>
      <w:r w:rsidR="000D101C">
        <w:t>ATO</w:t>
      </w:r>
      <w:proofErr w:type="spellEnd"/>
      <w:r w:rsidR="000D101C">
        <w:t xml:space="preserve"> may also use information </w:t>
      </w:r>
      <w:r w:rsidR="00EB4430">
        <w:t xml:space="preserve">on an Electoral Roll and certain other information </w:t>
      </w:r>
      <w:r w:rsidR="000379A4">
        <w:t xml:space="preserve">provided by the </w:t>
      </w:r>
      <w:proofErr w:type="spellStart"/>
      <w:r w:rsidR="000379A4">
        <w:t>AEC</w:t>
      </w:r>
      <w:proofErr w:type="spellEnd"/>
      <w:r w:rsidR="000379A4">
        <w:t xml:space="preserve"> </w:t>
      </w:r>
      <w:r w:rsidR="000D101C">
        <w:t>for the purpose of administering Australia’</w:t>
      </w:r>
      <w:r>
        <w:t>s Foreign Investment Framework</w:t>
      </w:r>
      <w:r w:rsidR="000379A4">
        <w:t xml:space="preserve"> (that is, the </w:t>
      </w:r>
      <w:r w:rsidR="000379A4" w:rsidRPr="00F9560F">
        <w:t>Act,</w:t>
      </w:r>
      <w:r w:rsidR="000379A4">
        <w:rPr>
          <w:i/>
        </w:rPr>
        <w:t xml:space="preserve"> </w:t>
      </w:r>
      <w:r w:rsidR="000379A4" w:rsidRPr="000379A4">
        <w:t xml:space="preserve">the </w:t>
      </w:r>
      <w:r w:rsidR="000379A4">
        <w:rPr>
          <w:i/>
        </w:rPr>
        <w:t xml:space="preserve">Foreign Acquisitions and Takeovers Fees Imposition </w:t>
      </w:r>
      <w:r w:rsidR="0073041C">
        <w:rPr>
          <w:i/>
        </w:rPr>
        <w:t>Act </w:t>
      </w:r>
      <w:r w:rsidR="00F9560F">
        <w:rPr>
          <w:i/>
        </w:rPr>
        <w:t xml:space="preserve">2015 </w:t>
      </w:r>
      <w:r w:rsidR="000379A4" w:rsidRPr="000379A4">
        <w:t>and the</w:t>
      </w:r>
      <w:r w:rsidR="000379A4">
        <w:rPr>
          <w:i/>
        </w:rPr>
        <w:t xml:space="preserve"> Register of Foreign Ownership of Agricultural Land</w:t>
      </w:r>
      <w:r w:rsidR="00F9560F">
        <w:rPr>
          <w:i/>
        </w:rPr>
        <w:t xml:space="preserve"> </w:t>
      </w:r>
      <w:r w:rsidR="0073041C">
        <w:rPr>
          <w:i/>
        </w:rPr>
        <w:t>Act </w:t>
      </w:r>
      <w:r w:rsidR="00F9560F">
        <w:rPr>
          <w:i/>
        </w:rPr>
        <w:t xml:space="preserve">2015, </w:t>
      </w:r>
      <w:r w:rsidR="00F9560F">
        <w:t>and any instruments made under these Acts</w:t>
      </w:r>
      <w:r w:rsidR="00EB4430">
        <w:t>)</w:t>
      </w:r>
      <w:r w:rsidR="00F9560F">
        <w:t>.</w:t>
      </w:r>
    </w:p>
    <w:p w14:paraId="39E142D5" w14:textId="4F532D0A" w:rsidR="00597766" w:rsidRDefault="00597766" w:rsidP="003E28AB">
      <w:pPr>
        <w:pStyle w:val="base-text-paragraph"/>
        <w:tabs>
          <w:tab w:val="clear" w:pos="1987"/>
          <w:tab w:val="left" w:pos="0"/>
        </w:tabs>
        <w:ind w:left="0"/>
        <w:rPr>
          <w:b/>
        </w:rPr>
      </w:pPr>
      <w:r>
        <w:rPr>
          <w:b/>
        </w:rPr>
        <w:t xml:space="preserve">4 </w:t>
      </w:r>
      <w:r w:rsidR="0073041C">
        <w:rPr>
          <w:b/>
        </w:rPr>
        <w:t>Schedule </w:t>
      </w:r>
      <w:r>
        <w:rPr>
          <w:b/>
        </w:rPr>
        <w:t xml:space="preserve">1 (after table </w:t>
      </w:r>
      <w:r w:rsidR="0073041C">
        <w:rPr>
          <w:b/>
        </w:rPr>
        <w:t>item </w:t>
      </w:r>
      <w:r>
        <w:rPr>
          <w:b/>
        </w:rPr>
        <w:t>19)</w:t>
      </w:r>
    </w:p>
    <w:p w14:paraId="67F59D94" w14:textId="17126E6D" w:rsidR="003E28AB" w:rsidRPr="0005722B" w:rsidRDefault="00554D12" w:rsidP="003E28AB">
      <w:pPr>
        <w:pStyle w:val="base-text-paragraph"/>
        <w:tabs>
          <w:tab w:val="clear" w:pos="1987"/>
          <w:tab w:val="left" w:pos="0"/>
        </w:tabs>
        <w:ind w:left="0"/>
      </w:pPr>
      <w:r>
        <w:t xml:space="preserve">The effect of </w:t>
      </w:r>
      <w:r w:rsidR="0073041C">
        <w:t>i</w:t>
      </w:r>
      <w:r w:rsidR="0073041C" w:rsidRPr="007D5E52">
        <w:t>tem</w:t>
      </w:r>
      <w:r w:rsidR="0073041C">
        <w:t> </w:t>
      </w:r>
      <w:r w:rsidR="007D5E52" w:rsidRPr="007D5E52">
        <w:t xml:space="preserve">4 of </w:t>
      </w:r>
      <w:r w:rsidR="0073041C" w:rsidRPr="007D5E52">
        <w:t>Schedule</w:t>
      </w:r>
      <w:r w:rsidR="0073041C">
        <w:t> </w:t>
      </w:r>
      <w:r w:rsidR="007D5E52" w:rsidRPr="007D5E52">
        <w:t>2 to the Regulation</w:t>
      </w:r>
      <w:r>
        <w:t xml:space="preserve"> is that the </w:t>
      </w:r>
      <w:proofErr w:type="spellStart"/>
      <w:r w:rsidR="00C44BB5">
        <w:t>AEC</w:t>
      </w:r>
      <w:proofErr w:type="spellEnd"/>
      <w:r w:rsidR="00C44BB5">
        <w:t xml:space="preserve"> </w:t>
      </w:r>
      <w:r w:rsidR="001025D1">
        <w:t>may disclose any</w:t>
      </w:r>
      <w:r w:rsidR="001025D1" w:rsidRPr="009C0F01">
        <w:t xml:space="preserve"> information on a</w:t>
      </w:r>
      <w:r w:rsidR="001025D1">
        <w:t>n Electoral</w:t>
      </w:r>
      <w:r w:rsidR="001025D1" w:rsidRPr="009C0F01">
        <w:t xml:space="preserve"> Roll and, if it wishes, the sex, date of birth or the occupation of a person whose name</w:t>
      </w:r>
      <w:r w:rsidR="001025D1">
        <w:t xml:space="preserve"> is included on the Roll,</w:t>
      </w:r>
      <w:r w:rsidR="001025D1" w:rsidRPr="009C0F01">
        <w:t xml:space="preserve"> </w:t>
      </w:r>
      <w:r w:rsidR="007E1D0F">
        <w:t xml:space="preserve">to </w:t>
      </w:r>
      <w:r w:rsidR="00347353">
        <w:t xml:space="preserve">the </w:t>
      </w:r>
      <w:r w:rsidR="0073041C">
        <w:t>Department of the Treasury (Treasury)</w:t>
      </w:r>
      <w:r w:rsidR="007E1D0F">
        <w:t xml:space="preserve"> for the purposes of administering the Act, the Foreign Acquisitions and Takeovers Fees Imposition Act and any instruments made unde</w:t>
      </w:r>
      <w:r w:rsidR="00852646">
        <w:t>r those Acts.</w:t>
      </w:r>
    </w:p>
    <w:p w14:paraId="4836ED44" w14:textId="77777777" w:rsidR="00053B2D" w:rsidRDefault="00053B2D" w:rsidP="00053B2D">
      <w:pPr>
        <w:pStyle w:val="base-text-paragraph"/>
        <w:rPr>
          <w:rFonts w:ascii="Helvetica" w:hAnsi="Helvetica"/>
          <w:kern w:val="28"/>
        </w:rPr>
      </w:pPr>
      <w:r>
        <w:br w:type="page"/>
      </w:r>
    </w:p>
    <w:p w14:paraId="03E77BA9" w14:textId="0523A825" w:rsidR="00053B2D" w:rsidRPr="00AD1275" w:rsidRDefault="00AD1275" w:rsidP="00053B2D">
      <w:pPr>
        <w:pStyle w:val="Heading3"/>
        <w:jc w:val="right"/>
        <w:rPr>
          <w:rFonts w:ascii="Times New Roman" w:hAnsi="Times New Roman"/>
          <w:u w:val="single"/>
        </w:rPr>
      </w:pPr>
      <w:r w:rsidRPr="00AD1275">
        <w:rPr>
          <w:rFonts w:ascii="Times New Roman" w:hAnsi="Times New Roman"/>
          <w:u w:val="single"/>
        </w:rPr>
        <w:t>ATTACHMENT B</w:t>
      </w:r>
    </w:p>
    <w:p w14:paraId="23065BE1" w14:textId="77777777" w:rsidR="00E4438C" w:rsidRPr="0086144E" w:rsidRDefault="00E4438C" w:rsidP="00E4438C">
      <w:pPr>
        <w:pStyle w:val="Heading3"/>
        <w:jc w:val="center"/>
        <w:rPr>
          <w:rFonts w:ascii="Times New Roman" w:hAnsi="Times New Roman"/>
        </w:rPr>
      </w:pPr>
      <w:r w:rsidRPr="0086144E">
        <w:rPr>
          <w:rFonts w:ascii="Times New Roman" w:hAnsi="Times New Roman"/>
        </w:rPr>
        <w:t>Statement of Compatibility with Human Rights</w:t>
      </w:r>
    </w:p>
    <w:p w14:paraId="45FF79FD" w14:textId="2F083655" w:rsidR="00E4438C" w:rsidRPr="00E4438C" w:rsidRDefault="00E4438C" w:rsidP="00E4438C">
      <w:pPr>
        <w:jc w:val="center"/>
        <w:rPr>
          <w:i/>
        </w:rPr>
      </w:pPr>
      <w:r w:rsidRPr="00E4438C">
        <w:rPr>
          <w:i/>
        </w:rPr>
        <w:t xml:space="preserve">Prepared in accordance with </w:t>
      </w:r>
      <w:r w:rsidR="00347353" w:rsidRPr="00E4438C">
        <w:rPr>
          <w:i/>
        </w:rPr>
        <w:t>Part</w:t>
      </w:r>
      <w:r w:rsidR="00347353">
        <w:rPr>
          <w:i/>
        </w:rPr>
        <w:t> </w:t>
      </w:r>
      <w:r w:rsidRPr="00E4438C">
        <w:rPr>
          <w:i/>
        </w:rPr>
        <w:t xml:space="preserve">3 of the Human Rights (Parliamentary Scrutiny) </w:t>
      </w:r>
      <w:r w:rsidR="00347353" w:rsidRPr="00E4438C">
        <w:rPr>
          <w:i/>
        </w:rPr>
        <w:t>Act</w:t>
      </w:r>
      <w:r w:rsidR="00347353">
        <w:rPr>
          <w:i/>
        </w:rPr>
        <w:t> </w:t>
      </w:r>
      <w:r w:rsidRPr="00E4438C">
        <w:rPr>
          <w:i/>
        </w:rPr>
        <w:t>2011</w:t>
      </w:r>
    </w:p>
    <w:p w14:paraId="74F7C20A" w14:textId="2CCD3311" w:rsidR="00E4438C" w:rsidRPr="00E33EC2" w:rsidRDefault="00E33EC2" w:rsidP="00E4438C">
      <w:pPr>
        <w:jc w:val="center"/>
        <w:rPr>
          <w:b/>
        </w:rPr>
      </w:pPr>
      <w:r w:rsidRPr="00E33EC2">
        <w:rPr>
          <w:b/>
        </w:rPr>
        <w:t>Foreign</w:t>
      </w:r>
      <w:r>
        <w:rPr>
          <w:b/>
        </w:rPr>
        <w:t> </w:t>
      </w:r>
      <w:r w:rsidR="00053B2D" w:rsidRPr="00E33EC2">
        <w:rPr>
          <w:b/>
        </w:rPr>
        <w:t>Acquisitions and Takeovers Legisl</w:t>
      </w:r>
      <w:r w:rsidR="006328F0" w:rsidRPr="00E33EC2">
        <w:rPr>
          <w:b/>
        </w:rPr>
        <w:t xml:space="preserve">ation Amendment </w:t>
      </w:r>
      <w:r w:rsidRPr="00E33EC2">
        <w:rPr>
          <w:b/>
        </w:rPr>
        <w:t>Regulation</w:t>
      </w:r>
      <w:r>
        <w:rPr>
          <w:b/>
        </w:rPr>
        <w:t> </w:t>
      </w:r>
      <w:r w:rsidR="006328F0" w:rsidRPr="00E33EC2">
        <w:rPr>
          <w:b/>
        </w:rPr>
        <w:t>2015</w:t>
      </w:r>
    </w:p>
    <w:p w14:paraId="5FDBDF62" w14:textId="7FC98269" w:rsidR="00E4438C" w:rsidRDefault="00E4438C" w:rsidP="00E4438C">
      <w:r>
        <w:t xml:space="preserve">This Legislative Instrument is compatible with the human rights and freedoms recognised or declared in the international instruments listed in </w:t>
      </w:r>
      <w:r w:rsidR="0073041C">
        <w:t>section </w:t>
      </w:r>
      <w:r>
        <w:t xml:space="preserve">3 of the </w:t>
      </w:r>
      <w:r w:rsidR="00347353" w:rsidRPr="00E4438C">
        <w:rPr>
          <w:i/>
        </w:rPr>
        <w:t>Human</w:t>
      </w:r>
      <w:r w:rsidR="00347353">
        <w:rPr>
          <w:i/>
        </w:rPr>
        <w:t> </w:t>
      </w:r>
      <w:r w:rsidRPr="00E4438C">
        <w:rPr>
          <w:i/>
        </w:rPr>
        <w:t xml:space="preserve">Rights (Parliamentary Scrutiny) </w:t>
      </w:r>
      <w:r w:rsidR="00347353" w:rsidRPr="00E4438C">
        <w:rPr>
          <w:i/>
        </w:rPr>
        <w:t>Act</w:t>
      </w:r>
      <w:r w:rsidR="00347353">
        <w:rPr>
          <w:i/>
        </w:rPr>
        <w:t> </w:t>
      </w:r>
      <w:r w:rsidRPr="00E4438C">
        <w:rPr>
          <w:i/>
        </w:rPr>
        <w:t>2011</w:t>
      </w:r>
      <w:r>
        <w:t>.</w:t>
      </w:r>
    </w:p>
    <w:p w14:paraId="1115A612" w14:textId="77777777" w:rsidR="00E4438C" w:rsidRDefault="00E4438C" w:rsidP="00E4438C">
      <w:pPr>
        <w:pStyle w:val="Heading4"/>
      </w:pPr>
      <w:r>
        <w:t xml:space="preserve">Overview of the </w:t>
      </w:r>
      <w:r w:rsidRPr="00E4438C">
        <w:t>Legislative</w:t>
      </w:r>
      <w:r>
        <w:t xml:space="preserve"> Instrument</w:t>
      </w:r>
    </w:p>
    <w:p w14:paraId="0690B07F" w14:textId="14552D0A" w:rsidR="00E4438C" w:rsidRDefault="0062388C" w:rsidP="00E4438C">
      <w:r>
        <w:t>Th</w:t>
      </w:r>
      <w:r w:rsidR="0086144E">
        <w:t>e Legislative Instrument repealed</w:t>
      </w:r>
      <w:r>
        <w:t xml:space="preserve"> the </w:t>
      </w:r>
      <w:r>
        <w:rPr>
          <w:i/>
        </w:rPr>
        <w:t xml:space="preserve">Foreign Acquisitions and Takeovers (Notices) Regulations 1975 </w:t>
      </w:r>
      <w:r>
        <w:t xml:space="preserve">and the </w:t>
      </w:r>
      <w:r>
        <w:rPr>
          <w:i/>
        </w:rPr>
        <w:t>Foreign Acquisitions and Takeovers Regulations 1989.</w:t>
      </w:r>
      <w:r w:rsidR="0086144E">
        <w:t xml:space="preserve"> It also amended</w:t>
      </w:r>
      <w:r>
        <w:t xml:space="preserve"> the </w:t>
      </w:r>
      <w:r w:rsidRPr="003A3F88">
        <w:rPr>
          <w:i/>
        </w:rPr>
        <w:t xml:space="preserve">Electoral and Referendum </w:t>
      </w:r>
      <w:r w:rsidR="00347353" w:rsidRPr="003A3F88">
        <w:rPr>
          <w:i/>
        </w:rPr>
        <w:t>Regulations</w:t>
      </w:r>
      <w:r w:rsidR="00347353">
        <w:rPr>
          <w:i/>
        </w:rPr>
        <w:t> </w:t>
      </w:r>
      <w:r w:rsidRPr="003A3F88">
        <w:rPr>
          <w:i/>
        </w:rPr>
        <w:t>1940</w:t>
      </w:r>
      <w:r w:rsidR="0086144E">
        <w:t xml:space="preserve">. The effect of the amendments to the </w:t>
      </w:r>
      <w:r w:rsidR="0086144E" w:rsidRPr="000912B6">
        <w:rPr>
          <w:i/>
        </w:rPr>
        <w:t xml:space="preserve">Electoral and Referendum </w:t>
      </w:r>
      <w:r w:rsidR="000912B6" w:rsidRPr="000912B6">
        <w:rPr>
          <w:i/>
        </w:rPr>
        <w:t>Regulations 1940</w:t>
      </w:r>
      <w:r w:rsidR="000912B6">
        <w:t xml:space="preserve"> </w:t>
      </w:r>
      <w:r w:rsidR="0086144E">
        <w:t xml:space="preserve">is that </w:t>
      </w:r>
      <w:r>
        <w:t>the Australi</w:t>
      </w:r>
      <w:r w:rsidR="0086144E">
        <w:t>an Electoral Commission (</w:t>
      </w:r>
      <w:proofErr w:type="spellStart"/>
      <w:r w:rsidR="0086144E">
        <w:t>AEC</w:t>
      </w:r>
      <w:proofErr w:type="spellEnd"/>
      <w:r w:rsidR="0086144E">
        <w:t>) is permitted to</w:t>
      </w:r>
      <w:r>
        <w:t xml:space="preserve"> disclose information from the Electoral Rolls to the Australian Taxation Office </w:t>
      </w:r>
      <w:r w:rsidR="00C238EE">
        <w:t>(</w:t>
      </w:r>
      <w:proofErr w:type="spellStart"/>
      <w:r w:rsidR="0073041C">
        <w:t>ATO</w:t>
      </w:r>
      <w:proofErr w:type="spellEnd"/>
      <w:r w:rsidR="0073041C">
        <w:t xml:space="preserve">: </w:t>
      </w:r>
      <w:r w:rsidR="00C238EE">
        <w:t xml:space="preserve">that is, the Statutory Agency consisting of the Commissioner of Taxation </w:t>
      </w:r>
      <w:r w:rsidR="0086144E">
        <w:t xml:space="preserve">(Commissioner) </w:t>
      </w:r>
      <w:r w:rsidR="00C238EE">
        <w:t xml:space="preserve">and staff) </w:t>
      </w:r>
      <w:r>
        <w:t xml:space="preserve">and the Department of the Treasury (Treasury) for the purposes of administering </w:t>
      </w:r>
      <w:r w:rsidR="00347353">
        <w:t xml:space="preserve">Australia’s Foreign Investment Framework. Australia’s foreign Investment framework is defined as </w:t>
      </w:r>
      <w:r>
        <w:t xml:space="preserve">the </w:t>
      </w:r>
      <w:r w:rsidR="00347353">
        <w:rPr>
          <w:i/>
        </w:rPr>
        <w:t>Foreign </w:t>
      </w:r>
      <w:r>
        <w:rPr>
          <w:i/>
        </w:rPr>
        <w:t xml:space="preserve">Acquisitions and Takeovers </w:t>
      </w:r>
      <w:r w:rsidR="00347353">
        <w:rPr>
          <w:i/>
        </w:rPr>
        <w:t>Act </w:t>
      </w:r>
      <w:r>
        <w:rPr>
          <w:i/>
        </w:rPr>
        <w:t>1975</w:t>
      </w:r>
      <w:r>
        <w:t xml:space="preserve"> </w:t>
      </w:r>
      <w:r w:rsidR="0086144E">
        <w:t>(Act)</w:t>
      </w:r>
      <w:r w:rsidR="00347353">
        <w:t xml:space="preserve">, </w:t>
      </w:r>
      <w:r w:rsidR="00347353" w:rsidRPr="00347353">
        <w:t xml:space="preserve">the </w:t>
      </w:r>
      <w:r w:rsidR="00347353" w:rsidRPr="00347353">
        <w:rPr>
          <w:i/>
        </w:rPr>
        <w:t>Foreign Acquisitions and Takeovers Fees Imposition Act 2015</w:t>
      </w:r>
      <w:r w:rsidR="00347353" w:rsidRPr="00347353">
        <w:t xml:space="preserve"> and the </w:t>
      </w:r>
      <w:r w:rsidR="00347353" w:rsidRPr="00347353">
        <w:rPr>
          <w:i/>
        </w:rPr>
        <w:t>Register of Foreign Ownership of Agricultural Land Act 2015</w:t>
      </w:r>
      <w:r w:rsidR="00347353" w:rsidRPr="00347353">
        <w:t>, and any instruments made under these Acts</w:t>
      </w:r>
      <w:r w:rsidR="00347353">
        <w:t>.</w:t>
      </w:r>
    </w:p>
    <w:p w14:paraId="77CFB533" w14:textId="77777777" w:rsidR="00E4438C" w:rsidRDefault="00E4438C" w:rsidP="00E4438C">
      <w:pPr>
        <w:pStyle w:val="Heading4"/>
      </w:pPr>
      <w:r>
        <w:t>Human rights implications</w:t>
      </w:r>
    </w:p>
    <w:p w14:paraId="299C95F0" w14:textId="3424C61A" w:rsidR="00A1351E" w:rsidRPr="00A1351E" w:rsidRDefault="007A324E" w:rsidP="00E33EC2">
      <w:r>
        <w:t>Schedule </w:t>
      </w:r>
      <w:r w:rsidR="00A1351E">
        <w:t xml:space="preserve">2 to the </w:t>
      </w:r>
      <w:r w:rsidR="00053B2D" w:rsidRPr="00A1351E">
        <w:t>Legislative Instrument engages the right to privacy which is recognised by Art</w:t>
      </w:r>
      <w:r w:rsidR="0045730F">
        <w:t>icle </w:t>
      </w:r>
      <w:r w:rsidR="00053B2D" w:rsidRPr="00A1351E">
        <w:t>17 of the International Covenant on Civil and Political Rights (</w:t>
      </w:r>
      <w:r w:rsidR="005B485E" w:rsidRPr="005B485E">
        <w:t>Covenant</w:t>
      </w:r>
      <w:r w:rsidR="00053B2D" w:rsidRPr="00A1351E">
        <w:t>).</w:t>
      </w:r>
      <w:r w:rsidR="00A1351E" w:rsidRPr="00A1351E">
        <w:t xml:space="preserve"> </w:t>
      </w:r>
    </w:p>
    <w:p w14:paraId="57D1AB2F" w14:textId="36D605E1" w:rsidR="00A1351E" w:rsidRPr="00A1351E" w:rsidRDefault="0045730F" w:rsidP="00E33EC2">
      <w:r>
        <w:t xml:space="preserve">Paragraph 1 of </w:t>
      </w:r>
      <w:r w:rsidR="00A1351E" w:rsidRPr="00A1351E">
        <w:t xml:space="preserve">Article 17 of the </w:t>
      </w:r>
      <w:r w:rsidR="005B485E" w:rsidRPr="005B485E">
        <w:t>Covenant</w:t>
      </w:r>
      <w:r w:rsidR="00A1351E" w:rsidRPr="00A1351E">
        <w:t xml:space="preserve"> recognises that ‘no one shall be subjected to arbitrary or unlawful interference with his privacy, family, home or correspondence, nor to unlawful attacks on his honour and reputation’. </w:t>
      </w:r>
      <w:r>
        <w:t xml:space="preserve">Paragraph 2 of </w:t>
      </w:r>
      <w:r w:rsidR="00A1351E" w:rsidRPr="00A1351E">
        <w:t xml:space="preserve">Article 17 of the </w:t>
      </w:r>
      <w:r w:rsidR="005B485E" w:rsidRPr="005B485E">
        <w:t>Covenant</w:t>
      </w:r>
      <w:r w:rsidR="00A1351E" w:rsidRPr="00A1351E">
        <w:t xml:space="preserve"> recognises the right of everyone ‘to the protection of the law against such interference or attacks’. </w:t>
      </w:r>
      <w:r w:rsidR="002F47D8">
        <w:t xml:space="preserve">Privacy is a concept which is broad in scope and includes a right to information privacy. </w:t>
      </w:r>
    </w:p>
    <w:p w14:paraId="3B592013" w14:textId="69BA094C" w:rsidR="00A1351E" w:rsidRPr="00A1351E" w:rsidRDefault="0062388C" w:rsidP="00E33EC2">
      <w:r>
        <w:t>A</w:t>
      </w:r>
      <w:r w:rsidR="00A1351E" w:rsidRPr="00A1351E">
        <w:t xml:space="preserve"> legislative provision will only limit the rights protected by </w:t>
      </w:r>
      <w:r w:rsidR="0045730F" w:rsidRPr="00A1351E">
        <w:t>Art</w:t>
      </w:r>
      <w:r w:rsidR="0045730F">
        <w:t>icle </w:t>
      </w:r>
      <w:r w:rsidR="00A1351E" w:rsidRPr="00A1351E">
        <w:t>17 if it ‘unlawfully’ or ‘arbitrarily’ interferes with a person’s right to</w:t>
      </w:r>
      <w:r w:rsidR="007A324E">
        <w:t xml:space="preserve"> privacy. In </w:t>
      </w:r>
      <w:r w:rsidR="00261596">
        <w:t>General </w:t>
      </w:r>
      <w:r w:rsidR="007A324E">
        <w:t>Comment No</w:t>
      </w:r>
      <w:r w:rsidR="006538E7">
        <w:t>.</w:t>
      </w:r>
      <w:r w:rsidR="007A324E">
        <w:t> </w:t>
      </w:r>
      <w:r w:rsidR="00A1351E" w:rsidRPr="00A1351E">
        <w:t>16 on the right to privacy under Art</w:t>
      </w:r>
      <w:r w:rsidR="0045730F">
        <w:t>icle</w:t>
      </w:r>
      <w:r w:rsidR="00A1351E" w:rsidRPr="00A1351E">
        <w:t xml:space="preserve"> 17 of the </w:t>
      </w:r>
      <w:r w:rsidR="005B485E" w:rsidRPr="005B485E">
        <w:t>Covenant</w:t>
      </w:r>
      <w:r w:rsidR="00A1351E" w:rsidRPr="00A1351E">
        <w:t xml:space="preserve">, the </w:t>
      </w:r>
      <w:r w:rsidR="00261596" w:rsidRPr="00A1351E">
        <w:t>Human</w:t>
      </w:r>
      <w:r w:rsidR="00261596">
        <w:t> </w:t>
      </w:r>
      <w:r w:rsidR="00A1351E" w:rsidRPr="00A1351E">
        <w:t xml:space="preserve">Rights Committee </w:t>
      </w:r>
      <w:r w:rsidR="00A1351E">
        <w:t>(</w:t>
      </w:r>
      <w:r w:rsidR="005B485E">
        <w:t>Committee</w:t>
      </w:r>
      <w:r w:rsidR="00A1351E">
        <w:t xml:space="preserve">) </w:t>
      </w:r>
      <w:r w:rsidR="00A1351E" w:rsidRPr="00A1351E">
        <w:t>expressed its view on the meaning of the terms ‘unlawful’ and ‘arbitrary’.</w:t>
      </w:r>
    </w:p>
    <w:p w14:paraId="653047F3" w14:textId="77777777" w:rsidR="00A1351E" w:rsidRPr="00A1351E" w:rsidRDefault="00A1351E" w:rsidP="00A1351E">
      <w:pPr>
        <w:pStyle w:val="Quotation1"/>
        <w:rPr>
          <w:rFonts w:ascii="Times New Roman" w:hAnsi="Times New Roman" w:cs="Times New Roman"/>
        </w:rPr>
      </w:pPr>
      <w:r w:rsidRPr="00A1351E">
        <w:rPr>
          <w:rFonts w:ascii="Times New Roman" w:hAnsi="Times New Roman" w:cs="Times New Roman"/>
        </w:rPr>
        <w:t>The term “unlawful” means that no interference can take place except in cases envisaged by the law. Interference authorized by States can only take place on the basis of law, which itself must comply with the provisions, aims and objectives of the Covenant.</w:t>
      </w:r>
    </w:p>
    <w:p w14:paraId="08452752" w14:textId="198661BE" w:rsidR="00A1351E" w:rsidRPr="00A1351E" w:rsidRDefault="00A1351E" w:rsidP="00FA4052">
      <w:pPr>
        <w:pStyle w:val="Quotation"/>
        <w:rPr>
          <w:rFonts w:ascii="Times New Roman" w:hAnsi="Times New Roman" w:cs="Times New Roman"/>
        </w:rPr>
      </w:pPr>
      <w:r w:rsidRPr="00A1351E">
        <w:rPr>
          <w:rFonts w:ascii="Times New Roman" w:hAnsi="Times New Roman" w:cs="Times New Roman"/>
        </w:rPr>
        <w:t xml:space="preserve">The expression “arbitrary interference” is also relevant to the protection of the right provided for in </w:t>
      </w:r>
      <w:r w:rsidR="0045730F">
        <w:rPr>
          <w:rFonts w:ascii="Times New Roman" w:hAnsi="Times New Roman" w:cs="Times New Roman"/>
        </w:rPr>
        <w:t>A</w:t>
      </w:r>
      <w:r w:rsidR="0045730F" w:rsidRPr="00A1351E">
        <w:rPr>
          <w:rFonts w:ascii="Times New Roman" w:hAnsi="Times New Roman" w:cs="Times New Roman"/>
        </w:rPr>
        <w:t>rticle</w:t>
      </w:r>
      <w:r w:rsidR="0045730F">
        <w:rPr>
          <w:rFonts w:ascii="Times New Roman" w:hAnsi="Times New Roman" w:cs="Times New Roman"/>
        </w:rPr>
        <w:t> </w:t>
      </w:r>
      <w:r w:rsidRPr="00A1351E">
        <w:rPr>
          <w:rFonts w:ascii="Times New Roman" w:hAnsi="Times New Roman" w:cs="Times New Roman"/>
        </w:rPr>
        <w:t>17. In the Committee’s view the expression “arbitrary interference” can also extend to interference provided for under the law. The introduction of the concept of arbitrariness is intended to guarantee that even interference provided for by law should be in accordance with the provisions, aims and objectives of the Covenant and should be, in any event, reasonable in the particular circumstances.</w:t>
      </w:r>
      <w:r w:rsidRPr="00A1351E">
        <w:rPr>
          <w:rStyle w:val="FootnoteReference"/>
          <w:rFonts w:ascii="Times New Roman" w:hAnsi="Times New Roman" w:cs="Times New Roman"/>
        </w:rPr>
        <w:footnoteReference w:id="1"/>
      </w:r>
    </w:p>
    <w:p w14:paraId="600239CC" w14:textId="57B760B7" w:rsidR="00A1351E" w:rsidRPr="00A1351E" w:rsidRDefault="00A1351E" w:rsidP="00E33EC2">
      <w:r w:rsidRPr="00A1351E">
        <w:t xml:space="preserve">In the same general comment the </w:t>
      </w:r>
      <w:r w:rsidR="005B485E">
        <w:t>Committee</w:t>
      </w:r>
      <w:r w:rsidR="005B485E" w:rsidRPr="00A1351E">
        <w:t xml:space="preserve"> </w:t>
      </w:r>
      <w:r w:rsidRPr="00A1351E">
        <w:t>explained that ‘relevant legislation must specify in detail the precise circumstances in which such interferences may be permitted’.</w:t>
      </w:r>
    </w:p>
    <w:p w14:paraId="190709CD" w14:textId="22AD8FEF" w:rsidR="00D2602B" w:rsidRPr="00FA4052" w:rsidRDefault="0045730F" w:rsidP="00FA4052">
      <w:r w:rsidRPr="00FA4052">
        <w:t>Schedule </w:t>
      </w:r>
      <w:r w:rsidR="003A3127" w:rsidRPr="00FA4052">
        <w:t>2 to the Legislative I</w:t>
      </w:r>
      <w:r w:rsidR="00E17881" w:rsidRPr="00FA4052">
        <w:t xml:space="preserve">nstrument </w:t>
      </w:r>
      <w:r w:rsidR="007A324E" w:rsidRPr="00FA4052">
        <w:t xml:space="preserve">directly </w:t>
      </w:r>
      <w:r w:rsidR="00E17881" w:rsidRPr="00FA4052">
        <w:t xml:space="preserve">engages the right to privacy </w:t>
      </w:r>
      <w:r w:rsidR="003A3127" w:rsidRPr="00FA4052">
        <w:t>protected by Art</w:t>
      </w:r>
      <w:r w:rsidRPr="00FA4052">
        <w:t>icle</w:t>
      </w:r>
      <w:r w:rsidR="003A3127" w:rsidRPr="00FA4052">
        <w:t xml:space="preserve"> 17 of the </w:t>
      </w:r>
      <w:r w:rsidR="005B485E" w:rsidRPr="00A1351E">
        <w:t>Covenant</w:t>
      </w:r>
      <w:r w:rsidR="003A3127" w:rsidRPr="00FA4052">
        <w:t xml:space="preserve"> </w:t>
      </w:r>
      <w:r w:rsidR="00E17881" w:rsidRPr="00FA4052">
        <w:t xml:space="preserve">because it </w:t>
      </w:r>
      <w:r w:rsidR="00A1351E" w:rsidRPr="00FA4052">
        <w:t>author</w:t>
      </w:r>
      <w:r w:rsidR="00D748EC" w:rsidRPr="00FA4052">
        <w:t xml:space="preserve">ises the disclosure of </w:t>
      </w:r>
      <w:r w:rsidR="00A1351E" w:rsidRPr="00FA4052">
        <w:t xml:space="preserve">information </w:t>
      </w:r>
      <w:r w:rsidR="00D748EC" w:rsidRPr="00FA4052">
        <w:t xml:space="preserve">from the Electoral Rolls kept under the </w:t>
      </w:r>
      <w:r w:rsidR="00D748EC" w:rsidRPr="000912B6">
        <w:rPr>
          <w:i/>
        </w:rPr>
        <w:t xml:space="preserve">Commonwealth Electoral </w:t>
      </w:r>
      <w:r w:rsidR="000912B6" w:rsidRPr="000912B6">
        <w:rPr>
          <w:i/>
        </w:rPr>
        <w:t>Act 1918</w:t>
      </w:r>
      <w:r w:rsidR="000912B6">
        <w:t xml:space="preserve"> </w:t>
      </w:r>
      <w:r w:rsidR="00E17881" w:rsidRPr="00FA4052">
        <w:t xml:space="preserve">to the </w:t>
      </w:r>
      <w:proofErr w:type="spellStart"/>
      <w:r w:rsidR="009C0F01" w:rsidRPr="00FA4052">
        <w:t>ATO</w:t>
      </w:r>
      <w:proofErr w:type="spellEnd"/>
      <w:r w:rsidR="009C0F01" w:rsidRPr="00FA4052">
        <w:t xml:space="preserve"> for the purposes of administering Australia’s Foreign Investment Framework and to </w:t>
      </w:r>
      <w:r w:rsidR="00E17881" w:rsidRPr="00FA4052">
        <w:t>Treasury for the purposes of administering the Act, the Foreign Acquisitions and Takeovers Fees Imposition Act and</w:t>
      </w:r>
      <w:r w:rsidR="00D748EC" w:rsidRPr="00FA4052">
        <w:t xml:space="preserve"> any instruments made under those</w:t>
      </w:r>
      <w:r w:rsidR="00E17881" w:rsidRPr="00FA4052">
        <w:t xml:space="preserve"> Act</w:t>
      </w:r>
      <w:r w:rsidR="00D748EC" w:rsidRPr="00FA4052">
        <w:t>s</w:t>
      </w:r>
      <w:r w:rsidR="00E17881" w:rsidRPr="00FA4052">
        <w:t>.</w:t>
      </w:r>
      <w:r w:rsidR="00A1351E" w:rsidRPr="00FA4052">
        <w:t xml:space="preserve"> </w:t>
      </w:r>
    </w:p>
    <w:p w14:paraId="718E5E56" w14:textId="4C408B96" w:rsidR="003A3127" w:rsidRPr="00FA4052" w:rsidRDefault="003A3127" w:rsidP="00FA4052">
      <w:r w:rsidRPr="00FA4052">
        <w:t xml:space="preserve">To the extent that these provisions limit an individual’s right to privacy, those </w:t>
      </w:r>
      <w:r w:rsidR="00EB52CE" w:rsidRPr="00FA4052">
        <w:t>limitations are not un</w:t>
      </w:r>
      <w:r w:rsidR="00EB6E32" w:rsidRPr="00FA4052">
        <w:t>lawful because the amendments in</w:t>
      </w:r>
      <w:r w:rsidR="00EB52CE" w:rsidRPr="00FA4052">
        <w:t xml:space="preserve"> </w:t>
      </w:r>
      <w:r w:rsidR="0045730F" w:rsidRPr="00FA4052">
        <w:t>Schedule </w:t>
      </w:r>
      <w:r w:rsidR="00EB52CE" w:rsidRPr="00FA4052">
        <w:t xml:space="preserve">2 to the Regulation specify in detail </w:t>
      </w:r>
      <w:r w:rsidR="00EB6E32" w:rsidRPr="00FA4052">
        <w:t xml:space="preserve">the </w:t>
      </w:r>
      <w:r w:rsidR="00EB52CE" w:rsidRPr="00FA4052">
        <w:t xml:space="preserve">circumstances in which </w:t>
      </w:r>
      <w:r w:rsidR="00AB2AED" w:rsidRPr="00FA4052">
        <w:t xml:space="preserve">information about an individual may be disclosed to </w:t>
      </w:r>
      <w:r w:rsidR="00EB6E32" w:rsidRPr="00FA4052">
        <w:t xml:space="preserve">Treasury or the </w:t>
      </w:r>
      <w:proofErr w:type="spellStart"/>
      <w:r w:rsidR="00EB6E32" w:rsidRPr="00FA4052">
        <w:t>ATO</w:t>
      </w:r>
      <w:proofErr w:type="spellEnd"/>
      <w:r w:rsidR="00EB6E32" w:rsidRPr="00FA4052">
        <w:t xml:space="preserve">. </w:t>
      </w:r>
    </w:p>
    <w:p w14:paraId="0BB92419" w14:textId="390B4DEE" w:rsidR="00D748EC" w:rsidRPr="00FA4052" w:rsidRDefault="003A3127" w:rsidP="00FA4052">
      <w:r w:rsidRPr="00FA4052">
        <w:t>T</w:t>
      </w:r>
      <w:r w:rsidR="00A1351E" w:rsidRPr="00FA4052">
        <w:t>o the extent these provisions author</w:t>
      </w:r>
      <w:r w:rsidR="00D748EC" w:rsidRPr="00FA4052">
        <w:t xml:space="preserve">ise the disclosure of </w:t>
      </w:r>
      <w:r w:rsidR="00A1351E" w:rsidRPr="00FA4052">
        <w:t xml:space="preserve">information about </w:t>
      </w:r>
      <w:r w:rsidR="00EC0020" w:rsidRPr="00FA4052">
        <w:t xml:space="preserve">an </w:t>
      </w:r>
      <w:r w:rsidR="00A1351E" w:rsidRPr="00FA4052">
        <w:t>individ</w:t>
      </w:r>
      <w:r w:rsidR="00EC0020" w:rsidRPr="00FA4052">
        <w:t>ual</w:t>
      </w:r>
      <w:r w:rsidR="00A1351E" w:rsidRPr="00FA4052">
        <w:t>, any interference with an individual’s privacy is not arbitrary because the interference is necessary to achieve a legitimate public purpose.</w:t>
      </w:r>
      <w:r w:rsidR="007A324E" w:rsidRPr="00FA4052">
        <w:t xml:space="preserve"> </w:t>
      </w:r>
    </w:p>
    <w:p w14:paraId="4B0A632F" w14:textId="0C4ED27E" w:rsidR="00A24220" w:rsidRPr="00FA4052" w:rsidRDefault="003A3127" w:rsidP="00FA4052">
      <w:r w:rsidRPr="00FA4052">
        <w:t>The Act</w:t>
      </w:r>
      <w:r w:rsidR="001F2138" w:rsidRPr="00FA4052">
        <w:t xml:space="preserve"> and the </w:t>
      </w:r>
      <w:r w:rsidR="001F2138" w:rsidRPr="00FA4052">
        <w:rPr>
          <w:i/>
        </w:rPr>
        <w:t xml:space="preserve">Register of Foreign Ownership of Agricultural Land </w:t>
      </w:r>
      <w:r w:rsidR="003F01CD" w:rsidRPr="00FA4052">
        <w:rPr>
          <w:i/>
        </w:rPr>
        <w:t>Act 2015</w:t>
      </w:r>
      <w:r w:rsidR="003F01CD">
        <w:t xml:space="preserve"> </w:t>
      </w:r>
      <w:r w:rsidR="001F2138" w:rsidRPr="00FA4052">
        <w:t>impose</w:t>
      </w:r>
      <w:r w:rsidRPr="00FA4052">
        <w:t xml:space="preserve"> a range of obligations on foreign p</w:t>
      </w:r>
      <w:r w:rsidR="00E74F34" w:rsidRPr="00FA4052">
        <w:t xml:space="preserve">ersons. </w:t>
      </w:r>
      <w:r w:rsidR="00EC0020" w:rsidRPr="00FA4052">
        <w:t xml:space="preserve">Employees in both the Treasury and the </w:t>
      </w:r>
      <w:proofErr w:type="spellStart"/>
      <w:r w:rsidR="00EC0020" w:rsidRPr="00FA4052">
        <w:t>ATO</w:t>
      </w:r>
      <w:proofErr w:type="spellEnd"/>
      <w:r w:rsidR="00EC0020" w:rsidRPr="00FA4052">
        <w:t xml:space="preserve"> will be responsible for the administration of the Act including its enforcement,</w:t>
      </w:r>
      <w:r w:rsidR="00EC0020" w:rsidRPr="00FA4052">
        <w:rPr>
          <w:vertAlign w:val="superscript"/>
        </w:rPr>
        <w:footnoteReference w:id="2"/>
      </w:r>
      <w:r w:rsidR="00EC0020" w:rsidRPr="00FA4052">
        <w:t xml:space="preserve"> while the Commissioner is responsible for keeping the Register of Foreign Ownership of Agricultural Land provided for by the </w:t>
      </w:r>
      <w:r w:rsidR="00EC0020" w:rsidRPr="000912B6">
        <w:rPr>
          <w:i/>
        </w:rPr>
        <w:t xml:space="preserve">Register of Foreign Ownership of Agricultural Land </w:t>
      </w:r>
      <w:r w:rsidR="000912B6" w:rsidRPr="000912B6">
        <w:rPr>
          <w:i/>
        </w:rPr>
        <w:t>Act 2015</w:t>
      </w:r>
      <w:r w:rsidR="000912B6">
        <w:t xml:space="preserve"> </w:t>
      </w:r>
      <w:r w:rsidR="00EC0020" w:rsidRPr="00FA4052">
        <w:t>(</w:t>
      </w:r>
      <w:r w:rsidR="0045730F" w:rsidRPr="00FA4052">
        <w:t>section </w:t>
      </w:r>
      <w:r w:rsidR="00EC0020" w:rsidRPr="00FA4052">
        <w:t xml:space="preserve">13). </w:t>
      </w:r>
      <w:r w:rsidR="00E74F34" w:rsidRPr="00FA4052">
        <w:t>It is therefore highly</w:t>
      </w:r>
      <w:r w:rsidRPr="00FA4052">
        <w:t xml:space="preserve"> desirable that both the </w:t>
      </w:r>
      <w:proofErr w:type="spellStart"/>
      <w:r w:rsidRPr="00FA4052">
        <w:t>ATO</w:t>
      </w:r>
      <w:proofErr w:type="spellEnd"/>
      <w:r w:rsidRPr="00FA4052">
        <w:t xml:space="preserve"> and Treasury can access information on the Electoral Roll so that they can quickly and efficiently determine whether a particular individual is an Australian citizen, and therefore exempt from </w:t>
      </w:r>
      <w:r w:rsidR="00EC0020" w:rsidRPr="00FA4052">
        <w:t xml:space="preserve">various provisions in </w:t>
      </w:r>
      <w:r w:rsidRPr="00FA4052">
        <w:t>the Act</w:t>
      </w:r>
      <w:r w:rsidR="00EC0020" w:rsidRPr="00FA4052">
        <w:t>s</w:t>
      </w:r>
      <w:r w:rsidRPr="00FA4052">
        <w:t>.</w:t>
      </w:r>
      <w:r w:rsidR="001025D1" w:rsidRPr="00FA4052">
        <w:t xml:space="preserve"> S</w:t>
      </w:r>
      <w:r w:rsidR="00474D21" w:rsidRPr="00FA4052">
        <w:t>ubsection </w:t>
      </w:r>
      <w:r w:rsidR="001025D1" w:rsidRPr="00FA4052">
        <w:t>91A</w:t>
      </w:r>
      <w:r w:rsidR="00474D21" w:rsidRPr="00FA4052">
        <w:t>(1)</w:t>
      </w:r>
      <w:r w:rsidR="001025D1" w:rsidRPr="00FA4052">
        <w:t xml:space="preserve"> of the </w:t>
      </w:r>
      <w:r w:rsidR="001025D1" w:rsidRPr="000912B6">
        <w:rPr>
          <w:i/>
        </w:rPr>
        <w:t xml:space="preserve">Commonwealth Electoral </w:t>
      </w:r>
      <w:r w:rsidR="000912B6" w:rsidRPr="000912B6">
        <w:rPr>
          <w:i/>
        </w:rPr>
        <w:t>Act 1918</w:t>
      </w:r>
      <w:r w:rsidR="000912B6">
        <w:t xml:space="preserve"> </w:t>
      </w:r>
      <w:r w:rsidR="00474D21" w:rsidRPr="00FA4052">
        <w:t xml:space="preserve">makes it an </w:t>
      </w:r>
      <w:r w:rsidR="00996241" w:rsidRPr="00FA4052">
        <w:t xml:space="preserve">offence for a person to use </w:t>
      </w:r>
      <w:r w:rsidR="00474D21" w:rsidRPr="00FA4052">
        <w:t xml:space="preserve">information given by the </w:t>
      </w:r>
      <w:proofErr w:type="spellStart"/>
      <w:r w:rsidR="00474D21" w:rsidRPr="00FA4052">
        <w:t>AEC</w:t>
      </w:r>
      <w:proofErr w:type="spellEnd"/>
      <w:r w:rsidR="00474D21" w:rsidRPr="00FA4052">
        <w:t xml:space="preserve"> for any purpose except for a purpose that is a permitted purpose in relation to the person or organisation the information is given to. The maximum penalty for this offence is </w:t>
      </w:r>
      <w:r w:rsidR="0045730F" w:rsidRPr="00FA4052">
        <w:t>100 </w:t>
      </w:r>
      <w:r w:rsidR="00474D21" w:rsidRPr="00FA4052">
        <w:t>penalty units</w:t>
      </w:r>
      <w:r w:rsidR="00DA7DCE">
        <w:t xml:space="preserve"> (under section 4AA of the </w:t>
      </w:r>
      <w:r w:rsidR="00DA7DCE" w:rsidRPr="00DA7DCE">
        <w:rPr>
          <w:i/>
        </w:rPr>
        <w:t>Crimes Act 1914</w:t>
      </w:r>
      <w:r w:rsidR="00DA7DCE">
        <w:t>, a penalty unit is $180 (subject to indexation under subsection </w:t>
      </w:r>
      <w:r w:rsidR="00DA7DCE" w:rsidRPr="00DA7DCE">
        <w:t>4AA</w:t>
      </w:r>
      <w:r w:rsidR="00DA7DCE">
        <w:t>(3))</w:t>
      </w:r>
      <w:r w:rsidR="00474D21" w:rsidRPr="00FA4052">
        <w:t xml:space="preserve">. </w:t>
      </w:r>
      <w:r w:rsidR="0045730F" w:rsidRPr="00FA4052">
        <w:t>Subsection </w:t>
      </w:r>
      <w:r w:rsidR="00474D21" w:rsidRPr="00FA4052">
        <w:t>91A</w:t>
      </w:r>
      <w:r w:rsidR="0086144E" w:rsidRPr="00FA4052">
        <w:t>(1)</w:t>
      </w:r>
      <w:r w:rsidR="00474D21" w:rsidRPr="00FA4052">
        <w:t xml:space="preserve"> of the Commonwealth Electoral Act </w:t>
      </w:r>
      <w:r w:rsidR="001523F5" w:rsidRPr="00FA4052">
        <w:t xml:space="preserve">is an important safeguard which </w:t>
      </w:r>
      <w:r w:rsidR="00474D21" w:rsidRPr="00FA4052">
        <w:t xml:space="preserve">minimises the risk that any information provided by the </w:t>
      </w:r>
      <w:proofErr w:type="spellStart"/>
      <w:r w:rsidR="00474D21" w:rsidRPr="00FA4052">
        <w:t>AEC</w:t>
      </w:r>
      <w:proofErr w:type="spellEnd"/>
      <w:r w:rsidR="00474D21" w:rsidRPr="00FA4052">
        <w:t xml:space="preserve"> </w:t>
      </w:r>
      <w:r w:rsidR="001523F5" w:rsidRPr="00FA4052">
        <w:t xml:space="preserve">to the </w:t>
      </w:r>
      <w:proofErr w:type="spellStart"/>
      <w:r w:rsidR="001523F5" w:rsidRPr="00FA4052">
        <w:t>ATO</w:t>
      </w:r>
      <w:proofErr w:type="spellEnd"/>
      <w:r w:rsidR="001523F5" w:rsidRPr="00FA4052">
        <w:t xml:space="preserve"> or Treasury </w:t>
      </w:r>
      <w:r w:rsidR="00474D21" w:rsidRPr="00FA4052">
        <w:t xml:space="preserve">will be used for an unauthorised purpose. </w:t>
      </w:r>
    </w:p>
    <w:p w14:paraId="761128D3" w14:textId="538C5473" w:rsidR="00053B2D" w:rsidRPr="00FA4052" w:rsidRDefault="00A24220" w:rsidP="00FA4052">
      <w:r w:rsidRPr="00FA4052">
        <w:t xml:space="preserve">Accordingly none of the provisions in </w:t>
      </w:r>
      <w:r w:rsidR="0045730F" w:rsidRPr="00FA4052">
        <w:t>Schedule </w:t>
      </w:r>
      <w:r w:rsidRPr="00FA4052">
        <w:t xml:space="preserve">2 to the Regulation </w:t>
      </w:r>
      <w:r w:rsidR="00C238EE" w:rsidRPr="00FA4052">
        <w:t>limit Art</w:t>
      </w:r>
      <w:r w:rsidR="0045730F" w:rsidRPr="00FA4052">
        <w:t>icle</w:t>
      </w:r>
      <w:r w:rsidR="00C238EE" w:rsidRPr="00FA4052">
        <w:t> 17 because they do not permit an unlawful or arbitrary interference with an individual’s privacy.</w:t>
      </w:r>
    </w:p>
    <w:p w14:paraId="77ED2625" w14:textId="67DAE4E7" w:rsidR="00E4438C" w:rsidRDefault="00E4438C" w:rsidP="0086144E">
      <w:pPr>
        <w:pStyle w:val="Heading4"/>
      </w:pPr>
      <w:r>
        <w:t>Conclusion</w:t>
      </w:r>
    </w:p>
    <w:p w14:paraId="5588158D" w14:textId="2624077A" w:rsidR="003E28AB" w:rsidRPr="005E2B92" w:rsidRDefault="00E4438C" w:rsidP="00FA4052">
      <w:r>
        <w:t xml:space="preserve">This Legislative Instrument is compatible with human rights </w:t>
      </w:r>
      <w:r w:rsidR="003E28AB" w:rsidRPr="005E2B92">
        <w:t xml:space="preserve">because to the extent that </w:t>
      </w:r>
      <w:r w:rsidR="003E28AB">
        <w:t xml:space="preserve">it </w:t>
      </w:r>
      <w:r w:rsidR="003E28AB" w:rsidRPr="005E2B92">
        <w:t>may limit human rights, those limitations are reasonable, necessary and proportionate</w:t>
      </w:r>
      <w:r w:rsidR="003E28AB">
        <w:t>.</w:t>
      </w:r>
    </w:p>
    <w:sectPr w:rsidR="003E28AB" w:rsidRPr="005E2B92"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33B55" w14:textId="77777777" w:rsidR="00531E79" w:rsidRDefault="00531E79" w:rsidP="00A1351E">
      <w:pPr>
        <w:spacing w:before="0" w:after="0"/>
      </w:pPr>
      <w:r>
        <w:separator/>
      </w:r>
    </w:p>
  </w:endnote>
  <w:endnote w:type="continuationSeparator" w:id="0">
    <w:p w14:paraId="42B93FCE" w14:textId="77777777" w:rsidR="00531E79" w:rsidRDefault="00531E79" w:rsidP="00A135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864490"/>
      <w:docPartObj>
        <w:docPartGallery w:val="Page Numbers (Bottom of Page)"/>
        <w:docPartUnique/>
      </w:docPartObj>
    </w:sdtPr>
    <w:sdtEndPr>
      <w:rPr>
        <w:noProof/>
      </w:rPr>
    </w:sdtEndPr>
    <w:sdtContent>
      <w:p w14:paraId="1537703A" w14:textId="463AE1EB" w:rsidR="00531E79" w:rsidRDefault="00531E79">
        <w:pPr>
          <w:pStyle w:val="Footer"/>
          <w:jc w:val="right"/>
        </w:pPr>
        <w:r>
          <w:fldChar w:fldCharType="begin"/>
        </w:r>
        <w:r>
          <w:instrText xml:space="preserve"> PAGE   \* MERGEFORMAT </w:instrText>
        </w:r>
        <w:r>
          <w:fldChar w:fldCharType="separate"/>
        </w:r>
        <w:r w:rsidR="00686E7E">
          <w:rPr>
            <w:noProof/>
          </w:rPr>
          <w:t>1</w:t>
        </w:r>
        <w:r>
          <w:rPr>
            <w:noProof/>
          </w:rPr>
          <w:fldChar w:fldCharType="end"/>
        </w:r>
      </w:p>
    </w:sdtContent>
  </w:sdt>
  <w:p w14:paraId="4075E5D5" w14:textId="77777777" w:rsidR="00531E79" w:rsidRDefault="00531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EF7DA" w14:textId="77777777" w:rsidR="00531E79" w:rsidRDefault="00531E79" w:rsidP="00A1351E">
      <w:pPr>
        <w:spacing w:before="0" w:after="0"/>
      </w:pPr>
      <w:r>
        <w:separator/>
      </w:r>
    </w:p>
  </w:footnote>
  <w:footnote w:type="continuationSeparator" w:id="0">
    <w:p w14:paraId="716F7ECC" w14:textId="77777777" w:rsidR="00531E79" w:rsidRDefault="00531E79" w:rsidP="00A1351E">
      <w:pPr>
        <w:spacing w:before="0" w:after="0"/>
      </w:pPr>
      <w:r>
        <w:continuationSeparator/>
      </w:r>
    </w:p>
  </w:footnote>
  <w:footnote w:id="1">
    <w:p w14:paraId="50702C1D" w14:textId="5DAEAA9E" w:rsidR="00531E79" w:rsidRDefault="00531E79" w:rsidP="00FA4052">
      <w:pPr>
        <w:pStyle w:val="BodyText"/>
      </w:pPr>
      <w:r w:rsidRPr="00FA4052">
        <w:rPr>
          <w:rStyle w:val="base-text-paragraphChar"/>
          <w:vertAlign w:val="superscript"/>
        </w:rPr>
        <w:footnoteRef/>
      </w:r>
      <w:r w:rsidRPr="00FA4052">
        <w:rPr>
          <w:rStyle w:val="base-text-paragraphChar"/>
        </w:rPr>
        <w:tab/>
      </w:r>
      <w:r w:rsidRPr="00FA4052">
        <w:t>Human Rights Committee</w:t>
      </w:r>
      <w:r>
        <w:t>,</w:t>
      </w:r>
      <w:r w:rsidRPr="00FA4052">
        <w:t xml:space="preserve"> </w:t>
      </w:r>
      <w:r w:rsidRPr="002F47D8">
        <w:t xml:space="preserve">General </w:t>
      </w:r>
      <w:r>
        <w:t>C</w:t>
      </w:r>
      <w:r w:rsidRPr="002F47D8">
        <w:t>omment No</w:t>
      </w:r>
      <w:r>
        <w:t>. </w:t>
      </w:r>
      <w:r w:rsidRPr="002F47D8">
        <w:t>16 Article</w:t>
      </w:r>
      <w:r>
        <w:t> </w:t>
      </w:r>
      <w:r w:rsidRPr="002F47D8">
        <w:t>17</w:t>
      </w:r>
      <w:r>
        <w:t>:</w:t>
      </w:r>
      <w:r w:rsidRPr="002F47D8">
        <w:t xml:space="preserve"> </w:t>
      </w:r>
      <w:r w:rsidRPr="00261596">
        <w:t>(Right to privacy)</w:t>
      </w:r>
      <w:r w:rsidRPr="002F47D8">
        <w:t>, Thirty</w:t>
      </w:r>
      <w:r>
        <w:noBreakHyphen/>
      </w:r>
      <w:r w:rsidRPr="002F47D8">
        <w:t>second session</w:t>
      </w:r>
      <w:r>
        <w:t>, 8 April </w:t>
      </w:r>
      <w:r w:rsidRPr="002F47D8">
        <w:t>1988</w:t>
      </w:r>
      <w:r>
        <w:t>,</w:t>
      </w:r>
      <w:r w:rsidRPr="002F47D8">
        <w:t xml:space="preserve"> [3]</w:t>
      </w:r>
      <w:r>
        <w:noBreakHyphen/>
      </w:r>
      <w:r w:rsidRPr="002F47D8">
        <w:t>[4]</w:t>
      </w:r>
      <w:r>
        <w:t>.</w:t>
      </w:r>
    </w:p>
  </w:footnote>
  <w:footnote w:id="2">
    <w:p w14:paraId="4076ADC5" w14:textId="2BE57CFB" w:rsidR="00531E79" w:rsidRPr="00E74F34" w:rsidRDefault="00531E79" w:rsidP="00FA4052">
      <w:pPr>
        <w:pStyle w:val="FootnoteText"/>
        <w:tabs>
          <w:tab w:val="clear" w:pos="425"/>
          <w:tab w:val="left" w:pos="709"/>
        </w:tabs>
        <w:ind w:left="0" w:firstLine="0"/>
      </w:pPr>
      <w:r w:rsidRPr="00FA4052">
        <w:rPr>
          <w:rStyle w:val="FootnoteReference"/>
          <w:rFonts w:ascii="Times New Roman" w:hAnsi="Times New Roman" w:cs="Times New Roman"/>
          <w:sz w:val="24"/>
          <w:szCs w:val="24"/>
        </w:rPr>
        <w:footnoteRef/>
      </w:r>
      <w:r>
        <w:rPr>
          <w:rStyle w:val="base-text-paragraphChar"/>
          <w:rFonts w:ascii="Times New Roman" w:hAnsi="Times New Roman" w:cs="Times New Roman"/>
          <w:b/>
        </w:rPr>
        <w:tab/>
      </w:r>
      <w:r>
        <w:rPr>
          <w:rStyle w:val="base-text-paragraphChar"/>
          <w:rFonts w:ascii="Times New Roman" w:hAnsi="Times New Roman" w:cs="Times New Roman"/>
        </w:rPr>
        <w:t>Under section 137 of the Act t</w:t>
      </w:r>
      <w:r w:rsidRPr="007A324E">
        <w:rPr>
          <w:rStyle w:val="base-text-paragraphChar"/>
          <w:rFonts w:ascii="Times New Roman" w:hAnsi="Times New Roman" w:cs="Times New Roman"/>
        </w:rPr>
        <w:t xml:space="preserve">he Treasurer may delegate any of the Treasurer’s powers </w:t>
      </w:r>
      <w:r>
        <w:rPr>
          <w:rStyle w:val="base-text-paragraphChar"/>
          <w:rFonts w:ascii="Times New Roman" w:hAnsi="Times New Roman" w:cs="Times New Roman"/>
        </w:rPr>
        <w:t xml:space="preserve">and functions </w:t>
      </w:r>
      <w:r w:rsidRPr="007A324E">
        <w:rPr>
          <w:rStyle w:val="base-text-paragraphChar"/>
          <w:rFonts w:ascii="Times New Roman" w:hAnsi="Times New Roman" w:cs="Times New Roman"/>
        </w:rPr>
        <w:t xml:space="preserve">under the Act to the Secretary to </w:t>
      </w:r>
      <w:r>
        <w:rPr>
          <w:rStyle w:val="base-text-paragraphChar"/>
          <w:rFonts w:ascii="Times New Roman" w:hAnsi="Times New Roman" w:cs="Times New Roman"/>
        </w:rPr>
        <w:t>the Treasury</w:t>
      </w:r>
      <w:r w:rsidRPr="007A324E">
        <w:rPr>
          <w:rStyle w:val="base-text-paragraphChar"/>
          <w:rFonts w:ascii="Times New Roman" w:hAnsi="Times New Roman" w:cs="Times New Roman"/>
        </w:rPr>
        <w:t xml:space="preserve">, the Commissioner of Taxation (Commissioner), or a person engaged under the </w:t>
      </w:r>
      <w:r w:rsidRPr="007A324E">
        <w:rPr>
          <w:rStyle w:val="base-text-paragraphChar"/>
          <w:rFonts w:ascii="Times New Roman" w:hAnsi="Times New Roman" w:cs="Times New Roman"/>
          <w:i/>
        </w:rPr>
        <w:t>Public</w:t>
      </w:r>
      <w:r>
        <w:rPr>
          <w:rStyle w:val="base-text-paragraphChar"/>
          <w:rFonts w:ascii="Times New Roman" w:hAnsi="Times New Roman" w:cs="Times New Roman"/>
          <w:i/>
        </w:rPr>
        <w:t> </w:t>
      </w:r>
      <w:r w:rsidRPr="007A324E">
        <w:rPr>
          <w:rStyle w:val="base-text-paragraphChar"/>
          <w:rFonts w:ascii="Times New Roman" w:hAnsi="Times New Roman" w:cs="Times New Roman"/>
          <w:i/>
        </w:rPr>
        <w:t>Service Act</w:t>
      </w:r>
      <w:r>
        <w:rPr>
          <w:rStyle w:val="base-text-paragraphChar"/>
          <w:rFonts w:ascii="Times New Roman" w:hAnsi="Times New Roman" w:cs="Times New Roman"/>
          <w:i/>
        </w:rPr>
        <w:t> </w:t>
      </w:r>
      <w:r w:rsidRPr="007A324E">
        <w:rPr>
          <w:rStyle w:val="base-text-paragraphChar"/>
          <w:rFonts w:ascii="Times New Roman" w:hAnsi="Times New Roman" w:cs="Times New Roman"/>
          <w:i/>
        </w:rPr>
        <w:t xml:space="preserve">1999 </w:t>
      </w:r>
      <w:r w:rsidRPr="007A324E">
        <w:rPr>
          <w:rStyle w:val="base-text-paragraphChar"/>
          <w:rFonts w:ascii="Times New Roman" w:hAnsi="Times New Roman" w:cs="Times New Roman"/>
        </w:rPr>
        <w:t xml:space="preserve">who is employed in the Department or the </w:t>
      </w:r>
      <w:proofErr w:type="spellStart"/>
      <w:r w:rsidRPr="007A324E">
        <w:rPr>
          <w:rStyle w:val="base-text-paragraphChar"/>
          <w:rFonts w:ascii="Times New Roman" w:hAnsi="Times New Roman" w:cs="Times New Roman"/>
        </w:rPr>
        <w:t>ATO</w:t>
      </w:r>
      <w:proofErr w:type="spellEnd"/>
      <w:r w:rsidRPr="007A324E">
        <w:rPr>
          <w:rStyle w:val="base-text-paragraphChar"/>
          <w:rFonts w:ascii="Times New Roman" w:hAnsi="Times New Roman" w:cs="Times New Roman"/>
        </w:rPr>
        <w:t xml:space="preserve">. It is anticipated that the Treasurer will delegate his powers or functions relating to residential land under the Act to the Commissioner, who in turn may </w:t>
      </w:r>
      <w:proofErr w:type="spellStart"/>
      <w:r w:rsidRPr="007A324E">
        <w:rPr>
          <w:rStyle w:val="base-text-paragraphChar"/>
          <w:rFonts w:ascii="Times New Roman" w:hAnsi="Times New Roman" w:cs="Times New Roman"/>
        </w:rPr>
        <w:t>subdelegate</w:t>
      </w:r>
      <w:proofErr w:type="spellEnd"/>
      <w:r w:rsidRPr="007A324E">
        <w:rPr>
          <w:rStyle w:val="base-text-paragraphChar"/>
          <w:rFonts w:ascii="Times New Roman" w:hAnsi="Times New Roman" w:cs="Times New Roman"/>
        </w:rPr>
        <w:t xml:space="preserve"> those powers and functions to persons employed at the </w:t>
      </w:r>
      <w:proofErr w:type="spellStart"/>
      <w:r w:rsidRPr="007A324E">
        <w:rPr>
          <w:rStyle w:val="base-text-paragraphChar"/>
          <w:rFonts w:ascii="Times New Roman" w:hAnsi="Times New Roman" w:cs="Times New Roman"/>
        </w:rPr>
        <w:t>ATO</w:t>
      </w:r>
      <w:proofErr w:type="spellEnd"/>
      <w:r w:rsidRPr="007A324E">
        <w:rPr>
          <w:rStyle w:val="base-text-paragraphChar"/>
          <w:rFonts w:ascii="Times New Roman" w:hAnsi="Times New Roman" w:cs="Times New Roman"/>
        </w:rPr>
        <w:t xml:space="preserve"> (see section</w:t>
      </w:r>
      <w:r>
        <w:rPr>
          <w:rStyle w:val="base-text-paragraphChar"/>
          <w:rFonts w:ascii="Times New Roman" w:hAnsi="Times New Roman" w:cs="Times New Roman"/>
        </w:rPr>
        <w:t> </w:t>
      </w:r>
      <w:r w:rsidRPr="007A324E">
        <w:rPr>
          <w:rStyle w:val="base-text-paragraphChar"/>
          <w:rFonts w:ascii="Times New Roman" w:hAnsi="Times New Roman" w:cs="Times New Roman"/>
        </w:rPr>
        <w:t>137 of the Act). The Treasurer can also request, in writing, the Commissioner to exercise his or her powers under section</w:t>
      </w:r>
      <w:r>
        <w:rPr>
          <w:rStyle w:val="base-text-paragraphChar"/>
          <w:rFonts w:ascii="Times New Roman" w:hAnsi="Times New Roman" w:cs="Times New Roman"/>
        </w:rPr>
        <w:t> </w:t>
      </w:r>
      <w:r w:rsidRPr="007A324E">
        <w:rPr>
          <w:rStyle w:val="base-text-paragraphChar"/>
          <w:rFonts w:ascii="Times New Roman" w:hAnsi="Times New Roman" w:cs="Times New Roman"/>
        </w:rPr>
        <w:t>353</w:t>
      </w:r>
      <w:r>
        <w:rPr>
          <w:rStyle w:val="base-text-paragraphChar"/>
          <w:rFonts w:ascii="Times New Roman" w:hAnsi="Times New Roman" w:cs="Times New Roman"/>
        </w:rPr>
        <w:noBreakHyphen/>
      </w:r>
      <w:r w:rsidRPr="007A324E">
        <w:rPr>
          <w:rStyle w:val="base-text-paragraphChar"/>
          <w:rFonts w:ascii="Times New Roman" w:hAnsi="Times New Roman" w:cs="Times New Roman"/>
        </w:rPr>
        <w:t>10 or 353</w:t>
      </w:r>
      <w:r>
        <w:rPr>
          <w:rStyle w:val="base-text-paragraphChar"/>
          <w:rFonts w:ascii="Times New Roman" w:hAnsi="Times New Roman" w:cs="Times New Roman"/>
        </w:rPr>
        <w:noBreakHyphen/>
      </w:r>
      <w:r w:rsidRPr="007A324E">
        <w:rPr>
          <w:rStyle w:val="base-text-paragraphChar"/>
          <w:rFonts w:ascii="Times New Roman" w:hAnsi="Times New Roman" w:cs="Times New Roman"/>
        </w:rPr>
        <w:t>15 (powers to obtain information and evidence and access premises) in Schedule</w:t>
      </w:r>
      <w:r>
        <w:rPr>
          <w:rStyle w:val="base-text-paragraphChar"/>
          <w:rFonts w:ascii="Times New Roman" w:hAnsi="Times New Roman" w:cs="Times New Roman"/>
        </w:rPr>
        <w:t> </w:t>
      </w:r>
      <w:r w:rsidRPr="007A324E">
        <w:rPr>
          <w:rStyle w:val="base-text-paragraphChar"/>
          <w:rFonts w:ascii="Times New Roman" w:hAnsi="Times New Roman" w:cs="Times New Roman"/>
        </w:rPr>
        <w:t xml:space="preserve">1 to the </w:t>
      </w:r>
      <w:r w:rsidRPr="007A324E">
        <w:rPr>
          <w:rStyle w:val="base-text-paragraphChar"/>
          <w:rFonts w:ascii="Times New Roman" w:hAnsi="Times New Roman" w:cs="Times New Roman"/>
          <w:i/>
        </w:rPr>
        <w:t>Taxation</w:t>
      </w:r>
      <w:r>
        <w:rPr>
          <w:rStyle w:val="base-text-paragraphChar"/>
          <w:rFonts w:ascii="Times New Roman" w:hAnsi="Times New Roman" w:cs="Times New Roman"/>
          <w:i/>
        </w:rPr>
        <w:t> </w:t>
      </w:r>
      <w:r w:rsidRPr="007A324E">
        <w:rPr>
          <w:rStyle w:val="base-text-paragraphChar"/>
          <w:rFonts w:ascii="Times New Roman" w:hAnsi="Times New Roman" w:cs="Times New Roman"/>
          <w:i/>
        </w:rPr>
        <w:t>Administration Act</w:t>
      </w:r>
      <w:r>
        <w:rPr>
          <w:rStyle w:val="base-text-paragraphChar"/>
          <w:rFonts w:ascii="Times New Roman" w:hAnsi="Times New Roman" w:cs="Times New Roman"/>
          <w:i/>
        </w:rPr>
        <w:t> </w:t>
      </w:r>
      <w:r w:rsidRPr="007A324E">
        <w:rPr>
          <w:rStyle w:val="base-text-paragraphChar"/>
          <w:rFonts w:ascii="Times New Roman" w:hAnsi="Times New Roman" w:cs="Times New Roman"/>
          <w:i/>
        </w:rPr>
        <w:t xml:space="preserve">1953 </w:t>
      </w:r>
      <w:r w:rsidRPr="007A324E">
        <w:rPr>
          <w:rStyle w:val="base-text-paragraphChar"/>
          <w:rFonts w:ascii="Times New Roman" w:hAnsi="Times New Roman" w:cs="Times New Roman"/>
        </w:rPr>
        <w:t>in relation to a matter if a power or function has not been delegated to the Commissioner in relation to the matter (section</w:t>
      </w:r>
      <w:r>
        <w:rPr>
          <w:rStyle w:val="base-text-paragraphChar"/>
          <w:rFonts w:ascii="Times New Roman" w:hAnsi="Times New Roman" w:cs="Times New Roman"/>
        </w:rPr>
        <w:t> </w:t>
      </w:r>
      <w:r w:rsidRPr="007A324E">
        <w:rPr>
          <w:rStyle w:val="base-text-paragraphChar"/>
          <w:rFonts w:ascii="Times New Roman" w:hAnsi="Times New Roman" w:cs="Times New Roman"/>
        </w:rPr>
        <w:t>138 of the Act).</w:t>
      </w:r>
      <w:r>
        <w:rPr>
          <w:rStyle w:val="base-text-paragraphChar"/>
          <w:rFonts w:ascii="Times New Roman" w:hAnsi="Times New Roman" w:cs="Times New Roman"/>
        </w:rPr>
        <w:t xml:space="preserve"> The </w:t>
      </w:r>
      <w:r>
        <w:rPr>
          <w:rStyle w:val="base-text-paragraphChar"/>
          <w:rFonts w:ascii="Times New Roman" w:hAnsi="Times New Roman" w:cs="Times New Roman"/>
          <w:i/>
        </w:rPr>
        <w:t xml:space="preserve">Foreign Acquisitions and Takeovers Fees Imposition Act 2015 </w:t>
      </w:r>
      <w:r>
        <w:rPr>
          <w:rStyle w:val="base-text-paragraphChar"/>
          <w:rFonts w:ascii="Times New Roman" w:hAnsi="Times New Roman" w:cs="Times New Roman"/>
        </w:rPr>
        <w:t xml:space="preserve">imposes fees in relation to certain applications and actions that are made under the Act.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1">
    <w:nsid w:val="265B1B49"/>
    <w:multiLevelType w:val="multilevel"/>
    <w:tmpl w:val="55B093F8"/>
    <w:lvl w:ilvl="0">
      <w:start w:val="1"/>
      <w:numFmt w:val="none"/>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7A43C0B"/>
    <w:multiLevelType w:val="multilevel"/>
    <w:tmpl w:val="8FA8A4E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2128"/>
          </w:tabs>
          <w:ind w:left="1277"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426"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570"/>
    <w:rsid w:val="00016EA2"/>
    <w:rsid w:val="000379A4"/>
    <w:rsid w:val="00053B2D"/>
    <w:rsid w:val="0005722B"/>
    <w:rsid w:val="000912B6"/>
    <w:rsid w:val="00095211"/>
    <w:rsid w:val="00097ADE"/>
    <w:rsid w:val="000A6DC9"/>
    <w:rsid w:val="000C10DF"/>
    <w:rsid w:val="000D101C"/>
    <w:rsid w:val="001025D1"/>
    <w:rsid w:val="00113B45"/>
    <w:rsid w:val="001523F5"/>
    <w:rsid w:val="00180C32"/>
    <w:rsid w:val="001C2049"/>
    <w:rsid w:val="001C6BCD"/>
    <w:rsid w:val="001D7B16"/>
    <w:rsid w:val="001E6A74"/>
    <w:rsid w:val="001F2138"/>
    <w:rsid w:val="001F41D0"/>
    <w:rsid w:val="0020051A"/>
    <w:rsid w:val="00220F16"/>
    <w:rsid w:val="00250BA4"/>
    <w:rsid w:val="00254C5B"/>
    <w:rsid w:val="00261596"/>
    <w:rsid w:val="002E68E1"/>
    <w:rsid w:val="002F47D8"/>
    <w:rsid w:val="00305070"/>
    <w:rsid w:val="003342CD"/>
    <w:rsid w:val="00335042"/>
    <w:rsid w:val="00347353"/>
    <w:rsid w:val="003826B4"/>
    <w:rsid w:val="00392BBA"/>
    <w:rsid w:val="00393FE7"/>
    <w:rsid w:val="00396BC4"/>
    <w:rsid w:val="003A3127"/>
    <w:rsid w:val="003A3F88"/>
    <w:rsid w:val="003D51E8"/>
    <w:rsid w:val="003E28AB"/>
    <w:rsid w:val="003F01CD"/>
    <w:rsid w:val="00437947"/>
    <w:rsid w:val="0045730F"/>
    <w:rsid w:val="00461C9F"/>
    <w:rsid w:val="00463C42"/>
    <w:rsid w:val="004701CF"/>
    <w:rsid w:val="00474D21"/>
    <w:rsid w:val="00496161"/>
    <w:rsid w:val="004C4311"/>
    <w:rsid w:val="004C6D5C"/>
    <w:rsid w:val="004E39E1"/>
    <w:rsid w:val="004F25FF"/>
    <w:rsid w:val="005035CF"/>
    <w:rsid w:val="00503E44"/>
    <w:rsid w:val="00515283"/>
    <w:rsid w:val="00531E79"/>
    <w:rsid w:val="00554D12"/>
    <w:rsid w:val="0055675D"/>
    <w:rsid w:val="00581E79"/>
    <w:rsid w:val="00582BF5"/>
    <w:rsid w:val="005833BE"/>
    <w:rsid w:val="00597766"/>
    <w:rsid w:val="005A6537"/>
    <w:rsid w:val="005B485E"/>
    <w:rsid w:val="005D7D5A"/>
    <w:rsid w:val="0060130D"/>
    <w:rsid w:val="006015FE"/>
    <w:rsid w:val="0062388C"/>
    <w:rsid w:val="006328F0"/>
    <w:rsid w:val="0064028A"/>
    <w:rsid w:val="0064129F"/>
    <w:rsid w:val="006538E7"/>
    <w:rsid w:val="00656107"/>
    <w:rsid w:val="00686E7E"/>
    <w:rsid w:val="006C3662"/>
    <w:rsid w:val="006D3527"/>
    <w:rsid w:val="006D4C93"/>
    <w:rsid w:val="0073041C"/>
    <w:rsid w:val="00774771"/>
    <w:rsid w:val="007A07C6"/>
    <w:rsid w:val="007A324E"/>
    <w:rsid w:val="007A6572"/>
    <w:rsid w:val="007D5E52"/>
    <w:rsid w:val="007E018D"/>
    <w:rsid w:val="007E1D0F"/>
    <w:rsid w:val="007E7D5A"/>
    <w:rsid w:val="00807E7D"/>
    <w:rsid w:val="00831675"/>
    <w:rsid w:val="00832690"/>
    <w:rsid w:val="00852646"/>
    <w:rsid w:val="0086144E"/>
    <w:rsid w:val="0088467C"/>
    <w:rsid w:val="008875F0"/>
    <w:rsid w:val="008908CC"/>
    <w:rsid w:val="008B1AB3"/>
    <w:rsid w:val="008D16F7"/>
    <w:rsid w:val="009363E1"/>
    <w:rsid w:val="009573B5"/>
    <w:rsid w:val="00996241"/>
    <w:rsid w:val="009C0F01"/>
    <w:rsid w:val="009E2F86"/>
    <w:rsid w:val="00A11C1A"/>
    <w:rsid w:val="00A12209"/>
    <w:rsid w:val="00A1351E"/>
    <w:rsid w:val="00A24220"/>
    <w:rsid w:val="00A36DF3"/>
    <w:rsid w:val="00A40833"/>
    <w:rsid w:val="00A532DD"/>
    <w:rsid w:val="00A80BCF"/>
    <w:rsid w:val="00AA1BDD"/>
    <w:rsid w:val="00AA55D5"/>
    <w:rsid w:val="00AA6B95"/>
    <w:rsid w:val="00AB2AED"/>
    <w:rsid w:val="00AC6E07"/>
    <w:rsid w:val="00AD1275"/>
    <w:rsid w:val="00AD6FE9"/>
    <w:rsid w:val="00AF757E"/>
    <w:rsid w:val="00B07B0C"/>
    <w:rsid w:val="00B55914"/>
    <w:rsid w:val="00B56A8E"/>
    <w:rsid w:val="00B63DC1"/>
    <w:rsid w:val="00BC3C93"/>
    <w:rsid w:val="00BC5570"/>
    <w:rsid w:val="00BD61A2"/>
    <w:rsid w:val="00BE484D"/>
    <w:rsid w:val="00BF75BA"/>
    <w:rsid w:val="00C238EE"/>
    <w:rsid w:val="00C37E05"/>
    <w:rsid w:val="00C44BB5"/>
    <w:rsid w:val="00C55D29"/>
    <w:rsid w:val="00CD2135"/>
    <w:rsid w:val="00D2602B"/>
    <w:rsid w:val="00D34626"/>
    <w:rsid w:val="00D4087C"/>
    <w:rsid w:val="00D4257A"/>
    <w:rsid w:val="00D701F0"/>
    <w:rsid w:val="00D748EC"/>
    <w:rsid w:val="00D949B0"/>
    <w:rsid w:val="00DA4640"/>
    <w:rsid w:val="00DA750B"/>
    <w:rsid w:val="00DA7DCE"/>
    <w:rsid w:val="00DC0CDE"/>
    <w:rsid w:val="00DF121A"/>
    <w:rsid w:val="00DF4165"/>
    <w:rsid w:val="00E0624D"/>
    <w:rsid w:val="00E10286"/>
    <w:rsid w:val="00E17881"/>
    <w:rsid w:val="00E21C20"/>
    <w:rsid w:val="00E33EC2"/>
    <w:rsid w:val="00E4438C"/>
    <w:rsid w:val="00E457F3"/>
    <w:rsid w:val="00E57B7A"/>
    <w:rsid w:val="00E65E58"/>
    <w:rsid w:val="00E74F34"/>
    <w:rsid w:val="00EB4430"/>
    <w:rsid w:val="00EB52CE"/>
    <w:rsid w:val="00EB5D65"/>
    <w:rsid w:val="00EB6E32"/>
    <w:rsid w:val="00EB7E71"/>
    <w:rsid w:val="00EC0020"/>
    <w:rsid w:val="00EC7A8F"/>
    <w:rsid w:val="00EF47B0"/>
    <w:rsid w:val="00F0191E"/>
    <w:rsid w:val="00F109D4"/>
    <w:rsid w:val="00F7251C"/>
    <w:rsid w:val="00F9560F"/>
    <w:rsid w:val="00FA4052"/>
    <w:rsid w:val="00FA438D"/>
    <w:rsid w:val="00FA4745"/>
    <w:rsid w:val="00FB7880"/>
    <w:rsid w:val="00FF105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5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 Char Char1"/>
    <w:basedOn w:val="DefaultParagraphFont"/>
    <w:link w:val="FootnoteText"/>
    <w:semiHidden/>
    <w:locked/>
    <w:rsid w:val="00A1351E"/>
    <w:rPr>
      <w:rFonts w:ascii="Arial" w:hAnsi="Arial" w:cs="Arial"/>
      <w:sz w:val="18"/>
    </w:rPr>
  </w:style>
  <w:style w:type="paragraph" w:styleId="FootnoteText">
    <w:name w:val="footnote text"/>
    <w:aliases w:val="Footnote Text Char1 Char,Footnote Text Char Char Char,Footnote Text Char1 Char Char Char,Footnote Text Char Char Char Char Char,Footnote Text Char2 Char Char Char Char Char,Footnote Text Char Char,fn"/>
    <w:basedOn w:val="Normal"/>
    <w:link w:val="FootnoteTextChar"/>
    <w:semiHidden/>
    <w:unhideWhenUsed/>
    <w:rsid w:val="00A1351E"/>
    <w:pPr>
      <w:tabs>
        <w:tab w:val="left" w:pos="425"/>
      </w:tabs>
      <w:spacing w:before="0" w:after="60"/>
      <w:ind w:left="425" w:right="567" w:hanging="425"/>
    </w:pPr>
    <w:rPr>
      <w:rFonts w:ascii="Arial" w:hAnsi="Arial" w:cs="Arial"/>
      <w:sz w:val="18"/>
    </w:rPr>
  </w:style>
  <w:style w:type="character" w:customStyle="1" w:styleId="FootnoteTextChar1">
    <w:name w:val="Footnote Text Char1"/>
    <w:basedOn w:val="DefaultParagraphFont"/>
    <w:uiPriority w:val="99"/>
    <w:semiHidden/>
    <w:rsid w:val="00A1351E"/>
  </w:style>
  <w:style w:type="character" w:customStyle="1" w:styleId="NumberLevel1Char">
    <w:name w:val="Number Level 1 Char"/>
    <w:link w:val="NumberLevel1"/>
    <w:locked/>
    <w:rsid w:val="00A1351E"/>
    <w:rPr>
      <w:rFonts w:ascii="Arial" w:hAnsi="Arial" w:cs="Arial"/>
    </w:rPr>
  </w:style>
  <w:style w:type="paragraph" w:customStyle="1" w:styleId="NumberLevel1">
    <w:name w:val="Number Level 1"/>
    <w:aliases w:val="N1"/>
    <w:basedOn w:val="Normal"/>
    <w:link w:val="NumberLevel1Char"/>
    <w:qFormat/>
    <w:rsid w:val="00A1351E"/>
    <w:pPr>
      <w:numPr>
        <w:numId w:val="3"/>
      </w:numPr>
      <w:spacing w:before="140" w:after="140" w:line="280" w:lineRule="atLeast"/>
    </w:pPr>
    <w:rPr>
      <w:rFonts w:ascii="Arial" w:hAnsi="Arial" w:cs="Arial"/>
      <w:sz w:val="20"/>
    </w:rPr>
  </w:style>
  <w:style w:type="paragraph" w:customStyle="1" w:styleId="NumberLevel2">
    <w:name w:val="Number Level 2"/>
    <w:aliases w:val="N2"/>
    <w:basedOn w:val="Normal"/>
    <w:qFormat/>
    <w:rsid w:val="00A1351E"/>
    <w:pPr>
      <w:numPr>
        <w:ilvl w:val="1"/>
        <w:numId w:val="3"/>
      </w:numPr>
      <w:spacing w:before="140" w:after="140" w:line="280" w:lineRule="atLeast"/>
    </w:pPr>
    <w:rPr>
      <w:rFonts w:ascii="Arial" w:hAnsi="Arial" w:cs="Arial"/>
      <w:sz w:val="22"/>
      <w:szCs w:val="22"/>
    </w:rPr>
  </w:style>
  <w:style w:type="paragraph" w:customStyle="1" w:styleId="NumberLevel3">
    <w:name w:val="Number Level 3"/>
    <w:aliases w:val="N3"/>
    <w:basedOn w:val="Normal"/>
    <w:qFormat/>
    <w:rsid w:val="00A1351E"/>
    <w:pPr>
      <w:numPr>
        <w:ilvl w:val="2"/>
        <w:numId w:val="3"/>
      </w:numPr>
      <w:spacing w:before="140" w:after="140" w:line="280" w:lineRule="atLeast"/>
    </w:pPr>
    <w:rPr>
      <w:rFonts w:ascii="Arial" w:hAnsi="Arial" w:cs="Arial"/>
      <w:sz w:val="22"/>
      <w:szCs w:val="22"/>
    </w:rPr>
  </w:style>
  <w:style w:type="paragraph" w:customStyle="1" w:styleId="NumberLevel4">
    <w:name w:val="Number Level 4"/>
    <w:aliases w:val="N4"/>
    <w:basedOn w:val="Normal"/>
    <w:qFormat/>
    <w:rsid w:val="00A1351E"/>
    <w:pPr>
      <w:numPr>
        <w:ilvl w:val="3"/>
        <w:numId w:val="3"/>
      </w:numPr>
      <w:spacing w:before="0" w:after="140" w:line="280" w:lineRule="atLeast"/>
    </w:pPr>
    <w:rPr>
      <w:rFonts w:ascii="Arial" w:hAnsi="Arial" w:cs="Arial"/>
      <w:sz w:val="22"/>
      <w:szCs w:val="22"/>
    </w:rPr>
  </w:style>
  <w:style w:type="paragraph" w:customStyle="1" w:styleId="NumberLevel5">
    <w:name w:val="Number Level 5"/>
    <w:aliases w:val="N5"/>
    <w:basedOn w:val="Normal"/>
    <w:semiHidden/>
    <w:rsid w:val="00A1351E"/>
    <w:pPr>
      <w:numPr>
        <w:ilvl w:val="4"/>
        <w:numId w:val="3"/>
      </w:numPr>
      <w:spacing w:before="0" w:after="140" w:line="280" w:lineRule="atLeast"/>
    </w:pPr>
    <w:rPr>
      <w:rFonts w:ascii="Arial" w:hAnsi="Arial" w:cs="Arial"/>
      <w:sz w:val="22"/>
      <w:szCs w:val="22"/>
    </w:rPr>
  </w:style>
  <w:style w:type="paragraph" w:customStyle="1" w:styleId="NumberLevel6">
    <w:name w:val="Number Level 6"/>
    <w:basedOn w:val="NumberLevel5"/>
    <w:semiHidden/>
    <w:rsid w:val="00A1351E"/>
    <w:pPr>
      <w:numPr>
        <w:ilvl w:val="5"/>
      </w:numPr>
    </w:pPr>
  </w:style>
  <w:style w:type="paragraph" w:customStyle="1" w:styleId="NumberLevel7">
    <w:name w:val="Number Level 7"/>
    <w:basedOn w:val="NumberLevel6"/>
    <w:semiHidden/>
    <w:rsid w:val="00A1351E"/>
    <w:pPr>
      <w:numPr>
        <w:ilvl w:val="6"/>
      </w:numPr>
    </w:pPr>
  </w:style>
  <w:style w:type="paragraph" w:customStyle="1" w:styleId="NumberLevel8">
    <w:name w:val="Number Level 8"/>
    <w:basedOn w:val="NumberLevel7"/>
    <w:semiHidden/>
    <w:rsid w:val="00A1351E"/>
    <w:pPr>
      <w:numPr>
        <w:ilvl w:val="7"/>
      </w:numPr>
    </w:pPr>
  </w:style>
  <w:style w:type="paragraph" w:customStyle="1" w:styleId="NumberLevel9">
    <w:name w:val="Number Level 9"/>
    <w:basedOn w:val="NumberLevel8"/>
    <w:semiHidden/>
    <w:rsid w:val="00A1351E"/>
    <w:pPr>
      <w:numPr>
        <w:ilvl w:val="8"/>
      </w:numPr>
    </w:pPr>
  </w:style>
  <w:style w:type="paragraph" w:customStyle="1" w:styleId="Quotation">
    <w:name w:val="Quotation"/>
    <w:basedOn w:val="Normal"/>
    <w:semiHidden/>
    <w:rsid w:val="00A1351E"/>
    <w:pPr>
      <w:numPr>
        <w:numId w:val="4"/>
      </w:numPr>
      <w:spacing w:before="0" w:after="140" w:line="260" w:lineRule="atLeast"/>
    </w:pPr>
    <w:rPr>
      <w:rFonts w:ascii="Arial" w:hAnsi="Arial" w:cs="Arial"/>
      <w:sz w:val="20"/>
      <w:szCs w:val="22"/>
    </w:rPr>
  </w:style>
  <w:style w:type="character" w:customStyle="1" w:styleId="Quotation1Char">
    <w:name w:val="Quotation 1 Char"/>
    <w:basedOn w:val="DefaultParagraphFont"/>
    <w:link w:val="Quotation1"/>
    <w:locked/>
    <w:rsid w:val="00A1351E"/>
    <w:rPr>
      <w:rFonts w:ascii="Arial" w:hAnsi="Arial" w:cs="Arial"/>
    </w:rPr>
  </w:style>
  <w:style w:type="paragraph" w:customStyle="1" w:styleId="Quotation1">
    <w:name w:val="Quotation 1"/>
    <w:aliases w:val="&quot;Q&quot;"/>
    <w:basedOn w:val="Normal"/>
    <w:link w:val="Quotation1Char"/>
    <w:qFormat/>
    <w:rsid w:val="00A1351E"/>
    <w:pPr>
      <w:numPr>
        <w:ilvl w:val="1"/>
        <w:numId w:val="4"/>
      </w:numPr>
      <w:spacing w:before="0" w:after="140" w:line="260" w:lineRule="atLeast"/>
    </w:pPr>
    <w:rPr>
      <w:rFonts w:ascii="Arial" w:hAnsi="Arial" w:cs="Arial"/>
      <w:sz w:val="20"/>
    </w:rPr>
  </w:style>
  <w:style w:type="paragraph" w:customStyle="1" w:styleId="Quotation2">
    <w:name w:val="Quotation 2"/>
    <w:basedOn w:val="Normal"/>
    <w:semiHidden/>
    <w:rsid w:val="00A1351E"/>
    <w:pPr>
      <w:numPr>
        <w:ilvl w:val="2"/>
        <w:numId w:val="4"/>
      </w:numPr>
      <w:spacing w:before="0" w:after="140" w:line="260" w:lineRule="atLeast"/>
    </w:pPr>
    <w:rPr>
      <w:rFonts w:ascii="Arial" w:hAnsi="Arial" w:cs="Arial"/>
      <w:sz w:val="20"/>
      <w:szCs w:val="22"/>
    </w:rPr>
  </w:style>
  <w:style w:type="paragraph" w:customStyle="1" w:styleId="Quotation3">
    <w:name w:val="Quotation 3"/>
    <w:basedOn w:val="Normal"/>
    <w:semiHidden/>
    <w:rsid w:val="00A1351E"/>
    <w:pPr>
      <w:numPr>
        <w:ilvl w:val="3"/>
        <w:numId w:val="4"/>
      </w:numPr>
      <w:spacing w:before="0" w:after="140" w:line="260" w:lineRule="atLeast"/>
    </w:pPr>
    <w:rPr>
      <w:rFonts w:ascii="Arial" w:hAnsi="Arial" w:cs="Arial"/>
      <w:sz w:val="20"/>
      <w:szCs w:val="22"/>
    </w:rPr>
  </w:style>
  <w:style w:type="paragraph" w:customStyle="1" w:styleId="Quotation4">
    <w:name w:val="Quotation 4"/>
    <w:basedOn w:val="Normal"/>
    <w:semiHidden/>
    <w:rsid w:val="00A1351E"/>
    <w:pPr>
      <w:numPr>
        <w:ilvl w:val="4"/>
        <w:numId w:val="4"/>
      </w:numPr>
      <w:spacing w:before="0" w:after="140" w:line="260" w:lineRule="atLeast"/>
    </w:pPr>
    <w:rPr>
      <w:rFonts w:ascii="Arial" w:hAnsi="Arial" w:cs="Arial"/>
      <w:sz w:val="20"/>
      <w:szCs w:val="22"/>
    </w:rPr>
  </w:style>
  <w:style w:type="paragraph" w:customStyle="1" w:styleId="Quotation5">
    <w:name w:val="Quotation 5"/>
    <w:basedOn w:val="Normal"/>
    <w:semiHidden/>
    <w:rsid w:val="00A1351E"/>
    <w:pPr>
      <w:numPr>
        <w:ilvl w:val="5"/>
        <w:numId w:val="4"/>
      </w:numPr>
      <w:spacing w:before="0" w:after="140" w:line="260" w:lineRule="atLeast"/>
    </w:pPr>
    <w:rPr>
      <w:rFonts w:ascii="Arial" w:hAnsi="Arial" w:cs="Arial"/>
      <w:sz w:val="20"/>
      <w:szCs w:val="22"/>
    </w:rPr>
  </w:style>
  <w:style w:type="paragraph" w:customStyle="1" w:styleId="Quotation6">
    <w:name w:val="Quotation 6"/>
    <w:basedOn w:val="Normal"/>
    <w:semiHidden/>
    <w:rsid w:val="00A1351E"/>
    <w:pPr>
      <w:numPr>
        <w:ilvl w:val="6"/>
        <w:numId w:val="4"/>
      </w:numPr>
      <w:spacing w:before="0" w:after="140" w:line="260" w:lineRule="atLeast"/>
    </w:pPr>
    <w:rPr>
      <w:rFonts w:ascii="Arial" w:hAnsi="Arial" w:cs="Arial"/>
      <w:sz w:val="20"/>
      <w:szCs w:val="22"/>
    </w:rPr>
  </w:style>
  <w:style w:type="paragraph" w:customStyle="1" w:styleId="Quotation7">
    <w:name w:val="Quotation 7"/>
    <w:basedOn w:val="Normal"/>
    <w:semiHidden/>
    <w:rsid w:val="00A1351E"/>
    <w:pPr>
      <w:numPr>
        <w:ilvl w:val="7"/>
        <w:numId w:val="4"/>
      </w:numPr>
      <w:spacing w:before="0" w:after="140" w:line="260" w:lineRule="atLeast"/>
    </w:pPr>
    <w:rPr>
      <w:rFonts w:ascii="Arial" w:hAnsi="Arial" w:cs="Arial"/>
      <w:sz w:val="20"/>
      <w:szCs w:val="22"/>
    </w:rPr>
  </w:style>
  <w:style w:type="paragraph" w:customStyle="1" w:styleId="Quotation8">
    <w:name w:val="Quotation 8"/>
    <w:basedOn w:val="Normal"/>
    <w:semiHidden/>
    <w:rsid w:val="00A1351E"/>
    <w:pPr>
      <w:numPr>
        <w:ilvl w:val="8"/>
        <w:numId w:val="4"/>
      </w:numPr>
      <w:spacing w:before="0" w:after="140" w:line="260" w:lineRule="atLeast"/>
    </w:pPr>
    <w:rPr>
      <w:rFonts w:ascii="Arial" w:hAnsi="Arial" w:cs="Arial"/>
      <w:sz w:val="20"/>
      <w:szCs w:val="22"/>
    </w:rPr>
  </w:style>
  <w:style w:type="character" w:styleId="FootnoteReference">
    <w:name w:val="footnote reference"/>
    <w:aliases w:val="Footnotes refss,ftref"/>
    <w:basedOn w:val="DefaultParagraphFont"/>
    <w:semiHidden/>
    <w:unhideWhenUsed/>
    <w:rsid w:val="00A1351E"/>
    <w:rPr>
      <w:rFonts w:ascii="Arial" w:hAnsi="Arial" w:cs="Arial" w:hint="default"/>
      <w:b w:val="0"/>
      <w:bCs w:val="0"/>
      <w:i w:val="0"/>
      <w:iCs w:val="0"/>
      <w:sz w:val="22"/>
      <w:vertAlign w:val="superscript"/>
    </w:rPr>
  </w:style>
  <w:style w:type="paragraph" w:customStyle="1" w:styleId="ChapterHeading">
    <w:name w:val="Chapter Heading"/>
    <w:next w:val="Heading2"/>
    <w:rsid w:val="00A1351E"/>
    <w:pPr>
      <w:pBdr>
        <w:top w:val="single" w:sz="4" w:space="1" w:color="auto"/>
        <w:bottom w:val="single" w:sz="4" w:space="1" w:color="auto"/>
      </w:pBdr>
      <w:tabs>
        <w:tab w:val="num" w:pos="1134"/>
      </w:tabs>
      <w:spacing w:before="240" w:line="260" w:lineRule="atLeast"/>
    </w:pPr>
    <w:rPr>
      <w:rFonts w:ascii="Helvetica" w:eastAsiaTheme="minorEastAsia" w:hAnsi="Helvetica"/>
      <w:b/>
      <w:i/>
      <w:sz w:val="38"/>
    </w:rPr>
  </w:style>
  <w:style w:type="paragraph" w:customStyle="1" w:styleId="TableHeadingoutsidetable">
    <w:name w:val="Table Heading (outside table)"/>
    <w:basedOn w:val="Heading4"/>
    <w:rsid w:val="00A1351E"/>
    <w:pPr>
      <w:tabs>
        <w:tab w:val="clear" w:pos="1987"/>
        <w:tab w:val="num" w:pos="360"/>
      </w:tabs>
      <w:ind w:left="1134"/>
    </w:pPr>
    <w:rPr>
      <w:rFonts w:eastAsiaTheme="minorEastAsia"/>
      <w:kern w:val="0"/>
      <w:sz w:val="22"/>
    </w:rPr>
  </w:style>
  <w:style w:type="paragraph" w:customStyle="1" w:styleId="ExampleHeading">
    <w:name w:val="Example Heading"/>
    <w:basedOn w:val="Normal"/>
    <w:next w:val="Normal"/>
    <w:rsid w:val="00A1351E"/>
    <w:pPr>
      <w:keepNext/>
      <w:tabs>
        <w:tab w:val="num" w:pos="360"/>
      </w:tabs>
    </w:pPr>
    <w:rPr>
      <w:rFonts w:eastAsiaTheme="minorEastAsia"/>
      <w:b/>
      <w:sz w:val="22"/>
    </w:rPr>
  </w:style>
  <w:style w:type="paragraph" w:customStyle="1" w:styleId="Diagram">
    <w:name w:val="Diagram"/>
    <w:basedOn w:val="Normal"/>
    <w:next w:val="Normal"/>
    <w:rsid w:val="00A1351E"/>
    <w:pPr>
      <w:keepNext/>
      <w:tabs>
        <w:tab w:val="num" w:pos="360"/>
      </w:tabs>
      <w:spacing w:before="0" w:after="0"/>
    </w:pPr>
    <w:rPr>
      <w:rFonts w:eastAsiaTheme="minorEastAsia"/>
      <w:b/>
      <w:sz w:val="22"/>
    </w:rPr>
  </w:style>
  <w:style w:type="character" w:customStyle="1" w:styleId="base-text-paragraphChar">
    <w:name w:val="base-text-paragraph Char"/>
    <w:basedOn w:val="DefaultParagraphFont"/>
    <w:link w:val="base-text-paragraph"/>
    <w:rsid w:val="00A1351E"/>
    <w:rPr>
      <w:sz w:val="24"/>
    </w:rPr>
  </w:style>
  <w:style w:type="numbering" w:customStyle="1" w:styleId="ChapterList">
    <w:name w:val="ChapterList"/>
    <w:uiPriority w:val="99"/>
    <w:rsid w:val="00A1351E"/>
    <w:pPr>
      <w:numPr>
        <w:numId w:val="5"/>
      </w:numPr>
    </w:pPr>
  </w:style>
  <w:style w:type="paragraph" w:styleId="Header">
    <w:name w:val="header"/>
    <w:basedOn w:val="Normal"/>
    <w:link w:val="HeaderChar"/>
    <w:uiPriority w:val="99"/>
    <w:unhideWhenUsed/>
    <w:rsid w:val="00582BF5"/>
    <w:pPr>
      <w:tabs>
        <w:tab w:val="center" w:pos="4513"/>
        <w:tab w:val="right" w:pos="9026"/>
      </w:tabs>
      <w:spacing w:before="0" w:after="0"/>
    </w:pPr>
  </w:style>
  <w:style w:type="character" w:customStyle="1" w:styleId="HeaderChar">
    <w:name w:val="Header Char"/>
    <w:basedOn w:val="DefaultParagraphFont"/>
    <w:link w:val="Header"/>
    <w:uiPriority w:val="99"/>
    <w:rsid w:val="00582BF5"/>
    <w:rPr>
      <w:sz w:val="24"/>
    </w:rPr>
  </w:style>
  <w:style w:type="paragraph" w:styleId="Footer">
    <w:name w:val="footer"/>
    <w:basedOn w:val="Normal"/>
    <w:link w:val="FooterChar"/>
    <w:uiPriority w:val="99"/>
    <w:unhideWhenUsed/>
    <w:rsid w:val="00582BF5"/>
    <w:pPr>
      <w:tabs>
        <w:tab w:val="center" w:pos="4513"/>
        <w:tab w:val="right" w:pos="9026"/>
      </w:tabs>
      <w:spacing w:before="0" w:after="0"/>
    </w:pPr>
  </w:style>
  <w:style w:type="character" w:customStyle="1" w:styleId="FooterChar">
    <w:name w:val="Footer Char"/>
    <w:basedOn w:val="DefaultParagraphFont"/>
    <w:link w:val="Footer"/>
    <w:uiPriority w:val="99"/>
    <w:rsid w:val="00582BF5"/>
    <w:rPr>
      <w:sz w:val="24"/>
    </w:rPr>
  </w:style>
  <w:style w:type="character" w:styleId="CommentReference">
    <w:name w:val="annotation reference"/>
    <w:basedOn w:val="DefaultParagraphFont"/>
    <w:uiPriority w:val="99"/>
    <w:semiHidden/>
    <w:unhideWhenUsed/>
    <w:rsid w:val="0045730F"/>
    <w:rPr>
      <w:sz w:val="16"/>
      <w:szCs w:val="16"/>
    </w:rPr>
  </w:style>
  <w:style w:type="paragraph" w:styleId="CommentText">
    <w:name w:val="annotation text"/>
    <w:basedOn w:val="Normal"/>
    <w:link w:val="CommentTextChar"/>
    <w:uiPriority w:val="99"/>
    <w:semiHidden/>
    <w:unhideWhenUsed/>
    <w:rsid w:val="0045730F"/>
    <w:rPr>
      <w:sz w:val="20"/>
    </w:rPr>
  </w:style>
  <w:style w:type="character" w:customStyle="1" w:styleId="CommentTextChar">
    <w:name w:val="Comment Text Char"/>
    <w:basedOn w:val="DefaultParagraphFont"/>
    <w:link w:val="CommentText"/>
    <w:uiPriority w:val="99"/>
    <w:semiHidden/>
    <w:rsid w:val="0045730F"/>
  </w:style>
  <w:style w:type="paragraph" w:styleId="CommentSubject">
    <w:name w:val="annotation subject"/>
    <w:basedOn w:val="CommentText"/>
    <w:next w:val="CommentText"/>
    <w:link w:val="CommentSubjectChar"/>
    <w:uiPriority w:val="99"/>
    <w:semiHidden/>
    <w:unhideWhenUsed/>
    <w:rsid w:val="0045730F"/>
    <w:rPr>
      <w:b/>
      <w:bCs/>
    </w:rPr>
  </w:style>
  <w:style w:type="character" w:customStyle="1" w:styleId="CommentSubjectChar">
    <w:name w:val="Comment Subject Char"/>
    <w:basedOn w:val="CommentTextChar"/>
    <w:link w:val="CommentSubject"/>
    <w:uiPriority w:val="99"/>
    <w:semiHidden/>
    <w:rsid w:val="004573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 Char Char1"/>
    <w:basedOn w:val="DefaultParagraphFont"/>
    <w:link w:val="FootnoteText"/>
    <w:semiHidden/>
    <w:locked/>
    <w:rsid w:val="00A1351E"/>
    <w:rPr>
      <w:rFonts w:ascii="Arial" w:hAnsi="Arial" w:cs="Arial"/>
      <w:sz w:val="18"/>
    </w:rPr>
  </w:style>
  <w:style w:type="paragraph" w:styleId="FootnoteText">
    <w:name w:val="footnote text"/>
    <w:aliases w:val="Footnote Text Char1 Char,Footnote Text Char Char Char,Footnote Text Char1 Char Char Char,Footnote Text Char Char Char Char Char,Footnote Text Char2 Char Char Char Char Char,Footnote Text Char Char,fn"/>
    <w:basedOn w:val="Normal"/>
    <w:link w:val="FootnoteTextChar"/>
    <w:semiHidden/>
    <w:unhideWhenUsed/>
    <w:rsid w:val="00A1351E"/>
    <w:pPr>
      <w:tabs>
        <w:tab w:val="left" w:pos="425"/>
      </w:tabs>
      <w:spacing w:before="0" w:after="60"/>
      <w:ind w:left="425" w:right="567" w:hanging="425"/>
    </w:pPr>
    <w:rPr>
      <w:rFonts w:ascii="Arial" w:hAnsi="Arial" w:cs="Arial"/>
      <w:sz w:val="18"/>
    </w:rPr>
  </w:style>
  <w:style w:type="character" w:customStyle="1" w:styleId="FootnoteTextChar1">
    <w:name w:val="Footnote Text Char1"/>
    <w:basedOn w:val="DefaultParagraphFont"/>
    <w:uiPriority w:val="99"/>
    <w:semiHidden/>
    <w:rsid w:val="00A1351E"/>
  </w:style>
  <w:style w:type="character" w:customStyle="1" w:styleId="NumberLevel1Char">
    <w:name w:val="Number Level 1 Char"/>
    <w:link w:val="NumberLevel1"/>
    <w:locked/>
    <w:rsid w:val="00A1351E"/>
    <w:rPr>
      <w:rFonts w:ascii="Arial" w:hAnsi="Arial" w:cs="Arial"/>
    </w:rPr>
  </w:style>
  <w:style w:type="paragraph" w:customStyle="1" w:styleId="NumberLevel1">
    <w:name w:val="Number Level 1"/>
    <w:aliases w:val="N1"/>
    <w:basedOn w:val="Normal"/>
    <w:link w:val="NumberLevel1Char"/>
    <w:qFormat/>
    <w:rsid w:val="00A1351E"/>
    <w:pPr>
      <w:numPr>
        <w:numId w:val="3"/>
      </w:numPr>
      <w:spacing w:before="140" w:after="140" w:line="280" w:lineRule="atLeast"/>
    </w:pPr>
    <w:rPr>
      <w:rFonts w:ascii="Arial" w:hAnsi="Arial" w:cs="Arial"/>
      <w:sz w:val="20"/>
    </w:rPr>
  </w:style>
  <w:style w:type="paragraph" w:customStyle="1" w:styleId="NumberLevel2">
    <w:name w:val="Number Level 2"/>
    <w:aliases w:val="N2"/>
    <w:basedOn w:val="Normal"/>
    <w:qFormat/>
    <w:rsid w:val="00A1351E"/>
    <w:pPr>
      <w:numPr>
        <w:ilvl w:val="1"/>
        <w:numId w:val="3"/>
      </w:numPr>
      <w:spacing w:before="140" w:after="140" w:line="280" w:lineRule="atLeast"/>
    </w:pPr>
    <w:rPr>
      <w:rFonts w:ascii="Arial" w:hAnsi="Arial" w:cs="Arial"/>
      <w:sz w:val="22"/>
      <w:szCs w:val="22"/>
    </w:rPr>
  </w:style>
  <w:style w:type="paragraph" w:customStyle="1" w:styleId="NumberLevel3">
    <w:name w:val="Number Level 3"/>
    <w:aliases w:val="N3"/>
    <w:basedOn w:val="Normal"/>
    <w:qFormat/>
    <w:rsid w:val="00A1351E"/>
    <w:pPr>
      <w:numPr>
        <w:ilvl w:val="2"/>
        <w:numId w:val="3"/>
      </w:numPr>
      <w:spacing w:before="140" w:after="140" w:line="280" w:lineRule="atLeast"/>
    </w:pPr>
    <w:rPr>
      <w:rFonts w:ascii="Arial" w:hAnsi="Arial" w:cs="Arial"/>
      <w:sz w:val="22"/>
      <w:szCs w:val="22"/>
    </w:rPr>
  </w:style>
  <w:style w:type="paragraph" w:customStyle="1" w:styleId="NumberLevel4">
    <w:name w:val="Number Level 4"/>
    <w:aliases w:val="N4"/>
    <w:basedOn w:val="Normal"/>
    <w:qFormat/>
    <w:rsid w:val="00A1351E"/>
    <w:pPr>
      <w:numPr>
        <w:ilvl w:val="3"/>
        <w:numId w:val="3"/>
      </w:numPr>
      <w:spacing w:before="0" w:after="140" w:line="280" w:lineRule="atLeast"/>
    </w:pPr>
    <w:rPr>
      <w:rFonts w:ascii="Arial" w:hAnsi="Arial" w:cs="Arial"/>
      <w:sz w:val="22"/>
      <w:szCs w:val="22"/>
    </w:rPr>
  </w:style>
  <w:style w:type="paragraph" w:customStyle="1" w:styleId="NumberLevel5">
    <w:name w:val="Number Level 5"/>
    <w:aliases w:val="N5"/>
    <w:basedOn w:val="Normal"/>
    <w:semiHidden/>
    <w:rsid w:val="00A1351E"/>
    <w:pPr>
      <w:numPr>
        <w:ilvl w:val="4"/>
        <w:numId w:val="3"/>
      </w:numPr>
      <w:spacing w:before="0" w:after="140" w:line="280" w:lineRule="atLeast"/>
    </w:pPr>
    <w:rPr>
      <w:rFonts w:ascii="Arial" w:hAnsi="Arial" w:cs="Arial"/>
      <w:sz w:val="22"/>
      <w:szCs w:val="22"/>
    </w:rPr>
  </w:style>
  <w:style w:type="paragraph" w:customStyle="1" w:styleId="NumberLevel6">
    <w:name w:val="Number Level 6"/>
    <w:basedOn w:val="NumberLevel5"/>
    <w:semiHidden/>
    <w:rsid w:val="00A1351E"/>
    <w:pPr>
      <w:numPr>
        <w:ilvl w:val="5"/>
      </w:numPr>
    </w:pPr>
  </w:style>
  <w:style w:type="paragraph" w:customStyle="1" w:styleId="NumberLevel7">
    <w:name w:val="Number Level 7"/>
    <w:basedOn w:val="NumberLevel6"/>
    <w:semiHidden/>
    <w:rsid w:val="00A1351E"/>
    <w:pPr>
      <w:numPr>
        <w:ilvl w:val="6"/>
      </w:numPr>
    </w:pPr>
  </w:style>
  <w:style w:type="paragraph" w:customStyle="1" w:styleId="NumberLevel8">
    <w:name w:val="Number Level 8"/>
    <w:basedOn w:val="NumberLevel7"/>
    <w:semiHidden/>
    <w:rsid w:val="00A1351E"/>
    <w:pPr>
      <w:numPr>
        <w:ilvl w:val="7"/>
      </w:numPr>
    </w:pPr>
  </w:style>
  <w:style w:type="paragraph" w:customStyle="1" w:styleId="NumberLevel9">
    <w:name w:val="Number Level 9"/>
    <w:basedOn w:val="NumberLevel8"/>
    <w:semiHidden/>
    <w:rsid w:val="00A1351E"/>
    <w:pPr>
      <w:numPr>
        <w:ilvl w:val="8"/>
      </w:numPr>
    </w:pPr>
  </w:style>
  <w:style w:type="paragraph" w:customStyle="1" w:styleId="Quotation">
    <w:name w:val="Quotation"/>
    <w:basedOn w:val="Normal"/>
    <w:semiHidden/>
    <w:rsid w:val="00A1351E"/>
    <w:pPr>
      <w:numPr>
        <w:numId w:val="4"/>
      </w:numPr>
      <w:spacing w:before="0" w:after="140" w:line="260" w:lineRule="atLeast"/>
    </w:pPr>
    <w:rPr>
      <w:rFonts w:ascii="Arial" w:hAnsi="Arial" w:cs="Arial"/>
      <w:sz w:val="20"/>
      <w:szCs w:val="22"/>
    </w:rPr>
  </w:style>
  <w:style w:type="character" w:customStyle="1" w:styleId="Quotation1Char">
    <w:name w:val="Quotation 1 Char"/>
    <w:basedOn w:val="DefaultParagraphFont"/>
    <w:link w:val="Quotation1"/>
    <w:locked/>
    <w:rsid w:val="00A1351E"/>
    <w:rPr>
      <w:rFonts w:ascii="Arial" w:hAnsi="Arial" w:cs="Arial"/>
    </w:rPr>
  </w:style>
  <w:style w:type="paragraph" w:customStyle="1" w:styleId="Quotation1">
    <w:name w:val="Quotation 1"/>
    <w:aliases w:val="&quot;Q&quot;"/>
    <w:basedOn w:val="Normal"/>
    <w:link w:val="Quotation1Char"/>
    <w:qFormat/>
    <w:rsid w:val="00A1351E"/>
    <w:pPr>
      <w:numPr>
        <w:ilvl w:val="1"/>
        <w:numId w:val="4"/>
      </w:numPr>
      <w:spacing w:before="0" w:after="140" w:line="260" w:lineRule="atLeast"/>
    </w:pPr>
    <w:rPr>
      <w:rFonts w:ascii="Arial" w:hAnsi="Arial" w:cs="Arial"/>
      <w:sz w:val="20"/>
    </w:rPr>
  </w:style>
  <w:style w:type="paragraph" w:customStyle="1" w:styleId="Quotation2">
    <w:name w:val="Quotation 2"/>
    <w:basedOn w:val="Normal"/>
    <w:semiHidden/>
    <w:rsid w:val="00A1351E"/>
    <w:pPr>
      <w:numPr>
        <w:ilvl w:val="2"/>
        <w:numId w:val="4"/>
      </w:numPr>
      <w:spacing w:before="0" w:after="140" w:line="260" w:lineRule="atLeast"/>
    </w:pPr>
    <w:rPr>
      <w:rFonts w:ascii="Arial" w:hAnsi="Arial" w:cs="Arial"/>
      <w:sz w:val="20"/>
      <w:szCs w:val="22"/>
    </w:rPr>
  </w:style>
  <w:style w:type="paragraph" w:customStyle="1" w:styleId="Quotation3">
    <w:name w:val="Quotation 3"/>
    <w:basedOn w:val="Normal"/>
    <w:semiHidden/>
    <w:rsid w:val="00A1351E"/>
    <w:pPr>
      <w:numPr>
        <w:ilvl w:val="3"/>
        <w:numId w:val="4"/>
      </w:numPr>
      <w:spacing w:before="0" w:after="140" w:line="260" w:lineRule="atLeast"/>
    </w:pPr>
    <w:rPr>
      <w:rFonts w:ascii="Arial" w:hAnsi="Arial" w:cs="Arial"/>
      <w:sz w:val="20"/>
      <w:szCs w:val="22"/>
    </w:rPr>
  </w:style>
  <w:style w:type="paragraph" w:customStyle="1" w:styleId="Quotation4">
    <w:name w:val="Quotation 4"/>
    <w:basedOn w:val="Normal"/>
    <w:semiHidden/>
    <w:rsid w:val="00A1351E"/>
    <w:pPr>
      <w:numPr>
        <w:ilvl w:val="4"/>
        <w:numId w:val="4"/>
      </w:numPr>
      <w:spacing w:before="0" w:after="140" w:line="260" w:lineRule="atLeast"/>
    </w:pPr>
    <w:rPr>
      <w:rFonts w:ascii="Arial" w:hAnsi="Arial" w:cs="Arial"/>
      <w:sz w:val="20"/>
      <w:szCs w:val="22"/>
    </w:rPr>
  </w:style>
  <w:style w:type="paragraph" w:customStyle="1" w:styleId="Quotation5">
    <w:name w:val="Quotation 5"/>
    <w:basedOn w:val="Normal"/>
    <w:semiHidden/>
    <w:rsid w:val="00A1351E"/>
    <w:pPr>
      <w:numPr>
        <w:ilvl w:val="5"/>
        <w:numId w:val="4"/>
      </w:numPr>
      <w:spacing w:before="0" w:after="140" w:line="260" w:lineRule="atLeast"/>
    </w:pPr>
    <w:rPr>
      <w:rFonts w:ascii="Arial" w:hAnsi="Arial" w:cs="Arial"/>
      <w:sz w:val="20"/>
      <w:szCs w:val="22"/>
    </w:rPr>
  </w:style>
  <w:style w:type="paragraph" w:customStyle="1" w:styleId="Quotation6">
    <w:name w:val="Quotation 6"/>
    <w:basedOn w:val="Normal"/>
    <w:semiHidden/>
    <w:rsid w:val="00A1351E"/>
    <w:pPr>
      <w:numPr>
        <w:ilvl w:val="6"/>
        <w:numId w:val="4"/>
      </w:numPr>
      <w:spacing w:before="0" w:after="140" w:line="260" w:lineRule="atLeast"/>
    </w:pPr>
    <w:rPr>
      <w:rFonts w:ascii="Arial" w:hAnsi="Arial" w:cs="Arial"/>
      <w:sz w:val="20"/>
      <w:szCs w:val="22"/>
    </w:rPr>
  </w:style>
  <w:style w:type="paragraph" w:customStyle="1" w:styleId="Quotation7">
    <w:name w:val="Quotation 7"/>
    <w:basedOn w:val="Normal"/>
    <w:semiHidden/>
    <w:rsid w:val="00A1351E"/>
    <w:pPr>
      <w:numPr>
        <w:ilvl w:val="7"/>
        <w:numId w:val="4"/>
      </w:numPr>
      <w:spacing w:before="0" w:after="140" w:line="260" w:lineRule="atLeast"/>
    </w:pPr>
    <w:rPr>
      <w:rFonts w:ascii="Arial" w:hAnsi="Arial" w:cs="Arial"/>
      <w:sz w:val="20"/>
      <w:szCs w:val="22"/>
    </w:rPr>
  </w:style>
  <w:style w:type="paragraph" w:customStyle="1" w:styleId="Quotation8">
    <w:name w:val="Quotation 8"/>
    <w:basedOn w:val="Normal"/>
    <w:semiHidden/>
    <w:rsid w:val="00A1351E"/>
    <w:pPr>
      <w:numPr>
        <w:ilvl w:val="8"/>
        <w:numId w:val="4"/>
      </w:numPr>
      <w:spacing w:before="0" w:after="140" w:line="260" w:lineRule="atLeast"/>
    </w:pPr>
    <w:rPr>
      <w:rFonts w:ascii="Arial" w:hAnsi="Arial" w:cs="Arial"/>
      <w:sz w:val="20"/>
      <w:szCs w:val="22"/>
    </w:rPr>
  </w:style>
  <w:style w:type="character" w:styleId="FootnoteReference">
    <w:name w:val="footnote reference"/>
    <w:aliases w:val="Footnotes refss,ftref"/>
    <w:basedOn w:val="DefaultParagraphFont"/>
    <w:semiHidden/>
    <w:unhideWhenUsed/>
    <w:rsid w:val="00A1351E"/>
    <w:rPr>
      <w:rFonts w:ascii="Arial" w:hAnsi="Arial" w:cs="Arial" w:hint="default"/>
      <w:b w:val="0"/>
      <w:bCs w:val="0"/>
      <w:i w:val="0"/>
      <w:iCs w:val="0"/>
      <w:sz w:val="22"/>
      <w:vertAlign w:val="superscript"/>
    </w:rPr>
  </w:style>
  <w:style w:type="paragraph" w:customStyle="1" w:styleId="ChapterHeading">
    <w:name w:val="Chapter Heading"/>
    <w:next w:val="Heading2"/>
    <w:rsid w:val="00A1351E"/>
    <w:pPr>
      <w:pBdr>
        <w:top w:val="single" w:sz="4" w:space="1" w:color="auto"/>
        <w:bottom w:val="single" w:sz="4" w:space="1" w:color="auto"/>
      </w:pBdr>
      <w:tabs>
        <w:tab w:val="num" w:pos="1134"/>
      </w:tabs>
      <w:spacing w:before="240" w:line="260" w:lineRule="atLeast"/>
    </w:pPr>
    <w:rPr>
      <w:rFonts w:ascii="Helvetica" w:eastAsiaTheme="minorEastAsia" w:hAnsi="Helvetica"/>
      <w:b/>
      <w:i/>
      <w:sz w:val="38"/>
    </w:rPr>
  </w:style>
  <w:style w:type="paragraph" w:customStyle="1" w:styleId="TableHeadingoutsidetable">
    <w:name w:val="Table Heading (outside table)"/>
    <w:basedOn w:val="Heading4"/>
    <w:rsid w:val="00A1351E"/>
    <w:pPr>
      <w:tabs>
        <w:tab w:val="clear" w:pos="1987"/>
        <w:tab w:val="num" w:pos="360"/>
      </w:tabs>
      <w:ind w:left="1134"/>
    </w:pPr>
    <w:rPr>
      <w:rFonts w:eastAsiaTheme="minorEastAsia"/>
      <w:kern w:val="0"/>
      <w:sz w:val="22"/>
    </w:rPr>
  </w:style>
  <w:style w:type="paragraph" w:customStyle="1" w:styleId="ExampleHeading">
    <w:name w:val="Example Heading"/>
    <w:basedOn w:val="Normal"/>
    <w:next w:val="Normal"/>
    <w:rsid w:val="00A1351E"/>
    <w:pPr>
      <w:keepNext/>
      <w:tabs>
        <w:tab w:val="num" w:pos="360"/>
      </w:tabs>
    </w:pPr>
    <w:rPr>
      <w:rFonts w:eastAsiaTheme="minorEastAsia"/>
      <w:b/>
      <w:sz w:val="22"/>
    </w:rPr>
  </w:style>
  <w:style w:type="paragraph" w:customStyle="1" w:styleId="Diagram">
    <w:name w:val="Diagram"/>
    <w:basedOn w:val="Normal"/>
    <w:next w:val="Normal"/>
    <w:rsid w:val="00A1351E"/>
    <w:pPr>
      <w:keepNext/>
      <w:tabs>
        <w:tab w:val="num" w:pos="360"/>
      </w:tabs>
      <w:spacing w:before="0" w:after="0"/>
    </w:pPr>
    <w:rPr>
      <w:rFonts w:eastAsiaTheme="minorEastAsia"/>
      <w:b/>
      <w:sz w:val="22"/>
    </w:rPr>
  </w:style>
  <w:style w:type="character" w:customStyle="1" w:styleId="base-text-paragraphChar">
    <w:name w:val="base-text-paragraph Char"/>
    <w:basedOn w:val="DefaultParagraphFont"/>
    <w:link w:val="base-text-paragraph"/>
    <w:rsid w:val="00A1351E"/>
    <w:rPr>
      <w:sz w:val="24"/>
    </w:rPr>
  </w:style>
  <w:style w:type="numbering" w:customStyle="1" w:styleId="ChapterList">
    <w:name w:val="ChapterList"/>
    <w:uiPriority w:val="99"/>
    <w:rsid w:val="00A1351E"/>
    <w:pPr>
      <w:numPr>
        <w:numId w:val="5"/>
      </w:numPr>
    </w:pPr>
  </w:style>
  <w:style w:type="paragraph" w:styleId="Header">
    <w:name w:val="header"/>
    <w:basedOn w:val="Normal"/>
    <w:link w:val="HeaderChar"/>
    <w:uiPriority w:val="99"/>
    <w:unhideWhenUsed/>
    <w:rsid w:val="00582BF5"/>
    <w:pPr>
      <w:tabs>
        <w:tab w:val="center" w:pos="4513"/>
        <w:tab w:val="right" w:pos="9026"/>
      </w:tabs>
      <w:spacing w:before="0" w:after="0"/>
    </w:pPr>
  </w:style>
  <w:style w:type="character" w:customStyle="1" w:styleId="HeaderChar">
    <w:name w:val="Header Char"/>
    <w:basedOn w:val="DefaultParagraphFont"/>
    <w:link w:val="Header"/>
    <w:uiPriority w:val="99"/>
    <w:rsid w:val="00582BF5"/>
    <w:rPr>
      <w:sz w:val="24"/>
    </w:rPr>
  </w:style>
  <w:style w:type="paragraph" w:styleId="Footer">
    <w:name w:val="footer"/>
    <w:basedOn w:val="Normal"/>
    <w:link w:val="FooterChar"/>
    <w:uiPriority w:val="99"/>
    <w:unhideWhenUsed/>
    <w:rsid w:val="00582BF5"/>
    <w:pPr>
      <w:tabs>
        <w:tab w:val="center" w:pos="4513"/>
        <w:tab w:val="right" w:pos="9026"/>
      </w:tabs>
      <w:spacing w:before="0" w:after="0"/>
    </w:pPr>
  </w:style>
  <w:style w:type="character" w:customStyle="1" w:styleId="FooterChar">
    <w:name w:val="Footer Char"/>
    <w:basedOn w:val="DefaultParagraphFont"/>
    <w:link w:val="Footer"/>
    <w:uiPriority w:val="99"/>
    <w:rsid w:val="00582BF5"/>
    <w:rPr>
      <w:sz w:val="24"/>
    </w:rPr>
  </w:style>
  <w:style w:type="character" w:styleId="CommentReference">
    <w:name w:val="annotation reference"/>
    <w:basedOn w:val="DefaultParagraphFont"/>
    <w:uiPriority w:val="99"/>
    <w:semiHidden/>
    <w:unhideWhenUsed/>
    <w:rsid w:val="0045730F"/>
    <w:rPr>
      <w:sz w:val="16"/>
      <w:szCs w:val="16"/>
    </w:rPr>
  </w:style>
  <w:style w:type="paragraph" w:styleId="CommentText">
    <w:name w:val="annotation text"/>
    <w:basedOn w:val="Normal"/>
    <w:link w:val="CommentTextChar"/>
    <w:uiPriority w:val="99"/>
    <w:semiHidden/>
    <w:unhideWhenUsed/>
    <w:rsid w:val="0045730F"/>
    <w:rPr>
      <w:sz w:val="20"/>
    </w:rPr>
  </w:style>
  <w:style w:type="character" w:customStyle="1" w:styleId="CommentTextChar">
    <w:name w:val="Comment Text Char"/>
    <w:basedOn w:val="DefaultParagraphFont"/>
    <w:link w:val="CommentText"/>
    <w:uiPriority w:val="99"/>
    <w:semiHidden/>
    <w:rsid w:val="0045730F"/>
  </w:style>
  <w:style w:type="paragraph" w:styleId="CommentSubject">
    <w:name w:val="annotation subject"/>
    <w:basedOn w:val="CommentText"/>
    <w:next w:val="CommentText"/>
    <w:link w:val="CommentSubjectChar"/>
    <w:uiPriority w:val="99"/>
    <w:semiHidden/>
    <w:unhideWhenUsed/>
    <w:rsid w:val="0045730F"/>
    <w:rPr>
      <w:b/>
      <w:bCs/>
    </w:rPr>
  </w:style>
  <w:style w:type="character" w:customStyle="1" w:styleId="CommentSubjectChar">
    <w:name w:val="Comment Subject Char"/>
    <w:basedOn w:val="CommentTextChar"/>
    <w:link w:val="CommentSubject"/>
    <w:uiPriority w:val="99"/>
    <w:semiHidden/>
    <w:rsid w:val="004573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f7bc583-7cbe-45b9-a2bd-8bbb6543b37e">
      <Value>31</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 xmlns="9f7bc583-7cbe-45b9-a2bd-8bbb6543b37e">2015RG-86-17586</_dlc_DocId>
    <_dlc_DocIdUrl xmlns="9f7bc583-7cbe-45b9-a2bd-8bbb6543b37e">
      <Url>http://tweb/sites/rg/ldp/lmu/_layouts/15/DocIdRedir.aspx?ID=2015RG-86-17586</Url>
      <Description>2015RG-86-17586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21" ma:contentTypeDescription=" " ma:contentTypeScope="" ma:versionID="fc53f4eae6d7a637556b75822d443a4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c6e96ee77066bd5557fbaaddbe36586c"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0F7E8-CB95-424E-9BE5-AF30B362C878}">
  <ds:schemaRefs>
    <ds:schemaRef ds:uri="http://www.w3.org/XML/1998/namespace"/>
    <ds:schemaRef ds:uri="http://schemas.microsoft.com/sharepoint/v3"/>
    <ds:schemaRef ds:uri="http://schemas.microsoft.com/sharepoint/v4"/>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9f7bc583-7cbe-45b9-a2bd-8bbb6543b37e"/>
    <ds:schemaRef ds:uri="http://schemas.microsoft.com/office/2006/metadata/properties"/>
  </ds:schemaRefs>
</ds:datastoreItem>
</file>

<file path=customXml/itemProps2.xml><?xml version="1.0" encoding="utf-8"?>
<ds:datastoreItem xmlns:ds="http://schemas.openxmlformats.org/officeDocument/2006/customXml" ds:itemID="{FFB824DA-B1A5-486E-A2EF-289681A07C24}">
  <ds:schemaRefs>
    <ds:schemaRef ds:uri="http://schemas.microsoft.com/sharepoint/v3/contenttype/forms"/>
  </ds:schemaRefs>
</ds:datastoreItem>
</file>

<file path=customXml/itemProps3.xml><?xml version="1.0" encoding="utf-8"?>
<ds:datastoreItem xmlns:ds="http://schemas.openxmlformats.org/officeDocument/2006/customXml" ds:itemID="{71DD4CAB-FECD-4249-9E35-9D749E2E5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44356-872B-4289-9468-47449F64F75E}">
  <ds:schemaRefs>
    <ds:schemaRef ds:uri="http://schemas.microsoft.com/sharepoint/events"/>
  </ds:schemaRefs>
</ds:datastoreItem>
</file>

<file path=customXml/itemProps5.xml><?xml version="1.0" encoding="utf-8"?>
<ds:datastoreItem xmlns:ds="http://schemas.openxmlformats.org/officeDocument/2006/customXml" ds:itemID="{7DFAC392-6992-4F21-85F5-B4B5AB4C1CD9}">
  <ds:schemaRefs>
    <ds:schemaRef ds:uri="office.server.policy"/>
  </ds:schemaRefs>
</ds:datastoreItem>
</file>

<file path=customXml/itemProps6.xml><?xml version="1.0" encoding="utf-8"?>
<ds:datastoreItem xmlns:ds="http://schemas.openxmlformats.org/officeDocument/2006/customXml" ds:itemID="{54882B15-7779-4F2B-A096-E75ADBC6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ExCo-Explanatory Statement.dotm</Template>
  <TotalTime>1</TotalTime>
  <Pages>7</Pages>
  <Words>2178</Words>
  <Characters>11974</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151116 ES Foreign Acquisitions and Takeovers Legislation Amendment Regulation 2015</vt:lpstr>
    </vt:vector>
  </TitlesOfParts>
  <Company>ATO</Company>
  <LinksUpToDate>false</LinksUpToDate>
  <CharactersWithSpaces>14124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151116 ES Foreign Acquisitions and Takeovers Legislation Amendment Regulation 2015</dc:title>
  <dc:creator>Sutton, Emilie</dc:creator>
  <cp:lastModifiedBy>Alabaster, John</cp:lastModifiedBy>
  <cp:revision>2</cp:revision>
  <cp:lastPrinted>2015-11-10T22:49:00Z</cp:lastPrinted>
  <dcterms:created xsi:type="dcterms:W3CDTF">2015-11-25T21:49:00Z</dcterms:created>
  <dcterms:modified xsi:type="dcterms:W3CDTF">2015-11-25T21:49:00Z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1328282335</vt:i4>
  </property>
  <property fmtid="{D5CDD505-2E9C-101B-9397-08002B2CF9AE}" pid="3" name="_NewReviewCycle">
    <vt:lpwstr/>
  </property>
  <property fmtid="{D5CDD505-2E9C-101B-9397-08002B2CF9AE}" pid="4" name="_EmailSubject">
    <vt:lpwstr>Foreign investment reform package: Regulation/Rules finals - minus main</vt:lpwstr>
  </property>
  <property fmtid="{D5CDD505-2E9C-101B-9397-08002B2CF9AE}" pid="5" name="_AuthorEmail">
    <vt:lpwstr>Andrew.Callaway@TREASURY.GOV.AU</vt:lpwstr>
  </property>
  <property fmtid="{D5CDD505-2E9C-101B-9397-08002B2CF9AE}" pid="6" name="_AuthorEmailDisplayName">
    <vt:lpwstr>Callaway, Andrew</vt:lpwstr>
  </property>
  <property fmtid="{D5CDD505-2E9C-101B-9397-08002B2CF9AE}" pid="7" name="ContentTypeId">
    <vt:lpwstr>0x01010036BB8DE7EC542E42A8B2E98CC20CB69700A0A840AFAB52624689FA9AA81E9EF0D1</vt:lpwstr>
  </property>
  <property fmtid="{D5CDD505-2E9C-101B-9397-08002B2CF9AE}" pid="8" name="RecordPoint_ActiveItemUniqueId">
    <vt:lpwstr>{5706549c-162d-4944-873e-b0e39302f0b9}</vt:lpwstr>
  </property>
  <property fmtid="{D5CDD505-2E9C-101B-9397-08002B2CF9AE}" pid="9" name="RecordPoint_SubmissionCompleted">
    <vt:lpwstr>2015-11-16T15:56:48.0303990+11:00</vt:lpwstr>
  </property>
  <property fmtid="{D5CDD505-2E9C-101B-9397-08002B2CF9AE}" pid="10" name="TSYRecordClass">
    <vt:lpwstr>11</vt:lpwstr>
  </property>
  <property fmtid="{D5CDD505-2E9C-101B-9397-08002B2CF9AE}" pid="11" name="RecordPoint_WorkflowType">
    <vt:lpwstr>ActiveSubmitStub</vt:lpwstr>
  </property>
  <property fmtid="{D5CDD505-2E9C-101B-9397-08002B2CF9AE}" pid="12" name="_dlc_DocIdItemGuid">
    <vt:lpwstr>43c38e57-ab5a-423f-8cec-8d0f9d274c80</vt:lpwstr>
  </property>
  <property fmtid="{D5CDD505-2E9C-101B-9397-08002B2CF9AE}" pid="13" name="RecordPoint_ActiveItemWebId">
    <vt:lpwstr>{31eac4f3-160a-4a13-a9a0-2808d5b44bbf}</vt:lpwstr>
  </property>
  <property fmtid="{D5CDD505-2E9C-101B-9397-08002B2CF9AE}" pid="14" name="RecordPoint_ActiveItemSiteId">
    <vt:lpwstr>{08cedf7d-7ad2-4b81-a81f-47e3ec332c41}</vt:lpwstr>
  </property>
  <property fmtid="{D5CDD505-2E9C-101B-9397-08002B2CF9AE}" pid="15" name="RecordPoint_ActiveItemListId">
    <vt:lpwstr>{fe648906-d97a-4f0a-9d1e-449725c6c5ae}</vt:lpwstr>
  </property>
  <property fmtid="{D5CDD505-2E9C-101B-9397-08002B2CF9AE}" pid="16" name="RecordPoint_RecordNumberSubmitted">
    <vt:lpwstr>R0000228305</vt:lpwstr>
  </property>
  <property fmtid="{D5CDD505-2E9C-101B-9397-08002B2CF9AE}" pid="17" name="_PreviousAdHocReviewCycleID">
    <vt:i4>-2119910230</vt:i4>
  </property>
  <property fmtid="{D5CDD505-2E9C-101B-9397-08002B2CF9AE}" pid="18" name="_ReviewingToolsShownOnce">
    <vt:lpwstr/>
  </property>
</Properties>
</file>