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9FEE4" w14:textId="77777777" w:rsidR="00414BC3" w:rsidRDefault="00414BC3" w:rsidP="00406B00">
      <w:pPr>
        <w:pStyle w:val="CoverTitle"/>
        <w:spacing w:after="600"/>
        <w:jc w:val="center"/>
      </w:pPr>
      <w:r>
        <w:t>Explanatory Statement</w:t>
      </w:r>
    </w:p>
    <w:p w14:paraId="422438AF" w14:textId="67E52DA8" w:rsidR="00414BC3" w:rsidRDefault="000C2542" w:rsidP="000D428B">
      <w:pPr>
        <w:pStyle w:val="CoverTitle"/>
        <w:spacing w:after="3000"/>
        <w:jc w:val="center"/>
      </w:pPr>
      <w:r w:rsidRPr="00347521">
        <w:rPr>
          <w:sz w:val="36"/>
          <w:szCs w:val="36"/>
        </w:rPr>
        <w:t xml:space="preserve">Accounting Standard AASB </w:t>
      </w:r>
      <w:r w:rsidR="00A66A5F">
        <w:rPr>
          <w:sz w:val="36"/>
          <w:szCs w:val="36"/>
        </w:rPr>
        <w:t>2015-</w:t>
      </w:r>
      <w:r w:rsidR="00B15387">
        <w:rPr>
          <w:sz w:val="36"/>
          <w:szCs w:val="36"/>
        </w:rPr>
        <w:t>9</w:t>
      </w:r>
      <w:r>
        <w:rPr>
          <w:sz w:val="36"/>
          <w:szCs w:val="36"/>
        </w:rPr>
        <w:br/>
      </w:r>
      <w:r w:rsidRPr="009A7973">
        <w:rPr>
          <w:i/>
          <w:sz w:val="36"/>
          <w:szCs w:val="36"/>
        </w:rPr>
        <w:t xml:space="preserve">Amendments to </w:t>
      </w:r>
      <w:r w:rsidR="003D0C08">
        <w:rPr>
          <w:i/>
          <w:sz w:val="36"/>
          <w:szCs w:val="36"/>
        </w:rPr>
        <w:t>Australian Accounting Standards</w:t>
      </w:r>
      <w:r w:rsidRPr="009A7973">
        <w:rPr>
          <w:i/>
          <w:sz w:val="36"/>
          <w:szCs w:val="36"/>
        </w:rPr>
        <w:t xml:space="preserve"> –</w:t>
      </w:r>
      <w:r w:rsidR="00BC059F">
        <w:rPr>
          <w:i/>
          <w:sz w:val="36"/>
          <w:szCs w:val="36"/>
        </w:rPr>
        <w:t xml:space="preserve"> </w:t>
      </w:r>
      <w:r w:rsidR="00B15387">
        <w:rPr>
          <w:i/>
          <w:sz w:val="36"/>
          <w:szCs w:val="36"/>
        </w:rPr>
        <w:br/>
        <w:t>Scope and Applic</w:t>
      </w:r>
      <w:r w:rsidR="00714A62">
        <w:rPr>
          <w:i/>
          <w:sz w:val="36"/>
          <w:szCs w:val="36"/>
        </w:rPr>
        <w:t>a</w:t>
      </w:r>
      <w:r w:rsidR="00B15387">
        <w:rPr>
          <w:i/>
          <w:sz w:val="36"/>
          <w:szCs w:val="36"/>
        </w:rPr>
        <w:t>tion Paragraph</w:t>
      </w:r>
      <w:r w:rsidR="00A66A5F">
        <w:rPr>
          <w:i/>
          <w:sz w:val="36"/>
          <w:szCs w:val="36"/>
        </w:rPr>
        <w:t>s</w:t>
      </w:r>
    </w:p>
    <w:p w14:paraId="029F72D6" w14:textId="3FEDEA9B" w:rsidR="00414BC3" w:rsidRPr="00396BCD" w:rsidRDefault="00B15387" w:rsidP="000D428B">
      <w:pPr>
        <w:pStyle w:val="CoverDate"/>
        <w:tabs>
          <w:tab w:val="left" w:pos="3794"/>
          <w:tab w:val="left" w:pos="6232"/>
        </w:tabs>
        <w:spacing w:before="840"/>
        <w:rPr>
          <w:b/>
          <w:sz w:val="28"/>
          <w:szCs w:val="28"/>
        </w:rPr>
      </w:pPr>
      <w:r>
        <w:rPr>
          <w:b/>
          <w:sz w:val="28"/>
          <w:szCs w:val="28"/>
        </w:rPr>
        <w:t>November</w:t>
      </w:r>
      <w:r w:rsidR="00DA0039">
        <w:rPr>
          <w:b/>
          <w:sz w:val="28"/>
          <w:szCs w:val="28"/>
        </w:rPr>
        <w:t xml:space="preserve"> </w:t>
      </w:r>
      <w:r w:rsidR="00225101">
        <w:rPr>
          <w:b/>
          <w:sz w:val="28"/>
          <w:szCs w:val="28"/>
        </w:rPr>
        <w:t>20</w:t>
      </w:r>
      <w:r w:rsidR="00391DC5">
        <w:rPr>
          <w:b/>
          <w:sz w:val="28"/>
          <w:szCs w:val="28"/>
        </w:rPr>
        <w:t>1</w:t>
      </w:r>
      <w:r w:rsidR="00BC059F">
        <w:rPr>
          <w:b/>
          <w:sz w:val="28"/>
          <w:szCs w:val="28"/>
        </w:rPr>
        <w:t>5</w:t>
      </w:r>
    </w:p>
    <w:p w14:paraId="3A052661" w14:textId="77777777" w:rsidR="00414BC3" w:rsidRDefault="00414BC3"/>
    <w:p w14:paraId="729E1847" w14:textId="77777777" w:rsidR="00414BC3" w:rsidRDefault="00414BC3"/>
    <w:p w14:paraId="36163FC0" w14:textId="77777777" w:rsidR="00414BC3" w:rsidRDefault="0085173D">
      <w:pPr>
        <w:sectPr w:rsidR="00414BC3" w:rsidSect="007864FB">
          <w:pgSz w:w="11907" w:h="16840"/>
          <w:pgMar w:top="1134" w:right="1134" w:bottom="1134" w:left="1134" w:header="720" w:footer="3255" w:gutter="0"/>
          <w:paperSrc w:first="58" w:other="58"/>
          <w:cols w:space="720"/>
          <w:docGrid w:linePitch="272"/>
        </w:sectPr>
      </w:pPr>
      <w:r>
        <w:rPr>
          <w:noProof/>
          <w:lang w:val="en-US"/>
        </w:rPr>
        <w:pict w14:anchorId="62EC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9" o:title=""/>
            <w10:wrap anchorx="margin" anchory="margin"/>
            <w10:anchorlock/>
          </v:shape>
          <o:OLEObject Type="Embed" ProgID="Word.Picture.8" ShapeID="_x0000_s1026" DrawAspect="Content" ObjectID="_1508856996" r:id="rId10"/>
        </w:pict>
      </w:r>
    </w:p>
    <w:p w14:paraId="0E986838" w14:textId="77777777" w:rsidR="00414BC3" w:rsidRDefault="00414BC3">
      <w:pPr>
        <w:pStyle w:val="Heading1"/>
      </w:pPr>
      <w:r>
        <w:lastRenderedPageBreak/>
        <w:t>EXPLANATORY STATEMENT</w:t>
      </w:r>
    </w:p>
    <w:p w14:paraId="07E2DA0E" w14:textId="42102651" w:rsidR="000C2542" w:rsidRDefault="000C2542" w:rsidP="000C2542">
      <w:pPr>
        <w:pStyle w:val="Heading2"/>
      </w:pPr>
      <w:r>
        <w:t xml:space="preserve">Reasons for Issuing AASB </w:t>
      </w:r>
      <w:r w:rsidR="006F0B4C">
        <w:t>2015-</w:t>
      </w:r>
      <w:r w:rsidR="00B15387">
        <w:t>9</w:t>
      </w:r>
    </w:p>
    <w:p w14:paraId="69995C7B" w14:textId="73AF3B0F" w:rsidR="00123128" w:rsidRDefault="00B83C69" w:rsidP="00123128">
      <w:pPr>
        <w:pStyle w:val="NoNumPlain1"/>
      </w:pPr>
      <w:r>
        <w:t>AASB 2015-</w:t>
      </w:r>
      <w:r w:rsidR="0028546C">
        <w:t>9</w:t>
      </w:r>
      <w:r w:rsidR="00123128">
        <w:t xml:space="preserve"> makes amendments to </w:t>
      </w:r>
      <w:r w:rsidR="00B15387">
        <w:t xml:space="preserve">the following Australian Accounting </w:t>
      </w:r>
      <w:r w:rsidR="00123128">
        <w:t>Standard</w:t>
      </w:r>
      <w:r w:rsidR="00B15387">
        <w:t>s:</w:t>
      </w:r>
    </w:p>
    <w:p w14:paraId="261EDBA6" w14:textId="63F10C50" w:rsidR="00B15387" w:rsidRDefault="00B15387" w:rsidP="00B15387">
      <w:pPr>
        <w:pStyle w:val="PlainHanging0"/>
      </w:pPr>
      <w:r>
        <w:t>(a)</w:t>
      </w:r>
      <w:r>
        <w:tab/>
        <w:t xml:space="preserve">AASB 8 </w:t>
      </w:r>
      <w:r w:rsidRPr="00E50C1B">
        <w:rPr>
          <w:i/>
        </w:rPr>
        <w:t>Operating Segments</w:t>
      </w:r>
      <w:r>
        <w:t>;</w:t>
      </w:r>
    </w:p>
    <w:p w14:paraId="3172390C" w14:textId="08EFCA8D" w:rsidR="00B15387" w:rsidRDefault="00B15387" w:rsidP="00B15387">
      <w:pPr>
        <w:pStyle w:val="PlainHanging0"/>
      </w:pPr>
      <w:r>
        <w:t>(b)</w:t>
      </w:r>
      <w:r>
        <w:tab/>
        <w:t xml:space="preserve">AASB 133 </w:t>
      </w:r>
      <w:r w:rsidRPr="00E50C1B">
        <w:rPr>
          <w:i/>
        </w:rPr>
        <w:t>Earnings per Share</w:t>
      </w:r>
      <w:r>
        <w:t>; and</w:t>
      </w:r>
    </w:p>
    <w:p w14:paraId="723A272F" w14:textId="57F54058" w:rsidR="00B15387" w:rsidRDefault="00B15387" w:rsidP="00B15387">
      <w:pPr>
        <w:pStyle w:val="PlainHanging0"/>
      </w:pPr>
      <w:r>
        <w:t>(c)</w:t>
      </w:r>
      <w:r>
        <w:tab/>
        <w:t xml:space="preserve">AASB 1057 </w:t>
      </w:r>
      <w:r w:rsidRPr="00E50C1B">
        <w:rPr>
          <w:i/>
        </w:rPr>
        <w:t>Application of Australian Accounting Standards</w:t>
      </w:r>
      <w:r>
        <w:t>.</w:t>
      </w:r>
    </w:p>
    <w:p w14:paraId="09899189" w14:textId="77777777" w:rsidR="00714A62" w:rsidRDefault="00714A62" w:rsidP="00714A62">
      <w:pPr>
        <w:pStyle w:val="Heading2"/>
      </w:pPr>
      <w:r>
        <w:t>Main Features of AASB 2015-9</w:t>
      </w:r>
    </w:p>
    <w:p w14:paraId="7DA0E89E" w14:textId="77777777" w:rsidR="00714A62" w:rsidRDefault="00714A62" w:rsidP="00714A62">
      <w:pPr>
        <w:pStyle w:val="Heading3"/>
      </w:pPr>
      <w:r>
        <w:t>Main Requirements</w:t>
      </w:r>
    </w:p>
    <w:p w14:paraId="577B8385" w14:textId="77777777" w:rsidR="00714A62" w:rsidRDefault="00714A62" w:rsidP="00714A62">
      <w:pPr>
        <w:pStyle w:val="NoNumPlain1"/>
      </w:pPr>
      <w:r>
        <w:t>This Standard inserts scope paragraphs into AASB 8 and AASB 133 in place of application paragraph text in AASB 1057.</w:t>
      </w:r>
    </w:p>
    <w:p w14:paraId="3871709D" w14:textId="7D958A62" w:rsidR="00714A62" w:rsidRDefault="00714A62" w:rsidP="00714A62">
      <w:pPr>
        <w:pStyle w:val="NoNumPlain1"/>
      </w:pPr>
      <w:r>
        <w:t>The AASB reissued AASB 8, AASB 133 and most of the Australian Accounting Standards that incorporate International Financial Reporting Standards (issued by the International Accounting Standards Board) in July and August 2015</w:t>
      </w:r>
      <w:r w:rsidR="0085173D">
        <w:t>,</w:t>
      </w:r>
      <w:r>
        <w:t xml:space="preserve"> to make editorial changes.  Th</w:t>
      </w:r>
      <w:r w:rsidR="0028546C">
        <w:t>os</w:t>
      </w:r>
      <w:bookmarkStart w:id="0" w:name="_GoBack"/>
      <w:bookmarkEnd w:id="0"/>
      <w:r>
        <w:t>e new principal versions do not include Australian application paragraphs, which were included instead in a new Standard, AASB 1057.</w:t>
      </w:r>
    </w:p>
    <w:p w14:paraId="72FA1511" w14:textId="1C91824A" w:rsidR="00714A62" w:rsidRDefault="00714A62" w:rsidP="00714A62">
      <w:pPr>
        <w:pStyle w:val="NoNumPlain1"/>
      </w:pPr>
      <w:r>
        <w:t xml:space="preserve">The application paragraphs in the previous versions of AASB 8 and AASB 133 covered scope paragraphs that appear separately in the corresponding IFRS 8 </w:t>
      </w:r>
      <w:r w:rsidR="0028546C" w:rsidRPr="00E50C1B">
        <w:rPr>
          <w:i/>
        </w:rPr>
        <w:t>Operating Segments</w:t>
      </w:r>
      <w:r w:rsidR="0028546C">
        <w:t xml:space="preserve"> </w:t>
      </w:r>
      <w:r>
        <w:t>and IAS 33</w:t>
      </w:r>
      <w:r w:rsidR="0028546C">
        <w:t xml:space="preserve"> </w:t>
      </w:r>
      <w:r w:rsidR="0028546C" w:rsidRPr="00E50C1B">
        <w:rPr>
          <w:i/>
        </w:rPr>
        <w:t>Earnings per Share</w:t>
      </w:r>
      <w:r>
        <w:t>.  In moving those application paragraphs to AASB 1057</w:t>
      </w:r>
      <w:r w:rsidR="00366A91">
        <w:t xml:space="preserve"> when AASB 8 and AASB 133 were reissued in August</w:t>
      </w:r>
      <w:r>
        <w:t>, the AASB inadvertently deleted the scope details from AASB 8 and AASB 133.  This amending Standard puts the scope details into those Standards</w:t>
      </w:r>
      <w:r w:rsidR="0028546C">
        <w:t>, and removes the related text from AASB 1057</w:t>
      </w:r>
      <w:r>
        <w:t>.</w:t>
      </w:r>
    </w:p>
    <w:p w14:paraId="7F072BCD" w14:textId="100FFB05" w:rsidR="00714A62" w:rsidRDefault="0028546C" w:rsidP="00714A62">
      <w:pPr>
        <w:pStyle w:val="NoNumPlain1"/>
      </w:pPr>
      <w:r>
        <w:t>Consequently, t</w:t>
      </w:r>
      <w:r w:rsidR="00714A62">
        <w:t>here is no change to the requirements or the applicability of AASB 8 and AASB 133.</w:t>
      </w:r>
    </w:p>
    <w:p w14:paraId="370C2755" w14:textId="77777777" w:rsidR="006B5487" w:rsidRDefault="006B5487" w:rsidP="006B5487">
      <w:pPr>
        <w:pStyle w:val="Heading3"/>
      </w:pPr>
      <w:r>
        <w:t>Application Date</w:t>
      </w:r>
    </w:p>
    <w:p w14:paraId="2A2D662F" w14:textId="77777777" w:rsidR="00714A62" w:rsidRPr="0000292B" w:rsidRDefault="00714A62" w:rsidP="00714A62">
      <w:pPr>
        <w:pStyle w:val="NoNumPlain1"/>
      </w:pPr>
      <w:r>
        <w:t>This Standard applies to annual periods beginning on or after 1 January 2016.  Early application is permitted.</w:t>
      </w:r>
    </w:p>
    <w:p w14:paraId="1DCCE060" w14:textId="77777777" w:rsidR="000C2542" w:rsidRPr="001D1FFA" w:rsidRDefault="000C2542" w:rsidP="000C2542">
      <w:pPr>
        <w:pStyle w:val="Heading2"/>
      </w:pPr>
      <w:r w:rsidRPr="001D1FFA">
        <w:t>Consultation Prior to Issuing this Standard</w:t>
      </w:r>
    </w:p>
    <w:p w14:paraId="2D365298" w14:textId="4FC843E6" w:rsidR="00714A62" w:rsidRDefault="00714A62" w:rsidP="00714A62">
      <w:pPr>
        <w:pStyle w:val="NoNumPlain1"/>
        <w:spacing w:after="100"/>
      </w:pPr>
      <w:r>
        <w:t xml:space="preserve">Public consultation was carried out in developing the versions of </w:t>
      </w:r>
      <w:r w:rsidR="0028546C">
        <w:t xml:space="preserve">AASB 8 and AASB 133 </w:t>
      </w:r>
      <w:r>
        <w:t xml:space="preserve">prior to their </w:t>
      </w:r>
      <w:r w:rsidR="0085173D">
        <w:t xml:space="preserve">editorial </w:t>
      </w:r>
      <w:r>
        <w:t>reissue</w:t>
      </w:r>
      <w:r w:rsidR="0028546C">
        <w:t xml:space="preserve"> in August 2015</w:t>
      </w:r>
      <w:r>
        <w:t xml:space="preserve">, including amendments </w:t>
      </w:r>
      <w:r w:rsidR="0085173D">
        <w:t xml:space="preserve">made </w:t>
      </w:r>
      <w:r>
        <w:t xml:space="preserve">to them through </w:t>
      </w:r>
      <w:r w:rsidR="0028546C">
        <w:t xml:space="preserve">other </w:t>
      </w:r>
      <w:r>
        <w:t>amending Standards.  Since the re</w:t>
      </w:r>
      <w:r w:rsidR="003C2758">
        <w:t>v</w:t>
      </w:r>
      <w:r>
        <w:t xml:space="preserve">ised </w:t>
      </w:r>
      <w:r w:rsidR="003C2758">
        <w:t xml:space="preserve">AASB 8 and AASB 133, in conjunction with the application requirements in </w:t>
      </w:r>
      <w:r>
        <w:t>AASB 1057</w:t>
      </w:r>
      <w:r w:rsidR="003C2758">
        <w:t>,</w:t>
      </w:r>
      <w:r>
        <w:t xml:space="preserve"> are the same in substance as the previous versions of the Standards, no specific consultation has b</w:t>
      </w:r>
      <w:r w:rsidR="003C2758">
        <w:t>een required in relation to these amendments</w:t>
      </w:r>
      <w:r>
        <w:t>.</w:t>
      </w:r>
    </w:p>
    <w:p w14:paraId="49E9685F" w14:textId="5D9F0BE5" w:rsidR="000C2542" w:rsidRDefault="003F7D7D" w:rsidP="00682947">
      <w:pPr>
        <w:pStyle w:val="NoNumPlain1"/>
      </w:pPr>
      <w:r w:rsidRPr="007228FA">
        <w:t xml:space="preserve">A Regulation Impact Statement </w:t>
      </w:r>
      <w:r>
        <w:t>has not been prepared in connection with the issue of AASB</w:t>
      </w:r>
      <w:r w:rsidR="007C2638">
        <w:t> </w:t>
      </w:r>
      <w:r w:rsidR="00A80273">
        <w:t>2015-</w:t>
      </w:r>
      <w:r w:rsidR="00714A62">
        <w:t>9</w:t>
      </w:r>
      <w:r>
        <w:t xml:space="preserve"> as the amendments </w:t>
      </w:r>
      <w:r w:rsidR="00725829">
        <w:t>made are of a minor or machinery nature</w:t>
      </w:r>
      <w:r>
        <w:t>.</w:t>
      </w:r>
    </w:p>
    <w:p w14:paraId="1A55E83E" w14:textId="77777777" w:rsidR="000C2542" w:rsidRPr="00B32492" w:rsidRDefault="000C2542" w:rsidP="00E72594">
      <w:pPr>
        <w:keepNext/>
        <w:pageBreakBefore/>
        <w:spacing w:after="200" w:line="280" w:lineRule="exact"/>
        <w:jc w:val="center"/>
        <w:outlineLvl w:val="1"/>
        <w:rPr>
          <w:rFonts w:cs="Arial"/>
          <w:b/>
          <w:iCs/>
          <w:sz w:val="28"/>
          <w:szCs w:val="28"/>
        </w:rPr>
      </w:pPr>
      <w:r w:rsidRPr="00B32492">
        <w:rPr>
          <w:rFonts w:cs="Arial"/>
          <w:b/>
          <w:iCs/>
          <w:sz w:val="28"/>
          <w:szCs w:val="28"/>
        </w:rPr>
        <w:lastRenderedPageBreak/>
        <w:t>Statement of Compatibility with Human Rights</w:t>
      </w:r>
    </w:p>
    <w:p w14:paraId="6CBB634B" w14:textId="77777777" w:rsidR="000C2542" w:rsidRPr="00B32492" w:rsidRDefault="000C2542" w:rsidP="000C2542">
      <w:pPr>
        <w:spacing w:after="200"/>
        <w:jc w:val="center"/>
      </w:pPr>
      <w:r w:rsidRPr="00B32492">
        <w:t xml:space="preserve">Prepared in accordance with Part 3 of the </w:t>
      </w:r>
      <w:r w:rsidRPr="00B32492">
        <w:br/>
      </w:r>
      <w:r w:rsidRPr="00B32492">
        <w:rPr>
          <w:i/>
        </w:rPr>
        <w:t>Human Rights (Parliamentary Scrutiny) Act 2011</w:t>
      </w:r>
    </w:p>
    <w:p w14:paraId="6BDD2D1A" w14:textId="1D8DE737" w:rsidR="00F45E9B" w:rsidRDefault="000C2542" w:rsidP="006B5487">
      <w:pPr>
        <w:keepNext/>
        <w:spacing w:after="360" w:line="240" w:lineRule="exact"/>
        <w:jc w:val="center"/>
        <w:outlineLvl w:val="2"/>
        <w:rPr>
          <w:rFonts w:cs="Arial"/>
          <w:b/>
          <w:bCs/>
          <w:i/>
          <w:iCs/>
          <w:sz w:val="24"/>
          <w:szCs w:val="26"/>
        </w:rPr>
      </w:pPr>
      <w:r w:rsidRPr="00B32492">
        <w:rPr>
          <w:rFonts w:cs="Arial"/>
          <w:b/>
          <w:bCs/>
          <w:iCs/>
          <w:sz w:val="24"/>
          <w:szCs w:val="26"/>
        </w:rPr>
        <w:t xml:space="preserve">Accounting Standard AASB </w:t>
      </w:r>
      <w:r w:rsidR="009520C9">
        <w:rPr>
          <w:rFonts w:cs="Arial"/>
          <w:b/>
          <w:bCs/>
          <w:iCs/>
          <w:sz w:val="24"/>
          <w:szCs w:val="26"/>
        </w:rPr>
        <w:t>2015-</w:t>
      </w:r>
      <w:r w:rsidR="00714A62">
        <w:rPr>
          <w:rFonts w:cs="Arial"/>
          <w:b/>
          <w:bCs/>
          <w:iCs/>
          <w:sz w:val="24"/>
          <w:szCs w:val="26"/>
        </w:rPr>
        <w:t>9</w:t>
      </w:r>
      <w:r w:rsidRPr="00B32492">
        <w:rPr>
          <w:rFonts w:cs="Arial"/>
          <w:b/>
          <w:bCs/>
          <w:iCs/>
          <w:sz w:val="24"/>
          <w:szCs w:val="26"/>
        </w:rPr>
        <w:br/>
      </w:r>
      <w:r w:rsidR="00F45E9B" w:rsidRPr="00F45E9B">
        <w:rPr>
          <w:rFonts w:cs="Arial"/>
          <w:b/>
          <w:bCs/>
          <w:i/>
          <w:iCs/>
          <w:sz w:val="24"/>
          <w:szCs w:val="26"/>
        </w:rPr>
        <w:t xml:space="preserve">Amendments to Australian Accounting Standards – </w:t>
      </w:r>
      <w:r w:rsidR="00714A62" w:rsidRPr="00714A62">
        <w:rPr>
          <w:rFonts w:cs="Arial"/>
          <w:b/>
          <w:bCs/>
          <w:i/>
          <w:iCs/>
          <w:sz w:val="24"/>
          <w:szCs w:val="26"/>
        </w:rPr>
        <w:t>Scope and Application Paragraphs</w:t>
      </w:r>
    </w:p>
    <w:p w14:paraId="1F183E33" w14:textId="77777777" w:rsidR="000C2542" w:rsidRDefault="000C2542" w:rsidP="003F7D7D">
      <w:pPr>
        <w:keepNext/>
        <w:spacing w:after="200" w:line="240" w:lineRule="exact"/>
        <w:outlineLvl w:val="2"/>
        <w:rPr>
          <w:rFonts w:cs="Arial"/>
          <w:b/>
          <w:bCs/>
          <w:iCs/>
          <w:sz w:val="24"/>
          <w:szCs w:val="26"/>
        </w:rPr>
      </w:pPr>
      <w:r w:rsidRPr="00B32492">
        <w:rPr>
          <w:rFonts w:cs="Arial"/>
          <w:b/>
          <w:bCs/>
          <w:iCs/>
          <w:sz w:val="24"/>
          <w:szCs w:val="26"/>
        </w:rPr>
        <w:t>Overview of the Accounting Standard</w:t>
      </w:r>
    </w:p>
    <w:p w14:paraId="09E8C430" w14:textId="54609302" w:rsidR="007A3DD2" w:rsidRDefault="007A3DD2" w:rsidP="007A3DD2">
      <w:pPr>
        <w:pStyle w:val="NoNumPlain1"/>
      </w:pPr>
      <w:r>
        <w:t xml:space="preserve">AASB 2015-9 inserts scope paragraphs into AASB 8 </w:t>
      </w:r>
      <w:r w:rsidRPr="00E50C1B">
        <w:rPr>
          <w:i/>
        </w:rPr>
        <w:t>Operating Segments</w:t>
      </w:r>
      <w:r>
        <w:rPr>
          <w:i/>
        </w:rPr>
        <w:t xml:space="preserve"> </w:t>
      </w:r>
      <w:r>
        <w:t xml:space="preserve">and AASB 133 </w:t>
      </w:r>
      <w:r w:rsidRPr="00E50C1B">
        <w:rPr>
          <w:i/>
        </w:rPr>
        <w:t>Earnings per Share</w:t>
      </w:r>
      <w:r>
        <w:t xml:space="preserve"> in place of application paragraph text in AASB 1057 </w:t>
      </w:r>
      <w:r w:rsidRPr="00E50C1B">
        <w:rPr>
          <w:i/>
        </w:rPr>
        <w:t>Application of Australian Accounting Standards</w:t>
      </w:r>
      <w:r>
        <w:t>.</w:t>
      </w:r>
    </w:p>
    <w:p w14:paraId="41BB0A01" w14:textId="50E1B2CF" w:rsidR="007A3DD2" w:rsidRDefault="007A3DD2" w:rsidP="007A3DD2">
      <w:pPr>
        <w:pStyle w:val="NoNumPlain1"/>
      </w:pPr>
      <w:r>
        <w:t>The AASB reissued AASB 8, AASB 133 and most of the Australian Accounting Standards that incorporate International Financial Reporting Standards (issued by the International Accounting Standards Board) in July and August 2015</w:t>
      </w:r>
      <w:r w:rsidR="0085173D">
        <w:t>,</w:t>
      </w:r>
      <w:r>
        <w:t xml:space="preserve"> to make editorial changes.  Those new principal versions do not include Australian application paragraphs, which were included instead in a new Standard, AASB 1057.</w:t>
      </w:r>
    </w:p>
    <w:p w14:paraId="3F7B946A" w14:textId="77777777" w:rsidR="007A3DD2" w:rsidRDefault="007A3DD2" w:rsidP="007A3DD2">
      <w:pPr>
        <w:pStyle w:val="NoNumPlain1"/>
      </w:pPr>
      <w:r>
        <w:t xml:space="preserve">The application paragraphs in the previous versions of AASB 8 and AASB 133 covered scope paragraphs that appear separately in the corresponding IFRS 8 </w:t>
      </w:r>
      <w:r w:rsidRPr="00E50C1B">
        <w:rPr>
          <w:i/>
        </w:rPr>
        <w:t>Operating Segments</w:t>
      </w:r>
      <w:r>
        <w:t xml:space="preserve"> and IAS 33 </w:t>
      </w:r>
      <w:r w:rsidRPr="00E50C1B">
        <w:rPr>
          <w:i/>
        </w:rPr>
        <w:t>Earnings per Share</w:t>
      </w:r>
      <w:r>
        <w:t>.  In moving those application paragraphs to AASB 1057 when AASB 8 and AASB 133 were reissued in August, the AASB inadvertently deleted the scope details from AASB 8 and AASB 133.  This amending Standard puts the scope details into those Standards, and removes the related text from AASB 1057.</w:t>
      </w:r>
    </w:p>
    <w:p w14:paraId="02F98E5D" w14:textId="77777777" w:rsidR="007A3DD2" w:rsidRDefault="007A3DD2" w:rsidP="007A3DD2">
      <w:pPr>
        <w:pStyle w:val="NoNumPlain1"/>
      </w:pPr>
      <w:r>
        <w:t>Consequently, there is no change to the requirements or the applicability of AASB 8 and AASB 133.</w:t>
      </w:r>
    </w:p>
    <w:p w14:paraId="579B8FDD" w14:textId="77777777" w:rsidR="000C2542" w:rsidRPr="00B32492" w:rsidRDefault="000C2542" w:rsidP="00F45E9B">
      <w:pPr>
        <w:keepNext/>
        <w:spacing w:after="200" w:line="240" w:lineRule="exact"/>
        <w:outlineLvl w:val="2"/>
        <w:rPr>
          <w:rFonts w:cs="Arial"/>
          <w:b/>
          <w:bCs/>
          <w:iCs/>
          <w:sz w:val="24"/>
          <w:szCs w:val="26"/>
        </w:rPr>
      </w:pPr>
      <w:r w:rsidRPr="00B32492">
        <w:rPr>
          <w:rFonts w:cs="Arial"/>
          <w:b/>
          <w:bCs/>
          <w:iCs/>
          <w:sz w:val="24"/>
          <w:szCs w:val="26"/>
        </w:rPr>
        <w:t>Human Rights Implications</w:t>
      </w:r>
    </w:p>
    <w:p w14:paraId="05EB0308" w14:textId="77777777" w:rsidR="000C2542" w:rsidRPr="00B32492" w:rsidRDefault="000C2542" w:rsidP="000C2542">
      <w:pPr>
        <w:spacing w:after="200"/>
      </w:pPr>
      <w:r w:rsidRPr="00B32492">
        <w:t>This Standard is issued by the AASB in furtherance of the objective of facilitating the Australian economy.  It does not diminish or limit any of the applicable human rights or freedoms, and thus does not raise any human rights issues.</w:t>
      </w:r>
    </w:p>
    <w:p w14:paraId="23DFF30B" w14:textId="77777777"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Conclusion</w:t>
      </w:r>
    </w:p>
    <w:p w14:paraId="617BBC1E" w14:textId="77777777" w:rsidR="000C34F1" w:rsidRDefault="000C2542" w:rsidP="00D62FDB">
      <w:pPr>
        <w:spacing w:after="200"/>
      </w:pPr>
      <w:r w:rsidRPr="00B32492">
        <w:t>This Standard is compatible with the human rights and freedoms recognised or declared in the international instruments listed in section</w:t>
      </w:r>
      <w:r w:rsidR="006D04AE">
        <w:t> </w:t>
      </w:r>
      <w:r w:rsidRPr="00B32492">
        <w:t xml:space="preserve">3 of the </w:t>
      </w:r>
      <w:r w:rsidRPr="00B32492">
        <w:rPr>
          <w:i/>
        </w:rPr>
        <w:t>Human Rights (Parliamentary Scrutiny) Act 2011</w:t>
      </w:r>
      <w:r w:rsidRPr="00B32492">
        <w:t>.</w:t>
      </w:r>
    </w:p>
    <w:sectPr w:rsidR="000C34F1" w:rsidSect="007864FB">
      <w:headerReference w:type="even" r:id="rId11"/>
      <w:footerReference w:type="default" r:id="rId12"/>
      <w:pgSz w:w="11907" w:h="16840" w:code="9"/>
      <w:pgMar w:top="1134" w:right="1134" w:bottom="1134" w:left="1134" w:header="720" w:footer="720" w:gutter="0"/>
      <w:paperSrc w:first="1025" w:other="1025"/>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96FA5" w15:done="0"/>
  <w15:commentEx w15:paraId="0D4CD1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5C01A" w14:textId="77777777" w:rsidR="00C130F4" w:rsidRDefault="00C130F4">
      <w:r>
        <w:separator/>
      </w:r>
    </w:p>
  </w:endnote>
  <w:endnote w:type="continuationSeparator" w:id="0">
    <w:p w14:paraId="6685D7BD" w14:textId="77777777" w:rsidR="00C130F4" w:rsidRDefault="00C1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0883" w14:textId="48CC8EC2" w:rsidR="00FD6CED" w:rsidRDefault="00FD6CED" w:rsidP="007864FB">
    <w:pPr>
      <w:pStyle w:val="Footer"/>
      <w:tabs>
        <w:tab w:val="clear" w:pos="3119"/>
        <w:tab w:val="clear" w:pos="6237"/>
        <w:tab w:val="center" w:pos="4820"/>
        <w:tab w:val="right" w:pos="9639"/>
      </w:tabs>
      <w:rPr>
        <w:b/>
      </w:rPr>
    </w:pPr>
    <w:r>
      <w:rPr>
        <w:b/>
      </w:rPr>
      <w:t xml:space="preserve">AASB </w:t>
    </w:r>
    <w:r w:rsidR="00EB5ACE">
      <w:rPr>
        <w:b/>
      </w:rPr>
      <w:t>2015-</w:t>
    </w:r>
    <w:r w:rsidR="00714A62">
      <w:rPr>
        <w:b/>
      </w:rPr>
      <w:t>9</w:t>
    </w:r>
    <w:r>
      <w:rPr>
        <w:b/>
      </w:rPr>
      <w:tab/>
    </w:r>
    <w:r>
      <w:fldChar w:fldCharType="begin"/>
    </w:r>
    <w:r>
      <w:instrText>PAGE</w:instrText>
    </w:r>
    <w:r>
      <w:fldChar w:fldCharType="separate"/>
    </w:r>
    <w:r w:rsidR="0085173D">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78CCD" w14:textId="77777777" w:rsidR="00C130F4" w:rsidRDefault="00C130F4">
      <w:r>
        <w:separator/>
      </w:r>
    </w:p>
  </w:footnote>
  <w:footnote w:type="continuationSeparator" w:id="0">
    <w:p w14:paraId="22DFB21D" w14:textId="77777777" w:rsidR="00C130F4" w:rsidRDefault="00C13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5D53" w14:textId="77777777" w:rsidR="00FD6CED" w:rsidRDefault="00FD6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C797B"/>
    <w:multiLevelType w:val="hybridMultilevel"/>
    <w:tmpl w:val="6864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4063891"/>
    <w:multiLevelType w:val="hybridMultilevel"/>
    <w:tmpl w:val="C07A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5">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CE36F9"/>
    <w:multiLevelType w:val="hybridMultilevel"/>
    <w:tmpl w:val="277E4FC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AE082D"/>
    <w:multiLevelType w:val="hybridMultilevel"/>
    <w:tmpl w:val="C62AD902"/>
    <w:lvl w:ilvl="0" w:tplc="ED72B2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1542243"/>
    <w:multiLevelType w:val="multilevel"/>
    <w:tmpl w:val="BDF015A6"/>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3">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0"/>
  </w:num>
  <w:num w:numId="5">
    <w:abstractNumId w:val="6"/>
  </w:num>
  <w:num w:numId="6">
    <w:abstractNumId w:val="5"/>
  </w:num>
  <w:num w:numId="7">
    <w:abstractNumId w:val="9"/>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2"/>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12CF4"/>
    <w:rsid w:val="0004439B"/>
    <w:rsid w:val="00044F48"/>
    <w:rsid w:val="00055755"/>
    <w:rsid w:val="000623C8"/>
    <w:rsid w:val="0007329C"/>
    <w:rsid w:val="00075626"/>
    <w:rsid w:val="00080331"/>
    <w:rsid w:val="0008234F"/>
    <w:rsid w:val="0008242C"/>
    <w:rsid w:val="00085B62"/>
    <w:rsid w:val="00090D77"/>
    <w:rsid w:val="000936C7"/>
    <w:rsid w:val="0009545C"/>
    <w:rsid w:val="000A15BB"/>
    <w:rsid w:val="000A2A30"/>
    <w:rsid w:val="000C2542"/>
    <w:rsid w:val="000C34F1"/>
    <w:rsid w:val="000C5DA6"/>
    <w:rsid w:val="000D41A4"/>
    <w:rsid w:val="000D428B"/>
    <w:rsid w:val="000E6E09"/>
    <w:rsid w:val="000E7F81"/>
    <w:rsid w:val="000F2911"/>
    <w:rsid w:val="000F4C2A"/>
    <w:rsid w:val="00103C3D"/>
    <w:rsid w:val="00111680"/>
    <w:rsid w:val="001218DE"/>
    <w:rsid w:val="00121C54"/>
    <w:rsid w:val="00123128"/>
    <w:rsid w:val="0012730F"/>
    <w:rsid w:val="00131465"/>
    <w:rsid w:val="00134AB2"/>
    <w:rsid w:val="00140409"/>
    <w:rsid w:val="00144CC0"/>
    <w:rsid w:val="0015670A"/>
    <w:rsid w:val="001639EB"/>
    <w:rsid w:val="00167F34"/>
    <w:rsid w:val="001A3A3D"/>
    <w:rsid w:val="001B4BFA"/>
    <w:rsid w:val="001C47BE"/>
    <w:rsid w:val="001D1FFA"/>
    <w:rsid w:val="001D7DA0"/>
    <w:rsid w:val="001E0872"/>
    <w:rsid w:val="001E0EA2"/>
    <w:rsid w:val="001E3EA4"/>
    <w:rsid w:val="001E4107"/>
    <w:rsid w:val="001F3ED4"/>
    <w:rsid w:val="00200047"/>
    <w:rsid w:val="0020218F"/>
    <w:rsid w:val="0020261B"/>
    <w:rsid w:val="00206A47"/>
    <w:rsid w:val="00225101"/>
    <w:rsid w:val="00230E6D"/>
    <w:rsid w:val="0023104C"/>
    <w:rsid w:val="002346F6"/>
    <w:rsid w:val="00243728"/>
    <w:rsid w:val="00267D86"/>
    <w:rsid w:val="00270E02"/>
    <w:rsid w:val="0027306D"/>
    <w:rsid w:val="002764A6"/>
    <w:rsid w:val="00284D8D"/>
    <w:rsid w:val="0028546C"/>
    <w:rsid w:val="0029669F"/>
    <w:rsid w:val="002C6DE7"/>
    <w:rsid w:val="002D6D7A"/>
    <w:rsid w:val="002E1150"/>
    <w:rsid w:val="002F724F"/>
    <w:rsid w:val="0032467B"/>
    <w:rsid w:val="003329B8"/>
    <w:rsid w:val="003404D5"/>
    <w:rsid w:val="00347521"/>
    <w:rsid w:val="00350DE3"/>
    <w:rsid w:val="00362F19"/>
    <w:rsid w:val="00366A91"/>
    <w:rsid w:val="0037593B"/>
    <w:rsid w:val="0038343F"/>
    <w:rsid w:val="00384832"/>
    <w:rsid w:val="00385E62"/>
    <w:rsid w:val="00386EC6"/>
    <w:rsid w:val="0039164A"/>
    <w:rsid w:val="00391DC5"/>
    <w:rsid w:val="00396BCD"/>
    <w:rsid w:val="003A2519"/>
    <w:rsid w:val="003A5EC1"/>
    <w:rsid w:val="003B292A"/>
    <w:rsid w:val="003B5B3D"/>
    <w:rsid w:val="003C2758"/>
    <w:rsid w:val="003D0C08"/>
    <w:rsid w:val="003E67C0"/>
    <w:rsid w:val="003F7D7D"/>
    <w:rsid w:val="00406B00"/>
    <w:rsid w:val="004113DB"/>
    <w:rsid w:val="00414BC3"/>
    <w:rsid w:val="00416FE6"/>
    <w:rsid w:val="004179BF"/>
    <w:rsid w:val="004209B2"/>
    <w:rsid w:val="00421375"/>
    <w:rsid w:val="00442527"/>
    <w:rsid w:val="00447E4D"/>
    <w:rsid w:val="00450DB2"/>
    <w:rsid w:val="0045573D"/>
    <w:rsid w:val="00457DCC"/>
    <w:rsid w:val="0049252E"/>
    <w:rsid w:val="00493DD4"/>
    <w:rsid w:val="004B0CF3"/>
    <w:rsid w:val="004B4C0E"/>
    <w:rsid w:val="004C1746"/>
    <w:rsid w:val="004C62D2"/>
    <w:rsid w:val="004D2B9B"/>
    <w:rsid w:val="004D2BDB"/>
    <w:rsid w:val="004D41A7"/>
    <w:rsid w:val="005122EE"/>
    <w:rsid w:val="00512F90"/>
    <w:rsid w:val="00521942"/>
    <w:rsid w:val="00526DA0"/>
    <w:rsid w:val="00530118"/>
    <w:rsid w:val="00540E70"/>
    <w:rsid w:val="00565477"/>
    <w:rsid w:val="00570AD8"/>
    <w:rsid w:val="005B238F"/>
    <w:rsid w:val="005B7BB7"/>
    <w:rsid w:val="005C1B9E"/>
    <w:rsid w:val="005E2BBE"/>
    <w:rsid w:val="005E4BD6"/>
    <w:rsid w:val="005F0581"/>
    <w:rsid w:val="005F1173"/>
    <w:rsid w:val="005F3AA4"/>
    <w:rsid w:val="005F4451"/>
    <w:rsid w:val="006104FA"/>
    <w:rsid w:val="00613965"/>
    <w:rsid w:val="00616B47"/>
    <w:rsid w:val="00626AC2"/>
    <w:rsid w:val="00635FA2"/>
    <w:rsid w:val="00637A12"/>
    <w:rsid w:val="00640EB0"/>
    <w:rsid w:val="006450CF"/>
    <w:rsid w:val="0065278C"/>
    <w:rsid w:val="0065637A"/>
    <w:rsid w:val="00656A71"/>
    <w:rsid w:val="00657986"/>
    <w:rsid w:val="00666164"/>
    <w:rsid w:val="0067195B"/>
    <w:rsid w:val="00672100"/>
    <w:rsid w:val="00674EC4"/>
    <w:rsid w:val="00682947"/>
    <w:rsid w:val="00683D1C"/>
    <w:rsid w:val="00684668"/>
    <w:rsid w:val="006A01D2"/>
    <w:rsid w:val="006A0C7C"/>
    <w:rsid w:val="006A2A04"/>
    <w:rsid w:val="006A56D8"/>
    <w:rsid w:val="006A7068"/>
    <w:rsid w:val="006B5487"/>
    <w:rsid w:val="006C34F1"/>
    <w:rsid w:val="006C39D1"/>
    <w:rsid w:val="006C5EB8"/>
    <w:rsid w:val="006D04AE"/>
    <w:rsid w:val="006D5858"/>
    <w:rsid w:val="006D6B35"/>
    <w:rsid w:val="006E110D"/>
    <w:rsid w:val="006F0B4C"/>
    <w:rsid w:val="006F217C"/>
    <w:rsid w:val="006F46DE"/>
    <w:rsid w:val="00711664"/>
    <w:rsid w:val="00714A62"/>
    <w:rsid w:val="00717627"/>
    <w:rsid w:val="007228FA"/>
    <w:rsid w:val="007231BD"/>
    <w:rsid w:val="00725829"/>
    <w:rsid w:val="007261ED"/>
    <w:rsid w:val="00731CD5"/>
    <w:rsid w:val="007322D6"/>
    <w:rsid w:val="007328C0"/>
    <w:rsid w:val="00741AD2"/>
    <w:rsid w:val="00750349"/>
    <w:rsid w:val="00755B4C"/>
    <w:rsid w:val="00755D8C"/>
    <w:rsid w:val="00773C11"/>
    <w:rsid w:val="00781C08"/>
    <w:rsid w:val="00783BEC"/>
    <w:rsid w:val="007864FB"/>
    <w:rsid w:val="00787825"/>
    <w:rsid w:val="00791279"/>
    <w:rsid w:val="007A3DD2"/>
    <w:rsid w:val="007A7B71"/>
    <w:rsid w:val="007B3132"/>
    <w:rsid w:val="007B323F"/>
    <w:rsid w:val="007B539D"/>
    <w:rsid w:val="007C13D0"/>
    <w:rsid w:val="007C1E39"/>
    <w:rsid w:val="007C2638"/>
    <w:rsid w:val="007C2A76"/>
    <w:rsid w:val="007C2B04"/>
    <w:rsid w:val="007E548A"/>
    <w:rsid w:val="007E72EE"/>
    <w:rsid w:val="007F4E20"/>
    <w:rsid w:val="0080294C"/>
    <w:rsid w:val="00802C2B"/>
    <w:rsid w:val="00810B63"/>
    <w:rsid w:val="008160FE"/>
    <w:rsid w:val="00822659"/>
    <w:rsid w:val="00825779"/>
    <w:rsid w:val="0082668C"/>
    <w:rsid w:val="00826FE1"/>
    <w:rsid w:val="008377FF"/>
    <w:rsid w:val="00843BF6"/>
    <w:rsid w:val="0085173D"/>
    <w:rsid w:val="00854BCD"/>
    <w:rsid w:val="00861618"/>
    <w:rsid w:val="00896AE0"/>
    <w:rsid w:val="008B63BA"/>
    <w:rsid w:val="008B66C2"/>
    <w:rsid w:val="008C5B82"/>
    <w:rsid w:val="008C7A84"/>
    <w:rsid w:val="008D3E1A"/>
    <w:rsid w:val="008E4294"/>
    <w:rsid w:val="008F344A"/>
    <w:rsid w:val="008F530E"/>
    <w:rsid w:val="009048FE"/>
    <w:rsid w:val="00916B64"/>
    <w:rsid w:val="00930915"/>
    <w:rsid w:val="00936AD7"/>
    <w:rsid w:val="009520C9"/>
    <w:rsid w:val="00953C0C"/>
    <w:rsid w:val="009839D3"/>
    <w:rsid w:val="00984A36"/>
    <w:rsid w:val="009A1518"/>
    <w:rsid w:val="009B154E"/>
    <w:rsid w:val="009B4171"/>
    <w:rsid w:val="009C5C89"/>
    <w:rsid w:val="009D6119"/>
    <w:rsid w:val="00A07B58"/>
    <w:rsid w:val="00A103D6"/>
    <w:rsid w:val="00A14C37"/>
    <w:rsid w:val="00A15BBF"/>
    <w:rsid w:val="00A33757"/>
    <w:rsid w:val="00A33EC2"/>
    <w:rsid w:val="00A41EF3"/>
    <w:rsid w:val="00A46379"/>
    <w:rsid w:val="00A56FBB"/>
    <w:rsid w:val="00A61CB2"/>
    <w:rsid w:val="00A66A5F"/>
    <w:rsid w:val="00A7494C"/>
    <w:rsid w:val="00A80273"/>
    <w:rsid w:val="00A8344C"/>
    <w:rsid w:val="00A86C2A"/>
    <w:rsid w:val="00A90590"/>
    <w:rsid w:val="00A92FFA"/>
    <w:rsid w:val="00A9484D"/>
    <w:rsid w:val="00A97B77"/>
    <w:rsid w:val="00AB61AB"/>
    <w:rsid w:val="00AB6329"/>
    <w:rsid w:val="00AC0D77"/>
    <w:rsid w:val="00AC2063"/>
    <w:rsid w:val="00AC2CA9"/>
    <w:rsid w:val="00AD44F9"/>
    <w:rsid w:val="00AD7971"/>
    <w:rsid w:val="00AE1F8A"/>
    <w:rsid w:val="00AF7D2F"/>
    <w:rsid w:val="00B00C1B"/>
    <w:rsid w:val="00B05EA7"/>
    <w:rsid w:val="00B0780B"/>
    <w:rsid w:val="00B10AB1"/>
    <w:rsid w:val="00B127B5"/>
    <w:rsid w:val="00B15387"/>
    <w:rsid w:val="00B16FFB"/>
    <w:rsid w:val="00B259A2"/>
    <w:rsid w:val="00B44EFA"/>
    <w:rsid w:val="00B50A3C"/>
    <w:rsid w:val="00B5196B"/>
    <w:rsid w:val="00B67434"/>
    <w:rsid w:val="00B67733"/>
    <w:rsid w:val="00B75932"/>
    <w:rsid w:val="00B81972"/>
    <w:rsid w:val="00B82DF3"/>
    <w:rsid w:val="00B83C69"/>
    <w:rsid w:val="00B85DBC"/>
    <w:rsid w:val="00BB2459"/>
    <w:rsid w:val="00BB55AC"/>
    <w:rsid w:val="00BC059F"/>
    <w:rsid w:val="00BD0B5B"/>
    <w:rsid w:val="00BE435F"/>
    <w:rsid w:val="00BE66D4"/>
    <w:rsid w:val="00BF0BD5"/>
    <w:rsid w:val="00C119CC"/>
    <w:rsid w:val="00C130F4"/>
    <w:rsid w:val="00C14CCB"/>
    <w:rsid w:val="00C16E86"/>
    <w:rsid w:val="00C21F45"/>
    <w:rsid w:val="00C32625"/>
    <w:rsid w:val="00C35A20"/>
    <w:rsid w:val="00C470A1"/>
    <w:rsid w:val="00C546C0"/>
    <w:rsid w:val="00C61FC9"/>
    <w:rsid w:val="00C634BB"/>
    <w:rsid w:val="00C661A8"/>
    <w:rsid w:val="00C768D3"/>
    <w:rsid w:val="00C80CE0"/>
    <w:rsid w:val="00C82A8C"/>
    <w:rsid w:val="00CA10C9"/>
    <w:rsid w:val="00CA20FA"/>
    <w:rsid w:val="00CA2C2E"/>
    <w:rsid w:val="00CA518E"/>
    <w:rsid w:val="00CB2093"/>
    <w:rsid w:val="00CB74B0"/>
    <w:rsid w:val="00CC546B"/>
    <w:rsid w:val="00CD50A4"/>
    <w:rsid w:val="00CE06F6"/>
    <w:rsid w:val="00CE1ADC"/>
    <w:rsid w:val="00CE7826"/>
    <w:rsid w:val="00CF154C"/>
    <w:rsid w:val="00CF4D2F"/>
    <w:rsid w:val="00CF72F6"/>
    <w:rsid w:val="00D03547"/>
    <w:rsid w:val="00D13F80"/>
    <w:rsid w:val="00D17C25"/>
    <w:rsid w:val="00D22E6D"/>
    <w:rsid w:val="00D24634"/>
    <w:rsid w:val="00D27E14"/>
    <w:rsid w:val="00D40502"/>
    <w:rsid w:val="00D429C8"/>
    <w:rsid w:val="00D50BC7"/>
    <w:rsid w:val="00D5323B"/>
    <w:rsid w:val="00D61F44"/>
    <w:rsid w:val="00D62FDB"/>
    <w:rsid w:val="00D67C43"/>
    <w:rsid w:val="00D71916"/>
    <w:rsid w:val="00D71B35"/>
    <w:rsid w:val="00D746B5"/>
    <w:rsid w:val="00D850DE"/>
    <w:rsid w:val="00D856F3"/>
    <w:rsid w:val="00DA0039"/>
    <w:rsid w:val="00DA2E07"/>
    <w:rsid w:val="00DB5798"/>
    <w:rsid w:val="00DC210E"/>
    <w:rsid w:val="00DC6AFE"/>
    <w:rsid w:val="00DD1167"/>
    <w:rsid w:val="00DE2BF2"/>
    <w:rsid w:val="00DF07A6"/>
    <w:rsid w:val="00E00D64"/>
    <w:rsid w:val="00E079C1"/>
    <w:rsid w:val="00E11F07"/>
    <w:rsid w:val="00E1658F"/>
    <w:rsid w:val="00E30855"/>
    <w:rsid w:val="00E34411"/>
    <w:rsid w:val="00E41E4F"/>
    <w:rsid w:val="00E4487C"/>
    <w:rsid w:val="00E53001"/>
    <w:rsid w:val="00E55807"/>
    <w:rsid w:val="00E72594"/>
    <w:rsid w:val="00E7777B"/>
    <w:rsid w:val="00E96219"/>
    <w:rsid w:val="00EA0A87"/>
    <w:rsid w:val="00EA56FD"/>
    <w:rsid w:val="00EB5ACE"/>
    <w:rsid w:val="00EB72E1"/>
    <w:rsid w:val="00EC4D78"/>
    <w:rsid w:val="00EC7E1C"/>
    <w:rsid w:val="00ED133F"/>
    <w:rsid w:val="00ED38CE"/>
    <w:rsid w:val="00EE7E7F"/>
    <w:rsid w:val="00F041AA"/>
    <w:rsid w:val="00F04EBC"/>
    <w:rsid w:val="00F12DF8"/>
    <w:rsid w:val="00F14A97"/>
    <w:rsid w:val="00F22E8A"/>
    <w:rsid w:val="00F23FEF"/>
    <w:rsid w:val="00F25CE1"/>
    <w:rsid w:val="00F32757"/>
    <w:rsid w:val="00F45E9B"/>
    <w:rsid w:val="00F576EB"/>
    <w:rsid w:val="00F62286"/>
    <w:rsid w:val="00F63F3B"/>
    <w:rsid w:val="00F71510"/>
    <w:rsid w:val="00F72905"/>
    <w:rsid w:val="00F7588C"/>
    <w:rsid w:val="00F81F26"/>
    <w:rsid w:val="00F90091"/>
    <w:rsid w:val="00FA30CB"/>
    <w:rsid w:val="00FA4BBC"/>
    <w:rsid w:val="00FA7C28"/>
    <w:rsid w:val="00FA7C5C"/>
    <w:rsid w:val="00FB0CFC"/>
    <w:rsid w:val="00FC6232"/>
    <w:rsid w:val="00FD4C0C"/>
    <w:rsid w:val="00FD6CED"/>
    <w:rsid w:val="00FF354C"/>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o:colormru v:ext="edit" colors="#ddd,silver,#eaeaea"/>
    </o:shapedefaults>
    <o:shapelayout v:ext="edit">
      <o:idmap v:ext="edit" data="1"/>
    </o:shapelayout>
  </w:shapeDefaults>
  <w:decimalSymbol w:val="."/>
  <w:listSeparator w:val=","/>
  <w14:docId w14:val="2725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D2"/>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styleId="CommentReference">
    <w:name w:val="annotation reference"/>
    <w:basedOn w:val="DefaultParagraphFont"/>
    <w:rsid w:val="00140409"/>
    <w:rPr>
      <w:sz w:val="16"/>
      <w:szCs w:val="16"/>
    </w:rPr>
  </w:style>
  <w:style w:type="paragraph" w:styleId="CommentText">
    <w:name w:val="annotation text"/>
    <w:basedOn w:val="Normal"/>
    <w:link w:val="CommentTextChar"/>
    <w:rsid w:val="00140409"/>
    <w:pPr>
      <w:spacing w:line="240" w:lineRule="auto"/>
    </w:pPr>
  </w:style>
  <w:style w:type="character" w:customStyle="1" w:styleId="CommentTextChar">
    <w:name w:val="Comment Text Char"/>
    <w:basedOn w:val="DefaultParagraphFont"/>
    <w:link w:val="CommentText"/>
    <w:rsid w:val="00140409"/>
    <w:rPr>
      <w:lang w:eastAsia="en-US"/>
    </w:rPr>
  </w:style>
  <w:style w:type="paragraph" w:styleId="CommentSubject">
    <w:name w:val="annotation subject"/>
    <w:basedOn w:val="CommentText"/>
    <w:next w:val="CommentText"/>
    <w:link w:val="CommentSubjectChar"/>
    <w:rsid w:val="00140409"/>
    <w:rPr>
      <w:b/>
      <w:bCs/>
    </w:rPr>
  </w:style>
  <w:style w:type="character" w:customStyle="1" w:styleId="CommentSubjectChar">
    <w:name w:val="Comment Subject Char"/>
    <w:basedOn w:val="CommentTextChar"/>
    <w:link w:val="CommentSubject"/>
    <w:rsid w:val="00140409"/>
    <w:rPr>
      <w:b/>
      <w:bCs/>
      <w:lang w:eastAsia="en-US"/>
    </w:rPr>
  </w:style>
  <w:style w:type="paragraph" w:customStyle="1" w:styleId="PlainHanging0">
    <w:name w:val="Plain Hanging0"/>
    <w:basedOn w:val="Normal"/>
    <w:qFormat/>
    <w:rsid w:val="00530118"/>
    <w:pPr>
      <w:spacing w:after="200"/>
      <w:ind w:left="510" w:hanging="510"/>
    </w:pPr>
  </w:style>
  <w:style w:type="paragraph" w:styleId="Revision">
    <w:name w:val="Revision"/>
    <w:hidden/>
    <w:uiPriority w:val="99"/>
    <w:semiHidden/>
    <w:rsid w:val="00F7588C"/>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footnote reference" w:uiPriority="5"/>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D2"/>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 w:type="character" w:styleId="CommentReference">
    <w:name w:val="annotation reference"/>
    <w:basedOn w:val="DefaultParagraphFont"/>
    <w:rsid w:val="00140409"/>
    <w:rPr>
      <w:sz w:val="16"/>
      <w:szCs w:val="16"/>
    </w:rPr>
  </w:style>
  <w:style w:type="paragraph" w:styleId="CommentText">
    <w:name w:val="annotation text"/>
    <w:basedOn w:val="Normal"/>
    <w:link w:val="CommentTextChar"/>
    <w:rsid w:val="00140409"/>
    <w:pPr>
      <w:spacing w:line="240" w:lineRule="auto"/>
    </w:pPr>
  </w:style>
  <w:style w:type="character" w:customStyle="1" w:styleId="CommentTextChar">
    <w:name w:val="Comment Text Char"/>
    <w:basedOn w:val="DefaultParagraphFont"/>
    <w:link w:val="CommentText"/>
    <w:rsid w:val="00140409"/>
    <w:rPr>
      <w:lang w:eastAsia="en-US"/>
    </w:rPr>
  </w:style>
  <w:style w:type="paragraph" w:styleId="CommentSubject">
    <w:name w:val="annotation subject"/>
    <w:basedOn w:val="CommentText"/>
    <w:next w:val="CommentText"/>
    <w:link w:val="CommentSubjectChar"/>
    <w:rsid w:val="00140409"/>
    <w:rPr>
      <w:b/>
      <w:bCs/>
    </w:rPr>
  </w:style>
  <w:style w:type="character" w:customStyle="1" w:styleId="CommentSubjectChar">
    <w:name w:val="Comment Subject Char"/>
    <w:basedOn w:val="CommentTextChar"/>
    <w:link w:val="CommentSubject"/>
    <w:rsid w:val="00140409"/>
    <w:rPr>
      <w:b/>
      <w:bCs/>
      <w:lang w:eastAsia="en-US"/>
    </w:rPr>
  </w:style>
  <w:style w:type="paragraph" w:customStyle="1" w:styleId="PlainHanging0">
    <w:name w:val="Plain Hanging0"/>
    <w:basedOn w:val="Normal"/>
    <w:qFormat/>
    <w:rsid w:val="00530118"/>
    <w:pPr>
      <w:spacing w:after="200"/>
      <w:ind w:left="510" w:hanging="510"/>
    </w:pPr>
  </w:style>
  <w:style w:type="paragraph" w:styleId="Revision">
    <w:name w:val="Revision"/>
    <w:hidden/>
    <w:uiPriority w:val="99"/>
    <w:semiHidden/>
    <w:rsid w:val="00F758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506">
      <w:bodyDiv w:val="1"/>
      <w:marLeft w:val="0"/>
      <w:marRight w:val="0"/>
      <w:marTop w:val="0"/>
      <w:marBottom w:val="0"/>
      <w:divBdr>
        <w:top w:val="none" w:sz="0" w:space="0" w:color="auto"/>
        <w:left w:val="none" w:sz="0" w:space="0" w:color="auto"/>
        <w:bottom w:val="none" w:sz="0" w:space="0" w:color="auto"/>
        <w:right w:val="none" w:sz="0" w:space="0" w:color="auto"/>
      </w:divBdr>
    </w:div>
    <w:div w:id="219488264">
      <w:bodyDiv w:val="1"/>
      <w:marLeft w:val="0"/>
      <w:marRight w:val="0"/>
      <w:marTop w:val="0"/>
      <w:marBottom w:val="0"/>
      <w:divBdr>
        <w:top w:val="none" w:sz="0" w:space="0" w:color="auto"/>
        <w:left w:val="none" w:sz="0" w:space="0" w:color="auto"/>
        <w:bottom w:val="none" w:sz="0" w:space="0" w:color="auto"/>
        <w:right w:val="none" w:sz="0" w:space="0" w:color="auto"/>
      </w:divBdr>
    </w:div>
    <w:div w:id="802500542">
      <w:bodyDiv w:val="1"/>
      <w:marLeft w:val="0"/>
      <w:marRight w:val="0"/>
      <w:marTop w:val="0"/>
      <w:marBottom w:val="0"/>
      <w:divBdr>
        <w:top w:val="none" w:sz="0" w:space="0" w:color="auto"/>
        <w:left w:val="none" w:sz="0" w:space="0" w:color="auto"/>
        <w:bottom w:val="none" w:sz="0" w:space="0" w:color="auto"/>
        <w:right w:val="none" w:sz="0" w:space="0" w:color="auto"/>
      </w:divBdr>
    </w:div>
    <w:div w:id="128977703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C78B-5C63-4E01-ADAE-E2C0BC23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654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 Statement AASB2015-7</vt:lpstr>
    </vt:vector>
  </TitlesOfParts>
  <Company>AASB</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Clark M. Anstis</cp:lastModifiedBy>
  <cp:revision>7</cp:revision>
  <cp:lastPrinted>2015-07-06T09:19:00Z</cp:lastPrinted>
  <dcterms:created xsi:type="dcterms:W3CDTF">2015-07-09T04:41:00Z</dcterms:created>
  <dcterms:modified xsi:type="dcterms:W3CDTF">2015-11-12T07:10:00Z</dcterms:modified>
</cp:coreProperties>
</file>