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7E3285" w:rsidRPr="007E3285" w:rsidRDefault="005B0E3A" w:rsidP="007E3285">
      <w:pPr>
        <w:spacing w:before="63" w:after="120" w:line="480" w:lineRule="auto"/>
        <w:jc w:val="center"/>
        <w:rPr>
          <w:b/>
          <w:color w:val="000000"/>
          <w:sz w:val="28"/>
        </w:rPr>
      </w:pPr>
      <w:r>
        <w:rPr>
          <w:b/>
          <w:color w:val="000000"/>
          <w:sz w:val="28"/>
        </w:rPr>
        <w:t>EXPLANATORY</w:t>
      </w:r>
      <w:r>
        <w:rPr>
          <w:b/>
          <w:color w:val="000000"/>
          <w:spacing w:val="-39"/>
          <w:sz w:val="28"/>
        </w:rPr>
        <w:t xml:space="preserve"> </w:t>
      </w:r>
      <w:r w:rsidR="00FD3F57">
        <w:rPr>
          <w:b/>
          <w:color w:val="000000"/>
          <w:spacing w:val="-1"/>
          <w:sz w:val="28"/>
        </w:rPr>
        <w:t xml:space="preserve">STATEMENT for </w:t>
      </w:r>
      <w:r w:rsidR="00FD3F57">
        <w:rPr>
          <w:b/>
          <w:color w:val="000000"/>
          <w:spacing w:val="-1"/>
          <w:sz w:val="28"/>
        </w:rPr>
        <w:br/>
        <w:t>ASIC Corporations (Real Estate Companies) Instrument 2015</w:t>
      </w:r>
      <w:r w:rsidR="00EF08C0">
        <w:rPr>
          <w:b/>
          <w:color w:val="000000"/>
          <w:spacing w:val="-1"/>
          <w:sz w:val="28"/>
        </w:rPr>
        <w:t>/</w:t>
      </w:r>
      <w:r w:rsidR="007E3285">
        <w:rPr>
          <w:b/>
          <w:color w:val="000000"/>
          <w:spacing w:val="-1"/>
          <w:sz w:val="28"/>
        </w:rPr>
        <w:t xml:space="preserve">1049 </w:t>
      </w:r>
      <w:r w:rsidR="007E3285" w:rsidRPr="007E3285">
        <w:rPr>
          <w:b/>
          <w:color w:val="000000"/>
          <w:sz w:val="28"/>
        </w:rPr>
        <w:t>and</w:t>
      </w:r>
    </w:p>
    <w:p w:rsidR="005B0E3A" w:rsidRPr="007E3285" w:rsidRDefault="007E3285" w:rsidP="007E3285">
      <w:pPr>
        <w:spacing w:before="63" w:after="120" w:line="480" w:lineRule="auto"/>
        <w:jc w:val="center"/>
        <w:rPr>
          <w:b/>
          <w:color w:val="000000"/>
          <w:sz w:val="28"/>
        </w:rPr>
      </w:pPr>
      <w:r w:rsidRPr="007E3285">
        <w:rPr>
          <w:b/>
          <w:color w:val="000000"/>
          <w:sz w:val="28"/>
        </w:rPr>
        <w:t>ASIC Corporations (</w:t>
      </w:r>
      <w:r>
        <w:rPr>
          <w:b/>
          <w:color w:val="000000"/>
          <w:sz w:val="28"/>
        </w:rPr>
        <w:t>Repeal</w:t>
      </w:r>
      <w:r w:rsidRPr="007E3285">
        <w:rPr>
          <w:b/>
          <w:color w:val="000000"/>
          <w:sz w:val="28"/>
        </w:rPr>
        <w:t>) Instrument 2015/1050</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321532" w:rsidRDefault="005B0E3A" w:rsidP="00FE4943">
      <w:pPr>
        <w:pStyle w:val="BodyText"/>
        <w:spacing w:before="0" w:line="240" w:lineRule="auto"/>
      </w:pPr>
      <w:r>
        <w:t xml:space="preserve">The Australian Securities and </w:t>
      </w:r>
      <w:r>
        <w:rPr>
          <w:spacing w:val="-1"/>
        </w:rPr>
        <w:t>Investments</w:t>
      </w:r>
      <w:r>
        <w:t xml:space="preserve"> </w:t>
      </w:r>
      <w:r>
        <w:rPr>
          <w:spacing w:val="-1"/>
        </w:rPr>
        <w:t>Commission</w:t>
      </w:r>
      <w:r>
        <w:t xml:space="preserve"> (</w:t>
      </w:r>
      <w:r w:rsidRPr="00FE4943">
        <w:rPr>
          <w:b/>
          <w:i/>
        </w:rPr>
        <w:t>ASIC</w:t>
      </w:r>
      <w:r>
        <w:t xml:space="preserve">) </w:t>
      </w:r>
      <w:r>
        <w:rPr>
          <w:spacing w:val="-1"/>
        </w:rPr>
        <w:t>makes</w:t>
      </w:r>
      <w:r w:rsidR="00321532">
        <w:rPr>
          <w:spacing w:val="-1"/>
        </w:rPr>
        <w:t>:</w:t>
      </w:r>
      <w:r>
        <w:t xml:space="preserve"> </w:t>
      </w:r>
    </w:p>
    <w:p w:rsidR="00321532" w:rsidRDefault="00321532" w:rsidP="00FE4943">
      <w:pPr>
        <w:pStyle w:val="BodyText"/>
        <w:spacing w:before="0" w:line="240" w:lineRule="auto"/>
      </w:pPr>
    </w:p>
    <w:p w:rsidR="00321532" w:rsidRDefault="00321532" w:rsidP="00FE4943">
      <w:pPr>
        <w:pStyle w:val="BodyText"/>
        <w:tabs>
          <w:tab w:val="clear" w:pos="567"/>
          <w:tab w:val="clear" w:pos="680"/>
        </w:tabs>
        <w:spacing w:before="0" w:line="240" w:lineRule="auto"/>
        <w:ind w:left="567" w:hanging="567"/>
      </w:pPr>
      <w:r>
        <w:t>(a)</w:t>
      </w:r>
      <w:r>
        <w:tab/>
      </w:r>
      <w:r w:rsidR="00FD3F57" w:rsidRPr="00D65F53">
        <w:rPr>
          <w:i/>
        </w:rPr>
        <w:t>ASIC Corporations (Real Estate Companies) Instrument 2015</w:t>
      </w:r>
      <w:r w:rsidR="00EB2F04" w:rsidRPr="00D65F53">
        <w:rPr>
          <w:i/>
        </w:rPr>
        <w:t>/</w:t>
      </w:r>
      <w:r w:rsidR="007E3285">
        <w:rPr>
          <w:i/>
        </w:rPr>
        <w:t>1049</w:t>
      </w:r>
    </w:p>
    <w:p w:rsidR="00321532" w:rsidRDefault="00321532" w:rsidP="00FE4943">
      <w:pPr>
        <w:pStyle w:val="BodyText"/>
        <w:tabs>
          <w:tab w:val="clear" w:pos="567"/>
          <w:tab w:val="clear" w:pos="680"/>
        </w:tabs>
        <w:spacing w:before="0" w:line="240" w:lineRule="auto"/>
        <w:ind w:left="567"/>
        <w:rPr>
          <w:spacing w:val="-1"/>
          <w:highlight w:val="yellow"/>
        </w:rPr>
      </w:pPr>
      <w:r>
        <w:t>(</w:t>
      </w:r>
      <w:proofErr w:type="gramStart"/>
      <w:r>
        <w:t>the</w:t>
      </w:r>
      <w:proofErr w:type="gramEnd"/>
      <w:r>
        <w:t xml:space="preserve"> </w:t>
      </w:r>
      <w:r w:rsidRPr="00FE4943">
        <w:rPr>
          <w:b/>
          <w:i/>
        </w:rPr>
        <w:t>principal instrument</w:t>
      </w:r>
      <w:r>
        <w:t xml:space="preserve">); </w:t>
      </w:r>
      <w:r w:rsidR="007E3285" w:rsidRPr="00FE4943">
        <w:rPr>
          <w:spacing w:val="-1"/>
        </w:rPr>
        <w:t>and</w:t>
      </w:r>
      <w:r w:rsidR="007E3285" w:rsidRPr="007E3285">
        <w:rPr>
          <w:spacing w:val="-1"/>
          <w:highlight w:val="yellow"/>
        </w:rPr>
        <w:t xml:space="preserve"> </w:t>
      </w:r>
    </w:p>
    <w:p w:rsidR="00321532" w:rsidRDefault="00321532" w:rsidP="00FE4943">
      <w:pPr>
        <w:pStyle w:val="BodyText"/>
        <w:tabs>
          <w:tab w:val="clear" w:pos="567"/>
          <w:tab w:val="clear" w:pos="680"/>
        </w:tabs>
        <w:spacing w:before="0" w:line="240" w:lineRule="auto"/>
        <w:ind w:left="567"/>
        <w:rPr>
          <w:spacing w:val="-1"/>
          <w:highlight w:val="yellow"/>
        </w:rPr>
      </w:pPr>
    </w:p>
    <w:p w:rsidR="00321532" w:rsidRDefault="00321532" w:rsidP="00FE4943">
      <w:pPr>
        <w:pStyle w:val="BodyText"/>
        <w:tabs>
          <w:tab w:val="clear" w:pos="567"/>
          <w:tab w:val="clear" w:pos="680"/>
        </w:tabs>
        <w:spacing w:before="0" w:line="240" w:lineRule="auto"/>
      </w:pPr>
      <w:r w:rsidRPr="00FE4943">
        <w:t>(b)</w:t>
      </w:r>
      <w:r w:rsidRPr="00FE4943">
        <w:tab/>
      </w:r>
      <w:r w:rsidR="007E3285" w:rsidRPr="00FE4943">
        <w:rPr>
          <w:i/>
        </w:rPr>
        <w:t>ASIC Corporations (Repeal) Instrument 2015/1050</w:t>
      </w:r>
      <w:r>
        <w:t xml:space="preserve"> </w:t>
      </w:r>
    </w:p>
    <w:p w:rsidR="00321532" w:rsidRDefault="00321532" w:rsidP="00FE4943">
      <w:pPr>
        <w:pStyle w:val="BodyText"/>
        <w:tabs>
          <w:tab w:val="clear" w:pos="567"/>
          <w:tab w:val="clear" w:pos="680"/>
        </w:tabs>
        <w:spacing w:before="0" w:line="240" w:lineRule="auto"/>
        <w:ind w:firstLine="720"/>
        <w:rPr>
          <w:spacing w:val="-1"/>
        </w:rPr>
      </w:pPr>
      <w:r>
        <w:t>(</w:t>
      </w:r>
      <w:proofErr w:type="gramStart"/>
      <w:r>
        <w:t>the</w:t>
      </w:r>
      <w:proofErr w:type="gramEnd"/>
      <w:r>
        <w:t xml:space="preserve"> </w:t>
      </w:r>
      <w:r w:rsidRPr="00FE4943">
        <w:rPr>
          <w:b/>
          <w:i/>
        </w:rPr>
        <w:t>repeal instrument</w:t>
      </w:r>
      <w:r>
        <w:t>)</w:t>
      </w:r>
      <w:r w:rsidRPr="00321532">
        <w:rPr>
          <w:spacing w:val="-1"/>
        </w:rPr>
        <w:t>.</w:t>
      </w:r>
    </w:p>
    <w:p w:rsidR="004B71D8" w:rsidRDefault="00321532" w:rsidP="00FE4943">
      <w:pPr>
        <w:pStyle w:val="BodyText"/>
        <w:spacing w:before="0" w:line="240" w:lineRule="auto"/>
        <w:rPr>
          <w:color w:val="000000"/>
        </w:rPr>
      </w:pPr>
      <w:r>
        <w:rPr>
          <w:spacing w:val="-1"/>
        </w:rPr>
        <w:br/>
        <w:t xml:space="preserve">The principal instrument is made </w:t>
      </w:r>
      <w:r w:rsidR="005B0E3A">
        <w:rPr>
          <w:color w:val="000000"/>
          <w:spacing w:val="-1"/>
        </w:rPr>
        <w:t>under</w:t>
      </w:r>
      <w:r w:rsidR="004B71D8">
        <w:rPr>
          <w:color w:val="000000"/>
          <w:spacing w:val="-1"/>
        </w:rPr>
        <w:t xml:space="preserve"> </w:t>
      </w:r>
      <w:r>
        <w:rPr>
          <w:color w:val="000000"/>
          <w:spacing w:val="-1"/>
        </w:rPr>
        <w:t>sub</w:t>
      </w:r>
      <w:r w:rsidR="004B71D8">
        <w:rPr>
          <w:color w:val="000000"/>
          <w:spacing w:val="-1"/>
        </w:rPr>
        <w:t>section 741</w:t>
      </w:r>
      <w:r>
        <w:rPr>
          <w:color w:val="000000"/>
          <w:spacing w:val="-1"/>
        </w:rPr>
        <w:t>(1)</w:t>
      </w:r>
      <w:r w:rsidR="004B71D8">
        <w:rPr>
          <w:color w:val="000000"/>
          <w:spacing w:val="-1"/>
        </w:rPr>
        <w:t xml:space="preserve"> and subsection </w:t>
      </w:r>
      <w:proofErr w:type="gramStart"/>
      <w:r w:rsidR="004B71D8">
        <w:rPr>
          <w:color w:val="000000"/>
          <w:spacing w:val="-1"/>
        </w:rPr>
        <w:t>926A(</w:t>
      </w:r>
      <w:proofErr w:type="gramEnd"/>
      <w:r w:rsidR="004B71D8">
        <w:rPr>
          <w:color w:val="000000"/>
          <w:spacing w:val="-1"/>
        </w:rPr>
        <w:t xml:space="preserve">2) of the </w:t>
      </w:r>
      <w:r w:rsidR="004B71D8">
        <w:rPr>
          <w:i/>
          <w:color w:val="000000"/>
          <w:spacing w:val="-1"/>
        </w:rPr>
        <w:t xml:space="preserve">Corporations Act 2001 </w:t>
      </w:r>
      <w:r w:rsidR="004B71D8">
        <w:rPr>
          <w:color w:val="000000"/>
          <w:spacing w:val="-1"/>
        </w:rPr>
        <w:t>(</w:t>
      </w:r>
      <w:r>
        <w:rPr>
          <w:color w:val="000000"/>
          <w:spacing w:val="-1"/>
        </w:rPr>
        <w:t xml:space="preserve">the </w:t>
      </w:r>
      <w:r w:rsidR="004B71D8" w:rsidRPr="00FE4943">
        <w:rPr>
          <w:b/>
          <w:i/>
          <w:color w:val="000000"/>
          <w:spacing w:val="-1"/>
        </w:rPr>
        <w:t>Act</w:t>
      </w:r>
      <w:r w:rsidR="004B71D8">
        <w:rPr>
          <w:color w:val="000000"/>
          <w:spacing w:val="-1"/>
        </w:rPr>
        <w:t>).</w:t>
      </w:r>
      <w:r w:rsidR="005B0E3A">
        <w:rPr>
          <w:color w:val="000000"/>
          <w:spacing w:val="-1"/>
        </w:rPr>
        <w:t xml:space="preserve"> </w:t>
      </w:r>
      <w:r w:rsidR="005B0E3A">
        <w:t>S</w:t>
      </w:r>
      <w:r>
        <w:t>ubs</w:t>
      </w:r>
      <w:r w:rsidR="005B0E3A">
        <w:t xml:space="preserve">ection </w:t>
      </w:r>
      <w:r w:rsidR="004B71D8" w:rsidRPr="004B71D8">
        <w:rPr>
          <w:spacing w:val="-1"/>
        </w:rPr>
        <w:t>741</w:t>
      </w:r>
      <w:r>
        <w:rPr>
          <w:spacing w:val="-1"/>
        </w:rPr>
        <w:t>(1)</w:t>
      </w:r>
      <w:r w:rsidR="005B0E3A">
        <w:rPr>
          <w:color w:val="0000FF"/>
          <w:spacing w:val="-1"/>
        </w:rPr>
        <w:t xml:space="preserve"> </w:t>
      </w:r>
      <w:r>
        <w:rPr>
          <w:color w:val="0000FF"/>
          <w:spacing w:val="-1"/>
        </w:rPr>
        <w:t xml:space="preserve">of the Act </w:t>
      </w:r>
      <w:r w:rsidR="005B0E3A">
        <w:rPr>
          <w:color w:val="000000"/>
        </w:rPr>
        <w:t>provides that ASIC may</w:t>
      </w:r>
      <w:r w:rsidR="004B71D8">
        <w:rPr>
          <w:color w:val="000000"/>
        </w:rPr>
        <w:t xml:space="preserve"> exempt a person, or class of persons, from all or specified provisions of Chapter 6D of the Act</w:t>
      </w:r>
      <w:r>
        <w:rPr>
          <w:color w:val="000000"/>
        </w:rPr>
        <w:t>, which deals with fundraising</w:t>
      </w:r>
      <w:r w:rsidR="00301370">
        <w:rPr>
          <w:color w:val="000000"/>
        </w:rPr>
        <w:t>.  S</w:t>
      </w:r>
      <w:r w:rsidR="004B71D8">
        <w:rPr>
          <w:color w:val="000000"/>
        </w:rPr>
        <w:t xml:space="preserve">ubsection </w:t>
      </w:r>
      <w:proofErr w:type="gramStart"/>
      <w:r w:rsidR="004B71D8">
        <w:rPr>
          <w:color w:val="000000"/>
        </w:rPr>
        <w:t>926A(</w:t>
      </w:r>
      <w:proofErr w:type="gramEnd"/>
      <w:r w:rsidR="004B71D8">
        <w:rPr>
          <w:color w:val="000000"/>
        </w:rPr>
        <w:t xml:space="preserve">2) </w:t>
      </w:r>
      <w:r>
        <w:rPr>
          <w:color w:val="000000"/>
        </w:rPr>
        <w:t xml:space="preserve">of the Act </w:t>
      </w:r>
      <w:r w:rsidR="004B71D8" w:rsidRPr="004B71D8">
        <w:t xml:space="preserve">provides that ASIC may </w:t>
      </w:r>
      <w:r w:rsidR="00301370">
        <w:t xml:space="preserve">exempt a person or class of persons from all or specified provisions </w:t>
      </w:r>
      <w:r w:rsidR="004B71D8" w:rsidRPr="004B71D8">
        <w:t xml:space="preserve">of Part 7.6 of the </w:t>
      </w:r>
      <w:r w:rsidR="00301370">
        <w:t xml:space="preserve">Corporations </w:t>
      </w:r>
      <w:r w:rsidR="004B71D8" w:rsidRPr="004B71D8">
        <w:t>Act (other than Divisions 4 and 8)</w:t>
      </w:r>
      <w:r>
        <w:t>, which deals with the licensing of financial services providers</w:t>
      </w:r>
      <w:r w:rsidR="00301370">
        <w:t>.</w:t>
      </w:r>
      <w:r w:rsidR="00301370" w:rsidRPr="00301370">
        <w:rPr>
          <w:color w:val="000000"/>
        </w:rPr>
        <w:t xml:space="preserve"> </w:t>
      </w:r>
      <w:r w:rsidR="00301370">
        <w:rPr>
          <w:color w:val="000000"/>
        </w:rPr>
        <w:t xml:space="preserve">An exemption may apply unconditionally or subject to specified conditions.  </w:t>
      </w:r>
    </w:p>
    <w:p w:rsidR="007E3285" w:rsidRDefault="00321532" w:rsidP="007E3285">
      <w:pPr>
        <w:pStyle w:val="BodyText"/>
        <w:spacing w:line="259" w:lineRule="auto"/>
      </w:pPr>
      <w:r>
        <w:rPr>
          <w:spacing w:val="-1"/>
        </w:rPr>
        <w:t xml:space="preserve">The repeal instrument </w:t>
      </w:r>
      <w:r>
        <w:t>repeals</w:t>
      </w:r>
      <w:r w:rsidR="007E3285" w:rsidRPr="00FE4943">
        <w:t xml:space="preserve"> ASIC Class Order [CO 00/213] and ASIC Class Order [CO 05/1243]. </w:t>
      </w:r>
      <w:r w:rsidR="00AB0F16">
        <w:t>The repeal instrument is made under</w:t>
      </w:r>
      <w:r w:rsidR="00AB0F16" w:rsidRPr="00AB0F16">
        <w:rPr>
          <w:spacing w:val="-1"/>
        </w:rPr>
        <w:t xml:space="preserve"> </w:t>
      </w:r>
      <w:r w:rsidR="00AB0F16">
        <w:rPr>
          <w:color w:val="000000"/>
          <w:spacing w:val="-1"/>
        </w:rPr>
        <w:t>subsection 741(1) and paragraph </w:t>
      </w:r>
      <w:proofErr w:type="gramStart"/>
      <w:r w:rsidR="00AB0F16">
        <w:rPr>
          <w:color w:val="000000"/>
          <w:spacing w:val="-1"/>
        </w:rPr>
        <w:t>911A(</w:t>
      </w:r>
      <w:proofErr w:type="gramEnd"/>
      <w:r w:rsidR="00AB0F16">
        <w:rPr>
          <w:color w:val="000000"/>
          <w:spacing w:val="-1"/>
        </w:rPr>
        <w:t xml:space="preserve">2)(l) of the Act. Paragraph 911A(2)(l) provides that a person is exempt from the requirement to hold an Australian financial services licence for a financial service they provide if the provision of the service is covered by an exemption specified by ASIC in writing and published in the Gazette. </w:t>
      </w:r>
      <w:r w:rsidR="00AB0F16">
        <w:rPr>
          <w:color w:val="000000"/>
          <w:spacing w:val="-1"/>
        </w:rPr>
        <w:br/>
      </w:r>
      <w:r w:rsidR="00AB0F16">
        <w:br/>
      </w:r>
      <w:r w:rsidR="007E3285" w:rsidRPr="00FE4943">
        <w:t xml:space="preserve">Under subsection 33(3) of the </w:t>
      </w:r>
      <w:r w:rsidR="007E3285" w:rsidRPr="00FE4943">
        <w:rPr>
          <w:i/>
        </w:rPr>
        <w:t>Acts Interpretation Act 1901</w:t>
      </w:r>
      <w:r w:rsidR="007E3285" w:rsidRPr="00FE4943">
        <w:t xml:space="preserve"> (as in force as at 1 January 2005 and as applicable to the relevant powers because of section 5C of the Act), where an Act confers a power to make, grant or issue any instrument, the power </w:t>
      </w:r>
      <w:r w:rsidR="00AB0F16">
        <w:t>is to</w:t>
      </w:r>
      <w:r w:rsidR="007E3285" w:rsidRPr="00FE4943">
        <w:t xml:space="preserve"> </w:t>
      </w:r>
      <w:r w:rsidR="007E3285" w:rsidRPr="00FE4943">
        <w:lastRenderedPageBreak/>
        <w:t>be construed as including a power exercisable in the like manner and subject to the like conditions (if any) to repeal any such instrument.</w:t>
      </w:r>
    </w:p>
    <w:p w:rsidR="00B45B2B" w:rsidRPr="004B71D8" w:rsidRDefault="00B45B2B" w:rsidP="004B71D8">
      <w:pPr>
        <w:pStyle w:val="BodyText"/>
        <w:spacing w:line="261" w:lineRule="auto"/>
        <w:rPr>
          <w:color w:val="000000"/>
        </w:rPr>
      </w:pPr>
    </w:p>
    <w:p w:rsidR="005B0E3A" w:rsidRDefault="005B0E3A" w:rsidP="00FE4943">
      <w:pPr>
        <w:widowControl w:val="0"/>
        <w:numPr>
          <w:ilvl w:val="0"/>
          <w:numId w:val="7"/>
        </w:numPr>
        <w:spacing w:before="145" w:after="0"/>
        <w:ind w:left="567" w:hanging="567"/>
        <w:rPr>
          <w:rFonts w:ascii="Arial" w:eastAsia="Arial" w:hAnsi="Arial" w:cs="Arial"/>
          <w:sz w:val="24"/>
          <w:szCs w:val="24"/>
        </w:rPr>
      </w:pPr>
      <w:bookmarkStart w:id="0" w:name="1._Background"/>
      <w:bookmarkEnd w:id="0"/>
      <w:r>
        <w:rPr>
          <w:rFonts w:ascii="Arial"/>
          <w:b/>
          <w:spacing w:val="-1"/>
          <w:sz w:val="24"/>
        </w:rPr>
        <w:t>Background</w:t>
      </w:r>
    </w:p>
    <w:p w:rsidR="00D65026" w:rsidRDefault="007F08AE" w:rsidP="00D65026">
      <w:pPr>
        <w:pStyle w:val="BodyText"/>
        <w:spacing w:line="261" w:lineRule="auto"/>
      </w:pPr>
      <w:r w:rsidRPr="007F08AE">
        <w:t xml:space="preserve">A real estate company is a company formed for the purpose of owning and managing land and buildings.  Shares in the real estate company are held by persons who wish to have an exclusive right of occupation and use of a particular area within the land or building owned by the real estate company.  </w:t>
      </w:r>
      <w:r>
        <w:t xml:space="preserve">A real estate company is less common than strata title and has historically been used </w:t>
      </w:r>
      <w:r w:rsidRPr="00F42600">
        <w:t>where owners wish to exercise control over occupiers</w:t>
      </w:r>
      <w:r>
        <w:t>,</w:t>
      </w:r>
      <w:r w:rsidRPr="00F42600">
        <w:t xml:space="preserve"> or where conversion to strata title is not practicable.</w:t>
      </w:r>
      <w:r>
        <w:t xml:space="preserve"> </w:t>
      </w:r>
    </w:p>
    <w:p w:rsidR="00D0796A" w:rsidRDefault="00D0796A" w:rsidP="00D0796A">
      <w:pPr>
        <w:pStyle w:val="BodyText"/>
        <w:spacing w:line="261" w:lineRule="auto"/>
      </w:pPr>
      <w:r w:rsidRPr="0011183F">
        <w:t>The</w:t>
      </w:r>
      <w:r>
        <w:t xml:space="preserve"> </w:t>
      </w:r>
      <w:r w:rsidRPr="00D65026">
        <w:t xml:space="preserve">Act </w:t>
      </w:r>
      <w:r w:rsidRPr="0011183F">
        <w:t>regulates interests in real estate companies</w:t>
      </w:r>
      <w:r>
        <w:t xml:space="preserve"> </w:t>
      </w:r>
      <w:r w:rsidRPr="0011183F">
        <w:t>because they involve ownership of shares in a company. Under s</w:t>
      </w:r>
      <w:r w:rsidR="00AB0F16">
        <w:t xml:space="preserve">ection </w:t>
      </w:r>
      <w:r w:rsidRPr="0011183F">
        <w:t>707</w:t>
      </w:r>
      <w:r w:rsidR="00922FB3">
        <w:t xml:space="preserve"> of the Act</w:t>
      </w:r>
      <w:r w:rsidRPr="0011183F">
        <w:t xml:space="preserve">, </w:t>
      </w:r>
      <w:r w:rsidR="00922FB3">
        <w:t>a</w:t>
      </w:r>
      <w:r w:rsidRPr="0011183F">
        <w:t xml:space="preserve"> sale </w:t>
      </w:r>
      <w:r w:rsidR="00AB0F16">
        <w:t xml:space="preserve">offer </w:t>
      </w:r>
      <w:r w:rsidRPr="0011183F">
        <w:t xml:space="preserve">of shares must be </w:t>
      </w:r>
      <w:r w:rsidR="00AB0F16">
        <w:t xml:space="preserve">accompanied by disclosure </w:t>
      </w:r>
      <w:r>
        <w:t>to investors</w:t>
      </w:r>
      <w:r w:rsidRPr="0011183F">
        <w:t xml:space="preserve"> if: </w:t>
      </w:r>
    </w:p>
    <w:p w:rsidR="00D0796A" w:rsidRDefault="00D0796A" w:rsidP="00D0796A">
      <w:pPr>
        <w:pStyle w:val="BodyText"/>
        <w:numPr>
          <w:ilvl w:val="0"/>
          <w:numId w:val="16"/>
        </w:numPr>
        <w:spacing w:line="261" w:lineRule="auto"/>
      </w:pPr>
      <w:r w:rsidRPr="0011183F">
        <w:t xml:space="preserve">the person making the offer controls the body and </w:t>
      </w:r>
      <w:r w:rsidR="001A70F8">
        <w:t>the securities are not quoted;</w:t>
      </w:r>
    </w:p>
    <w:p w:rsidR="00D0796A" w:rsidRDefault="00D0796A" w:rsidP="00D0796A">
      <w:pPr>
        <w:pStyle w:val="BodyText"/>
        <w:numPr>
          <w:ilvl w:val="0"/>
          <w:numId w:val="16"/>
        </w:numPr>
        <w:spacing w:line="261" w:lineRule="auto"/>
      </w:pPr>
      <w:r w:rsidRPr="0011183F">
        <w:t>the offer of shares is made within 12 months after their issue without disclosure to investors and the pu</w:t>
      </w:r>
      <w:r w:rsidR="001A70F8">
        <w:t xml:space="preserve">rpose for the issue was on-sale; </w:t>
      </w:r>
      <w:r>
        <w:t>or</w:t>
      </w:r>
      <w:r w:rsidRPr="0011183F">
        <w:t xml:space="preserve"> </w:t>
      </w:r>
    </w:p>
    <w:p w:rsidR="00D0796A" w:rsidRPr="0011183F" w:rsidRDefault="00D0796A" w:rsidP="00D0796A">
      <w:pPr>
        <w:pStyle w:val="BodyText"/>
        <w:numPr>
          <w:ilvl w:val="0"/>
          <w:numId w:val="16"/>
        </w:numPr>
        <w:spacing w:line="261" w:lineRule="auto"/>
      </w:pPr>
      <w:proofErr w:type="gramStart"/>
      <w:r w:rsidRPr="0011183F">
        <w:t>the</w:t>
      </w:r>
      <w:proofErr w:type="gramEnd"/>
      <w:r w:rsidRPr="0011183F">
        <w:t xml:space="preserve"> offer of shares is made within 12 months after being sold by the controller of the body without disclosure to investors, the shares are not quoted and the pu</w:t>
      </w:r>
      <w:r w:rsidR="001A70F8">
        <w:t>rpose for the issue was on-sale.</w:t>
      </w:r>
    </w:p>
    <w:p w:rsidR="00B45B2B" w:rsidRDefault="00D16D96" w:rsidP="00B45B2B">
      <w:pPr>
        <w:pStyle w:val="BodyText"/>
        <w:spacing w:line="261" w:lineRule="auto"/>
      </w:pPr>
      <w:r>
        <w:t xml:space="preserve">Therefore, </w:t>
      </w:r>
      <w:r w:rsidR="00397C74">
        <w:t>v</w:t>
      </w:r>
      <w:r w:rsidR="00B45B2B" w:rsidRPr="0011183F">
        <w:t>endors of shares in real estate companies may have to issue a prospectus or other disclosure d</w:t>
      </w:r>
      <w:r w:rsidR="00B45B2B">
        <w:t>ocument that complies with Chapter 6D of the Act</w:t>
      </w:r>
      <w:r w:rsidR="00B45B2B" w:rsidRPr="0011183F">
        <w:t>.</w:t>
      </w:r>
      <w:r w:rsidR="00B45B2B">
        <w:t xml:space="preserve">   </w:t>
      </w:r>
    </w:p>
    <w:p w:rsidR="001A70F8" w:rsidRDefault="00D0796A" w:rsidP="001A70F8">
      <w:pPr>
        <w:pStyle w:val="BodyText"/>
        <w:spacing w:line="261" w:lineRule="auto"/>
      </w:pPr>
      <w:r w:rsidRPr="007F08AE">
        <w:t>Valuers are engaged to provide valuations of shares in real estate companies, particularly for the purposes of their sale or purchase or their use as security for a mortgage.</w:t>
      </w:r>
      <w:r>
        <w:t xml:space="preserve">  </w:t>
      </w:r>
      <w:r w:rsidR="001A70F8">
        <w:t>Under s</w:t>
      </w:r>
      <w:r w:rsidR="00AB0F16">
        <w:t xml:space="preserve">ubsection </w:t>
      </w:r>
      <w:proofErr w:type="gramStart"/>
      <w:r w:rsidR="001A70F8">
        <w:t>911A(</w:t>
      </w:r>
      <w:proofErr w:type="gramEnd"/>
      <w:r w:rsidR="001A70F8">
        <w:t>1) and s</w:t>
      </w:r>
      <w:r w:rsidR="00AB0F16">
        <w:t xml:space="preserve">ection </w:t>
      </w:r>
      <w:r w:rsidR="001A70F8">
        <w:t>766B of the Act, wh</w:t>
      </w:r>
      <w:r>
        <w:t>ere a valuation report contains an opinion or is reasonably likely to influence</w:t>
      </w:r>
      <w:r w:rsidR="001A70F8">
        <w:t>:</w:t>
      </w:r>
    </w:p>
    <w:p w:rsidR="001A70F8" w:rsidRDefault="001A70F8" w:rsidP="001A70F8">
      <w:pPr>
        <w:pStyle w:val="BodyText"/>
        <w:numPr>
          <w:ilvl w:val="0"/>
          <w:numId w:val="18"/>
        </w:numPr>
        <w:spacing w:line="261" w:lineRule="auto"/>
      </w:pPr>
      <w:r>
        <w:t>owners to sell their shares;</w:t>
      </w:r>
    </w:p>
    <w:p w:rsidR="001A70F8" w:rsidRDefault="00D0796A" w:rsidP="001A70F8">
      <w:pPr>
        <w:pStyle w:val="BodyText"/>
        <w:numPr>
          <w:ilvl w:val="0"/>
          <w:numId w:val="18"/>
        </w:numPr>
        <w:spacing w:line="261" w:lineRule="auto"/>
      </w:pPr>
      <w:r>
        <w:t>potential owners to purchase shares</w:t>
      </w:r>
      <w:r w:rsidR="001A70F8">
        <w:t>;</w:t>
      </w:r>
      <w:r>
        <w:t xml:space="preserve"> or </w:t>
      </w:r>
    </w:p>
    <w:p w:rsidR="001A70F8" w:rsidRDefault="00D0796A" w:rsidP="001A70F8">
      <w:pPr>
        <w:pStyle w:val="BodyText"/>
        <w:numPr>
          <w:ilvl w:val="0"/>
          <w:numId w:val="18"/>
        </w:numPr>
        <w:spacing w:line="261" w:lineRule="auto"/>
      </w:pPr>
      <w:r>
        <w:t>banks or financial institutions to regi</w:t>
      </w:r>
      <w:r w:rsidR="001A70F8">
        <w:t>ster a mortgage over the shares</w:t>
      </w:r>
      <w:r w:rsidR="00AB0F16">
        <w:t>;</w:t>
      </w:r>
      <w:r>
        <w:t xml:space="preserve"> </w:t>
      </w:r>
    </w:p>
    <w:p w:rsidR="001A70F8" w:rsidRDefault="001A70F8" w:rsidP="00E16D39">
      <w:pPr>
        <w:pStyle w:val="BodyText"/>
      </w:pPr>
      <w:proofErr w:type="gramStart"/>
      <w:r>
        <w:t>the</w:t>
      </w:r>
      <w:proofErr w:type="gramEnd"/>
      <w:r>
        <w:t xml:space="preserve"> person providing the report will be considered to be providing financial product advice and must </w:t>
      </w:r>
      <w:r w:rsidRPr="005F12EF">
        <w:t>hold an Australian financial services licence</w:t>
      </w:r>
      <w:r>
        <w:t xml:space="preserve"> </w:t>
      </w:r>
      <w:r w:rsidRPr="005F12EF">
        <w:t>and comply with the obligations of a financial services licensee in Chapter 7 of the Act.</w:t>
      </w:r>
      <w:r w:rsidR="00E16D39">
        <w:t xml:space="preserve">  R</w:t>
      </w:r>
      <w:r w:rsidR="00E16D39" w:rsidRPr="008F2EE1">
        <w:t xml:space="preserve">eal estate agents or others who regularly market or sell shares in real estate companies may </w:t>
      </w:r>
      <w:r w:rsidR="00E16D39">
        <w:t xml:space="preserve">also </w:t>
      </w:r>
      <w:r w:rsidR="00E16D39" w:rsidRPr="008F2EE1">
        <w:t>need to hold an</w:t>
      </w:r>
      <w:r w:rsidR="00E16D39">
        <w:t xml:space="preserve"> </w:t>
      </w:r>
      <w:r w:rsidR="00E16D39" w:rsidRPr="004B1D0D">
        <w:t>A</w:t>
      </w:r>
      <w:r w:rsidR="00AB0F16">
        <w:t xml:space="preserve">ustralian </w:t>
      </w:r>
      <w:r w:rsidR="001832EB">
        <w:t>financial services</w:t>
      </w:r>
      <w:r w:rsidR="00E16D39">
        <w:t xml:space="preserve"> licence</w:t>
      </w:r>
      <w:r w:rsidR="00E16D39" w:rsidRPr="008F2EE1">
        <w:t xml:space="preserve"> because t</w:t>
      </w:r>
      <w:r w:rsidR="00E16D39">
        <w:t xml:space="preserve">hey are dealing in or providing </w:t>
      </w:r>
      <w:r w:rsidR="00E16D39" w:rsidRPr="008F2EE1">
        <w:t>advice in relation to shares</w:t>
      </w:r>
      <w:r w:rsidR="001832EB">
        <w:t>. S</w:t>
      </w:r>
      <w:r w:rsidR="00E16D39" w:rsidRPr="008F2EE1">
        <w:t xml:space="preserve">hares are a </w:t>
      </w:r>
      <w:r w:rsidR="001832EB">
        <w:t xml:space="preserve">kind of </w:t>
      </w:r>
      <w:r w:rsidR="00E16D39" w:rsidRPr="008F2EE1">
        <w:t>financial product.</w:t>
      </w:r>
    </w:p>
    <w:p w:rsidR="00D16D96" w:rsidRDefault="00D16D96" w:rsidP="00B45B2B">
      <w:pPr>
        <w:pStyle w:val="BodyText"/>
        <w:spacing w:line="261" w:lineRule="auto"/>
      </w:pPr>
      <w:r>
        <w:lastRenderedPageBreak/>
        <w:t>A</w:t>
      </w:r>
      <w:r w:rsidRPr="00B45B2B">
        <w:t>SIC made</w:t>
      </w:r>
      <w:r w:rsidR="00DD20CD">
        <w:t xml:space="preserve"> ASIC Class Order </w:t>
      </w:r>
      <w:r w:rsidR="00D823B2">
        <w:t>[</w:t>
      </w:r>
      <w:r w:rsidRPr="00B45B2B">
        <w:t>CO 0</w:t>
      </w:r>
      <w:r>
        <w:t>0</w:t>
      </w:r>
      <w:r w:rsidRPr="00B45B2B">
        <w:t>/</w:t>
      </w:r>
      <w:r>
        <w:t>213</w:t>
      </w:r>
      <w:r w:rsidRPr="00B45B2B">
        <w:t>]</w:t>
      </w:r>
      <w:r>
        <w:t xml:space="preserve"> </w:t>
      </w:r>
      <w:r w:rsidR="00DD20CD">
        <w:rPr>
          <w:i/>
        </w:rPr>
        <w:t xml:space="preserve">Real estate </w:t>
      </w:r>
      <w:proofErr w:type="gramStart"/>
      <w:r w:rsidR="00DD20CD">
        <w:rPr>
          <w:i/>
        </w:rPr>
        <w:t xml:space="preserve">companies </w:t>
      </w:r>
      <w:r w:rsidR="00DD20CD">
        <w:t xml:space="preserve"> </w:t>
      </w:r>
      <w:r>
        <w:t>and</w:t>
      </w:r>
      <w:proofErr w:type="gramEnd"/>
      <w:r>
        <w:t xml:space="preserve"> </w:t>
      </w:r>
      <w:r w:rsidR="00DD20CD">
        <w:t xml:space="preserve">ASIC Class Order </w:t>
      </w:r>
      <w:r>
        <w:t xml:space="preserve">[CO 05/1243] </w:t>
      </w:r>
      <w:r w:rsidR="00DD20CD" w:rsidRPr="00BC741D">
        <w:rPr>
          <w:i/>
        </w:rPr>
        <w:t>Licensing relief for valuers providing valuations of shares in real estate companies</w:t>
      </w:r>
      <w:r w:rsidR="00DD20CD">
        <w:t xml:space="preserve">  </w:t>
      </w:r>
      <w:r>
        <w:t xml:space="preserve">in </w:t>
      </w:r>
      <w:r w:rsidR="00AF6824">
        <w:t>recognition that shares in real estate companies</w:t>
      </w:r>
      <w:r w:rsidR="00AF6824" w:rsidRPr="008540A7">
        <w:t xml:space="preserve"> are commercially regarded as real estate interests and</w:t>
      </w:r>
      <w:r w:rsidR="00AF6824">
        <w:t xml:space="preserve"> that if these shares are treated as such,</w:t>
      </w:r>
      <w:r w:rsidR="00AF6824" w:rsidRPr="008540A7">
        <w:t xml:space="preserve"> </w:t>
      </w:r>
      <w:r w:rsidR="00AF6824">
        <w:t xml:space="preserve">rather than as a financial product, </w:t>
      </w:r>
      <w:r w:rsidR="00AF6824" w:rsidRPr="008540A7">
        <w:t xml:space="preserve">there </w:t>
      </w:r>
      <w:r w:rsidR="00AF6824">
        <w:t>will be</w:t>
      </w:r>
      <w:r w:rsidR="00AF6824" w:rsidRPr="008540A7">
        <w:t xml:space="preserve"> adequate consumer protection</w:t>
      </w:r>
      <w:r w:rsidR="00AF6824">
        <w:t xml:space="preserve">.  </w:t>
      </w:r>
      <w:r w:rsidR="001832EB">
        <w:t xml:space="preserve">Class Orders </w:t>
      </w:r>
      <w:r w:rsidR="00AF6824">
        <w:t>[</w:t>
      </w:r>
      <w:r w:rsidR="00AF6824" w:rsidRPr="00B45B2B">
        <w:t>CO 0</w:t>
      </w:r>
      <w:r w:rsidR="00AF6824">
        <w:t>0</w:t>
      </w:r>
      <w:r w:rsidR="00AF6824" w:rsidRPr="00B45B2B">
        <w:t>/</w:t>
      </w:r>
      <w:r w:rsidR="00AF6824">
        <w:t>213</w:t>
      </w:r>
      <w:r w:rsidR="00AF6824" w:rsidRPr="00B45B2B">
        <w:t>]</w:t>
      </w:r>
      <w:r w:rsidR="00AF6824">
        <w:t xml:space="preserve"> and [CO 05/1243] </w:t>
      </w:r>
      <w:r w:rsidR="00D823B2">
        <w:t>ensure</w:t>
      </w:r>
      <w:r w:rsidR="001832EB">
        <w:t>d</w:t>
      </w:r>
      <w:r w:rsidR="00D823B2">
        <w:t xml:space="preserve"> that </w:t>
      </w:r>
      <w:r w:rsidR="00C77CF1">
        <w:t xml:space="preserve">owners of shares in real estate companies, real estate agents and valuers will not be subject to a regulatory burden that is </w:t>
      </w:r>
      <w:r w:rsidR="0041616C">
        <w:t>unnecessary and dis</w:t>
      </w:r>
      <w:r w:rsidR="00C77CF1">
        <w:t>proportionate to the need for consumer protection.</w:t>
      </w:r>
      <w:r w:rsidR="00AF6824">
        <w:t xml:space="preserve"> </w:t>
      </w:r>
    </w:p>
    <w:p w:rsidR="007E3285" w:rsidRDefault="007E3285" w:rsidP="007E3285">
      <w:pPr>
        <w:pStyle w:val="BodyText"/>
        <w:spacing w:before="199"/>
      </w:pPr>
      <w:r>
        <w:t xml:space="preserve">Under the </w:t>
      </w:r>
      <w:r>
        <w:rPr>
          <w:i/>
        </w:rPr>
        <w:t>Legislative Instruments Act 2003</w:t>
      </w:r>
      <w:r>
        <w:t xml:space="preserve">, legislative instruments cease automatically, or ‘sunset’, after 10 years, unless action is taken to exempt or preserve them. To preserve its effect, a legislative instrument must be remade before its sunset date. </w:t>
      </w:r>
    </w:p>
    <w:p w:rsidR="00955ACF" w:rsidRDefault="00955ACF" w:rsidP="00955ACF">
      <w:pPr>
        <w:pStyle w:val="BodyText"/>
        <w:spacing w:line="261" w:lineRule="auto"/>
      </w:pPr>
      <w:proofErr w:type="gramStart"/>
      <w:r>
        <w:t>[CO 00/213] sunsets on 1 October 2016 and [CO 05/1243] sunsets on 1 April 2016.</w:t>
      </w:r>
      <w:proofErr w:type="gramEnd"/>
      <w:r>
        <w:t xml:space="preserve"> ASIC has reviewed the operation of these instruments and, as a result of that review, made:</w:t>
      </w:r>
    </w:p>
    <w:p w:rsidR="00955ACF" w:rsidRDefault="00955ACF" w:rsidP="00955ACF">
      <w:pPr>
        <w:pStyle w:val="BodyText"/>
        <w:numPr>
          <w:ilvl w:val="0"/>
          <w:numId w:val="23"/>
        </w:numPr>
      </w:pPr>
      <w:r>
        <w:t xml:space="preserve">the </w:t>
      </w:r>
      <w:r w:rsidR="001832EB">
        <w:t>principal instrument</w:t>
      </w:r>
      <w:r w:rsidR="0034631C">
        <w:t>, which has the effect of continuing the relief underlying</w:t>
      </w:r>
      <w:r w:rsidR="001832EB">
        <w:t xml:space="preserve"> </w:t>
      </w:r>
      <w:r>
        <w:t xml:space="preserve">[CO 00/213] and [CO 05/1243]; </w:t>
      </w:r>
      <w:r w:rsidRPr="00955ACF">
        <w:t xml:space="preserve">and </w:t>
      </w:r>
    </w:p>
    <w:p w:rsidR="00955ACF" w:rsidRDefault="0034631C" w:rsidP="00955ACF">
      <w:pPr>
        <w:pStyle w:val="BodyText"/>
        <w:numPr>
          <w:ilvl w:val="0"/>
          <w:numId w:val="23"/>
        </w:numPr>
      </w:pPr>
      <w:proofErr w:type="gramStart"/>
      <w:r w:rsidRPr="00FE4943">
        <w:t>the</w:t>
      </w:r>
      <w:proofErr w:type="gramEnd"/>
      <w:r w:rsidRPr="00FE4943">
        <w:t xml:space="preserve"> repeal instrument</w:t>
      </w:r>
      <w:r>
        <w:t>, which</w:t>
      </w:r>
      <w:r w:rsidR="00955ACF" w:rsidRPr="00955ACF">
        <w:t xml:space="preserve"> </w:t>
      </w:r>
      <w:r>
        <w:t>repeals</w:t>
      </w:r>
      <w:r w:rsidR="00955ACF" w:rsidRPr="00955ACF">
        <w:t xml:space="preserve"> [CO 00/213] and [CO 05/1243]</w:t>
      </w:r>
      <w:r>
        <w:t xml:space="preserve"> before their statutory sunsetting in 2016</w:t>
      </w:r>
      <w:r w:rsidR="00955ACF" w:rsidRPr="00955ACF">
        <w:t>.</w:t>
      </w:r>
    </w:p>
    <w:p w:rsidR="00C77CF1" w:rsidRPr="00B45B2B" w:rsidRDefault="00C77CF1" w:rsidP="00B45B2B">
      <w:pPr>
        <w:pStyle w:val="BodyText"/>
        <w:spacing w:line="261" w:lineRule="auto"/>
      </w:pPr>
    </w:p>
    <w:p w:rsidR="005B0E3A" w:rsidRPr="00D0796A" w:rsidRDefault="005B0E3A" w:rsidP="00FE4943">
      <w:pPr>
        <w:widowControl w:val="0"/>
        <w:numPr>
          <w:ilvl w:val="0"/>
          <w:numId w:val="7"/>
        </w:numPr>
        <w:spacing w:before="145" w:after="0"/>
        <w:ind w:left="567" w:hanging="567"/>
        <w:rPr>
          <w:rFonts w:ascii="Arial"/>
          <w:b/>
          <w:spacing w:val="-1"/>
          <w:sz w:val="24"/>
        </w:rPr>
      </w:pPr>
      <w:bookmarkStart w:id="1" w:name="2._Purpose_of_the_class_order_"/>
      <w:bookmarkEnd w:id="1"/>
      <w:r w:rsidRPr="00D0796A">
        <w:rPr>
          <w:rFonts w:ascii="Arial"/>
          <w:b/>
          <w:spacing w:val="-1"/>
          <w:sz w:val="24"/>
        </w:rPr>
        <w:t>Purpose of the instrument</w:t>
      </w:r>
      <w:r w:rsidR="0034631C">
        <w:rPr>
          <w:rFonts w:ascii="Arial"/>
          <w:b/>
          <w:spacing w:val="-1"/>
          <w:sz w:val="24"/>
        </w:rPr>
        <w:t>s</w:t>
      </w:r>
    </w:p>
    <w:p w:rsidR="00BF2153" w:rsidRDefault="00A640F3" w:rsidP="00AF6824">
      <w:pPr>
        <w:pStyle w:val="BodyText"/>
        <w:spacing w:line="261" w:lineRule="auto"/>
      </w:pPr>
      <w:r w:rsidRPr="009844FF">
        <w:t>The purpose of</w:t>
      </w:r>
      <w:r w:rsidR="0034631C">
        <w:t xml:space="preserve"> the principal instrument</w:t>
      </w:r>
      <w:r w:rsidR="004A53C0">
        <w:t xml:space="preserve"> </w:t>
      </w:r>
      <w:r w:rsidRPr="009844FF">
        <w:t>is to</w:t>
      </w:r>
      <w:r w:rsidR="00E16D39">
        <w:t xml:space="preserve"> ensure that</w:t>
      </w:r>
      <w:r w:rsidR="00BF2153">
        <w:t>:</w:t>
      </w:r>
    </w:p>
    <w:p w:rsidR="00E16D39" w:rsidRDefault="00E16D39" w:rsidP="00E16D39">
      <w:pPr>
        <w:pStyle w:val="BodyText"/>
        <w:numPr>
          <w:ilvl w:val="0"/>
          <w:numId w:val="21"/>
        </w:numPr>
      </w:pPr>
      <w:r>
        <w:t xml:space="preserve">Vendors involved in secondary sales of shares in real estate companies; </w:t>
      </w:r>
    </w:p>
    <w:p w:rsidR="00E16D39" w:rsidRDefault="00E16D39" w:rsidP="00E16D39">
      <w:pPr>
        <w:pStyle w:val="BodyText"/>
        <w:numPr>
          <w:ilvl w:val="0"/>
          <w:numId w:val="21"/>
        </w:numPr>
      </w:pPr>
      <w:r>
        <w:t xml:space="preserve">Real estate agents or others </w:t>
      </w:r>
      <w:r w:rsidRPr="008F2EE1">
        <w:t>who regularly market or sell shares in real estate companies</w:t>
      </w:r>
      <w:r>
        <w:t>; and</w:t>
      </w:r>
    </w:p>
    <w:p w:rsidR="00E16D39" w:rsidRDefault="00FA5DA6" w:rsidP="00BF2153">
      <w:pPr>
        <w:pStyle w:val="BodyText"/>
        <w:numPr>
          <w:ilvl w:val="0"/>
          <w:numId w:val="21"/>
        </w:numPr>
        <w:spacing w:line="261" w:lineRule="auto"/>
      </w:pPr>
      <w:r>
        <w:t>Valuers who provide</w:t>
      </w:r>
      <w:r w:rsidR="00A640F3" w:rsidRPr="009844FF">
        <w:t xml:space="preserve"> valuations of shares in real estate companies</w:t>
      </w:r>
    </w:p>
    <w:p w:rsidR="0082261B" w:rsidRDefault="00A640F3" w:rsidP="00E16D39">
      <w:pPr>
        <w:pStyle w:val="BodyText"/>
        <w:spacing w:line="261" w:lineRule="auto"/>
      </w:pPr>
      <w:proofErr w:type="gramStart"/>
      <w:r w:rsidRPr="009844FF">
        <w:t>are</w:t>
      </w:r>
      <w:proofErr w:type="gramEnd"/>
      <w:r w:rsidRPr="009844FF">
        <w:t xml:space="preserve"> not subject to inappropriate regulation </w:t>
      </w:r>
      <w:r w:rsidR="005603AF">
        <w:t xml:space="preserve">and the unreasonable cost burden that would be imposed on these persons </w:t>
      </w:r>
      <w:r w:rsidR="005603AF" w:rsidRPr="009844FF">
        <w:t>under the financial services regulatory regime</w:t>
      </w:r>
      <w:r w:rsidRPr="009844FF">
        <w:t>.</w:t>
      </w:r>
    </w:p>
    <w:p w:rsidR="00A640F3" w:rsidRDefault="005603AF" w:rsidP="00E16D39">
      <w:pPr>
        <w:pStyle w:val="BodyText"/>
        <w:spacing w:line="261" w:lineRule="auto"/>
      </w:pPr>
      <w:r>
        <w:t xml:space="preserve">In combining the </w:t>
      </w:r>
      <w:r w:rsidR="009066F3">
        <w:t xml:space="preserve">previous </w:t>
      </w:r>
      <w:r>
        <w:t xml:space="preserve">relief provided under </w:t>
      </w:r>
      <w:r w:rsidR="0034631C">
        <w:t>Class Orders</w:t>
      </w:r>
      <w:r w:rsidRPr="00B45B2B">
        <w:t xml:space="preserve"> [CO 0</w:t>
      </w:r>
      <w:r>
        <w:t>0</w:t>
      </w:r>
      <w:r w:rsidRPr="00B45B2B">
        <w:t>/</w:t>
      </w:r>
      <w:r>
        <w:t>213] and [CO</w:t>
      </w:r>
      <w:r w:rsidR="009066F3">
        <w:t> </w:t>
      </w:r>
      <w:r>
        <w:t xml:space="preserve">05/1243], </w:t>
      </w:r>
      <w:r w:rsidR="0034631C">
        <w:t xml:space="preserve">the principal instrument </w:t>
      </w:r>
      <w:r w:rsidR="00FA5DA6">
        <w:t xml:space="preserve">will also </w:t>
      </w:r>
      <w:r w:rsidR="00A640F3">
        <w:t>ensure a</w:t>
      </w:r>
      <w:r w:rsidR="00A640F3" w:rsidRPr="009844FF">
        <w:t xml:space="preserve"> consistent regulatory approach to the regu</w:t>
      </w:r>
      <w:r>
        <w:t>lation of real estate companies.</w:t>
      </w:r>
    </w:p>
    <w:p w:rsidR="001A05C6" w:rsidRPr="004A53C0" w:rsidRDefault="001A05C6" w:rsidP="004A53C0">
      <w:pPr>
        <w:pStyle w:val="BodyText"/>
        <w:spacing w:before="199"/>
      </w:pPr>
      <w:r w:rsidRPr="004A53C0">
        <w:t xml:space="preserve">The purpose of the </w:t>
      </w:r>
      <w:r w:rsidR="004A53C0">
        <w:t xml:space="preserve">repeal instrument </w:t>
      </w:r>
      <w:r w:rsidRPr="004A53C0">
        <w:t>is to</w:t>
      </w:r>
      <w:r w:rsidR="004A53C0" w:rsidRPr="004A53C0">
        <w:t xml:space="preserve"> </w:t>
      </w:r>
      <w:r w:rsidR="00EC791C">
        <w:t xml:space="preserve">discontinue the licensing and disclosure relief provided by </w:t>
      </w:r>
      <w:r w:rsidRPr="004A53C0">
        <w:t>[CO 00/213] and [CO 05/1243]</w:t>
      </w:r>
      <w:r w:rsidR="009066F3">
        <w:t>.</w:t>
      </w:r>
    </w:p>
    <w:p w:rsidR="005B0E3A" w:rsidRDefault="005B0E3A" w:rsidP="005B0E3A">
      <w:pPr>
        <w:spacing w:line="240" w:lineRule="exact"/>
        <w:rPr>
          <w:sz w:val="24"/>
          <w:szCs w:val="24"/>
        </w:rPr>
      </w:pPr>
    </w:p>
    <w:p w:rsidR="009066F3" w:rsidRDefault="009066F3" w:rsidP="005B0E3A">
      <w:pPr>
        <w:spacing w:line="240" w:lineRule="exact"/>
        <w:rPr>
          <w:sz w:val="24"/>
          <w:szCs w:val="24"/>
        </w:rPr>
      </w:pPr>
    </w:p>
    <w:p w:rsidR="005B0E3A" w:rsidRPr="00A640F3" w:rsidRDefault="005B0E3A" w:rsidP="00A640F3">
      <w:pPr>
        <w:widowControl w:val="0"/>
        <w:numPr>
          <w:ilvl w:val="0"/>
          <w:numId w:val="7"/>
        </w:numPr>
        <w:tabs>
          <w:tab w:val="left" w:pos="1592"/>
        </w:tabs>
        <w:spacing w:before="145" w:after="0"/>
        <w:ind w:left="0" w:firstLine="0"/>
        <w:rPr>
          <w:rFonts w:ascii="Arial"/>
          <w:b/>
          <w:spacing w:val="-1"/>
          <w:sz w:val="24"/>
        </w:rPr>
      </w:pPr>
      <w:bookmarkStart w:id="2" w:name="3._Operation_of_the_class_order_"/>
      <w:bookmarkEnd w:id="2"/>
      <w:r w:rsidRPr="00A640F3">
        <w:rPr>
          <w:rFonts w:ascii="Arial"/>
          <w:b/>
          <w:spacing w:val="-1"/>
          <w:sz w:val="24"/>
        </w:rPr>
        <w:lastRenderedPageBreak/>
        <w:t>Operation of the instrument</w:t>
      </w:r>
    </w:p>
    <w:p w:rsidR="005B0E3A" w:rsidRDefault="005B0E3A" w:rsidP="005B0E3A">
      <w:pPr>
        <w:spacing w:before="4" w:line="220" w:lineRule="exact"/>
      </w:pPr>
    </w:p>
    <w:p w:rsidR="00ED71FA" w:rsidRDefault="00EC791C" w:rsidP="00177139">
      <w:pPr>
        <w:pStyle w:val="BodyText"/>
        <w:spacing w:line="261" w:lineRule="auto"/>
      </w:pPr>
      <w:r>
        <w:t>T</w:t>
      </w:r>
      <w:r w:rsidR="009066F3">
        <w:t>he principal instrument</w:t>
      </w:r>
      <w:r w:rsidR="00177139">
        <w:t xml:space="preserve"> exempts p</w:t>
      </w:r>
      <w:r w:rsidR="00177139" w:rsidRPr="008540A7">
        <w:t>ersons who sell s</w:t>
      </w:r>
      <w:r w:rsidR="00177139">
        <w:t>hares in a real estate company from the</w:t>
      </w:r>
      <w:r w:rsidR="00ED71FA">
        <w:t xml:space="preserve"> requirement to comply with the</w:t>
      </w:r>
      <w:r w:rsidR="00177139">
        <w:t xml:space="preserve"> disclosure requirements in s</w:t>
      </w:r>
      <w:r w:rsidR="009066F3">
        <w:t xml:space="preserve">ection </w:t>
      </w:r>
      <w:r w:rsidR="00177139">
        <w:t>707 of the Act</w:t>
      </w:r>
      <w:r w:rsidR="00177139" w:rsidRPr="008540A7">
        <w:t xml:space="preserve"> </w:t>
      </w:r>
      <w:r w:rsidR="00ED71FA">
        <w:t>where a number of conditions are met, including that:</w:t>
      </w:r>
    </w:p>
    <w:p w:rsidR="00ED71FA" w:rsidRDefault="00ED71FA" w:rsidP="00ED71FA">
      <w:pPr>
        <w:pStyle w:val="BodyText"/>
        <w:numPr>
          <w:ilvl w:val="0"/>
          <w:numId w:val="22"/>
        </w:numPr>
      </w:pPr>
      <w:r>
        <w:t>The sale is made by or on behalf of the vendor</w:t>
      </w:r>
    </w:p>
    <w:p w:rsidR="00ED71FA" w:rsidRDefault="00ED71FA" w:rsidP="00ED71FA">
      <w:pPr>
        <w:pStyle w:val="BodyText"/>
        <w:numPr>
          <w:ilvl w:val="0"/>
          <w:numId w:val="22"/>
        </w:numPr>
      </w:pPr>
      <w:r>
        <w:t>The draft contract for sale is publicly available</w:t>
      </w:r>
    </w:p>
    <w:p w:rsidR="00ED71FA" w:rsidRDefault="00ED71FA" w:rsidP="00ED71FA">
      <w:pPr>
        <w:pStyle w:val="BodyText"/>
        <w:numPr>
          <w:ilvl w:val="0"/>
          <w:numId w:val="22"/>
        </w:numPr>
      </w:pPr>
      <w:r>
        <w:t>The terms of the sale contract include certain provisions regarding the real estate company and the property.</w:t>
      </w:r>
    </w:p>
    <w:p w:rsidR="003D3162" w:rsidRDefault="00EC791C" w:rsidP="00D65026">
      <w:pPr>
        <w:pStyle w:val="BodyText"/>
        <w:spacing w:line="261" w:lineRule="auto"/>
      </w:pPr>
      <w:r>
        <w:t xml:space="preserve">The principal instrument </w:t>
      </w:r>
      <w:r w:rsidR="000D7831">
        <w:t>also gives relief from the licensing requirements of the Act for</w:t>
      </w:r>
      <w:r w:rsidR="003D3162">
        <w:t>:</w:t>
      </w:r>
    </w:p>
    <w:p w:rsidR="003D3162" w:rsidRDefault="000D7831" w:rsidP="003D3162">
      <w:pPr>
        <w:pStyle w:val="BodyText"/>
        <w:numPr>
          <w:ilvl w:val="0"/>
          <w:numId w:val="23"/>
        </w:numPr>
      </w:pPr>
      <w:r>
        <w:t xml:space="preserve">persons who provide general advice and dealing in relation to </w:t>
      </w:r>
      <w:r w:rsidR="003D3162">
        <w:t>shares in a real estate company;</w:t>
      </w:r>
      <w:r>
        <w:t xml:space="preserve"> </w:t>
      </w:r>
      <w:r w:rsidR="00EC791C">
        <w:t>and</w:t>
      </w:r>
      <w:r>
        <w:t xml:space="preserve"> </w:t>
      </w:r>
    </w:p>
    <w:p w:rsidR="003D3162" w:rsidRDefault="003D3162" w:rsidP="003D3162">
      <w:pPr>
        <w:pStyle w:val="BodyText"/>
        <w:numPr>
          <w:ilvl w:val="0"/>
          <w:numId w:val="23"/>
        </w:numPr>
      </w:pPr>
      <w:proofErr w:type="gramStart"/>
      <w:r>
        <w:t>persons</w:t>
      </w:r>
      <w:proofErr w:type="gramEnd"/>
      <w:r>
        <w:t xml:space="preserve"> who</w:t>
      </w:r>
      <w:r w:rsidR="000D7831">
        <w:t xml:space="preserve"> provide gen</w:t>
      </w:r>
      <w:r w:rsidR="00552506">
        <w:t xml:space="preserve">eral advice that is, or is incidental to, a valuation of shares in a real estate company.  </w:t>
      </w:r>
    </w:p>
    <w:p w:rsidR="00D65026" w:rsidRDefault="00D65026" w:rsidP="003D3162">
      <w:pPr>
        <w:pStyle w:val="BodyText"/>
      </w:pPr>
      <w:r>
        <w:t xml:space="preserve">This means that the </w:t>
      </w:r>
      <w:r w:rsidRPr="00232E34">
        <w:t>licensing, conduct and disclosure</w:t>
      </w:r>
      <w:r>
        <w:t xml:space="preserve"> obligations will not apply to those persons in those circumstances.</w:t>
      </w:r>
    </w:p>
    <w:p w:rsidR="001A05C6" w:rsidRDefault="00EC791C" w:rsidP="001A05C6">
      <w:pPr>
        <w:pStyle w:val="BodyText"/>
        <w:spacing w:line="259" w:lineRule="auto"/>
        <w:rPr>
          <w:color w:val="000000"/>
        </w:rPr>
      </w:pPr>
      <w:r>
        <w:rPr>
          <w:spacing w:val="-1"/>
        </w:rPr>
        <w:t xml:space="preserve">The repeal instrument </w:t>
      </w:r>
      <w:r>
        <w:rPr>
          <w:color w:val="000000"/>
        </w:rPr>
        <w:t xml:space="preserve">repeals </w:t>
      </w:r>
      <w:r w:rsidR="001A05C6" w:rsidRPr="00FE4943">
        <w:rPr>
          <w:color w:val="000000"/>
        </w:rPr>
        <w:t>[CO 00/213] and [CO 05/1243]</w:t>
      </w:r>
      <w:r>
        <w:rPr>
          <w:color w:val="000000"/>
        </w:rPr>
        <w:t>.</w:t>
      </w:r>
    </w:p>
    <w:p w:rsidR="005B0E3A" w:rsidRDefault="005B0E3A" w:rsidP="005B0E3A">
      <w:pPr>
        <w:spacing w:line="240" w:lineRule="exact"/>
        <w:rPr>
          <w:sz w:val="24"/>
          <w:szCs w:val="24"/>
        </w:rPr>
      </w:pPr>
    </w:p>
    <w:p w:rsidR="005B0E3A" w:rsidRPr="00D65026" w:rsidRDefault="005B0E3A" w:rsidP="00FE4943">
      <w:pPr>
        <w:widowControl w:val="0"/>
        <w:numPr>
          <w:ilvl w:val="0"/>
          <w:numId w:val="7"/>
        </w:numPr>
        <w:spacing w:before="145" w:after="0"/>
        <w:ind w:left="567" w:hanging="567"/>
        <w:rPr>
          <w:rFonts w:ascii="Arial"/>
          <w:b/>
          <w:spacing w:val="-1"/>
          <w:sz w:val="24"/>
        </w:rPr>
      </w:pPr>
      <w:bookmarkStart w:id="3" w:name="4._Documents_incorporated_by_reference"/>
      <w:bookmarkStart w:id="4" w:name="5._Consultation"/>
      <w:bookmarkEnd w:id="3"/>
      <w:bookmarkEnd w:id="4"/>
      <w:r w:rsidRPr="00D65026">
        <w:rPr>
          <w:rFonts w:ascii="Arial"/>
          <w:b/>
          <w:spacing w:val="-1"/>
          <w:sz w:val="24"/>
        </w:rPr>
        <w:t>Consultation</w:t>
      </w:r>
    </w:p>
    <w:p w:rsidR="0080164B" w:rsidRPr="0080164B" w:rsidRDefault="0080164B" w:rsidP="0080164B">
      <w:pPr>
        <w:pStyle w:val="BodyText"/>
        <w:spacing w:line="261" w:lineRule="auto"/>
      </w:pPr>
      <w:r w:rsidRPr="0080164B">
        <w:t xml:space="preserve">On 26 August 2015, ASIC released Consultation Paper 237 </w:t>
      </w:r>
      <w:r w:rsidRPr="0080164B">
        <w:rPr>
          <w:i/>
        </w:rPr>
        <w:t>Remaking ASIC class orders on real estate companies: [CO 00/213] and [CO 05/1243]</w:t>
      </w:r>
      <w:r w:rsidRPr="0080164B">
        <w:t xml:space="preserve">  (CP 237) seeking feedback on our proposals to update our guidance for responsible entities of registered managed investment schemes in holding scheme property and other assets. These proposals would also be relevant for licensed custody providers, managed discretionary account operators, and investor directed portfolio service operators. The consultation period closed on 23 September 2015. </w:t>
      </w:r>
    </w:p>
    <w:p w:rsidR="00F16634" w:rsidRPr="0080164B" w:rsidRDefault="0080164B" w:rsidP="0080164B">
      <w:pPr>
        <w:pStyle w:val="BodyText"/>
        <w:spacing w:line="261" w:lineRule="auto"/>
      </w:pPr>
      <w:r w:rsidRPr="0080164B">
        <w:t xml:space="preserve">ASIC received 1 non-confidential </w:t>
      </w:r>
      <w:r>
        <w:t>written response</w:t>
      </w:r>
      <w:r w:rsidRPr="0080164B">
        <w:t xml:space="preserve"> to the proposals in CP 237 from </w:t>
      </w:r>
      <w:r w:rsidR="00F16634">
        <w:t>the Australian Property Institute (API), which is the peak industry body for property professionals including valuers, property lawyers, property advisers and property managers.  The submission from the API supported ASIC’s proposals to remake and consolidate [CO 00/213] and [CO 05/1243]</w:t>
      </w:r>
      <w:r w:rsidR="00EC791C">
        <w:t xml:space="preserve"> into the principal instrument</w:t>
      </w:r>
      <w:r w:rsidR="00F16634">
        <w:t>.</w:t>
      </w:r>
    </w:p>
    <w:p w:rsidR="00D65F53" w:rsidRDefault="00D65F53"/>
    <w:p w:rsidR="00D65F53" w:rsidRDefault="00D65F53"/>
    <w:p w:rsidR="001A05C6" w:rsidRDefault="001A05C6">
      <w:pPr>
        <w:spacing w:after="0"/>
      </w:pPr>
      <w:r>
        <w:br w:type="page"/>
      </w:r>
    </w:p>
    <w:p w:rsidR="000076D6" w:rsidRDefault="000076D6">
      <w:r>
        <w:rPr>
          <w:noProof/>
        </w:rPr>
        <w:lastRenderedPageBreak/>
        <mc:AlternateContent>
          <mc:Choice Requires="wps">
            <w:drawing>
              <wp:anchor distT="0" distB="0" distL="114300" distR="114300" simplePos="0" relativeHeight="251659264" behindDoc="0" locked="0" layoutInCell="1" allowOverlap="1" wp14:anchorId="51E1E291" wp14:editId="61BDB64E">
                <wp:simplePos x="0" y="0"/>
                <wp:positionH relativeFrom="column">
                  <wp:posOffset>175895</wp:posOffset>
                </wp:positionH>
                <wp:positionV relativeFrom="paragraph">
                  <wp:posOffset>561975</wp:posOffset>
                </wp:positionV>
                <wp:extent cx="5311140" cy="77438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7438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Default="00637665" w:rsidP="000076D6">
                            <w:pPr>
                              <w:spacing w:before="120" w:after="120"/>
                              <w:jc w:val="center"/>
                              <w:rPr>
                                <w:b/>
                                <w:i/>
                              </w:rPr>
                            </w:pPr>
                            <w:r w:rsidRPr="00637665">
                              <w:rPr>
                                <w:b/>
                                <w:i/>
                              </w:rPr>
                              <w:t>ASIC Corporations (Real Estate Compani</w:t>
                            </w:r>
                            <w:r w:rsidR="00424DEC">
                              <w:rPr>
                                <w:b/>
                                <w:i/>
                              </w:rPr>
                              <w:t>e</w:t>
                            </w:r>
                            <w:r w:rsidRPr="00637665">
                              <w:rPr>
                                <w:b/>
                                <w:i/>
                              </w:rPr>
                              <w:t>s) Instrument 2015</w:t>
                            </w:r>
                            <w:r w:rsidR="00424DEC">
                              <w:rPr>
                                <w:b/>
                                <w:i/>
                              </w:rPr>
                              <w:t>/1049</w:t>
                            </w:r>
                          </w:p>
                          <w:p w:rsidR="004E6E0D" w:rsidRDefault="004E6E0D" w:rsidP="000076D6">
                            <w:pPr>
                              <w:spacing w:before="120" w:after="120"/>
                              <w:jc w:val="center"/>
                              <w:rPr>
                                <w:b/>
                                <w:i/>
                              </w:rPr>
                            </w:pPr>
                            <w:proofErr w:type="gramStart"/>
                            <w:r>
                              <w:rPr>
                                <w:b/>
                                <w:i/>
                              </w:rPr>
                              <w:t>and</w:t>
                            </w:r>
                            <w:proofErr w:type="gramEnd"/>
                            <w:r>
                              <w:rPr>
                                <w:b/>
                                <w:i/>
                              </w:rPr>
                              <w:t xml:space="preserve"> </w:t>
                            </w:r>
                          </w:p>
                          <w:p w:rsidR="004E6E0D" w:rsidRPr="004E6E0D" w:rsidRDefault="004E6E0D" w:rsidP="004E6E0D">
                            <w:pPr>
                              <w:spacing w:before="63" w:after="120" w:line="480" w:lineRule="auto"/>
                              <w:jc w:val="center"/>
                              <w:rPr>
                                <w:b/>
                                <w:i/>
                              </w:rPr>
                            </w:pPr>
                            <w:r w:rsidRPr="004E6E0D">
                              <w:rPr>
                                <w:b/>
                                <w:i/>
                              </w:rPr>
                              <w:t>ASIC Corporations (Repeal) Instrument 2015/1050</w:t>
                            </w:r>
                          </w:p>
                          <w:p w:rsidR="004E6E0D" w:rsidRDefault="004E6E0D" w:rsidP="000076D6">
                            <w:pPr>
                              <w:spacing w:before="120" w:after="120"/>
                              <w:jc w:val="center"/>
                              <w:rPr>
                                <w:b/>
                                <w:i/>
                              </w:rPr>
                            </w:pPr>
                          </w:p>
                          <w:p w:rsidR="000076D6" w:rsidRPr="00247F54" w:rsidRDefault="00637665" w:rsidP="000076D6">
                            <w:pPr>
                              <w:spacing w:before="120" w:after="120"/>
                              <w:jc w:val="center"/>
                            </w:pPr>
                            <w:r w:rsidRPr="00637665">
                              <w:rPr>
                                <w:i/>
                              </w:rPr>
                              <w:t>ASIC Corporations (Real Estate Companies) Instrument 2015</w:t>
                            </w:r>
                            <w:r w:rsidR="00D65F53">
                              <w:rPr>
                                <w:i/>
                              </w:rPr>
                              <w:t>/</w:t>
                            </w:r>
                            <w:r w:rsidR="001A05C6">
                              <w:rPr>
                                <w:i/>
                              </w:rPr>
                              <w:t>1049</w:t>
                            </w:r>
                            <w:r>
                              <w:t xml:space="preserve"> </w:t>
                            </w:r>
                            <w:r w:rsidR="004E6E0D">
                              <w:t xml:space="preserve">and </w:t>
                            </w:r>
                            <w:r w:rsidR="004E6E0D">
                              <w:rPr>
                                <w:i/>
                              </w:rPr>
                              <w:t xml:space="preserve">ASIC Corporations (Repeal) Instrument 2015/1050 </w:t>
                            </w:r>
                            <w:r w:rsidR="004E6E0D">
                              <w:t>are</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BF662E" w:rsidRDefault="00D65F53" w:rsidP="000076D6">
                            <w:pPr>
                              <w:spacing w:before="120" w:after="120"/>
                            </w:pPr>
                            <w:r w:rsidRPr="00D65F53">
                              <w:rPr>
                                <w:i/>
                              </w:rPr>
                              <w:t>ASIC Corporations (Real Estate Companies) Instrument 2015/</w:t>
                            </w:r>
                            <w:r w:rsidR="001A05C6">
                              <w:rPr>
                                <w:i/>
                              </w:rPr>
                              <w:t>1049</w:t>
                            </w:r>
                            <w:r w:rsidR="004E6E0D">
                              <w:rPr>
                                <w:i/>
                              </w:rPr>
                              <w:t xml:space="preserve"> </w:t>
                            </w:r>
                            <w:r>
                              <w:t>exempts</w:t>
                            </w:r>
                            <w:r w:rsidR="00BF662E">
                              <w:t>:</w:t>
                            </w:r>
                          </w:p>
                          <w:p w:rsidR="000076D6" w:rsidRDefault="00D65F53" w:rsidP="00BF662E">
                            <w:pPr>
                              <w:pStyle w:val="ListParagraph"/>
                              <w:numPr>
                                <w:ilvl w:val="0"/>
                                <w:numId w:val="24"/>
                              </w:numPr>
                              <w:spacing w:before="120" w:after="120"/>
                            </w:pPr>
                            <w:r>
                              <w:t xml:space="preserve">persons who sell shares in a real estate company from the requirement to issue </w:t>
                            </w:r>
                            <w:r w:rsidR="00BF662E">
                              <w:t xml:space="preserve">a </w:t>
                            </w:r>
                            <w:r>
                              <w:t xml:space="preserve">prospectus </w:t>
                            </w:r>
                            <w:r w:rsidR="00BF662E">
                              <w:t>or other disclosure document that complies with Chapter 6D of the Corporations Act;</w:t>
                            </w:r>
                          </w:p>
                          <w:p w:rsidR="00BF662E" w:rsidRDefault="00BF662E" w:rsidP="00BF662E">
                            <w:pPr>
                              <w:pStyle w:val="ListParagraph"/>
                              <w:numPr>
                                <w:ilvl w:val="0"/>
                                <w:numId w:val="24"/>
                              </w:numPr>
                              <w:spacing w:before="120" w:after="120"/>
                            </w:pPr>
                            <w:r>
                              <w:t>persons who market or arrange the sale of shares in a real estate company from the requirement to hold an Australian financial services licence; and</w:t>
                            </w:r>
                          </w:p>
                          <w:p w:rsidR="00BF662E" w:rsidRDefault="00BF662E" w:rsidP="00BF662E">
                            <w:pPr>
                              <w:pStyle w:val="ListParagraph"/>
                              <w:numPr>
                                <w:ilvl w:val="0"/>
                                <w:numId w:val="24"/>
                              </w:numPr>
                              <w:spacing w:before="120" w:after="120"/>
                            </w:pPr>
                            <w:proofErr w:type="gramStart"/>
                            <w:r>
                              <w:t>persons</w:t>
                            </w:r>
                            <w:proofErr w:type="gramEnd"/>
                            <w:r>
                              <w:t xml:space="preserve"> who provide valuations of shares in real estate companies from the requirement to hold an Australian financial services licence.</w:t>
                            </w:r>
                          </w:p>
                          <w:p w:rsidR="00D65F53" w:rsidRDefault="00BF662E" w:rsidP="000076D6">
                            <w:pPr>
                              <w:spacing w:before="120" w:after="120"/>
                            </w:pPr>
                            <w:r>
                              <w:t xml:space="preserve">This relief is provided on the basis that shares in a real estate company are commercially regarded as real estate interests and that if they were treated as </w:t>
                            </w:r>
                            <w:proofErr w:type="gramStart"/>
                            <w:r>
                              <w:t>such,</w:t>
                            </w:r>
                            <w:proofErr w:type="gramEnd"/>
                            <w:r>
                              <w:t xml:space="preserve"> and not as financial products, there would be adequate consumer protection.</w:t>
                            </w:r>
                          </w:p>
                          <w:p w:rsidR="004E6E0D" w:rsidRDefault="004E6E0D" w:rsidP="004E6E0D">
                            <w:pPr>
                              <w:spacing w:before="120" w:after="120"/>
                            </w:pPr>
                            <w:r>
                              <w:rPr>
                                <w:i/>
                              </w:rPr>
                              <w:t>ASIC Corporations (Repeal) Instrument 2015/</w:t>
                            </w:r>
                            <w:proofErr w:type="gramStart"/>
                            <w:r>
                              <w:rPr>
                                <w:i/>
                              </w:rPr>
                              <w:t xml:space="preserve">1050 </w:t>
                            </w:r>
                            <w:r>
                              <w:rPr>
                                <w:spacing w:val="-1"/>
                              </w:rPr>
                              <w:t xml:space="preserve"> repeals</w:t>
                            </w:r>
                            <w:proofErr w:type="gramEnd"/>
                            <w:r>
                              <w:t xml:space="preserve"> two legislative instruments that have been remade to preserve their effect beyond their sunsetting dates. </w:t>
                            </w:r>
                          </w:p>
                          <w:p w:rsidR="004E6E0D" w:rsidRPr="00D65F53" w:rsidRDefault="004E6E0D"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Th</w:t>
                            </w:r>
                            <w:r w:rsidR="004E6E0D">
                              <w:t>ese</w:t>
                            </w:r>
                            <w:r w:rsidRPr="00247F54">
                              <w:t xml:space="preserve"> </w:t>
                            </w:r>
                            <w:r>
                              <w:t>l</w:t>
                            </w:r>
                            <w:r w:rsidRPr="00247F54">
                              <w:t xml:space="preserve">egislative </w:t>
                            </w:r>
                            <w:r>
                              <w:t>i</w:t>
                            </w:r>
                            <w:r w:rsidRPr="00247F54">
                              <w:t>nstrument</w:t>
                            </w:r>
                            <w:r w:rsidR="004E6E0D">
                              <w:t>s</w:t>
                            </w:r>
                            <w:r w:rsidRPr="00247F54">
                              <w:t xml:space="preserve"> do not engage any of the applicable rights or freedoms.</w:t>
                            </w:r>
                          </w:p>
                          <w:p w:rsidR="004E6E0D" w:rsidRDefault="004E6E0D"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Th</w:t>
                            </w:r>
                            <w:r w:rsidR="004E6E0D">
                              <w:t>ese</w:t>
                            </w:r>
                            <w:r w:rsidRPr="00247F54">
                              <w:t xml:space="preserve"> </w:t>
                            </w:r>
                            <w:r>
                              <w:t>l</w:t>
                            </w:r>
                            <w:r w:rsidRPr="00247F54">
                              <w:t xml:space="preserve">egislative </w:t>
                            </w:r>
                            <w:r>
                              <w:t>i</w:t>
                            </w:r>
                            <w:r w:rsidRPr="00247F54">
                              <w:t>nstrument</w:t>
                            </w:r>
                            <w:r w:rsidR="004E6E0D">
                              <w:t>s</w:t>
                            </w:r>
                            <w:r w:rsidRPr="00247F54">
                              <w:t xml:space="preserve"> </w:t>
                            </w:r>
                            <w:r w:rsidR="004E6E0D">
                              <w:t>are</w:t>
                            </w:r>
                            <w:r w:rsidRPr="00247F54">
                              <w:t xml:space="preserve"> compatible with human rights as </w:t>
                            </w:r>
                            <w:r w:rsidR="004E6E0D">
                              <w:t>they do</w:t>
                            </w:r>
                            <w:r w:rsidRPr="00247F54">
                              <w:t xml:space="preserve"> not raise any human rights issues.</w:t>
                            </w:r>
                          </w:p>
                          <w:p w:rsidR="000076D6" w:rsidRPr="00E4135E" w:rsidRDefault="000076D6" w:rsidP="000076D6">
                            <w:pPr>
                              <w:spacing w:before="120" w:after="120"/>
                              <w:jc w:val="center"/>
                            </w:pPr>
                          </w:p>
                          <w:p w:rsidR="000076D6" w:rsidRPr="00E4135E" w:rsidRDefault="001A05C6" w:rsidP="000076D6">
                            <w:pPr>
                              <w:spacing w:before="120" w:after="120"/>
                              <w:jc w:val="center"/>
                            </w:pPr>
                            <w:r>
                              <w:rPr>
                                <w:b/>
                              </w:rPr>
                              <w:t>Grant Moodie</w:t>
                            </w:r>
                            <w:r w:rsidR="00177139">
                              <w:rPr>
                                <w:b/>
                              </w:rPr>
                              <w:t>, Special Counsel</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85pt;margin-top:44.25pt;width:418.2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Default="00637665" w:rsidP="000076D6">
                      <w:pPr>
                        <w:spacing w:before="120" w:after="120"/>
                        <w:jc w:val="center"/>
                        <w:rPr>
                          <w:b/>
                          <w:i/>
                        </w:rPr>
                      </w:pPr>
                      <w:r w:rsidRPr="00637665">
                        <w:rPr>
                          <w:b/>
                          <w:i/>
                        </w:rPr>
                        <w:t>ASIC Corporations (Real Estate Compani</w:t>
                      </w:r>
                      <w:r w:rsidR="00424DEC">
                        <w:rPr>
                          <w:b/>
                          <w:i/>
                        </w:rPr>
                        <w:t>e</w:t>
                      </w:r>
                      <w:r w:rsidRPr="00637665">
                        <w:rPr>
                          <w:b/>
                          <w:i/>
                        </w:rPr>
                        <w:t>s) Instrument 2015</w:t>
                      </w:r>
                      <w:r w:rsidR="00424DEC">
                        <w:rPr>
                          <w:b/>
                          <w:i/>
                        </w:rPr>
                        <w:t>/1049</w:t>
                      </w:r>
                    </w:p>
                    <w:p w:rsidR="004E6E0D" w:rsidRDefault="004E6E0D" w:rsidP="000076D6">
                      <w:pPr>
                        <w:spacing w:before="120" w:after="120"/>
                        <w:jc w:val="center"/>
                        <w:rPr>
                          <w:b/>
                          <w:i/>
                        </w:rPr>
                      </w:pPr>
                      <w:proofErr w:type="gramStart"/>
                      <w:r>
                        <w:rPr>
                          <w:b/>
                          <w:i/>
                        </w:rPr>
                        <w:t>and</w:t>
                      </w:r>
                      <w:proofErr w:type="gramEnd"/>
                      <w:r>
                        <w:rPr>
                          <w:b/>
                          <w:i/>
                        </w:rPr>
                        <w:t xml:space="preserve"> </w:t>
                      </w:r>
                    </w:p>
                    <w:p w:rsidR="004E6E0D" w:rsidRPr="004E6E0D" w:rsidRDefault="004E6E0D" w:rsidP="004E6E0D">
                      <w:pPr>
                        <w:spacing w:before="63" w:after="120" w:line="480" w:lineRule="auto"/>
                        <w:jc w:val="center"/>
                        <w:rPr>
                          <w:b/>
                          <w:i/>
                        </w:rPr>
                      </w:pPr>
                      <w:r w:rsidRPr="004E6E0D">
                        <w:rPr>
                          <w:b/>
                          <w:i/>
                        </w:rPr>
                        <w:t>ASIC Corporations (Repeal) Instrument 2015/1050</w:t>
                      </w:r>
                    </w:p>
                    <w:p w:rsidR="004E6E0D" w:rsidRDefault="004E6E0D" w:rsidP="000076D6">
                      <w:pPr>
                        <w:spacing w:before="120" w:after="120"/>
                        <w:jc w:val="center"/>
                        <w:rPr>
                          <w:b/>
                          <w:i/>
                        </w:rPr>
                      </w:pPr>
                    </w:p>
                    <w:p w:rsidR="000076D6" w:rsidRPr="00247F54" w:rsidRDefault="00637665" w:rsidP="000076D6">
                      <w:pPr>
                        <w:spacing w:before="120" w:after="120"/>
                        <w:jc w:val="center"/>
                      </w:pPr>
                      <w:r w:rsidRPr="00637665">
                        <w:rPr>
                          <w:i/>
                        </w:rPr>
                        <w:t>ASIC Corporations (Real Estate Companies) Instrument 2015</w:t>
                      </w:r>
                      <w:r w:rsidR="00D65F53">
                        <w:rPr>
                          <w:i/>
                        </w:rPr>
                        <w:t>/</w:t>
                      </w:r>
                      <w:r w:rsidR="001A05C6">
                        <w:rPr>
                          <w:i/>
                        </w:rPr>
                        <w:t>1049</w:t>
                      </w:r>
                      <w:r>
                        <w:t xml:space="preserve"> </w:t>
                      </w:r>
                      <w:r w:rsidR="004E6E0D">
                        <w:t xml:space="preserve">and </w:t>
                      </w:r>
                      <w:r w:rsidR="004E6E0D">
                        <w:rPr>
                          <w:i/>
                        </w:rPr>
                        <w:t xml:space="preserve">ASIC Corporations (Repeal) Instrument 2015/1050 </w:t>
                      </w:r>
                      <w:r w:rsidR="004E6E0D">
                        <w:t>are</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BF662E" w:rsidRDefault="00D65F53" w:rsidP="000076D6">
                      <w:pPr>
                        <w:spacing w:before="120" w:after="120"/>
                      </w:pPr>
                      <w:r w:rsidRPr="00D65F53">
                        <w:rPr>
                          <w:i/>
                        </w:rPr>
                        <w:t>ASIC Corporations (Real Estate Companies) Instrument 2015/</w:t>
                      </w:r>
                      <w:r w:rsidR="001A05C6">
                        <w:rPr>
                          <w:i/>
                        </w:rPr>
                        <w:t>1049</w:t>
                      </w:r>
                      <w:r w:rsidR="004E6E0D">
                        <w:rPr>
                          <w:i/>
                        </w:rPr>
                        <w:t xml:space="preserve"> </w:t>
                      </w:r>
                      <w:r>
                        <w:t>exempts</w:t>
                      </w:r>
                      <w:r w:rsidR="00BF662E">
                        <w:t>:</w:t>
                      </w:r>
                    </w:p>
                    <w:p w:rsidR="000076D6" w:rsidRDefault="00D65F53" w:rsidP="00BF662E">
                      <w:pPr>
                        <w:pStyle w:val="ListParagraph"/>
                        <w:numPr>
                          <w:ilvl w:val="0"/>
                          <w:numId w:val="24"/>
                        </w:numPr>
                        <w:spacing w:before="120" w:after="120"/>
                      </w:pPr>
                      <w:r>
                        <w:t xml:space="preserve">persons who sell shares in a real estate company from the requirement to issue </w:t>
                      </w:r>
                      <w:r w:rsidR="00BF662E">
                        <w:t xml:space="preserve">a </w:t>
                      </w:r>
                      <w:r>
                        <w:t xml:space="preserve">prospectus </w:t>
                      </w:r>
                      <w:r w:rsidR="00BF662E">
                        <w:t>or other disclosure document that complies with Chapter 6D of the Corporations Act;</w:t>
                      </w:r>
                    </w:p>
                    <w:p w:rsidR="00BF662E" w:rsidRDefault="00BF662E" w:rsidP="00BF662E">
                      <w:pPr>
                        <w:pStyle w:val="ListParagraph"/>
                        <w:numPr>
                          <w:ilvl w:val="0"/>
                          <w:numId w:val="24"/>
                        </w:numPr>
                        <w:spacing w:before="120" w:after="120"/>
                      </w:pPr>
                      <w:r>
                        <w:t>persons who market or arrange the sale of shares in a real estate company from the requirement to hold an Australian financial services licence; and</w:t>
                      </w:r>
                    </w:p>
                    <w:p w:rsidR="00BF662E" w:rsidRDefault="00BF662E" w:rsidP="00BF662E">
                      <w:pPr>
                        <w:pStyle w:val="ListParagraph"/>
                        <w:numPr>
                          <w:ilvl w:val="0"/>
                          <w:numId w:val="24"/>
                        </w:numPr>
                        <w:spacing w:before="120" w:after="120"/>
                      </w:pPr>
                      <w:proofErr w:type="gramStart"/>
                      <w:r>
                        <w:t>persons</w:t>
                      </w:r>
                      <w:proofErr w:type="gramEnd"/>
                      <w:r>
                        <w:t xml:space="preserve"> who provide valuations of shares in real estate companies from the requirement to hold an Australian financial services licence.</w:t>
                      </w:r>
                    </w:p>
                    <w:p w:rsidR="00D65F53" w:rsidRDefault="00BF662E" w:rsidP="000076D6">
                      <w:pPr>
                        <w:spacing w:before="120" w:after="120"/>
                      </w:pPr>
                      <w:r>
                        <w:t xml:space="preserve">This relief is provided on the basis that shares in a real estate company are commercially regarded as real estate interests and that if they were treated as </w:t>
                      </w:r>
                      <w:proofErr w:type="gramStart"/>
                      <w:r>
                        <w:t>such,</w:t>
                      </w:r>
                      <w:proofErr w:type="gramEnd"/>
                      <w:r>
                        <w:t xml:space="preserve"> and not as financial products, there would be adequate consumer protection.</w:t>
                      </w:r>
                    </w:p>
                    <w:p w:rsidR="004E6E0D" w:rsidRDefault="004E6E0D" w:rsidP="004E6E0D">
                      <w:pPr>
                        <w:spacing w:before="120" w:after="120"/>
                      </w:pPr>
                      <w:r>
                        <w:rPr>
                          <w:i/>
                        </w:rPr>
                        <w:t>ASIC Corporations (Repeal) Instrument 2015/</w:t>
                      </w:r>
                      <w:proofErr w:type="gramStart"/>
                      <w:r>
                        <w:rPr>
                          <w:i/>
                        </w:rPr>
                        <w:t xml:space="preserve">1050 </w:t>
                      </w:r>
                      <w:r>
                        <w:rPr>
                          <w:spacing w:val="-1"/>
                        </w:rPr>
                        <w:t xml:space="preserve"> repeals</w:t>
                      </w:r>
                      <w:proofErr w:type="gramEnd"/>
                      <w:r>
                        <w:t xml:space="preserve"> two legislative instruments that have been remade to preserve their effect beyond their sunsetting dates. </w:t>
                      </w:r>
                    </w:p>
                    <w:p w:rsidR="004E6E0D" w:rsidRPr="00D65F53" w:rsidRDefault="004E6E0D"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Th</w:t>
                      </w:r>
                      <w:r w:rsidR="004E6E0D">
                        <w:t>ese</w:t>
                      </w:r>
                      <w:r w:rsidRPr="00247F54">
                        <w:t xml:space="preserve"> </w:t>
                      </w:r>
                      <w:r>
                        <w:t>l</w:t>
                      </w:r>
                      <w:r w:rsidRPr="00247F54">
                        <w:t xml:space="preserve">egislative </w:t>
                      </w:r>
                      <w:r>
                        <w:t>i</w:t>
                      </w:r>
                      <w:r w:rsidRPr="00247F54">
                        <w:t>nstrument</w:t>
                      </w:r>
                      <w:r w:rsidR="004E6E0D">
                        <w:t>s</w:t>
                      </w:r>
                      <w:r w:rsidRPr="00247F54">
                        <w:t xml:space="preserve"> do not engage any of the applicable rights or freedoms.</w:t>
                      </w:r>
                    </w:p>
                    <w:p w:rsidR="004E6E0D" w:rsidRDefault="004E6E0D"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Th</w:t>
                      </w:r>
                      <w:r w:rsidR="004E6E0D">
                        <w:t>ese</w:t>
                      </w:r>
                      <w:r w:rsidRPr="00247F54">
                        <w:t xml:space="preserve"> </w:t>
                      </w:r>
                      <w:r>
                        <w:t>l</w:t>
                      </w:r>
                      <w:r w:rsidRPr="00247F54">
                        <w:t xml:space="preserve">egislative </w:t>
                      </w:r>
                      <w:r>
                        <w:t>i</w:t>
                      </w:r>
                      <w:r w:rsidRPr="00247F54">
                        <w:t>nstrument</w:t>
                      </w:r>
                      <w:r w:rsidR="004E6E0D">
                        <w:t>s</w:t>
                      </w:r>
                      <w:r w:rsidRPr="00247F54">
                        <w:t xml:space="preserve"> </w:t>
                      </w:r>
                      <w:r w:rsidR="004E6E0D">
                        <w:t>are</w:t>
                      </w:r>
                      <w:r w:rsidRPr="00247F54">
                        <w:t xml:space="preserve"> compatible with human rights as </w:t>
                      </w:r>
                      <w:r w:rsidR="004E6E0D">
                        <w:t>they do</w:t>
                      </w:r>
                      <w:r w:rsidRPr="00247F54">
                        <w:t xml:space="preserve"> not raise any human rights issues.</w:t>
                      </w:r>
                    </w:p>
                    <w:p w:rsidR="000076D6" w:rsidRPr="00E4135E" w:rsidRDefault="000076D6" w:rsidP="000076D6">
                      <w:pPr>
                        <w:spacing w:before="120" w:after="120"/>
                        <w:jc w:val="center"/>
                      </w:pPr>
                    </w:p>
                    <w:p w:rsidR="000076D6" w:rsidRPr="00E4135E" w:rsidRDefault="001A05C6" w:rsidP="000076D6">
                      <w:pPr>
                        <w:spacing w:before="120" w:after="120"/>
                        <w:jc w:val="center"/>
                      </w:pPr>
                      <w:r>
                        <w:rPr>
                          <w:b/>
                        </w:rPr>
                        <w:t>Grant Moodie</w:t>
                      </w:r>
                      <w:r w:rsidR="00177139">
                        <w:rPr>
                          <w:b/>
                        </w:rPr>
                        <w:t>, Special Counsel</w:t>
                      </w:r>
                    </w:p>
                  </w:txbxContent>
                </v:textbox>
              </v:rect>
            </w:pict>
          </mc:Fallback>
        </mc:AlternateContent>
      </w:r>
    </w:p>
    <w:sectPr w:rsidR="000076D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F2" w:rsidRDefault="00FD28F2">
      <w:pPr>
        <w:spacing w:after="0"/>
      </w:pPr>
      <w:r>
        <w:separator/>
      </w:r>
    </w:p>
  </w:endnote>
  <w:endnote w:type="continuationSeparator" w:id="0">
    <w:p w:rsidR="00FD28F2" w:rsidRDefault="00FD28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180051">
    <w:pPr>
      <w:pStyle w:val="Footer"/>
      <w:ind w:right="360"/>
    </w:pPr>
  </w:p>
  <w:p w:rsidR="00C27A4B" w:rsidRDefault="00180051"/>
  <w:p w:rsidR="00C27A4B" w:rsidRDefault="00180051"/>
  <w:p w:rsidR="00C27A4B" w:rsidRDefault="00180051"/>
  <w:p w:rsidR="00C27A4B" w:rsidRDefault="00180051"/>
  <w:p w:rsidR="00C27A4B" w:rsidRDefault="001800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AB1B891" wp14:editId="3F0281D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8005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8005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bookmarkStart w:id="5" w:name="_GoBack"/>
    <w:bookmarkEnd w:id="5"/>
    <w:r>
      <w:rPr>
        <w:color w:val="117DC7"/>
      </w:rPr>
      <w:t>Australian Securities and Investments Commission</w:t>
    </w:r>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051" w:rsidRDefault="00180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F2" w:rsidRDefault="00FD28F2">
      <w:pPr>
        <w:spacing w:after="0"/>
      </w:pPr>
      <w:r>
        <w:separator/>
      </w:r>
    </w:p>
  </w:footnote>
  <w:footnote w:type="continuationSeparator" w:id="0">
    <w:p w:rsidR="00FD28F2" w:rsidRDefault="00FD28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180051"/>
  <w:p w:rsidR="00C27A4B" w:rsidRDefault="001800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rsidP="00FE4943">
    <w:pPr>
      <w:pStyle w:val="Footer"/>
      <w:pBdr>
        <w:bottom w:val="single" w:sz="4" w:space="1" w:color="117DC7"/>
      </w:pBdr>
      <w:ind w:right="-766"/>
      <w:jc w:val="right"/>
      <w:rPr>
        <w:b/>
        <w:i/>
      </w:rPr>
    </w:pPr>
    <w:r>
      <w:tab/>
    </w:r>
    <w:r w:rsidR="007A19EA">
      <w:t>Explanatory Statement</w:t>
    </w:r>
    <w:r w:rsidR="007A19EA">
      <w:rPr>
        <w:color w:val="117DC7"/>
      </w:rPr>
      <w:t xml:space="preserve"> </w:t>
    </w:r>
    <w:r w:rsidR="00321532">
      <w:rPr>
        <w:color w:val="117DC7"/>
      </w:rPr>
      <w:br/>
    </w:r>
    <w:r w:rsidR="007A19EA" w:rsidRPr="00153B24">
      <w:rPr>
        <w:b/>
        <w:i/>
      </w:rPr>
      <w:t>ASIC Corporations (</w:t>
    </w:r>
    <w:r w:rsidR="007A19EA">
      <w:rPr>
        <w:b/>
        <w:i/>
      </w:rPr>
      <w:t>Real Estate Companies</w:t>
    </w:r>
    <w:r w:rsidR="007A19EA" w:rsidRPr="00153B24">
      <w:rPr>
        <w:b/>
        <w:i/>
      </w:rPr>
      <w:t>) Instrument 2015/</w:t>
    </w:r>
    <w:r w:rsidR="00321532">
      <w:rPr>
        <w:b/>
        <w:i/>
      </w:rPr>
      <w:t>1049</w:t>
    </w:r>
  </w:p>
  <w:p w:rsidR="00321532" w:rsidRDefault="00321532" w:rsidP="00FE4943">
    <w:pPr>
      <w:pStyle w:val="Footer"/>
      <w:pBdr>
        <w:bottom w:val="single" w:sz="4" w:space="1" w:color="117DC7"/>
      </w:pBdr>
      <w:tabs>
        <w:tab w:val="clear" w:pos="9070"/>
      </w:tabs>
      <w:ind w:right="-766"/>
      <w:jc w:val="right"/>
      <w:rPr>
        <w:color w:val="117DC7"/>
      </w:rPr>
    </w:pPr>
    <w:r>
      <w:rPr>
        <w:b/>
        <w:i/>
      </w:rPr>
      <w:t xml:space="preserve">ASIC Corporations (Repeal) Instrument 2015/1050 </w:t>
    </w:r>
  </w:p>
  <w:p w:rsidR="00C27A4B" w:rsidRDefault="001800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70F2D"/>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A341D4"/>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5631B4C"/>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E3109"/>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A7010B"/>
    <w:multiLevelType w:val="hybridMultilevel"/>
    <w:tmpl w:val="5C06C9E4"/>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27B17655"/>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2CD22BDB"/>
    <w:multiLevelType w:val="hybridMultilevel"/>
    <w:tmpl w:val="5BFA0C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2676BA"/>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8E1A58"/>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3F333E7B"/>
    <w:multiLevelType w:val="hybridMultilevel"/>
    <w:tmpl w:val="480E8D74"/>
    <w:lvl w:ilvl="0" w:tplc="230AAAF4">
      <w:start w:val="1"/>
      <w:numFmt w:val="decimal"/>
      <w:lvlText w:val="%1."/>
      <w:lvlJc w:val="left"/>
      <w:pPr>
        <w:ind w:left="1146"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8">
    <w:nsid w:val="42C11A79"/>
    <w:multiLevelType w:val="hybridMultilevel"/>
    <w:tmpl w:val="AC0CC24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4B7DA2"/>
    <w:multiLevelType w:val="hybridMultilevel"/>
    <w:tmpl w:val="038A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E75A86"/>
    <w:multiLevelType w:val="hybridMultilevel"/>
    <w:tmpl w:val="05AC0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5">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CD2272"/>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6"/>
  </w:num>
  <w:num w:numId="2">
    <w:abstractNumId w:val="25"/>
  </w:num>
  <w:num w:numId="3">
    <w:abstractNumId w:val="19"/>
  </w:num>
  <w:num w:numId="4">
    <w:abstractNumId w:val="24"/>
  </w:num>
  <w:num w:numId="5">
    <w:abstractNumId w:val="9"/>
  </w:num>
  <w:num w:numId="6">
    <w:abstractNumId w:val="8"/>
  </w:num>
  <w:num w:numId="7">
    <w:abstractNumId w:val="17"/>
  </w:num>
  <w:num w:numId="8">
    <w:abstractNumId w:val="5"/>
  </w:num>
  <w:num w:numId="9">
    <w:abstractNumId w:val="2"/>
  </w:num>
  <w:num w:numId="10">
    <w:abstractNumId w:val="0"/>
  </w:num>
  <w:num w:numId="11">
    <w:abstractNumId w:val="15"/>
  </w:num>
  <w:num w:numId="12">
    <w:abstractNumId w:val="23"/>
  </w:num>
  <w:num w:numId="13">
    <w:abstractNumId w:val="21"/>
  </w:num>
  <w:num w:numId="14">
    <w:abstractNumId w:val="11"/>
  </w:num>
  <w:num w:numId="15">
    <w:abstractNumId w:val="18"/>
  </w:num>
  <w:num w:numId="16">
    <w:abstractNumId w:val="3"/>
  </w:num>
  <w:num w:numId="17">
    <w:abstractNumId w:val="16"/>
  </w:num>
  <w:num w:numId="18">
    <w:abstractNumId w:val="26"/>
  </w:num>
  <w:num w:numId="19">
    <w:abstractNumId w:val="4"/>
  </w:num>
  <w:num w:numId="20">
    <w:abstractNumId w:val="22"/>
  </w:num>
  <w:num w:numId="21">
    <w:abstractNumId w:val="14"/>
  </w:num>
  <w:num w:numId="22">
    <w:abstractNumId w:val="7"/>
  </w:num>
  <w:num w:numId="23">
    <w:abstractNumId w:val="12"/>
  </w:num>
  <w:num w:numId="24">
    <w:abstractNumId w:val="20"/>
  </w:num>
  <w:num w:numId="25">
    <w:abstractNumId w:val="10"/>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76279"/>
    <w:rsid w:val="000A7E73"/>
    <w:rsid w:val="000D7831"/>
    <w:rsid w:val="00177139"/>
    <w:rsid w:val="00180051"/>
    <w:rsid w:val="001832EB"/>
    <w:rsid w:val="001A05C6"/>
    <w:rsid w:val="001A70F8"/>
    <w:rsid w:val="001B3EA1"/>
    <w:rsid w:val="001C2F0D"/>
    <w:rsid w:val="00301370"/>
    <w:rsid w:val="00321532"/>
    <w:rsid w:val="0034631C"/>
    <w:rsid w:val="00397C74"/>
    <w:rsid w:val="003D3162"/>
    <w:rsid w:val="0041616C"/>
    <w:rsid w:val="00424DEC"/>
    <w:rsid w:val="004A53C0"/>
    <w:rsid w:val="004B71D8"/>
    <w:rsid w:val="004E6E0D"/>
    <w:rsid w:val="00552506"/>
    <w:rsid w:val="005603AF"/>
    <w:rsid w:val="005A329A"/>
    <w:rsid w:val="005B0E3A"/>
    <w:rsid w:val="005F12EF"/>
    <w:rsid w:val="00637665"/>
    <w:rsid w:val="00681064"/>
    <w:rsid w:val="007A19EA"/>
    <w:rsid w:val="007E3285"/>
    <w:rsid w:val="007F08AE"/>
    <w:rsid w:val="0080164B"/>
    <w:rsid w:val="00812426"/>
    <w:rsid w:val="0082261B"/>
    <w:rsid w:val="00824C5B"/>
    <w:rsid w:val="009066F3"/>
    <w:rsid w:val="00922FB3"/>
    <w:rsid w:val="00941CA5"/>
    <w:rsid w:val="00955ACF"/>
    <w:rsid w:val="00986BEC"/>
    <w:rsid w:val="009A7EE4"/>
    <w:rsid w:val="00A140EF"/>
    <w:rsid w:val="00A621D9"/>
    <w:rsid w:val="00A640F3"/>
    <w:rsid w:val="00A86CBC"/>
    <w:rsid w:val="00AB0F16"/>
    <w:rsid w:val="00AC02C2"/>
    <w:rsid w:val="00AF6824"/>
    <w:rsid w:val="00B45B2B"/>
    <w:rsid w:val="00BF2153"/>
    <w:rsid w:val="00BF662E"/>
    <w:rsid w:val="00C064DB"/>
    <w:rsid w:val="00C77CF1"/>
    <w:rsid w:val="00D05EEA"/>
    <w:rsid w:val="00D0796A"/>
    <w:rsid w:val="00D16D96"/>
    <w:rsid w:val="00D2073C"/>
    <w:rsid w:val="00D65026"/>
    <w:rsid w:val="00D65F53"/>
    <w:rsid w:val="00D76948"/>
    <w:rsid w:val="00D823B2"/>
    <w:rsid w:val="00DD20CD"/>
    <w:rsid w:val="00E16D39"/>
    <w:rsid w:val="00EA5A47"/>
    <w:rsid w:val="00EB2F04"/>
    <w:rsid w:val="00EC791C"/>
    <w:rsid w:val="00ED71FA"/>
    <w:rsid w:val="00EF08C0"/>
    <w:rsid w:val="00F16634"/>
    <w:rsid w:val="00F8685C"/>
    <w:rsid w:val="00FA5DA6"/>
    <w:rsid w:val="00FD28F2"/>
    <w:rsid w:val="00FD3F57"/>
    <w:rsid w:val="00FE1CC2"/>
    <w:rsid w:val="00FE4943"/>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odyText2">
    <w:name w:val="Body Text 2"/>
    <w:basedOn w:val="Normal"/>
    <w:link w:val="BodyText2Char"/>
    <w:uiPriority w:val="99"/>
    <w:semiHidden/>
    <w:unhideWhenUsed/>
    <w:rsid w:val="007F08AE"/>
    <w:pPr>
      <w:spacing w:after="120" w:line="480" w:lineRule="auto"/>
    </w:pPr>
  </w:style>
  <w:style w:type="character" w:customStyle="1" w:styleId="BodyText2Char">
    <w:name w:val="Body Text 2 Char"/>
    <w:basedOn w:val="DefaultParagraphFont"/>
    <w:link w:val="BodyText2"/>
    <w:uiPriority w:val="99"/>
    <w:semiHidden/>
    <w:rsid w:val="007F08AE"/>
    <w:rPr>
      <w:sz w:val="22"/>
    </w:rPr>
  </w:style>
  <w:style w:type="paragraph" w:customStyle="1" w:styleId="LI-BodyTextParaa">
    <w:name w:val="LI - Body Text Para (a)"/>
    <w:basedOn w:val="Normal"/>
    <w:link w:val="LI-BodyTextParaaChar"/>
    <w:rsid w:val="00ED71FA"/>
    <w:pPr>
      <w:spacing w:before="240" w:after="0"/>
      <w:ind w:left="1701" w:hanging="567"/>
    </w:pPr>
    <w:rPr>
      <w:sz w:val="24"/>
      <w:szCs w:val="24"/>
    </w:rPr>
  </w:style>
  <w:style w:type="paragraph" w:customStyle="1" w:styleId="LI-BodyTextSubparai">
    <w:name w:val="LI - Body Text Subpara (i)"/>
    <w:basedOn w:val="LI-BodyTextParaa"/>
    <w:link w:val="LI-BodyTextSubparaiChar"/>
    <w:qFormat/>
    <w:rsid w:val="00ED71FA"/>
    <w:pPr>
      <w:ind w:left="2268"/>
    </w:pPr>
  </w:style>
  <w:style w:type="paragraph" w:customStyle="1" w:styleId="LI-BodyTextSubsubparaA">
    <w:name w:val="LI - Body Text Subsubpara (A)"/>
    <w:basedOn w:val="LI-BodyTextParaa"/>
    <w:link w:val="LI-BodyTextSubsubparaAChar"/>
    <w:qFormat/>
    <w:rsid w:val="00ED71FA"/>
    <w:pPr>
      <w:ind w:left="2835"/>
    </w:pPr>
  </w:style>
  <w:style w:type="character" w:customStyle="1" w:styleId="LI-BodyTextParaaChar">
    <w:name w:val="LI - Body Text Para (a) Char"/>
    <w:link w:val="LI-BodyTextParaa"/>
    <w:rsid w:val="00ED71FA"/>
    <w:rPr>
      <w:sz w:val="24"/>
      <w:szCs w:val="24"/>
    </w:rPr>
  </w:style>
  <w:style w:type="character" w:customStyle="1" w:styleId="LI-BodyTextSubparaiChar">
    <w:name w:val="LI - Body Text Subpara (i) Char"/>
    <w:basedOn w:val="LI-BodyTextParaaChar"/>
    <w:link w:val="LI-BodyTextSubparai"/>
    <w:rsid w:val="00ED71FA"/>
    <w:rPr>
      <w:sz w:val="24"/>
      <w:szCs w:val="24"/>
    </w:rPr>
  </w:style>
  <w:style w:type="character" w:customStyle="1" w:styleId="LI-BodyTextSubsubparaAChar">
    <w:name w:val="LI - Body Text Subsubpara (A) Char"/>
    <w:basedOn w:val="LI-BodyTextParaaChar"/>
    <w:link w:val="LI-BodyTextSubsubparaA"/>
    <w:rsid w:val="00ED71FA"/>
    <w:rPr>
      <w:sz w:val="24"/>
      <w:szCs w:val="24"/>
    </w:rPr>
  </w:style>
  <w:style w:type="paragraph" w:styleId="BalloonText">
    <w:name w:val="Balloon Text"/>
    <w:basedOn w:val="Normal"/>
    <w:link w:val="BalloonTextChar"/>
    <w:uiPriority w:val="99"/>
    <w:semiHidden/>
    <w:unhideWhenUsed/>
    <w:rsid w:val="00FE49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odyText2">
    <w:name w:val="Body Text 2"/>
    <w:basedOn w:val="Normal"/>
    <w:link w:val="BodyText2Char"/>
    <w:uiPriority w:val="99"/>
    <w:semiHidden/>
    <w:unhideWhenUsed/>
    <w:rsid w:val="007F08AE"/>
    <w:pPr>
      <w:spacing w:after="120" w:line="480" w:lineRule="auto"/>
    </w:pPr>
  </w:style>
  <w:style w:type="character" w:customStyle="1" w:styleId="BodyText2Char">
    <w:name w:val="Body Text 2 Char"/>
    <w:basedOn w:val="DefaultParagraphFont"/>
    <w:link w:val="BodyText2"/>
    <w:uiPriority w:val="99"/>
    <w:semiHidden/>
    <w:rsid w:val="007F08AE"/>
    <w:rPr>
      <w:sz w:val="22"/>
    </w:rPr>
  </w:style>
  <w:style w:type="paragraph" w:customStyle="1" w:styleId="LI-BodyTextParaa">
    <w:name w:val="LI - Body Text Para (a)"/>
    <w:basedOn w:val="Normal"/>
    <w:link w:val="LI-BodyTextParaaChar"/>
    <w:rsid w:val="00ED71FA"/>
    <w:pPr>
      <w:spacing w:before="240" w:after="0"/>
      <w:ind w:left="1701" w:hanging="567"/>
    </w:pPr>
    <w:rPr>
      <w:sz w:val="24"/>
      <w:szCs w:val="24"/>
    </w:rPr>
  </w:style>
  <w:style w:type="paragraph" w:customStyle="1" w:styleId="LI-BodyTextSubparai">
    <w:name w:val="LI - Body Text Subpara (i)"/>
    <w:basedOn w:val="LI-BodyTextParaa"/>
    <w:link w:val="LI-BodyTextSubparaiChar"/>
    <w:qFormat/>
    <w:rsid w:val="00ED71FA"/>
    <w:pPr>
      <w:ind w:left="2268"/>
    </w:pPr>
  </w:style>
  <w:style w:type="paragraph" w:customStyle="1" w:styleId="LI-BodyTextSubsubparaA">
    <w:name w:val="LI - Body Text Subsubpara (A)"/>
    <w:basedOn w:val="LI-BodyTextParaa"/>
    <w:link w:val="LI-BodyTextSubsubparaAChar"/>
    <w:qFormat/>
    <w:rsid w:val="00ED71FA"/>
    <w:pPr>
      <w:ind w:left="2835"/>
    </w:pPr>
  </w:style>
  <w:style w:type="character" w:customStyle="1" w:styleId="LI-BodyTextParaaChar">
    <w:name w:val="LI - Body Text Para (a) Char"/>
    <w:link w:val="LI-BodyTextParaa"/>
    <w:rsid w:val="00ED71FA"/>
    <w:rPr>
      <w:sz w:val="24"/>
      <w:szCs w:val="24"/>
    </w:rPr>
  </w:style>
  <w:style w:type="character" w:customStyle="1" w:styleId="LI-BodyTextSubparaiChar">
    <w:name w:val="LI - Body Text Subpara (i) Char"/>
    <w:basedOn w:val="LI-BodyTextParaaChar"/>
    <w:link w:val="LI-BodyTextSubparai"/>
    <w:rsid w:val="00ED71FA"/>
    <w:rPr>
      <w:sz w:val="24"/>
      <w:szCs w:val="24"/>
    </w:rPr>
  </w:style>
  <w:style w:type="character" w:customStyle="1" w:styleId="LI-BodyTextSubsubparaAChar">
    <w:name w:val="LI - Body Text Subsubpara (A) Char"/>
    <w:basedOn w:val="LI-BodyTextParaaChar"/>
    <w:link w:val="LI-BodyTextSubsubparaA"/>
    <w:rsid w:val="00ED71FA"/>
    <w:rPr>
      <w:sz w:val="24"/>
      <w:szCs w:val="24"/>
    </w:rPr>
  </w:style>
  <w:style w:type="paragraph" w:styleId="BalloonText">
    <w:name w:val="Balloon Text"/>
    <w:basedOn w:val="Normal"/>
    <w:link w:val="BalloonTextChar"/>
    <w:uiPriority w:val="99"/>
    <w:semiHidden/>
    <w:unhideWhenUsed/>
    <w:rsid w:val="00FE49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1855">
      <w:bodyDiv w:val="1"/>
      <w:marLeft w:val="0"/>
      <w:marRight w:val="0"/>
      <w:marTop w:val="0"/>
      <w:marBottom w:val="0"/>
      <w:divBdr>
        <w:top w:val="none" w:sz="0" w:space="0" w:color="auto"/>
        <w:left w:val="none" w:sz="0" w:space="0" w:color="auto"/>
        <w:bottom w:val="none" w:sz="0" w:space="0" w:color="auto"/>
        <w:right w:val="none" w:sz="0" w:space="0" w:color="auto"/>
      </w:divBdr>
    </w:div>
    <w:div w:id="421099871">
      <w:bodyDiv w:val="1"/>
      <w:marLeft w:val="0"/>
      <w:marRight w:val="0"/>
      <w:marTop w:val="0"/>
      <w:marBottom w:val="0"/>
      <w:divBdr>
        <w:top w:val="none" w:sz="0" w:space="0" w:color="auto"/>
        <w:left w:val="none" w:sz="0" w:space="0" w:color="auto"/>
        <w:bottom w:val="none" w:sz="0" w:space="0" w:color="auto"/>
        <w:right w:val="none" w:sz="0" w:space="0" w:color="auto"/>
      </w:divBdr>
    </w:div>
    <w:div w:id="548033701">
      <w:bodyDiv w:val="1"/>
      <w:marLeft w:val="0"/>
      <w:marRight w:val="0"/>
      <w:marTop w:val="0"/>
      <w:marBottom w:val="0"/>
      <w:divBdr>
        <w:top w:val="none" w:sz="0" w:space="0" w:color="auto"/>
        <w:left w:val="none" w:sz="0" w:space="0" w:color="auto"/>
        <w:bottom w:val="none" w:sz="0" w:space="0" w:color="auto"/>
        <w:right w:val="none" w:sz="0" w:space="0" w:color="auto"/>
      </w:divBdr>
    </w:div>
    <w:div w:id="1003623529">
      <w:bodyDiv w:val="1"/>
      <w:marLeft w:val="0"/>
      <w:marRight w:val="0"/>
      <w:marTop w:val="0"/>
      <w:marBottom w:val="0"/>
      <w:divBdr>
        <w:top w:val="none" w:sz="0" w:space="0" w:color="auto"/>
        <w:left w:val="none" w:sz="0" w:space="0" w:color="auto"/>
        <w:bottom w:val="none" w:sz="0" w:space="0" w:color="auto"/>
        <w:right w:val="none" w:sz="0" w:space="0" w:color="auto"/>
      </w:divBdr>
    </w:div>
    <w:div w:id="1443111364">
      <w:bodyDiv w:val="1"/>
      <w:marLeft w:val="0"/>
      <w:marRight w:val="0"/>
      <w:marTop w:val="0"/>
      <w:marBottom w:val="0"/>
      <w:divBdr>
        <w:top w:val="none" w:sz="0" w:space="0" w:color="auto"/>
        <w:left w:val="none" w:sz="0" w:space="0" w:color="auto"/>
        <w:bottom w:val="none" w:sz="0" w:space="0" w:color="auto"/>
        <w:right w:val="none" w:sz="0" w:space="0" w:color="auto"/>
      </w:divBdr>
    </w:div>
    <w:div w:id="1644852023">
      <w:bodyDiv w:val="1"/>
      <w:marLeft w:val="0"/>
      <w:marRight w:val="0"/>
      <w:marTop w:val="0"/>
      <w:marBottom w:val="0"/>
      <w:divBdr>
        <w:top w:val="none" w:sz="0" w:space="0" w:color="auto"/>
        <w:left w:val="none" w:sz="0" w:space="0" w:color="auto"/>
        <w:bottom w:val="none" w:sz="0" w:space="0" w:color="auto"/>
        <w:right w:val="none" w:sz="0" w:space="0" w:color="auto"/>
      </w:divBdr>
    </w:div>
    <w:div w:id="2140147205">
      <w:bodyDiv w:val="1"/>
      <w:marLeft w:val="0"/>
      <w:marRight w:val="0"/>
      <w:marTop w:val="0"/>
      <w:marBottom w:val="0"/>
      <w:divBdr>
        <w:top w:val="none" w:sz="0" w:space="0" w:color="auto"/>
        <w:left w:val="none" w:sz="0" w:space="0" w:color="auto"/>
        <w:bottom w:val="none" w:sz="0" w:space="0" w:color="auto"/>
        <w:right w:val="none" w:sz="0" w:space="0" w:color="auto"/>
      </w:divBdr>
      <w:divsChild>
        <w:div w:id="1198398226">
          <w:marLeft w:val="0"/>
          <w:marRight w:val="0"/>
          <w:marTop w:val="0"/>
          <w:marBottom w:val="0"/>
          <w:divBdr>
            <w:top w:val="none" w:sz="0" w:space="0" w:color="auto"/>
            <w:left w:val="none" w:sz="0" w:space="0" w:color="auto"/>
            <w:bottom w:val="none" w:sz="0" w:space="0" w:color="auto"/>
            <w:right w:val="none" w:sz="0" w:space="0" w:color="auto"/>
          </w:divBdr>
          <w:divsChild>
            <w:div w:id="1634209488">
              <w:marLeft w:val="0"/>
              <w:marRight w:val="0"/>
              <w:marTop w:val="0"/>
              <w:marBottom w:val="0"/>
              <w:divBdr>
                <w:top w:val="none" w:sz="0" w:space="0" w:color="auto"/>
                <w:left w:val="none" w:sz="0" w:space="0" w:color="auto"/>
                <w:bottom w:val="none" w:sz="0" w:space="0" w:color="auto"/>
                <w:right w:val="none" w:sz="0" w:space="0" w:color="auto"/>
              </w:divBdr>
              <w:divsChild>
                <w:div w:id="568812350">
                  <w:marLeft w:val="0"/>
                  <w:marRight w:val="0"/>
                  <w:marTop w:val="0"/>
                  <w:marBottom w:val="0"/>
                  <w:divBdr>
                    <w:top w:val="none" w:sz="0" w:space="0" w:color="auto"/>
                    <w:left w:val="none" w:sz="0" w:space="0" w:color="auto"/>
                    <w:bottom w:val="none" w:sz="0" w:space="0" w:color="auto"/>
                    <w:right w:val="none" w:sz="0" w:space="0" w:color="auto"/>
                  </w:divBdr>
                  <w:divsChild>
                    <w:div w:id="387610903">
                      <w:marLeft w:val="0"/>
                      <w:marRight w:val="0"/>
                      <w:marTop w:val="0"/>
                      <w:marBottom w:val="0"/>
                      <w:divBdr>
                        <w:top w:val="none" w:sz="0" w:space="0" w:color="auto"/>
                        <w:left w:val="none" w:sz="0" w:space="0" w:color="auto"/>
                        <w:bottom w:val="none" w:sz="0" w:space="0" w:color="auto"/>
                        <w:right w:val="none" w:sz="0" w:space="0" w:color="auto"/>
                      </w:divBdr>
                      <w:divsChild>
                        <w:div w:id="1242718849">
                          <w:marLeft w:val="0"/>
                          <w:marRight w:val="0"/>
                          <w:marTop w:val="0"/>
                          <w:marBottom w:val="0"/>
                          <w:divBdr>
                            <w:top w:val="none" w:sz="0" w:space="0" w:color="auto"/>
                            <w:left w:val="none" w:sz="0" w:space="0" w:color="auto"/>
                            <w:bottom w:val="none" w:sz="0" w:space="0" w:color="auto"/>
                            <w:right w:val="none" w:sz="0" w:space="0" w:color="auto"/>
                          </w:divBdr>
                          <w:divsChild>
                            <w:div w:id="1389911829">
                              <w:marLeft w:val="0"/>
                              <w:marRight w:val="0"/>
                              <w:marTop w:val="0"/>
                              <w:marBottom w:val="0"/>
                              <w:divBdr>
                                <w:top w:val="single" w:sz="6" w:space="0" w:color="828282"/>
                                <w:left w:val="single" w:sz="6" w:space="0" w:color="828282"/>
                                <w:bottom w:val="single" w:sz="6" w:space="0" w:color="828282"/>
                                <w:right w:val="single" w:sz="6" w:space="0" w:color="828282"/>
                              </w:divBdr>
                              <w:divsChild>
                                <w:div w:id="2052656324">
                                  <w:marLeft w:val="0"/>
                                  <w:marRight w:val="0"/>
                                  <w:marTop w:val="0"/>
                                  <w:marBottom w:val="0"/>
                                  <w:divBdr>
                                    <w:top w:val="none" w:sz="0" w:space="0" w:color="auto"/>
                                    <w:left w:val="none" w:sz="0" w:space="0" w:color="auto"/>
                                    <w:bottom w:val="none" w:sz="0" w:space="0" w:color="auto"/>
                                    <w:right w:val="none" w:sz="0" w:space="0" w:color="auto"/>
                                  </w:divBdr>
                                  <w:divsChild>
                                    <w:div w:id="1491604968">
                                      <w:marLeft w:val="0"/>
                                      <w:marRight w:val="0"/>
                                      <w:marTop w:val="0"/>
                                      <w:marBottom w:val="0"/>
                                      <w:divBdr>
                                        <w:top w:val="none" w:sz="0" w:space="0" w:color="auto"/>
                                        <w:left w:val="none" w:sz="0" w:space="0" w:color="auto"/>
                                        <w:bottom w:val="none" w:sz="0" w:space="0" w:color="auto"/>
                                        <w:right w:val="none" w:sz="0" w:space="0" w:color="auto"/>
                                      </w:divBdr>
                                      <w:divsChild>
                                        <w:div w:id="1123966825">
                                          <w:marLeft w:val="0"/>
                                          <w:marRight w:val="0"/>
                                          <w:marTop w:val="0"/>
                                          <w:marBottom w:val="0"/>
                                          <w:divBdr>
                                            <w:top w:val="none" w:sz="0" w:space="0" w:color="auto"/>
                                            <w:left w:val="none" w:sz="0" w:space="0" w:color="auto"/>
                                            <w:bottom w:val="none" w:sz="0" w:space="0" w:color="auto"/>
                                            <w:right w:val="none" w:sz="0" w:space="0" w:color="auto"/>
                                          </w:divBdr>
                                          <w:divsChild>
                                            <w:div w:id="2117675713">
                                              <w:marLeft w:val="0"/>
                                              <w:marRight w:val="0"/>
                                              <w:marTop w:val="0"/>
                                              <w:marBottom w:val="0"/>
                                              <w:divBdr>
                                                <w:top w:val="none" w:sz="0" w:space="0" w:color="auto"/>
                                                <w:left w:val="none" w:sz="0" w:space="0" w:color="auto"/>
                                                <w:bottom w:val="none" w:sz="0" w:space="0" w:color="auto"/>
                                                <w:right w:val="none" w:sz="0" w:space="0" w:color="auto"/>
                                              </w:divBdr>
                                              <w:divsChild>
                                                <w:div w:id="1904638260">
                                                  <w:marLeft w:val="0"/>
                                                  <w:marRight w:val="0"/>
                                                  <w:marTop w:val="0"/>
                                                  <w:marBottom w:val="0"/>
                                                  <w:divBdr>
                                                    <w:top w:val="none" w:sz="0" w:space="0" w:color="auto"/>
                                                    <w:left w:val="none" w:sz="0" w:space="0" w:color="auto"/>
                                                    <w:bottom w:val="none" w:sz="0" w:space="0" w:color="auto"/>
                                                    <w:right w:val="none" w:sz="0" w:space="0" w:color="auto"/>
                                                  </w:divBdr>
                                                  <w:divsChild>
                                                    <w:div w:id="12049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CC9F-F514-43F9-B470-7EEACFA8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15-1049 ES.doc</Template>
  <TotalTime>121</TotalTime>
  <Pages>5</Pages>
  <Words>1325</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Ruki.Weerasinghe</cp:lastModifiedBy>
  <cp:revision>11</cp:revision>
  <dcterms:created xsi:type="dcterms:W3CDTF">2015-09-30T05:36:00Z</dcterms:created>
  <dcterms:modified xsi:type="dcterms:W3CDTF">2015-11-18T05:32:00Z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B1053053</vt:lpwstr>
  </property>
  <property fmtid="{D5CDD505-2E9C-101B-9397-08002B2CF9AE}" pid="4" name="Objective-Title">
    <vt:lpwstr>Explanatory Statement</vt:lpwstr>
  </property>
  <property fmtid="{D5CDD505-2E9C-101B-9397-08002B2CF9AE}" pid="5" name="Objective-Comment">
    <vt:lpwstr>
    </vt:lpwstr>
  </property>
  <property fmtid="{D5CDD505-2E9C-101B-9397-08002B2CF9AE}" pid="6" name="Objective-CreationStamp">
    <vt:filetime>2015-09-29T00:03:14Z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2015-11-11T05:51:38Z</vt:filetime>
  </property>
  <property fmtid="{D5CDD505-2E9C-101B-9397-08002B2CF9AE}" pid="10" name="Objective-ModificationStamp">
    <vt:filetime>2015-11-11T05:51:39Z</vt:filetime>
  </property>
  <property fmtid="{D5CDD505-2E9C-101B-9397-08002B2CF9AE}" pid="11" name="Objective-Owner">
    <vt:lpwstr>Michele Whittle</vt:lpwstr>
  </property>
  <property fmtid="{D5CDD505-2E9C-101B-9397-08002B2CF9AE}" pid="12" name="Objective-Path">
    <vt:lpwstr>BCS:ASIC:REGULATION &amp; COMPLIANCE:Business Activity Projects:Financial Advisers Projects:2015-2016 Class Order Sunsetting Project:CO 05/1243 and CO 00/213:Remake:</vt:lpwstr>
  </property>
  <property fmtid="{D5CDD505-2E9C-101B-9397-08002B2CF9AE}" pid="13" name="Objective-Parent">
    <vt:lpwstr>Remake</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8</vt:i4>
  </property>
  <property fmtid="{D5CDD505-2E9C-101B-9397-08002B2CF9AE}" pid="17" name="Objective-VersionComment">
    <vt:lpwstr>
    </vt:lpwstr>
  </property>
  <property fmtid="{D5CDD505-2E9C-101B-9397-08002B2CF9AE}" pid="18" name="Objective-FileNumber">
    <vt:lpwstr>2015 - 001111</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