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A30" w:rsidRDefault="006C4A30" w:rsidP="006C4A30">
      <w:pPr>
        <w:pStyle w:val="ttCrest"/>
        <w:rPr>
          <w:sz w:val="19"/>
        </w:rPr>
      </w:pPr>
      <w:r>
        <w:rPr>
          <w:noProof/>
          <w:lang w:eastAsia="en-AU"/>
        </w:rPr>
        <w:drawing>
          <wp:inline distT="0" distB="0" distL="0" distR="0">
            <wp:extent cx="1498600" cy="1101725"/>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cstate="print"/>
                    <a:srcRect/>
                    <a:stretch>
                      <a:fillRect/>
                    </a:stretch>
                  </pic:blipFill>
                  <pic:spPr bwMode="auto">
                    <a:xfrm>
                      <a:off x="0" y="0"/>
                      <a:ext cx="1498600" cy="1101725"/>
                    </a:xfrm>
                    <a:prstGeom prst="rect">
                      <a:avLst/>
                    </a:prstGeom>
                    <a:noFill/>
                    <a:ln w="9525">
                      <a:noFill/>
                      <a:miter lim="800000"/>
                      <a:headEnd/>
                      <a:tailEnd/>
                    </a:ln>
                  </pic:spPr>
                </pic:pic>
              </a:graphicData>
            </a:graphic>
          </wp:inline>
        </w:drawing>
      </w:r>
    </w:p>
    <w:p w:rsidR="00F81A21" w:rsidRDefault="0005210A" w:rsidP="00F81A21">
      <w:pPr>
        <w:pStyle w:val="ShortT"/>
      </w:pPr>
      <w:r>
        <w:t>National Greenhouse and Energy Reporting (Audit) Amendment Determination 2015 (No. 1)</w:t>
      </w:r>
    </w:p>
    <w:p w:rsidR="00F81A21" w:rsidRPr="002A0313" w:rsidRDefault="00F81A21" w:rsidP="00F81A21">
      <w:pPr>
        <w:pStyle w:val="SignCoverPageStart"/>
        <w:rPr>
          <w:szCs w:val="22"/>
        </w:rPr>
      </w:pPr>
      <w:r w:rsidRPr="002A0313">
        <w:rPr>
          <w:szCs w:val="22"/>
        </w:rPr>
        <w:t>I, Greg Hunt, Minister for the Environment, make the following determination.</w:t>
      </w:r>
    </w:p>
    <w:p w:rsidR="00F81A21" w:rsidRDefault="00F81A21" w:rsidP="00F81A21">
      <w:pPr>
        <w:keepNext/>
        <w:spacing w:before="300" w:line="240" w:lineRule="atLeast"/>
        <w:ind w:right="397"/>
        <w:jc w:val="both"/>
        <w:rPr>
          <w:szCs w:val="22"/>
        </w:rPr>
      </w:pPr>
      <w:r w:rsidRPr="002A0313">
        <w:rPr>
          <w:szCs w:val="22"/>
        </w:rPr>
        <w:t>Dated</w:t>
      </w:r>
      <w:r w:rsidRPr="002A0313">
        <w:rPr>
          <w:szCs w:val="22"/>
        </w:rPr>
        <w:tab/>
      </w:r>
      <w:r w:rsidR="007E6C5C">
        <w:rPr>
          <w:szCs w:val="22"/>
        </w:rPr>
        <w:t>7 October 2015</w:t>
      </w:r>
      <w:r w:rsidRPr="002A0313">
        <w:rPr>
          <w:szCs w:val="22"/>
        </w:rPr>
        <w:tab/>
      </w:r>
      <w:r w:rsidRPr="002A0313">
        <w:rPr>
          <w:szCs w:val="22"/>
        </w:rPr>
        <w:tab/>
      </w:r>
      <w:r w:rsidRPr="002A0313">
        <w:rPr>
          <w:szCs w:val="22"/>
        </w:rPr>
        <w:tab/>
      </w:r>
      <w:bookmarkStart w:id="0" w:name="BKCheck15B_1"/>
      <w:bookmarkEnd w:id="0"/>
    </w:p>
    <w:p w:rsidR="007E6C5C" w:rsidRDefault="007E6C5C" w:rsidP="00F81A21">
      <w:pPr>
        <w:keepNext/>
        <w:spacing w:before="300" w:line="240" w:lineRule="atLeast"/>
        <w:ind w:right="397"/>
        <w:jc w:val="both"/>
        <w:rPr>
          <w:szCs w:val="22"/>
        </w:rPr>
      </w:pPr>
    </w:p>
    <w:p w:rsidR="007E6C5C" w:rsidRPr="002A0313" w:rsidRDefault="007E6C5C" w:rsidP="00F81A21">
      <w:pPr>
        <w:keepNext/>
        <w:spacing w:before="300" w:line="240" w:lineRule="atLeast"/>
        <w:ind w:right="397"/>
        <w:jc w:val="both"/>
        <w:rPr>
          <w:szCs w:val="22"/>
        </w:rPr>
      </w:pPr>
      <w:r>
        <w:rPr>
          <w:szCs w:val="22"/>
        </w:rPr>
        <w:t>GREG HUNT</w:t>
      </w:r>
    </w:p>
    <w:p w:rsidR="00F81A21" w:rsidRPr="002A0313" w:rsidRDefault="00F81A21" w:rsidP="007E6C5C">
      <w:pPr>
        <w:keepNext/>
        <w:tabs>
          <w:tab w:val="left" w:pos="3402"/>
        </w:tabs>
        <w:spacing w:before="1320" w:line="300" w:lineRule="atLeast"/>
        <w:ind w:right="397"/>
        <w:rPr>
          <w:szCs w:val="22"/>
        </w:rPr>
      </w:pPr>
      <w:r w:rsidRPr="002A0313">
        <w:rPr>
          <w:szCs w:val="22"/>
        </w:rPr>
        <w:t xml:space="preserve">Greg Hunt </w:t>
      </w:r>
    </w:p>
    <w:p w:rsidR="00F81A21" w:rsidRPr="002A0313" w:rsidRDefault="00F81A21" w:rsidP="00F81A21">
      <w:pPr>
        <w:pStyle w:val="SignCoverPageEnd"/>
        <w:rPr>
          <w:szCs w:val="22"/>
        </w:rPr>
      </w:pPr>
      <w:r w:rsidRPr="002A0313">
        <w:rPr>
          <w:szCs w:val="22"/>
        </w:rPr>
        <w:t>Minister for the Environment</w:t>
      </w:r>
    </w:p>
    <w:p w:rsidR="00F47AAB" w:rsidRDefault="00F47AAB">
      <w:pPr>
        <w:spacing w:line="240" w:lineRule="auto"/>
      </w:pPr>
      <w:r>
        <w:br w:type="page"/>
      </w:r>
    </w:p>
    <w:p w:rsidR="00F81A21" w:rsidRPr="002A0313" w:rsidRDefault="00F81A21" w:rsidP="00F81A21"/>
    <w:p w:rsidR="00F81A21" w:rsidRPr="002A0313" w:rsidRDefault="00F81A21" w:rsidP="00F81A21">
      <w:pPr>
        <w:pStyle w:val="Header"/>
        <w:tabs>
          <w:tab w:val="clear" w:pos="4150"/>
          <w:tab w:val="clear" w:pos="8307"/>
        </w:tabs>
      </w:pPr>
      <w:r w:rsidRPr="002A0313">
        <w:rPr>
          <w:rStyle w:val="CharChapNo"/>
        </w:rPr>
        <w:t xml:space="preserve"> </w:t>
      </w:r>
      <w:r w:rsidRPr="002A0313">
        <w:rPr>
          <w:rStyle w:val="CharChapText"/>
        </w:rPr>
        <w:t xml:space="preserve"> </w:t>
      </w:r>
    </w:p>
    <w:p w:rsidR="00F47AAB" w:rsidRPr="002A0313" w:rsidRDefault="00F47AAB" w:rsidP="00F47AAB">
      <w:pPr>
        <w:rPr>
          <w:sz w:val="36"/>
        </w:rPr>
      </w:pPr>
      <w:r w:rsidRPr="002A0313">
        <w:rPr>
          <w:sz w:val="36"/>
        </w:rPr>
        <w:t>Contents</w:t>
      </w:r>
    </w:p>
    <w:p w:rsidR="00A57364" w:rsidRDefault="00A57364">
      <w:pPr>
        <w:pStyle w:val="TOC5"/>
        <w:rPr>
          <w:rFonts w:asciiTheme="minorHAnsi" w:eastAsiaTheme="minorEastAsia" w:hAnsiTheme="minorHAnsi" w:cstheme="minorBidi"/>
          <w:noProof/>
          <w:kern w:val="0"/>
          <w:sz w:val="22"/>
          <w:szCs w:val="22"/>
        </w:rPr>
      </w:pPr>
      <w:bookmarkStart w:id="1" w:name="BKCheck15B_2"/>
      <w:bookmarkEnd w:id="1"/>
      <w:r>
        <w:rPr>
          <w:noProof/>
        </w:rPr>
        <w:t>1  Name</w:t>
      </w:r>
      <w:r>
        <w:rPr>
          <w:noProof/>
        </w:rPr>
        <w:tab/>
      </w:r>
      <w:r>
        <w:rPr>
          <w:noProof/>
        </w:rPr>
        <w:tab/>
      </w:r>
      <w:r w:rsidR="0031030D">
        <w:rPr>
          <w:noProof/>
        </w:rPr>
        <w:t>3</w:t>
      </w:r>
    </w:p>
    <w:p w:rsidR="00A57364" w:rsidRDefault="00A57364">
      <w:pPr>
        <w:pStyle w:val="TOC5"/>
        <w:rPr>
          <w:rFonts w:asciiTheme="minorHAnsi" w:eastAsiaTheme="minorEastAsia" w:hAnsiTheme="minorHAnsi" w:cstheme="minorBidi"/>
          <w:noProof/>
          <w:kern w:val="0"/>
          <w:sz w:val="22"/>
          <w:szCs w:val="22"/>
        </w:rPr>
      </w:pPr>
      <w:r>
        <w:rPr>
          <w:noProof/>
        </w:rPr>
        <w:t>2  Commencement</w:t>
      </w:r>
      <w:r>
        <w:rPr>
          <w:noProof/>
        </w:rPr>
        <w:tab/>
      </w:r>
      <w:r w:rsidR="0031030D">
        <w:rPr>
          <w:noProof/>
        </w:rPr>
        <w:t>3</w:t>
      </w:r>
    </w:p>
    <w:p w:rsidR="00A57364" w:rsidRDefault="00A57364">
      <w:pPr>
        <w:pStyle w:val="TOC5"/>
        <w:rPr>
          <w:rFonts w:asciiTheme="minorHAnsi" w:eastAsiaTheme="minorEastAsia" w:hAnsiTheme="minorHAnsi" w:cstheme="minorBidi"/>
          <w:noProof/>
          <w:kern w:val="0"/>
          <w:sz w:val="22"/>
          <w:szCs w:val="22"/>
        </w:rPr>
      </w:pPr>
      <w:r>
        <w:rPr>
          <w:noProof/>
        </w:rPr>
        <w:t>3  Authority</w:t>
      </w:r>
      <w:r>
        <w:rPr>
          <w:noProof/>
        </w:rPr>
        <w:tab/>
      </w:r>
      <w:r w:rsidR="0031030D">
        <w:rPr>
          <w:noProof/>
        </w:rPr>
        <w:t>3</w:t>
      </w:r>
    </w:p>
    <w:p w:rsidR="00A57364" w:rsidRDefault="00A57364">
      <w:pPr>
        <w:pStyle w:val="TOC5"/>
        <w:rPr>
          <w:rFonts w:asciiTheme="minorHAnsi" w:eastAsiaTheme="minorEastAsia" w:hAnsiTheme="minorHAnsi" w:cstheme="minorBidi"/>
          <w:noProof/>
          <w:kern w:val="0"/>
          <w:sz w:val="22"/>
          <w:szCs w:val="22"/>
        </w:rPr>
      </w:pPr>
      <w:r>
        <w:rPr>
          <w:noProof/>
        </w:rPr>
        <w:t>4  Amendment of audit determination</w:t>
      </w:r>
      <w:r>
        <w:rPr>
          <w:noProof/>
        </w:rPr>
        <w:tab/>
      </w:r>
      <w:r w:rsidR="0031030D">
        <w:rPr>
          <w:noProof/>
        </w:rPr>
        <w:t>3</w:t>
      </w:r>
    </w:p>
    <w:p w:rsidR="00A57364" w:rsidRDefault="00A57364">
      <w:pPr>
        <w:pStyle w:val="TOC6"/>
        <w:rPr>
          <w:rFonts w:asciiTheme="minorHAnsi" w:eastAsiaTheme="minorEastAsia" w:hAnsiTheme="minorHAnsi" w:cstheme="minorBidi"/>
          <w:b w:val="0"/>
          <w:noProof/>
          <w:kern w:val="0"/>
          <w:sz w:val="22"/>
          <w:szCs w:val="22"/>
        </w:rPr>
      </w:pPr>
      <w:r>
        <w:rPr>
          <w:noProof/>
        </w:rPr>
        <w:t>Schedule 1—ERF audit amendments</w:t>
      </w:r>
      <w:r>
        <w:rPr>
          <w:noProof/>
        </w:rPr>
        <w:tab/>
      </w:r>
      <w:r w:rsidR="0031030D">
        <w:rPr>
          <w:noProof/>
        </w:rPr>
        <w:t>4</w:t>
      </w:r>
    </w:p>
    <w:p w:rsidR="00A57364" w:rsidRDefault="00A57364">
      <w:pPr>
        <w:pStyle w:val="TOC9"/>
        <w:rPr>
          <w:rFonts w:asciiTheme="minorHAnsi" w:eastAsiaTheme="minorEastAsia" w:hAnsiTheme="minorHAnsi" w:cstheme="minorBidi"/>
          <w:i w:val="0"/>
          <w:noProof/>
          <w:kern w:val="0"/>
          <w:sz w:val="22"/>
          <w:szCs w:val="22"/>
        </w:rPr>
      </w:pPr>
      <w:r>
        <w:rPr>
          <w:noProof/>
        </w:rPr>
        <w:t>National Greenhouse and Energy Reporting (Audit) Determination 2009</w:t>
      </w:r>
      <w:r>
        <w:rPr>
          <w:noProof/>
        </w:rPr>
        <w:tab/>
      </w:r>
      <w:r w:rsidR="0031030D">
        <w:rPr>
          <w:noProof/>
        </w:rPr>
        <w:t>4</w:t>
      </w:r>
    </w:p>
    <w:p w:rsidR="00A57364" w:rsidRDefault="00A57364">
      <w:pPr>
        <w:pStyle w:val="TOC6"/>
        <w:rPr>
          <w:rFonts w:asciiTheme="minorHAnsi" w:eastAsiaTheme="minorEastAsia" w:hAnsiTheme="minorHAnsi" w:cstheme="minorBidi"/>
          <w:b w:val="0"/>
          <w:noProof/>
          <w:kern w:val="0"/>
          <w:sz w:val="22"/>
          <w:szCs w:val="22"/>
        </w:rPr>
      </w:pPr>
      <w:r>
        <w:rPr>
          <w:noProof/>
        </w:rPr>
        <w:t>Schedule 2—Safeguard audit amendments</w:t>
      </w:r>
      <w:r>
        <w:rPr>
          <w:noProof/>
        </w:rPr>
        <w:tab/>
      </w:r>
      <w:r w:rsidR="0031030D">
        <w:rPr>
          <w:noProof/>
        </w:rPr>
        <w:t>7</w:t>
      </w:r>
    </w:p>
    <w:p w:rsidR="00A57364" w:rsidRDefault="00A57364">
      <w:pPr>
        <w:pStyle w:val="TOC9"/>
        <w:rPr>
          <w:rFonts w:asciiTheme="minorHAnsi" w:eastAsiaTheme="minorEastAsia" w:hAnsiTheme="minorHAnsi" w:cstheme="minorBidi"/>
          <w:i w:val="0"/>
          <w:noProof/>
          <w:kern w:val="0"/>
          <w:sz w:val="22"/>
          <w:szCs w:val="22"/>
        </w:rPr>
      </w:pPr>
      <w:r>
        <w:rPr>
          <w:noProof/>
        </w:rPr>
        <w:t>National Greenhouse and Energy Reporting (Audit) Determination 2009</w:t>
      </w:r>
      <w:r>
        <w:rPr>
          <w:noProof/>
        </w:rPr>
        <w:tab/>
      </w:r>
      <w:r w:rsidR="0031030D">
        <w:rPr>
          <w:noProof/>
        </w:rPr>
        <w:t>7</w:t>
      </w:r>
    </w:p>
    <w:p w:rsidR="00536929" w:rsidRDefault="00536929" w:rsidP="00536929">
      <w:pPr>
        <w:spacing w:line="240" w:lineRule="auto"/>
      </w:pPr>
      <w:r>
        <w:br w:type="page"/>
      </w:r>
    </w:p>
    <w:p w:rsidR="00F47AAB" w:rsidRPr="002A0313" w:rsidRDefault="0031030D" w:rsidP="00AD7BE4">
      <w:pPr>
        <w:pStyle w:val="h5Section"/>
      </w:pPr>
      <w:bookmarkStart w:id="2" w:name="_Toc405889305"/>
      <w:bookmarkStart w:id="3" w:name="_Toc428873423"/>
      <w:proofErr w:type="gramStart"/>
      <w:r>
        <w:lastRenderedPageBreak/>
        <w:t>1</w:t>
      </w:r>
      <w:r w:rsidR="00AD7BE4">
        <w:t xml:space="preserve"> </w:t>
      </w:r>
      <w:r w:rsidR="004040B2">
        <w:t xml:space="preserve"> </w:t>
      </w:r>
      <w:r w:rsidR="00F47AAB" w:rsidRPr="002A0313">
        <w:t>Name</w:t>
      </w:r>
      <w:bookmarkEnd w:id="2"/>
      <w:bookmarkEnd w:id="3"/>
      <w:proofErr w:type="gramEnd"/>
      <w:r w:rsidR="005716AB">
        <w:t xml:space="preserve">               </w:t>
      </w:r>
    </w:p>
    <w:p w:rsidR="00F47AAB" w:rsidRDefault="00F47AAB" w:rsidP="00F47AAB">
      <w:pPr>
        <w:pStyle w:val="tMain"/>
      </w:pPr>
      <w:r w:rsidRPr="002A0313">
        <w:tab/>
      </w:r>
      <w:r w:rsidRPr="002A0313">
        <w:tab/>
        <w:t xml:space="preserve">This is the </w:t>
      </w:r>
      <w:bookmarkStart w:id="4" w:name="BKCheck15B_3"/>
      <w:bookmarkEnd w:id="4"/>
      <w:r w:rsidR="0031030D">
        <w:rPr>
          <w:i/>
          <w:noProof/>
        </w:rPr>
        <w:t>National Greenhouse and Energy Reporting (Audit) Amendment Determination 2015 (No. 1)</w:t>
      </w:r>
      <w:r w:rsidRPr="002A0313">
        <w:t>.</w:t>
      </w:r>
    </w:p>
    <w:p w:rsidR="00AD7BE4" w:rsidRPr="002A0313" w:rsidRDefault="0031030D" w:rsidP="00AD7BE4">
      <w:pPr>
        <w:pStyle w:val="h5Section"/>
      </w:pPr>
      <w:bookmarkStart w:id="5" w:name="_Toc405889306"/>
      <w:bookmarkStart w:id="6" w:name="_Toc428873424"/>
      <w:proofErr w:type="gramStart"/>
      <w:r>
        <w:t>2</w:t>
      </w:r>
      <w:r w:rsidR="00AD7BE4">
        <w:t xml:space="preserve">  </w:t>
      </w:r>
      <w:r w:rsidR="00AD7BE4" w:rsidRPr="002A0313">
        <w:t>Commencement</w:t>
      </w:r>
      <w:bookmarkEnd w:id="5"/>
      <w:bookmarkEnd w:id="6"/>
      <w:proofErr w:type="gramEnd"/>
    </w:p>
    <w:p w:rsidR="003639ED" w:rsidRPr="004A6F7F" w:rsidRDefault="00A57364" w:rsidP="00A57364">
      <w:pPr>
        <w:pStyle w:val="tMain"/>
      </w:pPr>
      <w:r>
        <w:tab/>
      </w:r>
      <w:r w:rsidR="0031030D">
        <w:t>(1)</w:t>
      </w:r>
      <w:r>
        <w:tab/>
      </w:r>
      <w:r w:rsidR="003639ED" w:rsidRPr="004A6F7F">
        <w:t>Each provision of this instrument specified in column 1 of the table commences, or is taken to have commenced, in accordance with column 2 of the table. Any other statement in column 2 has effect according to its terms.</w:t>
      </w:r>
    </w:p>
    <w:p w:rsidR="003639ED" w:rsidRPr="004A6F7F" w:rsidRDefault="003639ED" w:rsidP="003639ED">
      <w:pPr>
        <w:pStyle w:val="Tabletext"/>
      </w:pPr>
    </w:p>
    <w:tbl>
      <w:tblPr>
        <w:tblW w:w="4573" w:type="pct"/>
        <w:tblInd w:w="1155" w:type="dxa"/>
        <w:tblBorders>
          <w:top w:val="single" w:sz="4" w:space="0" w:color="auto"/>
          <w:bottom w:val="single" w:sz="2" w:space="0" w:color="auto"/>
          <w:insideH w:val="single" w:sz="4" w:space="0" w:color="auto"/>
        </w:tblBorders>
        <w:tblLayout w:type="fixed"/>
        <w:tblCellMar>
          <w:left w:w="107" w:type="dxa"/>
          <w:right w:w="107" w:type="dxa"/>
        </w:tblCellMar>
        <w:tblLook w:val="04A0"/>
      </w:tblPr>
      <w:tblGrid>
        <w:gridCol w:w="2560"/>
        <w:gridCol w:w="3764"/>
        <w:gridCol w:w="2127"/>
      </w:tblGrid>
      <w:tr w:rsidR="00A57364" w:rsidRPr="00BF08DC" w:rsidTr="00A57364">
        <w:trPr>
          <w:trHeight w:val="373"/>
          <w:tblHeader/>
        </w:trPr>
        <w:tc>
          <w:tcPr>
            <w:tcW w:w="6324" w:type="dxa"/>
            <w:gridSpan w:val="2"/>
            <w:tcBorders>
              <w:top w:val="single" w:sz="12" w:space="0" w:color="auto"/>
              <w:bottom w:val="single" w:sz="6" w:space="0" w:color="auto"/>
            </w:tcBorders>
            <w:shd w:val="clear" w:color="auto" w:fill="auto"/>
            <w:hideMark/>
          </w:tcPr>
          <w:p w:rsidR="00A57364" w:rsidRPr="004A6F7F" w:rsidRDefault="00A57364" w:rsidP="00DB5DE7">
            <w:pPr>
              <w:pStyle w:val="TableHeading"/>
            </w:pPr>
            <w:r w:rsidRPr="004A6F7F">
              <w:t>Commencement information</w:t>
            </w:r>
          </w:p>
        </w:tc>
        <w:tc>
          <w:tcPr>
            <w:tcW w:w="2127" w:type="dxa"/>
            <w:tcBorders>
              <w:top w:val="single" w:sz="12" w:space="0" w:color="auto"/>
              <w:bottom w:val="single" w:sz="6" w:space="0" w:color="auto"/>
            </w:tcBorders>
          </w:tcPr>
          <w:p w:rsidR="00A57364" w:rsidRPr="004A6F7F" w:rsidRDefault="00A57364" w:rsidP="00DB5DE7">
            <w:pPr>
              <w:pStyle w:val="TableHeading"/>
            </w:pPr>
          </w:p>
        </w:tc>
      </w:tr>
      <w:tr w:rsidR="00A57364" w:rsidRPr="00BF08DC" w:rsidTr="00A57364">
        <w:trPr>
          <w:trHeight w:val="373"/>
          <w:tblHeader/>
        </w:trPr>
        <w:tc>
          <w:tcPr>
            <w:tcW w:w="2560" w:type="dxa"/>
            <w:tcBorders>
              <w:top w:val="single" w:sz="6" w:space="0" w:color="auto"/>
              <w:bottom w:val="single" w:sz="6" w:space="0" w:color="auto"/>
            </w:tcBorders>
            <w:shd w:val="clear" w:color="auto" w:fill="auto"/>
            <w:hideMark/>
          </w:tcPr>
          <w:p w:rsidR="00A57364" w:rsidRPr="004A6F7F" w:rsidRDefault="00A57364" w:rsidP="00A57364">
            <w:pPr>
              <w:pStyle w:val="TableHeading"/>
            </w:pPr>
            <w:r w:rsidRPr="004A6F7F">
              <w:t>Column 1</w:t>
            </w:r>
          </w:p>
        </w:tc>
        <w:tc>
          <w:tcPr>
            <w:tcW w:w="3764" w:type="dxa"/>
            <w:tcBorders>
              <w:top w:val="single" w:sz="6" w:space="0" w:color="auto"/>
              <w:bottom w:val="single" w:sz="6" w:space="0" w:color="auto"/>
            </w:tcBorders>
            <w:shd w:val="clear" w:color="auto" w:fill="auto"/>
            <w:hideMark/>
          </w:tcPr>
          <w:p w:rsidR="00A57364" w:rsidRPr="004A6F7F" w:rsidRDefault="00A57364" w:rsidP="00A57364">
            <w:pPr>
              <w:pStyle w:val="TableHeading"/>
            </w:pPr>
            <w:r w:rsidRPr="004A6F7F">
              <w:t>Column 2</w:t>
            </w:r>
          </w:p>
        </w:tc>
        <w:tc>
          <w:tcPr>
            <w:tcW w:w="2127" w:type="dxa"/>
            <w:tcBorders>
              <w:top w:val="single" w:sz="6" w:space="0" w:color="auto"/>
              <w:bottom w:val="single" w:sz="6" w:space="0" w:color="auto"/>
            </w:tcBorders>
          </w:tcPr>
          <w:p w:rsidR="00A57364" w:rsidRPr="00D27D07" w:rsidRDefault="00A57364" w:rsidP="00A57364">
            <w:pPr>
              <w:pStyle w:val="TableHeading"/>
            </w:pPr>
            <w:r w:rsidRPr="00D27D07">
              <w:t>Column 3</w:t>
            </w:r>
          </w:p>
        </w:tc>
      </w:tr>
      <w:tr w:rsidR="00A57364" w:rsidRPr="00BF08DC" w:rsidTr="00A57364">
        <w:trPr>
          <w:trHeight w:val="373"/>
          <w:tblHeader/>
        </w:trPr>
        <w:tc>
          <w:tcPr>
            <w:tcW w:w="2560" w:type="dxa"/>
            <w:tcBorders>
              <w:top w:val="single" w:sz="6" w:space="0" w:color="auto"/>
              <w:bottom w:val="single" w:sz="12" w:space="0" w:color="auto"/>
            </w:tcBorders>
            <w:shd w:val="clear" w:color="auto" w:fill="auto"/>
            <w:hideMark/>
          </w:tcPr>
          <w:p w:rsidR="00A57364" w:rsidRPr="004A6F7F" w:rsidRDefault="00A57364" w:rsidP="00A57364">
            <w:pPr>
              <w:pStyle w:val="TableHeading"/>
            </w:pPr>
            <w:r w:rsidRPr="004A6F7F">
              <w:t>Provisions</w:t>
            </w:r>
          </w:p>
        </w:tc>
        <w:tc>
          <w:tcPr>
            <w:tcW w:w="3764" w:type="dxa"/>
            <w:tcBorders>
              <w:top w:val="single" w:sz="6" w:space="0" w:color="auto"/>
              <w:bottom w:val="single" w:sz="12" w:space="0" w:color="auto"/>
            </w:tcBorders>
            <w:shd w:val="clear" w:color="auto" w:fill="auto"/>
            <w:hideMark/>
          </w:tcPr>
          <w:p w:rsidR="00A57364" w:rsidRPr="004A6F7F" w:rsidRDefault="00A57364" w:rsidP="00A57364">
            <w:pPr>
              <w:pStyle w:val="TableHeading"/>
            </w:pPr>
            <w:r w:rsidRPr="004A6F7F">
              <w:t>Commencement</w:t>
            </w:r>
          </w:p>
        </w:tc>
        <w:tc>
          <w:tcPr>
            <w:tcW w:w="2127" w:type="dxa"/>
            <w:tcBorders>
              <w:top w:val="single" w:sz="6" w:space="0" w:color="auto"/>
              <w:bottom w:val="single" w:sz="12" w:space="0" w:color="auto"/>
            </w:tcBorders>
          </w:tcPr>
          <w:p w:rsidR="00A57364" w:rsidRPr="00D27D07" w:rsidRDefault="00A57364" w:rsidP="00A57364">
            <w:pPr>
              <w:pStyle w:val="TableHeading"/>
            </w:pPr>
            <w:r w:rsidRPr="00D27D07">
              <w:t>Date/Details</w:t>
            </w:r>
          </w:p>
        </w:tc>
      </w:tr>
      <w:tr w:rsidR="00A57364" w:rsidRPr="00BF08DC" w:rsidTr="00A57364">
        <w:trPr>
          <w:trHeight w:val="970"/>
        </w:trPr>
        <w:tc>
          <w:tcPr>
            <w:tcW w:w="2560" w:type="dxa"/>
            <w:tcBorders>
              <w:top w:val="single" w:sz="12" w:space="0" w:color="auto"/>
            </w:tcBorders>
            <w:shd w:val="clear" w:color="auto" w:fill="auto"/>
            <w:hideMark/>
          </w:tcPr>
          <w:p w:rsidR="00A57364" w:rsidRPr="004A6F7F" w:rsidRDefault="00A57364" w:rsidP="00DB5DE7">
            <w:pPr>
              <w:pStyle w:val="Tabletext"/>
            </w:pPr>
            <w:r w:rsidRPr="004A6F7F">
              <w:t>1.  Sections 1 to 4 and anything in this instrument not elsewhere covered by this table</w:t>
            </w:r>
          </w:p>
        </w:tc>
        <w:tc>
          <w:tcPr>
            <w:tcW w:w="3764" w:type="dxa"/>
            <w:tcBorders>
              <w:top w:val="single" w:sz="12" w:space="0" w:color="auto"/>
            </w:tcBorders>
            <w:shd w:val="clear" w:color="auto" w:fill="auto"/>
            <w:hideMark/>
          </w:tcPr>
          <w:p w:rsidR="00A57364" w:rsidRPr="004A6F7F" w:rsidRDefault="00A57364" w:rsidP="00DB5DE7">
            <w:pPr>
              <w:pStyle w:val="Tabletext"/>
            </w:pPr>
            <w:r w:rsidRPr="004A6F7F">
              <w:t>The day after this instrument is registered.</w:t>
            </w:r>
          </w:p>
        </w:tc>
        <w:tc>
          <w:tcPr>
            <w:tcW w:w="2127" w:type="dxa"/>
            <w:tcBorders>
              <w:top w:val="single" w:sz="12" w:space="0" w:color="auto"/>
            </w:tcBorders>
          </w:tcPr>
          <w:p w:rsidR="00A57364" w:rsidRPr="004A6F7F" w:rsidRDefault="00A57364" w:rsidP="00DB5DE7">
            <w:pPr>
              <w:pStyle w:val="Tabletext"/>
            </w:pPr>
          </w:p>
        </w:tc>
      </w:tr>
      <w:tr w:rsidR="00A57364" w:rsidRPr="00BF08DC" w:rsidTr="00A57364">
        <w:trPr>
          <w:trHeight w:val="354"/>
        </w:trPr>
        <w:tc>
          <w:tcPr>
            <w:tcW w:w="2560" w:type="dxa"/>
            <w:tcBorders>
              <w:bottom w:val="single" w:sz="4" w:space="0" w:color="auto"/>
            </w:tcBorders>
            <w:shd w:val="clear" w:color="auto" w:fill="auto"/>
            <w:hideMark/>
          </w:tcPr>
          <w:p w:rsidR="00A57364" w:rsidRPr="004A6F7F" w:rsidRDefault="00A57364" w:rsidP="00DB5DE7">
            <w:pPr>
              <w:pStyle w:val="Tabletext"/>
            </w:pPr>
            <w:r w:rsidRPr="004A6F7F">
              <w:t>2.  Schedule 1</w:t>
            </w:r>
          </w:p>
        </w:tc>
        <w:tc>
          <w:tcPr>
            <w:tcW w:w="3764" w:type="dxa"/>
            <w:tcBorders>
              <w:bottom w:val="single" w:sz="4" w:space="0" w:color="auto"/>
            </w:tcBorders>
            <w:shd w:val="clear" w:color="auto" w:fill="auto"/>
          </w:tcPr>
          <w:p w:rsidR="00A57364" w:rsidRPr="004A6F7F" w:rsidRDefault="00A57364" w:rsidP="00DB5DE7">
            <w:pPr>
              <w:pStyle w:val="Tabletext"/>
            </w:pPr>
            <w:r>
              <w:t>The day after this instrument is registered</w:t>
            </w:r>
            <w:r w:rsidRPr="004A6F7F">
              <w:t>.</w:t>
            </w:r>
          </w:p>
        </w:tc>
        <w:tc>
          <w:tcPr>
            <w:tcW w:w="2127" w:type="dxa"/>
            <w:tcBorders>
              <w:bottom w:val="single" w:sz="4" w:space="0" w:color="auto"/>
            </w:tcBorders>
          </w:tcPr>
          <w:p w:rsidR="00A57364" w:rsidRDefault="00A57364" w:rsidP="00DB5DE7">
            <w:pPr>
              <w:pStyle w:val="Tabletext"/>
            </w:pPr>
          </w:p>
        </w:tc>
      </w:tr>
      <w:tr w:rsidR="00A57364" w:rsidRPr="00BF08DC" w:rsidTr="00A57364">
        <w:trPr>
          <w:trHeight w:val="373"/>
        </w:trPr>
        <w:tc>
          <w:tcPr>
            <w:tcW w:w="2560" w:type="dxa"/>
            <w:tcBorders>
              <w:bottom w:val="single" w:sz="12" w:space="0" w:color="auto"/>
            </w:tcBorders>
            <w:shd w:val="clear" w:color="auto" w:fill="auto"/>
            <w:hideMark/>
          </w:tcPr>
          <w:p w:rsidR="00A57364" w:rsidRPr="004A6F7F" w:rsidRDefault="00A57364" w:rsidP="00DB5DE7">
            <w:pPr>
              <w:pStyle w:val="Tabletext"/>
            </w:pPr>
            <w:r w:rsidRPr="004A6F7F">
              <w:t>3.  Schedule 2</w:t>
            </w:r>
          </w:p>
        </w:tc>
        <w:tc>
          <w:tcPr>
            <w:tcW w:w="3764" w:type="dxa"/>
            <w:tcBorders>
              <w:bottom w:val="single" w:sz="12" w:space="0" w:color="auto"/>
            </w:tcBorders>
            <w:shd w:val="clear" w:color="auto" w:fill="auto"/>
          </w:tcPr>
          <w:p w:rsidR="00A57364" w:rsidRPr="004A6F7F" w:rsidRDefault="00A57364" w:rsidP="00DB5DE7">
            <w:pPr>
              <w:pStyle w:val="Tabletext"/>
            </w:pPr>
            <w:r>
              <w:t>1 July 2016</w:t>
            </w:r>
            <w:r w:rsidRPr="004A6F7F">
              <w:t>.</w:t>
            </w:r>
          </w:p>
        </w:tc>
        <w:tc>
          <w:tcPr>
            <w:tcW w:w="2127" w:type="dxa"/>
            <w:tcBorders>
              <w:bottom w:val="single" w:sz="12" w:space="0" w:color="auto"/>
            </w:tcBorders>
          </w:tcPr>
          <w:p w:rsidR="00A57364" w:rsidRDefault="00A57364" w:rsidP="00DB5DE7">
            <w:pPr>
              <w:pStyle w:val="Tabletext"/>
            </w:pPr>
            <w:r>
              <w:t>1 July 2016</w:t>
            </w:r>
          </w:p>
        </w:tc>
      </w:tr>
    </w:tbl>
    <w:p w:rsidR="00A57364" w:rsidRPr="00D27D07" w:rsidRDefault="00A57364" w:rsidP="00A57364">
      <w:pPr>
        <w:pStyle w:val="nMain"/>
      </w:pPr>
      <w:r w:rsidRPr="00D27D07">
        <w:rPr>
          <w:snapToGrid w:val="0"/>
          <w:lang w:eastAsia="en-US"/>
        </w:rPr>
        <w:t xml:space="preserve">Note: </w:t>
      </w:r>
      <w:r w:rsidRPr="00D27D07">
        <w:rPr>
          <w:snapToGrid w:val="0"/>
          <w:lang w:eastAsia="en-US"/>
        </w:rPr>
        <w:tab/>
        <w:t xml:space="preserve">This table relates only to the provisions of this </w:t>
      </w:r>
      <w:r w:rsidRPr="00D27D07">
        <w:t xml:space="preserve">instrument </w:t>
      </w:r>
      <w:r w:rsidRPr="00D27D07">
        <w:rPr>
          <w:snapToGrid w:val="0"/>
          <w:lang w:eastAsia="en-US"/>
        </w:rPr>
        <w:t xml:space="preserve">as originally made. It will not be amended to deal with any later amendments of this </w:t>
      </w:r>
      <w:r w:rsidRPr="00D27D07">
        <w:t>instrument</w:t>
      </w:r>
      <w:r w:rsidRPr="00D27D07">
        <w:rPr>
          <w:snapToGrid w:val="0"/>
          <w:lang w:eastAsia="en-US"/>
        </w:rPr>
        <w:t>.</w:t>
      </w:r>
    </w:p>
    <w:p w:rsidR="00A57364" w:rsidRDefault="00A57364" w:rsidP="00A57364">
      <w:pPr>
        <w:pStyle w:val="tMain"/>
      </w:pPr>
      <w:r>
        <w:tab/>
      </w:r>
      <w:r w:rsidR="0031030D">
        <w:t>(2)</w:t>
      </w:r>
      <w:r>
        <w:tab/>
      </w:r>
      <w:r w:rsidRPr="00D27D07">
        <w:t>Any information in column 3 of the table is not part of this instrument. Information may be inserted in this column, or information in it may be edited, in any published version of this instrument.</w:t>
      </w:r>
    </w:p>
    <w:p w:rsidR="00AD7BE4" w:rsidRPr="002A0313" w:rsidRDefault="0031030D" w:rsidP="00AD7BE4">
      <w:pPr>
        <w:pStyle w:val="h5Section"/>
      </w:pPr>
      <w:bookmarkStart w:id="7" w:name="_Toc405889307"/>
      <w:bookmarkStart w:id="8" w:name="_Toc428873425"/>
      <w:proofErr w:type="gramStart"/>
      <w:r>
        <w:t>3</w:t>
      </w:r>
      <w:r w:rsidR="00AD7BE4">
        <w:t xml:space="preserve">  </w:t>
      </w:r>
      <w:r w:rsidR="00AD7BE4" w:rsidRPr="002A0313">
        <w:t>Authority</w:t>
      </w:r>
      <w:bookmarkEnd w:id="7"/>
      <w:bookmarkEnd w:id="8"/>
      <w:proofErr w:type="gramEnd"/>
    </w:p>
    <w:p w:rsidR="00AD7BE4" w:rsidRPr="002A0313" w:rsidRDefault="00AD7BE4" w:rsidP="00AD7BE4">
      <w:pPr>
        <w:pStyle w:val="tMain"/>
      </w:pPr>
      <w:r>
        <w:tab/>
      </w:r>
      <w:r>
        <w:tab/>
      </w:r>
      <w:r w:rsidRPr="002A0313">
        <w:t xml:space="preserve">This </w:t>
      </w:r>
      <w:r w:rsidR="00FC6116">
        <w:t>determination</w:t>
      </w:r>
      <w:r w:rsidR="0005210A">
        <w:t xml:space="preserve"> is made under subsection 75</w:t>
      </w:r>
      <w:r w:rsidRPr="002A0313">
        <w:t xml:space="preserve">(1) of the </w:t>
      </w:r>
      <w:r w:rsidR="0005210A">
        <w:rPr>
          <w:i/>
        </w:rPr>
        <w:t>National Greenhouse and Energy Reporting Act 2007</w:t>
      </w:r>
      <w:r w:rsidRPr="002A0313">
        <w:t>.</w:t>
      </w:r>
    </w:p>
    <w:p w:rsidR="003639ED" w:rsidRDefault="003639ED">
      <w:pPr>
        <w:spacing w:line="240" w:lineRule="auto"/>
        <w:rPr>
          <w:b/>
          <w:sz w:val="28"/>
          <w:szCs w:val="28"/>
        </w:rPr>
      </w:pPr>
    </w:p>
    <w:p w:rsidR="003639ED" w:rsidRPr="003D6A7C" w:rsidRDefault="0031030D" w:rsidP="003639ED">
      <w:pPr>
        <w:pStyle w:val="h5Section"/>
      </w:pPr>
      <w:bookmarkStart w:id="9" w:name="_Toc405889308"/>
      <w:bookmarkStart w:id="10" w:name="_Toc414980115"/>
      <w:bookmarkStart w:id="11" w:name="_Toc428873426"/>
      <w:proofErr w:type="gramStart"/>
      <w:r>
        <w:t>4</w:t>
      </w:r>
      <w:r w:rsidR="003639ED" w:rsidRPr="003D6A7C">
        <w:t xml:space="preserve">  </w:t>
      </w:r>
      <w:bookmarkEnd w:id="9"/>
      <w:r w:rsidR="003639ED" w:rsidRPr="003D6A7C">
        <w:t>Amendment</w:t>
      </w:r>
      <w:proofErr w:type="gramEnd"/>
      <w:r w:rsidR="003639ED" w:rsidRPr="003D6A7C">
        <w:t xml:space="preserve"> of </w:t>
      </w:r>
      <w:r w:rsidR="001A1992">
        <w:t>audit</w:t>
      </w:r>
      <w:r w:rsidR="003639ED" w:rsidRPr="003D6A7C">
        <w:t xml:space="preserve"> determination</w:t>
      </w:r>
      <w:bookmarkEnd w:id="10"/>
      <w:bookmarkEnd w:id="11"/>
    </w:p>
    <w:p w:rsidR="003639ED" w:rsidRPr="003D6A7C" w:rsidRDefault="003639ED" w:rsidP="003639ED">
      <w:pPr>
        <w:pStyle w:val="tMain"/>
      </w:pPr>
      <w:r w:rsidRPr="003D6A7C">
        <w:tab/>
      </w:r>
      <w:r w:rsidRPr="003D6A7C">
        <w:tab/>
        <w:t>Each instrument that is specified in a Schedule to this instrument is amended or re</w:t>
      </w:r>
      <w:r>
        <w:t>peale</w:t>
      </w:r>
      <w:r w:rsidRPr="003D6A7C">
        <w:t xml:space="preserve">d as set out in the applicable items in the Schedule concerned, and any other item in a Schedule to this </w:t>
      </w:r>
      <w:r>
        <w:t>instrument</w:t>
      </w:r>
      <w:r w:rsidRPr="003D6A7C">
        <w:t xml:space="preserve"> has effect according to its terms. </w:t>
      </w:r>
    </w:p>
    <w:p w:rsidR="003F58A1" w:rsidRDefault="003F58A1">
      <w:pPr>
        <w:spacing w:line="240" w:lineRule="auto"/>
        <w:rPr>
          <w:rFonts w:ascii="Arial" w:hAnsi="Arial"/>
          <w:b/>
          <w:color w:val="7030A0"/>
          <w:sz w:val="28"/>
          <w:szCs w:val="28"/>
        </w:rPr>
      </w:pPr>
      <w:r>
        <w:rPr>
          <w:b/>
          <w:sz w:val="28"/>
          <w:szCs w:val="28"/>
        </w:rPr>
        <w:br w:type="page"/>
      </w:r>
    </w:p>
    <w:p w:rsidR="003639ED" w:rsidRPr="003D6A7C" w:rsidRDefault="003639ED" w:rsidP="00BB64C3">
      <w:pPr>
        <w:pStyle w:val="ActHead6"/>
        <w:pageBreakBefore/>
        <w:ind w:left="0" w:firstLine="0"/>
        <w:rPr>
          <w:sz w:val="36"/>
          <w:szCs w:val="36"/>
        </w:rPr>
      </w:pPr>
      <w:bookmarkStart w:id="12" w:name="_Toc406484599"/>
      <w:bookmarkStart w:id="13" w:name="_Toc414980116"/>
      <w:bookmarkStart w:id="14" w:name="_Toc428873427"/>
      <w:bookmarkStart w:id="15" w:name="opcAmSched"/>
      <w:bookmarkStart w:id="16" w:name="opcCurrentFind"/>
      <w:r w:rsidRPr="003D6A7C">
        <w:rPr>
          <w:rStyle w:val="CharAmSchNo"/>
          <w:sz w:val="36"/>
          <w:szCs w:val="36"/>
        </w:rPr>
        <w:lastRenderedPageBreak/>
        <w:t>Schedule 1</w:t>
      </w:r>
      <w:r w:rsidRPr="003D6A7C">
        <w:rPr>
          <w:sz w:val="36"/>
          <w:szCs w:val="36"/>
        </w:rPr>
        <w:t>—</w:t>
      </w:r>
      <w:bookmarkEnd w:id="12"/>
      <w:bookmarkEnd w:id="13"/>
      <w:r>
        <w:rPr>
          <w:rStyle w:val="CharAmSchText"/>
          <w:sz w:val="36"/>
          <w:szCs w:val="36"/>
        </w:rPr>
        <w:t>E</w:t>
      </w:r>
      <w:r w:rsidR="00BB64C3">
        <w:rPr>
          <w:rStyle w:val="CharAmSchText"/>
          <w:sz w:val="36"/>
          <w:szCs w:val="36"/>
        </w:rPr>
        <w:t>RF a</w:t>
      </w:r>
      <w:r>
        <w:rPr>
          <w:rStyle w:val="CharAmSchText"/>
          <w:sz w:val="36"/>
          <w:szCs w:val="36"/>
        </w:rPr>
        <w:t>udit amendments</w:t>
      </w:r>
      <w:bookmarkEnd w:id="14"/>
    </w:p>
    <w:p w:rsidR="003639ED" w:rsidRPr="003D6A7C" w:rsidRDefault="003639ED" w:rsidP="003639ED">
      <w:pPr>
        <w:pStyle w:val="ActHead9"/>
        <w:ind w:firstLine="0"/>
      </w:pPr>
      <w:bookmarkStart w:id="17" w:name="_Toc428873428"/>
      <w:bookmarkEnd w:id="15"/>
      <w:bookmarkEnd w:id="16"/>
      <w:r>
        <w:t>National Greenhouse and Energy Reporting (Audit) Determination 2009</w:t>
      </w:r>
      <w:bookmarkEnd w:id="17"/>
    </w:p>
    <w:p w:rsidR="003639ED" w:rsidRPr="003D6A7C" w:rsidRDefault="0031030D" w:rsidP="003639ED">
      <w:pPr>
        <w:pStyle w:val="h5SchItem"/>
      </w:pPr>
      <w:r>
        <w:t>[1]</w:t>
      </w:r>
      <w:r w:rsidR="003639ED" w:rsidRPr="003D6A7C">
        <w:tab/>
      </w:r>
      <w:r w:rsidR="00410494">
        <w:t>Subsection 1.3(3A)</w:t>
      </w:r>
    </w:p>
    <w:p w:rsidR="003639ED" w:rsidRDefault="00CE34F8" w:rsidP="00CE34F8">
      <w:pPr>
        <w:pStyle w:val="tMain"/>
      </w:pPr>
      <w:r>
        <w:tab/>
      </w:r>
      <w:r>
        <w:tab/>
      </w:r>
      <w:r w:rsidR="00410494">
        <w:t>Repeal the subsection, substitute:</w:t>
      </w:r>
    </w:p>
    <w:p w:rsidR="00410494" w:rsidRDefault="00410494" w:rsidP="00410494">
      <w:pPr>
        <w:pStyle w:val="tMain"/>
      </w:pPr>
      <w:r>
        <w:tab/>
        <w:t>(3A)</w:t>
      </w:r>
      <w:r>
        <w:tab/>
      </w:r>
      <w:r w:rsidRPr="00410494">
        <w:t>Under sections 214 and 215 of the CFI Act, a person who is or has been a project proponent may be audited for compliance with 1 or more aspects of the CFI Act or the associated provisions. In addition, an audit may be carried out for the purposes of preparing an audit report prescribed for the p</w:t>
      </w:r>
      <w:r>
        <w:t>ur</w:t>
      </w:r>
      <w:r w:rsidR="00797593">
        <w:t>poses of paragraph 13</w:t>
      </w:r>
      <w:r w:rsidR="00F87040">
        <w:t xml:space="preserve"> </w:t>
      </w:r>
      <w:r w:rsidR="00797593">
        <w:t>(1)</w:t>
      </w:r>
      <w:r w:rsidR="00F87040">
        <w:t xml:space="preserve"> </w:t>
      </w:r>
      <w:r w:rsidR="00015759">
        <w:t>(e), (ea),</w:t>
      </w:r>
      <w:r>
        <w:t xml:space="preserve"> (</w:t>
      </w:r>
      <w:proofErr w:type="spellStart"/>
      <w:r>
        <w:t>eb</w:t>
      </w:r>
      <w:proofErr w:type="spellEnd"/>
      <w:r>
        <w:t>),</w:t>
      </w:r>
      <w:r w:rsidR="00797593">
        <w:t xml:space="preserve"> 23</w:t>
      </w:r>
      <w:r w:rsidR="00F87040">
        <w:t xml:space="preserve"> </w:t>
      </w:r>
      <w:r w:rsidRPr="00410494">
        <w:t>(1)</w:t>
      </w:r>
      <w:r w:rsidR="00F87040">
        <w:t xml:space="preserve"> </w:t>
      </w:r>
      <w:r w:rsidR="00015759">
        <w:t>(d),</w:t>
      </w:r>
      <w:r w:rsidR="00797593">
        <w:t xml:space="preserve"> 76</w:t>
      </w:r>
      <w:r w:rsidR="00F87040">
        <w:t xml:space="preserve"> </w:t>
      </w:r>
      <w:r w:rsidRPr="00410494">
        <w:t>(4</w:t>
      </w:r>
      <w:r w:rsidR="00797593">
        <w:t>)</w:t>
      </w:r>
      <w:r w:rsidR="00F87040">
        <w:t xml:space="preserve"> </w:t>
      </w:r>
      <w:r w:rsidRPr="00410494">
        <w:t>(c)</w:t>
      </w:r>
      <w:r w:rsidR="00015759">
        <w:t>, (ca) or</w:t>
      </w:r>
      <w:r>
        <w:t xml:space="preserve"> (</w:t>
      </w:r>
      <w:proofErr w:type="spellStart"/>
      <w:r>
        <w:t>cb</w:t>
      </w:r>
      <w:proofErr w:type="spellEnd"/>
      <w:r>
        <w:t>)</w:t>
      </w:r>
      <w:r w:rsidRPr="00410494">
        <w:t xml:space="preserve"> of the CFI Act. Such audits are called </w:t>
      </w:r>
      <w:r>
        <w:t>ERF</w:t>
      </w:r>
      <w:r w:rsidRPr="00410494">
        <w:t xml:space="preserve"> audits.</w:t>
      </w:r>
    </w:p>
    <w:p w:rsidR="00410494" w:rsidRDefault="0031030D" w:rsidP="00410494">
      <w:pPr>
        <w:pStyle w:val="h5SchItem"/>
      </w:pPr>
      <w:r>
        <w:t>[2]</w:t>
      </w:r>
      <w:r w:rsidR="00410494">
        <w:tab/>
      </w:r>
      <w:r w:rsidR="00015759">
        <w:t>Subsection 1.3(4)</w:t>
      </w:r>
    </w:p>
    <w:p w:rsidR="00015759" w:rsidRDefault="00015759" w:rsidP="00015759">
      <w:pPr>
        <w:pStyle w:val="tMain"/>
      </w:pPr>
      <w:r>
        <w:tab/>
      </w:r>
      <w:r>
        <w:tab/>
        <w:t>Omit “CFI audits”, substitute “ERF audits</w:t>
      </w:r>
      <w:r w:rsidR="00034147">
        <w:t xml:space="preserve"> (collectively called Part 6 audits)</w:t>
      </w:r>
      <w:r>
        <w:t>”.</w:t>
      </w:r>
    </w:p>
    <w:p w:rsidR="00015759" w:rsidRDefault="0031030D" w:rsidP="00015759">
      <w:pPr>
        <w:pStyle w:val="h5SchItem"/>
      </w:pPr>
      <w:r>
        <w:t>[3]</w:t>
      </w:r>
      <w:r w:rsidR="00015759">
        <w:tab/>
        <w:t>Subsection 1.3(10A)</w:t>
      </w:r>
    </w:p>
    <w:p w:rsidR="00015759" w:rsidRDefault="00797593" w:rsidP="00015759">
      <w:pPr>
        <w:pStyle w:val="tMain"/>
      </w:pPr>
      <w:r>
        <w:tab/>
      </w:r>
      <w:r>
        <w:tab/>
        <w:t>Omit “13</w:t>
      </w:r>
      <w:r w:rsidR="00F87040">
        <w:t xml:space="preserve"> </w:t>
      </w:r>
      <w:r>
        <w:t>(1)</w:t>
      </w:r>
      <w:r w:rsidR="00F87040">
        <w:t xml:space="preserve"> </w:t>
      </w:r>
      <w:r w:rsidR="00015759">
        <w:t xml:space="preserve">(e) or </w:t>
      </w:r>
      <w:r>
        <w:t>76</w:t>
      </w:r>
      <w:r w:rsidR="00F87040">
        <w:t xml:space="preserve"> </w:t>
      </w:r>
      <w:r>
        <w:t>(4)</w:t>
      </w:r>
      <w:r w:rsidR="00F87040">
        <w:t xml:space="preserve"> </w:t>
      </w:r>
      <w:r w:rsidR="00015759" w:rsidRPr="00410494">
        <w:t>(c)</w:t>
      </w:r>
      <w:r w:rsidR="00015759">
        <w:t>”,</w:t>
      </w:r>
      <w:r w:rsidR="00015759" w:rsidRPr="00410494">
        <w:t xml:space="preserve"> </w:t>
      </w:r>
      <w:r>
        <w:t>substitute “13</w:t>
      </w:r>
      <w:r w:rsidR="00F87040">
        <w:t xml:space="preserve"> </w:t>
      </w:r>
      <w:r>
        <w:t>(1)</w:t>
      </w:r>
      <w:r w:rsidR="00F87040">
        <w:t xml:space="preserve"> </w:t>
      </w:r>
      <w:r w:rsidR="00015759">
        <w:t>(e), (ea), (</w:t>
      </w:r>
      <w:proofErr w:type="spellStart"/>
      <w:r w:rsidR="00015759">
        <w:t>eb</w:t>
      </w:r>
      <w:proofErr w:type="spellEnd"/>
      <w:r w:rsidR="00015759">
        <w:t>),</w:t>
      </w:r>
      <w:r>
        <w:t xml:space="preserve"> 76</w:t>
      </w:r>
      <w:r w:rsidR="00F87040">
        <w:t xml:space="preserve"> </w:t>
      </w:r>
      <w:r>
        <w:t>(4)</w:t>
      </w:r>
      <w:r w:rsidR="00F87040">
        <w:t xml:space="preserve"> </w:t>
      </w:r>
      <w:r w:rsidR="00015759" w:rsidRPr="00410494">
        <w:t>(c)</w:t>
      </w:r>
      <w:r w:rsidR="00015759">
        <w:t>, (ca) or (</w:t>
      </w:r>
      <w:proofErr w:type="spellStart"/>
      <w:r w:rsidR="00015759">
        <w:t>cb</w:t>
      </w:r>
      <w:proofErr w:type="spellEnd"/>
      <w:r w:rsidR="00015759">
        <w:t>)”</w:t>
      </w:r>
      <w:r>
        <w:t>.</w:t>
      </w:r>
    </w:p>
    <w:p w:rsidR="006323D1" w:rsidRDefault="0031030D" w:rsidP="006323D1">
      <w:pPr>
        <w:pStyle w:val="h5SchItem"/>
      </w:pPr>
      <w:r>
        <w:t>[4]</w:t>
      </w:r>
      <w:r w:rsidR="006323D1">
        <w:tab/>
        <w:t xml:space="preserve">Section 1.4 (definition of </w:t>
      </w:r>
      <w:r w:rsidR="006323D1">
        <w:rPr>
          <w:i/>
        </w:rPr>
        <w:t>audit team</w:t>
      </w:r>
      <w:r w:rsidR="006323D1">
        <w:t>)</w:t>
      </w:r>
    </w:p>
    <w:p w:rsidR="006323D1" w:rsidRDefault="006323D1" w:rsidP="006323D1">
      <w:pPr>
        <w:pStyle w:val="tMain"/>
      </w:pPr>
      <w:r>
        <w:tab/>
      </w:r>
      <w:r>
        <w:tab/>
        <w:t>Omit “</w:t>
      </w:r>
      <w:r w:rsidR="00034147">
        <w:t xml:space="preserve">greenhouse and energy audit or a </w:t>
      </w:r>
      <w:r>
        <w:t>CFI audit”, substitute “</w:t>
      </w:r>
      <w:r w:rsidR="00034147">
        <w:t>Part 6</w:t>
      </w:r>
      <w:r>
        <w:t xml:space="preserve"> audit”.</w:t>
      </w:r>
    </w:p>
    <w:p w:rsidR="00015759" w:rsidRDefault="0031030D" w:rsidP="00015759">
      <w:pPr>
        <w:pStyle w:val="h5SchItem"/>
      </w:pPr>
      <w:r>
        <w:t>[5]</w:t>
      </w:r>
      <w:r w:rsidR="00015759">
        <w:tab/>
        <w:t xml:space="preserve">Section 1.4 (definition of </w:t>
      </w:r>
      <w:r w:rsidR="00015759" w:rsidRPr="00015759">
        <w:rPr>
          <w:i/>
        </w:rPr>
        <w:t>audit team member</w:t>
      </w:r>
      <w:r w:rsidR="00015759">
        <w:t>)</w:t>
      </w:r>
    </w:p>
    <w:p w:rsidR="005B52E3" w:rsidRDefault="00015759" w:rsidP="006323D1">
      <w:pPr>
        <w:pStyle w:val="tMain"/>
      </w:pPr>
      <w:r>
        <w:tab/>
      </w:r>
      <w:r>
        <w:tab/>
        <w:t>Omit “</w:t>
      </w:r>
      <w:r w:rsidR="00F87040">
        <w:t xml:space="preserve">a </w:t>
      </w:r>
      <w:r>
        <w:t>CFI audit”, substitute “</w:t>
      </w:r>
      <w:r w:rsidR="00F87040">
        <w:t xml:space="preserve">an </w:t>
      </w:r>
      <w:r>
        <w:t>ERF audit”.</w:t>
      </w:r>
    </w:p>
    <w:p w:rsidR="00216EA9" w:rsidRDefault="0031030D" w:rsidP="00216EA9">
      <w:pPr>
        <w:pStyle w:val="h5SchItem"/>
      </w:pPr>
      <w:r>
        <w:t>[6]</w:t>
      </w:r>
      <w:r w:rsidR="00216EA9">
        <w:tab/>
        <w:t xml:space="preserve">Section 1.4 </w:t>
      </w:r>
    </w:p>
    <w:p w:rsidR="00216EA9" w:rsidRDefault="00216EA9" w:rsidP="00216EA9">
      <w:pPr>
        <w:pStyle w:val="tMain"/>
      </w:pPr>
      <w:r>
        <w:tab/>
      </w:r>
      <w:r>
        <w:tab/>
        <w:t>Insert in appropriate alphabetical position:</w:t>
      </w:r>
    </w:p>
    <w:p w:rsidR="00216EA9" w:rsidRDefault="00216EA9" w:rsidP="00216EA9">
      <w:pPr>
        <w:pStyle w:val="tDefn"/>
      </w:pPr>
      <w:r w:rsidRPr="00216EA9">
        <w:rPr>
          <w:b/>
          <w:i/>
        </w:rPr>
        <w:t>Part 6 audit</w:t>
      </w:r>
      <w:r>
        <w:t xml:space="preserve"> means any of the following:</w:t>
      </w:r>
    </w:p>
    <w:p w:rsidR="00216EA9" w:rsidRDefault="00216EA9" w:rsidP="00216EA9">
      <w:pPr>
        <w:pStyle w:val="tDefn"/>
      </w:pPr>
      <w:r>
        <w:t xml:space="preserve">(a) </w:t>
      </w:r>
      <w:r>
        <w:tab/>
      </w:r>
      <w:proofErr w:type="gramStart"/>
      <w:r>
        <w:t>an</w:t>
      </w:r>
      <w:proofErr w:type="gramEnd"/>
      <w:r>
        <w:t xml:space="preserve"> ERF audit;</w:t>
      </w:r>
    </w:p>
    <w:p w:rsidR="00216EA9" w:rsidRDefault="00216EA9" w:rsidP="00216EA9">
      <w:pPr>
        <w:pStyle w:val="tDefn"/>
      </w:pPr>
      <w:r>
        <w:t>(b)</w:t>
      </w:r>
      <w:r>
        <w:tab/>
      </w:r>
      <w:proofErr w:type="gramStart"/>
      <w:r>
        <w:t>a</w:t>
      </w:r>
      <w:proofErr w:type="gramEnd"/>
      <w:r>
        <w:t xml:space="preserve"> greenhouse and energy audit.</w:t>
      </w:r>
    </w:p>
    <w:p w:rsidR="006323D1" w:rsidRDefault="0031030D" w:rsidP="006323D1">
      <w:pPr>
        <w:pStyle w:val="h5SchItem"/>
      </w:pPr>
      <w:r>
        <w:t>[7]</w:t>
      </w:r>
      <w:r w:rsidR="006323D1">
        <w:tab/>
        <w:t xml:space="preserve">Section 1.4 (definition of </w:t>
      </w:r>
      <w:r w:rsidR="006323D1">
        <w:rPr>
          <w:i/>
        </w:rPr>
        <w:t>terms of engagement</w:t>
      </w:r>
      <w:r w:rsidR="006323D1">
        <w:t>)</w:t>
      </w:r>
    </w:p>
    <w:p w:rsidR="006323D1" w:rsidRDefault="006323D1" w:rsidP="006323D1">
      <w:pPr>
        <w:pStyle w:val="tMain"/>
      </w:pPr>
      <w:r>
        <w:tab/>
      </w:r>
      <w:r>
        <w:tab/>
        <w:t>Omit “</w:t>
      </w:r>
      <w:r w:rsidR="000A7237">
        <w:t xml:space="preserve">greenhouse and energy audit or a </w:t>
      </w:r>
      <w:r>
        <w:t>CFI audit”, substitute “</w:t>
      </w:r>
      <w:r w:rsidR="00034147">
        <w:t>Part 6</w:t>
      </w:r>
      <w:r>
        <w:t xml:space="preserve"> audit”.</w:t>
      </w:r>
    </w:p>
    <w:p w:rsidR="00CE34F8" w:rsidRDefault="0031030D" w:rsidP="00CE34F8">
      <w:pPr>
        <w:pStyle w:val="h5SchItem"/>
      </w:pPr>
      <w:r>
        <w:t>[8]</w:t>
      </w:r>
      <w:r w:rsidR="00CE34F8">
        <w:tab/>
        <w:t>Subsection 1.5(1A)</w:t>
      </w:r>
    </w:p>
    <w:p w:rsidR="00CE34F8" w:rsidRPr="00015759" w:rsidRDefault="00CE34F8" w:rsidP="00CE34F8">
      <w:pPr>
        <w:pStyle w:val="tMain"/>
      </w:pPr>
      <w:r>
        <w:tab/>
      </w:r>
      <w:r>
        <w:tab/>
        <w:t>Omit “</w:t>
      </w:r>
      <w:r w:rsidR="00F87040">
        <w:t xml:space="preserve">A </w:t>
      </w:r>
      <w:r>
        <w:t>CFI audit”, substitute “</w:t>
      </w:r>
      <w:r w:rsidR="00F87040">
        <w:t xml:space="preserve">An </w:t>
      </w:r>
      <w:r>
        <w:t>ERF audit”.</w:t>
      </w:r>
    </w:p>
    <w:p w:rsidR="00CE34F8" w:rsidRDefault="0031030D" w:rsidP="00CE34F8">
      <w:pPr>
        <w:pStyle w:val="h5SchItem"/>
      </w:pPr>
      <w:r>
        <w:lastRenderedPageBreak/>
        <w:t>[9]</w:t>
      </w:r>
      <w:r w:rsidR="00CE34F8">
        <w:tab/>
        <w:t>Subsection 1.5(1A)</w:t>
      </w:r>
    </w:p>
    <w:p w:rsidR="00CE34F8" w:rsidRDefault="00797593" w:rsidP="00CE34F8">
      <w:pPr>
        <w:pStyle w:val="tMain"/>
      </w:pPr>
      <w:r>
        <w:tab/>
      </w:r>
      <w:r>
        <w:tab/>
        <w:t>Omit “13</w:t>
      </w:r>
      <w:r w:rsidR="00F87040">
        <w:t xml:space="preserve"> </w:t>
      </w:r>
      <w:r>
        <w:t>(1)</w:t>
      </w:r>
      <w:r w:rsidR="00F87040">
        <w:t xml:space="preserve"> </w:t>
      </w:r>
      <w:r w:rsidR="00CE34F8">
        <w:t xml:space="preserve">(e), </w:t>
      </w:r>
      <w:r>
        <w:t>23</w:t>
      </w:r>
      <w:r w:rsidR="00F87040">
        <w:t xml:space="preserve"> </w:t>
      </w:r>
      <w:r w:rsidR="00CE34F8" w:rsidRPr="00410494">
        <w:t>(1)</w:t>
      </w:r>
      <w:r w:rsidR="00F87040">
        <w:t xml:space="preserve"> </w:t>
      </w:r>
      <w:r w:rsidR="00CE34F8">
        <w:t xml:space="preserve">(d), or </w:t>
      </w:r>
      <w:r>
        <w:t>76</w:t>
      </w:r>
      <w:r w:rsidR="00F87040">
        <w:t xml:space="preserve"> </w:t>
      </w:r>
      <w:r>
        <w:t>(4)</w:t>
      </w:r>
      <w:r w:rsidR="00F87040">
        <w:t xml:space="preserve"> </w:t>
      </w:r>
      <w:r w:rsidR="00CE34F8" w:rsidRPr="00410494">
        <w:t>(c)</w:t>
      </w:r>
      <w:r w:rsidR="00CE34F8">
        <w:t>”,</w:t>
      </w:r>
      <w:r w:rsidR="00CE34F8" w:rsidRPr="00410494">
        <w:t xml:space="preserve"> </w:t>
      </w:r>
      <w:r>
        <w:t>substitute “13</w:t>
      </w:r>
      <w:r w:rsidR="00F87040">
        <w:t xml:space="preserve"> </w:t>
      </w:r>
      <w:r>
        <w:t>(1)</w:t>
      </w:r>
      <w:r w:rsidR="00F87040">
        <w:t xml:space="preserve"> </w:t>
      </w:r>
      <w:r>
        <w:t>(</w:t>
      </w:r>
      <w:r w:rsidR="00CE34F8">
        <w:t>e), (ea), (</w:t>
      </w:r>
      <w:proofErr w:type="spellStart"/>
      <w:r w:rsidR="00CE34F8">
        <w:t>eb</w:t>
      </w:r>
      <w:proofErr w:type="spellEnd"/>
      <w:r w:rsidR="00CE34F8">
        <w:t>),</w:t>
      </w:r>
      <w:r>
        <w:t xml:space="preserve"> 23</w:t>
      </w:r>
      <w:r w:rsidR="00F87040">
        <w:t xml:space="preserve"> </w:t>
      </w:r>
      <w:r w:rsidR="00CE34F8" w:rsidRPr="00410494">
        <w:t>(1)</w:t>
      </w:r>
      <w:r w:rsidR="00F87040">
        <w:t xml:space="preserve"> </w:t>
      </w:r>
      <w:r w:rsidR="00CE34F8">
        <w:t>(d),</w:t>
      </w:r>
      <w:r>
        <w:t xml:space="preserve"> 76</w:t>
      </w:r>
      <w:r w:rsidR="00F87040">
        <w:t xml:space="preserve"> </w:t>
      </w:r>
      <w:r>
        <w:t>(4)</w:t>
      </w:r>
      <w:r w:rsidR="00F87040">
        <w:t xml:space="preserve"> </w:t>
      </w:r>
      <w:r w:rsidR="00CE34F8" w:rsidRPr="00410494">
        <w:t>(c)</w:t>
      </w:r>
      <w:r w:rsidR="00CE34F8">
        <w:t>, (ca) or (</w:t>
      </w:r>
      <w:proofErr w:type="spellStart"/>
      <w:r w:rsidR="00CE34F8">
        <w:t>cb</w:t>
      </w:r>
      <w:proofErr w:type="spellEnd"/>
      <w:r w:rsidR="00CE34F8">
        <w:t>)”.</w:t>
      </w:r>
    </w:p>
    <w:p w:rsidR="00CE34F8" w:rsidRDefault="0031030D" w:rsidP="00CE34F8">
      <w:pPr>
        <w:pStyle w:val="h5SchItem"/>
      </w:pPr>
      <w:r>
        <w:t>[10]</w:t>
      </w:r>
      <w:r w:rsidR="00CE34F8">
        <w:tab/>
        <w:t>Subsection 1.5(3)</w:t>
      </w:r>
    </w:p>
    <w:p w:rsidR="00CE34F8" w:rsidRDefault="00CE34F8" w:rsidP="00216EA9">
      <w:pPr>
        <w:pStyle w:val="tMain"/>
      </w:pPr>
      <w:r>
        <w:tab/>
      </w:r>
      <w:r>
        <w:tab/>
        <w:t>Omit “</w:t>
      </w:r>
      <w:r w:rsidR="000A7237">
        <w:t xml:space="preserve">greenhouse and energy audit or a </w:t>
      </w:r>
      <w:r>
        <w:t>CFI audit”, substitute “</w:t>
      </w:r>
      <w:r w:rsidR="00034147">
        <w:t>Part 6</w:t>
      </w:r>
      <w:r>
        <w:t xml:space="preserve"> audit”.</w:t>
      </w:r>
    </w:p>
    <w:p w:rsidR="00CE34F8" w:rsidRDefault="0031030D" w:rsidP="00CE34F8">
      <w:pPr>
        <w:pStyle w:val="h5SchItem"/>
      </w:pPr>
      <w:r>
        <w:t>[11]</w:t>
      </w:r>
      <w:r w:rsidR="00CE34F8">
        <w:tab/>
        <w:t>Subsection 1.5(4)</w:t>
      </w:r>
    </w:p>
    <w:p w:rsidR="00CE34F8" w:rsidRDefault="00CE34F8" w:rsidP="00CE34F8">
      <w:pPr>
        <w:pStyle w:val="tMain"/>
      </w:pPr>
      <w:r>
        <w:tab/>
      </w:r>
      <w:r>
        <w:tab/>
        <w:t>Omit “</w:t>
      </w:r>
      <w:r w:rsidR="000A7237">
        <w:t xml:space="preserve">greenhouse and energy audit or a </w:t>
      </w:r>
      <w:r>
        <w:t>CFI audit”, substitute “</w:t>
      </w:r>
      <w:r w:rsidR="00034147">
        <w:t>Part 6</w:t>
      </w:r>
      <w:r>
        <w:t xml:space="preserve"> audit”.</w:t>
      </w:r>
    </w:p>
    <w:p w:rsidR="00FF1CC6" w:rsidRDefault="0031030D" w:rsidP="00FF1CC6">
      <w:pPr>
        <w:pStyle w:val="h5SchItem"/>
      </w:pPr>
      <w:r>
        <w:t>[12]</w:t>
      </w:r>
      <w:r w:rsidR="00FF1CC6">
        <w:tab/>
        <w:t>Subsection 1.5(4A)</w:t>
      </w:r>
    </w:p>
    <w:p w:rsidR="00FF1CC6" w:rsidRDefault="00FF1CC6" w:rsidP="00FF1CC6">
      <w:pPr>
        <w:pStyle w:val="tMain"/>
      </w:pPr>
      <w:r>
        <w:tab/>
      </w:r>
      <w:r>
        <w:tab/>
      </w:r>
      <w:r w:rsidR="008B6A65">
        <w:t>Repeal the subsection, substitute:</w:t>
      </w:r>
    </w:p>
    <w:p w:rsidR="008B6A65" w:rsidRDefault="008B6A65" w:rsidP="008B6A65">
      <w:pPr>
        <w:pStyle w:val="tMain"/>
      </w:pPr>
      <w:r>
        <w:tab/>
        <w:t>(4A)</w:t>
      </w:r>
      <w:r>
        <w:tab/>
        <w:t>A</w:t>
      </w:r>
      <w:r w:rsidR="00F87040">
        <w:t>n</w:t>
      </w:r>
      <w:r>
        <w:t xml:space="preserve"> ERF audit conducted under section 214 or 215 of the CFI Act may be an assurance engagement or a verification engagement, as specified in the notice given under subsection 214 (2) or 215 (2) of the CFI Act. A</w:t>
      </w:r>
      <w:r w:rsidR="00F87040">
        <w:t>n</w:t>
      </w:r>
      <w:r>
        <w:t xml:space="preserve"> ERF audit conducted for the purposes of preparing an audit report prescribed for the purposes of paragraph 13</w:t>
      </w:r>
      <w:r w:rsidR="00F87040">
        <w:t xml:space="preserve"> </w:t>
      </w:r>
      <w:r>
        <w:t>(1)</w:t>
      </w:r>
      <w:r w:rsidR="00F87040">
        <w:t xml:space="preserve"> </w:t>
      </w:r>
      <w:r>
        <w:t>(e), (ea), (</w:t>
      </w:r>
      <w:proofErr w:type="spellStart"/>
      <w:r>
        <w:t>eb</w:t>
      </w:r>
      <w:proofErr w:type="spellEnd"/>
      <w:r>
        <w:t>), 76</w:t>
      </w:r>
      <w:r w:rsidR="00F87040">
        <w:t xml:space="preserve"> </w:t>
      </w:r>
      <w:r>
        <w:t>(4)</w:t>
      </w:r>
      <w:r w:rsidR="00F87040">
        <w:t xml:space="preserve"> </w:t>
      </w:r>
      <w:r w:rsidRPr="00410494">
        <w:t>(c)</w:t>
      </w:r>
      <w:r>
        <w:t>, (ca) or (</w:t>
      </w:r>
      <w:proofErr w:type="spellStart"/>
      <w:r>
        <w:t>cb</w:t>
      </w:r>
      <w:proofErr w:type="spellEnd"/>
      <w:r>
        <w:t>) of the CFI Act is a reasonable assurance engagement.</w:t>
      </w:r>
    </w:p>
    <w:p w:rsidR="008B6A65" w:rsidRPr="00015759" w:rsidRDefault="008B6A65" w:rsidP="008B6A65">
      <w:pPr>
        <w:pStyle w:val="nMain"/>
      </w:pPr>
      <w:r>
        <w:t>Note:</w:t>
      </w:r>
      <w:r>
        <w:tab/>
        <w:t>No reports have been prescribed for paragraph 23 (1) (d) of the CFI Act.</w:t>
      </w:r>
    </w:p>
    <w:p w:rsidR="00CE34F8" w:rsidRDefault="0031030D" w:rsidP="00CE34F8">
      <w:pPr>
        <w:pStyle w:val="h5SchItem"/>
      </w:pPr>
      <w:r>
        <w:t>[13]</w:t>
      </w:r>
      <w:r w:rsidR="00CE34F8">
        <w:tab/>
        <w:t xml:space="preserve">Subsection </w:t>
      </w:r>
      <w:r w:rsidR="00585825">
        <w:t>2.1(2</w:t>
      </w:r>
      <w:r w:rsidR="00CE34F8">
        <w:t>)</w:t>
      </w:r>
    </w:p>
    <w:p w:rsidR="00CE34F8" w:rsidRPr="00015759" w:rsidRDefault="00CE34F8" w:rsidP="00CE34F8">
      <w:pPr>
        <w:pStyle w:val="tMain"/>
      </w:pPr>
      <w:r>
        <w:tab/>
      </w:r>
      <w:r>
        <w:tab/>
        <w:t>Omit “</w:t>
      </w:r>
      <w:r w:rsidR="000A7237">
        <w:t xml:space="preserve">greenhouse and energy audits or </w:t>
      </w:r>
      <w:r>
        <w:t>CFI audit</w:t>
      </w:r>
      <w:r w:rsidR="00585825">
        <w:t>s</w:t>
      </w:r>
      <w:r>
        <w:t>”, substitute “</w:t>
      </w:r>
      <w:r w:rsidR="00034147">
        <w:t>Part 6</w:t>
      </w:r>
      <w:r>
        <w:t xml:space="preserve"> audit</w:t>
      </w:r>
      <w:r w:rsidR="00585825">
        <w:t>s</w:t>
      </w:r>
      <w:r>
        <w:t>”.</w:t>
      </w:r>
    </w:p>
    <w:p w:rsidR="00585825" w:rsidRDefault="0031030D" w:rsidP="00585825">
      <w:pPr>
        <w:pStyle w:val="h5SchItem"/>
      </w:pPr>
      <w:r>
        <w:t>[14]</w:t>
      </w:r>
      <w:r w:rsidR="00585825">
        <w:tab/>
        <w:t>Section 2.5 (note at the end of the section)</w:t>
      </w:r>
    </w:p>
    <w:p w:rsidR="00585825" w:rsidRPr="00015759" w:rsidRDefault="00585825" w:rsidP="00585825">
      <w:pPr>
        <w:pStyle w:val="tMain"/>
      </w:pPr>
      <w:r>
        <w:tab/>
      </w:r>
      <w:r>
        <w:tab/>
        <w:t>Omit “</w:t>
      </w:r>
      <w:r w:rsidR="000A7237">
        <w:t xml:space="preserve">greenhouse and energy audit or a </w:t>
      </w:r>
      <w:r>
        <w:t>CFI audit”, substitute “</w:t>
      </w:r>
      <w:r w:rsidR="000A7237">
        <w:t>Part 6</w:t>
      </w:r>
      <w:r>
        <w:t xml:space="preserve"> audit”.</w:t>
      </w:r>
    </w:p>
    <w:p w:rsidR="00585825" w:rsidRDefault="0031030D" w:rsidP="00585825">
      <w:pPr>
        <w:pStyle w:val="h5SchItem"/>
      </w:pPr>
      <w:r>
        <w:t>[15]</w:t>
      </w:r>
      <w:r w:rsidR="00585825">
        <w:tab/>
        <w:t>Subparagraph 3.6(5</w:t>
      </w:r>
      <w:proofErr w:type="gramStart"/>
      <w:r w:rsidR="00585825">
        <w:t>)(</w:t>
      </w:r>
      <w:proofErr w:type="gramEnd"/>
      <w:r w:rsidR="00585825">
        <w:t>h)(</w:t>
      </w:r>
      <w:proofErr w:type="spellStart"/>
      <w:r w:rsidR="00585825">
        <w:t>iiia</w:t>
      </w:r>
      <w:proofErr w:type="spellEnd"/>
      <w:r w:rsidR="00585825">
        <w:t xml:space="preserve">) </w:t>
      </w:r>
    </w:p>
    <w:p w:rsidR="00585825" w:rsidRDefault="00585825" w:rsidP="00585825">
      <w:pPr>
        <w:pStyle w:val="tMain"/>
      </w:pPr>
      <w:r>
        <w:tab/>
      </w:r>
      <w:r>
        <w:tab/>
        <w:t>Omit “</w:t>
      </w:r>
      <w:r w:rsidR="00F87040">
        <w:t xml:space="preserve">a </w:t>
      </w:r>
      <w:r>
        <w:t>CFI audit”, substitute “</w:t>
      </w:r>
      <w:r w:rsidR="00F87040">
        <w:t xml:space="preserve">an </w:t>
      </w:r>
      <w:r>
        <w:t>ERF audit”.</w:t>
      </w:r>
    </w:p>
    <w:p w:rsidR="00585825" w:rsidRDefault="0031030D" w:rsidP="00585825">
      <w:pPr>
        <w:pStyle w:val="h5SchItem"/>
      </w:pPr>
      <w:r>
        <w:t>[16]</w:t>
      </w:r>
      <w:r w:rsidR="00585825">
        <w:tab/>
        <w:t>Subsection 3.11(2)</w:t>
      </w:r>
    </w:p>
    <w:p w:rsidR="00585825" w:rsidRDefault="00585825" w:rsidP="00585825">
      <w:pPr>
        <w:pStyle w:val="tMain"/>
      </w:pPr>
      <w:r>
        <w:tab/>
      </w:r>
      <w:r>
        <w:tab/>
        <w:t>Omit “</w:t>
      </w:r>
      <w:r w:rsidR="000A7237">
        <w:t>greenhouse and energy audits or CFI audits”, substitute “Part 6</w:t>
      </w:r>
      <w:r>
        <w:t xml:space="preserve"> audits”.</w:t>
      </w:r>
    </w:p>
    <w:p w:rsidR="00585825" w:rsidRDefault="0031030D" w:rsidP="00585825">
      <w:pPr>
        <w:pStyle w:val="h5SchItem"/>
      </w:pPr>
      <w:r>
        <w:t>[17]</w:t>
      </w:r>
      <w:r w:rsidR="00585825">
        <w:tab/>
      </w:r>
      <w:r w:rsidR="007750C1">
        <w:t>S</w:t>
      </w:r>
      <w:r w:rsidR="00585825">
        <w:t>ection 3.12</w:t>
      </w:r>
    </w:p>
    <w:p w:rsidR="00585825" w:rsidRDefault="00585825" w:rsidP="00585825">
      <w:pPr>
        <w:pStyle w:val="tMain"/>
      </w:pPr>
      <w:r>
        <w:tab/>
      </w:r>
      <w:r>
        <w:tab/>
        <w:t>Omit “</w:t>
      </w:r>
      <w:r w:rsidR="000A7237">
        <w:t xml:space="preserve">greenhouse and energy audit or </w:t>
      </w:r>
      <w:r>
        <w:t>CFI audit”, substitute “</w:t>
      </w:r>
      <w:r w:rsidR="000A7237">
        <w:t>Part 6</w:t>
      </w:r>
      <w:r>
        <w:t xml:space="preserve"> audit”.</w:t>
      </w:r>
    </w:p>
    <w:p w:rsidR="007750C1" w:rsidRDefault="0031030D" w:rsidP="007750C1">
      <w:pPr>
        <w:pStyle w:val="h5SchItem"/>
      </w:pPr>
      <w:r>
        <w:t>[18]</w:t>
      </w:r>
      <w:r w:rsidR="007750C1">
        <w:tab/>
        <w:t>Paragraph 3.14(1</w:t>
      </w:r>
      <w:proofErr w:type="gramStart"/>
      <w:r w:rsidR="007750C1">
        <w:t>)(</w:t>
      </w:r>
      <w:proofErr w:type="gramEnd"/>
      <w:r w:rsidR="007750C1">
        <w:t>e)</w:t>
      </w:r>
    </w:p>
    <w:p w:rsidR="007750C1" w:rsidRDefault="007750C1" w:rsidP="007750C1">
      <w:pPr>
        <w:pStyle w:val="tMain"/>
      </w:pPr>
      <w:r>
        <w:tab/>
      </w:r>
      <w:r>
        <w:tab/>
        <w:t>Omit “</w:t>
      </w:r>
      <w:r w:rsidR="000A7237">
        <w:t xml:space="preserve">greenhouse and energy audits or </w:t>
      </w:r>
      <w:r>
        <w:t>CFI audit</w:t>
      </w:r>
      <w:r w:rsidR="00AB38A7">
        <w:t>s</w:t>
      </w:r>
      <w:r>
        <w:t>”, substitute “</w:t>
      </w:r>
      <w:r w:rsidR="000A7237">
        <w:t>Part 6</w:t>
      </w:r>
      <w:r>
        <w:t xml:space="preserve"> audit</w:t>
      </w:r>
      <w:r w:rsidR="00AB38A7">
        <w:t>s</w:t>
      </w:r>
      <w:r>
        <w:t>”.</w:t>
      </w:r>
    </w:p>
    <w:p w:rsidR="007750C1" w:rsidRDefault="0031030D" w:rsidP="007750C1">
      <w:pPr>
        <w:pStyle w:val="h5SchItem"/>
      </w:pPr>
      <w:r>
        <w:t>[19]</w:t>
      </w:r>
      <w:r w:rsidR="007750C1">
        <w:tab/>
        <w:t>Paragraph 4.2(2</w:t>
      </w:r>
      <w:proofErr w:type="gramStart"/>
      <w:r w:rsidR="007750C1">
        <w:t>)(</w:t>
      </w:r>
      <w:proofErr w:type="gramEnd"/>
      <w:r w:rsidR="007750C1">
        <w:t>c)</w:t>
      </w:r>
    </w:p>
    <w:p w:rsidR="00585825" w:rsidRPr="00015759" w:rsidRDefault="007750C1" w:rsidP="007750C1">
      <w:pPr>
        <w:pStyle w:val="tMain"/>
      </w:pPr>
      <w:r>
        <w:tab/>
      </w:r>
      <w:r>
        <w:tab/>
        <w:t>Omit “</w:t>
      </w:r>
      <w:r w:rsidR="000A7237">
        <w:t xml:space="preserve">greenhouse and energy audit or </w:t>
      </w:r>
      <w:r>
        <w:t>CFI audit”, substitute “</w:t>
      </w:r>
      <w:r w:rsidR="000A7237">
        <w:t>Part 6</w:t>
      </w:r>
      <w:r>
        <w:t xml:space="preserve"> audit”.</w:t>
      </w:r>
    </w:p>
    <w:p w:rsidR="007750C1" w:rsidRDefault="0031030D" w:rsidP="007750C1">
      <w:pPr>
        <w:pStyle w:val="h5SchItem"/>
      </w:pPr>
      <w:r>
        <w:lastRenderedPageBreak/>
        <w:t>[20]</w:t>
      </w:r>
      <w:r w:rsidR="007750C1">
        <w:tab/>
        <w:t>Paragraph 4.7(5</w:t>
      </w:r>
      <w:proofErr w:type="gramStart"/>
      <w:r w:rsidR="007750C1">
        <w:t>)(</w:t>
      </w:r>
      <w:proofErr w:type="gramEnd"/>
      <w:r w:rsidR="007750C1">
        <w:t>b)</w:t>
      </w:r>
    </w:p>
    <w:p w:rsidR="007750C1" w:rsidRDefault="007750C1" w:rsidP="007750C1">
      <w:pPr>
        <w:pStyle w:val="tMain"/>
      </w:pPr>
      <w:r>
        <w:tab/>
      </w:r>
      <w:r>
        <w:tab/>
        <w:t>Omit “</w:t>
      </w:r>
      <w:r w:rsidR="000A7237">
        <w:t xml:space="preserve">greenhouse and energy audit or </w:t>
      </w:r>
      <w:r>
        <w:t>CFI audit”, substitute “</w:t>
      </w:r>
      <w:r w:rsidR="000A7237">
        <w:t>Part 6</w:t>
      </w:r>
      <w:r>
        <w:t xml:space="preserve"> audit”.</w:t>
      </w:r>
    </w:p>
    <w:p w:rsidR="007750C1" w:rsidRDefault="0031030D" w:rsidP="007750C1">
      <w:pPr>
        <w:pStyle w:val="h5SchItem"/>
      </w:pPr>
      <w:r>
        <w:t>[21]</w:t>
      </w:r>
      <w:r w:rsidR="007750C1">
        <w:tab/>
        <w:t>Paragraph 4.8(1</w:t>
      </w:r>
      <w:proofErr w:type="gramStart"/>
      <w:r w:rsidR="007750C1">
        <w:t>)(</w:t>
      </w:r>
      <w:proofErr w:type="gramEnd"/>
      <w:r w:rsidR="007750C1">
        <w:t>c)</w:t>
      </w:r>
    </w:p>
    <w:p w:rsidR="007D6E07" w:rsidRDefault="007750C1" w:rsidP="008B6A65">
      <w:pPr>
        <w:pStyle w:val="tMain"/>
      </w:pPr>
      <w:r>
        <w:tab/>
      </w:r>
      <w:r>
        <w:tab/>
        <w:t>Omit “</w:t>
      </w:r>
      <w:r w:rsidR="000A7237">
        <w:t xml:space="preserve">greenhouse and energy audit or </w:t>
      </w:r>
      <w:r>
        <w:t>CFI audit”, substitute “</w:t>
      </w:r>
      <w:r w:rsidR="000A7237">
        <w:t>Part 6</w:t>
      </w:r>
      <w:r>
        <w:t xml:space="preserve"> audit”.</w:t>
      </w:r>
    </w:p>
    <w:p w:rsidR="00BB64C3" w:rsidRPr="003D6A7C" w:rsidRDefault="00BB64C3" w:rsidP="00BB64C3">
      <w:pPr>
        <w:pStyle w:val="ActHead6"/>
        <w:pageBreakBefore/>
        <w:rPr>
          <w:sz w:val="36"/>
          <w:szCs w:val="36"/>
        </w:rPr>
      </w:pPr>
      <w:bookmarkStart w:id="18" w:name="_Toc428873429"/>
      <w:r>
        <w:rPr>
          <w:rStyle w:val="CharAmSchNo"/>
          <w:sz w:val="36"/>
          <w:szCs w:val="36"/>
        </w:rPr>
        <w:lastRenderedPageBreak/>
        <w:t>Schedule 2</w:t>
      </w:r>
      <w:r w:rsidRPr="003D6A7C">
        <w:rPr>
          <w:sz w:val="36"/>
          <w:szCs w:val="36"/>
        </w:rPr>
        <w:t>—</w:t>
      </w:r>
      <w:r>
        <w:rPr>
          <w:rStyle w:val="CharAmSchText"/>
          <w:sz w:val="36"/>
          <w:szCs w:val="36"/>
        </w:rPr>
        <w:t>Safeguard audit amendments</w:t>
      </w:r>
      <w:bookmarkEnd w:id="18"/>
    </w:p>
    <w:p w:rsidR="00BB64C3" w:rsidRPr="003D6A7C" w:rsidRDefault="00BB64C3" w:rsidP="00BB64C3">
      <w:pPr>
        <w:pStyle w:val="ActHead9"/>
        <w:ind w:firstLine="0"/>
      </w:pPr>
      <w:bookmarkStart w:id="19" w:name="_Toc428873430"/>
      <w:r>
        <w:t>National Greenhouse and Energy Reporting (Audit) Determination 2009</w:t>
      </w:r>
      <w:bookmarkEnd w:id="19"/>
    </w:p>
    <w:p w:rsidR="00DB5DE7" w:rsidRPr="003D6A7C" w:rsidRDefault="0031030D" w:rsidP="00DB5DE7">
      <w:pPr>
        <w:pStyle w:val="h5SchItem"/>
      </w:pPr>
      <w:r>
        <w:t>[1]</w:t>
      </w:r>
      <w:r w:rsidR="00DB5DE7" w:rsidRPr="003D6A7C">
        <w:tab/>
      </w:r>
      <w:r w:rsidR="00DB5DE7">
        <w:t>After subsection 1.3(3A)</w:t>
      </w:r>
    </w:p>
    <w:p w:rsidR="00DB5DE7" w:rsidRDefault="00DB5DE7" w:rsidP="00DB5DE7">
      <w:pPr>
        <w:pStyle w:val="tMain"/>
      </w:pPr>
      <w:r>
        <w:tab/>
      </w:r>
      <w:r>
        <w:tab/>
        <w:t>Insert</w:t>
      </w:r>
    </w:p>
    <w:p w:rsidR="00DB5DE7" w:rsidRDefault="00DB5DE7" w:rsidP="00DB5DE7">
      <w:pPr>
        <w:pStyle w:val="tMain"/>
      </w:pPr>
      <w:r>
        <w:tab/>
        <w:t>(3B)</w:t>
      </w:r>
      <w:r>
        <w:tab/>
      </w:r>
      <w:proofErr w:type="gramStart"/>
      <w:r w:rsidRPr="00410494">
        <w:t>Under</w:t>
      </w:r>
      <w:proofErr w:type="gramEnd"/>
      <w:r w:rsidRPr="00410494">
        <w:t xml:space="preserve"> </w:t>
      </w:r>
      <w:r>
        <w:t>subsection</w:t>
      </w:r>
      <w:r w:rsidRPr="00410494">
        <w:t xml:space="preserve"> </w:t>
      </w:r>
      <w:r>
        <w:t>22XQ</w:t>
      </w:r>
      <w:r w:rsidR="00F87040">
        <w:t xml:space="preserve"> </w:t>
      </w:r>
      <w:r>
        <w:t xml:space="preserve">(3) </w:t>
      </w:r>
      <w:r w:rsidRPr="00410494">
        <w:t>Act,</w:t>
      </w:r>
      <w:r>
        <w:t xml:space="preserve"> the safeguard rules may provide that an application for a baseline determination is to be accompanied by a prescribed audit report</w:t>
      </w:r>
      <w:r w:rsidRPr="00410494">
        <w:t xml:space="preserve">. Such audits are called </w:t>
      </w:r>
      <w:r>
        <w:t>safeguard</w:t>
      </w:r>
      <w:r w:rsidRPr="00410494">
        <w:t xml:space="preserve"> audits.</w:t>
      </w:r>
    </w:p>
    <w:p w:rsidR="00DB5DE7" w:rsidRDefault="0031030D" w:rsidP="00DB5DE7">
      <w:pPr>
        <w:pStyle w:val="h5SchItem"/>
      </w:pPr>
      <w:r>
        <w:t>[2]</w:t>
      </w:r>
      <w:r w:rsidR="00DB5DE7">
        <w:tab/>
        <w:t>Subsection 1.3(4)</w:t>
      </w:r>
    </w:p>
    <w:p w:rsidR="00DB5DE7" w:rsidRDefault="00DB5DE7" w:rsidP="00DB5DE7">
      <w:pPr>
        <w:pStyle w:val="tMain"/>
      </w:pPr>
      <w:r>
        <w:tab/>
      </w:r>
      <w:r>
        <w:tab/>
        <w:t>After “greenhouse and energy audits”, add “, safeguard audits”.</w:t>
      </w:r>
    </w:p>
    <w:p w:rsidR="00DB5DE7" w:rsidRDefault="0031030D" w:rsidP="00DB5DE7">
      <w:pPr>
        <w:pStyle w:val="h5SchItem"/>
      </w:pPr>
      <w:r>
        <w:t>[3]</w:t>
      </w:r>
      <w:r w:rsidR="00DB5DE7">
        <w:tab/>
        <w:t xml:space="preserve">Section 1.4 (definition of </w:t>
      </w:r>
      <w:r w:rsidR="00DB5DE7" w:rsidRPr="00015759">
        <w:rPr>
          <w:i/>
        </w:rPr>
        <w:t>audit team member</w:t>
      </w:r>
      <w:r w:rsidR="00DB5DE7">
        <w:t>)</w:t>
      </w:r>
    </w:p>
    <w:p w:rsidR="00DB5DE7" w:rsidRDefault="00DB5DE7" w:rsidP="00DB5DE7">
      <w:pPr>
        <w:pStyle w:val="tMain"/>
      </w:pPr>
      <w:r>
        <w:tab/>
      </w:r>
      <w:r>
        <w:tab/>
        <w:t>After “ERF audit”, add “or safeguard audit”.</w:t>
      </w:r>
    </w:p>
    <w:p w:rsidR="003C7B7E" w:rsidRDefault="0031030D" w:rsidP="003C7B7E">
      <w:pPr>
        <w:pStyle w:val="h5SchItem"/>
      </w:pPr>
      <w:r>
        <w:t>[4]</w:t>
      </w:r>
      <w:r w:rsidR="003C7B7E">
        <w:tab/>
        <w:t xml:space="preserve">Section 1.4 (at the end of the definition of </w:t>
      </w:r>
      <w:r w:rsidR="003C7B7E">
        <w:rPr>
          <w:i/>
        </w:rPr>
        <w:t>NGER legislation</w:t>
      </w:r>
      <w:r w:rsidR="003C7B7E">
        <w:t>)</w:t>
      </w:r>
    </w:p>
    <w:p w:rsidR="003C7B7E" w:rsidRDefault="003C7B7E" w:rsidP="003C7B7E">
      <w:pPr>
        <w:pStyle w:val="tMain"/>
      </w:pPr>
      <w:r>
        <w:tab/>
      </w:r>
      <w:r>
        <w:tab/>
        <w:t>Add:</w:t>
      </w:r>
    </w:p>
    <w:p w:rsidR="003C7B7E" w:rsidRDefault="003C7B7E" w:rsidP="003C7B7E">
      <w:pPr>
        <w:pStyle w:val="tMain"/>
        <w:ind w:left="0" w:firstLine="0"/>
      </w:pPr>
      <w:r>
        <w:tab/>
      </w:r>
      <w:r>
        <w:tab/>
        <w:t>;</w:t>
      </w:r>
    </w:p>
    <w:p w:rsidR="003C7B7E" w:rsidRDefault="003C7B7E" w:rsidP="003C7B7E">
      <w:pPr>
        <w:pStyle w:val="tDefn"/>
      </w:pPr>
      <w:r>
        <w:t xml:space="preserve">(f) </w:t>
      </w:r>
      <w:r>
        <w:tab/>
      </w:r>
      <w:proofErr w:type="gramStart"/>
      <w:r>
        <w:t>the</w:t>
      </w:r>
      <w:proofErr w:type="gramEnd"/>
      <w:r>
        <w:t xml:space="preserve"> safeguard rules.</w:t>
      </w:r>
    </w:p>
    <w:p w:rsidR="00216EA9" w:rsidRDefault="0031030D" w:rsidP="00216EA9">
      <w:pPr>
        <w:pStyle w:val="h5SchItem"/>
      </w:pPr>
      <w:r>
        <w:t>[5]</w:t>
      </w:r>
      <w:r w:rsidR="00216EA9">
        <w:tab/>
        <w:t>Section 1.4 (</w:t>
      </w:r>
      <w:r w:rsidR="00F87040">
        <w:t xml:space="preserve">at the end of the </w:t>
      </w:r>
      <w:r w:rsidR="00216EA9">
        <w:t xml:space="preserve">definition of </w:t>
      </w:r>
      <w:r w:rsidR="00F87040">
        <w:rPr>
          <w:i/>
        </w:rPr>
        <w:t>Part 6 audit</w:t>
      </w:r>
      <w:r w:rsidR="00216EA9">
        <w:t>)</w:t>
      </w:r>
    </w:p>
    <w:p w:rsidR="00216EA9" w:rsidRDefault="00216EA9" w:rsidP="00216EA9">
      <w:pPr>
        <w:pStyle w:val="tMain"/>
      </w:pPr>
      <w:r>
        <w:tab/>
      </w:r>
      <w:r>
        <w:tab/>
      </w:r>
      <w:r w:rsidR="00F87040">
        <w:t>Add:</w:t>
      </w:r>
    </w:p>
    <w:p w:rsidR="00F87040" w:rsidRDefault="00F87040" w:rsidP="00F87040">
      <w:pPr>
        <w:pStyle w:val="tMain"/>
        <w:ind w:left="0" w:firstLine="0"/>
      </w:pPr>
      <w:r>
        <w:tab/>
        <w:t>;</w:t>
      </w:r>
    </w:p>
    <w:p w:rsidR="00216EA9" w:rsidRDefault="00F87040" w:rsidP="00F87040">
      <w:pPr>
        <w:pStyle w:val="tDefn"/>
      </w:pPr>
      <w:r>
        <w:t xml:space="preserve">(c) </w:t>
      </w:r>
      <w:r>
        <w:tab/>
      </w:r>
      <w:proofErr w:type="gramStart"/>
      <w:r>
        <w:t>a</w:t>
      </w:r>
      <w:proofErr w:type="gramEnd"/>
      <w:r>
        <w:t xml:space="preserve"> safeguard audit.</w:t>
      </w:r>
    </w:p>
    <w:p w:rsidR="00216EA9" w:rsidRDefault="0031030D" w:rsidP="00216EA9">
      <w:pPr>
        <w:pStyle w:val="h5SchItem"/>
      </w:pPr>
      <w:r>
        <w:t>[6]</w:t>
      </w:r>
      <w:r w:rsidR="00216EA9">
        <w:tab/>
        <w:t xml:space="preserve">Section 1.4 (definition of </w:t>
      </w:r>
      <w:r w:rsidR="00216EA9" w:rsidRPr="00015759">
        <w:rPr>
          <w:i/>
        </w:rPr>
        <w:t>audit team member</w:t>
      </w:r>
      <w:r w:rsidR="00216EA9">
        <w:t>)</w:t>
      </w:r>
    </w:p>
    <w:p w:rsidR="00216EA9" w:rsidRPr="006323D1" w:rsidRDefault="00216EA9" w:rsidP="00F87040">
      <w:pPr>
        <w:pStyle w:val="tMain"/>
      </w:pPr>
      <w:r>
        <w:tab/>
      </w:r>
      <w:r>
        <w:tab/>
        <w:t>After “ERF audit”, add “or safeguard audit”.</w:t>
      </w:r>
    </w:p>
    <w:p w:rsidR="00DB5DE7" w:rsidRDefault="0031030D" w:rsidP="00DB5DE7">
      <w:pPr>
        <w:pStyle w:val="h5SchItem"/>
      </w:pPr>
      <w:r>
        <w:t>[7]</w:t>
      </w:r>
      <w:r w:rsidR="00DB5DE7">
        <w:tab/>
      </w:r>
      <w:r w:rsidR="00C87B39">
        <w:t>After s</w:t>
      </w:r>
      <w:r w:rsidR="00DB5DE7">
        <w:t>ubsection 1.5(1A)</w:t>
      </w:r>
    </w:p>
    <w:p w:rsidR="00C87B39" w:rsidRDefault="00C87B39" w:rsidP="00C87B39">
      <w:pPr>
        <w:pStyle w:val="tMain"/>
      </w:pPr>
      <w:r>
        <w:tab/>
        <w:t>(1B)</w:t>
      </w:r>
      <w:r>
        <w:tab/>
      </w:r>
      <w:proofErr w:type="gramStart"/>
      <w:r>
        <w:t>A</w:t>
      </w:r>
      <w:proofErr w:type="gramEnd"/>
      <w:r>
        <w:t xml:space="preserve"> safeguard audit is conducted for the purposes of preparing an audit report prescribed under the safeguard rules to accompany an application for a baseline determination</w:t>
      </w:r>
      <w:r w:rsidRPr="00410494">
        <w:t>.</w:t>
      </w:r>
    </w:p>
    <w:p w:rsidR="005751B4" w:rsidRDefault="005751B4" w:rsidP="00C87B39">
      <w:pPr>
        <w:pStyle w:val="tMain"/>
      </w:pPr>
    </w:p>
    <w:p w:rsidR="005751B4" w:rsidRPr="00C87B39" w:rsidRDefault="005751B4" w:rsidP="00C87B39">
      <w:pPr>
        <w:pStyle w:val="tMain"/>
      </w:pPr>
    </w:p>
    <w:p w:rsidR="00DB5DE7" w:rsidRDefault="0031030D" w:rsidP="00DB5DE7">
      <w:pPr>
        <w:pStyle w:val="h5SchItem"/>
      </w:pPr>
      <w:r>
        <w:lastRenderedPageBreak/>
        <w:t>[8]</w:t>
      </w:r>
      <w:r w:rsidR="00DB5DE7">
        <w:tab/>
      </w:r>
      <w:r w:rsidR="00834A10">
        <w:t>After s</w:t>
      </w:r>
      <w:r w:rsidR="00DB5DE7">
        <w:t>ubparagraph 3.6(5</w:t>
      </w:r>
      <w:proofErr w:type="gramStart"/>
      <w:r w:rsidR="00DB5DE7">
        <w:t>)(</w:t>
      </w:r>
      <w:proofErr w:type="gramEnd"/>
      <w:r w:rsidR="00DB5DE7">
        <w:t>h)(</w:t>
      </w:r>
      <w:proofErr w:type="spellStart"/>
      <w:r w:rsidR="00DB5DE7">
        <w:t>iiia</w:t>
      </w:r>
      <w:proofErr w:type="spellEnd"/>
      <w:r w:rsidR="00DB5DE7">
        <w:t xml:space="preserve">) </w:t>
      </w:r>
    </w:p>
    <w:p w:rsidR="00DB5DE7" w:rsidRDefault="00DB5DE7" w:rsidP="00DB5DE7">
      <w:pPr>
        <w:pStyle w:val="tMain"/>
      </w:pPr>
      <w:r>
        <w:tab/>
      </w:r>
      <w:r>
        <w:tab/>
      </w:r>
      <w:r w:rsidR="00834A10">
        <w:t>Insert:</w:t>
      </w:r>
    </w:p>
    <w:p w:rsidR="00834A10" w:rsidRDefault="00834A10" w:rsidP="00834A10">
      <w:pPr>
        <w:pStyle w:val="tSubpara"/>
      </w:pPr>
      <w:r>
        <w:tab/>
        <w:t>(</w:t>
      </w:r>
      <w:proofErr w:type="spellStart"/>
      <w:proofErr w:type="gramStart"/>
      <w:r>
        <w:t>iiib</w:t>
      </w:r>
      <w:proofErr w:type="spellEnd"/>
      <w:proofErr w:type="gramEnd"/>
      <w:r>
        <w:t>)</w:t>
      </w:r>
      <w:r>
        <w:tab/>
        <w:t>if the plan relates to a safeguard audit—the audited body’s systems and processes for identifying the risks of misstatements that are material and relevant to its application requirements under the safeguard rules and the body’s procedures to address those risks;</w:t>
      </w:r>
    </w:p>
    <w:p w:rsidR="00DB5DE7" w:rsidRDefault="00DB5DE7" w:rsidP="00DB5DE7">
      <w:pPr>
        <w:pStyle w:val="tMain"/>
      </w:pPr>
    </w:p>
    <w:p w:rsidR="00BB64C3" w:rsidRDefault="00BB64C3" w:rsidP="00BB64C3">
      <w:pPr>
        <w:spacing w:line="240" w:lineRule="auto"/>
        <w:rPr>
          <w:rFonts w:ascii="Arial" w:hAnsi="Arial"/>
          <w:color w:val="7030A0"/>
        </w:rPr>
      </w:pPr>
    </w:p>
    <w:p w:rsidR="00BB64C3" w:rsidRDefault="00BB64C3" w:rsidP="00665AEC">
      <w:pPr>
        <w:pStyle w:val="ttExplainTemplate"/>
        <w:ind w:left="1191" w:hanging="1191"/>
      </w:pPr>
    </w:p>
    <w:sectPr w:rsidR="00BB64C3" w:rsidSect="00B13564">
      <w:footerReference w:type="default" r:id="rId13"/>
      <w:pgSz w:w="11906" w:h="16838"/>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1E8" w:rsidRDefault="00EF01E8">
      <w:r>
        <w:separator/>
      </w:r>
    </w:p>
  </w:endnote>
  <w:endnote w:type="continuationSeparator" w:id="0">
    <w:p w:rsidR="00EF01E8" w:rsidRDefault="00EF01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57939"/>
      <w:docPartObj>
        <w:docPartGallery w:val="Page Numbers (Bottom of Page)"/>
        <w:docPartUnique/>
      </w:docPartObj>
    </w:sdtPr>
    <w:sdtContent>
      <w:p w:rsidR="00DB5DE7" w:rsidRDefault="00980A5B" w:rsidP="009818F6">
        <w:pPr>
          <w:pStyle w:val="Footer"/>
          <w:pBdr>
            <w:top w:val="single" w:sz="4" w:space="1" w:color="auto"/>
          </w:pBdr>
          <w:jc w:val="right"/>
        </w:pPr>
        <w:r>
          <w:fldChar w:fldCharType="begin"/>
        </w:r>
        <w:r w:rsidR="00DB5DE7">
          <w:instrText xml:space="preserve"> PAGE   \* MERGEFORMAT </w:instrText>
        </w:r>
        <w:r>
          <w:fldChar w:fldCharType="separate"/>
        </w:r>
        <w:r w:rsidR="007E6C5C">
          <w:rPr>
            <w:noProof/>
          </w:rPr>
          <w:t>8</w:t>
        </w:r>
        <w:r>
          <w:rPr>
            <w:noProof/>
          </w:rPr>
          <w:fldChar w:fldCharType="end"/>
        </w:r>
      </w:p>
    </w:sdtContent>
  </w:sdt>
  <w:p w:rsidR="00DB5DE7" w:rsidRDefault="00980A5B" w:rsidP="009818F6">
    <w:pPr>
      <w:pStyle w:val="Header"/>
    </w:pPr>
    <w:fldSimple w:instr=" STYLEREF  ShortT  \* MERGEFORMAT ">
      <w:r w:rsidR="007E6C5C">
        <w:rPr>
          <w:noProof/>
        </w:rPr>
        <w:t>National Greenhouse and Energy Reporting (Audit) Amendment Determination 2015 (No. 1)</w:t>
      </w:r>
    </w:fldSimple>
  </w:p>
  <w:p w:rsidR="005751B4" w:rsidRDefault="005751B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1E8" w:rsidRDefault="00EF01E8">
      <w:r>
        <w:separator/>
      </w:r>
    </w:p>
  </w:footnote>
  <w:footnote w:type="continuationSeparator" w:id="0">
    <w:p w:rsidR="00EF01E8" w:rsidRDefault="00EF01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8FA819C"/>
    <w:lvl w:ilvl="0">
      <w:start w:val="1"/>
      <w:numFmt w:val="decimal"/>
      <w:lvlText w:val="%1."/>
      <w:lvlJc w:val="left"/>
      <w:pPr>
        <w:tabs>
          <w:tab w:val="num" w:pos="1492"/>
        </w:tabs>
        <w:ind w:left="1492" w:hanging="360"/>
      </w:pPr>
    </w:lvl>
  </w:abstractNum>
  <w:abstractNum w:abstractNumId="1">
    <w:nsid w:val="FFFFFF7D"/>
    <w:multiLevelType w:val="multilevel"/>
    <w:tmpl w:val="D54070FE"/>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3"/>
      <w:lvlJc w:val="left"/>
      <w:pPr>
        <w:ind w:left="0" w:firstLine="0"/>
      </w:pPr>
    </w:lvl>
    <w:lvl w:ilvl="3">
      <w:start w:val="1"/>
      <w:numFmt w:val="decimal"/>
      <w:lvlText w:val="Subdivision %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nsid w:val="FFFFFF7E"/>
    <w:multiLevelType w:val="multilevel"/>
    <w:tmpl w:val="09B4AFE6"/>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3">
    <w:nsid w:val="FFFFFF7F"/>
    <w:multiLevelType w:val="singleLevel"/>
    <w:tmpl w:val="FDA2FC86"/>
    <w:lvl w:ilvl="0">
      <w:start w:val="1"/>
      <w:numFmt w:val="decimal"/>
      <w:lvlText w:val="%1."/>
      <w:lvlJc w:val="left"/>
      <w:pPr>
        <w:tabs>
          <w:tab w:val="num" w:pos="643"/>
        </w:tabs>
        <w:ind w:left="643" w:hanging="360"/>
      </w:pPr>
    </w:lvl>
  </w:abstractNum>
  <w:abstractNum w:abstractNumId="4">
    <w:nsid w:val="FFFFFF80"/>
    <w:multiLevelType w:val="singleLevel"/>
    <w:tmpl w:val="7778B6E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C167B8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88AB2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EF651B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370055E"/>
    <w:lvl w:ilvl="0">
      <w:start w:val="1"/>
      <w:numFmt w:val="decimal"/>
      <w:lvlText w:val="%1."/>
      <w:lvlJc w:val="left"/>
      <w:pPr>
        <w:tabs>
          <w:tab w:val="num" w:pos="360"/>
        </w:tabs>
        <w:ind w:left="360" w:hanging="360"/>
      </w:pPr>
    </w:lvl>
  </w:abstractNum>
  <w:abstractNum w:abstractNumId="9">
    <w:nsid w:val="FFFFFF89"/>
    <w:multiLevelType w:val="singleLevel"/>
    <w:tmpl w:val="D7C4274E"/>
    <w:lvl w:ilvl="0">
      <w:start w:val="1"/>
      <w:numFmt w:val="bullet"/>
      <w:lvlText w:val=""/>
      <w:lvlJc w:val="left"/>
      <w:pPr>
        <w:tabs>
          <w:tab w:val="num" w:pos="360"/>
        </w:tabs>
        <w:ind w:left="360" w:hanging="360"/>
      </w:pPr>
      <w:rPr>
        <w:rFonts w:ascii="Symbol" w:hAnsi="Symbol" w:hint="default"/>
      </w:rPr>
    </w:lvl>
  </w:abstractNum>
  <w:abstractNum w:abstractNumId="10">
    <w:nsid w:val="01EF67F3"/>
    <w:multiLevelType w:val="hybridMultilevel"/>
    <w:tmpl w:val="208AB4CA"/>
    <w:lvl w:ilvl="0" w:tplc="0C090001">
      <w:start w:val="1"/>
      <w:numFmt w:val="bullet"/>
      <w:lvlText w:val=""/>
      <w:lvlJc w:val="left"/>
      <w:pPr>
        <w:ind w:left="1171" w:hanging="360"/>
      </w:pPr>
      <w:rPr>
        <w:rFonts w:ascii="Symbol" w:hAnsi="Symbol" w:hint="default"/>
      </w:rPr>
    </w:lvl>
    <w:lvl w:ilvl="1" w:tplc="0C090003" w:tentative="1">
      <w:start w:val="1"/>
      <w:numFmt w:val="bullet"/>
      <w:lvlText w:val="o"/>
      <w:lvlJc w:val="left"/>
      <w:pPr>
        <w:ind w:left="1891" w:hanging="360"/>
      </w:pPr>
      <w:rPr>
        <w:rFonts w:ascii="Courier New" w:hAnsi="Courier New" w:cs="Courier New" w:hint="default"/>
      </w:rPr>
    </w:lvl>
    <w:lvl w:ilvl="2" w:tplc="0C090005" w:tentative="1">
      <w:start w:val="1"/>
      <w:numFmt w:val="bullet"/>
      <w:lvlText w:val=""/>
      <w:lvlJc w:val="left"/>
      <w:pPr>
        <w:ind w:left="2611" w:hanging="360"/>
      </w:pPr>
      <w:rPr>
        <w:rFonts w:ascii="Wingdings" w:hAnsi="Wingdings" w:hint="default"/>
      </w:rPr>
    </w:lvl>
    <w:lvl w:ilvl="3" w:tplc="0C090001" w:tentative="1">
      <w:start w:val="1"/>
      <w:numFmt w:val="bullet"/>
      <w:lvlText w:val=""/>
      <w:lvlJc w:val="left"/>
      <w:pPr>
        <w:ind w:left="3331" w:hanging="360"/>
      </w:pPr>
      <w:rPr>
        <w:rFonts w:ascii="Symbol" w:hAnsi="Symbol" w:hint="default"/>
      </w:rPr>
    </w:lvl>
    <w:lvl w:ilvl="4" w:tplc="0C090003" w:tentative="1">
      <w:start w:val="1"/>
      <w:numFmt w:val="bullet"/>
      <w:lvlText w:val="o"/>
      <w:lvlJc w:val="left"/>
      <w:pPr>
        <w:ind w:left="4051" w:hanging="360"/>
      </w:pPr>
      <w:rPr>
        <w:rFonts w:ascii="Courier New" w:hAnsi="Courier New" w:cs="Courier New" w:hint="default"/>
      </w:rPr>
    </w:lvl>
    <w:lvl w:ilvl="5" w:tplc="0C090005" w:tentative="1">
      <w:start w:val="1"/>
      <w:numFmt w:val="bullet"/>
      <w:lvlText w:val=""/>
      <w:lvlJc w:val="left"/>
      <w:pPr>
        <w:ind w:left="4771" w:hanging="360"/>
      </w:pPr>
      <w:rPr>
        <w:rFonts w:ascii="Wingdings" w:hAnsi="Wingdings" w:hint="default"/>
      </w:rPr>
    </w:lvl>
    <w:lvl w:ilvl="6" w:tplc="0C090001" w:tentative="1">
      <w:start w:val="1"/>
      <w:numFmt w:val="bullet"/>
      <w:lvlText w:val=""/>
      <w:lvlJc w:val="left"/>
      <w:pPr>
        <w:ind w:left="5491" w:hanging="360"/>
      </w:pPr>
      <w:rPr>
        <w:rFonts w:ascii="Symbol" w:hAnsi="Symbol" w:hint="default"/>
      </w:rPr>
    </w:lvl>
    <w:lvl w:ilvl="7" w:tplc="0C090003" w:tentative="1">
      <w:start w:val="1"/>
      <w:numFmt w:val="bullet"/>
      <w:lvlText w:val="o"/>
      <w:lvlJc w:val="left"/>
      <w:pPr>
        <w:ind w:left="6211" w:hanging="360"/>
      </w:pPr>
      <w:rPr>
        <w:rFonts w:ascii="Courier New" w:hAnsi="Courier New" w:cs="Courier New" w:hint="default"/>
      </w:rPr>
    </w:lvl>
    <w:lvl w:ilvl="8" w:tplc="0C090005" w:tentative="1">
      <w:start w:val="1"/>
      <w:numFmt w:val="bullet"/>
      <w:lvlText w:val=""/>
      <w:lvlJc w:val="left"/>
      <w:pPr>
        <w:ind w:left="6931" w:hanging="360"/>
      </w:pPr>
      <w:rPr>
        <w:rFonts w:ascii="Wingdings" w:hAnsi="Wingdings" w:hint="default"/>
      </w:rPr>
    </w:lvl>
  </w:abstractNum>
  <w:abstractNum w:abstractNumId="11">
    <w:nsid w:val="1A9A3EDC"/>
    <w:multiLevelType w:val="multilevel"/>
    <w:tmpl w:val="A7A0206E"/>
    <w:lvl w:ilvl="0">
      <w:start w:val="1"/>
      <w:numFmt w:val="decimal"/>
      <w:lvlRestart w:val="0"/>
      <w:lvlText w:val="Schedule %1"/>
      <w:lvlJc w:val="left"/>
      <w:pPr>
        <w:ind w:left="0" w:firstLine="0"/>
      </w:pPr>
      <w:rPr>
        <w:rFonts w:hint="default"/>
      </w:rPr>
    </w:lvl>
    <w:lvl w:ilvl="1">
      <w:start w:val="1"/>
      <w:numFmt w:val="decimal"/>
      <w:lvlText w:val="Part %2"/>
      <w:lvlJc w:val="left"/>
      <w:pPr>
        <w:ind w:left="0" w:firstLine="0"/>
      </w:pPr>
      <w:rPr>
        <w:rFonts w:hint="default"/>
      </w:rPr>
    </w:lvl>
    <w:lvl w:ilvl="2">
      <w:start w:val="1"/>
      <w:numFmt w:val="decimal"/>
      <w:lvlText w:val="Division %2.%3"/>
      <w:lvlJc w:val="left"/>
      <w:pPr>
        <w:ind w:left="0" w:firstLine="0"/>
      </w:pPr>
      <w:rPr>
        <w:rFonts w:hint="default"/>
      </w:rPr>
    </w:lvl>
    <w:lvl w:ilvl="3">
      <w:start w:val="1"/>
      <w:numFmt w:val="decimal"/>
      <w:lvlText w:val="Subdivision %2.%3.%4"/>
      <w:lvlJc w:val="left"/>
      <w:pPr>
        <w:ind w:left="1440" w:hanging="1440"/>
      </w:pPr>
      <w:rPr>
        <w:rFonts w:hint="default"/>
      </w:rPr>
    </w:lvl>
    <w:lvl w:ilvl="4">
      <w:start w:val="1"/>
      <w:numFmt w:val="decimal"/>
      <w:lvlRestart w:val="1"/>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Roman"/>
      <w:lvlText w:val="(%8)"/>
      <w:lvlJc w:val="left"/>
      <w:pPr>
        <w:ind w:left="0" w:firstLine="0"/>
      </w:pPr>
      <w:rPr>
        <w:rFonts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rPr>
    </w:lvl>
    <w:lvl w:ilvl="8">
      <w:start w:val="1"/>
      <w:numFmt w:val="upperLetter"/>
      <w:lvlText w:val="(%9)"/>
      <w:lvlJc w:val="left"/>
      <w:pPr>
        <w:ind w:left="0" w:firstLine="0"/>
      </w:pPr>
      <w:rPr>
        <w:rFonts w:hint="default"/>
      </w:rPr>
    </w:lvl>
  </w:abstractNum>
  <w:abstractNum w:abstractNumId="12">
    <w:nsid w:val="26886A12"/>
    <w:multiLevelType w:val="hybridMultilevel"/>
    <w:tmpl w:val="FCD65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93505F6"/>
    <w:multiLevelType w:val="hybridMultilevel"/>
    <w:tmpl w:val="41188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17">
    <w:nsid w:val="3A2A0DF3"/>
    <w:multiLevelType w:val="hybridMultilevel"/>
    <w:tmpl w:val="946C8E2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18">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nsid w:val="3E4B123B"/>
    <w:multiLevelType w:val="hybridMultilevel"/>
    <w:tmpl w:val="3998F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09420D3"/>
    <w:multiLevelType w:val="hybridMultilevel"/>
    <w:tmpl w:val="FE3E36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7">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762F3F92"/>
    <w:multiLevelType w:val="hybridMultilevel"/>
    <w:tmpl w:val="2E1C7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E0A169B"/>
    <w:multiLevelType w:val="hybridMultilevel"/>
    <w:tmpl w:val="BE70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1"/>
  </w:num>
  <w:num w:numId="4">
    <w:abstractNumId w:val="31"/>
  </w:num>
  <w:num w:numId="5">
    <w:abstractNumId w:val="26"/>
  </w:num>
  <w:num w:numId="6">
    <w:abstractNumId w:val="20"/>
  </w:num>
  <w:num w:numId="7">
    <w:abstractNumId w:val="13"/>
  </w:num>
  <w:num w:numId="8">
    <w:abstractNumId w:val="19"/>
  </w:num>
  <w:num w:numId="9">
    <w:abstractNumId w:val="32"/>
  </w:num>
  <w:num w:numId="10">
    <w:abstractNumId w:val="18"/>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0"/>
  </w:num>
  <w:num w:numId="19">
    <w:abstractNumId w:val="10"/>
  </w:num>
  <w:num w:numId="20">
    <w:abstractNumId w:val="12"/>
  </w:num>
  <w:num w:numId="21">
    <w:abstractNumId w:val="1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hideSpellingErrors/>
  <w:hideGrammaticalErrors/>
  <w:proofState w:spelling="clean" w:grammar="clean"/>
  <w:stylePaneFormatFilter w:val="7804"/>
  <w:stylePaneSortMethod w:val="0000"/>
  <w:defaultTabStop w:val="425"/>
  <w:drawingGridHorizontalSpacing w:val="11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rsids>
    <w:rsidRoot w:val="008678EB"/>
    <w:rsid w:val="00002024"/>
    <w:rsid w:val="000039D7"/>
    <w:rsid w:val="00012088"/>
    <w:rsid w:val="00012B72"/>
    <w:rsid w:val="00014257"/>
    <w:rsid w:val="00015759"/>
    <w:rsid w:val="000248C7"/>
    <w:rsid w:val="000258A0"/>
    <w:rsid w:val="00031189"/>
    <w:rsid w:val="000320F2"/>
    <w:rsid w:val="00034147"/>
    <w:rsid w:val="00036984"/>
    <w:rsid w:val="0003757F"/>
    <w:rsid w:val="0003764D"/>
    <w:rsid w:val="00041037"/>
    <w:rsid w:val="00041E62"/>
    <w:rsid w:val="0004373B"/>
    <w:rsid w:val="0004479F"/>
    <w:rsid w:val="00044D8C"/>
    <w:rsid w:val="000453D0"/>
    <w:rsid w:val="00046216"/>
    <w:rsid w:val="00050664"/>
    <w:rsid w:val="00051826"/>
    <w:rsid w:val="00051EA8"/>
    <w:rsid w:val="0005210A"/>
    <w:rsid w:val="0005423E"/>
    <w:rsid w:val="00056020"/>
    <w:rsid w:val="00057DAD"/>
    <w:rsid w:val="00060287"/>
    <w:rsid w:val="00063C97"/>
    <w:rsid w:val="00064F51"/>
    <w:rsid w:val="00066A91"/>
    <w:rsid w:val="000731B2"/>
    <w:rsid w:val="00074AB4"/>
    <w:rsid w:val="000813F8"/>
    <w:rsid w:val="00082BCD"/>
    <w:rsid w:val="00086937"/>
    <w:rsid w:val="00090D8B"/>
    <w:rsid w:val="000967FA"/>
    <w:rsid w:val="00097203"/>
    <w:rsid w:val="000974E1"/>
    <w:rsid w:val="000978C5"/>
    <w:rsid w:val="000A25C2"/>
    <w:rsid w:val="000A4314"/>
    <w:rsid w:val="000A71D4"/>
    <w:rsid w:val="000A7237"/>
    <w:rsid w:val="000A7903"/>
    <w:rsid w:val="000B042A"/>
    <w:rsid w:val="000B177D"/>
    <w:rsid w:val="000B2B15"/>
    <w:rsid w:val="000B4DA5"/>
    <w:rsid w:val="000B5DCB"/>
    <w:rsid w:val="000C2287"/>
    <w:rsid w:val="000C2440"/>
    <w:rsid w:val="000C61CF"/>
    <w:rsid w:val="000D2D22"/>
    <w:rsid w:val="000D2FFA"/>
    <w:rsid w:val="000D40E2"/>
    <w:rsid w:val="000D5F02"/>
    <w:rsid w:val="000D628D"/>
    <w:rsid w:val="000D7205"/>
    <w:rsid w:val="000E2406"/>
    <w:rsid w:val="000E2AF3"/>
    <w:rsid w:val="000E2E9E"/>
    <w:rsid w:val="000E4D39"/>
    <w:rsid w:val="000E750C"/>
    <w:rsid w:val="000F0319"/>
    <w:rsid w:val="000F081D"/>
    <w:rsid w:val="000F2EBE"/>
    <w:rsid w:val="000F31F8"/>
    <w:rsid w:val="000F39FE"/>
    <w:rsid w:val="00102896"/>
    <w:rsid w:val="00107E81"/>
    <w:rsid w:val="001104D5"/>
    <w:rsid w:val="0011343D"/>
    <w:rsid w:val="00121A23"/>
    <w:rsid w:val="00123118"/>
    <w:rsid w:val="00124559"/>
    <w:rsid w:val="001245D0"/>
    <w:rsid w:val="001300B0"/>
    <w:rsid w:val="001369B9"/>
    <w:rsid w:val="00137A06"/>
    <w:rsid w:val="00140EBC"/>
    <w:rsid w:val="00142EC4"/>
    <w:rsid w:val="0014387D"/>
    <w:rsid w:val="001443B4"/>
    <w:rsid w:val="00144E82"/>
    <w:rsid w:val="001476F6"/>
    <w:rsid w:val="001532D6"/>
    <w:rsid w:val="00154AA1"/>
    <w:rsid w:val="00156733"/>
    <w:rsid w:val="00170675"/>
    <w:rsid w:val="00172839"/>
    <w:rsid w:val="00174847"/>
    <w:rsid w:val="0017505D"/>
    <w:rsid w:val="001776B2"/>
    <w:rsid w:val="00182E3C"/>
    <w:rsid w:val="00182E6C"/>
    <w:rsid w:val="00184268"/>
    <w:rsid w:val="00184B5E"/>
    <w:rsid w:val="00190AB5"/>
    <w:rsid w:val="00194039"/>
    <w:rsid w:val="00195069"/>
    <w:rsid w:val="00196DA5"/>
    <w:rsid w:val="001979DC"/>
    <w:rsid w:val="001A15AC"/>
    <w:rsid w:val="001A1992"/>
    <w:rsid w:val="001A562A"/>
    <w:rsid w:val="001A5CB2"/>
    <w:rsid w:val="001B0571"/>
    <w:rsid w:val="001B0B41"/>
    <w:rsid w:val="001B2D72"/>
    <w:rsid w:val="001B4173"/>
    <w:rsid w:val="001B644D"/>
    <w:rsid w:val="001B7250"/>
    <w:rsid w:val="001B7C15"/>
    <w:rsid w:val="001C0768"/>
    <w:rsid w:val="001C1A73"/>
    <w:rsid w:val="001C3392"/>
    <w:rsid w:val="001C3788"/>
    <w:rsid w:val="001C6AD2"/>
    <w:rsid w:val="001D07AE"/>
    <w:rsid w:val="001E0960"/>
    <w:rsid w:val="001E1B02"/>
    <w:rsid w:val="001E4824"/>
    <w:rsid w:val="001E647F"/>
    <w:rsid w:val="001F373E"/>
    <w:rsid w:val="001F43D4"/>
    <w:rsid w:val="001F50EC"/>
    <w:rsid w:val="001F5AF2"/>
    <w:rsid w:val="00201A33"/>
    <w:rsid w:val="00210328"/>
    <w:rsid w:val="00210C28"/>
    <w:rsid w:val="0021145F"/>
    <w:rsid w:val="00213788"/>
    <w:rsid w:val="002146BA"/>
    <w:rsid w:val="00214C57"/>
    <w:rsid w:val="00216EA9"/>
    <w:rsid w:val="0021764C"/>
    <w:rsid w:val="00217A90"/>
    <w:rsid w:val="00217C89"/>
    <w:rsid w:val="00220F1C"/>
    <w:rsid w:val="002221BC"/>
    <w:rsid w:val="00222565"/>
    <w:rsid w:val="00223A01"/>
    <w:rsid w:val="00225D68"/>
    <w:rsid w:val="0022621E"/>
    <w:rsid w:val="002274CF"/>
    <w:rsid w:val="002309B3"/>
    <w:rsid w:val="00232329"/>
    <w:rsid w:val="00233BC0"/>
    <w:rsid w:val="00234173"/>
    <w:rsid w:val="00235E1E"/>
    <w:rsid w:val="00240E9E"/>
    <w:rsid w:val="0024155A"/>
    <w:rsid w:val="00241798"/>
    <w:rsid w:val="002432A9"/>
    <w:rsid w:val="00243924"/>
    <w:rsid w:val="00246A83"/>
    <w:rsid w:val="00246C4C"/>
    <w:rsid w:val="002472BC"/>
    <w:rsid w:val="00254817"/>
    <w:rsid w:val="00255070"/>
    <w:rsid w:val="00257896"/>
    <w:rsid w:val="00260C03"/>
    <w:rsid w:val="00265192"/>
    <w:rsid w:val="00266DC8"/>
    <w:rsid w:val="00274E2B"/>
    <w:rsid w:val="00280B8E"/>
    <w:rsid w:val="002832F4"/>
    <w:rsid w:val="0028502C"/>
    <w:rsid w:val="00293143"/>
    <w:rsid w:val="00293320"/>
    <w:rsid w:val="00294058"/>
    <w:rsid w:val="00294245"/>
    <w:rsid w:val="00294DE8"/>
    <w:rsid w:val="002A0596"/>
    <w:rsid w:val="002A18C9"/>
    <w:rsid w:val="002A3283"/>
    <w:rsid w:val="002A5322"/>
    <w:rsid w:val="002A6992"/>
    <w:rsid w:val="002A7E6F"/>
    <w:rsid w:val="002B0EAC"/>
    <w:rsid w:val="002B3521"/>
    <w:rsid w:val="002C3465"/>
    <w:rsid w:val="002D7C79"/>
    <w:rsid w:val="002E2E64"/>
    <w:rsid w:val="002E39E0"/>
    <w:rsid w:val="002E7EE0"/>
    <w:rsid w:val="002F0C47"/>
    <w:rsid w:val="002F242B"/>
    <w:rsid w:val="002F4A68"/>
    <w:rsid w:val="002F664A"/>
    <w:rsid w:val="00301367"/>
    <w:rsid w:val="00301C22"/>
    <w:rsid w:val="00306EFA"/>
    <w:rsid w:val="0031030D"/>
    <w:rsid w:val="0031117B"/>
    <w:rsid w:val="003127F8"/>
    <w:rsid w:val="00321884"/>
    <w:rsid w:val="00322CCD"/>
    <w:rsid w:val="003257CA"/>
    <w:rsid w:val="0032598E"/>
    <w:rsid w:val="00327822"/>
    <w:rsid w:val="00331757"/>
    <w:rsid w:val="0033258A"/>
    <w:rsid w:val="00332C68"/>
    <w:rsid w:val="00333A4F"/>
    <w:rsid w:val="00335540"/>
    <w:rsid w:val="00340AA4"/>
    <w:rsid w:val="0034760F"/>
    <w:rsid w:val="00350078"/>
    <w:rsid w:val="0035186D"/>
    <w:rsid w:val="00352B83"/>
    <w:rsid w:val="00354E4F"/>
    <w:rsid w:val="003639ED"/>
    <w:rsid w:val="00364922"/>
    <w:rsid w:val="00371E2D"/>
    <w:rsid w:val="00377DAC"/>
    <w:rsid w:val="00380FB2"/>
    <w:rsid w:val="00382276"/>
    <w:rsid w:val="0039016F"/>
    <w:rsid w:val="00390A97"/>
    <w:rsid w:val="00390B03"/>
    <w:rsid w:val="003939A2"/>
    <w:rsid w:val="0039749E"/>
    <w:rsid w:val="003A080E"/>
    <w:rsid w:val="003A34AE"/>
    <w:rsid w:val="003A4CFF"/>
    <w:rsid w:val="003A6158"/>
    <w:rsid w:val="003A644D"/>
    <w:rsid w:val="003A72A8"/>
    <w:rsid w:val="003B114C"/>
    <w:rsid w:val="003B3DB9"/>
    <w:rsid w:val="003B4E23"/>
    <w:rsid w:val="003B7386"/>
    <w:rsid w:val="003B777A"/>
    <w:rsid w:val="003C1E61"/>
    <w:rsid w:val="003C32EE"/>
    <w:rsid w:val="003C452F"/>
    <w:rsid w:val="003C7B7E"/>
    <w:rsid w:val="003D1FE2"/>
    <w:rsid w:val="003D7C75"/>
    <w:rsid w:val="003E0AF3"/>
    <w:rsid w:val="003E1765"/>
    <w:rsid w:val="003E2DCB"/>
    <w:rsid w:val="003E3108"/>
    <w:rsid w:val="003E352A"/>
    <w:rsid w:val="003E49CC"/>
    <w:rsid w:val="003E6641"/>
    <w:rsid w:val="003E7BF9"/>
    <w:rsid w:val="003F58A1"/>
    <w:rsid w:val="003F61C0"/>
    <w:rsid w:val="003F7EF1"/>
    <w:rsid w:val="0040186F"/>
    <w:rsid w:val="00402812"/>
    <w:rsid w:val="004040B2"/>
    <w:rsid w:val="00404E41"/>
    <w:rsid w:val="0040665C"/>
    <w:rsid w:val="00406C4A"/>
    <w:rsid w:val="004077A2"/>
    <w:rsid w:val="00407A73"/>
    <w:rsid w:val="00410494"/>
    <w:rsid w:val="00412EE5"/>
    <w:rsid w:val="00416635"/>
    <w:rsid w:val="004209C2"/>
    <w:rsid w:val="00423DA5"/>
    <w:rsid w:val="00430D5F"/>
    <w:rsid w:val="004327A6"/>
    <w:rsid w:val="00433AE2"/>
    <w:rsid w:val="00435726"/>
    <w:rsid w:val="00435DA0"/>
    <w:rsid w:val="00436098"/>
    <w:rsid w:val="00436219"/>
    <w:rsid w:val="00436C5C"/>
    <w:rsid w:val="00441379"/>
    <w:rsid w:val="00442227"/>
    <w:rsid w:val="004428F7"/>
    <w:rsid w:val="00442D45"/>
    <w:rsid w:val="00444507"/>
    <w:rsid w:val="00444584"/>
    <w:rsid w:val="004503EC"/>
    <w:rsid w:val="00452C13"/>
    <w:rsid w:val="00463E97"/>
    <w:rsid w:val="00475CF2"/>
    <w:rsid w:val="00476141"/>
    <w:rsid w:val="00476C74"/>
    <w:rsid w:val="00477BB5"/>
    <w:rsid w:val="004803D4"/>
    <w:rsid w:val="00487B34"/>
    <w:rsid w:val="00491433"/>
    <w:rsid w:val="004938A3"/>
    <w:rsid w:val="004971E4"/>
    <w:rsid w:val="004A37E5"/>
    <w:rsid w:val="004B4EA7"/>
    <w:rsid w:val="004B5B4A"/>
    <w:rsid w:val="004B644E"/>
    <w:rsid w:val="004C1309"/>
    <w:rsid w:val="004C144E"/>
    <w:rsid w:val="004C1A87"/>
    <w:rsid w:val="004C5AFE"/>
    <w:rsid w:val="004C6902"/>
    <w:rsid w:val="004D256F"/>
    <w:rsid w:val="004E1067"/>
    <w:rsid w:val="004F0122"/>
    <w:rsid w:val="004F17F7"/>
    <w:rsid w:val="004F2FAE"/>
    <w:rsid w:val="004F5362"/>
    <w:rsid w:val="00500012"/>
    <w:rsid w:val="00502DD0"/>
    <w:rsid w:val="00505FCA"/>
    <w:rsid w:val="00507791"/>
    <w:rsid w:val="00511EAF"/>
    <w:rsid w:val="00514577"/>
    <w:rsid w:val="00517E97"/>
    <w:rsid w:val="00521933"/>
    <w:rsid w:val="005276E4"/>
    <w:rsid w:val="00531C0C"/>
    <w:rsid w:val="00532D74"/>
    <w:rsid w:val="005352DD"/>
    <w:rsid w:val="00536929"/>
    <w:rsid w:val="00537B4E"/>
    <w:rsid w:val="00540465"/>
    <w:rsid w:val="00545AF4"/>
    <w:rsid w:val="00547E30"/>
    <w:rsid w:val="0055370A"/>
    <w:rsid w:val="00554B06"/>
    <w:rsid w:val="005556A2"/>
    <w:rsid w:val="00562634"/>
    <w:rsid w:val="005716AB"/>
    <w:rsid w:val="00571ACA"/>
    <w:rsid w:val="00574D2B"/>
    <w:rsid w:val="005751B4"/>
    <w:rsid w:val="00582C28"/>
    <w:rsid w:val="00583629"/>
    <w:rsid w:val="00584F3F"/>
    <w:rsid w:val="00585825"/>
    <w:rsid w:val="0058653A"/>
    <w:rsid w:val="00586C23"/>
    <w:rsid w:val="00592607"/>
    <w:rsid w:val="00594537"/>
    <w:rsid w:val="00595849"/>
    <w:rsid w:val="005A0240"/>
    <w:rsid w:val="005A0814"/>
    <w:rsid w:val="005A6EA9"/>
    <w:rsid w:val="005B29AD"/>
    <w:rsid w:val="005B42FE"/>
    <w:rsid w:val="005B5048"/>
    <w:rsid w:val="005B52E3"/>
    <w:rsid w:val="005B5536"/>
    <w:rsid w:val="005B63B2"/>
    <w:rsid w:val="005B7033"/>
    <w:rsid w:val="005D1FCA"/>
    <w:rsid w:val="005D4CA5"/>
    <w:rsid w:val="005D7C25"/>
    <w:rsid w:val="005E017E"/>
    <w:rsid w:val="005E0910"/>
    <w:rsid w:val="005E4601"/>
    <w:rsid w:val="005E736A"/>
    <w:rsid w:val="005F1DF4"/>
    <w:rsid w:val="005F253E"/>
    <w:rsid w:val="005F27EF"/>
    <w:rsid w:val="005F60DB"/>
    <w:rsid w:val="006006CF"/>
    <w:rsid w:val="00602E88"/>
    <w:rsid w:val="00604125"/>
    <w:rsid w:val="00605ADC"/>
    <w:rsid w:val="00606065"/>
    <w:rsid w:val="00606ADD"/>
    <w:rsid w:val="00610DA3"/>
    <w:rsid w:val="006122E1"/>
    <w:rsid w:val="006147BE"/>
    <w:rsid w:val="006161F8"/>
    <w:rsid w:val="00616491"/>
    <w:rsid w:val="00623FA5"/>
    <w:rsid w:val="0062440A"/>
    <w:rsid w:val="0062512C"/>
    <w:rsid w:val="006323D1"/>
    <w:rsid w:val="0063445A"/>
    <w:rsid w:val="006376CC"/>
    <w:rsid w:val="00641007"/>
    <w:rsid w:val="00642695"/>
    <w:rsid w:val="00642C1E"/>
    <w:rsid w:val="006448E4"/>
    <w:rsid w:val="0064647A"/>
    <w:rsid w:val="0064667D"/>
    <w:rsid w:val="00646D73"/>
    <w:rsid w:val="0065130D"/>
    <w:rsid w:val="00652BBE"/>
    <w:rsid w:val="0065413D"/>
    <w:rsid w:val="006574AB"/>
    <w:rsid w:val="006609D8"/>
    <w:rsid w:val="00662B72"/>
    <w:rsid w:val="00663ADA"/>
    <w:rsid w:val="00665AEC"/>
    <w:rsid w:val="00666AB2"/>
    <w:rsid w:val="0066733F"/>
    <w:rsid w:val="006738A8"/>
    <w:rsid w:val="006775C7"/>
    <w:rsid w:val="0068239C"/>
    <w:rsid w:val="006829B7"/>
    <w:rsid w:val="0068442B"/>
    <w:rsid w:val="00685DC9"/>
    <w:rsid w:val="00692892"/>
    <w:rsid w:val="006948D4"/>
    <w:rsid w:val="006961BC"/>
    <w:rsid w:val="006A0E83"/>
    <w:rsid w:val="006A1924"/>
    <w:rsid w:val="006A37A5"/>
    <w:rsid w:val="006A44B5"/>
    <w:rsid w:val="006A45FF"/>
    <w:rsid w:val="006B17DB"/>
    <w:rsid w:val="006B404D"/>
    <w:rsid w:val="006C030F"/>
    <w:rsid w:val="006C1EA8"/>
    <w:rsid w:val="006C2838"/>
    <w:rsid w:val="006C4A30"/>
    <w:rsid w:val="006C5E59"/>
    <w:rsid w:val="006C7992"/>
    <w:rsid w:val="006C7EEA"/>
    <w:rsid w:val="006D0A68"/>
    <w:rsid w:val="006D315F"/>
    <w:rsid w:val="006D6000"/>
    <w:rsid w:val="006D7611"/>
    <w:rsid w:val="006E12A9"/>
    <w:rsid w:val="006E2406"/>
    <w:rsid w:val="006F05FC"/>
    <w:rsid w:val="006F166C"/>
    <w:rsid w:val="006F1BB4"/>
    <w:rsid w:val="006F335D"/>
    <w:rsid w:val="006F39FC"/>
    <w:rsid w:val="006F3F95"/>
    <w:rsid w:val="006F59B9"/>
    <w:rsid w:val="006F6CBF"/>
    <w:rsid w:val="006F7EF6"/>
    <w:rsid w:val="00700043"/>
    <w:rsid w:val="00701FD7"/>
    <w:rsid w:val="007042B4"/>
    <w:rsid w:val="00711DAC"/>
    <w:rsid w:val="00720B8F"/>
    <w:rsid w:val="00722E06"/>
    <w:rsid w:val="0072459D"/>
    <w:rsid w:val="007249E6"/>
    <w:rsid w:val="0072656B"/>
    <w:rsid w:val="007275FE"/>
    <w:rsid w:val="0073065D"/>
    <w:rsid w:val="00730DC0"/>
    <w:rsid w:val="007330A3"/>
    <w:rsid w:val="007351F3"/>
    <w:rsid w:val="00736F58"/>
    <w:rsid w:val="00741738"/>
    <w:rsid w:val="00746DC8"/>
    <w:rsid w:val="00747AD3"/>
    <w:rsid w:val="00754E6A"/>
    <w:rsid w:val="007551B7"/>
    <w:rsid w:val="007557A9"/>
    <w:rsid w:val="00757BFF"/>
    <w:rsid w:val="007661CD"/>
    <w:rsid w:val="00767F90"/>
    <w:rsid w:val="007701BF"/>
    <w:rsid w:val="0077116C"/>
    <w:rsid w:val="0077308C"/>
    <w:rsid w:val="00774156"/>
    <w:rsid w:val="007750C1"/>
    <w:rsid w:val="00775C14"/>
    <w:rsid w:val="007760FD"/>
    <w:rsid w:val="00777BB6"/>
    <w:rsid w:val="00785341"/>
    <w:rsid w:val="007856B2"/>
    <w:rsid w:val="007934F1"/>
    <w:rsid w:val="007963EC"/>
    <w:rsid w:val="00797355"/>
    <w:rsid w:val="00797593"/>
    <w:rsid w:val="007A15D9"/>
    <w:rsid w:val="007A2B63"/>
    <w:rsid w:val="007A337B"/>
    <w:rsid w:val="007A4C5E"/>
    <w:rsid w:val="007A5A4C"/>
    <w:rsid w:val="007A6FD4"/>
    <w:rsid w:val="007B0407"/>
    <w:rsid w:val="007B16F2"/>
    <w:rsid w:val="007B1945"/>
    <w:rsid w:val="007B1C64"/>
    <w:rsid w:val="007B5D87"/>
    <w:rsid w:val="007C1C1D"/>
    <w:rsid w:val="007C31EF"/>
    <w:rsid w:val="007C5D94"/>
    <w:rsid w:val="007C6401"/>
    <w:rsid w:val="007C6E3D"/>
    <w:rsid w:val="007D6E07"/>
    <w:rsid w:val="007D7127"/>
    <w:rsid w:val="007D729A"/>
    <w:rsid w:val="007D798D"/>
    <w:rsid w:val="007E238A"/>
    <w:rsid w:val="007E6966"/>
    <w:rsid w:val="007E6C5C"/>
    <w:rsid w:val="007E753F"/>
    <w:rsid w:val="007F096A"/>
    <w:rsid w:val="007F11B3"/>
    <w:rsid w:val="007F434A"/>
    <w:rsid w:val="0080020C"/>
    <w:rsid w:val="00805150"/>
    <w:rsid w:val="0080541C"/>
    <w:rsid w:val="00806905"/>
    <w:rsid w:val="008077BA"/>
    <w:rsid w:val="00810255"/>
    <w:rsid w:val="0081184B"/>
    <w:rsid w:val="00812F65"/>
    <w:rsid w:val="008145A8"/>
    <w:rsid w:val="0081483E"/>
    <w:rsid w:val="00814DB1"/>
    <w:rsid w:val="0081779B"/>
    <w:rsid w:val="008205BA"/>
    <w:rsid w:val="00821543"/>
    <w:rsid w:val="0082171E"/>
    <w:rsid w:val="00822056"/>
    <w:rsid w:val="00824B62"/>
    <w:rsid w:val="00831BAE"/>
    <w:rsid w:val="0083235A"/>
    <w:rsid w:val="00832BF7"/>
    <w:rsid w:val="00834A10"/>
    <w:rsid w:val="00851E2D"/>
    <w:rsid w:val="00852794"/>
    <w:rsid w:val="00855DE5"/>
    <w:rsid w:val="00856E2A"/>
    <w:rsid w:val="00857B4E"/>
    <w:rsid w:val="00862F94"/>
    <w:rsid w:val="00863979"/>
    <w:rsid w:val="00866271"/>
    <w:rsid w:val="008671B1"/>
    <w:rsid w:val="008678EB"/>
    <w:rsid w:val="00870824"/>
    <w:rsid w:val="00872A40"/>
    <w:rsid w:val="00873E84"/>
    <w:rsid w:val="00876AE2"/>
    <w:rsid w:val="00880AB9"/>
    <w:rsid w:val="008858BF"/>
    <w:rsid w:val="00886D9E"/>
    <w:rsid w:val="00895A75"/>
    <w:rsid w:val="008A1585"/>
    <w:rsid w:val="008A17E3"/>
    <w:rsid w:val="008A28B4"/>
    <w:rsid w:val="008A4262"/>
    <w:rsid w:val="008B23EF"/>
    <w:rsid w:val="008B3176"/>
    <w:rsid w:val="008B3541"/>
    <w:rsid w:val="008B3830"/>
    <w:rsid w:val="008B3BA5"/>
    <w:rsid w:val="008B5D95"/>
    <w:rsid w:val="008B6A65"/>
    <w:rsid w:val="008C6C78"/>
    <w:rsid w:val="008C7668"/>
    <w:rsid w:val="008D3B2B"/>
    <w:rsid w:val="008D6654"/>
    <w:rsid w:val="008D6A9D"/>
    <w:rsid w:val="008E1C73"/>
    <w:rsid w:val="008E24DA"/>
    <w:rsid w:val="008E38D7"/>
    <w:rsid w:val="008F3A94"/>
    <w:rsid w:val="008F58D2"/>
    <w:rsid w:val="00902A2B"/>
    <w:rsid w:val="00903370"/>
    <w:rsid w:val="00904115"/>
    <w:rsid w:val="0090466A"/>
    <w:rsid w:val="00905441"/>
    <w:rsid w:val="00910CDE"/>
    <w:rsid w:val="009121A5"/>
    <w:rsid w:val="00912F84"/>
    <w:rsid w:val="00913D7D"/>
    <w:rsid w:val="00915D39"/>
    <w:rsid w:val="0091668E"/>
    <w:rsid w:val="0091674D"/>
    <w:rsid w:val="00917469"/>
    <w:rsid w:val="009218BA"/>
    <w:rsid w:val="009249F0"/>
    <w:rsid w:val="00931772"/>
    <w:rsid w:val="009317A2"/>
    <w:rsid w:val="0093199E"/>
    <w:rsid w:val="009319D5"/>
    <w:rsid w:val="00933869"/>
    <w:rsid w:val="0093569B"/>
    <w:rsid w:val="009359F9"/>
    <w:rsid w:val="00945645"/>
    <w:rsid w:val="00952109"/>
    <w:rsid w:val="0095384A"/>
    <w:rsid w:val="00953ABB"/>
    <w:rsid w:val="00962A76"/>
    <w:rsid w:val="009646BA"/>
    <w:rsid w:val="00964948"/>
    <w:rsid w:val="009676EF"/>
    <w:rsid w:val="009679CE"/>
    <w:rsid w:val="00974EE4"/>
    <w:rsid w:val="009768DD"/>
    <w:rsid w:val="0097758B"/>
    <w:rsid w:val="009778BB"/>
    <w:rsid w:val="00980A5B"/>
    <w:rsid w:val="009817E2"/>
    <w:rsid w:val="009818F6"/>
    <w:rsid w:val="00981B44"/>
    <w:rsid w:val="00982D68"/>
    <w:rsid w:val="0098596B"/>
    <w:rsid w:val="009917F3"/>
    <w:rsid w:val="00993854"/>
    <w:rsid w:val="00996158"/>
    <w:rsid w:val="009A0F10"/>
    <w:rsid w:val="009A274B"/>
    <w:rsid w:val="009B0BA1"/>
    <w:rsid w:val="009B36F4"/>
    <w:rsid w:val="009B4188"/>
    <w:rsid w:val="009C2745"/>
    <w:rsid w:val="009C6F1A"/>
    <w:rsid w:val="009D0428"/>
    <w:rsid w:val="009D7DF2"/>
    <w:rsid w:val="009E012E"/>
    <w:rsid w:val="009E1396"/>
    <w:rsid w:val="009E5AE6"/>
    <w:rsid w:val="009E5F58"/>
    <w:rsid w:val="009E7EF5"/>
    <w:rsid w:val="009F02DE"/>
    <w:rsid w:val="009F3A92"/>
    <w:rsid w:val="009F6BF2"/>
    <w:rsid w:val="009F75F7"/>
    <w:rsid w:val="00A0120A"/>
    <w:rsid w:val="00A03D2A"/>
    <w:rsid w:val="00A1077C"/>
    <w:rsid w:val="00A11EA3"/>
    <w:rsid w:val="00A14C78"/>
    <w:rsid w:val="00A170DC"/>
    <w:rsid w:val="00A20C49"/>
    <w:rsid w:val="00A22771"/>
    <w:rsid w:val="00A22C2F"/>
    <w:rsid w:val="00A2382C"/>
    <w:rsid w:val="00A24756"/>
    <w:rsid w:val="00A252F3"/>
    <w:rsid w:val="00A265A4"/>
    <w:rsid w:val="00A362C4"/>
    <w:rsid w:val="00A3639A"/>
    <w:rsid w:val="00A41D37"/>
    <w:rsid w:val="00A42666"/>
    <w:rsid w:val="00A42D36"/>
    <w:rsid w:val="00A42F93"/>
    <w:rsid w:val="00A44801"/>
    <w:rsid w:val="00A44F49"/>
    <w:rsid w:val="00A46D59"/>
    <w:rsid w:val="00A5656D"/>
    <w:rsid w:val="00A56B83"/>
    <w:rsid w:val="00A57364"/>
    <w:rsid w:val="00A607E1"/>
    <w:rsid w:val="00A60A98"/>
    <w:rsid w:val="00A66511"/>
    <w:rsid w:val="00A67FE0"/>
    <w:rsid w:val="00A7572D"/>
    <w:rsid w:val="00A77A5B"/>
    <w:rsid w:val="00A80659"/>
    <w:rsid w:val="00A81153"/>
    <w:rsid w:val="00A81445"/>
    <w:rsid w:val="00A81C2C"/>
    <w:rsid w:val="00A82DA0"/>
    <w:rsid w:val="00A8320B"/>
    <w:rsid w:val="00A853AC"/>
    <w:rsid w:val="00A8563B"/>
    <w:rsid w:val="00A87458"/>
    <w:rsid w:val="00A874C1"/>
    <w:rsid w:val="00A97217"/>
    <w:rsid w:val="00AA1056"/>
    <w:rsid w:val="00AA1B9A"/>
    <w:rsid w:val="00AA27E9"/>
    <w:rsid w:val="00AA795C"/>
    <w:rsid w:val="00AB20E2"/>
    <w:rsid w:val="00AB24D7"/>
    <w:rsid w:val="00AB38A7"/>
    <w:rsid w:val="00AB3A76"/>
    <w:rsid w:val="00AB55B1"/>
    <w:rsid w:val="00AB6123"/>
    <w:rsid w:val="00AC386C"/>
    <w:rsid w:val="00AC4663"/>
    <w:rsid w:val="00AC5CE2"/>
    <w:rsid w:val="00AC7BFF"/>
    <w:rsid w:val="00AD012D"/>
    <w:rsid w:val="00AD2D6F"/>
    <w:rsid w:val="00AD69C3"/>
    <w:rsid w:val="00AD6B86"/>
    <w:rsid w:val="00AD7BE4"/>
    <w:rsid w:val="00AD7C65"/>
    <w:rsid w:val="00AE0494"/>
    <w:rsid w:val="00AE0499"/>
    <w:rsid w:val="00AE5361"/>
    <w:rsid w:val="00AF0943"/>
    <w:rsid w:val="00AF1FE5"/>
    <w:rsid w:val="00AF2EE9"/>
    <w:rsid w:val="00AF61A3"/>
    <w:rsid w:val="00B0289B"/>
    <w:rsid w:val="00B035A6"/>
    <w:rsid w:val="00B035DD"/>
    <w:rsid w:val="00B03609"/>
    <w:rsid w:val="00B041FA"/>
    <w:rsid w:val="00B0477A"/>
    <w:rsid w:val="00B07066"/>
    <w:rsid w:val="00B11161"/>
    <w:rsid w:val="00B11DFD"/>
    <w:rsid w:val="00B1217F"/>
    <w:rsid w:val="00B12B69"/>
    <w:rsid w:val="00B131A2"/>
    <w:rsid w:val="00B13564"/>
    <w:rsid w:val="00B14C0F"/>
    <w:rsid w:val="00B213B0"/>
    <w:rsid w:val="00B242D8"/>
    <w:rsid w:val="00B26513"/>
    <w:rsid w:val="00B34972"/>
    <w:rsid w:val="00B34B31"/>
    <w:rsid w:val="00B3769C"/>
    <w:rsid w:val="00B427F4"/>
    <w:rsid w:val="00B429AE"/>
    <w:rsid w:val="00B435E8"/>
    <w:rsid w:val="00B4554B"/>
    <w:rsid w:val="00B50554"/>
    <w:rsid w:val="00B515EC"/>
    <w:rsid w:val="00B52136"/>
    <w:rsid w:val="00B57BDA"/>
    <w:rsid w:val="00B63CFC"/>
    <w:rsid w:val="00B65044"/>
    <w:rsid w:val="00B66073"/>
    <w:rsid w:val="00B67AB5"/>
    <w:rsid w:val="00B67F74"/>
    <w:rsid w:val="00B74C48"/>
    <w:rsid w:val="00B81F73"/>
    <w:rsid w:val="00B83263"/>
    <w:rsid w:val="00B83E51"/>
    <w:rsid w:val="00B85F75"/>
    <w:rsid w:val="00B9319C"/>
    <w:rsid w:val="00B9396B"/>
    <w:rsid w:val="00B949E1"/>
    <w:rsid w:val="00B95097"/>
    <w:rsid w:val="00B9645B"/>
    <w:rsid w:val="00B9648D"/>
    <w:rsid w:val="00B97EC5"/>
    <w:rsid w:val="00BA538F"/>
    <w:rsid w:val="00BB0081"/>
    <w:rsid w:val="00BB64C3"/>
    <w:rsid w:val="00BB66BB"/>
    <w:rsid w:val="00BB6C06"/>
    <w:rsid w:val="00BC08D8"/>
    <w:rsid w:val="00BC0B6D"/>
    <w:rsid w:val="00BC1CEF"/>
    <w:rsid w:val="00BC5541"/>
    <w:rsid w:val="00BC5BAD"/>
    <w:rsid w:val="00BD028E"/>
    <w:rsid w:val="00BD1DEF"/>
    <w:rsid w:val="00BD3EFC"/>
    <w:rsid w:val="00BD4771"/>
    <w:rsid w:val="00BE2F59"/>
    <w:rsid w:val="00BE3866"/>
    <w:rsid w:val="00BE4B17"/>
    <w:rsid w:val="00BE4D1D"/>
    <w:rsid w:val="00BE5C95"/>
    <w:rsid w:val="00BE5ECB"/>
    <w:rsid w:val="00BF0B49"/>
    <w:rsid w:val="00BF267A"/>
    <w:rsid w:val="00BF3151"/>
    <w:rsid w:val="00BF5A69"/>
    <w:rsid w:val="00C015F9"/>
    <w:rsid w:val="00C0452A"/>
    <w:rsid w:val="00C10D9D"/>
    <w:rsid w:val="00C15E51"/>
    <w:rsid w:val="00C24192"/>
    <w:rsid w:val="00C24200"/>
    <w:rsid w:val="00C24437"/>
    <w:rsid w:val="00C25DDA"/>
    <w:rsid w:val="00C30B6A"/>
    <w:rsid w:val="00C32253"/>
    <w:rsid w:val="00C3317E"/>
    <w:rsid w:val="00C354F5"/>
    <w:rsid w:val="00C4311A"/>
    <w:rsid w:val="00C448DB"/>
    <w:rsid w:val="00C46149"/>
    <w:rsid w:val="00C4706E"/>
    <w:rsid w:val="00C4756B"/>
    <w:rsid w:val="00C51861"/>
    <w:rsid w:val="00C53AF7"/>
    <w:rsid w:val="00C55270"/>
    <w:rsid w:val="00C557D7"/>
    <w:rsid w:val="00C55AEA"/>
    <w:rsid w:val="00C65A78"/>
    <w:rsid w:val="00C70056"/>
    <w:rsid w:val="00C70F97"/>
    <w:rsid w:val="00C746A5"/>
    <w:rsid w:val="00C75BDA"/>
    <w:rsid w:val="00C823F0"/>
    <w:rsid w:val="00C84119"/>
    <w:rsid w:val="00C857AB"/>
    <w:rsid w:val="00C87B39"/>
    <w:rsid w:val="00C9544E"/>
    <w:rsid w:val="00C958CD"/>
    <w:rsid w:val="00CA18FA"/>
    <w:rsid w:val="00CA38F1"/>
    <w:rsid w:val="00CA63C6"/>
    <w:rsid w:val="00CA6694"/>
    <w:rsid w:val="00CA7091"/>
    <w:rsid w:val="00CA72BF"/>
    <w:rsid w:val="00CB0DAA"/>
    <w:rsid w:val="00CB1905"/>
    <w:rsid w:val="00CB5128"/>
    <w:rsid w:val="00CB6981"/>
    <w:rsid w:val="00CC0A47"/>
    <w:rsid w:val="00CC1713"/>
    <w:rsid w:val="00CC1C01"/>
    <w:rsid w:val="00CC4FB2"/>
    <w:rsid w:val="00CC525F"/>
    <w:rsid w:val="00CC66AF"/>
    <w:rsid w:val="00CC7A76"/>
    <w:rsid w:val="00CC7D50"/>
    <w:rsid w:val="00CD41FC"/>
    <w:rsid w:val="00CD52AD"/>
    <w:rsid w:val="00CD718B"/>
    <w:rsid w:val="00CD7982"/>
    <w:rsid w:val="00CE0E1B"/>
    <w:rsid w:val="00CE34F8"/>
    <w:rsid w:val="00CE4770"/>
    <w:rsid w:val="00CE53C6"/>
    <w:rsid w:val="00CF0278"/>
    <w:rsid w:val="00CF0D0C"/>
    <w:rsid w:val="00CF1717"/>
    <w:rsid w:val="00D037C8"/>
    <w:rsid w:val="00D07184"/>
    <w:rsid w:val="00D11105"/>
    <w:rsid w:val="00D11416"/>
    <w:rsid w:val="00D1186A"/>
    <w:rsid w:val="00D11A96"/>
    <w:rsid w:val="00D130AB"/>
    <w:rsid w:val="00D14D2D"/>
    <w:rsid w:val="00D15268"/>
    <w:rsid w:val="00D1660C"/>
    <w:rsid w:val="00D17C79"/>
    <w:rsid w:val="00D22A70"/>
    <w:rsid w:val="00D27AE6"/>
    <w:rsid w:val="00D34349"/>
    <w:rsid w:val="00D36752"/>
    <w:rsid w:val="00D45207"/>
    <w:rsid w:val="00D45CD7"/>
    <w:rsid w:val="00D518B9"/>
    <w:rsid w:val="00D5358F"/>
    <w:rsid w:val="00D613F8"/>
    <w:rsid w:val="00D62499"/>
    <w:rsid w:val="00D65D78"/>
    <w:rsid w:val="00D67B29"/>
    <w:rsid w:val="00D71798"/>
    <w:rsid w:val="00D7186D"/>
    <w:rsid w:val="00D74CD2"/>
    <w:rsid w:val="00D76B53"/>
    <w:rsid w:val="00D77B2A"/>
    <w:rsid w:val="00D80172"/>
    <w:rsid w:val="00D868F7"/>
    <w:rsid w:val="00D87FA9"/>
    <w:rsid w:val="00D91AFB"/>
    <w:rsid w:val="00D95B92"/>
    <w:rsid w:val="00DA741B"/>
    <w:rsid w:val="00DB33AC"/>
    <w:rsid w:val="00DB51E8"/>
    <w:rsid w:val="00DB5DE7"/>
    <w:rsid w:val="00DB6A32"/>
    <w:rsid w:val="00DC1DD3"/>
    <w:rsid w:val="00DC26AB"/>
    <w:rsid w:val="00DC518B"/>
    <w:rsid w:val="00DC51B8"/>
    <w:rsid w:val="00DC5391"/>
    <w:rsid w:val="00DC7F39"/>
    <w:rsid w:val="00DD179D"/>
    <w:rsid w:val="00DD1855"/>
    <w:rsid w:val="00DD19B7"/>
    <w:rsid w:val="00DD2247"/>
    <w:rsid w:val="00DD320E"/>
    <w:rsid w:val="00DD409F"/>
    <w:rsid w:val="00DD7FCE"/>
    <w:rsid w:val="00DE0439"/>
    <w:rsid w:val="00DE2A48"/>
    <w:rsid w:val="00DE398E"/>
    <w:rsid w:val="00DE4D9D"/>
    <w:rsid w:val="00DE54F4"/>
    <w:rsid w:val="00DE6D67"/>
    <w:rsid w:val="00DE781C"/>
    <w:rsid w:val="00DF4B1F"/>
    <w:rsid w:val="00DF6B41"/>
    <w:rsid w:val="00DF6D02"/>
    <w:rsid w:val="00E03555"/>
    <w:rsid w:val="00E05CDC"/>
    <w:rsid w:val="00E062EC"/>
    <w:rsid w:val="00E071E3"/>
    <w:rsid w:val="00E1180C"/>
    <w:rsid w:val="00E126A8"/>
    <w:rsid w:val="00E1350C"/>
    <w:rsid w:val="00E1642F"/>
    <w:rsid w:val="00E21569"/>
    <w:rsid w:val="00E223E4"/>
    <w:rsid w:val="00E24EB7"/>
    <w:rsid w:val="00E2567C"/>
    <w:rsid w:val="00E2756B"/>
    <w:rsid w:val="00E3004D"/>
    <w:rsid w:val="00E3018C"/>
    <w:rsid w:val="00E456B7"/>
    <w:rsid w:val="00E4776F"/>
    <w:rsid w:val="00E500A9"/>
    <w:rsid w:val="00E61DB3"/>
    <w:rsid w:val="00E66C13"/>
    <w:rsid w:val="00E67D61"/>
    <w:rsid w:val="00E70D20"/>
    <w:rsid w:val="00E71606"/>
    <w:rsid w:val="00E721F7"/>
    <w:rsid w:val="00E751CC"/>
    <w:rsid w:val="00E75C0C"/>
    <w:rsid w:val="00E76371"/>
    <w:rsid w:val="00E77A18"/>
    <w:rsid w:val="00E85790"/>
    <w:rsid w:val="00E86BC7"/>
    <w:rsid w:val="00E86D84"/>
    <w:rsid w:val="00E91055"/>
    <w:rsid w:val="00E91CA9"/>
    <w:rsid w:val="00E929A7"/>
    <w:rsid w:val="00E95A42"/>
    <w:rsid w:val="00E95AD0"/>
    <w:rsid w:val="00EA1C89"/>
    <w:rsid w:val="00EA2681"/>
    <w:rsid w:val="00EB46A7"/>
    <w:rsid w:val="00EB580C"/>
    <w:rsid w:val="00EB6664"/>
    <w:rsid w:val="00EC1DDF"/>
    <w:rsid w:val="00EC3426"/>
    <w:rsid w:val="00EC4093"/>
    <w:rsid w:val="00EC4E1C"/>
    <w:rsid w:val="00EC69E0"/>
    <w:rsid w:val="00ED045B"/>
    <w:rsid w:val="00ED3F58"/>
    <w:rsid w:val="00ED7A59"/>
    <w:rsid w:val="00EE0535"/>
    <w:rsid w:val="00EE21DA"/>
    <w:rsid w:val="00EE252D"/>
    <w:rsid w:val="00EE2A83"/>
    <w:rsid w:val="00EE680B"/>
    <w:rsid w:val="00EF01E8"/>
    <w:rsid w:val="00EF158B"/>
    <w:rsid w:val="00EF2A67"/>
    <w:rsid w:val="00EF3ED7"/>
    <w:rsid w:val="00EF577F"/>
    <w:rsid w:val="00F00132"/>
    <w:rsid w:val="00F00AF4"/>
    <w:rsid w:val="00F01417"/>
    <w:rsid w:val="00F02887"/>
    <w:rsid w:val="00F036E7"/>
    <w:rsid w:val="00F05AF8"/>
    <w:rsid w:val="00F071AA"/>
    <w:rsid w:val="00F07FCE"/>
    <w:rsid w:val="00F1019A"/>
    <w:rsid w:val="00F10AF5"/>
    <w:rsid w:val="00F11AA5"/>
    <w:rsid w:val="00F23209"/>
    <w:rsid w:val="00F24565"/>
    <w:rsid w:val="00F258D4"/>
    <w:rsid w:val="00F27A4B"/>
    <w:rsid w:val="00F32661"/>
    <w:rsid w:val="00F363D1"/>
    <w:rsid w:val="00F36BF5"/>
    <w:rsid w:val="00F36BF7"/>
    <w:rsid w:val="00F44F07"/>
    <w:rsid w:val="00F47AAB"/>
    <w:rsid w:val="00F53F72"/>
    <w:rsid w:val="00F54777"/>
    <w:rsid w:val="00F55476"/>
    <w:rsid w:val="00F56B03"/>
    <w:rsid w:val="00F67704"/>
    <w:rsid w:val="00F70555"/>
    <w:rsid w:val="00F7166E"/>
    <w:rsid w:val="00F71C56"/>
    <w:rsid w:val="00F72871"/>
    <w:rsid w:val="00F72BBC"/>
    <w:rsid w:val="00F74A75"/>
    <w:rsid w:val="00F75E3A"/>
    <w:rsid w:val="00F76C83"/>
    <w:rsid w:val="00F81A21"/>
    <w:rsid w:val="00F8292D"/>
    <w:rsid w:val="00F82AEF"/>
    <w:rsid w:val="00F86E27"/>
    <w:rsid w:val="00F87040"/>
    <w:rsid w:val="00F874F7"/>
    <w:rsid w:val="00F87CFE"/>
    <w:rsid w:val="00F87E5A"/>
    <w:rsid w:val="00F9005A"/>
    <w:rsid w:val="00F91213"/>
    <w:rsid w:val="00F91E13"/>
    <w:rsid w:val="00F9743A"/>
    <w:rsid w:val="00FA07AA"/>
    <w:rsid w:val="00FA59B5"/>
    <w:rsid w:val="00FA5BB2"/>
    <w:rsid w:val="00FB0858"/>
    <w:rsid w:val="00FB2137"/>
    <w:rsid w:val="00FC08C9"/>
    <w:rsid w:val="00FC10AD"/>
    <w:rsid w:val="00FC2581"/>
    <w:rsid w:val="00FC3534"/>
    <w:rsid w:val="00FC6116"/>
    <w:rsid w:val="00FC7871"/>
    <w:rsid w:val="00FD1BA2"/>
    <w:rsid w:val="00FD279E"/>
    <w:rsid w:val="00FD3A91"/>
    <w:rsid w:val="00FD3F90"/>
    <w:rsid w:val="00FD5602"/>
    <w:rsid w:val="00FD6428"/>
    <w:rsid w:val="00FD6C39"/>
    <w:rsid w:val="00FD7512"/>
    <w:rsid w:val="00FE005B"/>
    <w:rsid w:val="00FE522A"/>
    <w:rsid w:val="00FE63E0"/>
    <w:rsid w:val="00FF167D"/>
    <w:rsid w:val="00FF1CC6"/>
    <w:rsid w:val="00FF1EB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uiPriority="98"/>
    <w:lsdException w:name="heading 7" w:uiPriority="9"/>
    <w:lsdException w:name="heading 8" w:uiPriority="9"/>
    <w:lsdException w:name="heading 9" w:uiPriority="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lsdException w:name="footnote reference" w:uiPriority="0"/>
    <w:lsdException w:name="page number" w:uiPriority="0"/>
    <w:lsdException w:name="endnote reference" w:uiPriority="0"/>
    <w:lsdException w:name="endnote text" w:uiPriority="0"/>
    <w:lsdException w:name="List Number" w:uiPriority="98" w:unhideWhenUsed="0"/>
    <w:lsdException w:name="List 4" w:unhideWhenUsed="0"/>
    <w:lsdException w:name="List 5" w:unhideWhenUsed="0"/>
    <w:lsdException w:name="List Number 2" w:uiPriority="98"/>
    <w:lsdException w:name="List Number 3" w:uiPriority="98"/>
    <w:lsdException w:name="List Number 4" w:uiPriority="98"/>
    <w:lsdException w:name="List Number 5" w:uiPriority="98"/>
    <w:lsdException w:name="Title" w:semiHidden="0" w:uiPriority="98" w:unhideWhenUsed="0"/>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Strong" w:semiHidden="0" w:unhideWhenUsed="0"/>
    <w:lsdException w:name="Emphasis" w:semiHidden="0" w:unhideWhenUsed="0"/>
    <w:lsdException w:name="HTML Top of Form" w:uiPriority="0"/>
    <w:lsdException w:name="HTML Bottom of Form" w:uiPriority="0"/>
    <w:lsdException w:name="Normal Table" w:uiPriority="0"/>
    <w:lsdException w:name="Table Grid" w:semiHidden="0" w:uiPriority="59"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9"/>
  </w:latentStyles>
  <w:style w:type="paragraph" w:default="1" w:styleId="Normal">
    <w:name w:val="Normal"/>
    <w:rsid w:val="00D67B29"/>
    <w:pPr>
      <w:spacing w:line="260" w:lineRule="atLeast"/>
    </w:pPr>
    <w:rPr>
      <w:rFonts w:eastAsia="Calibri"/>
      <w:sz w:val="22"/>
      <w:lang w:eastAsia="en-US"/>
    </w:rPr>
  </w:style>
  <w:style w:type="paragraph" w:styleId="Heading1">
    <w:name w:val="heading 1"/>
    <w:basedOn w:val="Normal"/>
    <w:next w:val="Normal"/>
    <w:link w:val="Heading1Char"/>
    <w:uiPriority w:val="99"/>
    <w:semiHidden/>
    <w:rsid w:val="00F71C56"/>
    <w:pPr>
      <w:keepNext/>
      <w:keepLines/>
      <w:spacing w:before="200" w:line="280" w:lineRule="atLeast"/>
      <w:outlineLvl w:val="0"/>
    </w:pPr>
    <w:rPr>
      <w:rFonts w:ascii="Arial" w:hAnsi="Arial" w:cs="Arial"/>
      <w:b/>
      <w:bCs/>
      <w:caps/>
      <w:kern w:val="32"/>
      <w:sz w:val="20"/>
      <w:szCs w:val="32"/>
    </w:rPr>
  </w:style>
  <w:style w:type="paragraph" w:styleId="Heading2">
    <w:name w:val="heading 2"/>
    <w:basedOn w:val="Normal"/>
    <w:next w:val="Normal"/>
    <w:link w:val="Heading2Char"/>
    <w:uiPriority w:val="99"/>
    <w:semiHidden/>
    <w:rsid w:val="00F71C56"/>
    <w:pPr>
      <w:keepNext/>
      <w:keepLines/>
      <w:spacing w:before="200" w:line="280" w:lineRule="atLeast"/>
      <w:outlineLvl w:val="1"/>
    </w:pPr>
    <w:rPr>
      <w:rFonts w:ascii="Arial" w:hAnsi="Arial" w:cs="Arial"/>
      <w:b/>
      <w:bCs/>
      <w:iCs/>
      <w:szCs w:val="28"/>
    </w:rPr>
  </w:style>
  <w:style w:type="paragraph" w:styleId="Heading3">
    <w:name w:val="heading 3"/>
    <w:basedOn w:val="Normal"/>
    <w:next w:val="Normal"/>
    <w:link w:val="Heading3Char"/>
    <w:uiPriority w:val="99"/>
    <w:semiHidden/>
    <w:rsid w:val="00F71C56"/>
    <w:pPr>
      <w:keepNext/>
      <w:keepLines/>
      <w:spacing w:before="200" w:line="280" w:lineRule="atLeast"/>
      <w:outlineLvl w:val="2"/>
    </w:pPr>
    <w:rPr>
      <w:rFonts w:ascii="Arial" w:hAnsi="Arial" w:cs="Arial"/>
      <w:b/>
      <w:bCs/>
      <w:i/>
      <w:sz w:val="20"/>
      <w:szCs w:val="26"/>
    </w:rPr>
  </w:style>
  <w:style w:type="paragraph" w:styleId="Heading4">
    <w:name w:val="heading 4"/>
    <w:basedOn w:val="Normal"/>
    <w:next w:val="Normal"/>
    <w:link w:val="Heading4Char"/>
    <w:uiPriority w:val="99"/>
    <w:semiHidden/>
    <w:rsid w:val="00F71C56"/>
    <w:pPr>
      <w:keepNext/>
      <w:keepLines/>
      <w:spacing w:before="200" w:line="280" w:lineRule="atLeast"/>
      <w:outlineLvl w:val="3"/>
    </w:pPr>
    <w:rPr>
      <w:rFonts w:ascii="Arial" w:hAnsi="Arial" w:cs="Arial"/>
      <w:bCs/>
      <w:i/>
      <w:sz w:val="20"/>
      <w:szCs w:val="28"/>
    </w:rPr>
  </w:style>
  <w:style w:type="paragraph" w:styleId="Heading5">
    <w:name w:val="heading 5"/>
    <w:basedOn w:val="Normal"/>
    <w:next w:val="Normal"/>
    <w:link w:val="Heading5Char"/>
    <w:uiPriority w:val="99"/>
    <w:semiHidden/>
    <w:rsid w:val="00F71C56"/>
    <w:pPr>
      <w:keepNext/>
      <w:keepLines/>
      <w:spacing w:before="200" w:line="280" w:lineRule="atLeast"/>
      <w:outlineLvl w:val="4"/>
    </w:pPr>
    <w:rPr>
      <w:rFonts w:ascii="Arial" w:hAnsi="Arial" w:cs="Arial"/>
      <w:b/>
      <w:bCs/>
      <w:iCs/>
      <w:sz w:val="18"/>
      <w:szCs w:val="26"/>
    </w:rPr>
  </w:style>
  <w:style w:type="paragraph" w:styleId="Heading6">
    <w:name w:val="heading 6"/>
    <w:basedOn w:val="Normal"/>
    <w:next w:val="Normal"/>
    <w:link w:val="Heading6Char"/>
    <w:uiPriority w:val="98"/>
    <w:semiHidden/>
    <w:unhideWhenUsed/>
    <w:rsid w:val="008F3A94"/>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8F3A94"/>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8F3A94"/>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F71C5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4C144E"/>
    <w:rPr>
      <w:rFonts w:ascii="Arial" w:hAnsi="Arial" w:cs="Arial"/>
      <w:b/>
      <w:bCs/>
      <w:caps/>
      <w:kern w:val="32"/>
      <w:szCs w:val="32"/>
    </w:rPr>
  </w:style>
  <w:style w:type="character" w:customStyle="1" w:styleId="Heading2Char">
    <w:name w:val="Heading 2 Char"/>
    <w:basedOn w:val="DefaultParagraphFont"/>
    <w:link w:val="Heading2"/>
    <w:uiPriority w:val="99"/>
    <w:semiHidden/>
    <w:rsid w:val="004C144E"/>
    <w:rPr>
      <w:rFonts w:ascii="Arial" w:hAnsi="Arial" w:cs="Arial"/>
      <w:b/>
      <w:bCs/>
      <w:iCs/>
      <w:sz w:val="22"/>
      <w:szCs w:val="28"/>
    </w:rPr>
  </w:style>
  <w:style w:type="character" w:customStyle="1" w:styleId="Heading3Char">
    <w:name w:val="Heading 3 Char"/>
    <w:basedOn w:val="DefaultParagraphFont"/>
    <w:link w:val="Heading3"/>
    <w:uiPriority w:val="99"/>
    <w:semiHidden/>
    <w:rsid w:val="004C144E"/>
    <w:rPr>
      <w:rFonts w:ascii="Arial" w:hAnsi="Arial" w:cs="Arial"/>
      <w:b/>
      <w:bCs/>
      <w:i/>
      <w:szCs w:val="26"/>
    </w:rPr>
  </w:style>
  <w:style w:type="character" w:customStyle="1" w:styleId="Heading4Char">
    <w:name w:val="Heading 4 Char"/>
    <w:basedOn w:val="DefaultParagraphFont"/>
    <w:link w:val="Heading4"/>
    <w:uiPriority w:val="99"/>
    <w:semiHidden/>
    <w:rsid w:val="004C144E"/>
    <w:rPr>
      <w:rFonts w:ascii="Arial" w:hAnsi="Arial" w:cs="Arial"/>
      <w:bCs/>
      <w:i/>
      <w:szCs w:val="28"/>
    </w:rPr>
  </w:style>
  <w:style w:type="character" w:customStyle="1" w:styleId="Heading5Char">
    <w:name w:val="Heading 5 Char"/>
    <w:basedOn w:val="DefaultParagraphFont"/>
    <w:link w:val="Heading5"/>
    <w:uiPriority w:val="99"/>
    <w:semiHidden/>
    <w:rsid w:val="004C144E"/>
    <w:rPr>
      <w:rFonts w:ascii="Arial" w:hAnsi="Arial" w:cs="Arial"/>
      <w:b/>
      <w:bCs/>
      <w:iCs/>
      <w:sz w:val="18"/>
      <w:szCs w:val="26"/>
    </w:rPr>
  </w:style>
  <w:style w:type="character" w:customStyle="1" w:styleId="Heading6Char">
    <w:name w:val="Heading 6 Char"/>
    <w:basedOn w:val="DefaultParagraphFont"/>
    <w:link w:val="Heading6"/>
    <w:uiPriority w:val="98"/>
    <w:semiHidden/>
    <w:rsid w:val="008F3A94"/>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8F3A94"/>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8F3A94"/>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9"/>
    <w:semiHidden/>
    <w:rsid w:val="004C144E"/>
    <w:rPr>
      <w:rFonts w:ascii="Arial" w:hAnsi="Arial" w:cs="Arial"/>
      <w:sz w:val="22"/>
      <w:szCs w:val="22"/>
    </w:rPr>
  </w:style>
  <w:style w:type="paragraph" w:customStyle="1" w:styleId="baseheading">
    <w:name w:val="base_heading"/>
    <w:rsid w:val="00F71C56"/>
    <w:pPr>
      <w:keepNext/>
      <w:keepLines/>
      <w:spacing w:before="360"/>
      <w:ind w:left="2410" w:hanging="2410"/>
    </w:pPr>
    <w:rPr>
      <w:rFonts w:ascii="Arial" w:hAnsi="Arial" w:cs="Arial"/>
      <w:b/>
      <w:bCs/>
      <w:kern w:val="32"/>
      <w:sz w:val="24"/>
      <w:szCs w:val="32"/>
    </w:rPr>
  </w:style>
  <w:style w:type="character" w:styleId="EndnoteReference">
    <w:name w:val="endnote reference"/>
    <w:basedOn w:val="DefaultParagraphFont"/>
    <w:semiHidden/>
    <w:rsid w:val="00F71C56"/>
    <w:rPr>
      <w:rFonts w:ascii="Arial" w:hAnsi="Arial" w:cs="Arial"/>
      <w:b w:val="0"/>
      <w:i w:val="0"/>
      <w:sz w:val="22"/>
      <w:vertAlign w:val="superscript"/>
    </w:rPr>
  </w:style>
  <w:style w:type="paragraph" w:styleId="EndnoteText">
    <w:name w:val="endnote text"/>
    <w:basedOn w:val="Normal"/>
    <w:link w:val="EndnoteTextChar"/>
    <w:semiHidden/>
    <w:rsid w:val="00F71C56"/>
    <w:pPr>
      <w:tabs>
        <w:tab w:val="left" w:pos="425"/>
      </w:tabs>
      <w:spacing w:after="60"/>
      <w:ind w:left="425" w:hanging="425"/>
    </w:pPr>
    <w:rPr>
      <w:rFonts w:ascii="Arial" w:hAnsi="Arial" w:cs="Arial"/>
      <w:sz w:val="18"/>
    </w:rPr>
  </w:style>
  <w:style w:type="character" w:customStyle="1" w:styleId="EndnoteTextChar">
    <w:name w:val="Endnote Text Char"/>
    <w:basedOn w:val="DefaultParagraphFont"/>
    <w:link w:val="EndnoteText"/>
    <w:semiHidden/>
    <w:rsid w:val="00F71C56"/>
    <w:rPr>
      <w:rFonts w:ascii="Arial" w:hAnsi="Arial" w:cs="Arial"/>
      <w:sz w:val="18"/>
    </w:rPr>
  </w:style>
  <w:style w:type="paragraph" w:customStyle="1" w:styleId="ENotesHeading1">
    <w:name w:val="ENotesHeading 1"/>
    <w:aliases w:val="Enh1"/>
    <w:basedOn w:val="OPCParaBase"/>
    <w:next w:val="Normal"/>
    <w:rsid w:val="00D67B29"/>
    <w:pPr>
      <w:spacing w:before="120"/>
      <w:outlineLvl w:val="1"/>
    </w:pPr>
    <w:rPr>
      <w:b/>
      <w:sz w:val="28"/>
      <w:szCs w:val="28"/>
    </w:rPr>
  </w:style>
  <w:style w:type="paragraph" w:customStyle="1" w:styleId="ENotesHeading2">
    <w:name w:val="ENotesHeading 2"/>
    <w:aliases w:val="Enh2"/>
    <w:basedOn w:val="OPCParaBase"/>
    <w:next w:val="Normal"/>
    <w:rsid w:val="00D67B29"/>
    <w:pPr>
      <w:spacing w:before="120" w:after="120"/>
      <w:outlineLvl w:val="2"/>
    </w:pPr>
    <w:rPr>
      <w:b/>
      <w:sz w:val="24"/>
      <w:szCs w:val="28"/>
    </w:rPr>
  </w:style>
  <w:style w:type="paragraph" w:customStyle="1" w:styleId="ENoteTableHeading">
    <w:name w:val="ENoteTableHeading"/>
    <w:aliases w:val="enth"/>
    <w:basedOn w:val="OPCParaBase"/>
    <w:rsid w:val="00D67B29"/>
    <w:pPr>
      <w:keepNext/>
      <w:spacing w:before="60" w:line="240" w:lineRule="atLeast"/>
    </w:pPr>
    <w:rPr>
      <w:rFonts w:ascii="Arial" w:hAnsi="Arial"/>
      <w:b/>
      <w:sz w:val="16"/>
    </w:rPr>
  </w:style>
  <w:style w:type="paragraph" w:customStyle="1" w:styleId="ENoteTableText">
    <w:name w:val="ENoteTableText"/>
    <w:aliases w:val="entt"/>
    <w:basedOn w:val="OPCParaBase"/>
    <w:rsid w:val="00D67B29"/>
    <w:pPr>
      <w:spacing w:before="60" w:line="240" w:lineRule="atLeast"/>
    </w:pPr>
    <w:rPr>
      <w:sz w:val="16"/>
    </w:rPr>
  </w:style>
  <w:style w:type="paragraph" w:styleId="Footer">
    <w:name w:val="footer"/>
    <w:link w:val="FooterChar"/>
    <w:uiPriority w:val="99"/>
    <w:rsid w:val="00D67B29"/>
    <w:pPr>
      <w:tabs>
        <w:tab w:val="center" w:pos="4153"/>
        <w:tab w:val="right" w:pos="8306"/>
      </w:tabs>
    </w:pPr>
    <w:rPr>
      <w:sz w:val="22"/>
      <w:szCs w:val="24"/>
    </w:rPr>
  </w:style>
  <w:style w:type="character" w:customStyle="1" w:styleId="FooterChar">
    <w:name w:val="Footer Char"/>
    <w:basedOn w:val="DefaultParagraphFont"/>
    <w:link w:val="Footer"/>
    <w:uiPriority w:val="99"/>
    <w:rsid w:val="00F71C56"/>
    <w:rPr>
      <w:sz w:val="22"/>
      <w:szCs w:val="24"/>
    </w:rPr>
  </w:style>
  <w:style w:type="paragraph" w:customStyle="1" w:styleId="FooterBase">
    <w:name w:val="Footer Base"/>
    <w:next w:val="Normal"/>
    <w:semiHidden/>
    <w:rsid w:val="00F71C56"/>
    <w:pPr>
      <w:spacing w:line="200" w:lineRule="atLeast"/>
    </w:pPr>
    <w:rPr>
      <w:rFonts w:ascii="Arial" w:hAnsi="Arial" w:cs="Arial"/>
      <w:sz w:val="16"/>
      <w:szCs w:val="22"/>
    </w:rPr>
  </w:style>
  <w:style w:type="paragraph" w:customStyle="1" w:styleId="FooterLandscape">
    <w:name w:val="Footer Landscape"/>
    <w:basedOn w:val="FooterBase"/>
    <w:semiHidden/>
    <w:rsid w:val="00F71C56"/>
    <w:pPr>
      <w:tabs>
        <w:tab w:val="right" w:pos="13175"/>
      </w:tabs>
    </w:pPr>
  </w:style>
  <w:style w:type="paragraph" w:customStyle="1" w:styleId="FooterSubject">
    <w:name w:val="Footer Subject"/>
    <w:basedOn w:val="FooterBase"/>
    <w:semiHidden/>
    <w:rsid w:val="00F71C56"/>
    <w:pPr>
      <w:ind w:right="1417"/>
    </w:pPr>
  </w:style>
  <w:style w:type="character" w:styleId="FootnoteReference">
    <w:name w:val="footnote reference"/>
    <w:basedOn w:val="DefaultParagraphFont"/>
    <w:semiHidden/>
    <w:rsid w:val="00F71C56"/>
    <w:rPr>
      <w:rFonts w:ascii="Arial" w:hAnsi="Arial" w:cs="Arial"/>
      <w:b w:val="0"/>
      <w:i w:val="0"/>
      <w:sz w:val="22"/>
      <w:vertAlign w:val="superscript"/>
    </w:rPr>
  </w:style>
  <w:style w:type="paragraph" w:styleId="FootnoteText">
    <w:name w:val="footnote text"/>
    <w:basedOn w:val="Normal"/>
    <w:link w:val="FootnoteTextChar"/>
    <w:semiHidden/>
    <w:rsid w:val="00F71C56"/>
    <w:pPr>
      <w:tabs>
        <w:tab w:val="left" w:pos="425"/>
      </w:tabs>
      <w:spacing w:after="60"/>
      <w:ind w:left="425" w:right="567" w:hanging="425"/>
    </w:pPr>
    <w:rPr>
      <w:rFonts w:ascii="Arial" w:hAnsi="Arial" w:cs="Arial"/>
      <w:sz w:val="18"/>
    </w:rPr>
  </w:style>
  <w:style w:type="character" w:customStyle="1" w:styleId="FootnoteTextChar">
    <w:name w:val="Footnote Text Char"/>
    <w:basedOn w:val="DefaultParagraphFont"/>
    <w:link w:val="FootnoteText"/>
    <w:semiHidden/>
    <w:rsid w:val="00F71C56"/>
    <w:rPr>
      <w:rFonts w:ascii="Arial" w:hAnsi="Arial" w:cs="Arial"/>
      <w:sz w:val="18"/>
    </w:rPr>
  </w:style>
  <w:style w:type="paragraph" w:customStyle="1" w:styleId="h1Sch">
    <w:name w:val="h1_Sch"/>
    <w:basedOn w:val="baseheading"/>
    <w:next w:val="h2SchPart"/>
    <w:qFormat/>
    <w:rsid w:val="00AD2D6F"/>
    <w:pPr>
      <w:spacing w:before="480"/>
      <w:outlineLvl w:val="0"/>
    </w:pPr>
    <w:rPr>
      <w:rFonts w:ascii="Times New Roman" w:hAnsi="Times New Roman"/>
      <w:sz w:val="36"/>
    </w:rPr>
  </w:style>
  <w:style w:type="paragraph" w:customStyle="1" w:styleId="h2SchPart">
    <w:name w:val="h2_Sch_Part"/>
    <w:basedOn w:val="baseheading"/>
    <w:next w:val="h3SchDiv"/>
    <w:qFormat/>
    <w:rsid w:val="00F71C56"/>
    <w:rPr>
      <w:sz w:val="36"/>
    </w:rPr>
  </w:style>
  <w:style w:type="paragraph" w:customStyle="1" w:styleId="h3SchDiv">
    <w:name w:val="h3_Sch_Div"/>
    <w:basedOn w:val="baseheading"/>
    <w:next w:val="Normal"/>
    <w:qFormat/>
    <w:rsid w:val="00F71C56"/>
    <w:rPr>
      <w:sz w:val="32"/>
    </w:rPr>
  </w:style>
  <w:style w:type="paragraph" w:customStyle="1" w:styleId="h2Endnote">
    <w:name w:val="h2_Endnote"/>
    <w:basedOn w:val="baseheading"/>
    <w:rsid w:val="00F71C56"/>
    <w:pPr>
      <w:outlineLvl w:val="1"/>
    </w:pPr>
    <w:rPr>
      <w:sz w:val="36"/>
    </w:rPr>
  </w:style>
  <w:style w:type="paragraph" w:customStyle="1" w:styleId="h4SchSubdiv">
    <w:name w:val="h4_Sch_Subdiv"/>
    <w:basedOn w:val="baseheading"/>
    <w:qFormat/>
    <w:rsid w:val="00F71C56"/>
    <w:pPr>
      <w:spacing w:before="200"/>
      <w:ind w:left="2693" w:hanging="2693"/>
    </w:pPr>
    <w:rPr>
      <w:sz w:val="28"/>
    </w:rPr>
  </w:style>
  <w:style w:type="paragraph" w:customStyle="1" w:styleId="h5Endnote">
    <w:name w:val="h5_Endnote"/>
    <w:basedOn w:val="baseheading"/>
    <w:rsid w:val="00F71C56"/>
    <w:pPr>
      <w:spacing w:after="60"/>
    </w:pPr>
  </w:style>
  <w:style w:type="paragraph" w:customStyle="1" w:styleId="h5SchItem">
    <w:name w:val="h5_Sch_Item"/>
    <w:basedOn w:val="baseheading"/>
    <w:next w:val="Normal"/>
    <w:qFormat/>
    <w:rsid w:val="00F71C56"/>
    <w:pPr>
      <w:spacing w:after="60"/>
      <w:ind w:left="964" w:hanging="964"/>
    </w:pPr>
  </w:style>
  <w:style w:type="paragraph" w:customStyle="1" w:styleId="h7Example">
    <w:name w:val="h7_Example"/>
    <w:basedOn w:val="baseheading"/>
    <w:next w:val="Normal"/>
    <w:qFormat/>
    <w:rsid w:val="00F71C56"/>
    <w:pPr>
      <w:spacing w:before="120"/>
      <w:ind w:left="964" w:hanging="964"/>
    </w:pPr>
    <w:rPr>
      <w:b w:val="0"/>
      <w:i/>
    </w:rPr>
  </w:style>
  <w:style w:type="paragraph" w:styleId="Header">
    <w:name w:val="header"/>
    <w:basedOn w:val="OPCParaBase"/>
    <w:link w:val="HeaderChar"/>
    <w:unhideWhenUsed/>
    <w:rsid w:val="006A45FF"/>
    <w:pPr>
      <w:keepNext/>
      <w:keepLines/>
      <w:tabs>
        <w:tab w:val="center" w:pos="4150"/>
        <w:tab w:val="right" w:pos="8307"/>
      </w:tabs>
      <w:spacing w:line="240" w:lineRule="auto"/>
      <w:ind w:left="1134" w:right="1134"/>
      <w:jc w:val="center"/>
    </w:pPr>
    <w:rPr>
      <w:i/>
    </w:rPr>
  </w:style>
  <w:style w:type="character" w:customStyle="1" w:styleId="HeaderChar">
    <w:name w:val="Header Char"/>
    <w:basedOn w:val="DefaultParagraphFont"/>
    <w:link w:val="Header"/>
    <w:rsid w:val="006A45FF"/>
    <w:rPr>
      <w:i/>
      <w:sz w:val="22"/>
    </w:rPr>
  </w:style>
  <w:style w:type="paragraph" w:customStyle="1" w:styleId="nDrafterComment">
    <w:name w:val="n_Drafter_Comment"/>
    <w:basedOn w:val="Normal"/>
    <w:qFormat/>
    <w:rsid w:val="00BE4D1D"/>
    <w:pPr>
      <w:spacing w:before="80"/>
    </w:pPr>
    <w:rPr>
      <w:rFonts w:ascii="Arial" w:hAnsi="Arial"/>
      <w:color w:val="7030A0"/>
    </w:rPr>
  </w:style>
  <w:style w:type="paragraph" w:customStyle="1" w:styleId="nEndnote">
    <w:name w:val="n_Endnote"/>
    <w:basedOn w:val="Normal"/>
    <w:rsid w:val="00F71C56"/>
    <w:pPr>
      <w:keepLines/>
      <w:spacing w:before="120" w:line="240" w:lineRule="exact"/>
      <w:ind w:left="567" w:hanging="567"/>
      <w:jc w:val="both"/>
    </w:pPr>
  </w:style>
  <w:style w:type="paragraph" w:customStyle="1" w:styleId="nSubpara">
    <w:name w:val="n_Subpara"/>
    <w:basedOn w:val="Normal"/>
    <w:qFormat/>
    <w:rsid w:val="007B1C64"/>
    <w:pPr>
      <w:tabs>
        <w:tab w:val="right" w:pos="2948"/>
      </w:tabs>
      <w:spacing w:after="100" w:line="220" w:lineRule="exact"/>
      <w:ind w:left="3119" w:hanging="3119"/>
    </w:pPr>
    <w:rPr>
      <w:sz w:val="18"/>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semiHidden/>
    <w:rsid w:val="00F71C56"/>
    <w:rPr>
      <w:rFonts w:ascii="Arial" w:hAnsi="Arial" w:cs="Arial"/>
      <w:b w:val="0"/>
      <w:i w:val="0"/>
      <w:sz w:val="16"/>
    </w:rPr>
  </w:style>
  <w:style w:type="paragraph" w:customStyle="1" w:styleId="ParagraphText">
    <w:name w:val="Paragraph_Text"/>
    <w:basedOn w:val="Normal"/>
    <w:uiPriority w:val="1"/>
    <w:rsid w:val="00F71C56"/>
    <w:rPr>
      <w:rFonts w:ascii="Arial" w:hAnsi="Arial" w:cs="Arial"/>
      <w:bCs/>
      <w:szCs w:val="26"/>
    </w:rPr>
  </w:style>
  <w:style w:type="character" w:styleId="PlaceholderText">
    <w:name w:val="Placeholder Text"/>
    <w:basedOn w:val="DefaultParagraphFont"/>
    <w:uiPriority w:val="99"/>
    <w:semiHidden/>
    <w:rsid w:val="00F71C56"/>
    <w:rPr>
      <w:color w:val="808080"/>
    </w:rPr>
  </w:style>
  <w:style w:type="paragraph" w:customStyle="1" w:styleId="PlainParagraph">
    <w:name w:val="Plain Paragraph"/>
    <w:basedOn w:val="NormalBase"/>
    <w:uiPriority w:val="1"/>
    <w:rsid w:val="00F71C56"/>
  </w:style>
  <w:style w:type="paragraph" w:customStyle="1" w:styleId="sbFirstSection">
    <w:name w:val="sb_First_Section"/>
    <w:basedOn w:val="Normal"/>
    <w:qFormat/>
    <w:rsid w:val="00F71C56"/>
    <w:pPr>
      <w:spacing w:line="160" w:lineRule="exact"/>
    </w:pPr>
    <w:rPr>
      <w:sz w:val="16"/>
    </w:rPr>
  </w:style>
  <w:style w:type="paragraph" w:customStyle="1" w:styleId="sbContents">
    <w:name w:val="sb_Contents"/>
    <w:basedOn w:val="sbFirstSection"/>
    <w:qFormat/>
    <w:rsid w:val="00F71C56"/>
  </w:style>
  <w:style w:type="paragraph" w:customStyle="1" w:styleId="sbMainSection">
    <w:name w:val="sb_Main_Section"/>
    <w:basedOn w:val="sbFirstSection"/>
    <w:qFormat/>
    <w:rsid w:val="00F71C56"/>
    <w:rPr>
      <w:b/>
      <w:bCs/>
      <w:kern w:val="32"/>
    </w:rPr>
  </w:style>
  <w:style w:type="paragraph" w:customStyle="1" w:styleId="sbSchedules">
    <w:name w:val="sb_Schedules"/>
    <w:basedOn w:val="sbFirstSection"/>
    <w:qFormat/>
    <w:rsid w:val="00F71C56"/>
  </w:style>
  <w:style w:type="paragraph" w:customStyle="1" w:styleId="Tabletext">
    <w:name w:val="Tabletext"/>
    <w:aliases w:val="tt"/>
    <w:basedOn w:val="OPCParaBase"/>
    <w:rsid w:val="00D67B29"/>
    <w:pPr>
      <w:spacing w:before="60" w:line="240" w:lineRule="atLeast"/>
    </w:pPr>
    <w:rPr>
      <w:sz w:val="20"/>
    </w:rPr>
  </w:style>
  <w:style w:type="paragraph" w:styleId="TOC1">
    <w:name w:val="toc 1"/>
    <w:basedOn w:val="OPCParaBase"/>
    <w:next w:val="Normal"/>
    <w:uiPriority w:val="39"/>
    <w:unhideWhenUsed/>
    <w:rsid w:val="00D67B2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D67B2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D67B2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D67B2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9121A5"/>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D67B2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D67B2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D67B2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D67B29"/>
    <w:pPr>
      <w:keepLines/>
      <w:tabs>
        <w:tab w:val="right" w:pos="8278"/>
      </w:tabs>
      <w:spacing w:before="80" w:line="240" w:lineRule="auto"/>
      <w:ind w:left="851" w:right="567"/>
    </w:pPr>
    <w:rPr>
      <w:i/>
      <w:kern w:val="28"/>
      <w:sz w:val="20"/>
    </w:rPr>
  </w:style>
  <w:style w:type="paragraph" w:customStyle="1" w:styleId="ttAuthorisingAct">
    <w:name w:val="tt_Authorising_Act"/>
    <w:basedOn w:val="Normal"/>
    <w:rsid w:val="00F71C56"/>
    <w:pPr>
      <w:pBdr>
        <w:bottom w:val="single" w:sz="4" w:space="3" w:color="auto"/>
      </w:pBdr>
      <w:spacing w:before="480"/>
    </w:pPr>
    <w:rPr>
      <w:rFonts w:ascii="Arial" w:hAnsi="Arial" w:cs="Arial"/>
      <w:i/>
      <w:sz w:val="28"/>
      <w:szCs w:val="28"/>
      <w:lang w:val="en-US"/>
    </w:rPr>
  </w:style>
  <w:style w:type="paragraph" w:customStyle="1" w:styleId="h2ContentsIntro">
    <w:name w:val="h2_Contents_Intro"/>
    <w:basedOn w:val="Normal"/>
    <w:rsid w:val="001231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ttCrest">
    <w:name w:val="tt_Crest"/>
    <w:basedOn w:val="Normal"/>
    <w:rsid w:val="006C4A30"/>
    <w:pPr>
      <w:spacing w:after="300" w:line="240" w:lineRule="atLeast"/>
    </w:pPr>
    <w:rPr>
      <w:rFonts w:ascii="Arial" w:hAnsi="Arial"/>
    </w:rPr>
  </w:style>
  <w:style w:type="paragraph" w:customStyle="1" w:styleId="ttDraftstrip">
    <w:name w:val="tt_Draft_strip"/>
    <w:basedOn w:val="Normal"/>
    <w:qFormat/>
    <w:rsid w:val="00B13564"/>
    <w:pPr>
      <w:shd w:val="clear" w:color="auto" w:fill="99CCFF"/>
      <w:tabs>
        <w:tab w:val="center" w:pos="4253"/>
        <w:tab w:val="right" w:pos="8505"/>
      </w:tabs>
      <w:spacing w:before="400" w:after="300"/>
    </w:pPr>
    <w:rPr>
      <w:rFonts w:ascii="Arial" w:hAnsi="Arial" w:cs="Arial"/>
      <w:b/>
      <w:sz w:val="32"/>
      <w:szCs w:val="32"/>
    </w:rPr>
  </w:style>
  <w:style w:type="paragraph" w:customStyle="1" w:styleId="ttFooter">
    <w:name w:val="tt_Footer"/>
    <w:basedOn w:val="Normal"/>
    <w:rsid w:val="00BE4D1D"/>
    <w:pPr>
      <w:tabs>
        <w:tab w:val="center" w:pos="4153"/>
        <w:tab w:val="right" w:pos="8363"/>
      </w:tabs>
      <w:spacing w:before="20" w:after="40"/>
      <w:jc w:val="center"/>
    </w:pPr>
    <w:rPr>
      <w:rFonts w:ascii="Arial" w:hAnsi="Arial"/>
      <w:i/>
      <w:sz w:val="18"/>
    </w:rPr>
  </w:style>
  <w:style w:type="paragraph" w:customStyle="1" w:styleId="ttFooterdraft">
    <w:name w:val="tt_Footer_draft"/>
    <w:basedOn w:val="Normal"/>
    <w:rsid w:val="00F71C56"/>
    <w:pPr>
      <w:tabs>
        <w:tab w:val="center" w:pos="4253"/>
        <w:tab w:val="right" w:pos="8505"/>
      </w:tabs>
      <w:spacing w:before="100"/>
      <w:jc w:val="both"/>
    </w:pPr>
    <w:rPr>
      <w:rFonts w:ascii="Arial" w:hAnsi="Arial"/>
      <w:b/>
      <w:sz w:val="40"/>
    </w:rPr>
  </w:style>
  <w:style w:type="paragraph" w:customStyle="1" w:styleId="ttHeader">
    <w:name w:val="tt_Header"/>
    <w:basedOn w:val="Normal"/>
    <w:link w:val="ttHeaderCharChar"/>
    <w:rsid w:val="00F71C56"/>
    <w:pPr>
      <w:pBdr>
        <w:bottom w:val="single" w:sz="4" w:space="1" w:color="auto"/>
      </w:pBdr>
      <w:tabs>
        <w:tab w:val="left" w:pos="1985"/>
      </w:tabs>
      <w:ind w:left="1985" w:hanging="1985"/>
    </w:pPr>
    <w:rPr>
      <w:rFonts w:ascii="Arial" w:hAnsi="Arial"/>
      <w:b/>
      <w:noProof/>
    </w:rPr>
  </w:style>
  <w:style w:type="character" w:customStyle="1" w:styleId="ttHeaderCharChar">
    <w:name w:val="tt_Header Char Char"/>
    <w:basedOn w:val="DefaultParagraphFont"/>
    <w:link w:val="ttHeader"/>
    <w:rsid w:val="00F71C56"/>
    <w:rPr>
      <w:rFonts w:ascii="Arial" w:hAnsi="Arial"/>
      <w:b/>
      <w:noProof/>
      <w:sz w:val="24"/>
      <w:szCs w:val="24"/>
    </w:rPr>
  </w:style>
  <w:style w:type="paragraph" w:customStyle="1" w:styleId="ttheaderDivref">
    <w:name w:val="tt_header_Div_ref"/>
    <w:basedOn w:val="ttHeader"/>
    <w:rsid w:val="00F71C56"/>
    <w:rPr>
      <w:sz w:val="20"/>
    </w:rPr>
  </w:style>
  <w:style w:type="paragraph" w:customStyle="1" w:styleId="ttheaderpage1">
    <w:name w:val="tt_header_page_1"/>
    <w:basedOn w:val="Normal"/>
    <w:rsid w:val="00F71C56"/>
    <w:pPr>
      <w:jc w:val="both"/>
    </w:pPr>
  </w:style>
  <w:style w:type="paragraph" w:customStyle="1" w:styleId="ttheaderPartref">
    <w:name w:val="tt_header_Part_ref"/>
    <w:basedOn w:val="ttHeader"/>
    <w:rsid w:val="00F71C56"/>
  </w:style>
  <w:style w:type="paragraph" w:customStyle="1" w:styleId="ttheaderSectionref">
    <w:name w:val="tt_header_Section_ref"/>
    <w:basedOn w:val="ttHeader"/>
    <w:link w:val="ttheaderSectionrefChar"/>
    <w:rsid w:val="00F71C56"/>
  </w:style>
  <w:style w:type="character" w:customStyle="1" w:styleId="ttheaderSectionrefChar">
    <w:name w:val="tt_header_Section_ref Char"/>
    <w:basedOn w:val="ttHeaderCharChar"/>
    <w:link w:val="ttheaderSectionref"/>
    <w:rsid w:val="00F71C56"/>
    <w:rPr>
      <w:rFonts w:ascii="Arial" w:hAnsi="Arial"/>
      <w:b/>
      <w:noProof/>
      <w:sz w:val="24"/>
      <w:szCs w:val="24"/>
    </w:rPr>
  </w:style>
  <w:style w:type="paragraph" w:customStyle="1" w:styleId="ttMakingWords">
    <w:name w:val="tt_Making_Words"/>
    <w:basedOn w:val="Normal"/>
    <w:qFormat/>
    <w:rsid w:val="00F71C56"/>
    <w:pPr>
      <w:spacing w:before="360"/>
      <w:jc w:val="both"/>
    </w:pPr>
  </w:style>
  <w:style w:type="paragraph" w:customStyle="1" w:styleId="ttParaMark">
    <w:name w:val="tt_Para_Mark"/>
    <w:basedOn w:val="Normal"/>
    <w:next w:val="sbFirstSection"/>
    <w:qFormat/>
    <w:rsid w:val="00F71C56"/>
    <w:rPr>
      <w:sz w:val="16"/>
    </w:rPr>
  </w:style>
  <w:style w:type="paragraph" w:customStyle="1" w:styleId="ttSigDate">
    <w:name w:val="tt_Sig_Date"/>
    <w:basedOn w:val="Normal"/>
    <w:qFormat/>
    <w:rsid w:val="00F71C56"/>
    <w:pPr>
      <w:tabs>
        <w:tab w:val="left" w:pos="2220"/>
      </w:tabs>
      <w:spacing w:before="300" w:after="1000" w:line="300" w:lineRule="atLeast"/>
    </w:pPr>
  </w:style>
  <w:style w:type="paragraph" w:customStyle="1" w:styleId="ttSigName">
    <w:name w:val="tt_Sig_Name"/>
    <w:basedOn w:val="Normal"/>
    <w:qFormat/>
    <w:rsid w:val="00F71C56"/>
    <w:pPr>
      <w:tabs>
        <w:tab w:val="left" w:pos="3969"/>
      </w:tabs>
      <w:spacing w:before="1000" w:after="120"/>
    </w:pPr>
  </w:style>
  <w:style w:type="paragraph" w:customStyle="1" w:styleId="ttSigPosition">
    <w:name w:val="tt_Sig_Position"/>
    <w:basedOn w:val="Normal"/>
    <w:link w:val="ttSigPositionChar"/>
    <w:rsid w:val="00F71C56"/>
    <w:pPr>
      <w:pBdr>
        <w:bottom w:val="single" w:sz="4" w:space="12" w:color="auto"/>
      </w:pBdr>
      <w:tabs>
        <w:tab w:val="left" w:pos="3119"/>
      </w:tabs>
      <w:spacing w:after="240" w:line="300" w:lineRule="atLeast"/>
    </w:pPr>
  </w:style>
  <w:style w:type="character" w:customStyle="1" w:styleId="ttSigPositionChar">
    <w:name w:val="tt_Sig_Position Char"/>
    <w:basedOn w:val="DefaultParagraphFont"/>
    <w:link w:val="ttSigPosition"/>
    <w:rsid w:val="00F71C56"/>
    <w:rPr>
      <w:sz w:val="24"/>
      <w:szCs w:val="24"/>
    </w:rPr>
  </w:style>
  <w:style w:type="paragraph" w:customStyle="1" w:styleId="ttTitleofInstrument">
    <w:name w:val="tt_Title_of_Instrument"/>
    <w:basedOn w:val="Normal"/>
    <w:rsid w:val="00F71C56"/>
    <w:pPr>
      <w:spacing w:before="200"/>
    </w:pPr>
    <w:rPr>
      <w:rFonts w:ascii="Arial" w:hAnsi="Arial"/>
      <w:b/>
      <w:sz w:val="32"/>
    </w:rPr>
  </w:style>
  <w:style w:type="paragraph" w:customStyle="1" w:styleId="ttExplainTemplate">
    <w:name w:val="tt_Explain_Template"/>
    <w:basedOn w:val="nDrafterComment"/>
    <w:qFormat/>
    <w:rsid w:val="00855DE5"/>
    <w:pPr>
      <w:tabs>
        <w:tab w:val="left" w:pos="737"/>
        <w:tab w:val="left" w:pos="1191"/>
        <w:tab w:val="left" w:pos="1644"/>
      </w:tabs>
    </w:pPr>
  </w:style>
  <w:style w:type="paragraph" w:styleId="BalloonText">
    <w:name w:val="Balloon Text"/>
    <w:basedOn w:val="Normal"/>
    <w:link w:val="BalloonTextChar"/>
    <w:uiPriority w:val="99"/>
    <w:semiHidden/>
    <w:unhideWhenUsed/>
    <w:rsid w:val="00D67B29"/>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83235A"/>
    <w:rPr>
      <w:rFonts w:ascii="Tahoma" w:eastAsia="Calibri" w:hAnsi="Tahoma"/>
      <w:sz w:val="16"/>
      <w:szCs w:val="16"/>
    </w:rPr>
  </w:style>
  <w:style w:type="paragraph" w:styleId="ListParagraph">
    <w:name w:val="List Paragraph"/>
    <w:basedOn w:val="Normal"/>
    <w:uiPriority w:val="98"/>
    <w:rsid w:val="00257896"/>
    <w:pPr>
      <w:ind w:left="720"/>
      <w:contextualSpacing/>
    </w:pPr>
  </w:style>
  <w:style w:type="paragraph" w:customStyle="1" w:styleId="ttContents">
    <w:name w:val="tt_Contents"/>
    <w:basedOn w:val="Normal"/>
    <w:rsid w:val="001231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BoxText">
    <w:name w:val="BoxText"/>
    <w:aliases w:val="bt"/>
    <w:basedOn w:val="OPCParaBase"/>
    <w:qFormat/>
    <w:rsid w:val="00D67B2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TableHeading">
    <w:name w:val="TableHeading"/>
    <w:aliases w:val="th"/>
    <w:basedOn w:val="OPCParaBase"/>
    <w:next w:val="Tabletext"/>
    <w:rsid w:val="00D67B29"/>
    <w:pPr>
      <w:keepNext/>
      <w:spacing w:before="60" w:line="240" w:lineRule="atLeast"/>
    </w:pPr>
    <w:rPr>
      <w:b/>
      <w:sz w:val="20"/>
    </w:rPr>
  </w:style>
  <w:style w:type="paragraph" w:customStyle="1" w:styleId="bbaseheading">
    <w:name w:val="b_base_heading"/>
    <w:rsid w:val="003D7C75"/>
    <w:pPr>
      <w:keepNext/>
      <w:keepLines/>
      <w:spacing w:before="360"/>
      <w:ind w:left="2410" w:hanging="2410"/>
    </w:pPr>
    <w:rPr>
      <w:rFonts w:ascii="Arial" w:hAnsi="Arial" w:cs="Arial"/>
      <w:b/>
      <w:bCs/>
      <w:kern w:val="32"/>
      <w:sz w:val="24"/>
      <w:szCs w:val="32"/>
    </w:rPr>
  </w:style>
  <w:style w:type="paragraph" w:customStyle="1" w:styleId="bbasepara">
    <w:name w:val="b_base_para"/>
    <w:rsid w:val="003D7C75"/>
    <w:pPr>
      <w:keepLines/>
      <w:spacing w:after="80"/>
    </w:pPr>
    <w:rPr>
      <w:rFonts w:cs="Arial"/>
      <w:iCs/>
      <w:sz w:val="24"/>
      <w:szCs w:val="22"/>
    </w:rPr>
  </w:style>
  <w:style w:type="paragraph" w:customStyle="1" w:styleId="bbaseTOC">
    <w:name w:val="b_base_TOC"/>
    <w:rsid w:val="003D7C75"/>
    <w:pPr>
      <w:tabs>
        <w:tab w:val="right" w:pos="8278"/>
      </w:tabs>
      <w:ind w:left="2126" w:hanging="2126"/>
    </w:pPr>
    <w:rPr>
      <w:rFonts w:ascii="Arial" w:hAnsi="Arial" w:cs="Arial"/>
      <w:noProof/>
      <w:sz w:val="24"/>
      <w:szCs w:val="22"/>
    </w:rPr>
  </w:style>
  <w:style w:type="paragraph" w:customStyle="1" w:styleId="OPCParaBase">
    <w:name w:val="OPCParaBase"/>
    <w:qFormat/>
    <w:rsid w:val="00D67B29"/>
    <w:pPr>
      <w:spacing w:line="260" w:lineRule="atLeast"/>
    </w:pPr>
    <w:rPr>
      <w:sz w:val="22"/>
    </w:rPr>
  </w:style>
  <w:style w:type="paragraph" w:customStyle="1" w:styleId="h1Chap">
    <w:name w:val="h1_Chap"/>
    <w:aliases w:val="ActHead 1"/>
    <w:basedOn w:val="OPCParaBase"/>
    <w:next w:val="Normal"/>
    <w:qFormat/>
    <w:rsid w:val="00D67B29"/>
    <w:pPr>
      <w:keepNext/>
      <w:keepLines/>
      <w:spacing w:line="240" w:lineRule="auto"/>
      <w:ind w:left="1134" w:hanging="1134"/>
      <w:outlineLvl w:val="0"/>
    </w:pPr>
    <w:rPr>
      <w:b/>
      <w:kern w:val="28"/>
      <w:sz w:val="36"/>
    </w:rPr>
  </w:style>
  <w:style w:type="paragraph" w:customStyle="1" w:styleId="h2Part">
    <w:name w:val="h2_Part"/>
    <w:aliases w:val="ActHead 2"/>
    <w:basedOn w:val="OPCParaBase"/>
    <w:next w:val="Normal"/>
    <w:qFormat/>
    <w:rsid w:val="00D67B29"/>
    <w:pPr>
      <w:keepNext/>
      <w:keepLines/>
      <w:spacing w:before="280" w:line="240" w:lineRule="auto"/>
      <w:ind w:left="1134" w:hanging="1134"/>
      <w:outlineLvl w:val="1"/>
    </w:pPr>
    <w:rPr>
      <w:b/>
      <w:kern w:val="28"/>
      <w:sz w:val="32"/>
    </w:rPr>
  </w:style>
  <w:style w:type="paragraph" w:customStyle="1" w:styleId="h3Div">
    <w:name w:val="h3_Div"/>
    <w:aliases w:val="ActHead 3"/>
    <w:basedOn w:val="OPCParaBase"/>
    <w:next w:val="Normal"/>
    <w:qFormat/>
    <w:rsid w:val="00D67B29"/>
    <w:pPr>
      <w:keepNext/>
      <w:keepLines/>
      <w:spacing w:before="240" w:line="240" w:lineRule="auto"/>
      <w:ind w:left="1134" w:hanging="1134"/>
      <w:outlineLvl w:val="2"/>
    </w:pPr>
    <w:rPr>
      <w:b/>
      <w:kern w:val="28"/>
      <w:sz w:val="28"/>
    </w:rPr>
  </w:style>
  <w:style w:type="paragraph" w:customStyle="1" w:styleId="h4Subdiv">
    <w:name w:val="h4_Subdiv"/>
    <w:aliases w:val="ActHead 4"/>
    <w:basedOn w:val="OPCParaBase"/>
    <w:next w:val="Normal"/>
    <w:qFormat/>
    <w:rsid w:val="00D67B29"/>
    <w:pPr>
      <w:keepNext/>
      <w:keepLines/>
      <w:spacing w:before="220" w:line="240" w:lineRule="auto"/>
      <w:ind w:left="1134" w:hanging="1134"/>
      <w:outlineLvl w:val="3"/>
    </w:pPr>
    <w:rPr>
      <w:b/>
      <w:kern w:val="28"/>
      <w:sz w:val="26"/>
    </w:rPr>
  </w:style>
  <w:style w:type="paragraph" w:customStyle="1" w:styleId="h5Section">
    <w:name w:val="h5_Section"/>
    <w:aliases w:val="ActHead 5"/>
    <w:basedOn w:val="OPCParaBase"/>
    <w:next w:val="Normal"/>
    <w:uiPriority w:val="99"/>
    <w:qFormat/>
    <w:rsid w:val="00D67B29"/>
    <w:pPr>
      <w:keepNext/>
      <w:keepLines/>
      <w:spacing w:before="280" w:line="240" w:lineRule="auto"/>
      <w:ind w:left="1134" w:hanging="1134"/>
      <w:outlineLvl w:val="4"/>
    </w:pPr>
    <w:rPr>
      <w:b/>
      <w:kern w:val="28"/>
      <w:sz w:val="24"/>
    </w:rPr>
  </w:style>
  <w:style w:type="paragraph" w:customStyle="1" w:styleId="ActHead6">
    <w:name w:val="ActHead 6"/>
    <w:basedOn w:val="OPCParaBase"/>
    <w:next w:val="Normal"/>
    <w:qFormat/>
    <w:rsid w:val="00D67B2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Normal"/>
    <w:qFormat/>
    <w:rsid w:val="00D67B2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Normal"/>
    <w:qFormat/>
    <w:rsid w:val="00D67B2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Normal"/>
    <w:qFormat/>
    <w:rsid w:val="00D67B29"/>
    <w:pPr>
      <w:keepNext/>
      <w:keepLines/>
      <w:spacing w:before="280" w:line="240" w:lineRule="auto"/>
      <w:ind w:left="1134" w:hanging="1134"/>
      <w:outlineLvl w:val="8"/>
    </w:pPr>
    <w:rPr>
      <w:b/>
      <w:i/>
      <w:kern w:val="28"/>
      <w:sz w:val="28"/>
    </w:rPr>
  </w:style>
  <w:style w:type="paragraph" w:customStyle="1" w:styleId="ShortT">
    <w:name w:val="ShortT"/>
    <w:basedOn w:val="OPCParaBase"/>
    <w:next w:val="Normal"/>
    <w:qFormat/>
    <w:rsid w:val="00D67B29"/>
    <w:pPr>
      <w:spacing w:line="240" w:lineRule="auto"/>
    </w:pPr>
    <w:rPr>
      <w:b/>
      <w:sz w:val="40"/>
    </w:rPr>
  </w:style>
  <w:style w:type="paragraph" w:customStyle="1" w:styleId="Actno">
    <w:name w:val="Actno"/>
    <w:basedOn w:val="ShortT"/>
    <w:next w:val="Normal"/>
    <w:qFormat/>
    <w:rsid w:val="00D67B29"/>
  </w:style>
  <w:style w:type="paragraph" w:customStyle="1" w:styleId="Blocks">
    <w:name w:val="Blocks"/>
    <w:aliases w:val="bb"/>
    <w:basedOn w:val="OPCParaBase"/>
    <w:qFormat/>
    <w:rsid w:val="00D67B29"/>
    <w:pPr>
      <w:spacing w:line="240" w:lineRule="auto"/>
    </w:pPr>
    <w:rPr>
      <w:sz w:val="24"/>
    </w:rPr>
  </w:style>
  <w:style w:type="paragraph" w:customStyle="1" w:styleId="BoxHeadBold">
    <w:name w:val="BoxHeadBold"/>
    <w:aliases w:val="bhb"/>
    <w:basedOn w:val="BoxText"/>
    <w:next w:val="BoxText"/>
    <w:qFormat/>
    <w:rsid w:val="00D67B29"/>
    <w:rPr>
      <w:b/>
    </w:rPr>
  </w:style>
  <w:style w:type="paragraph" w:customStyle="1" w:styleId="BoxHeadItalic">
    <w:name w:val="BoxHeadItalic"/>
    <w:aliases w:val="bhi"/>
    <w:basedOn w:val="BoxText"/>
    <w:next w:val="Normal"/>
    <w:qFormat/>
    <w:rsid w:val="00D67B29"/>
    <w:rPr>
      <w:i/>
    </w:rPr>
  </w:style>
  <w:style w:type="paragraph" w:customStyle="1" w:styleId="BoxList">
    <w:name w:val="BoxList"/>
    <w:aliases w:val="bl"/>
    <w:basedOn w:val="BoxText"/>
    <w:qFormat/>
    <w:rsid w:val="00D67B29"/>
    <w:pPr>
      <w:ind w:left="1559" w:hanging="425"/>
    </w:pPr>
  </w:style>
  <w:style w:type="paragraph" w:customStyle="1" w:styleId="BoxNote">
    <w:name w:val="BoxNote"/>
    <w:aliases w:val="bn"/>
    <w:basedOn w:val="BoxText"/>
    <w:qFormat/>
    <w:rsid w:val="00D67B29"/>
    <w:pPr>
      <w:tabs>
        <w:tab w:val="left" w:pos="1985"/>
      </w:tabs>
      <w:spacing w:before="122" w:line="198" w:lineRule="exact"/>
      <w:ind w:left="2948" w:hanging="1814"/>
    </w:pPr>
    <w:rPr>
      <w:sz w:val="18"/>
    </w:rPr>
  </w:style>
  <w:style w:type="paragraph" w:customStyle="1" w:styleId="BoxPara">
    <w:name w:val="BoxPara"/>
    <w:aliases w:val="bp"/>
    <w:basedOn w:val="BoxText"/>
    <w:qFormat/>
    <w:rsid w:val="00D67B29"/>
    <w:pPr>
      <w:tabs>
        <w:tab w:val="right" w:pos="2268"/>
      </w:tabs>
      <w:ind w:left="2552" w:hanging="1418"/>
    </w:pPr>
  </w:style>
  <w:style w:type="paragraph" w:customStyle="1" w:styleId="BoxStep">
    <w:name w:val="BoxStep"/>
    <w:aliases w:val="bs"/>
    <w:basedOn w:val="BoxText"/>
    <w:qFormat/>
    <w:rsid w:val="00D67B29"/>
    <w:pPr>
      <w:ind w:left="1985" w:hanging="851"/>
    </w:pPr>
  </w:style>
  <w:style w:type="table" w:customStyle="1" w:styleId="CFlag">
    <w:name w:val="CFlag"/>
    <w:basedOn w:val="TableNormal"/>
    <w:uiPriority w:val="99"/>
    <w:rsid w:val="00D67B29"/>
    <w:tblPr>
      <w:tblInd w:w="0" w:type="dxa"/>
      <w:tblCellMar>
        <w:top w:w="0" w:type="dxa"/>
        <w:left w:w="108" w:type="dxa"/>
        <w:bottom w:w="0" w:type="dxa"/>
        <w:right w:w="108" w:type="dxa"/>
      </w:tblCellMar>
    </w:tblPr>
  </w:style>
  <w:style w:type="character" w:customStyle="1" w:styleId="OPCCharBase">
    <w:name w:val="OPCCharBase"/>
    <w:uiPriority w:val="1"/>
    <w:qFormat/>
    <w:rsid w:val="00D67B29"/>
  </w:style>
  <w:style w:type="character" w:customStyle="1" w:styleId="CharAmPartNo">
    <w:name w:val="CharAmPartNo"/>
    <w:basedOn w:val="OPCCharBase"/>
    <w:uiPriority w:val="1"/>
    <w:qFormat/>
    <w:rsid w:val="00D67B29"/>
  </w:style>
  <w:style w:type="character" w:customStyle="1" w:styleId="CharAmPartText">
    <w:name w:val="CharAmPartText"/>
    <w:basedOn w:val="OPCCharBase"/>
    <w:uiPriority w:val="1"/>
    <w:qFormat/>
    <w:rsid w:val="00D67B29"/>
  </w:style>
  <w:style w:type="character" w:customStyle="1" w:styleId="CharAmSchNo">
    <w:name w:val="CharAmSchNo"/>
    <w:basedOn w:val="OPCCharBase"/>
    <w:qFormat/>
    <w:rsid w:val="00D67B29"/>
  </w:style>
  <w:style w:type="character" w:customStyle="1" w:styleId="CharAmSchText">
    <w:name w:val="CharAmSchText"/>
    <w:basedOn w:val="OPCCharBase"/>
    <w:qFormat/>
    <w:rsid w:val="00D67B29"/>
  </w:style>
  <w:style w:type="character" w:customStyle="1" w:styleId="CharBoldItalic">
    <w:name w:val="CharBoldItalic"/>
    <w:uiPriority w:val="1"/>
    <w:qFormat/>
    <w:rsid w:val="00D67B29"/>
    <w:rPr>
      <w:b/>
      <w:i/>
    </w:rPr>
  </w:style>
  <w:style w:type="character" w:customStyle="1" w:styleId="CharChapNo">
    <w:name w:val="CharChapNo"/>
    <w:basedOn w:val="OPCCharBase"/>
    <w:qFormat/>
    <w:rsid w:val="00D67B29"/>
  </w:style>
  <w:style w:type="character" w:customStyle="1" w:styleId="CharChapText">
    <w:name w:val="CharChapText"/>
    <w:basedOn w:val="OPCCharBase"/>
    <w:qFormat/>
    <w:rsid w:val="00D67B29"/>
  </w:style>
  <w:style w:type="character" w:customStyle="1" w:styleId="CharDivNo">
    <w:name w:val="CharDivNo"/>
    <w:basedOn w:val="OPCCharBase"/>
    <w:qFormat/>
    <w:rsid w:val="00D67B29"/>
  </w:style>
  <w:style w:type="character" w:customStyle="1" w:styleId="CharDivText">
    <w:name w:val="CharDivText"/>
    <w:basedOn w:val="OPCCharBase"/>
    <w:qFormat/>
    <w:rsid w:val="00D67B29"/>
  </w:style>
  <w:style w:type="character" w:customStyle="1" w:styleId="CharItalic">
    <w:name w:val="CharItalic"/>
    <w:uiPriority w:val="1"/>
    <w:qFormat/>
    <w:rsid w:val="00D67B29"/>
    <w:rPr>
      <w:i/>
    </w:rPr>
  </w:style>
  <w:style w:type="character" w:customStyle="1" w:styleId="CharPartNo">
    <w:name w:val="CharPartNo"/>
    <w:basedOn w:val="OPCCharBase"/>
    <w:qFormat/>
    <w:rsid w:val="00D67B29"/>
  </w:style>
  <w:style w:type="character" w:customStyle="1" w:styleId="CharPartText">
    <w:name w:val="CharPartText"/>
    <w:basedOn w:val="OPCCharBase"/>
    <w:qFormat/>
    <w:rsid w:val="00D67B29"/>
  </w:style>
  <w:style w:type="character" w:customStyle="1" w:styleId="CharSectno">
    <w:name w:val="CharSectno"/>
    <w:basedOn w:val="OPCCharBase"/>
    <w:qFormat/>
    <w:rsid w:val="00D67B29"/>
  </w:style>
  <w:style w:type="character" w:customStyle="1" w:styleId="CharSubdNo">
    <w:name w:val="CharSubdNo"/>
    <w:basedOn w:val="OPCCharBase"/>
    <w:uiPriority w:val="1"/>
    <w:qFormat/>
    <w:rsid w:val="00D67B29"/>
  </w:style>
  <w:style w:type="character" w:customStyle="1" w:styleId="CharSubdText">
    <w:name w:val="CharSubdText"/>
    <w:basedOn w:val="OPCCharBase"/>
    <w:uiPriority w:val="1"/>
    <w:qFormat/>
    <w:rsid w:val="00D67B29"/>
  </w:style>
  <w:style w:type="character" w:customStyle="1" w:styleId="CharSubPartNoCASA">
    <w:name w:val="CharSubPartNo(CASA)"/>
    <w:basedOn w:val="OPCCharBase"/>
    <w:uiPriority w:val="1"/>
    <w:rsid w:val="00D67B29"/>
  </w:style>
  <w:style w:type="character" w:customStyle="1" w:styleId="CharSubPartTextCASA">
    <w:name w:val="CharSubPartText(CASA)"/>
    <w:basedOn w:val="OPCCharBase"/>
    <w:uiPriority w:val="1"/>
    <w:rsid w:val="00D67B29"/>
  </w:style>
  <w:style w:type="paragraph" w:customStyle="1" w:styleId="CompiledActNo">
    <w:name w:val="CompiledActNo"/>
    <w:basedOn w:val="OPCParaBase"/>
    <w:next w:val="Normal"/>
    <w:rsid w:val="00D67B29"/>
    <w:rPr>
      <w:b/>
      <w:sz w:val="24"/>
      <w:szCs w:val="24"/>
    </w:rPr>
  </w:style>
  <w:style w:type="paragraph" w:customStyle="1" w:styleId="CompiledMadeUnder">
    <w:name w:val="CompiledMadeUnder"/>
    <w:basedOn w:val="OPCParaBase"/>
    <w:next w:val="Normal"/>
    <w:rsid w:val="00D67B29"/>
    <w:rPr>
      <w:i/>
      <w:sz w:val="24"/>
      <w:szCs w:val="24"/>
    </w:rPr>
  </w:style>
  <w:style w:type="paragraph" w:customStyle="1" w:styleId="CTA-">
    <w:name w:val="CTA -"/>
    <w:basedOn w:val="OPCParaBase"/>
    <w:rsid w:val="00D67B29"/>
    <w:pPr>
      <w:spacing w:before="60" w:line="240" w:lineRule="atLeast"/>
      <w:ind w:left="85" w:hanging="85"/>
    </w:pPr>
    <w:rPr>
      <w:sz w:val="20"/>
    </w:rPr>
  </w:style>
  <w:style w:type="paragraph" w:customStyle="1" w:styleId="CTA--">
    <w:name w:val="CTA --"/>
    <w:basedOn w:val="OPCParaBase"/>
    <w:next w:val="Normal"/>
    <w:rsid w:val="00D67B29"/>
    <w:pPr>
      <w:spacing w:before="60" w:line="240" w:lineRule="atLeast"/>
      <w:ind w:left="142" w:hanging="142"/>
    </w:pPr>
    <w:rPr>
      <w:sz w:val="20"/>
    </w:rPr>
  </w:style>
  <w:style w:type="paragraph" w:customStyle="1" w:styleId="CTA---">
    <w:name w:val="CTA ---"/>
    <w:basedOn w:val="OPCParaBase"/>
    <w:next w:val="Normal"/>
    <w:rsid w:val="00D67B29"/>
    <w:pPr>
      <w:spacing w:before="60" w:line="240" w:lineRule="atLeast"/>
      <w:ind w:left="198" w:hanging="198"/>
    </w:pPr>
    <w:rPr>
      <w:sz w:val="20"/>
    </w:rPr>
  </w:style>
  <w:style w:type="paragraph" w:customStyle="1" w:styleId="CTA----">
    <w:name w:val="CTA ----"/>
    <w:basedOn w:val="OPCParaBase"/>
    <w:next w:val="Normal"/>
    <w:rsid w:val="00D67B29"/>
    <w:pPr>
      <w:spacing w:before="60" w:line="240" w:lineRule="atLeast"/>
      <w:ind w:left="255" w:hanging="255"/>
    </w:pPr>
    <w:rPr>
      <w:sz w:val="20"/>
    </w:rPr>
  </w:style>
  <w:style w:type="paragraph" w:customStyle="1" w:styleId="CTA1a">
    <w:name w:val="CTA 1(a)"/>
    <w:basedOn w:val="OPCParaBase"/>
    <w:rsid w:val="00D67B29"/>
    <w:pPr>
      <w:tabs>
        <w:tab w:val="right" w:pos="414"/>
      </w:tabs>
      <w:spacing w:before="40" w:line="240" w:lineRule="atLeast"/>
      <w:ind w:left="675" w:hanging="675"/>
    </w:pPr>
    <w:rPr>
      <w:sz w:val="20"/>
    </w:rPr>
  </w:style>
  <w:style w:type="paragraph" w:customStyle="1" w:styleId="CTA1ai">
    <w:name w:val="CTA 1(a)(i)"/>
    <w:basedOn w:val="OPCParaBase"/>
    <w:rsid w:val="00D67B29"/>
    <w:pPr>
      <w:tabs>
        <w:tab w:val="right" w:pos="1004"/>
      </w:tabs>
      <w:spacing w:before="40" w:line="240" w:lineRule="atLeast"/>
      <w:ind w:left="1253" w:hanging="1253"/>
    </w:pPr>
    <w:rPr>
      <w:sz w:val="20"/>
    </w:rPr>
  </w:style>
  <w:style w:type="paragraph" w:customStyle="1" w:styleId="CTA2a">
    <w:name w:val="CTA 2(a)"/>
    <w:basedOn w:val="OPCParaBase"/>
    <w:rsid w:val="00D67B29"/>
    <w:pPr>
      <w:tabs>
        <w:tab w:val="right" w:pos="482"/>
      </w:tabs>
      <w:spacing w:before="40" w:line="240" w:lineRule="atLeast"/>
      <w:ind w:left="748" w:hanging="748"/>
    </w:pPr>
    <w:rPr>
      <w:sz w:val="20"/>
    </w:rPr>
  </w:style>
  <w:style w:type="paragraph" w:customStyle="1" w:styleId="CTA2ai">
    <w:name w:val="CTA 2(a)(i)"/>
    <w:basedOn w:val="OPCParaBase"/>
    <w:rsid w:val="00D67B29"/>
    <w:pPr>
      <w:tabs>
        <w:tab w:val="right" w:pos="1089"/>
      </w:tabs>
      <w:spacing w:before="40" w:line="240" w:lineRule="atLeast"/>
      <w:ind w:left="1327" w:hanging="1327"/>
    </w:pPr>
    <w:rPr>
      <w:sz w:val="20"/>
    </w:rPr>
  </w:style>
  <w:style w:type="paragraph" w:customStyle="1" w:styleId="CTA3a">
    <w:name w:val="CTA 3(a)"/>
    <w:basedOn w:val="OPCParaBase"/>
    <w:rsid w:val="00D67B29"/>
    <w:pPr>
      <w:tabs>
        <w:tab w:val="right" w:pos="556"/>
      </w:tabs>
      <w:spacing w:before="40" w:line="240" w:lineRule="atLeast"/>
      <w:ind w:left="805" w:hanging="805"/>
    </w:pPr>
    <w:rPr>
      <w:sz w:val="20"/>
    </w:rPr>
  </w:style>
  <w:style w:type="paragraph" w:customStyle="1" w:styleId="CTA3ai">
    <w:name w:val="CTA 3(a)(i)"/>
    <w:basedOn w:val="OPCParaBase"/>
    <w:rsid w:val="00D67B29"/>
    <w:pPr>
      <w:tabs>
        <w:tab w:val="right" w:pos="1140"/>
      </w:tabs>
      <w:spacing w:before="40" w:line="240" w:lineRule="atLeast"/>
      <w:ind w:left="1361" w:hanging="1361"/>
    </w:pPr>
    <w:rPr>
      <w:sz w:val="20"/>
    </w:rPr>
  </w:style>
  <w:style w:type="paragraph" w:customStyle="1" w:styleId="CTA4a">
    <w:name w:val="CTA 4(a)"/>
    <w:basedOn w:val="OPCParaBase"/>
    <w:rsid w:val="00D67B29"/>
    <w:pPr>
      <w:tabs>
        <w:tab w:val="right" w:pos="624"/>
      </w:tabs>
      <w:spacing w:before="40" w:line="240" w:lineRule="atLeast"/>
      <w:ind w:left="873" w:hanging="873"/>
    </w:pPr>
    <w:rPr>
      <w:sz w:val="20"/>
    </w:rPr>
  </w:style>
  <w:style w:type="paragraph" w:customStyle="1" w:styleId="CTA4ai">
    <w:name w:val="CTA 4(a)(i)"/>
    <w:basedOn w:val="OPCParaBase"/>
    <w:rsid w:val="00D67B29"/>
    <w:pPr>
      <w:tabs>
        <w:tab w:val="right" w:pos="1213"/>
      </w:tabs>
      <w:spacing w:before="40" w:line="240" w:lineRule="atLeast"/>
      <w:ind w:left="1452" w:hanging="1452"/>
    </w:pPr>
    <w:rPr>
      <w:sz w:val="20"/>
    </w:rPr>
  </w:style>
  <w:style w:type="paragraph" w:customStyle="1" w:styleId="CTACAPS">
    <w:name w:val="CTA CAPS"/>
    <w:basedOn w:val="OPCParaBase"/>
    <w:rsid w:val="00D67B29"/>
    <w:pPr>
      <w:spacing w:before="60" w:line="240" w:lineRule="atLeast"/>
    </w:pPr>
    <w:rPr>
      <w:sz w:val="20"/>
    </w:rPr>
  </w:style>
  <w:style w:type="paragraph" w:customStyle="1" w:styleId="CTAright">
    <w:name w:val="CTA right"/>
    <w:basedOn w:val="OPCParaBase"/>
    <w:rsid w:val="00D67B29"/>
    <w:pPr>
      <w:spacing w:before="60" w:line="240" w:lineRule="auto"/>
      <w:jc w:val="right"/>
    </w:pPr>
    <w:rPr>
      <w:sz w:val="20"/>
    </w:rPr>
  </w:style>
  <w:style w:type="paragraph" w:customStyle="1" w:styleId="tDefn">
    <w:name w:val="t_Defn"/>
    <w:aliases w:val="Definition"/>
    <w:basedOn w:val="OPCParaBase"/>
    <w:rsid w:val="00D67B29"/>
    <w:pPr>
      <w:spacing w:before="180" w:line="240" w:lineRule="auto"/>
      <w:ind w:left="1134"/>
    </w:pPr>
  </w:style>
  <w:style w:type="paragraph" w:customStyle="1" w:styleId="DivisionMigration">
    <w:name w:val="DivisionMigration"/>
    <w:aliases w:val="dm"/>
    <w:basedOn w:val="OPCParaBase"/>
    <w:next w:val="Normal"/>
    <w:rsid w:val="00D67B29"/>
    <w:pPr>
      <w:keepNext/>
      <w:keepLines/>
      <w:spacing w:before="240" w:line="240" w:lineRule="auto"/>
      <w:ind w:left="1134" w:hanging="1134"/>
    </w:pPr>
    <w:rPr>
      <w:b/>
      <w:sz w:val="28"/>
    </w:rPr>
  </w:style>
  <w:style w:type="paragraph" w:customStyle="1" w:styleId="EndNotespara">
    <w:name w:val="EndNotes(para)"/>
    <w:aliases w:val="eta"/>
    <w:basedOn w:val="OPCParaBase"/>
    <w:next w:val="Normal"/>
    <w:rsid w:val="00D67B2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67B2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D67B2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67B29"/>
    <w:pPr>
      <w:tabs>
        <w:tab w:val="right" w:pos="1412"/>
      </w:tabs>
      <w:spacing w:before="60" w:line="240" w:lineRule="auto"/>
      <w:ind w:left="1525" w:hanging="1525"/>
    </w:pPr>
    <w:rPr>
      <w:sz w:val="20"/>
    </w:rPr>
  </w:style>
  <w:style w:type="paragraph" w:customStyle="1" w:styleId="ENotesHeading3">
    <w:name w:val="ENotesHeading 3"/>
    <w:aliases w:val="Enh3"/>
    <w:basedOn w:val="OPCParaBase"/>
    <w:next w:val="Normal"/>
    <w:rsid w:val="00D67B29"/>
    <w:pPr>
      <w:keepNext/>
      <w:spacing w:before="120" w:line="240" w:lineRule="auto"/>
      <w:outlineLvl w:val="4"/>
    </w:pPr>
    <w:rPr>
      <w:b/>
      <w:szCs w:val="24"/>
    </w:rPr>
  </w:style>
  <w:style w:type="paragraph" w:customStyle="1" w:styleId="ENotesText">
    <w:name w:val="ENotesText"/>
    <w:aliases w:val="Ent"/>
    <w:basedOn w:val="OPCParaBase"/>
    <w:next w:val="Normal"/>
    <w:rsid w:val="00D67B29"/>
    <w:pPr>
      <w:spacing w:before="120"/>
    </w:pPr>
  </w:style>
  <w:style w:type="paragraph" w:customStyle="1" w:styleId="ENoteTTi">
    <w:name w:val="ENoteTTi"/>
    <w:aliases w:val="entti"/>
    <w:basedOn w:val="OPCParaBase"/>
    <w:rsid w:val="00D67B29"/>
    <w:pPr>
      <w:keepNext/>
      <w:spacing w:before="60" w:line="240" w:lineRule="atLeast"/>
      <w:ind w:left="170"/>
    </w:pPr>
    <w:rPr>
      <w:sz w:val="16"/>
    </w:rPr>
  </w:style>
  <w:style w:type="paragraph" w:customStyle="1" w:styleId="ENoteTTIndentHeading">
    <w:name w:val="ENoteTTIndentHeading"/>
    <w:aliases w:val="enTTHi"/>
    <w:basedOn w:val="OPCParaBase"/>
    <w:rsid w:val="00D67B29"/>
    <w:pPr>
      <w:keepNext/>
      <w:spacing w:before="60" w:line="240" w:lineRule="atLeast"/>
      <w:ind w:left="170"/>
    </w:pPr>
    <w:rPr>
      <w:rFonts w:cs="Arial"/>
      <w:b/>
      <w:sz w:val="16"/>
      <w:szCs w:val="16"/>
    </w:rPr>
  </w:style>
  <w:style w:type="paragraph" w:customStyle="1" w:styleId="ENoteTTIndentHeadingSub">
    <w:name w:val="ENoteTTIndentHeadingSub"/>
    <w:aliases w:val="enTTHis"/>
    <w:basedOn w:val="OPCParaBase"/>
    <w:rsid w:val="00D67B29"/>
    <w:pPr>
      <w:keepNext/>
      <w:spacing w:before="60" w:line="240" w:lineRule="atLeast"/>
      <w:ind w:left="340"/>
    </w:pPr>
    <w:rPr>
      <w:b/>
      <w:sz w:val="16"/>
    </w:rPr>
  </w:style>
  <w:style w:type="paragraph" w:customStyle="1" w:styleId="ENoteTTiSub">
    <w:name w:val="ENoteTTiSub"/>
    <w:aliases w:val="enttis"/>
    <w:basedOn w:val="OPCParaBase"/>
    <w:rsid w:val="00D67B29"/>
    <w:pPr>
      <w:keepNext/>
      <w:spacing w:before="60" w:line="240" w:lineRule="atLeast"/>
      <w:ind w:left="340"/>
    </w:pPr>
    <w:rPr>
      <w:sz w:val="16"/>
    </w:rPr>
  </w:style>
  <w:style w:type="paragraph" w:customStyle="1" w:styleId="FileName">
    <w:name w:val="FileName"/>
    <w:basedOn w:val="Normal"/>
    <w:rsid w:val="00D67B29"/>
  </w:style>
  <w:style w:type="paragraph" w:customStyle="1" w:styleId="Formula">
    <w:name w:val="Formula"/>
    <w:basedOn w:val="OPCParaBase"/>
    <w:rsid w:val="00D67B29"/>
    <w:pPr>
      <w:spacing w:line="240" w:lineRule="auto"/>
      <w:ind w:left="1134"/>
    </w:pPr>
    <w:rPr>
      <w:sz w:val="20"/>
    </w:rPr>
  </w:style>
  <w:style w:type="paragraph" w:customStyle="1" w:styleId="FreeForm">
    <w:name w:val="FreeForm"/>
    <w:rsid w:val="00D67B29"/>
    <w:rPr>
      <w:rFonts w:ascii="Arial" w:eastAsia="Calibri" w:hAnsi="Arial"/>
      <w:sz w:val="22"/>
      <w:lang w:eastAsia="en-US"/>
    </w:rPr>
  </w:style>
  <w:style w:type="paragraph" w:customStyle="1" w:styleId="House">
    <w:name w:val="House"/>
    <w:basedOn w:val="OPCParaBase"/>
    <w:rsid w:val="00D67B29"/>
    <w:pPr>
      <w:spacing w:line="240" w:lineRule="auto"/>
    </w:pPr>
    <w:rPr>
      <w:sz w:val="28"/>
    </w:rPr>
  </w:style>
  <w:style w:type="character" w:styleId="Hyperlink">
    <w:name w:val="Hyperlink"/>
    <w:uiPriority w:val="99"/>
    <w:semiHidden/>
    <w:unhideWhenUsed/>
    <w:rsid w:val="00D67B29"/>
    <w:rPr>
      <w:color w:val="0000FF"/>
      <w:u w:val="single"/>
    </w:rPr>
  </w:style>
  <w:style w:type="paragraph" w:customStyle="1" w:styleId="InstNo">
    <w:name w:val="InstNo"/>
    <w:basedOn w:val="OPCParaBase"/>
    <w:next w:val="Normal"/>
    <w:rsid w:val="00D67B29"/>
    <w:rPr>
      <w:b/>
      <w:sz w:val="28"/>
      <w:szCs w:val="32"/>
    </w:rPr>
  </w:style>
  <w:style w:type="paragraph" w:customStyle="1" w:styleId="Item">
    <w:name w:val="Item"/>
    <w:aliases w:val="i"/>
    <w:basedOn w:val="OPCParaBase"/>
    <w:next w:val="Normal"/>
    <w:rsid w:val="00D67B29"/>
    <w:pPr>
      <w:keepLines/>
      <w:spacing w:before="80" w:line="240" w:lineRule="auto"/>
      <w:ind w:left="709"/>
    </w:pPr>
  </w:style>
  <w:style w:type="paragraph" w:customStyle="1" w:styleId="ItemHead">
    <w:name w:val="ItemHead"/>
    <w:aliases w:val="ih"/>
    <w:basedOn w:val="OPCParaBase"/>
    <w:next w:val="Item"/>
    <w:rsid w:val="00D67B29"/>
    <w:pPr>
      <w:keepNext/>
      <w:keepLines/>
      <w:spacing w:before="220" w:line="240" w:lineRule="auto"/>
      <w:ind w:left="709" w:hanging="709"/>
    </w:pPr>
    <w:rPr>
      <w:rFonts w:ascii="Arial" w:hAnsi="Arial"/>
      <w:b/>
      <w:kern w:val="28"/>
      <w:sz w:val="24"/>
    </w:rPr>
  </w:style>
  <w:style w:type="paragraph" w:customStyle="1" w:styleId="LegislationMadeUnder">
    <w:name w:val="LegislationMadeUnder"/>
    <w:basedOn w:val="OPCParaBase"/>
    <w:next w:val="Normal"/>
    <w:rsid w:val="00D67B29"/>
    <w:rPr>
      <w:i/>
      <w:sz w:val="32"/>
      <w:szCs w:val="32"/>
    </w:rPr>
  </w:style>
  <w:style w:type="character" w:styleId="LineNumber">
    <w:name w:val="line number"/>
    <w:uiPriority w:val="99"/>
    <w:semiHidden/>
    <w:unhideWhenUsed/>
    <w:rsid w:val="00D67B29"/>
    <w:rPr>
      <w:sz w:val="16"/>
    </w:rPr>
  </w:style>
  <w:style w:type="paragraph" w:customStyle="1" w:styleId="LongT">
    <w:name w:val="LongT"/>
    <w:basedOn w:val="OPCParaBase"/>
    <w:rsid w:val="00D67B29"/>
    <w:pPr>
      <w:spacing w:line="240" w:lineRule="auto"/>
    </w:pPr>
    <w:rPr>
      <w:b/>
      <w:sz w:val="32"/>
    </w:rPr>
  </w:style>
  <w:style w:type="paragraph" w:customStyle="1" w:styleId="MadeunderText">
    <w:name w:val="MadeunderText"/>
    <w:basedOn w:val="OPCParaBase"/>
    <w:next w:val="CompiledMadeUnder"/>
    <w:rsid w:val="00D67B29"/>
    <w:pPr>
      <w:spacing w:before="240"/>
    </w:pPr>
    <w:rPr>
      <w:sz w:val="24"/>
      <w:szCs w:val="24"/>
    </w:rPr>
  </w:style>
  <w:style w:type="paragraph" w:customStyle="1" w:styleId="notedraft">
    <w:name w:val="note(draft)"/>
    <w:aliases w:val="nd"/>
    <w:basedOn w:val="OPCParaBase"/>
    <w:rsid w:val="00D67B29"/>
    <w:pPr>
      <w:spacing w:before="240" w:line="240" w:lineRule="auto"/>
      <w:ind w:left="284" w:hanging="284"/>
    </w:pPr>
    <w:rPr>
      <w:i/>
      <w:sz w:val="24"/>
    </w:rPr>
  </w:style>
  <w:style w:type="paragraph" w:customStyle="1" w:styleId="ntoHeading">
    <w:name w:val="n_to_Heading"/>
    <w:aliases w:val="nm"/>
    <w:basedOn w:val="OPCParaBase"/>
    <w:rsid w:val="00F67704"/>
    <w:pPr>
      <w:tabs>
        <w:tab w:val="left" w:pos="709"/>
      </w:tabs>
      <w:spacing w:before="120" w:line="240" w:lineRule="auto"/>
      <w:ind w:left="709" w:hanging="709"/>
    </w:pPr>
    <w:rPr>
      <w:sz w:val="18"/>
    </w:rPr>
  </w:style>
  <w:style w:type="paragraph" w:customStyle="1" w:styleId="nPara">
    <w:name w:val="n_Para"/>
    <w:aliases w:val="na"/>
    <w:basedOn w:val="OPCParaBase"/>
    <w:rsid w:val="00F67704"/>
    <w:pPr>
      <w:spacing w:before="40" w:line="240" w:lineRule="auto"/>
      <w:ind w:left="2268" w:hanging="567"/>
    </w:pPr>
    <w:rPr>
      <w:sz w:val="18"/>
    </w:rPr>
  </w:style>
  <w:style w:type="paragraph" w:customStyle="1" w:styleId="noteParlAmend">
    <w:name w:val="note(ParlAmend)"/>
    <w:aliases w:val="npp"/>
    <w:basedOn w:val="OPCParaBase"/>
    <w:next w:val="Normal"/>
    <w:rsid w:val="00D67B29"/>
    <w:pPr>
      <w:spacing w:line="240" w:lineRule="auto"/>
      <w:jc w:val="right"/>
    </w:pPr>
    <w:rPr>
      <w:rFonts w:ascii="Arial" w:hAnsi="Arial"/>
      <w:b/>
      <w:i/>
    </w:rPr>
  </w:style>
  <w:style w:type="paragraph" w:customStyle="1" w:styleId="nMain">
    <w:name w:val="n_Main"/>
    <w:aliases w:val="n,note(text)"/>
    <w:basedOn w:val="OPCParaBase"/>
    <w:link w:val="notetextChar"/>
    <w:rsid w:val="00F67704"/>
    <w:pPr>
      <w:spacing w:before="120" w:line="240" w:lineRule="auto"/>
      <w:ind w:left="1985" w:hanging="851"/>
    </w:pPr>
    <w:rPr>
      <w:sz w:val="18"/>
    </w:rPr>
  </w:style>
  <w:style w:type="paragraph" w:customStyle="1" w:styleId="NotesHeading1">
    <w:name w:val="NotesHeading 1"/>
    <w:basedOn w:val="OPCParaBase"/>
    <w:next w:val="Normal"/>
    <w:rsid w:val="00D67B29"/>
    <w:pPr>
      <w:outlineLvl w:val="0"/>
    </w:pPr>
    <w:rPr>
      <w:b/>
      <w:sz w:val="28"/>
      <w:szCs w:val="28"/>
    </w:rPr>
  </w:style>
  <w:style w:type="paragraph" w:customStyle="1" w:styleId="NotesHeading2">
    <w:name w:val="NotesHeading 2"/>
    <w:basedOn w:val="OPCParaBase"/>
    <w:next w:val="Normal"/>
    <w:rsid w:val="00D67B29"/>
    <w:rPr>
      <w:b/>
      <w:sz w:val="28"/>
      <w:szCs w:val="28"/>
    </w:rPr>
  </w:style>
  <w:style w:type="paragraph" w:customStyle="1" w:styleId="noteToPara">
    <w:name w:val="noteToPara"/>
    <w:aliases w:val="ntp"/>
    <w:basedOn w:val="OPCParaBase"/>
    <w:rsid w:val="00D67B29"/>
    <w:pPr>
      <w:spacing w:before="122" w:line="198" w:lineRule="exact"/>
      <w:ind w:left="2353" w:hanging="709"/>
    </w:pPr>
    <w:rPr>
      <w:sz w:val="18"/>
    </w:rPr>
  </w:style>
  <w:style w:type="paragraph" w:customStyle="1" w:styleId="NoteToSubpara">
    <w:name w:val="NoteToSubpara"/>
    <w:aliases w:val="nts"/>
    <w:basedOn w:val="OPCParaBase"/>
    <w:rsid w:val="00D67B29"/>
    <w:pPr>
      <w:spacing w:before="40" w:line="198" w:lineRule="exact"/>
      <w:ind w:left="2835" w:hanging="709"/>
    </w:pPr>
    <w:rPr>
      <w:sz w:val="18"/>
    </w:rPr>
  </w:style>
  <w:style w:type="paragraph" w:customStyle="1" w:styleId="Page1">
    <w:name w:val="Page1"/>
    <w:basedOn w:val="OPCParaBase"/>
    <w:rsid w:val="00D67B29"/>
    <w:pPr>
      <w:spacing w:before="5600" w:line="240" w:lineRule="auto"/>
    </w:pPr>
    <w:rPr>
      <w:b/>
      <w:sz w:val="32"/>
    </w:rPr>
  </w:style>
  <w:style w:type="paragraph" w:customStyle="1" w:styleId="PageBreak">
    <w:name w:val="PageBreak"/>
    <w:aliases w:val="pb"/>
    <w:basedOn w:val="OPCParaBase"/>
    <w:rsid w:val="00D67B29"/>
    <w:pPr>
      <w:spacing w:line="240" w:lineRule="auto"/>
    </w:pPr>
    <w:rPr>
      <w:sz w:val="20"/>
    </w:rPr>
  </w:style>
  <w:style w:type="paragraph" w:customStyle="1" w:styleId="tSubpara">
    <w:name w:val="t_Subpara"/>
    <w:aliases w:val="paragraph(sub)"/>
    <w:basedOn w:val="OPCParaBase"/>
    <w:rsid w:val="00D67B29"/>
    <w:pPr>
      <w:tabs>
        <w:tab w:val="right" w:pos="1985"/>
      </w:tabs>
      <w:spacing w:before="40" w:line="240" w:lineRule="auto"/>
      <w:ind w:left="2098" w:hanging="2098"/>
    </w:pPr>
  </w:style>
  <w:style w:type="paragraph" w:customStyle="1" w:styleId="tSubsub">
    <w:name w:val="t_Subsub"/>
    <w:aliases w:val="paragraph(sub-sub)"/>
    <w:basedOn w:val="OPCParaBase"/>
    <w:rsid w:val="00D67B29"/>
    <w:pPr>
      <w:tabs>
        <w:tab w:val="right" w:pos="2722"/>
      </w:tabs>
      <w:spacing w:before="40" w:line="240" w:lineRule="auto"/>
      <w:ind w:left="2835" w:hanging="2835"/>
    </w:pPr>
  </w:style>
  <w:style w:type="paragraph" w:customStyle="1" w:styleId="Paragraphsub-sub-sub">
    <w:name w:val="Paragraph(sub-sub-sub)"/>
    <w:aliases w:val="aaaa"/>
    <w:basedOn w:val="OPCParaBase"/>
    <w:rsid w:val="00D67B29"/>
    <w:pPr>
      <w:tabs>
        <w:tab w:val="right" w:pos="3402"/>
      </w:tabs>
      <w:spacing w:before="40" w:line="240" w:lineRule="auto"/>
      <w:ind w:left="3402" w:hanging="3402"/>
    </w:pPr>
  </w:style>
  <w:style w:type="paragraph" w:customStyle="1" w:styleId="tPara">
    <w:name w:val="t_Para"/>
    <w:aliases w:val="paragraph"/>
    <w:basedOn w:val="OPCParaBase"/>
    <w:rsid w:val="00D67B29"/>
    <w:pPr>
      <w:tabs>
        <w:tab w:val="right" w:pos="1531"/>
      </w:tabs>
      <w:spacing w:before="40" w:line="240" w:lineRule="auto"/>
      <w:ind w:left="1644" w:hanging="1644"/>
    </w:pPr>
  </w:style>
  <w:style w:type="paragraph" w:customStyle="1" w:styleId="ParlAmend">
    <w:name w:val="ParlAmend"/>
    <w:aliases w:val="pp"/>
    <w:basedOn w:val="OPCParaBase"/>
    <w:rsid w:val="00D67B29"/>
    <w:pPr>
      <w:spacing w:before="240" w:line="240" w:lineRule="atLeast"/>
      <w:ind w:hanging="567"/>
    </w:pPr>
    <w:rPr>
      <w:sz w:val="24"/>
    </w:rPr>
  </w:style>
  <w:style w:type="paragraph" w:customStyle="1" w:styleId="Penalty">
    <w:name w:val="Penalty"/>
    <w:basedOn w:val="OPCParaBase"/>
    <w:rsid w:val="00D67B29"/>
    <w:pPr>
      <w:tabs>
        <w:tab w:val="left" w:pos="2977"/>
      </w:tabs>
      <w:spacing w:before="180" w:line="240" w:lineRule="auto"/>
      <w:ind w:left="1985" w:hanging="851"/>
    </w:pPr>
  </w:style>
  <w:style w:type="paragraph" w:customStyle="1" w:styleId="Portfolio">
    <w:name w:val="Portfolio"/>
    <w:basedOn w:val="OPCParaBase"/>
    <w:rsid w:val="00D67B29"/>
    <w:pPr>
      <w:spacing w:line="240" w:lineRule="auto"/>
    </w:pPr>
    <w:rPr>
      <w:i/>
      <w:sz w:val="20"/>
    </w:rPr>
  </w:style>
  <w:style w:type="paragraph" w:customStyle="1" w:styleId="Preamble">
    <w:name w:val="Preamble"/>
    <w:basedOn w:val="OPCParaBase"/>
    <w:next w:val="Normal"/>
    <w:rsid w:val="00D67B2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67B29"/>
    <w:pPr>
      <w:spacing w:line="240" w:lineRule="auto"/>
    </w:pPr>
    <w:rPr>
      <w:i/>
      <w:sz w:val="20"/>
    </w:rPr>
  </w:style>
  <w:style w:type="paragraph" w:customStyle="1" w:styleId="Session">
    <w:name w:val="Session"/>
    <w:basedOn w:val="OPCParaBase"/>
    <w:rsid w:val="00D67B29"/>
    <w:pPr>
      <w:spacing w:line="240" w:lineRule="auto"/>
    </w:pPr>
    <w:rPr>
      <w:sz w:val="28"/>
    </w:rPr>
  </w:style>
  <w:style w:type="paragraph" w:customStyle="1" w:styleId="SignCoverPageEnd">
    <w:name w:val="SignCoverPageEnd"/>
    <w:basedOn w:val="OPCParaBase"/>
    <w:next w:val="Normal"/>
    <w:rsid w:val="00D67B2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D67B29"/>
    <w:pPr>
      <w:pBdr>
        <w:top w:val="single" w:sz="4" w:space="1" w:color="auto"/>
      </w:pBdr>
      <w:spacing w:before="360"/>
      <w:ind w:right="397"/>
      <w:jc w:val="both"/>
    </w:pPr>
  </w:style>
  <w:style w:type="paragraph" w:customStyle="1" w:styleId="SOText">
    <w:name w:val="SO Text"/>
    <w:aliases w:val="sot"/>
    <w:rsid w:val="00D67B29"/>
    <w:pPr>
      <w:pBdr>
        <w:top w:val="single" w:sz="6" w:space="5" w:color="auto"/>
        <w:left w:val="single" w:sz="6" w:space="5" w:color="auto"/>
        <w:bottom w:val="single" w:sz="6" w:space="5" w:color="auto"/>
        <w:right w:val="single" w:sz="6" w:space="5" w:color="auto"/>
      </w:pBdr>
      <w:spacing w:before="240"/>
      <w:ind w:left="1134"/>
    </w:pPr>
    <w:rPr>
      <w:rFonts w:eastAsia="Calibri"/>
      <w:sz w:val="22"/>
    </w:rPr>
  </w:style>
  <w:style w:type="paragraph" w:customStyle="1" w:styleId="SOBullet">
    <w:name w:val="SO Bullet"/>
    <w:aliases w:val="sotb"/>
    <w:basedOn w:val="SOText"/>
    <w:qFormat/>
    <w:rsid w:val="00D67B29"/>
    <w:pPr>
      <w:ind w:left="1559" w:hanging="425"/>
    </w:pPr>
  </w:style>
  <w:style w:type="paragraph" w:customStyle="1" w:styleId="SOTextNote">
    <w:name w:val="SO TextNote"/>
    <w:aliases w:val="sont"/>
    <w:basedOn w:val="SOText"/>
    <w:qFormat/>
    <w:rsid w:val="00D67B29"/>
    <w:pPr>
      <w:spacing w:before="122" w:line="198" w:lineRule="exact"/>
      <w:ind w:left="1843" w:hanging="709"/>
    </w:pPr>
    <w:rPr>
      <w:sz w:val="18"/>
    </w:rPr>
  </w:style>
  <w:style w:type="paragraph" w:customStyle="1" w:styleId="SOBulletNote">
    <w:name w:val="SO BulletNote"/>
    <w:aliases w:val="sonb"/>
    <w:basedOn w:val="SOTextNote"/>
    <w:qFormat/>
    <w:rsid w:val="00D67B29"/>
    <w:pPr>
      <w:tabs>
        <w:tab w:val="left" w:pos="1560"/>
      </w:tabs>
      <w:ind w:left="2268" w:hanging="1134"/>
    </w:pPr>
  </w:style>
  <w:style w:type="paragraph" w:customStyle="1" w:styleId="SOHeadBold">
    <w:name w:val="SO HeadBold"/>
    <w:aliases w:val="sohb"/>
    <w:basedOn w:val="SOText"/>
    <w:next w:val="SOText"/>
    <w:qFormat/>
    <w:rsid w:val="00D67B29"/>
    <w:rPr>
      <w:b/>
    </w:rPr>
  </w:style>
  <w:style w:type="paragraph" w:customStyle="1" w:styleId="SOHeadItalic">
    <w:name w:val="SO HeadItalic"/>
    <w:aliases w:val="sohi"/>
    <w:basedOn w:val="SOText"/>
    <w:next w:val="SOText"/>
    <w:qFormat/>
    <w:rsid w:val="00D67B29"/>
    <w:rPr>
      <w:i/>
    </w:rPr>
  </w:style>
  <w:style w:type="paragraph" w:customStyle="1" w:styleId="SOPara">
    <w:name w:val="SO Para"/>
    <w:aliases w:val="soa"/>
    <w:basedOn w:val="SOText"/>
    <w:qFormat/>
    <w:rsid w:val="00D67B29"/>
    <w:pPr>
      <w:tabs>
        <w:tab w:val="right" w:pos="1786"/>
      </w:tabs>
      <w:spacing w:before="40"/>
      <w:ind w:left="2070" w:hanging="936"/>
    </w:pPr>
  </w:style>
  <w:style w:type="paragraph" w:customStyle="1" w:styleId="SOText2">
    <w:name w:val="SO Text2"/>
    <w:aliases w:val="sot2"/>
    <w:basedOn w:val="Normal"/>
    <w:next w:val="SOText"/>
    <w:rsid w:val="00D67B29"/>
    <w:pPr>
      <w:pBdr>
        <w:top w:val="single" w:sz="6" w:space="5" w:color="auto"/>
        <w:left w:val="single" w:sz="6" w:space="5" w:color="auto"/>
        <w:bottom w:val="single" w:sz="6" w:space="5" w:color="auto"/>
        <w:right w:val="single" w:sz="6" w:space="5" w:color="auto"/>
      </w:pBdr>
      <w:spacing w:before="40" w:line="240" w:lineRule="auto"/>
      <w:ind w:left="1134"/>
    </w:pPr>
  </w:style>
  <w:style w:type="paragraph" w:customStyle="1" w:styleId="Sponsor">
    <w:name w:val="Sponsor"/>
    <w:basedOn w:val="OPCParaBase"/>
    <w:rsid w:val="00D67B29"/>
    <w:pPr>
      <w:spacing w:line="240" w:lineRule="auto"/>
    </w:pPr>
    <w:rPr>
      <w:i/>
    </w:rPr>
  </w:style>
  <w:style w:type="paragraph" w:customStyle="1" w:styleId="SubDivisionMigration">
    <w:name w:val="SubDivisionMigration"/>
    <w:aliases w:val="sdm"/>
    <w:basedOn w:val="OPCParaBase"/>
    <w:rsid w:val="00D67B29"/>
    <w:pPr>
      <w:keepNext/>
      <w:keepLines/>
      <w:spacing w:before="220" w:line="240" w:lineRule="auto"/>
      <w:ind w:left="1134" w:hanging="1134"/>
    </w:pPr>
    <w:rPr>
      <w:b/>
      <w:sz w:val="26"/>
    </w:rPr>
  </w:style>
  <w:style w:type="paragraph" w:customStyle="1" w:styleId="Subitem">
    <w:name w:val="Subitem"/>
    <w:aliases w:val="iss"/>
    <w:basedOn w:val="OPCParaBase"/>
    <w:rsid w:val="00D67B29"/>
    <w:pPr>
      <w:spacing w:before="180" w:line="240" w:lineRule="auto"/>
      <w:ind w:left="709" w:hanging="709"/>
    </w:pPr>
  </w:style>
  <w:style w:type="paragraph" w:customStyle="1" w:styleId="SubitemHead">
    <w:name w:val="SubitemHead"/>
    <w:aliases w:val="issh"/>
    <w:basedOn w:val="OPCParaBase"/>
    <w:rsid w:val="00D67B29"/>
    <w:pPr>
      <w:keepNext/>
      <w:keepLines/>
      <w:spacing w:before="220" w:line="240" w:lineRule="auto"/>
      <w:ind w:left="709"/>
    </w:pPr>
    <w:rPr>
      <w:rFonts w:ascii="Arial" w:hAnsi="Arial"/>
      <w:i/>
      <w:kern w:val="28"/>
    </w:rPr>
  </w:style>
  <w:style w:type="paragraph" w:customStyle="1" w:styleId="SubPartCASA">
    <w:name w:val="SubPart(CASA)"/>
    <w:aliases w:val="csp"/>
    <w:basedOn w:val="OPCParaBase"/>
    <w:next w:val="h3Div"/>
    <w:rsid w:val="00D67B29"/>
    <w:pPr>
      <w:keepNext/>
      <w:keepLines/>
      <w:spacing w:before="280"/>
      <w:ind w:left="1134" w:hanging="1134"/>
      <w:outlineLvl w:val="1"/>
    </w:pPr>
    <w:rPr>
      <w:b/>
      <w:kern w:val="28"/>
      <w:sz w:val="32"/>
    </w:rPr>
  </w:style>
  <w:style w:type="paragraph" w:customStyle="1" w:styleId="tMain">
    <w:name w:val="t_Main"/>
    <w:aliases w:val="subsection,ss"/>
    <w:basedOn w:val="OPCParaBase"/>
    <w:link w:val="subsectionChar"/>
    <w:qFormat/>
    <w:rsid w:val="00D67B29"/>
    <w:pPr>
      <w:tabs>
        <w:tab w:val="right" w:pos="1021"/>
      </w:tabs>
      <w:spacing w:before="180" w:line="240" w:lineRule="auto"/>
      <w:ind w:left="1134" w:hanging="1134"/>
    </w:pPr>
  </w:style>
  <w:style w:type="paragraph" w:customStyle="1" w:styleId="subsection2">
    <w:name w:val="subsection2"/>
    <w:aliases w:val="ss2"/>
    <w:basedOn w:val="OPCParaBase"/>
    <w:next w:val="tMain"/>
    <w:rsid w:val="00D67B29"/>
    <w:pPr>
      <w:spacing w:before="40" w:line="240" w:lineRule="auto"/>
      <w:ind w:left="1134"/>
    </w:pPr>
  </w:style>
  <w:style w:type="paragraph" w:customStyle="1" w:styleId="h6Subsec">
    <w:name w:val="h6_Subsec"/>
    <w:aliases w:val="SubsectionHead"/>
    <w:basedOn w:val="OPCParaBase"/>
    <w:next w:val="tMain"/>
    <w:rsid w:val="00D67B29"/>
    <w:pPr>
      <w:keepNext/>
      <w:keepLines/>
      <w:spacing w:before="240" w:line="240" w:lineRule="auto"/>
      <w:ind w:left="1134"/>
    </w:pPr>
    <w:rPr>
      <w:i/>
    </w:rPr>
  </w:style>
  <w:style w:type="table" w:styleId="TableGrid">
    <w:name w:val="Table Grid"/>
    <w:basedOn w:val="TableNormal"/>
    <w:uiPriority w:val="59"/>
    <w:rsid w:val="00D67B29"/>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a">
    <w:name w:val="Table(a)"/>
    <w:aliases w:val="ta"/>
    <w:basedOn w:val="OPCParaBase"/>
    <w:rsid w:val="00D67B29"/>
    <w:pPr>
      <w:spacing w:before="60" w:line="240" w:lineRule="auto"/>
      <w:ind w:left="284" w:hanging="284"/>
    </w:pPr>
    <w:rPr>
      <w:sz w:val="20"/>
    </w:rPr>
  </w:style>
  <w:style w:type="paragraph" w:customStyle="1" w:styleId="TableAA">
    <w:name w:val="Table(AA)"/>
    <w:aliases w:val="taaa"/>
    <w:basedOn w:val="OPCParaBase"/>
    <w:rsid w:val="00D67B2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67B29"/>
    <w:pPr>
      <w:tabs>
        <w:tab w:val="left" w:pos="-6543"/>
        <w:tab w:val="left" w:pos="-6260"/>
        <w:tab w:val="right" w:pos="970"/>
      </w:tabs>
      <w:spacing w:line="240" w:lineRule="exact"/>
      <w:ind w:left="828" w:hanging="284"/>
    </w:pPr>
    <w:rPr>
      <w:sz w:val="20"/>
    </w:rPr>
  </w:style>
  <w:style w:type="paragraph" w:customStyle="1" w:styleId="TableTextEndNotes">
    <w:name w:val="TableTextEndNotes"/>
    <w:aliases w:val="Tten"/>
    <w:basedOn w:val="Normal"/>
    <w:rsid w:val="00D67B29"/>
    <w:pPr>
      <w:spacing w:before="60" w:line="240" w:lineRule="auto"/>
    </w:pPr>
    <w:rPr>
      <w:rFonts w:cs="Arial"/>
      <w:sz w:val="20"/>
      <w:szCs w:val="22"/>
    </w:rPr>
  </w:style>
  <w:style w:type="paragraph" w:customStyle="1" w:styleId="TLPBoxTextnote">
    <w:name w:val="TLPBoxText(note"/>
    <w:aliases w:val="right)"/>
    <w:basedOn w:val="OPCParaBase"/>
    <w:rsid w:val="00D67B2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C518B"/>
    <w:pPr>
      <w:spacing w:before="60" w:line="198" w:lineRule="exact"/>
    </w:pPr>
    <w:rPr>
      <w:sz w:val="18"/>
    </w:rPr>
  </w:style>
  <w:style w:type="paragraph" w:customStyle="1" w:styleId="TLPnoteright">
    <w:name w:val="TLPnote(right)"/>
    <w:aliases w:val="nr"/>
    <w:basedOn w:val="OPCParaBase"/>
    <w:rsid w:val="00D67B29"/>
    <w:pPr>
      <w:spacing w:before="122" w:line="198" w:lineRule="exact"/>
      <w:ind w:left="1985" w:hanging="851"/>
      <w:jc w:val="right"/>
    </w:pPr>
    <w:rPr>
      <w:sz w:val="18"/>
    </w:rPr>
  </w:style>
  <w:style w:type="paragraph" w:customStyle="1" w:styleId="TLPTableBullet">
    <w:name w:val="TLPTableBullet"/>
    <w:aliases w:val="ttb"/>
    <w:basedOn w:val="OPCParaBase"/>
    <w:rsid w:val="00D67B29"/>
    <w:pPr>
      <w:spacing w:line="240" w:lineRule="exact"/>
      <w:ind w:left="284" w:hanging="284"/>
    </w:pPr>
    <w:rPr>
      <w:sz w:val="20"/>
    </w:rPr>
  </w:style>
  <w:style w:type="paragraph" w:customStyle="1" w:styleId="TofSectsGroupHeading">
    <w:name w:val="TofSects(GroupHeading)"/>
    <w:basedOn w:val="OPCParaBase"/>
    <w:next w:val="Normal"/>
    <w:rsid w:val="00D67B29"/>
    <w:pPr>
      <w:keepLines/>
      <w:spacing w:before="240" w:after="120" w:line="240" w:lineRule="auto"/>
      <w:ind w:left="794"/>
    </w:pPr>
    <w:rPr>
      <w:b/>
      <w:kern w:val="28"/>
      <w:sz w:val="20"/>
    </w:rPr>
  </w:style>
  <w:style w:type="paragraph" w:customStyle="1" w:styleId="TofSectsHeading">
    <w:name w:val="TofSects(Heading)"/>
    <w:basedOn w:val="OPCParaBase"/>
    <w:rsid w:val="00D67B29"/>
    <w:pPr>
      <w:spacing w:before="240" w:after="120" w:line="240" w:lineRule="auto"/>
    </w:pPr>
    <w:rPr>
      <w:b/>
      <w:sz w:val="24"/>
    </w:rPr>
  </w:style>
  <w:style w:type="paragraph" w:customStyle="1" w:styleId="TofSectsSection">
    <w:name w:val="TofSects(Section)"/>
    <w:basedOn w:val="OPCParaBase"/>
    <w:rsid w:val="00D67B29"/>
    <w:pPr>
      <w:keepLines/>
      <w:spacing w:before="40" w:line="240" w:lineRule="auto"/>
      <w:ind w:left="1588" w:hanging="794"/>
    </w:pPr>
    <w:rPr>
      <w:kern w:val="28"/>
      <w:sz w:val="18"/>
    </w:rPr>
  </w:style>
  <w:style w:type="paragraph" w:customStyle="1" w:styleId="TofSectsSubdiv">
    <w:name w:val="TofSects(Subdiv)"/>
    <w:basedOn w:val="OPCParaBase"/>
    <w:rsid w:val="00D67B29"/>
    <w:pPr>
      <w:keepLines/>
      <w:spacing w:before="80" w:line="240" w:lineRule="auto"/>
      <w:ind w:left="1588" w:hanging="794"/>
    </w:pPr>
    <w:rPr>
      <w:kern w:val="28"/>
    </w:rPr>
  </w:style>
  <w:style w:type="paragraph" w:customStyle="1" w:styleId="WRStyle">
    <w:name w:val="WR Style"/>
    <w:aliases w:val="WR"/>
    <w:basedOn w:val="OPCParaBase"/>
    <w:rsid w:val="00D67B29"/>
    <w:pPr>
      <w:spacing w:before="240" w:line="240" w:lineRule="auto"/>
      <w:ind w:left="284" w:hanging="284"/>
    </w:pPr>
    <w:rPr>
      <w:b/>
      <w:i/>
      <w:kern w:val="28"/>
      <w:sz w:val="24"/>
    </w:rPr>
  </w:style>
  <w:style w:type="paragraph" w:styleId="Bibliography">
    <w:name w:val="Bibliography"/>
    <w:basedOn w:val="Normal"/>
    <w:next w:val="Normal"/>
    <w:uiPriority w:val="37"/>
    <w:semiHidden/>
    <w:unhideWhenUsed/>
    <w:rsid w:val="00DC518B"/>
  </w:style>
  <w:style w:type="paragraph" w:styleId="BlockText">
    <w:name w:val="Block Text"/>
    <w:basedOn w:val="Normal"/>
    <w:uiPriority w:val="99"/>
    <w:semiHidden/>
    <w:unhideWhenUsed/>
    <w:rsid w:val="00DC518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DC518B"/>
    <w:pPr>
      <w:spacing w:after="120"/>
    </w:pPr>
  </w:style>
  <w:style w:type="character" w:customStyle="1" w:styleId="BodyTextChar">
    <w:name w:val="Body Text Char"/>
    <w:basedOn w:val="DefaultParagraphFont"/>
    <w:link w:val="BodyText"/>
    <w:uiPriority w:val="99"/>
    <w:semiHidden/>
    <w:rsid w:val="00DC518B"/>
    <w:rPr>
      <w:rFonts w:eastAsia="Calibri"/>
      <w:sz w:val="22"/>
      <w:lang w:eastAsia="en-US"/>
    </w:rPr>
  </w:style>
  <w:style w:type="paragraph" w:styleId="BodyText2">
    <w:name w:val="Body Text 2"/>
    <w:basedOn w:val="Normal"/>
    <w:link w:val="BodyText2Char"/>
    <w:uiPriority w:val="99"/>
    <w:semiHidden/>
    <w:unhideWhenUsed/>
    <w:rsid w:val="00DC518B"/>
    <w:pPr>
      <w:spacing w:after="120" w:line="480" w:lineRule="auto"/>
    </w:pPr>
  </w:style>
  <w:style w:type="character" w:customStyle="1" w:styleId="BodyText2Char">
    <w:name w:val="Body Text 2 Char"/>
    <w:basedOn w:val="DefaultParagraphFont"/>
    <w:link w:val="BodyText2"/>
    <w:uiPriority w:val="99"/>
    <w:semiHidden/>
    <w:rsid w:val="00DC518B"/>
    <w:rPr>
      <w:rFonts w:eastAsia="Calibri"/>
      <w:sz w:val="22"/>
      <w:lang w:eastAsia="en-US"/>
    </w:rPr>
  </w:style>
  <w:style w:type="paragraph" w:styleId="BodyText3">
    <w:name w:val="Body Text 3"/>
    <w:basedOn w:val="Normal"/>
    <w:link w:val="BodyText3Char"/>
    <w:uiPriority w:val="99"/>
    <w:semiHidden/>
    <w:unhideWhenUsed/>
    <w:rsid w:val="00DC518B"/>
    <w:pPr>
      <w:spacing w:after="120"/>
    </w:pPr>
    <w:rPr>
      <w:sz w:val="16"/>
      <w:szCs w:val="16"/>
    </w:rPr>
  </w:style>
  <w:style w:type="character" w:customStyle="1" w:styleId="BodyText3Char">
    <w:name w:val="Body Text 3 Char"/>
    <w:basedOn w:val="DefaultParagraphFont"/>
    <w:link w:val="BodyText3"/>
    <w:uiPriority w:val="99"/>
    <w:semiHidden/>
    <w:rsid w:val="00DC518B"/>
    <w:rPr>
      <w:rFonts w:eastAsia="Calibri"/>
      <w:sz w:val="16"/>
      <w:szCs w:val="16"/>
      <w:lang w:eastAsia="en-US"/>
    </w:rPr>
  </w:style>
  <w:style w:type="paragraph" w:styleId="BodyTextFirstIndent">
    <w:name w:val="Body Text First Indent"/>
    <w:basedOn w:val="BodyText"/>
    <w:link w:val="BodyTextFirstIndentChar"/>
    <w:uiPriority w:val="99"/>
    <w:semiHidden/>
    <w:rsid w:val="00DC518B"/>
    <w:pPr>
      <w:spacing w:after="0"/>
      <w:ind w:firstLine="360"/>
    </w:pPr>
  </w:style>
  <w:style w:type="character" w:customStyle="1" w:styleId="BodyTextFirstIndentChar">
    <w:name w:val="Body Text First Indent Char"/>
    <w:basedOn w:val="BodyTextChar"/>
    <w:link w:val="BodyTextFirstIndent"/>
    <w:uiPriority w:val="99"/>
    <w:semiHidden/>
    <w:rsid w:val="00DC518B"/>
    <w:rPr>
      <w:rFonts w:eastAsia="Calibri"/>
      <w:sz w:val="22"/>
      <w:lang w:eastAsia="en-US"/>
    </w:rPr>
  </w:style>
  <w:style w:type="paragraph" w:styleId="BodyTextIndent">
    <w:name w:val="Body Text Indent"/>
    <w:basedOn w:val="Normal"/>
    <w:link w:val="BodyTextIndentChar"/>
    <w:uiPriority w:val="99"/>
    <w:semiHidden/>
    <w:unhideWhenUsed/>
    <w:rsid w:val="00DC518B"/>
    <w:pPr>
      <w:spacing w:after="120"/>
      <w:ind w:left="283"/>
    </w:pPr>
  </w:style>
  <w:style w:type="character" w:customStyle="1" w:styleId="BodyTextIndentChar">
    <w:name w:val="Body Text Indent Char"/>
    <w:basedOn w:val="DefaultParagraphFont"/>
    <w:link w:val="BodyTextIndent"/>
    <w:uiPriority w:val="99"/>
    <w:semiHidden/>
    <w:rsid w:val="00DC518B"/>
    <w:rPr>
      <w:rFonts w:eastAsia="Calibri"/>
      <w:sz w:val="22"/>
      <w:lang w:eastAsia="en-US"/>
    </w:rPr>
  </w:style>
  <w:style w:type="paragraph" w:styleId="BodyTextFirstIndent2">
    <w:name w:val="Body Text First Indent 2"/>
    <w:basedOn w:val="BodyTextIndent"/>
    <w:link w:val="BodyTextFirstIndent2Char"/>
    <w:uiPriority w:val="99"/>
    <w:semiHidden/>
    <w:unhideWhenUsed/>
    <w:rsid w:val="00DC518B"/>
    <w:pPr>
      <w:spacing w:after="0"/>
      <w:ind w:left="360" w:firstLine="360"/>
    </w:pPr>
  </w:style>
  <w:style w:type="character" w:customStyle="1" w:styleId="BodyTextFirstIndent2Char">
    <w:name w:val="Body Text First Indent 2 Char"/>
    <w:basedOn w:val="BodyTextIndentChar"/>
    <w:link w:val="BodyTextFirstIndent2"/>
    <w:uiPriority w:val="99"/>
    <w:semiHidden/>
    <w:rsid w:val="00DC518B"/>
    <w:rPr>
      <w:rFonts w:eastAsia="Calibri"/>
      <w:sz w:val="22"/>
      <w:lang w:eastAsia="en-US"/>
    </w:rPr>
  </w:style>
  <w:style w:type="paragraph" w:styleId="BodyTextIndent2">
    <w:name w:val="Body Text Indent 2"/>
    <w:basedOn w:val="Normal"/>
    <w:link w:val="BodyTextIndent2Char"/>
    <w:uiPriority w:val="99"/>
    <w:semiHidden/>
    <w:unhideWhenUsed/>
    <w:rsid w:val="00DC518B"/>
    <w:pPr>
      <w:spacing w:after="120" w:line="480" w:lineRule="auto"/>
      <w:ind w:left="283"/>
    </w:pPr>
  </w:style>
  <w:style w:type="character" w:customStyle="1" w:styleId="BodyTextIndent2Char">
    <w:name w:val="Body Text Indent 2 Char"/>
    <w:basedOn w:val="DefaultParagraphFont"/>
    <w:link w:val="BodyTextIndent2"/>
    <w:uiPriority w:val="99"/>
    <w:semiHidden/>
    <w:rsid w:val="00DC518B"/>
    <w:rPr>
      <w:rFonts w:eastAsia="Calibri"/>
      <w:sz w:val="22"/>
      <w:lang w:eastAsia="en-US"/>
    </w:rPr>
  </w:style>
  <w:style w:type="paragraph" w:styleId="BodyTextIndent3">
    <w:name w:val="Body Text Indent 3"/>
    <w:basedOn w:val="Normal"/>
    <w:link w:val="BodyTextIndent3Char"/>
    <w:uiPriority w:val="99"/>
    <w:semiHidden/>
    <w:unhideWhenUsed/>
    <w:rsid w:val="00DC518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C518B"/>
    <w:rPr>
      <w:rFonts w:eastAsia="Calibri"/>
      <w:sz w:val="16"/>
      <w:szCs w:val="16"/>
      <w:lang w:eastAsia="en-US"/>
    </w:rPr>
  </w:style>
  <w:style w:type="paragraph" w:styleId="Caption">
    <w:name w:val="caption"/>
    <w:basedOn w:val="Normal"/>
    <w:next w:val="Normal"/>
    <w:uiPriority w:val="35"/>
    <w:semiHidden/>
    <w:unhideWhenUsed/>
    <w:rsid w:val="00DC518B"/>
    <w:pPr>
      <w:spacing w:after="200" w:line="240" w:lineRule="auto"/>
    </w:pPr>
    <w:rPr>
      <w:b/>
      <w:bCs/>
      <w:color w:val="4F81BD" w:themeColor="accent1"/>
      <w:sz w:val="18"/>
      <w:szCs w:val="18"/>
    </w:rPr>
  </w:style>
  <w:style w:type="paragraph" w:styleId="Closing">
    <w:name w:val="Closing"/>
    <w:basedOn w:val="Normal"/>
    <w:link w:val="ClosingChar"/>
    <w:uiPriority w:val="99"/>
    <w:semiHidden/>
    <w:unhideWhenUsed/>
    <w:rsid w:val="00DC518B"/>
    <w:pPr>
      <w:spacing w:line="240" w:lineRule="auto"/>
      <w:ind w:left="4252"/>
    </w:pPr>
  </w:style>
  <w:style w:type="character" w:customStyle="1" w:styleId="ClosingChar">
    <w:name w:val="Closing Char"/>
    <w:basedOn w:val="DefaultParagraphFont"/>
    <w:link w:val="Closing"/>
    <w:uiPriority w:val="99"/>
    <w:semiHidden/>
    <w:rsid w:val="00DC518B"/>
    <w:rPr>
      <w:rFonts w:eastAsia="Calibri"/>
      <w:sz w:val="22"/>
      <w:lang w:eastAsia="en-US"/>
    </w:rPr>
  </w:style>
  <w:style w:type="paragraph" w:styleId="CommentText">
    <w:name w:val="annotation text"/>
    <w:basedOn w:val="Normal"/>
    <w:link w:val="CommentTextChar"/>
    <w:uiPriority w:val="99"/>
    <w:semiHidden/>
    <w:unhideWhenUsed/>
    <w:rsid w:val="00DC518B"/>
    <w:pPr>
      <w:spacing w:line="240" w:lineRule="auto"/>
    </w:pPr>
    <w:rPr>
      <w:sz w:val="20"/>
    </w:rPr>
  </w:style>
  <w:style w:type="character" w:customStyle="1" w:styleId="CommentTextChar">
    <w:name w:val="Comment Text Char"/>
    <w:basedOn w:val="DefaultParagraphFont"/>
    <w:link w:val="CommentText"/>
    <w:uiPriority w:val="99"/>
    <w:semiHidden/>
    <w:rsid w:val="00DC518B"/>
    <w:rPr>
      <w:rFonts w:eastAsia="Calibri"/>
      <w:lang w:eastAsia="en-US"/>
    </w:rPr>
  </w:style>
  <w:style w:type="paragraph" w:styleId="CommentSubject">
    <w:name w:val="annotation subject"/>
    <w:basedOn w:val="CommentText"/>
    <w:next w:val="CommentText"/>
    <w:link w:val="CommentSubjectChar"/>
    <w:uiPriority w:val="99"/>
    <w:semiHidden/>
    <w:unhideWhenUsed/>
    <w:rsid w:val="00DC518B"/>
    <w:rPr>
      <w:b/>
      <w:bCs/>
    </w:rPr>
  </w:style>
  <w:style w:type="character" w:customStyle="1" w:styleId="CommentSubjectChar">
    <w:name w:val="Comment Subject Char"/>
    <w:basedOn w:val="CommentTextChar"/>
    <w:link w:val="CommentSubject"/>
    <w:uiPriority w:val="99"/>
    <w:semiHidden/>
    <w:rsid w:val="00DC518B"/>
    <w:rPr>
      <w:rFonts w:eastAsia="Calibri"/>
      <w:b/>
      <w:bCs/>
      <w:lang w:eastAsia="en-US"/>
    </w:rPr>
  </w:style>
  <w:style w:type="paragraph" w:styleId="Date">
    <w:name w:val="Date"/>
    <w:basedOn w:val="Normal"/>
    <w:next w:val="Normal"/>
    <w:link w:val="DateChar"/>
    <w:uiPriority w:val="99"/>
    <w:rsid w:val="00DC518B"/>
  </w:style>
  <w:style w:type="character" w:customStyle="1" w:styleId="DateChar">
    <w:name w:val="Date Char"/>
    <w:basedOn w:val="DefaultParagraphFont"/>
    <w:link w:val="Date"/>
    <w:uiPriority w:val="99"/>
    <w:rsid w:val="00DC518B"/>
    <w:rPr>
      <w:rFonts w:eastAsia="Calibri"/>
      <w:sz w:val="22"/>
      <w:lang w:eastAsia="en-US"/>
    </w:rPr>
  </w:style>
  <w:style w:type="paragraph" w:styleId="DocumentMap">
    <w:name w:val="Document Map"/>
    <w:basedOn w:val="Normal"/>
    <w:link w:val="DocumentMapChar"/>
    <w:uiPriority w:val="99"/>
    <w:semiHidden/>
    <w:unhideWhenUsed/>
    <w:rsid w:val="00DC518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C518B"/>
    <w:rPr>
      <w:rFonts w:ascii="Tahoma" w:eastAsia="Calibri" w:hAnsi="Tahoma" w:cs="Tahoma"/>
      <w:sz w:val="16"/>
      <w:szCs w:val="16"/>
      <w:lang w:eastAsia="en-US"/>
    </w:rPr>
  </w:style>
  <w:style w:type="paragraph" w:styleId="E-mailSignature">
    <w:name w:val="E-mail Signature"/>
    <w:basedOn w:val="Normal"/>
    <w:link w:val="E-mailSignatureChar"/>
    <w:uiPriority w:val="99"/>
    <w:semiHidden/>
    <w:unhideWhenUsed/>
    <w:rsid w:val="00DC518B"/>
    <w:pPr>
      <w:spacing w:line="240" w:lineRule="auto"/>
    </w:pPr>
  </w:style>
  <w:style w:type="character" w:customStyle="1" w:styleId="E-mailSignatureChar">
    <w:name w:val="E-mail Signature Char"/>
    <w:basedOn w:val="DefaultParagraphFont"/>
    <w:link w:val="E-mailSignature"/>
    <w:uiPriority w:val="99"/>
    <w:semiHidden/>
    <w:rsid w:val="00DC518B"/>
    <w:rPr>
      <w:rFonts w:eastAsia="Calibri"/>
      <w:sz w:val="22"/>
      <w:lang w:eastAsia="en-US"/>
    </w:rPr>
  </w:style>
  <w:style w:type="paragraph" w:styleId="EnvelopeAddress">
    <w:name w:val="envelope address"/>
    <w:basedOn w:val="Normal"/>
    <w:uiPriority w:val="99"/>
    <w:semiHidden/>
    <w:unhideWhenUsed/>
    <w:rsid w:val="00DC518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C518B"/>
    <w:pPr>
      <w:spacing w:line="240" w:lineRule="auto"/>
    </w:pPr>
    <w:rPr>
      <w:rFonts w:asciiTheme="majorHAnsi" w:eastAsiaTheme="majorEastAsia" w:hAnsiTheme="majorHAnsi" w:cstheme="majorBidi"/>
      <w:sz w:val="20"/>
    </w:rPr>
  </w:style>
  <w:style w:type="paragraph" w:styleId="HTMLAddress">
    <w:name w:val="HTML Address"/>
    <w:basedOn w:val="Normal"/>
    <w:link w:val="HTMLAddressChar"/>
    <w:uiPriority w:val="99"/>
    <w:semiHidden/>
    <w:unhideWhenUsed/>
    <w:rsid w:val="00DC518B"/>
    <w:pPr>
      <w:spacing w:line="240" w:lineRule="auto"/>
    </w:pPr>
    <w:rPr>
      <w:i/>
      <w:iCs/>
    </w:rPr>
  </w:style>
  <w:style w:type="character" w:customStyle="1" w:styleId="HTMLAddressChar">
    <w:name w:val="HTML Address Char"/>
    <w:basedOn w:val="DefaultParagraphFont"/>
    <w:link w:val="HTMLAddress"/>
    <w:uiPriority w:val="99"/>
    <w:semiHidden/>
    <w:rsid w:val="00DC518B"/>
    <w:rPr>
      <w:rFonts w:eastAsia="Calibri"/>
      <w:i/>
      <w:iCs/>
      <w:sz w:val="22"/>
      <w:lang w:eastAsia="en-US"/>
    </w:rPr>
  </w:style>
  <w:style w:type="paragraph" w:styleId="HTMLPreformatted">
    <w:name w:val="HTML Preformatted"/>
    <w:basedOn w:val="Normal"/>
    <w:link w:val="HTMLPreformattedChar"/>
    <w:uiPriority w:val="99"/>
    <w:semiHidden/>
    <w:unhideWhenUsed/>
    <w:rsid w:val="00DC518B"/>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DC518B"/>
    <w:rPr>
      <w:rFonts w:ascii="Consolas" w:eastAsia="Calibri" w:hAnsi="Consolas"/>
      <w:lang w:eastAsia="en-US"/>
    </w:rPr>
  </w:style>
  <w:style w:type="paragraph" w:styleId="Index1">
    <w:name w:val="index 1"/>
    <w:basedOn w:val="Normal"/>
    <w:next w:val="Normal"/>
    <w:autoRedefine/>
    <w:uiPriority w:val="99"/>
    <w:semiHidden/>
    <w:unhideWhenUsed/>
    <w:rsid w:val="00DC518B"/>
    <w:pPr>
      <w:spacing w:line="240" w:lineRule="auto"/>
      <w:ind w:left="220" w:hanging="220"/>
    </w:pPr>
  </w:style>
  <w:style w:type="paragraph" w:styleId="Index2">
    <w:name w:val="index 2"/>
    <w:basedOn w:val="Normal"/>
    <w:next w:val="Normal"/>
    <w:autoRedefine/>
    <w:uiPriority w:val="99"/>
    <w:semiHidden/>
    <w:unhideWhenUsed/>
    <w:rsid w:val="00DC518B"/>
    <w:pPr>
      <w:spacing w:line="240" w:lineRule="auto"/>
      <w:ind w:left="440" w:hanging="220"/>
    </w:pPr>
  </w:style>
  <w:style w:type="paragraph" w:styleId="Index3">
    <w:name w:val="index 3"/>
    <w:basedOn w:val="Normal"/>
    <w:next w:val="Normal"/>
    <w:autoRedefine/>
    <w:uiPriority w:val="99"/>
    <w:semiHidden/>
    <w:unhideWhenUsed/>
    <w:rsid w:val="00DC518B"/>
    <w:pPr>
      <w:spacing w:line="240" w:lineRule="auto"/>
      <w:ind w:left="660" w:hanging="220"/>
    </w:pPr>
  </w:style>
  <w:style w:type="paragraph" w:styleId="Index4">
    <w:name w:val="index 4"/>
    <w:basedOn w:val="Normal"/>
    <w:next w:val="Normal"/>
    <w:autoRedefine/>
    <w:uiPriority w:val="99"/>
    <w:semiHidden/>
    <w:unhideWhenUsed/>
    <w:rsid w:val="00DC518B"/>
    <w:pPr>
      <w:spacing w:line="240" w:lineRule="auto"/>
      <w:ind w:left="880" w:hanging="220"/>
    </w:pPr>
  </w:style>
  <w:style w:type="paragraph" w:styleId="Index5">
    <w:name w:val="index 5"/>
    <w:basedOn w:val="Normal"/>
    <w:next w:val="Normal"/>
    <w:autoRedefine/>
    <w:uiPriority w:val="99"/>
    <w:semiHidden/>
    <w:unhideWhenUsed/>
    <w:rsid w:val="00DC518B"/>
    <w:pPr>
      <w:spacing w:line="240" w:lineRule="auto"/>
      <w:ind w:left="1100" w:hanging="220"/>
    </w:pPr>
  </w:style>
  <w:style w:type="paragraph" w:styleId="Index6">
    <w:name w:val="index 6"/>
    <w:basedOn w:val="Normal"/>
    <w:next w:val="Normal"/>
    <w:autoRedefine/>
    <w:uiPriority w:val="99"/>
    <w:semiHidden/>
    <w:unhideWhenUsed/>
    <w:rsid w:val="00DC518B"/>
    <w:pPr>
      <w:spacing w:line="240" w:lineRule="auto"/>
      <w:ind w:left="1320" w:hanging="220"/>
    </w:pPr>
  </w:style>
  <w:style w:type="paragraph" w:styleId="Index7">
    <w:name w:val="index 7"/>
    <w:basedOn w:val="Normal"/>
    <w:next w:val="Normal"/>
    <w:autoRedefine/>
    <w:uiPriority w:val="99"/>
    <w:semiHidden/>
    <w:unhideWhenUsed/>
    <w:rsid w:val="00DC518B"/>
    <w:pPr>
      <w:spacing w:line="240" w:lineRule="auto"/>
      <w:ind w:left="1540" w:hanging="220"/>
    </w:pPr>
  </w:style>
  <w:style w:type="paragraph" w:styleId="Index8">
    <w:name w:val="index 8"/>
    <w:basedOn w:val="Normal"/>
    <w:next w:val="Normal"/>
    <w:autoRedefine/>
    <w:uiPriority w:val="99"/>
    <w:semiHidden/>
    <w:unhideWhenUsed/>
    <w:rsid w:val="00DC518B"/>
    <w:pPr>
      <w:spacing w:line="240" w:lineRule="auto"/>
      <w:ind w:left="1760" w:hanging="220"/>
    </w:pPr>
  </w:style>
  <w:style w:type="paragraph" w:styleId="Index9">
    <w:name w:val="index 9"/>
    <w:basedOn w:val="Normal"/>
    <w:next w:val="Normal"/>
    <w:autoRedefine/>
    <w:uiPriority w:val="99"/>
    <w:semiHidden/>
    <w:unhideWhenUsed/>
    <w:rsid w:val="00DC518B"/>
    <w:pPr>
      <w:spacing w:line="240" w:lineRule="auto"/>
      <w:ind w:left="1980" w:hanging="220"/>
    </w:pPr>
  </w:style>
  <w:style w:type="paragraph" w:styleId="IndexHeading">
    <w:name w:val="index heading"/>
    <w:basedOn w:val="Normal"/>
    <w:next w:val="Index1"/>
    <w:uiPriority w:val="99"/>
    <w:semiHidden/>
    <w:unhideWhenUsed/>
    <w:rsid w:val="00DC518B"/>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rsid w:val="00DC518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DC518B"/>
    <w:rPr>
      <w:rFonts w:eastAsia="Calibri"/>
      <w:b/>
      <w:bCs/>
      <w:i/>
      <w:iCs/>
      <w:color w:val="4F81BD" w:themeColor="accent1"/>
      <w:sz w:val="22"/>
      <w:lang w:eastAsia="en-US"/>
    </w:rPr>
  </w:style>
  <w:style w:type="paragraph" w:styleId="List">
    <w:name w:val="List"/>
    <w:basedOn w:val="Normal"/>
    <w:uiPriority w:val="99"/>
    <w:semiHidden/>
    <w:unhideWhenUsed/>
    <w:rsid w:val="00DC518B"/>
    <w:pPr>
      <w:ind w:left="283" w:hanging="283"/>
      <w:contextualSpacing/>
    </w:pPr>
  </w:style>
  <w:style w:type="paragraph" w:styleId="List2">
    <w:name w:val="List 2"/>
    <w:basedOn w:val="Normal"/>
    <w:uiPriority w:val="99"/>
    <w:semiHidden/>
    <w:unhideWhenUsed/>
    <w:rsid w:val="00DC518B"/>
    <w:pPr>
      <w:ind w:left="566" w:hanging="283"/>
      <w:contextualSpacing/>
    </w:pPr>
  </w:style>
  <w:style w:type="paragraph" w:styleId="List3">
    <w:name w:val="List 3"/>
    <w:basedOn w:val="Normal"/>
    <w:uiPriority w:val="99"/>
    <w:semiHidden/>
    <w:unhideWhenUsed/>
    <w:rsid w:val="00DC518B"/>
    <w:pPr>
      <w:ind w:left="849" w:hanging="283"/>
      <w:contextualSpacing/>
    </w:pPr>
  </w:style>
  <w:style w:type="paragraph" w:styleId="List4">
    <w:name w:val="List 4"/>
    <w:basedOn w:val="Normal"/>
    <w:uiPriority w:val="99"/>
    <w:semiHidden/>
    <w:rsid w:val="00DC518B"/>
    <w:pPr>
      <w:ind w:left="1132" w:hanging="283"/>
      <w:contextualSpacing/>
    </w:pPr>
  </w:style>
  <w:style w:type="paragraph" w:styleId="List5">
    <w:name w:val="List 5"/>
    <w:basedOn w:val="Normal"/>
    <w:uiPriority w:val="99"/>
    <w:semiHidden/>
    <w:rsid w:val="00DC518B"/>
    <w:pPr>
      <w:ind w:left="1415" w:hanging="283"/>
      <w:contextualSpacing/>
    </w:pPr>
  </w:style>
  <w:style w:type="paragraph" w:styleId="ListBullet">
    <w:name w:val="List Bullet"/>
    <w:basedOn w:val="Normal"/>
    <w:uiPriority w:val="99"/>
    <w:semiHidden/>
    <w:unhideWhenUsed/>
    <w:rsid w:val="00DC518B"/>
    <w:pPr>
      <w:contextualSpacing/>
    </w:pPr>
  </w:style>
  <w:style w:type="paragraph" w:styleId="ListBullet2">
    <w:name w:val="List Bullet 2"/>
    <w:basedOn w:val="Normal"/>
    <w:uiPriority w:val="99"/>
    <w:semiHidden/>
    <w:unhideWhenUsed/>
    <w:rsid w:val="00DC518B"/>
    <w:pPr>
      <w:contextualSpacing/>
    </w:pPr>
  </w:style>
  <w:style w:type="paragraph" w:styleId="ListBullet3">
    <w:name w:val="List Bullet 3"/>
    <w:basedOn w:val="Normal"/>
    <w:uiPriority w:val="99"/>
    <w:semiHidden/>
    <w:unhideWhenUsed/>
    <w:rsid w:val="00DC518B"/>
    <w:pPr>
      <w:contextualSpacing/>
    </w:pPr>
  </w:style>
  <w:style w:type="paragraph" w:styleId="ListBullet4">
    <w:name w:val="List Bullet 4"/>
    <w:basedOn w:val="Normal"/>
    <w:uiPriority w:val="99"/>
    <w:semiHidden/>
    <w:unhideWhenUsed/>
    <w:rsid w:val="00DC518B"/>
    <w:pPr>
      <w:contextualSpacing/>
    </w:pPr>
  </w:style>
  <w:style w:type="paragraph" w:styleId="ListBullet5">
    <w:name w:val="List Bullet 5"/>
    <w:basedOn w:val="Normal"/>
    <w:uiPriority w:val="99"/>
    <w:semiHidden/>
    <w:unhideWhenUsed/>
    <w:rsid w:val="00DC518B"/>
    <w:pPr>
      <w:contextualSpacing/>
    </w:pPr>
  </w:style>
  <w:style w:type="paragraph" w:styleId="ListContinue">
    <w:name w:val="List Continue"/>
    <w:basedOn w:val="Normal"/>
    <w:uiPriority w:val="99"/>
    <w:semiHidden/>
    <w:unhideWhenUsed/>
    <w:rsid w:val="00DC518B"/>
    <w:pPr>
      <w:spacing w:after="120"/>
      <w:ind w:left="283"/>
      <w:contextualSpacing/>
    </w:pPr>
  </w:style>
  <w:style w:type="paragraph" w:styleId="ListContinue2">
    <w:name w:val="List Continue 2"/>
    <w:basedOn w:val="Normal"/>
    <w:uiPriority w:val="99"/>
    <w:semiHidden/>
    <w:unhideWhenUsed/>
    <w:rsid w:val="00DC518B"/>
    <w:pPr>
      <w:spacing w:after="120"/>
      <w:ind w:left="566"/>
      <w:contextualSpacing/>
    </w:pPr>
  </w:style>
  <w:style w:type="paragraph" w:styleId="ListContinue3">
    <w:name w:val="List Continue 3"/>
    <w:basedOn w:val="Normal"/>
    <w:uiPriority w:val="99"/>
    <w:semiHidden/>
    <w:unhideWhenUsed/>
    <w:rsid w:val="00DC518B"/>
    <w:pPr>
      <w:spacing w:after="120"/>
      <w:ind w:left="849"/>
      <w:contextualSpacing/>
    </w:pPr>
  </w:style>
  <w:style w:type="paragraph" w:styleId="ListContinue4">
    <w:name w:val="List Continue 4"/>
    <w:basedOn w:val="Normal"/>
    <w:uiPriority w:val="99"/>
    <w:semiHidden/>
    <w:unhideWhenUsed/>
    <w:rsid w:val="00DC518B"/>
    <w:pPr>
      <w:spacing w:after="120"/>
      <w:ind w:left="1132"/>
      <w:contextualSpacing/>
    </w:pPr>
  </w:style>
  <w:style w:type="paragraph" w:styleId="ListContinue5">
    <w:name w:val="List Continue 5"/>
    <w:basedOn w:val="Normal"/>
    <w:uiPriority w:val="99"/>
    <w:semiHidden/>
    <w:unhideWhenUsed/>
    <w:rsid w:val="00DC518B"/>
    <w:pPr>
      <w:spacing w:after="120"/>
      <w:ind w:left="1415"/>
      <w:contextualSpacing/>
    </w:pPr>
  </w:style>
  <w:style w:type="paragraph" w:styleId="ListNumber">
    <w:name w:val="List Number"/>
    <w:basedOn w:val="Normal"/>
    <w:uiPriority w:val="98"/>
    <w:semiHidden/>
    <w:rsid w:val="00DC518B"/>
    <w:pPr>
      <w:contextualSpacing/>
    </w:pPr>
  </w:style>
  <w:style w:type="paragraph" w:styleId="ListNumber2">
    <w:name w:val="List Number 2"/>
    <w:basedOn w:val="Normal"/>
    <w:uiPriority w:val="98"/>
    <w:semiHidden/>
    <w:unhideWhenUsed/>
    <w:rsid w:val="00DC518B"/>
    <w:pPr>
      <w:contextualSpacing/>
    </w:pPr>
  </w:style>
  <w:style w:type="paragraph" w:styleId="ListNumber3">
    <w:name w:val="List Number 3"/>
    <w:basedOn w:val="Normal"/>
    <w:uiPriority w:val="98"/>
    <w:semiHidden/>
    <w:unhideWhenUsed/>
    <w:rsid w:val="00DC518B"/>
    <w:pPr>
      <w:contextualSpacing/>
    </w:pPr>
  </w:style>
  <w:style w:type="paragraph" w:styleId="ListNumber4">
    <w:name w:val="List Number 4"/>
    <w:basedOn w:val="Normal"/>
    <w:uiPriority w:val="98"/>
    <w:semiHidden/>
    <w:unhideWhenUsed/>
    <w:rsid w:val="00DC518B"/>
    <w:pPr>
      <w:contextualSpacing/>
    </w:pPr>
  </w:style>
  <w:style w:type="paragraph" w:styleId="ListNumber5">
    <w:name w:val="List Number 5"/>
    <w:basedOn w:val="Normal"/>
    <w:uiPriority w:val="98"/>
    <w:semiHidden/>
    <w:unhideWhenUsed/>
    <w:rsid w:val="00DC518B"/>
    <w:pPr>
      <w:contextualSpacing/>
    </w:pPr>
  </w:style>
  <w:style w:type="paragraph" w:styleId="MacroText">
    <w:name w:val="macro"/>
    <w:link w:val="MacroTextChar"/>
    <w:uiPriority w:val="99"/>
    <w:semiHidden/>
    <w:unhideWhenUsed/>
    <w:rsid w:val="00DC518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Calibri" w:hAnsi="Consolas"/>
      <w:lang w:eastAsia="en-US"/>
    </w:rPr>
  </w:style>
  <w:style w:type="character" w:customStyle="1" w:styleId="MacroTextChar">
    <w:name w:val="Macro Text Char"/>
    <w:basedOn w:val="DefaultParagraphFont"/>
    <w:link w:val="MacroText"/>
    <w:uiPriority w:val="99"/>
    <w:semiHidden/>
    <w:rsid w:val="00DC518B"/>
    <w:rPr>
      <w:rFonts w:ascii="Consolas" w:eastAsia="Calibri" w:hAnsi="Consolas"/>
      <w:lang w:eastAsia="en-US"/>
    </w:rPr>
  </w:style>
  <w:style w:type="paragraph" w:styleId="MessageHeader">
    <w:name w:val="Message Header"/>
    <w:basedOn w:val="Normal"/>
    <w:link w:val="MessageHeaderChar"/>
    <w:uiPriority w:val="99"/>
    <w:semiHidden/>
    <w:unhideWhenUsed/>
    <w:rsid w:val="00DC518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518B"/>
    <w:rPr>
      <w:rFonts w:asciiTheme="majorHAnsi" w:eastAsiaTheme="majorEastAsia" w:hAnsiTheme="majorHAnsi" w:cstheme="majorBidi"/>
      <w:sz w:val="24"/>
      <w:szCs w:val="24"/>
      <w:shd w:val="pct20" w:color="auto" w:fill="auto"/>
      <w:lang w:eastAsia="en-US"/>
    </w:rPr>
  </w:style>
  <w:style w:type="paragraph" w:styleId="NoSpacing">
    <w:name w:val="No Spacing"/>
    <w:uiPriority w:val="98"/>
    <w:rsid w:val="00DC518B"/>
    <w:rPr>
      <w:rFonts w:eastAsia="Calibri"/>
      <w:sz w:val="22"/>
      <w:lang w:eastAsia="en-US"/>
    </w:rPr>
  </w:style>
  <w:style w:type="paragraph" w:styleId="NormalWeb">
    <w:name w:val="Normal (Web)"/>
    <w:basedOn w:val="Normal"/>
    <w:uiPriority w:val="99"/>
    <w:semiHidden/>
    <w:unhideWhenUsed/>
    <w:rsid w:val="00DC518B"/>
    <w:rPr>
      <w:sz w:val="24"/>
      <w:szCs w:val="24"/>
    </w:rPr>
  </w:style>
  <w:style w:type="paragraph" w:styleId="NormalIndent">
    <w:name w:val="Normal Indent"/>
    <w:basedOn w:val="Normal"/>
    <w:uiPriority w:val="99"/>
    <w:semiHidden/>
    <w:unhideWhenUsed/>
    <w:rsid w:val="00DC518B"/>
    <w:pPr>
      <w:ind w:left="720"/>
    </w:pPr>
  </w:style>
  <w:style w:type="paragraph" w:styleId="NoteHeading">
    <w:name w:val="Note Heading"/>
    <w:basedOn w:val="Normal"/>
    <w:next w:val="Normal"/>
    <w:link w:val="NoteHeadingChar"/>
    <w:uiPriority w:val="99"/>
    <w:semiHidden/>
    <w:unhideWhenUsed/>
    <w:rsid w:val="00DC518B"/>
    <w:pPr>
      <w:spacing w:line="240" w:lineRule="auto"/>
    </w:pPr>
  </w:style>
  <w:style w:type="character" w:customStyle="1" w:styleId="NoteHeadingChar">
    <w:name w:val="Note Heading Char"/>
    <w:basedOn w:val="DefaultParagraphFont"/>
    <w:link w:val="NoteHeading"/>
    <w:uiPriority w:val="99"/>
    <w:semiHidden/>
    <w:rsid w:val="00DC518B"/>
    <w:rPr>
      <w:rFonts w:eastAsia="Calibri"/>
      <w:sz w:val="22"/>
      <w:lang w:eastAsia="en-US"/>
    </w:rPr>
  </w:style>
  <w:style w:type="paragraph" w:styleId="PlainText">
    <w:name w:val="Plain Text"/>
    <w:basedOn w:val="Normal"/>
    <w:link w:val="PlainTextChar"/>
    <w:uiPriority w:val="99"/>
    <w:semiHidden/>
    <w:unhideWhenUsed/>
    <w:rsid w:val="00DC518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C518B"/>
    <w:rPr>
      <w:rFonts w:ascii="Consolas" w:eastAsia="Calibri" w:hAnsi="Consolas"/>
      <w:sz w:val="21"/>
      <w:szCs w:val="21"/>
      <w:lang w:eastAsia="en-US"/>
    </w:rPr>
  </w:style>
  <w:style w:type="paragraph" w:styleId="Quote">
    <w:name w:val="Quote"/>
    <w:basedOn w:val="Normal"/>
    <w:next w:val="Normal"/>
    <w:link w:val="QuoteChar"/>
    <w:uiPriority w:val="99"/>
    <w:semiHidden/>
    <w:rsid w:val="00DC518B"/>
    <w:rPr>
      <w:i/>
      <w:iCs/>
      <w:color w:val="000000" w:themeColor="text1"/>
    </w:rPr>
  </w:style>
  <w:style w:type="character" w:customStyle="1" w:styleId="QuoteChar">
    <w:name w:val="Quote Char"/>
    <w:basedOn w:val="DefaultParagraphFont"/>
    <w:link w:val="Quote"/>
    <w:uiPriority w:val="99"/>
    <w:semiHidden/>
    <w:rsid w:val="00DC518B"/>
    <w:rPr>
      <w:rFonts w:eastAsia="Calibri"/>
      <w:i/>
      <w:iCs/>
      <w:color w:val="000000" w:themeColor="text1"/>
      <w:sz w:val="22"/>
      <w:lang w:eastAsia="en-US"/>
    </w:rPr>
  </w:style>
  <w:style w:type="paragraph" w:styleId="Salutation">
    <w:name w:val="Salutation"/>
    <w:basedOn w:val="Normal"/>
    <w:next w:val="Normal"/>
    <w:link w:val="SalutationChar"/>
    <w:uiPriority w:val="99"/>
    <w:semiHidden/>
    <w:rsid w:val="00DC518B"/>
  </w:style>
  <w:style w:type="character" w:customStyle="1" w:styleId="SalutationChar">
    <w:name w:val="Salutation Char"/>
    <w:basedOn w:val="DefaultParagraphFont"/>
    <w:link w:val="Salutation"/>
    <w:uiPriority w:val="99"/>
    <w:semiHidden/>
    <w:rsid w:val="00DC518B"/>
    <w:rPr>
      <w:rFonts w:eastAsia="Calibri"/>
      <w:sz w:val="22"/>
      <w:lang w:eastAsia="en-US"/>
    </w:rPr>
  </w:style>
  <w:style w:type="paragraph" w:styleId="Signature">
    <w:name w:val="Signature"/>
    <w:basedOn w:val="Normal"/>
    <w:link w:val="SignatureChar"/>
    <w:uiPriority w:val="99"/>
    <w:semiHidden/>
    <w:unhideWhenUsed/>
    <w:rsid w:val="00DC518B"/>
    <w:pPr>
      <w:spacing w:line="240" w:lineRule="auto"/>
      <w:ind w:left="4252"/>
    </w:pPr>
  </w:style>
  <w:style w:type="character" w:customStyle="1" w:styleId="SignatureChar">
    <w:name w:val="Signature Char"/>
    <w:basedOn w:val="DefaultParagraphFont"/>
    <w:link w:val="Signature"/>
    <w:uiPriority w:val="99"/>
    <w:semiHidden/>
    <w:rsid w:val="00DC518B"/>
    <w:rPr>
      <w:rFonts w:eastAsia="Calibri"/>
      <w:sz w:val="22"/>
      <w:lang w:eastAsia="en-US"/>
    </w:rPr>
  </w:style>
  <w:style w:type="paragraph" w:styleId="Subtitle">
    <w:name w:val="Subtitle"/>
    <w:basedOn w:val="Normal"/>
    <w:next w:val="Normal"/>
    <w:link w:val="SubtitleChar"/>
    <w:uiPriority w:val="99"/>
    <w:semiHidden/>
    <w:rsid w:val="00DC518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semiHidden/>
    <w:rsid w:val="00DC518B"/>
    <w:rPr>
      <w:rFonts w:asciiTheme="majorHAnsi" w:eastAsiaTheme="majorEastAsia" w:hAnsiTheme="majorHAnsi" w:cstheme="majorBidi"/>
      <w:i/>
      <w:iCs/>
      <w:color w:val="4F81BD" w:themeColor="accent1"/>
      <w:spacing w:val="15"/>
      <w:sz w:val="24"/>
      <w:szCs w:val="24"/>
      <w:lang w:eastAsia="en-US"/>
    </w:rPr>
  </w:style>
  <w:style w:type="paragraph" w:styleId="TableofAuthorities">
    <w:name w:val="table of authorities"/>
    <w:basedOn w:val="Normal"/>
    <w:next w:val="Normal"/>
    <w:uiPriority w:val="99"/>
    <w:semiHidden/>
    <w:unhideWhenUsed/>
    <w:rsid w:val="00DC518B"/>
    <w:pPr>
      <w:ind w:left="220" w:hanging="220"/>
    </w:pPr>
  </w:style>
  <w:style w:type="paragraph" w:styleId="TableofFigures">
    <w:name w:val="table of figures"/>
    <w:basedOn w:val="Normal"/>
    <w:next w:val="Normal"/>
    <w:uiPriority w:val="99"/>
    <w:semiHidden/>
    <w:unhideWhenUsed/>
    <w:rsid w:val="00DC518B"/>
  </w:style>
  <w:style w:type="paragraph" w:styleId="Title">
    <w:name w:val="Title"/>
    <w:basedOn w:val="Normal"/>
    <w:next w:val="Normal"/>
    <w:link w:val="TitleChar"/>
    <w:uiPriority w:val="98"/>
    <w:semiHidden/>
    <w:rsid w:val="00DC51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8"/>
    <w:semiHidden/>
    <w:rsid w:val="00DC518B"/>
    <w:rPr>
      <w:rFonts w:asciiTheme="majorHAnsi" w:eastAsiaTheme="majorEastAsia" w:hAnsiTheme="majorHAnsi" w:cstheme="majorBidi"/>
      <w:color w:val="17365D" w:themeColor="text2" w:themeShade="BF"/>
      <w:spacing w:val="5"/>
      <w:kern w:val="28"/>
      <w:sz w:val="52"/>
      <w:szCs w:val="52"/>
      <w:lang w:eastAsia="en-US"/>
    </w:rPr>
  </w:style>
  <w:style w:type="paragraph" w:styleId="TOAHeading">
    <w:name w:val="toa heading"/>
    <w:basedOn w:val="Normal"/>
    <w:next w:val="Normal"/>
    <w:uiPriority w:val="99"/>
    <w:semiHidden/>
    <w:unhideWhenUsed/>
    <w:rsid w:val="00DC518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DC518B"/>
    <w:pPr>
      <w:spacing w:before="480" w:line="260" w:lineRule="atLeast"/>
      <w:outlineLvl w:val="9"/>
    </w:pPr>
    <w:rPr>
      <w:rFonts w:asciiTheme="majorHAnsi" w:eastAsiaTheme="majorEastAsia" w:hAnsiTheme="majorHAnsi" w:cstheme="majorBidi"/>
      <w:caps w:val="0"/>
      <w:color w:val="365F91" w:themeColor="accent1" w:themeShade="BF"/>
      <w:kern w:val="0"/>
      <w:sz w:val="28"/>
      <w:szCs w:val="28"/>
    </w:rPr>
  </w:style>
  <w:style w:type="character" w:customStyle="1" w:styleId="subsectionChar">
    <w:name w:val="subsection Char"/>
    <w:aliases w:val="ss Char"/>
    <w:link w:val="tMain"/>
    <w:locked/>
    <w:rsid w:val="003639ED"/>
    <w:rPr>
      <w:sz w:val="22"/>
    </w:rPr>
  </w:style>
  <w:style w:type="character" w:customStyle="1" w:styleId="notetextChar">
    <w:name w:val="note(text) Char"/>
    <w:aliases w:val="n Char"/>
    <w:link w:val="nMain"/>
    <w:rsid w:val="00A57364"/>
    <w:rPr>
      <w:sz w:val="18"/>
    </w:rPr>
  </w:style>
</w:styles>
</file>

<file path=word/webSettings.xml><?xml version="1.0" encoding="utf-8"?>
<w:webSettings xmlns:r="http://schemas.openxmlformats.org/officeDocument/2006/relationships" xmlns:w="http://schemas.openxmlformats.org/wordprocessingml/2006/main">
  <w:divs>
    <w:div w:id="370569918">
      <w:bodyDiv w:val="1"/>
      <w:marLeft w:val="0"/>
      <w:marRight w:val="0"/>
      <w:marTop w:val="0"/>
      <w:marBottom w:val="0"/>
      <w:divBdr>
        <w:top w:val="none" w:sz="0" w:space="0" w:color="auto"/>
        <w:left w:val="none" w:sz="0" w:space="0" w:color="auto"/>
        <w:bottom w:val="none" w:sz="0" w:space="0" w:color="auto"/>
        <w:right w:val="none" w:sz="0" w:space="0" w:color="auto"/>
      </w:divBdr>
    </w:div>
    <w:div w:id="1227955205">
      <w:bodyDiv w:val="1"/>
      <w:marLeft w:val="0"/>
      <w:marRight w:val="0"/>
      <w:marTop w:val="0"/>
      <w:marBottom w:val="0"/>
      <w:divBdr>
        <w:top w:val="none" w:sz="0" w:space="0" w:color="auto"/>
        <w:left w:val="none" w:sz="0" w:space="0" w:color="auto"/>
        <w:bottom w:val="none" w:sz="0" w:space="0" w:color="auto"/>
        <w:right w:val="none" w:sz="0" w:space="0" w:color="auto"/>
      </w:divBdr>
      <w:divsChild>
        <w:div w:id="2014726231">
          <w:marLeft w:val="0"/>
          <w:marRight w:val="0"/>
          <w:marTop w:val="0"/>
          <w:marBottom w:val="0"/>
          <w:divBdr>
            <w:top w:val="none" w:sz="0" w:space="0" w:color="auto"/>
            <w:left w:val="none" w:sz="0" w:space="0" w:color="auto"/>
            <w:bottom w:val="none" w:sz="0" w:space="0" w:color="auto"/>
            <w:right w:val="none" w:sz="0" w:space="0" w:color="auto"/>
          </w:divBdr>
          <w:divsChild>
            <w:div w:id="592860029">
              <w:marLeft w:val="0"/>
              <w:marRight w:val="0"/>
              <w:marTop w:val="0"/>
              <w:marBottom w:val="0"/>
              <w:divBdr>
                <w:top w:val="none" w:sz="0" w:space="0" w:color="auto"/>
                <w:left w:val="none" w:sz="0" w:space="0" w:color="auto"/>
                <w:bottom w:val="none" w:sz="0" w:space="0" w:color="auto"/>
                <w:right w:val="none" w:sz="0" w:space="0" w:color="auto"/>
              </w:divBdr>
              <w:divsChild>
                <w:div w:id="1736010600">
                  <w:marLeft w:val="0"/>
                  <w:marRight w:val="0"/>
                  <w:marTop w:val="0"/>
                  <w:marBottom w:val="0"/>
                  <w:divBdr>
                    <w:top w:val="none" w:sz="0" w:space="0" w:color="auto"/>
                    <w:left w:val="none" w:sz="0" w:space="0" w:color="auto"/>
                    <w:bottom w:val="none" w:sz="0" w:space="0" w:color="auto"/>
                    <w:right w:val="none" w:sz="0" w:space="0" w:color="auto"/>
                  </w:divBdr>
                  <w:divsChild>
                    <w:div w:id="214701327">
                      <w:marLeft w:val="0"/>
                      <w:marRight w:val="0"/>
                      <w:marTop w:val="0"/>
                      <w:marBottom w:val="0"/>
                      <w:divBdr>
                        <w:top w:val="none" w:sz="0" w:space="0" w:color="auto"/>
                        <w:left w:val="none" w:sz="0" w:space="0" w:color="auto"/>
                        <w:bottom w:val="none" w:sz="0" w:space="0" w:color="auto"/>
                        <w:right w:val="none" w:sz="0" w:space="0" w:color="auto"/>
                      </w:divBdr>
                      <w:divsChild>
                        <w:div w:id="1065227833">
                          <w:marLeft w:val="0"/>
                          <w:marRight w:val="0"/>
                          <w:marTop w:val="0"/>
                          <w:marBottom w:val="0"/>
                          <w:divBdr>
                            <w:top w:val="single" w:sz="6" w:space="0" w:color="828282"/>
                            <w:left w:val="single" w:sz="6" w:space="0" w:color="828282"/>
                            <w:bottom w:val="single" w:sz="6" w:space="0" w:color="828282"/>
                            <w:right w:val="single" w:sz="6" w:space="0" w:color="828282"/>
                          </w:divBdr>
                          <w:divsChild>
                            <w:div w:id="1480341876">
                              <w:marLeft w:val="0"/>
                              <w:marRight w:val="0"/>
                              <w:marTop w:val="0"/>
                              <w:marBottom w:val="0"/>
                              <w:divBdr>
                                <w:top w:val="none" w:sz="0" w:space="0" w:color="auto"/>
                                <w:left w:val="none" w:sz="0" w:space="0" w:color="auto"/>
                                <w:bottom w:val="none" w:sz="0" w:space="0" w:color="auto"/>
                                <w:right w:val="none" w:sz="0" w:space="0" w:color="auto"/>
                              </w:divBdr>
                              <w:divsChild>
                                <w:div w:id="206457169">
                                  <w:marLeft w:val="0"/>
                                  <w:marRight w:val="0"/>
                                  <w:marTop w:val="0"/>
                                  <w:marBottom w:val="0"/>
                                  <w:divBdr>
                                    <w:top w:val="none" w:sz="0" w:space="0" w:color="auto"/>
                                    <w:left w:val="none" w:sz="0" w:space="0" w:color="auto"/>
                                    <w:bottom w:val="none" w:sz="0" w:space="0" w:color="auto"/>
                                    <w:right w:val="none" w:sz="0" w:space="0" w:color="auto"/>
                                  </w:divBdr>
                                  <w:divsChild>
                                    <w:div w:id="1614244268">
                                      <w:marLeft w:val="0"/>
                                      <w:marRight w:val="0"/>
                                      <w:marTop w:val="0"/>
                                      <w:marBottom w:val="0"/>
                                      <w:divBdr>
                                        <w:top w:val="none" w:sz="0" w:space="0" w:color="auto"/>
                                        <w:left w:val="none" w:sz="0" w:space="0" w:color="auto"/>
                                        <w:bottom w:val="none" w:sz="0" w:space="0" w:color="auto"/>
                                        <w:right w:val="none" w:sz="0" w:space="0" w:color="auto"/>
                                      </w:divBdr>
                                      <w:divsChild>
                                        <w:div w:id="1980530382">
                                          <w:marLeft w:val="0"/>
                                          <w:marRight w:val="0"/>
                                          <w:marTop w:val="0"/>
                                          <w:marBottom w:val="0"/>
                                          <w:divBdr>
                                            <w:top w:val="none" w:sz="0" w:space="0" w:color="auto"/>
                                            <w:left w:val="none" w:sz="0" w:space="0" w:color="auto"/>
                                            <w:bottom w:val="none" w:sz="0" w:space="0" w:color="auto"/>
                                            <w:right w:val="none" w:sz="0" w:space="0" w:color="auto"/>
                                          </w:divBdr>
                                          <w:divsChild>
                                            <w:div w:id="1372608851">
                                              <w:marLeft w:val="0"/>
                                              <w:marRight w:val="0"/>
                                              <w:marTop w:val="0"/>
                                              <w:marBottom w:val="0"/>
                                              <w:divBdr>
                                                <w:top w:val="none" w:sz="0" w:space="0" w:color="auto"/>
                                                <w:left w:val="none" w:sz="0" w:space="0" w:color="auto"/>
                                                <w:bottom w:val="none" w:sz="0" w:space="0" w:color="auto"/>
                                                <w:right w:val="none" w:sz="0" w:space="0" w:color="auto"/>
                                              </w:divBdr>
                                              <w:divsChild>
                                                <w:div w:id="841890168">
                                                  <w:marLeft w:val="0"/>
                                                  <w:marRight w:val="0"/>
                                                  <w:marTop w:val="0"/>
                                                  <w:marBottom w:val="0"/>
                                                  <w:divBdr>
                                                    <w:top w:val="none" w:sz="0" w:space="0" w:color="auto"/>
                                                    <w:left w:val="none" w:sz="0" w:space="0" w:color="auto"/>
                                                    <w:bottom w:val="none" w:sz="0" w:space="0" w:color="auto"/>
                                                    <w:right w:val="none" w:sz="0" w:space="0" w:color="auto"/>
                                                  </w:divBdr>
                                                  <w:divsChild>
                                                    <w:div w:id="15477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PIRE Document" ma:contentTypeID="0x01010053158623521E02459344FD72CDD99ED600A2D584079BA05F4D9A356B4AB3380BE2" ma:contentTypeVersion="5" ma:contentTypeDescription="SPIRE Document" ma:contentTypeScope="" ma:versionID="af84dedaa935f91c922229985d57632e">
  <xsd:schema xmlns:xsd="http://www.w3.org/2001/XMLSchema" xmlns:p="http://schemas.microsoft.com/office/2006/metadata/properties" xmlns:ns2="d8430d0f-47e2-4fb7-b3bb-dd4f7c79b414" xmlns:ns3="http://schemas.microsoft.com/sharepoint/v4" targetNamespace="http://schemas.microsoft.com/office/2006/metadata/properties" ma:root="true" ma:fieldsID="41facc1ace94bf4d9ca5cd5b93ac8379" ns2:_="" ns3:_="">
    <xsd:import namespace="d8430d0f-47e2-4fb7-b3bb-dd4f7c79b414"/>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dms="http://schemas.microsoft.com/office/2006/documentManagement/types" targetNamespace="d8430d0f-47e2-4fb7-b3bb-dd4f7c79b414" elementFormDefault="qualified">
    <xsd:import namespace="http://schemas.microsoft.com/office/2006/documentManagement/types"/>
    <xsd:element name="DocumentDescription" ma:index="8" nillable="true" ma:displayName="Document Description" ma:description="Document Description. Max 255 characters" ma:internalName="DocumentDescription">
      <xsd:simpleType>
        <xsd:restriction base="dms:Note"/>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xsd="http://www.w3.org/2001/XMLSchema" xmlns:dms="http://schemas.microsoft.com/office/2006/documentManagement/types" targetNamespace="http://schemas.microsoft.com/sharepoint/v4" elementFormDefault="qualified">
    <xsd:import namespace="http://schemas.microsoft.com/office/2006/documentManagement/type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RecordNumber xmlns="d8430d0f-47e2-4fb7-b3bb-dd4f7c79b414">000749597</RecordNumber>
    <IconOverlay xmlns="http://schemas.microsoft.com/sharepoint/v4" xsi:nil="true"/>
    <Approval xmlns="d8430d0f-47e2-4fb7-b3bb-dd4f7c79b414" xsi:nil="true"/>
    <Function xmlns="d8430d0f-47e2-4fb7-b3bb-dd4f7c79b414" xsi:nil="true"/>
    <DocumentDescription xmlns="d8430d0f-47e2-4fb7-b3bb-dd4f7c79b414" xsi:nil="true"/>
  </documentManagement>
</p:properties>
</file>

<file path=customXml/itemProps1.xml><?xml version="1.0" encoding="utf-8"?>
<ds:datastoreItem xmlns:ds="http://schemas.openxmlformats.org/officeDocument/2006/customXml" ds:itemID="{DEFCD3E4-9656-401D-9508-A52220885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30d0f-47e2-4fb7-b3bb-dd4f7c79b414"/>
    <ds:schemaRef ds:uri="http://schemas.microsoft.com/sharepoint/v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AB20E0D-502E-4615-9EA1-F92D06BE9201}">
  <ds:schemaRefs>
    <ds:schemaRef ds:uri="http://schemas.microsoft.com/office/2006/metadata/customXsn"/>
  </ds:schemaRefs>
</ds:datastoreItem>
</file>

<file path=customXml/itemProps3.xml><?xml version="1.0" encoding="utf-8"?>
<ds:datastoreItem xmlns:ds="http://schemas.openxmlformats.org/officeDocument/2006/customXml" ds:itemID="{9734AC71-8471-44FA-B893-5F288653A1CA}">
  <ds:schemaRefs>
    <ds:schemaRef ds:uri="http://schemas.microsoft.com/sharepoint/events"/>
  </ds:schemaRefs>
</ds:datastoreItem>
</file>

<file path=customXml/itemProps4.xml><?xml version="1.0" encoding="utf-8"?>
<ds:datastoreItem xmlns:ds="http://schemas.openxmlformats.org/officeDocument/2006/customXml" ds:itemID="{EA98C23A-A9AB-4BA8-AAB3-645F18C99B9C}">
  <ds:schemaRefs>
    <ds:schemaRef ds:uri="http://schemas.microsoft.com/sharepoint/v3/contenttype/forms"/>
  </ds:schemaRefs>
</ds:datastoreItem>
</file>

<file path=customXml/itemProps5.xml><?xml version="1.0" encoding="utf-8"?>
<ds:datastoreItem xmlns:ds="http://schemas.openxmlformats.org/officeDocument/2006/customXml" ds:itemID="{30E8BE9E-C9F8-4616-8965-CF3AFF2A9534}">
  <ds:schemaRefs>
    <ds:schemaRef ds:uri="http://schemas.microsoft.com/office/2006/metadata/properties"/>
    <ds:schemaRef ds:uri="d8430d0f-47e2-4fb7-b3bb-dd4f7c79b414"/>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1066</Words>
  <Characters>5588</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2015-09-01T02:26:00Z</cp:lastPrinted>
  <dcterms:created xsi:type="dcterms:W3CDTF">2015-10-07T06:27:00Z</dcterms:created>
  <dcterms:modified xsi:type="dcterms:W3CDTF">2015-10-07T06:27:00Z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0x01010053158623521E02459344FD72CDD99ED600A2D584079BA05F4D9A356B4AB3380BE2</vt:lpwstr>
  </property>
  <property fmtid="{D5CDD505-2E9C-101B-9397-08002B2CF9AE}" pid="3" name="RecordPoint_WorkflowType">
    <vt:lpwstr>ActiveSubmitStub</vt:lpwstr>
  </property>
  <property fmtid="{D5CDD505-2E9C-101B-9397-08002B2CF9AE}" pid="4" name="RecordPoint_ActiveItemSiteId">
    <vt:lpwstr>{65a9c67d-8621-4daf-8c18-51b91f4b20f6}</vt:lpwstr>
  </property>
  <property fmtid="{D5CDD505-2E9C-101B-9397-08002B2CF9AE}" pid="5" name="RecordPoint_ActiveItemListId">
    <vt:lpwstr>{e9b5567f-32ab-441a-8cf3-eadbae10a51f}</vt:lpwstr>
  </property>
  <property fmtid="{D5CDD505-2E9C-101B-9397-08002B2CF9AE}" pid="6" name="RecordPoint_ActiveItemUniqueId">
    <vt:lpwstr>{dcb53c18-546a-4434-b9f8-1b615ab59564}</vt:lpwstr>
  </property>
  <property fmtid="{D5CDD505-2E9C-101B-9397-08002B2CF9AE}" pid="7" name="RecordPoint_ActiveItemWebId">
    <vt:lpwstr>{95896362-88ff-4a5a-baa5-b7ccbdc85523}</vt:lpwstr>
  </property>
  <property fmtid="{D5CDD505-2E9C-101B-9397-08002B2CF9AE}" pid="8" name="RecordPoint_RecordNumberSubmitted">
    <vt:lpwstr>000749597</vt:lpwstr>
  </property>
  <property fmtid="{D5CDD505-2E9C-101B-9397-08002B2CF9AE}" pid="9" name="RecordPoint_SubmissionCompleted">
    <vt:lpwstr>2015-09-25T14:42:52.2278174+10:00</vt:lpwstr>
  </property>
</Properties>
</file>