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customXml/itemProps1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E2" w:rsidRDefault="001169E2" w:rsidP="00F900C9">
      <w:pPr>
        <w:jc w:val="center"/>
        <w:rPr>
          <w:rFonts w:cs="Times New Roman"/>
          <w:lang w:val="en-AU"/>
        </w:rPr>
      </w:pPr>
    </w:p>
    <w:p w:rsidR="001169E2" w:rsidRDefault="001169E2" w:rsidP="00F900C9">
      <w:pPr>
        <w:jc w:val="center"/>
        <w:rPr>
          <w:rFonts w:cs="Times New Roman"/>
          <w:lang w:val="en-AU"/>
        </w:rPr>
      </w:pPr>
    </w:p>
    <w:p w:rsidR="001169E2" w:rsidRDefault="001169E2" w:rsidP="00F900C9">
      <w:pPr>
        <w:jc w:val="center"/>
        <w:rPr>
          <w:rFonts w:cs="Times New Roman"/>
          <w:lang w:val="en-AU"/>
        </w:rPr>
      </w:pPr>
    </w:p>
    <w:p w:rsidR="001169E2" w:rsidRDefault="001169E2" w:rsidP="00F900C9">
      <w:pPr>
        <w:jc w:val="center"/>
        <w:rPr>
          <w:rFonts w:cs="Times New Roman"/>
          <w:lang w:val="en-AU"/>
        </w:rPr>
      </w:pPr>
    </w:p>
    <w:p w:rsidR="001169E2" w:rsidRDefault="001169E2" w:rsidP="00F900C9">
      <w:pPr>
        <w:jc w:val="center"/>
        <w:rPr>
          <w:rFonts w:cs="Times New Roman"/>
          <w:lang w:val="en-AU"/>
        </w:rPr>
      </w:pPr>
    </w:p>
    <w:p w:rsidR="006C17D8" w:rsidRPr="00F82C8D" w:rsidRDefault="006C17D8" w:rsidP="006C17D8">
      <w:pPr>
        <w:pStyle w:val="Title"/>
        <w:pBdr>
          <w:bottom w:val="none" w:sz="0" w:space="0" w:color="auto"/>
        </w:pBdr>
        <w:spacing w:before="240" w:after="480"/>
        <w:jc w:val="center"/>
        <w:rPr>
          <w:rFonts w:ascii="Times New Roman" w:hAnsi="Times New Roman" w:cs="Times New Roman"/>
          <w:sz w:val="28"/>
          <w:szCs w:val="24"/>
          <w:lang w:val="en-AU"/>
        </w:rPr>
      </w:pPr>
      <w:r w:rsidRPr="00F82C8D">
        <w:rPr>
          <w:rFonts w:ascii="Times New Roman" w:hAnsi="Times New Roman" w:cs="Times New Roman"/>
          <w:sz w:val="28"/>
          <w:szCs w:val="24"/>
          <w:lang w:val="en-AU"/>
        </w:rPr>
        <w:t>NATIONAL GREENHOUSE AND ENERGY REPORTING ACT 2007</w:t>
      </w:r>
      <w:r w:rsidR="000A7B10" w:rsidRPr="00F82C8D">
        <w:rPr>
          <w:rFonts w:ascii="Times New Roman" w:hAnsi="Times New Roman" w:cs="Times New Roman"/>
          <w:sz w:val="28"/>
          <w:szCs w:val="24"/>
          <w:lang w:val="en-AU"/>
        </w:rPr>
        <w:t xml:space="preserve"> </w:t>
      </w:r>
    </w:p>
    <w:p w:rsidR="00F900C9" w:rsidRPr="00F82C8D" w:rsidRDefault="00D47F56" w:rsidP="00F900C9">
      <w:pPr>
        <w:jc w:val="center"/>
        <w:rPr>
          <w:rFonts w:cs="Times New Roman"/>
          <w:b/>
          <w:i/>
          <w:sz w:val="20"/>
          <w:szCs w:val="24"/>
          <w:lang w:val="en-AU"/>
        </w:rPr>
      </w:pPr>
      <w:r w:rsidRPr="00F82C8D">
        <w:rPr>
          <w:rFonts w:cs="Times New Roman"/>
          <w:lang w:val="en-AU"/>
        </w:rPr>
        <w:t xml:space="preserve"> </w:t>
      </w:r>
    </w:p>
    <w:p w:rsidR="00F900C9" w:rsidRPr="00F82C8D" w:rsidRDefault="00F900C9" w:rsidP="00F900C9">
      <w:pPr>
        <w:jc w:val="center"/>
        <w:rPr>
          <w:rFonts w:cs="Times New Roman"/>
          <w:b/>
          <w:i/>
          <w:sz w:val="20"/>
          <w:szCs w:val="24"/>
          <w:lang w:val="en-AU"/>
        </w:rPr>
      </w:pPr>
    </w:p>
    <w:p w:rsidR="00622D84" w:rsidRPr="00F82C8D" w:rsidRDefault="00394E74" w:rsidP="00622D84">
      <w:pPr>
        <w:pStyle w:val="Title"/>
        <w:pBdr>
          <w:top w:val="single" w:sz="4" w:space="6" w:color="auto"/>
          <w:bottom w:val="single" w:sz="4" w:space="6" w:color="auto"/>
        </w:pBdr>
        <w:spacing w:before="240" w:after="480"/>
        <w:jc w:val="center"/>
        <w:rPr>
          <w:rFonts w:ascii="Times New Roman" w:hAnsi="Times New Roman" w:cs="Times New Roman"/>
          <w:sz w:val="28"/>
          <w:szCs w:val="24"/>
          <w:lang w:val="en-AU"/>
        </w:rPr>
      </w:pPr>
      <w:r w:rsidRPr="00F82C8D">
        <w:rPr>
          <w:rFonts w:ascii="Times New Roman" w:hAnsi="Times New Roman" w:cs="Times New Roman"/>
          <w:sz w:val="28"/>
          <w:szCs w:val="24"/>
          <w:lang w:val="en-AU"/>
        </w:rPr>
        <w:t xml:space="preserve"> </w:t>
      </w:r>
    </w:p>
    <w:p w:rsidR="00622D84" w:rsidRPr="00F82C8D" w:rsidRDefault="00F900C9" w:rsidP="00F900C9">
      <w:pPr>
        <w:pStyle w:val="Title"/>
        <w:pBdr>
          <w:top w:val="single" w:sz="4" w:space="6" w:color="auto"/>
          <w:bottom w:val="single" w:sz="4" w:space="6" w:color="auto"/>
        </w:pBdr>
        <w:spacing w:before="240" w:after="360"/>
        <w:jc w:val="center"/>
        <w:rPr>
          <w:rFonts w:ascii="Times New Roman" w:hAnsi="Times New Roman" w:cs="Times New Roman"/>
          <w:sz w:val="28"/>
          <w:szCs w:val="24"/>
          <w:lang w:val="en-AU"/>
        </w:rPr>
      </w:pPr>
      <w:r w:rsidRPr="00F82C8D">
        <w:rPr>
          <w:rFonts w:ascii="Times New Roman" w:hAnsi="Times New Roman" w:cs="Times New Roman"/>
          <w:sz w:val="28"/>
          <w:szCs w:val="24"/>
          <w:lang w:val="en-AU"/>
        </w:rPr>
        <w:t xml:space="preserve">NATIONAL GREENHOUSE AND ENERGY REPORTING </w:t>
      </w:r>
    </w:p>
    <w:p w:rsidR="00F900C9" w:rsidRPr="00F82C8D" w:rsidRDefault="00D037A0" w:rsidP="00F900C9">
      <w:pPr>
        <w:pStyle w:val="Title"/>
        <w:pBdr>
          <w:top w:val="single" w:sz="4" w:space="6" w:color="auto"/>
          <w:bottom w:val="single" w:sz="4" w:space="6" w:color="auto"/>
        </w:pBdr>
        <w:spacing w:before="240" w:after="360"/>
        <w:jc w:val="center"/>
        <w:rPr>
          <w:rFonts w:ascii="Times New Roman" w:hAnsi="Times New Roman" w:cs="Times New Roman"/>
          <w:i/>
          <w:sz w:val="22"/>
          <w:szCs w:val="24"/>
          <w:lang w:val="en-AU"/>
        </w:rPr>
      </w:pPr>
      <w:r w:rsidRPr="00F82C8D">
        <w:rPr>
          <w:rFonts w:ascii="Times New Roman" w:hAnsi="Times New Roman" w:cs="Times New Roman"/>
          <w:sz w:val="28"/>
          <w:szCs w:val="24"/>
          <w:lang w:val="en-AU"/>
        </w:rPr>
        <w:t>(SAFEGUARD MECHANIS</w:t>
      </w:r>
      <w:r w:rsidR="00F900C9" w:rsidRPr="00F82C8D">
        <w:rPr>
          <w:rFonts w:ascii="Times New Roman" w:hAnsi="Times New Roman" w:cs="Times New Roman"/>
          <w:sz w:val="28"/>
          <w:szCs w:val="24"/>
          <w:lang w:val="en-AU"/>
        </w:rPr>
        <w:t>M) RULE 2015</w:t>
      </w:r>
      <w:r w:rsidR="00F900C9" w:rsidRPr="00F82C8D">
        <w:rPr>
          <w:rFonts w:ascii="Times New Roman" w:hAnsi="Times New Roman" w:cs="Times New Roman"/>
          <w:i/>
          <w:sz w:val="22"/>
          <w:szCs w:val="24"/>
          <w:lang w:val="en-AU"/>
        </w:rPr>
        <w:t xml:space="preserve"> </w:t>
      </w:r>
    </w:p>
    <w:p w:rsidR="00F900C9" w:rsidRPr="00F82C8D" w:rsidRDefault="00F900C9" w:rsidP="00F900C9">
      <w:pPr>
        <w:rPr>
          <w:lang w:val="en-AU"/>
        </w:rPr>
      </w:pPr>
    </w:p>
    <w:p w:rsidR="00F900C9" w:rsidRPr="00F82C8D" w:rsidRDefault="00F900C9" w:rsidP="00F900C9">
      <w:pPr>
        <w:spacing w:before="240" w:after="120" w:line="240" w:lineRule="auto"/>
        <w:jc w:val="center"/>
        <w:rPr>
          <w:rFonts w:cs="Times New Roman"/>
          <w:szCs w:val="24"/>
          <w:lang w:val="en-AU"/>
        </w:rPr>
      </w:pPr>
    </w:p>
    <w:p w:rsidR="00F900C9" w:rsidRPr="00F82C8D" w:rsidRDefault="00F900C9" w:rsidP="00F900C9">
      <w:pPr>
        <w:spacing w:before="240" w:after="120" w:line="240" w:lineRule="auto"/>
        <w:jc w:val="center"/>
        <w:rPr>
          <w:rFonts w:cs="Times New Roman"/>
          <w:sz w:val="28"/>
          <w:szCs w:val="24"/>
          <w:lang w:val="en-AU"/>
        </w:rPr>
      </w:pPr>
      <w:r w:rsidRPr="00F82C8D">
        <w:rPr>
          <w:rFonts w:cs="Times New Roman"/>
          <w:sz w:val="28"/>
          <w:szCs w:val="24"/>
          <w:lang w:val="en-AU"/>
        </w:rPr>
        <w:t>EXPLAN</w:t>
      </w:r>
      <w:r w:rsidR="00D037A0" w:rsidRPr="00F82C8D">
        <w:rPr>
          <w:rFonts w:cs="Times New Roman"/>
          <w:sz w:val="28"/>
          <w:szCs w:val="24"/>
          <w:lang w:val="en-AU"/>
        </w:rPr>
        <w:t>A</w:t>
      </w:r>
      <w:r w:rsidRPr="00F82C8D">
        <w:rPr>
          <w:rFonts w:cs="Times New Roman"/>
          <w:sz w:val="28"/>
          <w:szCs w:val="24"/>
          <w:lang w:val="en-AU"/>
        </w:rPr>
        <w:t>TORY STATEMENT</w:t>
      </w:r>
    </w:p>
    <w:p w:rsidR="00622D84" w:rsidRPr="00F82C8D" w:rsidRDefault="00622D84" w:rsidP="00F900C9">
      <w:pPr>
        <w:spacing w:before="240" w:after="120" w:line="240" w:lineRule="auto"/>
        <w:jc w:val="center"/>
        <w:rPr>
          <w:rFonts w:cs="Times New Roman"/>
          <w:sz w:val="28"/>
          <w:szCs w:val="24"/>
          <w:lang w:val="en-AU"/>
        </w:rPr>
      </w:pPr>
    </w:p>
    <w:p w:rsidR="00622D84" w:rsidRPr="00F82C8D" w:rsidRDefault="00622D84" w:rsidP="00F900C9">
      <w:pPr>
        <w:spacing w:before="240" w:after="120" w:line="240" w:lineRule="auto"/>
        <w:jc w:val="center"/>
        <w:rPr>
          <w:rFonts w:cs="Times New Roman"/>
          <w:sz w:val="28"/>
          <w:szCs w:val="24"/>
          <w:lang w:val="en-AU"/>
        </w:rPr>
      </w:pPr>
    </w:p>
    <w:p w:rsidR="00622D84" w:rsidRPr="00F82C8D" w:rsidRDefault="00622D84" w:rsidP="00F900C9">
      <w:pPr>
        <w:spacing w:before="240" w:after="120" w:line="240" w:lineRule="auto"/>
        <w:jc w:val="center"/>
        <w:rPr>
          <w:rFonts w:cs="Times New Roman"/>
          <w:sz w:val="28"/>
          <w:szCs w:val="24"/>
          <w:lang w:val="en-AU"/>
        </w:rPr>
      </w:pPr>
    </w:p>
    <w:p w:rsidR="00622D84" w:rsidRPr="00F82C8D" w:rsidRDefault="00622D84" w:rsidP="00F900C9">
      <w:pPr>
        <w:spacing w:before="240" w:after="120" w:line="240" w:lineRule="auto"/>
        <w:jc w:val="center"/>
        <w:rPr>
          <w:rFonts w:cs="Times New Roman"/>
          <w:sz w:val="28"/>
          <w:szCs w:val="24"/>
          <w:lang w:val="en-AU"/>
        </w:rPr>
      </w:pPr>
    </w:p>
    <w:p w:rsidR="00F900C9" w:rsidRPr="00F82C8D" w:rsidRDefault="00F900C9" w:rsidP="00F900C9">
      <w:pPr>
        <w:spacing w:before="240" w:after="120" w:line="240" w:lineRule="auto"/>
        <w:jc w:val="center"/>
        <w:rPr>
          <w:rFonts w:cs="Times New Roman"/>
          <w:szCs w:val="24"/>
          <w:lang w:val="en-AU"/>
        </w:rPr>
      </w:pPr>
    </w:p>
    <w:p w:rsidR="00D26932" w:rsidRPr="00F82C8D" w:rsidRDefault="00F900C9" w:rsidP="00F900C9">
      <w:pPr>
        <w:spacing w:before="240" w:after="120" w:line="240" w:lineRule="auto"/>
        <w:jc w:val="center"/>
        <w:rPr>
          <w:rFonts w:cs="Times New Roman"/>
          <w:szCs w:val="24"/>
          <w:lang w:val="en-AU"/>
        </w:rPr>
      </w:pPr>
      <w:r w:rsidRPr="00F82C8D">
        <w:rPr>
          <w:rFonts w:cs="Times New Roman"/>
          <w:szCs w:val="24"/>
          <w:lang w:val="en-AU"/>
        </w:rPr>
        <w:t>(Issued by the a</w:t>
      </w:r>
      <w:r w:rsidR="005D4E9D" w:rsidRPr="00F82C8D">
        <w:rPr>
          <w:rFonts w:cs="Times New Roman"/>
          <w:szCs w:val="24"/>
          <w:lang w:val="en-AU"/>
        </w:rPr>
        <w:t xml:space="preserve">uthority of the </w:t>
      </w:r>
      <w:r w:rsidR="00920A98" w:rsidRPr="00F82C8D">
        <w:rPr>
          <w:rFonts w:cs="Times New Roman"/>
          <w:szCs w:val="24"/>
          <w:lang w:val="en-AU"/>
        </w:rPr>
        <w:t>Minister for the Environment</w:t>
      </w:r>
      <w:r w:rsidRPr="00F82C8D">
        <w:rPr>
          <w:rFonts w:cs="Times New Roman"/>
          <w:szCs w:val="24"/>
          <w:lang w:val="en-AU"/>
        </w:rPr>
        <w:t>)</w:t>
      </w:r>
    </w:p>
    <w:p w:rsidR="0005449C" w:rsidRPr="00F82C8D" w:rsidRDefault="0005449C" w:rsidP="005D1F2F">
      <w:pPr>
        <w:jc w:val="center"/>
        <w:rPr>
          <w:rFonts w:cs="Times New Roman"/>
          <w:i/>
          <w:lang w:val="en-AU"/>
        </w:rPr>
      </w:pPr>
    </w:p>
    <w:p w:rsidR="00F900C9" w:rsidRPr="00F82C8D" w:rsidRDefault="00F900C9" w:rsidP="005D1F2F">
      <w:pPr>
        <w:jc w:val="center"/>
        <w:rPr>
          <w:rFonts w:cs="Times New Roman"/>
          <w:i/>
          <w:szCs w:val="24"/>
          <w:lang w:val="en-AU"/>
        </w:rPr>
        <w:sectPr w:rsidR="00F900C9" w:rsidRPr="00F82C8D" w:rsidSect="002A16E8">
          <w:headerReference w:type="even" r:id="rId18"/>
          <w:headerReference w:type="default" r:id="rId19"/>
          <w:footerReference w:type="even" r:id="rId20"/>
          <w:footerReference w:type="default" r:id="rId21"/>
          <w:headerReference w:type="first" r:id="rId22"/>
          <w:footerReference w:type="first" r:id="rId23"/>
          <w:pgSz w:w="11906" w:h="16838"/>
          <w:pgMar w:top="1276" w:right="1440" w:bottom="426" w:left="1440" w:header="708" w:footer="708" w:gutter="0"/>
          <w:cols w:space="708"/>
          <w:docGrid w:linePitch="360"/>
        </w:sectPr>
      </w:pPr>
    </w:p>
    <w:sdt>
      <w:sdtPr>
        <w:rPr>
          <w:rFonts w:asciiTheme="minorHAnsi" w:eastAsiaTheme="minorEastAsia" w:hAnsiTheme="minorHAnsi" w:cstheme="minorBidi"/>
          <w:b w:val="0"/>
          <w:bCs w:val="0"/>
          <w:i w:val="0"/>
          <w:vanish/>
          <w:sz w:val="22"/>
          <w:szCs w:val="22"/>
          <w:lang w:val="en-US"/>
        </w:rPr>
        <w:id w:val="25388860"/>
        <w:docPartObj>
          <w:docPartGallery w:val="Table of Contents"/>
          <w:docPartUnique/>
        </w:docPartObj>
      </w:sdtPr>
      <w:sdtEndPr>
        <w:rPr>
          <w:rFonts w:ascii="Times New Roman" w:hAnsi="Times New Roman" w:cs="Times New Roman"/>
          <w:sz w:val="24"/>
        </w:rPr>
      </w:sdtEndPr>
      <w:sdtContent>
        <w:sdt>
          <w:sdtPr>
            <w:rPr>
              <w:rFonts w:asciiTheme="minorHAnsi" w:eastAsiaTheme="minorEastAsia" w:hAnsiTheme="minorHAnsi" w:cstheme="minorBidi"/>
              <w:b w:val="0"/>
              <w:bCs w:val="0"/>
              <w:i w:val="0"/>
              <w:vanish/>
              <w:sz w:val="22"/>
              <w:szCs w:val="22"/>
              <w:lang w:val="en-US"/>
            </w:rPr>
            <w:id w:val="11401662"/>
            <w:docPartObj>
              <w:docPartGallery w:val="Table of Contents"/>
              <w:docPartUnique/>
            </w:docPartObj>
          </w:sdtPr>
          <w:sdtEndPr>
            <w:rPr>
              <w:rFonts w:ascii="Times New Roman" w:hAnsi="Times New Roman" w:cs="Times New Roman"/>
              <w:sz w:val="24"/>
            </w:rPr>
          </w:sdtEndPr>
          <w:sdtContent>
            <w:p w:rsidR="005D1F2F" w:rsidRPr="00F82C8D" w:rsidRDefault="005D1F2F" w:rsidP="00622D84">
              <w:pPr>
                <w:pStyle w:val="TOCHeading"/>
                <w:pBdr>
                  <w:bottom w:val="single" w:sz="4" w:space="0" w:color="auto"/>
                </w:pBdr>
              </w:pPr>
              <w:r w:rsidRPr="00F82C8D">
                <w:t>Contents</w:t>
              </w:r>
            </w:p>
            <w:p w:rsidR="00F16B1F" w:rsidRDefault="006C2EA7">
              <w:pPr>
                <w:pStyle w:val="TOC1"/>
                <w:tabs>
                  <w:tab w:val="right" w:leader="dot" w:pos="9202"/>
                </w:tabs>
                <w:rPr>
                  <w:noProof/>
                </w:rPr>
              </w:pPr>
              <w:r w:rsidRPr="00F82C8D">
                <w:rPr>
                  <w:rFonts w:asciiTheme="majorHAnsi" w:hAnsiTheme="majorHAnsi" w:cs="Arial"/>
                  <w:sz w:val="28"/>
                  <w:lang w:val="en-AU"/>
                </w:rPr>
                <w:t xml:space="preserve"> </w:t>
              </w:r>
              <w:r w:rsidR="00744D5E" w:rsidRPr="00F82C8D">
                <w:rPr>
                  <w:rFonts w:asciiTheme="majorHAnsi" w:hAnsiTheme="majorHAnsi" w:cs="Arial"/>
                  <w:sz w:val="28"/>
                  <w:lang w:val="en-AU"/>
                </w:rPr>
                <w:fldChar w:fldCharType="begin"/>
              </w:r>
              <w:r w:rsidR="00B64D6C" w:rsidRPr="00F82C8D">
                <w:rPr>
                  <w:rFonts w:asciiTheme="majorHAnsi" w:hAnsiTheme="majorHAnsi" w:cs="Arial"/>
                  <w:sz w:val="28"/>
                  <w:lang w:val="en-AU"/>
                </w:rPr>
                <w:instrText xml:space="preserve"> TOC \o "1-2" \h \z \u </w:instrText>
              </w:r>
              <w:r w:rsidR="00744D5E" w:rsidRPr="00F82C8D">
                <w:rPr>
                  <w:rFonts w:asciiTheme="majorHAnsi" w:hAnsiTheme="majorHAnsi" w:cs="Arial"/>
                  <w:sz w:val="28"/>
                  <w:lang w:val="en-AU"/>
                </w:rPr>
                <w:fldChar w:fldCharType="separate"/>
              </w:r>
            </w:p>
            <w:p w:rsidR="00F16B1F" w:rsidRDefault="00744D5E">
              <w:pPr>
                <w:pStyle w:val="TOC1"/>
                <w:tabs>
                  <w:tab w:val="right" w:leader="dot" w:pos="9202"/>
                </w:tabs>
                <w:rPr>
                  <w:rFonts w:asciiTheme="minorHAnsi" w:hAnsiTheme="minorHAnsi"/>
                  <w:noProof/>
                  <w:sz w:val="22"/>
                  <w:lang w:val="en-AU" w:eastAsia="en-AU" w:bidi="ar-SA"/>
                </w:rPr>
              </w:pPr>
              <w:hyperlink w:anchor="_Toc431975825" w:history="1">
                <w:r w:rsidR="00F16B1F" w:rsidRPr="00B1473F">
                  <w:rPr>
                    <w:rStyle w:val="Hyperlink"/>
                    <w:noProof/>
                  </w:rPr>
                  <w:t>General outline and statements</w:t>
                </w:r>
                <w:r w:rsidR="00F16B1F">
                  <w:rPr>
                    <w:noProof/>
                    <w:webHidden/>
                  </w:rPr>
                  <w:tab/>
                </w:r>
                <w:r>
                  <w:rPr>
                    <w:noProof/>
                    <w:webHidden/>
                  </w:rPr>
                  <w:fldChar w:fldCharType="begin"/>
                </w:r>
                <w:r w:rsidR="00F16B1F">
                  <w:rPr>
                    <w:noProof/>
                    <w:webHidden/>
                  </w:rPr>
                  <w:instrText xml:space="preserve"> PAGEREF _Toc431975825 \h </w:instrText>
                </w:r>
                <w:r>
                  <w:rPr>
                    <w:noProof/>
                    <w:webHidden/>
                  </w:rPr>
                </w:r>
                <w:r>
                  <w:rPr>
                    <w:noProof/>
                    <w:webHidden/>
                  </w:rPr>
                  <w:fldChar w:fldCharType="separate"/>
                </w:r>
                <w:r w:rsidR="00F16B1F">
                  <w:rPr>
                    <w:noProof/>
                    <w:webHidden/>
                  </w:rPr>
                  <w:t>3</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26" w:history="1">
                <w:r w:rsidR="00F16B1F" w:rsidRPr="00B1473F">
                  <w:rPr>
                    <w:rStyle w:val="Hyperlink"/>
                    <w:noProof/>
                  </w:rPr>
                  <w:t>Introduction</w:t>
                </w:r>
                <w:r w:rsidR="00F16B1F">
                  <w:rPr>
                    <w:noProof/>
                    <w:webHidden/>
                  </w:rPr>
                  <w:tab/>
                </w:r>
                <w:r>
                  <w:rPr>
                    <w:noProof/>
                    <w:webHidden/>
                  </w:rPr>
                  <w:fldChar w:fldCharType="begin"/>
                </w:r>
                <w:r w:rsidR="00F16B1F">
                  <w:rPr>
                    <w:noProof/>
                    <w:webHidden/>
                  </w:rPr>
                  <w:instrText xml:space="preserve"> PAGEREF _Toc431975826 \h </w:instrText>
                </w:r>
                <w:r>
                  <w:rPr>
                    <w:noProof/>
                    <w:webHidden/>
                  </w:rPr>
                </w:r>
                <w:r>
                  <w:rPr>
                    <w:noProof/>
                    <w:webHidden/>
                  </w:rPr>
                  <w:fldChar w:fldCharType="separate"/>
                </w:r>
                <w:r w:rsidR="00F16B1F">
                  <w:rPr>
                    <w:noProof/>
                    <w:webHidden/>
                  </w:rPr>
                  <w:t>3</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27" w:history="1">
                <w:r w:rsidR="00F16B1F" w:rsidRPr="00B1473F">
                  <w:rPr>
                    <w:rStyle w:val="Hyperlink"/>
                    <w:noProof/>
                  </w:rPr>
                  <w:t>Safeguard mechanism legislative framework</w:t>
                </w:r>
                <w:r w:rsidR="00F16B1F">
                  <w:rPr>
                    <w:noProof/>
                    <w:webHidden/>
                  </w:rPr>
                  <w:tab/>
                </w:r>
                <w:r>
                  <w:rPr>
                    <w:noProof/>
                    <w:webHidden/>
                  </w:rPr>
                  <w:fldChar w:fldCharType="begin"/>
                </w:r>
                <w:r w:rsidR="00F16B1F">
                  <w:rPr>
                    <w:noProof/>
                    <w:webHidden/>
                  </w:rPr>
                  <w:instrText xml:space="preserve"> PAGEREF _Toc431975827 \h </w:instrText>
                </w:r>
                <w:r>
                  <w:rPr>
                    <w:noProof/>
                    <w:webHidden/>
                  </w:rPr>
                </w:r>
                <w:r>
                  <w:rPr>
                    <w:noProof/>
                    <w:webHidden/>
                  </w:rPr>
                  <w:fldChar w:fldCharType="separate"/>
                </w:r>
                <w:r w:rsidR="00F16B1F">
                  <w:rPr>
                    <w:noProof/>
                    <w:webHidden/>
                  </w:rPr>
                  <w:t>3</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28" w:history="1">
                <w:r w:rsidR="00F16B1F" w:rsidRPr="00B1473F">
                  <w:rPr>
                    <w:rStyle w:val="Hyperlink"/>
                    <w:noProof/>
                  </w:rPr>
                  <w:t>Public consultation</w:t>
                </w:r>
                <w:r w:rsidR="00F16B1F">
                  <w:rPr>
                    <w:noProof/>
                    <w:webHidden/>
                  </w:rPr>
                  <w:tab/>
                </w:r>
                <w:r>
                  <w:rPr>
                    <w:noProof/>
                    <w:webHidden/>
                  </w:rPr>
                  <w:fldChar w:fldCharType="begin"/>
                </w:r>
                <w:r w:rsidR="00F16B1F">
                  <w:rPr>
                    <w:noProof/>
                    <w:webHidden/>
                  </w:rPr>
                  <w:instrText xml:space="preserve"> PAGEREF _Toc431975828 \h </w:instrText>
                </w:r>
                <w:r>
                  <w:rPr>
                    <w:noProof/>
                    <w:webHidden/>
                  </w:rPr>
                </w:r>
                <w:r>
                  <w:rPr>
                    <w:noProof/>
                    <w:webHidden/>
                  </w:rPr>
                  <w:fldChar w:fldCharType="separate"/>
                </w:r>
                <w:r w:rsidR="00F16B1F">
                  <w:rPr>
                    <w:noProof/>
                    <w:webHidden/>
                  </w:rPr>
                  <w:t>5</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29" w:history="1">
                <w:r w:rsidR="00F16B1F" w:rsidRPr="00B1473F">
                  <w:rPr>
                    <w:rStyle w:val="Hyperlink"/>
                    <w:noProof/>
                  </w:rPr>
                  <w:t>Regulatory impact</w:t>
                </w:r>
                <w:r w:rsidR="00F16B1F">
                  <w:rPr>
                    <w:noProof/>
                    <w:webHidden/>
                  </w:rPr>
                  <w:tab/>
                </w:r>
                <w:r>
                  <w:rPr>
                    <w:noProof/>
                    <w:webHidden/>
                  </w:rPr>
                  <w:fldChar w:fldCharType="begin"/>
                </w:r>
                <w:r w:rsidR="00F16B1F">
                  <w:rPr>
                    <w:noProof/>
                    <w:webHidden/>
                  </w:rPr>
                  <w:instrText xml:space="preserve"> PAGEREF _Toc431975829 \h </w:instrText>
                </w:r>
                <w:r>
                  <w:rPr>
                    <w:noProof/>
                    <w:webHidden/>
                  </w:rPr>
                </w:r>
                <w:r>
                  <w:rPr>
                    <w:noProof/>
                    <w:webHidden/>
                  </w:rPr>
                  <w:fldChar w:fldCharType="separate"/>
                </w:r>
                <w:r w:rsidR="00F16B1F">
                  <w:rPr>
                    <w:noProof/>
                    <w:webHidden/>
                  </w:rPr>
                  <w:t>5</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30" w:history="1">
                <w:r w:rsidR="00F16B1F" w:rsidRPr="00B1473F">
                  <w:rPr>
                    <w:rStyle w:val="Hyperlink"/>
                    <w:noProof/>
                  </w:rPr>
                  <w:t>Safeguard rule details</w:t>
                </w:r>
                <w:r w:rsidR="00F16B1F">
                  <w:rPr>
                    <w:noProof/>
                    <w:webHidden/>
                  </w:rPr>
                  <w:tab/>
                </w:r>
                <w:r>
                  <w:rPr>
                    <w:noProof/>
                    <w:webHidden/>
                  </w:rPr>
                  <w:fldChar w:fldCharType="begin"/>
                </w:r>
                <w:r w:rsidR="00F16B1F">
                  <w:rPr>
                    <w:noProof/>
                    <w:webHidden/>
                  </w:rPr>
                  <w:instrText xml:space="preserve"> PAGEREF _Toc431975830 \h </w:instrText>
                </w:r>
                <w:r>
                  <w:rPr>
                    <w:noProof/>
                    <w:webHidden/>
                  </w:rPr>
                </w:r>
                <w:r>
                  <w:rPr>
                    <w:noProof/>
                    <w:webHidden/>
                  </w:rPr>
                  <w:fldChar w:fldCharType="separate"/>
                </w:r>
                <w:r w:rsidR="00F16B1F">
                  <w:rPr>
                    <w:noProof/>
                    <w:webHidden/>
                  </w:rPr>
                  <w:t>5</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31" w:history="1">
                <w:r w:rsidR="00F16B1F" w:rsidRPr="00B1473F">
                  <w:rPr>
                    <w:rStyle w:val="Hyperlink"/>
                    <w:noProof/>
                  </w:rPr>
                  <w:t>Statement of compatibility with human rights</w:t>
                </w:r>
                <w:r w:rsidR="00F16B1F">
                  <w:rPr>
                    <w:noProof/>
                    <w:webHidden/>
                  </w:rPr>
                  <w:tab/>
                </w:r>
                <w:r>
                  <w:rPr>
                    <w:noProof/>
                    <w:webHidden/>
                  </w:rPr>
                  <w:fldChar w:fldCharType="begin"/>
                </w:r>
                <w:r w:rsidR="00F16B1F">
                  <w:rPr>
                    <w:noProof/>
                    <w:webHidden/>
                  </w:rPr>
                  <w:instrText xml:space="preserve"> PAGEREF _Toc431975831 \h </w:instrText>
                </w:r>
                <w:r>
                  <w:rPr>
                    <w:noProof/>
                    <w:webHidden/>
                  </w:rPr>
                </w:r>
                <w:r>
                  <w:rPr>
                    <w:noProof/>
                    <w:webHidden/>
                  </w:rPr>
                  <w:fldChar w:fldCharType="separate"/>
                </w:r>
                <w:r w:rsidR="00F16B1F">
                  <w:rPr>
                    <w:noProof/>
                    <w:webHidden/>
                  </w:rPr>
                  <w:t>5</w:t>
                </w:r>
                <w:r>
                  <w:rPr>
                    <w:noProof/>
                    <w:webHidden/>
                  </w:rPr>
                  <w:fldChar w:fldCharType="end"/>
                </w:r>
              </w:hyperlink>
            </w:p>
            <w:p w:rsidR="00F16B1F" w:rsidRDefault="00744D5E">
              <w:pPr>
                <w:pStyle w:val="TOC1"/>
                <w:tabs>
                  <w:tab w:val="right" w:leader="dot" w:pos="9202"/>
                </w:tabs>
                <w:rPr>
                  <w:rFonts w:asciiTheme="minorHAnsi" w:hAnsiTheme="minorHAnsi"/>
                  <w:noProof/>
                  <w:sz w:val="22"/>
                  <w:lang w:val="en-AU" w:eastAsia="en-AU" w:bidi="ar-SA"/>
                </w:rPr>
              </w:pPr>
              <w:hyperlink w:anchor="_Toc431975832" w:history="1">
                <w:r w:rsidR="00F16B1F" w:rsidRPr="00B1473F">
                  <w:rPr>
                    <w:rStyle w:val="Hyperlink"/>
                    <w:noProof/>
                  </w:rPr>
                  <w:t>Policy context</w:t>
                </w:r>
                <w:r w:rsidR="00F16B1F">
                  <w:rPr>
                    <w:noProof/>
                    <w:webHidden/>
                  </w:rPr>
                  <w:tab/>
                </w:r>
                <w:r>
                  <w:rPr>
                    <w:noProof/>
                    <w:webHidden/>
                  </w:rPr>
                  <w:fldChar w:fldCharType="begin"/>
                </w:r>
                <w:r w:rsidR="00F16B1F">
                  <w:rPr>
                    <w:noProof/>
                    <w:webHidden/>
                  </w:rPr>
                  <w:instrText xml:space="preserve"> PAGEREF _Toc431975832 \h </w:instrText>
                </w:r>
                <w:r>
                  <w:rPr>
                    <w:noProof/>
                    <w:webHidden/>
                  </w:rPr>
                </w:r>
                <w:r>
                  <w:rPr>
                    <w:noProof/>
                    <w:webHidden/>
                  </w:rPr>
                  <w:fldChar w:fldCharType="separate"/>
                </w:r>
                <w:r w:rsidR="00F16B1F">
                  <w:rPr>
                    <w:noProof/>
                    <w:webHidden/>
                  </w:rPr>
                  <w:t>6</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33" w:history="1">
                <w:r w:rsidR="00F16B1F" w:rsidRPr="00B1473F">
                  <w:rPr>
                    <w:rStyle w:val="Hyperlink"/>
                    <w:noProof/>
                  </w:rPr>
                  <w:t>The Emissions Reduction Fund</w:t>
                </w:r>
                <w:r w:rsidR="00F16B1F">
                  <w:rPr>
                    <w:noProof/>
                    <w:webHidden/>
                  </w:rPr>
                  <w:tab/>
                </w:r>
                <w:r>
                  <w:rPr>
                    <w:noProof/>
                    <w:webHidden/>
                  </w:rPr>
                  <w:fldChar w:fldCharType="begin"/>
                </w:r>
                <w:r w:rsidR="00F16B1F">
                  <w:rPr>
                    <w:noProof/>
                    <w:webHidden/>
                  </w:rPr>
                  <w:instrText xml:space="preserve"> PAGEREF _Toc431975833 \h </w:instrText>
                </w:r>
                <w:r>
                  <w:rPr>
                    <w:noProof/>
                    <w:webHidden/>
                  </w:rPr>
                </w:r>
                <w:r>
                  <w:rPr>
                    <w:noProof/>
                    <w:webHidden/>
                  </w:rPr>
                  <w:fldChar w:fldCharType="separate"/>
                </w:r>
                <w:r w:rsidR="00F16B1F">
                  <w:rPr>
                    <w:noProof/>
                    <w:webHidden/>
                  </w:rPr>
                  <w:t>6</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34" w:history="1">
                <w:r w:rsidR="00F16B1F" w:rsidRPr="00B1473F">
                  <w:rPr>
                    <w:rStyle w:val="Hyperlink"/>
                    <w:noProof/>
                  </w:rPr>
                  <w:t>Coverage</w:t>
                </w:r>
                <w:r w:rsidR="00F16B1F">
                  <w:rPr>
                    <w:noProof/>
                    <w:webHidden/>
                  </w:rPr>
                  <w:tab/>
                </w:r>
                <w:r>
                  <w:rPr>
                    <w:noProof/>
                    <w:webHidden/>
                  </w:rPr>
                  <w:fldChar w:fldCharType="begin"/>
                </w:r>
                <w:r w:rsidR="00F16B1F">
                  <w:rPr>
                    <w:noProof/>
                    <w:webHidden/>
                  </w:rPr>
                  <w:instrText xml:space="preserve"> PAGEREF _Toc431975834 \h </w:instrText>
                </w:r>
                <w:r>
                  <w:rPr>
                    <w:noProof/>
                    <w:webHidden/>
                  </w:rPr>
                </w:r>
                <w:r>
                  <w:rPr>
                    <w:noProof/>
                    <w:webHidden/>
                  </w:rPr>
                  <w:fldChar w:fldCharType="separate"/>
                </w:r>
                <w:r w:rsidR="00F16B1F">
                  <w:rPr>
                    <w:noProof/>
                    <w:webHidden/>
                  </w:rPr>
                  <w:t>9</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35" w:history="1">
                <w:r w:rsidR="00F16B1F" w:rsidRPr="00B1473F">
                  <w:rPr>
                    <w:rStyle w:val="Hyperlink"/>
                    <w:noProof/>
                  </w:rPr>
                  <w:t>Establishing baselines for existing facilities</w:t>
                </w:r>
                <w:r w:rsidR="00F16B1F">
                  <w:rPr>
                    <w:noProof/>
                    <w:webHidden/>
                  </w:rPr>
                  <w:tab/>
                </w:r>
                <w:r>
                  <w:rPr>
                    <w:noProof/>
                    <w:webHidden/>
                  </w:rPr>
                  <w:fldChar w:fldCharType="begin"/>
                </w:r>
                <w:r w:rsidR="00F16B1F">
                  <w:rPr>
                    <w:noProof/>
                    <w:webHidden/>
                  </w:rPr>
                  <w:instrText xml:space="preserve"> PAGEREF _Toc431975835 \h </w:instrText>
                </w:r>
                <w:r>
                  <w:rPr>
                    <w:noProof/>
                    <w:webHidden/>
                  </w:rPr>
                </w:r>
                <w:r>
                  <w:rPr>
                    <w:noProof/>
                    <w:webHidden/>
                  </w:rPr>
                  <w:fldChar w:fldCharType="separate"/>
                </w:r>
                <w:r w:rsidR="00F16B1F">
                  <w:rPr>
                    <w:noProof/>
                    <w:webHidden/>
                  </w:rPr>
                  <w:t>9</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36" w:history="1">
                <w:r w:rsidR="00F16B1F" w:rsidRPr="00B1473F">
                  <w:rPr>
                    <w:rStyle w:val="Hyperlink"/>
                    <w:noProof/>
                  </w:rPr>
                  <w:t>Establishing baselines for new investments</w:t>
                </w:r>
                <w:r w:rsidR="00F16B1F">
                  <w:rPr>
                    <w:noProof/>
                    <w:webHidden/>
                  </w:rPr>
                  <w:tab/>
                </w:r>
                <w:r>
                  <w:rPr>
                    <w:noProof/>
                    <w:webHidden/>
                  </w:rPr>
                  <w:fldChar w:fldCharType="begin"/>
                </w:r>
                <w:r w:rsidR="00F16B1F">
                  <w:rPr>
                    <w:noProof/>
                    <w:webHidden/>
                  </w:rPr>
                  <w:instrText xml:space="preserve"> PAGEREF _Toc431975836 \h </w:instrText>
                </w:r>
                <w:r>
                  <w:rPr>
                    <w:noProof/>
                    <w:webHidden/>
                  </w:rPr>
                </w:r>
                <w:r>
                  <w:rPr>
                    <w:noProof/>
                    <w:webHidden/>
                  </w:rPr>
                  <w:fldChar w:fldCharType="separate"/>
                </w:r>
                <w:r w:rsidR="00F16B1F">
                  <w:rPr>
                    <w:noProof/>
                    <w:webHidden/>
                  </w:rPr>
                  <w:t>12</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37" w:history="1">
                <w:r w:rsidR="00F16B1F" w:rsidRPr="00B1473F">
                  <w:rPr>
                    <w:rStyle w:val="Hyperlink"/>
                    <w:noProof/>
                  </w:rPr>
                  <w:t>Emissions management</w:t>
                </w:r>
                <w:r w:rsidR="00F16B1F">
                  <w:rPr>
                    <w:noProof/>
                    <w:webHidden/>
                  </w:rPr>
                  <w:tab/>
                </w:r>
                <w:r>
                  <w:rPr>
                    <w:noProof/>
                    <w:webHidden/>
                  </w:rPr>
                  <w:fldChar w:fldCharType="begin"/>
                </w:r>
                <w:r w:rsidR="00F16B1F">
                  <w:rPr>
                    <w:noProof/>
                    <w:webHidden/>
                  </w:rPr>
                  <w:instrText xml:space="preserve"> PAGEREF _Toc431975837 \h </w:instrText>
                </w:r>
                <w:r>
                  <w:rPr>
                    <w:noProof/>
                    <w:webHidden/>
                  </w:rPr>
                </w:r>
                <w:r>
                  <w:rPr>
                    <w:noProof/>
                    <w:webHidden/>
                  </w:rPr>
                  <w:fldChar w:fldCharType="separate"/>
                </w:r>
                <w:r w:rsidR="00F16B1F">
                  <w:rPr>
                    <w:noProof/>
                    <w:webHidden/>
                  </w:rPr>
                  <w:t>15</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38" w:history="1">
                <w:r w:rsidR="00F16B1F" w:rsidRPr="00B1473F">
                  <w:rPr>
                    <w:rStyle w:val="Hyperlink"/>
                    <w:noProof/>
                  </w:rPr>
                  <w:t>Electricity sector</w:t>
                </w:r>
                <w:r w:rsidR="00F16B1F">
                  <w:rPr>
                    <w:noProof/>
                    <w:webHidden/>
                  </w:rPr>
                  <w:tab/>
                </w:r>
                <w:r>
                  <w:rPr>
                    <w:noProof/>
                    <w:webHidden/>
                  </w:rPr>
                  <w:fldChar w:fldCharType="begin"/>
                </w:r>
                <w:r w:rsidR="00F16B1F">
                  <w:rPr>
                    <w:noProof/>
                    <w:webHidden/>
                  </w:rPr>
                  <w:instrText xml:space="preserve"> PAGEREF _Toc431975838 \h </w:instrText>
                </w:r>
                <w:r>
                  <w:rPr>
                    <w:noProof/>
                    <w:webHidden/>
                  </w:rPr>
                </w:r>
                <w:r>
                  <w:rPr>
                    <w:noProof/>
                    <w:webHidden/>
                  </w:rPr>
                  <w:fldChar w:fldCharType="separate"/>
                </w:r>
                <w:r w:rsidR="00F16B1F">
                  <w:rPr>
                    <w:noProof/>
                    <w:webHidden/>
                  </w:rPr>
                  <w:t>19</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39" w:history="1">
                <w:r w:rsidR="00F16B1F" w:rsidRPr="00B1473F">
                  <w:rPr>
                    <w:rStyle w:val="Hyperlink"/>
                    <w:noProof/>
                  </w:rPr>
                  <w:t>Administration</w:t>
                </w:r>
                <w:r w:rsidR="00F16B1F">
                  <w:rPr>
                    <w:noProof/>
                    <w:webHidden/>
                  </w:rPr>
                  <w:tab/>
                </w:r>
                <w:r>
                  <w:rPr>
                    <w:noProof/>
                    <w:webHidden/>
                  </w:rPr>
                  <w:fldChar w:fldCharType="begin"/>
                </w:r>
                <w:r w:rsidR="00F16B1F">
                  <w:rPr>
                    <w:noProof/>
                    <w:webHidden/>
                  </w:rPr>
                  <w:instrText xml:space="preserve"> PAGEREF _Toc431975839 \h </w:instrText>
                </w:r>
                <w:r>
                  <w:rPr>
                    <w:noProof/>
                    <w:webHidden/>
                  </w:rPr>
                </w:r>
                <w:r>
                  <w:rPr>
                    <w:noProof/>
                    <w:webHidden/>
                  </w:rPr>
                  <w:fldChar w:fldCharType="separate"/>
                </w:r>
                <w:r w:rsidR="00F16B1F">
                  <w:rPr>
                    <w:noProof/>
                    <w:webHidden/>
                  </w:rPr>
                  <w:t>19</w:t>
                </w:r>
                <w:r>
                  <w:rPr>
                    <w:noProof/>
                    <w:webHidden/>
                  </w:rPr>
                  <w:fldChar w:fldCharType="end"/>
                </w:r>
              </w:hyperlink>
            </w:p>
            <w:p w:rsidR="00F16B1F" w:rsidRDefault="00744D5E">
              <w:pPr>
                <w:pStyle w:val="TOC1"/>
                <w:tabs>
                  <w:tab w:val="right" w:leader="dot" w:pos="9202"/>
                </w:tabs>
                <w:rPr>
                  <w:rFonts w:asciiTheme="minorHAnsi" w:hAnsiTheme="minorHAnsi"/>
                  <w:noProof/>
                  <w:sz w:val="22"/>
                  <w:lang w:val="en-AU" w:eastAsia="en-AU" w:bidi="ar-SA"/>
                </w:rPr>
              </w:pPr>
              <w:hyperlink w:anchor="_Toc431975840" w:history="1">
                <w:r w:rsidR="00F16B1F" w:rsidRPr="00B1473F">
                  <w:rPr>
                    <w:rStyle w:val="Hyperlink"/>
                    <w:noProof/>
                  </w:rPr>
                  <w:t>Part 1 Preliminary</w:t>
                </w:r>
                <w:r w:rsidR="00F16B1F">
                  <w:rPr>
                    <w:noProof/>
                    <w:webHidden/>
                  </w:rPr>
                  <w:tab/>
                </w:r>
                <w:r>
                  <w:rPr>
                    <w:noProof/>
                    <w:webHidden/>
                  </w:rPr>
                  <w:fldChar w:fldCharType="begin"/>
                </w:r>
                <w:r w:rsidR="00F16B1F">
                  <w:rPr>
                    <w:noProof/>
                    <w:webHidden/>
                  </w:rPr>
                  <w:instrText xml:space="preserve"> PAGEREF _Toc431975840 \h </w:instrText>
                </w:r>
                <w:r>
                  <w:rPr>
                    <w:noProof/>
                    <w:webHidden/>
                  </w:rPr>
                </w:r>
                <w:r>
                  <w:rPr>
                    <w:noProof/>
                    <w:webHidden/>
                  </w:rPr>
                  <w:fldChar w:fldCharType="separate"/>
                </w:r>
                <w:r w:rsidR="00F16B1F">
                  <w:rPr>
                    <w:noProof/>
                    <w:webHidden/>
                  </w:rPr>
                  <w:t>22</w:t>
                </w:r>
                <w:r>
                  <w:rPr>
                    <w:noProof/>
                    <w:webHidden/>
                  </w:rPr>
                  <w:fldChar w:fldCharType="end"/>
                </w:r>
              </w:hyperlink>
            </w:p>
            <w:p w:rsidR="00F16B1F" w:rsidRDefault="00744D5E">
              <w:pPr>
                <w:pStyle w:val="TOC1"/>
                <w:tabs>
                  <w:tab w:val="right" w:leader="dot" w:pos="9202"/>
                </w:tabs>
                <w:rPr>
                  <w:rFonts w:asciiTheme="minorHAnsi" w:hAnsiTheme="minorHAnsi"/>
                  <w:noProof/>
                  <w:sz w:val="22"/>
                  <w:lang w:val="en-AU" w:eastAsia="en-AU" w:bidi="ar-SA"/>
                </w:rPr>
              </w:pPr>
              <w:hyperlink w:anchor="_Toc431975841" w:history="1">
                <w:r w:rsidR="00F16B1F" w:rsidRPr="00B1473F">
                  <w:rPr>
                    <w:rStyle w:val="Hyperlink"/>
                    <w:noProof/>
                  </w:rPr>
                  <w:t>Part 2 Coverage</w:t>
                </w:r>
                <w:r w:rsidR="00F16B1F">
                  <w:rPr>
                    <w:noProof/>
                    <w:webHidden/>
                  </w:rPr>
                  <w:tab/>
                </w:r>
                <w:r>
                  <w:rPr>
                    <w:noProof/>
                    <w:webHidden/>
                  </w:rPr>
                  <w:fldChar w:fldCharType="begin"/>
                </w:r>
                <w:r w:rsidR="00F16B1F">
                  <w:rPr>
                    <w:noProof/>
                    <w:webHidden/>
                  </w:rPr>
                  <w:instrText xml:space="preserve"> PAGEREF _Toc431975841 \h </w:instrText>
                </w:r>
                <w:r>
                  <w:rPr>
                    <w:noProof/>
                    <w:webHidden/>
                  </w:rPr>
                </w:r>
                <w:r>
                  <w:rPr>
                    <w:noProof/>
                    <w:webHidden/>
                  </w:rPr>
                  <w:fldChar w:fldCharType="separate"/>
                </w:r>
                <w:r w:rsidR="00F16B1F">
                  <w:rPr>
                    <w:noProof/>
                    <w:webHidden/>
                  </w:rPr>
                  <w:t>33</w:t>
                </w:r>
                <w:r>
                  <w:rPr>
                    <w:noProof/>
                    <w:webHidden/>
                  </w:rPr>
                  <w:fldChar w:fldCharType="end"/>
                </w:r>
              </w:hyperlink>
            </w:p>
            <w:p w:rsidR="00F16B1F" w:rsidRDefault="00744D5E">
              <w:pPr>
                <w:pStyle w:val="TOC1"/>
                <w:tabs>
                  <w:tab w:val="right" w:leader="dot" w:pos="9202"/>
                </w:tabs>
                <w:rPr>
                  <w:rFonts w:asciiTheme="minorHAnsi" w:hAnsiTheme="minorHAnsi"/>
                  <w:noProof/>
                  <w:sz w:val="22"/>
                  <w:lang w:val="en-AU" w:eastAsia="en-AU" w:bidi="ar-SA"/>
                </w:rPr>
              </w:pPr>
              <w:hyperlink w:anchor="_Toc431975842" w:history="1">
                <w:r w:rsidR="00F16B1F" w:rsidRPr="00B1473F">
                  <w:rPr>
                    <w:rStyle w:val="Hyperlink"/>
                    <w:noProof/>
                  </w:rPr>
                  <w:t>Part 3 Baselines</w:t>
                </w:r>
                <w:r w:rsidR="00F16B1F">
                  <w:rPr>
                    <w:noProof/>
                    <w:webHidden/>
                  </w:rPr>
                  <w:tab/>
                </w:r>
                <w:r>
                  <w:rPr>
                    <w:noProof/>
                    <w:webHidden/>
                  </w:rPr>
                  <w:fldChar w:fldCharType="begin"/>
                </w:r>
                <w:r w:rsidR="00F16B1F">
                  <w:rPr>
                    <w:noProof/>
                    <w:webHidden/>
                  </w:rPr>
                  <w:instrText xml:space="preserve"> PAGEREF _Toc431975842 \h </w:instrText>
                </w:r>
                <w:r>
                  <w:rPr>
                    <w:noProof/>
                    <w:webHidden/>
                  </w:rPr>
                </w:r>
                <w:r>
                  <w:rPr>
                    <w:noProof/>
                    <w:webHidden/>
                  </w:rPr>
                  <w:fldChar w:fldCharType="separate"/>
                </w:r>
                <w:r w:rsidR="00F16B1F">
                  <w:rPr>
                    <w:noProof/>
                    <w:webHidden/>
                  </w:rPr>
                  <w:t>36</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43" w:history="1">
                <w:r w:rsidR="00F16B1F" w:rsidRPr="00B1473F">
                  <w:rPr>
                    <w:rStyle w:val="Hyperlink"/>
                    <w:noProof/>
                  </w:rPr>
                  <w:t>Outline of the Part</w:t>
                </w:r>
                <w:r w:rsidR="00F16B1F">
                  <w:rPr>
                    <w:noProof/>
                    <w:webHidden/>
                  </w:rPr>
                  <w:tab/>
                </w:r>
                <w:r>
                  <w:rPr>
                    <w:noProof/>
                    <w:webHidden/>
                  </w:rPr>
                  <w:fldChar w:fldCharType="begin"/>
                </w:r>
                <w:r w:rsidR="00F16B1F">
                  <w:rPr>
                    <w:noProof/>
                    <w:webHidden/>
                  </w:rPr>
                  <w:instrText xml:space="preserve"> PAGEREF _Toc431975843 \h </w:instrText>
                </w:r>
                <w:r>
                  <w:rPr>
                    <w:noProof/>
                    <w:webHidden/>
                  </w:rPr>
                </w:r>
                <w:r>
                  <w:rPr>
                    <w:noProof/>
                    <w:webHidden/>
                  </w:rPr>
                  <w:fldChar w:fldCharType="separate"/>
                </w:r>
                <w:r w:rsidR="00F16B1F">
                  <w:rPr>
                    <w:noProof/>
                    <w:webHidden/>
                  </w:rPr>
                  <w:t>36</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44" w:history="1">
                <w:r w:rsidR="00F16B1F" w:rsidRPr="00B1473F">
                  <w:rPr>
                    <w:rStyle w:val="Hyperlink"/>
                    <w:noProof/>
                  </w:rPr>
                  <w:t>Division 1—Baseline emissions number</w:t>
                </w:r>
                <w:r w:rsidR="00F16B1F">
                  <w:rPr>
                    <w:noProof/>
                    <w:webHidden/>
                  </w:rPr>
                  <w:tab/>
                </w:r>
                <w:r>
                  <w:rPr>
                    <w:noProof/>
                    <w:webHidden/>
                  </w:rPr>
                  <w:fldChar w:fldCharType="begin"/>
                </w:r>
                <w:r w:rsidR="00F16B1F">
                  <w:rPr>
                    <w:noProof/>
                    <w:webHidden/>
                  </w:rPr>
                  <w:instrText xml:space="preserve"> PAGEREF _Toc431975844 \h </w:instrText>
                </w:r>
                <w:r>
                  <w:rPr>
                    <w:noProof/>
                    <w:webHidden/>
                  </w:rPr>
                </w:r>
                <w:r>
                  <w:rPr>
                    <w:noProof/>
                    <w:webHidden/>
                  </w:rPr>
                  <w:fldChar w:fldCharType="separate"/>
                </w:r>
                <w:r w:rsidR="00F16B1F">
                  <w:rPr>
                    <w:noProof/>
                    <w:webHidden/>
                  </w:rPr>
                  <w:t>36</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45" w:history="1">
                <w:r w:rsidR="00F16B1F" w:rsidRPr="00B1473F">
                  <w:rPr>
                    <w:rStyle w:val="Hyperlink"/>
                    <w:noProof/>
                  </w:rPr>
                  <w:t>Division 2—Baseline determinations</w:t>
                </w:r>
                <w:r w:rsidR="00F16B1F">
                  <w:rPr>
                    <w:noProof/>
                    <w:webHidden/>
                  </w:rPr>
                  <w:tab/>
                </w:r>
                <w:r>
                  <w:rPr>
                    <w:noProof/>
                    <w:webHidden/>
                  </w:rPr>
                  <w:fldChar w:fldCharType="begin"/>
                </w:r>
                <w:r w:rsidR="00F16B1F">
                  <w:rPr>
                    <w:noProof/>
                    <w:webHidden/>
                  </w:rPr>
                  <w:instrText xml:space="preserve"> PAGEREF _Toc431975845 \h </w:instrText>
                </w:r>
                <w:r>
                  <w:rPr>
                    <w:noProof/>
                    <w:webHidden/>
                  </w:rPr>
                </w:r>
                <w:r>
                  <w:rPr>
                    <w:noProof/>
                    <w:webHidden/>
                  </w:rPr>
                  <w:fldChar w:fldCharType="separate"/>
                </w:r>
                <w:r w:rsidR="00F16B1F">
                  <w:rPr>
                    <w:noProof/>
                    <w:webHidden/>
                  </w:rPr>
                  <w:t>37</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46" w:history="1">
                <w:r w:rsidR="00F16B1F" w:rsidRPr="00B1473F">
                  <w:rPr>
                    <w:rStyle w:val="Hyperlink"/>
                    <w:noProof/>
                  </w:rPr>
                  <w:t>Subdivision 2—Reported-emissions baseline determinations</w:t>
                </w:r>
                <w:r w:rsidR="00F16B1F">
                  <w:rPr>
                    <w:noProof/>
                    <w:webHidden/>
                  </w:rPr>
                  <w:tab/>
                </w:r>
                <w:r>
                  <w:rPr>
                    <w:noProof/>
                    <w:webHidden/>
                  </w:rPr>
                  <w:fldChar w:fldCharType="begin"/>
                </w:r>
                <w:r w:rsidR="00F16B1F">
                  <w:rPr>
                    <w:noProof/>
                    <w:webHidden/>
                  </w:rPr>
                  <w:instrText xml:space="preserve"> PAGEREF _Toc431975846 \h </w:instrText>
                </w:r>
                <w:r>
                  <w:rPr>
                    <w:noProof/>
                    <w:webHidden/>
                  </w:rPr>
                </w:r>
                <w:r>
                  <w:rPr>
                    <w:noProof/>
                    <w:webHidden/>
                  </w:rPr>
                  <w:fldChar w:fldCharType="separate"/>
                </w:r>
                <w:r w:rsidR="00F16B1F">
                  <w:rPr>
                    <w:noProof/>
                    <w:webHidden/>
                  </w:rPr>
                  <w:t>38</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47" w:history="1">
                <w:r w:rsidR="00F16B1F" w:rsidRPr="00B1473F">
                  <w:rPr>
                    <w:rStyle w:val="Hyperlink"/>
                    <w:noProof/>
                    <w:lang w:val="en-AU"/>
                  </w:rPr>
                  <w:t>Subdivision 3</w:t>
                </w:r>
                <w:r w:rsidR="00F16B1F" w:rsidRPr="00B1473F">
                  <w:rPr>
                    <w:rStyle w:val="Hyperlink"/>
                    <w:noProof/>
                  </w:rPr>
                  <w:t>—</w:t>
                </w:r>
                <w:r w:rsidR="00F16B1F" w:rsidRPr="00B1473F">
                  <w:rPr>
                    <w:rStyle w:val="Hyperlink"/>
                    <w:noProof/>
                    <w:lang w:val="en-AU"/>
                  </w:rPr>
                  <w:t>Calculated-emissions baseline determination</w:t>
                </w:r>
                <w:r w:rsidR="00F16B1F">
                  <w:rPr>
                    <w:noProof/>
                    <w:webHidden/>
                  </w:rPr>
                  <w:tab/>
                </w:r>
                <w:r>
                  <w:rPr>
                    <w:noProof/>
                    <w:webHidden/>
                  </w:rPr>
                  <w:fldChar w:fldCharType="begin"/>
                </w:r>
                <w:r w:rsidR="00F16B1F">
                  <w:rPr>
                    <w:noProof/>
                    <w:webHidden/>
                  </w:rPr>
                  <w:instrText xml:space="preserve"> PAGEREF _Toc431975847 \h </w:instrText>
                </w:r>
                <w:r>
                  <w:rPr>
                    <w:noProof/>
                    <w:webHidden/>
                  </w:rPr>
                </w:r>
                <w:r>
                  <w:rPr>
                    <w:noProof/>
                    <w:webHidden/>
                  </w:rPr>
                  <w:fldChar w:fldCharType="separate"/>
                </w:r>
                <w:r w:rsidR="00F16B1F">
                  <w:rPr>
                    <w:noProof/>
                    <w:webHidden/>
                  </w:rPr>
                  <w:t>47</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48" w:history="1">
                <w:r w:rsidR="00F16B1F" w:rsidRPr="00B1473F">
                  <w:rPr>
                    <w:rStyle w:val="Hyperlink"/>
                    <w:noProof/>
                    <w:lang w:val="en-AU"/>
                  </w:rPr>
                  <w:t>Subdivision 4</w:t>
                </w:r>
                <w:r w:rsidR="00F16B1F" w:rsidRPr="00B1473F">
                  <w:rPr>
                    <w:rStyle w:val="Hyperlink"/>
                    <w:noProof/>
                  </w:rPr>
                  <w:t>—</w:t>
                </w:r>
                <w:r w:rsidR="00F16B1F" w:rsidRPr="00B1473F">
                  <w:rPr>
                    <w:rStyle w:val="Hyperlink"/>
                    <w:noProof/>
                    <w:lang w:val="en-AU"/>
                  </w:rPr>
                  <w:t>Benchmark-emissions baselines determination</w:t>
                </w:r>
                <w:r w:rsidR="00F16B1F">
                  <w:rPr>
                    <w:noProof/>
                    <w:webHidden/>
                  </w:rPr>
                  <w:tab/>
                </w:r>
                <w:r>
                  <w:rPr>
                    <w:noProof/>
                    <w:webHidden/>
                  </w:rPr>
                  <w:fldChar w:fldCharType="begin"/>
                </w:r>
                <w:r w:rsidR="00F16B1F">
                  <w:rPr>
                    <w:noProof/>
                    <w:webHidden/>
                  </w:rPr>
                  <w:instrText xml:space="preserve"> PAGEREF _Toc431975848 \h </w:instrText>
                </w:r>
                <w:r>
                  <w:rPr>
                    <w:noProof/>
                    <w:webHidden/>
                  </w:rPr>
                </w:r>
                <w:r>
                  <w:rPr>
                    <w:noProof/>
                    <w:webHidden/>
                  </w:rPr>
                  <w:fldChar w:fldCharType="separate"/>
                </w:r>
                <w:r w:rsidR="00F16B1F">
                  <w:rPr>
                    <w:noProof/>
                    <w:webHidden/>
                  </w:rPr>
                  <w:t>61</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49" w:history="1">
                <w:r w:rsidR="00F16B1F" w:rsidRPr="00B1473F">
                  <w:rPr>
                    <w:rStyle w:val="Hyperlink"/>
                    <w:noProof/>
                    <w:lang w:val="en-AU"/>
                  </w:rPr>
                  <w:t>Subdivision 5</w:t>
                </w:r>
                <w:r w:rsidR="00F16B1F" w:rsidRPr="00B1473F">
                  <w:rPr>
                    <w:rStyle w:val="Hyperlink"/>
                    <w:noProof/>
                  </w:rPr>
                  <w:t>—</w:t>
                </w:r>
                <w:r w:rsidR="00F16B1F" w:rsidRPr="00B1473F">
                  <w:rPr>
                    <w:rStyle w:val="Hyperlink"/>
                    <w:noProof/>
                    <w:lang w:val="en-AU"/>
                  </w:rPr>
                  <w:t>Production-adjusted baseline determination</w:t>
                </w:r>
                <w:r w:rsidR="00F16B1F">
                  <w:rPr>
                    <w:noProof/>
                    <w:webHidden/>
                  </w:rPr>
                  <w:tab/>
                </w:r>
                <w:r>
                  <w:rPr>
                    <w:noProof/>
                    <w:webHidden/>
                  </w:rPr>
                  <w:fldChar w:fldCharType="begin"/>
                </w:r>
                <w:r w:rsidR="00F16B1F">
                  <w:rPr>
                    <w:noProof/>
                    <w:webHidden/>
                  </w:rPr>
                  <w:instrText xml:space="preserve"> PAGEREF _Toc431975849 \h </w:instrText>
                </w:r>
                <w:r>
                  <w:rPr>
                    <w:noProof/>
                    <w:webHidden/>
                  </w:rPr>
                </w:r>
                <w:r>
                  <w:rPr>
                    <w:noProof/>
                    <w:webHidden/>
                  </w:rPr>
                  <w:fldChar w:fldCharType="separate"/>
                </w:r>
                <w:r w:rsidR="00F16B1F">
                  <w:rPr>
                    <w:noProof/>
                    <w:webHidden/>
                  </w:rPr>
                  <w:t>71</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50" w:history="1">
                <w:r w:rsidR="00F16B1F" w:rsidRPr="00B1473F">
                  <w:rPr>
                    <w:rStyle w:val="Hyperlink"/>
                    <w:noProof/>
                    <w:lang w:val="en-AU"/>
                  </w:rPr>
                  <w:t>Subdivision 6</w:t>
                </w:r>
                <w:r w:rsidR="00F16B1F" w:rsidRPr="00B1473F">
                  <w:rPr>
                    <w:rStyle w:val="Hyperlink"/>
                    <w:noProof/>
                  </w:rPr>
                  <w:t>—</w:t>
                </w:r>
                <w:r w:rsidR="00F16B1F" w:rsidRPr="00B1473F">
                  <w:rPr>
                    <w:rStyle w:val="Hyperlink"/>
                    <w:noProof/>
                    <w:lang w:val="en-AU"/>
                  </w:rPr>
                  <w:t>Variation of baseline determination for reduction in emissions intensity</w:t>
                </w:r>
                <w:r w:rsidR="00F16B1F">
                  <w:rPr>
                    <w:noProof/>
                    <w:webHidden/>
                  </w:rPr>
                  <w:tab/>
                </w:r>
                <w:r>
                  <w:rPr>
                    <w:noProof/>
                    <w:webHidden/>
                  </w:rPr>
                  <w:fldChar w:fldCharType="begin"/>
                </w:r>
                <w:r w:rsidR="00F16B1F">
                  <w:rPr>
                    <w:noProof/>
                    <w:webHidden/>
                  </w:rPr>
                  <w:instrText xml:space="preserve"> PAGEREF _Toc431975850 \h </w:instrText>
                </w:r>
                <w:r>
                  <w:rPr>
                    <w:noProof/>
                    <w:webHidden/>
                  </w:rPr>
                </w:r>
                <w:r>
                  <w:rPr>
                    <w:noProof/>
                    <w:webHidden/>
                  </w:rPr>
                  <w:fldChar w:fldCharType="separate"/>
                </w:r>
                <w:r w:rsidR="00F16B1F">
                  <w:rPr>
                    <w:noProof/>
                    <w:webHidden/>
                  </w:rPr>
                  <w:t>78</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51" w:history="1">
                <w:r w:rsidR="00F16B1F" w:rsidRPr="00B1473F">
                  <w:rPr>
                    <w:rStyle w:val="Hyperlink"/>
                    <w:noProof/>
                  </w:rPr>
                  <w:t>Subdivision 7—</w:t>
                </w:r>
                <w:r w:rsidR="00F16B1F" w:rsidRPr="00B1473F">
                  <w:rPr>
                    <w:rStyle w:val="Hyperlink"/>
                    <w:noProof/>
                    <w:lang w:val="en-AU"/>
                  </w:rPr>
                  <w:t>Landfill-benchmark baseline determination</w:t>
                </w:r>
                <w:r w:rsidR="00F16B1F">
                  <w:rPr>
                    <w:noProof/>
                    <w:webHidden/>
                  </w:rPr>
                  <w:tab/>
                </w:r>
                <w:r>
                  <w:rPr>
                    <w:noProof/>
                    <w:webHidden/>
                  </w:rPr>
                  <w:fldChar w:fldCharType="begin"/>
                </w:r>
                <w:r w:rsidR="00F16B1F">
                  <w:rPr>
                    <w:noProof/>
                    <w:webHidden/>
                  </w:rPr>
                  <w:instrText xml:space="preserve"> PAGEREF _Toc431975851 \h </w:instrText>
                </w:r>
                <w:r>
                  <w:rPr>
                    <w:noProof/>
                    <w:webHidden/>
                  </w:rPr>
                </w:r>
                <w:r>
                  <w:rPr>
                    <w:noProof/>
                    <w:webHidden/>
                  </w:rPr>
                  <w:fldChar w:fldCharType="separate"/>
                </w:r>
                <w:r w:rsidR="00F16B1F">
                  <w:rPr>
                    <w:noProof/>
                    <w:webHidden/>
                  </w:rPr>
                  <w:t>86</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52" w:history="1">
                <w:r w:rsidR="00F16B1F" w:rsidRPr="00B1473F">
                  <w:rPr>
                    <w:rStyle w:val="Hyperlink"/>
                    <w:noProof/>
                    <w:lang w:val="en-AU"/>
                  </w:rPr>
                  <w:t>Subdivision 8</w:t>
                </w:r>
                <w:r w:rsidR="00F16B1F" w:rsidRPr="00B1473F">
                  <w:rPr>
                    <w:rStyle w:val="Hyperlink"/>
                    <w:noProof/>
                  </w:rPr>
                  <w:t>—</w:t>
                </w:r>
                <w:r w:rsidR="00F16B1F" w:rsidRPr="00B1473F">
                  <w:rPr>
                    <w:rStyle w:val="Hyperlink"/>
                    <w:noProof/>
                    <w:lang w:val="en-AU"/>
                  </w:rPr>
                  <w:t>General variation and remaking of baseline determinations</w:t>
                </w:r>
                <w:r w:rsidR="00F16B1F">
                  <w:rPr>
                    <w:noProof/>
                    <w:webHidden/>
                  </w:rPr>
                  <w:tab/>
                </w:r>
                <w:r>
                  <w:rPr>
                    <w:noProof/>
                    <w:webHidden/>
                  </w:rPr>
                  <w:fldChar w:fldCharType="begin"/>
                </w:r>
                <w:r w:rsidR="00F16B1F">
                  <w:rPr>
                    <w:noProof/>
                    <w:webHidden/>
                  </w:rPr>
                  <w:instrText xml:space="preserve"> PAGEREF _Toc431975852 \h </w:instrText>
                </w:r>
                <w:r>
                  <w:rPr>
                    <w:noProof/>
                    <w:webHidden/>
                  </w:rPr>
                </w:r>
                <w:r>
                  <w:rPr>
                    <w:noProof/>
                    <w:webHidden/>
                  </w:rPr>
                  <w:fldChar w:fldCharType="separate"/>
                </w:r>
                <w:r w:rsidR="00F16B1F">
                  <w:rPr>
                    <w:noProof/>
                    <w:webHidden/>
                  </w:rPr>
                  <w:t>89</w:t>
                </w:r>
                <w:r>
                  <w:rPr>
                    <w:noProof/>
                    <w:webHidden/>
                  </w:rPr>
                  <w:fldChar w:fldCharType="end"/>
                </w:r>
              </w:hyperlink>
            </w:p>
            <w:p w:rsidR="00F16B1F" w:rsidRDefault="00744D5E">
              <w:pPr>
                <w:pStyle w:val="TOC1"/>
                <w:tabs>
                  <w:tab w:val="right" w:leader="dot" w:pos="9202"/>
                </w:tabs>
                <w:rPr>
                  <w:rFonts w:asciiTheme="minorHAnsi" w:hAnsiTheme="minorHAnsi"/>
                  <w:noProof/>
                  <w:sz w:val="22"/>
                  <w:lang w:val="en-AU" w:eastAsia="en-AU" w:bidi="ar-SA"/>
                </w:rPr>
              </w:pPr>
              <w:hyperlink w:anchor="_Toc431975853" w:history="1">
                <w:r w:rsidR="00F16B1F" w:rsidRPr="00B1473F">
                  <w:rPr>
                    <w:rStyle w:val="Hyperlink"/>
                    <w:noProof/>
                  </w:rPr>
                  <w:t>Part 4 Compliance</w:t>
                </w:r>
                <w:r w:rsidR="00F16B1F">
                  <w:rPr>
                    <w:noProof/>
                    <w:webHidden/>
                  </w:rPr>
                  <w:tab/>
                </w:r>
                <w:r>
                  <w:rPr>
                    <w:noProof/>
                    <w:webHidden/>
                  </w:rPr>
                  <w:fldChar w:fldCharType="begin"/>
                </w:r>
                <w:r w:rsidR="00F16B1F">
                  <w:rPr>
                    <w:noProof/>
                    <w:webHidden/>
                  </w:rPr>
                  <w:instrText xml:space="preserve"> PAGEREF _Toc431975853 \h </w:instrText>
                </w:r>
                <w:r>
                  <w:rPr>
                    <w:noProof/>
                    <w:webHidden/>
                  </w:rPr>
                </w:r>
                <w:r>
                  <w:rPr>
                    <w:noProof/>
                    <w:webHidden/>
                  </w:rPr>
                  <w:fldChar w:fldCharType="separate"/>
                </w:r>
                <w:r w:rsidR="00F16B1F">
                  <w:rPr>
                    <w:noProof/>
                    <w:webHidden/>
                  </w:rPr>
                  <w:t>93</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54" w:history="1">
                <w:r w:rsidR="00F16B1F" w:rsidRPr="00B1473F">
                  <w:rPr>
                    <w:rStyle w:val="Hyperlink"/>
                    <w:noProof/>
                  </w:rPr>
                  <w:t>Outline of the Part</w:t>
                </w:r>
                <w:r w:rsidR="00F16B1F">
                  <w:rPr>
                    <w:noProof/>
                    <w:webHidden/>
                  </w:rPr>
                  <w:tab/>
                </w:r>
                <w:r>
                  <w:rPr>
                    <w:noProof/>
                    <w:webHidden/>
                  </w:rPr>
                  <w:fldChar w:fldCharType="begin"/>
                </w:r>
                <w:r w:rsidR="00F16B1F">
                  <w:rPr>
                    <w:noProof/>
                    <w:webHidden/>
                  </w:rPr>
                  <w:instrText xml:space="preserve"> PAGEREF _Toc431975854 \h </w:instrText>
                </w:r>
                <w:r>
                  <w:rPr>
                    <w:noProof/>
                    <w:webHidden/>
                  </w:rPr>
                </w:r>
                <w:r>
                  <w:rPr>
                    <w:noProof/>
                    <w:webHidden/>
                  </w:rPr>
                  <w:fldChar w:fldCharType="separate"/>
                </w:r>
                <w:r w:rsidR="00F16B1F">
                  <w:rPr>
                    <w:noProof/>
                    <w:webHidden/>
                  </w:rPr>
                  <w:t>93</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55" w:history="1">
                <w:r w:rsidR="00F16B1F" w:rsidRPr="00B1473F">
                  <w:rPr>
                    <w:rStyle w:val="Hyperlink"/>
                    <w:noProof/>
                  </w:rPr>
                  <w:t>Division 1—Exemption declarations</w:t>
                </w:r>
                <w:r w:rsidR="00F16B1F">
                  <w:rPr>
                    <w:noProof/>
                    <w:webHidden/>
                  </w:rPr>
                  <w:tab/>
                </w:r>
                <w:r>
                  <w:rPr>
                    <w:noProof/>
                    <w:webHidden/>
                  </w:rPr>
                  <w:fldChar w:fldCharType="begin"/>
                </w:r>
                <w:r w:rsidR="00F16B1F">
                  <w:rPr>
                    <w:noProof/>
                    <w:webHidden/>
                  </w:rPr>
                  <w:instrText xml:space="preserve"> PAGEREF _Toc431975855 \h </w:instrText>
                </w:r>
                <w:r>
                  <w:rPr>
                    <w:noProof/>
                    <w:webHidden/>
                  </w:rPr>
                </w:r>
                <w:r>
                  <w:rPr>
                    <w:noProof/>
                    <w:webHidden/>
                  </w:rPr>
                  <w:fldChar w:fldCharType="separate"/>
                </w:r>
                <w:r w:rsidR="00F16B1F">
                  <w:rPr>
                    <w:noProof/>
                    <w:webHidden/>
                  </w:rPr>
                  <w:t>93</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56" w:history="1">
                <w:r w:rsidR="00F16B1F" w:rsidRPr="00B1473F">
                  <w:rPr>
                    <w:rStyle w:val="Hyperlink"/>
                    <w:noProof/>
                  </w:rPr>
                  <w:t>Division 2—Declared multi-year periods</w:t>
                </w:r>
                <w:r w:rsidR="00F16B1F">
                  <w:rPr>
                    <w:noProof/>
                    <w:webHidden/>
                  </w:rPr>
                  <w:tab/>
                </w:r>
                <w:r>
                  <w:rPr>
                    <w:noProof/>
                    <w:webHidden/>
                  </w:rPr>
                  <w:fldChar w:fldCharType="begin"/>
                </w:r>
                <w:r w:rsidR="00F16B1F">
                  <w:rPr>
                    <w:noProof/>
                    <w:webHidden/>
                  </w:rPr>
                  <w:instrText xml:space="preserve"> PAGEREF _Toc431975856 \h </w:instrText>
                </w:r>
                <w:r>
                  <w:rPr>
                    <w:noProof/>
                    <w:webHidden/>
                  </w:rPr>
                </w:r>
                <w:r>
                  <w:rPr>
                    <w:noProof/>
                    <w:webHidden/>
                  </w:rPr>
                  <w:fldChar w:fldCharType="separate"/>
                </w:r>
                <w:r w:rsidR="00F16B1F">
                  <w:rPr>
                    <w:noProof/>
                    <w:webHidden/>
                  </w:rPr>
                  <w:t>96</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57" w:history="1">
                <w:r w:rsidR="00F16B1F" w:rsidRPr="00B1473F">
                  <w:rPr>
                    <w:rStyle w:val="Hyperlink"/>
                    <w:noProof/>
                  </w:rPr>
                  <w:t>Division 3—Notification and publication requirements</w:t>
                </w:r>
                <w:r w:rsidR="00F16B1F">
                  <w:rPr>
                    <w:noProof/>
                    <w:webHidden/>
                  </w:rPr>
                  <w:tab/>
                </w:r>
                <w:r>
                  <w:rPr>
                    <w:noProof/>
                    <w:webHidden/>
                  </w:rPr>
                  <w:fldChar w:fldCharType="begin"/>
                </w:r>
                <w:r w:rsidR="00F16B1F">
                  <w:rPr>
                    <w:noProof/>
                    <w:webHidden/>
                  </w:rPr>
                  <w:instrText xml:space="preserve"> PAGEREF _Toc431975857 \h </w:instrText>
                </w:r>
                <w:r>
                  <w:rPr>
                    <w:noProof/>
                    <w:webHidden/>
                  </w:rPr>
                </w:r>
                <w:r>
                  <w:rPr>
                    <w:noProof/>
                    <w:webHidden/>
                  </w:rPr>
                  <w:fldChar w:fldCharType="separate"/>
                </w:r>
                <w:r w:rsidR="00F16B1F">
                  <w:rPr>
                    <w:noProof/>
                    <w:webHidden/>
                  </w:rPr>
                  <w:t>99</w:t>
                </w:r>
                <w:r>
                  <w:rPr>
                    <w:noProof/>
                    <w:webHidden/>
                  </w:rPr>
                  <w:fldChar w:fldCharType="end"/>
                </w:r>
              </w:hyperlink>
            </w:p>
            <w:p w:rsidR="00F16B1F" w:rsidRDefault="00744D5E">
              <w:pPr>
                <w:pStyle w:val="TOC1"/>
                <w:tabs>
                  <w:tab w:val="right" w:leader="dot" w:pos="9202"/>
                </w:tabs>
                <w:rPr>
                  <w:rFonts w:asciiTheme="minorHAnsi" w:hAnsiTheme="minorHAnsi"/>
                  <w:noProof/>
                  <w:sz w:val="22"/>
                  <w:lang w:val="en-AU" w:eastAsia="en-AU" w:bidi="ar-SA"/>
                </w:rPr>
              </w:pPr>
              <w:hyperlink w:anchor="_Toc431975858" w:history="1">
                <w:r w:rsidR="00F16B1F" w:rsidRPr="00B1473F">
                  <w:rPr>
                    <w:rStyle w:val="Hyperlink"/>
                    <w:noProof/>
                  </w:rPr>
                  <w:t>Part 5 Registration, reporting and record-keeping</w:t>
                </w:r>
                <w:r w:rsidR="00F16B1F">
                  <w:rPr>
                    <w:noProof/>
                    <w:webHidden/>
                  </w:rPr>
                  <w:tab/>
                </w:r>
                <w:r>
                  <w:rPr>
                    <w:noProof/>
                    <w:webHidden/>
                  </w:rPr>
                  <w:fldChar w:fldCharType="begin"/>
                </w:r>
                <w:r w:rsidR="00F16B1F">
                  <w:rPr>
                    <w:noProof/>
                    <w:webHidden/>
                  </w:rPr>
                  <w:instrText xml:space="preserve"> PAGEREF _Toc431975858 \h </w:instrText>
                </w:r>
                <w:r>
                  <w:rPr>
                    <w:noProof/>
                    <w:webHidden/>
                  </w:rPr>
                </w:r>
                <w:r>
                  <w:rPr>
                    <w:noProof/>
                    <w:webHidden/>
                  </w:rPr>
                  <w:fldChar w:fldCharType="separate"/>
                </w:r>
                <w:r w:rsidR="00F16B1F">
                  <w:rPr>
                    <w:noProof/>
                    <w:webHidden/>
                  </w:rPr>
                  <w:t>102</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59" w:history="1">
                <w:r w:rsidR="00F16B1F" w:rsidRPr="00B1473F">
                  <w:rPr>
                    <w:rStyle w:val="Hyperlink"/>
                    <w:noProof/>
                  </w:rPr>
                  <w:t>Outline of the Part</w:t>
                </w:r>
                <w:r w:rsidR="00F16B1F">
                  <w:rPr>
                    <w:noProof/>
                    <w:webHidden/>
                  </w:rPr>
                  <w:tab/>
                </w:r>
                <w:r>
                  <w:rPr>
                    <w:noProof/>
                    <w:webHidden/>
                  </w:rPr>
                  <w:fldChar w:fldCharType="begin"/>
                </w:r>
                <w:r w:rsidR="00F16B1F">
                  <w:rPr>
                    <w:noProof/>
                    <w:webHidden/>
                  </w:rPr>
                  <w:instrText xml:space="preserve"> PAGEREF _Toc431975859 \h </w:instrText>
                </w:r>
                <w:r>
                  <w:rPr>
                    <w:noProof/>
                    <w:webHidden/>
                  </w:rPr>
                </w:r>
                <w:r>
                  <w:rPr>
                    <w:noProof/>
                    <w:webHidden/>
                  </w:rPr>
                  <w:fldChar w:fldCharType="separate"/>
                </w:r>
                <w:r w:rsidR="00F16B1F">
                  <w:rPr>
                    <w:noProof/>
                    <w:webHidden/>
                  </w:rPr>
                  <w:t>102</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60" w:history="1">
                <w:r w:rsidR="00F16B1F" w:rsidRPr="00B1473F">
                  <w:rPr>
                    <w:rStyle w:val="Hyperlink"/>
                    <w:noProof/>
                  </w:rPr>
                  <w:t>Division 1—Registration</w:t>
                </w:r>
                <w:r w:rsidR="00F16B1F">
                  <w:rPr>
                    <w:noProof/>
                    <w:webHidden/>
                  </w:rPr>
                  <w:tab/>
                </w:r>
                <w:r>
                  <w:rPr>
                    <w:noProof/>
                    <w:webHidden/>
                  </w:rPr>
                  <w:fldChar w:fldCharType="begin"/>
                </w:r>
                <w:r w:rsidR="00F16B1F">
                  <w:rPr>
                    <w:noProof/>
                    <w:webHidden/>
                  </w:rPr>
                  <w:instrText xml:space="preserve"> PAGEREF _Toc431975860 \h </w:instrText>
                </w:r>
                <w:r>
                  <w:rPr>
                    <w:noProof/>
                    <w:webHidden/>
                  </w:rPr>
                </w:r>
                <w:r>
                  <w:rPr>
                    <w:noProof/>
                    <w:webHidden/>
                  </w:rPr>
                  <w:fldChar w:fldCharType="separate"/>
                </w:r>
                <w:r w:rsidR="00F16B1F">
                  <w:rPr>
                    <w:noProof/>
                    <w:webHidden/>
                  </w:rPr>
                  <w:t>102</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61" w:history="1">
                <w:r w:rsidR="00F16B1F" w:rsidRPr="00B1473F">
                  <w:rPr>
                    <w:rStyle w:val="Hyperlink"/>
                    <w:noProof/>
                  </w:rPr>
                  <w:t>Division 2—Reporting</w:t>
                </w:r>
                <w:r w:rsidR="00F16B1F">
                  <w:rPr>
                    <w:noProof/>
                    <w:webHidden/>
                  </w:rPr>
                  <w:tab/>
                </w:r>
                <w:r>
                  <w:rPr>
                    <w:noProof/>
                    <w:webHidden/>
                  </w:rPr>
                  <w:fldChar w:fldCharType="begin"/>
                </w:r>
                <w:r w:rsidR="00F16B1F">
                  <w:rPr>
                    <w:noProof/>
                    <w:webHidden/>
                  </w:rPr>
                  <w:instrText xml:space="preserve"> PAGEREF _Toc431975861 \h </w:instrText>
                </w:r>
                <w:r>
                  <w:rPr>
                    <w:noProof/>
                    <w:webHidden/>
                  </w:rPr>
                </w:r>
                <w:r>
                  <w:rPr>
                    <w:noProof/>
                    <w:webHidden/>
                  </w:rPr>
                  <w:fldChar w:fldCharType="separate"/>
                </w:r>
                <w:r w:rsidR="00F16B1F">
                  <w:rPr>
                    <w:noProof/>
                    <w:webHidden/>
                  </w:rPr>
                  <w:t>103</w:t>
                </w:r>
                <w:r>
                  <w:rPr>
                    <w:noProof/>
                    <w:webHidden/>
                  </w:rPr>
                  <w:fldChar w:fldCharType="end"/>
                </w:r>
              </w:hyperlink>
            </w:p>
            <w:p w:rsidR="00F16B1F" w:rsidRDefault="00744D5E">
              <w:pPr>
                <w:pStyle w:val="TOC2"/>
                <w:tabs>
                  <w:tab w:val="right" w:leader="dot" w:pos="9202"/>
                </w:tabs>
                <w:rPr>
                  <w:rFonts w:asciiTheme="minorHAnsi" w:hAnsiTheme="minorHAnsi"/>
                  <w:noProof/>
                  <w:sz w:val="22"/>
                  <w:lang w:val="en-AU" w:eastAsia="en-AU" w:bidi="ar-SA"/>
                </w:rPr>
              </w:pPr>
              <w:hyperlink w:anchor="_Toc431975862" w:history="1">
                <w:r w:rsidR="00F16B1F" w:rsidRPr="00B1473F">
                  <w:rPr>
                    <w:rStyle w:val="Hyperlink"/>
                    <w:noProof/>
                  </w:rPr>
                  <w:t>Division 3—Record-keeping</w:t>
                </w:r>
                <w:r w:rsidR="00F16B1F">
                  <w:rPr>
                    <w:noProof/>
                    <w:webHidden/>
                  </w:rPr>
                  <w:tab/>
                </w:r>
                <w:r>
                  <w:rPr>
                    <w:noProof/>
                    <w:webHidden/>
                  </w:rPr>
                  <w:fldChar w:fldCharType="begin"/>
                </w:r>
                <w:r w:rsidR="00F16B1F">
                  <w:rPr>
                    <w:noProof/>
                    <w:webHidden/>
                  </w:rPr>
                  <w:instrText xml:space="preserve"> PAGEREF _Toc431975862 \h </w:instrText>
                </w:r>
                <w:r>
                  <w:rPr>
                    <w:noProof/>
                    <w:webHidden/>
                  </w:rPr>
                </w:r>
                <w:r>
                  <w:rPr>
                    <w:noProof/>
                    <w:webHidden/>
                  </w:rPr>
                  <w:fldChar w:fldCharType="separate"/>
                </w:r>
                <w:r w:rsidR="00F16B1F">
                  <w:rPr>
                    <w:noProof/>
                    <w:webHidden/>
                  </w:rPr>
                  <w:t>104</w:t>
                </w:r>
                <w:r>
                  <w:rPr>
                    <w:noProof/>
                    <w:webHidden/>
                  </w:rPr>
                  <w:fldChar w:fldCharType="end"/>
                </w:r>
              </w:hyperlink>
            </w:p>
            <w:p w:rsidR="00F16B1F" w:rsidRDefault="00744D5E">
              <w:pPr>
                <w:pStyle w:val="TOC1"/>
                <w:tabs>
                  <w:tab w:val="right" w:leader="dot" w:pos="9202"/>
                </w:tabs>
                <w:rPr>
                  <w:rFonts w:asciiTheme="minorHAnsi" w:hAnsiTheme="minorHAnsi"/>
                  <w:noProof/>
                  <w:sz w:val="22"/>
                  <w:lang w:val="en-AU" w:eastAsia="en-AU" w:bidi="ar-SA"/>
                </w:rPr>
              </w:pPr>
              <w:hyperlink w:anchor="_Toc431975863" w:history="1">
                <w:r w:rsidR="00F16B1F" w:rsidRPr="00B1473F">
                  <w:rPr>
                    <w:rStyle w:val="Hyperlink"/>
                    <w:noProof/>
                  </w:rPr>
                  <w:t>Schedule 1—Benchmark Emissions-Intensity Index</w:t>
                </w:r>
                <w:r w:rsidR="00F16B1F">
                  <w:rPr>
                    <w:noProof/>
                    <w:webHidden/>
                  </w:rPr>
                  <w:tab/>
                </w:r>
                <w:r>
                  <w:rPr>
                    <w:noProof/>
                    <w:webHidden/>
                  </w:rPr>
                  <w:fldChar w:fldCharType="begin"/>
                </w:r>
                <w:r w:rsidR="00F16B1F">
                  <w:rPr>
                    <w:noProof/>
                    <w:webHidden/>
                  </w:rPr>
                  <w:instrText xml:space="preserve"> PAGEREF _Toc431975863 \h </w:instrText>
                </w:r>
                <w:r>
                  <w:rPr>
                    <w:noProof/>
                    <w:webHidden/>
                  </w:rPr>
                </w:r>
                <w:r>
                  <w:rPr>
                    <w:noProof/>
                    <w:webHidden/>
                  </w:rPr>
                  <w:fldChar w:fldCharType="separate"/>
                </w:r>
                <w:r w:rsidR="00F16B1F">
                  <w:rPr>
                    <w:noProof/>
                    <w:webHidden/>
                  </w:rPr>
                  <w:t>105</w:t>
                </w:r>
                <w:r>
                  <w:rPr>
                    <w:noProof/>
                    <w:webHidden/>
                  </w:rPr>
                  <w:fldChar w:fldCharType="end"/>
                </w:r>
              </w:hyperlink>
            </w:p>
            <w:p w:rsidR="00F16B1F" w:rsidRDefault="00744D5E">
              <w:pPr>
                <w:pStyle w:val="TOC1"/>
                <w:tabs>
                  <w:tab w:val="right" w:leader="dot" w:pos="9202"/>
                </w:tabs>
                <w:rPr>
                  <w:rFonts w:asciiTheme="minorHAnsi" w:hAnsiTheme="minorHAnsi"/>
                  <w:noProof/>
                  <w:sz w:val="22"/>
                  <w:lang w:val="en-AU" w:eastAsia="en-AU" w:bidi="ar-SA"/>
                </w:rPr>
              </w:pPr>
              <w:hyperlink w:anchor="_Toc431975864" w:history="1">
                <w:r w:rsidR="00F16B1F" w:rsidRPr="00B1473F">
                  <w:rPr>
                    <w:rStyle w:val="Hyperlink"/>
                    <w:noProof/>
                  </w:rPr>
                  <w:t>Example scenarios</w:t>
                </w:r>
                <w:r w:rsidR="00F16B1F">
                  <w:rPr>
                    <w:noProof/>
                    <w:webHidden/>
                  </w:rPr>
                  <w:tab/>
                </w:r>
                <w:r>
                  <w:rPr>
                    <w:noProof/>
                    <w:webHidden/>
                  </w:rPr>
                  <w:fldChar w:fldCharType="begin"/>
                </w:r>
                <w:r w:rsidR="00F16B1F">
                  <w:rPr>
                    <w:noProof/>
                    <w:webHidden/>
                  </w:rPr>
                  <w:instrText xml:space="preserve"> PAGEREF _Toc431975864 \h </w:instrText>
                </w:r>
                <w:r>
                  <w:rPr>
                    <w:noProof/>
                    <w:webHidden/>
                  </w:rPr>
                </w:r>
                <w:r>
                  <w:rPr>
                    <w:noProof/>
                    <w:webHidden/>
                  </w:rPr>
                  <w:fldChar w:fldCharType="separate"/>
                </w:r>
                <w:r w:rsidR="00F16B1F">
                  <w:rPr>
                    <w:noProof/>
                    <w:webHidden/>
                  </w:rPr>
                  <w:t>106</w:t>
                </w:r>
                <w:r>
                  <w:rPr>
                    <w:noProof/>
                    <w:webHidden/>
                  </w:rPr>
                  <w:fldChar w:fldCharType="end"/>
                </w:r>
              </w:hyperlink>
            </w:p>
            <w:p w:rsidR="00F16B1F" w:rsidRDefault="00744D5E">
              <w:pPr>
                <w:pStyle w:val="TOC1"/>
                <w:tabs>
                  <w:tab w:val="right" w:leader="dot" w:pos="9202"/>
                </w:tabs>
                <w:rPr>
                  <w:rFonts w:asciiTheme="minorHAnsi" w:hAnsiTheme="minorHAnsi"/>
                  <w:noProof/>
                  <w:sz w:val="22"/>
                  <w:lang w:val="en-AU" w:eastAsia="en-AU" w:bidi="ar-SA"/>
                </w:rPr>
              </w:pPr>
              <w:hyperlink w:anchor="_Toc431975867" w:history="1">
                <w:r w:rsidR="00F16B1F" w:rsidRPr="00B1473F">
                  <w:rPr>
                    <w:rStyle w:val="Hyperlink"/>
                    <w:rFonts w:eastAsia="Calibri"/>
                    <w:noProof/>
                  </w:rPr>
                  <w:t>Statement of Compatibility with Human Rights</w:t>
                </w:r>
                <w:r w:rsidR="00F16B1F">
                  <w:rPr>
                    <w:noProof/>
                    <w:webHidden/>
                  </w:rPr>
                  <w:tab/>
                </w:r>
                <w:r>
                  <w:rPr>
                    <w:noProof/>
                    <w:webHidden/>
                  </w:rPr>
                  <w:fldChar w:fldCharType="begin"/>
                </w:r>
                <w:r w:rsidR="00F16B1F">
                  <w:rPr>
                    <w:noProof/>
                    <w:webHidden/>
                  </w:rPr>
                  <w:instrText xml:space="preserve"> PAGEREF _Toc431975867 \h </w:instrText>
                </w:r>
                <w:r>
                  <w:rPr>
                    <w:noProof/>
                    <w:webHidden/>
                  </w:rPr>
                </w:r>
                <w:r>
                  <w:rPr>
                    <w:noProof/>
                    <w:webHidden/>
                  </w:rPr>
                  <w:fldChar w:fldCharType="separate"/>
                </w:r>
                <w:r w:rsidR="00F16B1F">
                  <w:rPr>
                    <w:noProof/>
                    <w:webHidden/>
                  </w:rPr>
                  <w:t>119</w:t>
                </w:r>
                <w:r>
                  <w:rPr>
                    <w:noProof/>
                    <w:webHidden/>
                  </w:rPr>
                  <w:fldChar w:fldCharType="end"/>
                </w:r>
              </w:hyperlink>
            </w:p>
            <w:p w:rsidR="000F08AE" w:rsidRPr="00F82C8D" w:rsidRDefault="00744D5E" w:rsidP="003F7A9D">
              <w:pPr>
                <w:rPr>
                  <w:rFonts w:cs="Times New Roman"/>
                  <w:lang w:val="en-AU"/>
                </w:rPr>
              </w:pPr>
              <w:r w:rsidRPr="00F82C8D">
                <w:rPr>
                  <w:rFonts w:asciiTheme="majorHAnsi" w:hAnsiTheme="majorHAnsi" w:cs="Arial"/>
                  <w:sz w:val="28"/>
                  <w:lang w:val="en-AU"/>
                </w:rPr>
                <w:fldChar w:fldCharType="end"/>
              </w:r>
            </w:p>
          </w:sdtContent>
        </w:sdt>
      </w:sdtContent>
    </w:sdt>
    <w:p w:rsidR="000F08AE" w:rsidRPr="00F82C8D" w:rsidRDefault="000F08AE" w:rsidP="000F08AE">
      <w:pPr>
        <w:rPr>
          <w:rFonts w:cs="Times New Roman"/>
          <w:lang w:val="en-AU"/>
        </w:rPr>
      </w:pPr>
    </w:p>
    <w:p w:rsidR="000F08AE" w:rsidRPr="00F82C8D" w:rsidRDefault="000F08AE" w:rsidP="000F08AE">
      <w:pPr>
        <w:rPr>
          <w:rFonts w:cs="Times New Roman"/>
          <w:lang w:val="en-AU"/>
        </w:rPr>
      </w:pPr>
    </w:p>
    <w:p w:rsidR="000F08AE" w:rsidRPr="00F82C8D" w:rsidRDefault="000F08AE" w:rsidP="000F08AE">
      <w:pPr>
        <w:rPr>
          <w:rFonts w:cs="Times New Roman"/>
          <w:lang w:val="en-AU"/>
        </w:rPr>
      </w:pPr>
    </w:p>
    <w:p w:rsidR="000F08AE" w:rsidRPr="00F82C8D" w:rsidRDefault="000F08AE" w:rsidP="000F08AE">
      <w:pPr>
        <w:rPr>
          <w:rFonts w:cs="Times New Roman"/>
          <w:lang w:val="en-AU"/>
        </w:rPr>
      </w:pPr>
    </w:p>
    <w:p w:rsidR="003F7A9D" w:rsidRPr="00F82C8D" w:rsidRDefault="000F08AE" w:rsidP="000F08AE">
      <w:pPr>
        <w:tabs>
          <w:tab w:val="left" w:pos="1110"/>
        </w:tabs>
        <w:rPr>
          <w:rFonts w:cs="Times New Roman"/>
          <w:lang w:val="en-AU"/>
        </w:rPr>
      </w:pPr>
      <w:r w:rsidRPr="00F82C8D">
        <w:rPr>
          <w:rFonts w:cs="Times New Roman"/>
          <w:lang w:val="en-AU"/>
        </w:rPr>
        <w:tab/>
      </w:r>
    </w:p>
    <w:p w:rsidR="00F44A00" w:rsidRPr="00F82C8D" w:rsidRDefault="00F44A00" w:rsidP="00346766">
      <w:pPr>
        <w:pStyle w:val="Heading1"/>
      </w:pPr>
      <w:bookmarkStart w:id="0" w:name="_Toc431975825"/>
      <w:r w:rsidRPr="00F82C8D">
        <w:t>General outline and statements</w:t>
      </w:r>
      <w:bookmarkEnd w:id="0"/>
    </w:p>
    <w:p w:rsidR="00F44A00" w:rsidRPr="00F82C8D" w:rsidRDefault="00F44A00" w:rsidP="00F44A00">
      <w:pPr>
        <w:pStyle w:val="Heading2"/>
      </w:pPr>
      <w:bookmarkStart w:id="1" w:name="_Toc428260125"/>
      <w:bookmarkStart w:id="2" w:name="_Toc431975826"/>
      <w:r w:rsidRPr="00F82C8D">
        <w:t>Introduction</w:t>
      </w:r>
      <w:bookmarkEnd w:id="1"/>
      <w:bookmarkEnd w:id="2"/>
    </w:p>
    <w:p w:rsidR="00F44A00" w:rsidRPr="00F82C8D" w:rsidRDefault="00F44A00" w:rsidP="00F44A00">
      <w:pPr>
        <w:rPr>
          <w:rFonts w:cs="Times New Roman"/>
          <w:szCs w:val="24"/>
        </w:rPr>
      </w:pPr>
      <w:r w:rsidRPr="00F82C8D">
        <w:rPr>
          <w:rFonts w:cs="Times New Roman"/>
          <w:szCs w:val="24"/>
        </w:rPr>
        <w:t>The Emissions Reduction Fund is central to the Government’s Direct Action Plan to cut greenhouse gas emissions to five per cent below 2000 levels by 2020 and to 26 to 28 per cent below 2005 levels by 2030. It comprises</w:t>
      </w:r>
      <w:r w:rsidR="004E47B6" w:rsidRPr="00F82C8D">
        <w:rPr>
          <w:rFonts w:cs="Times New Roman"/>
          <w:szCs w:val="24"/>
        </w:rPr>
        <w:t xml:space="preserve"> an element to credit emissions reductions,</w:t>
      </w:r>
      <w:r w:rsidRPr="00F82C8D">
        <w:rPr>
          <w:rFonts w:cs="Times New Roman"/>
          <w:szCs w:val="24"/>
        </w:rPr>
        <w:t xml:space="preserve"> a fund to purchase emissions reductions and a safeguard mechanism to ensure that these reductions are not displaced by a significant rise in emissions</w:t>
      </w:r>
      <w:r w:rsidR="004B046F" w:rsidRPr="00F82C8D">
        <w:rPr>
          <w:rFonts w:cs="Times New Roman"/>
          <w:szCs w:val="24"/>
        </w:rPr>
        <w:t xml:space="preserve"> above business-as-usual levels</w:t>
      </w:r>
      <w:r w:rsidRPr="00F82C8D">
        <w:rPr>
          <w:rFonts w:cs="Times New Roman"/>
          <w:szCs w:val="24"/>
        </w:rPr>
        <w:t xml:space="preserve"> elsewhere in the economy.</w:t>
      </w:r>
    </w:p>
    <w:p w:rsidR="003A2B6E" w:rsidRPr="00F82C8D" w:rsidRDefault="003A2B6E" w:rsidP="003A2B6E">
      <w:pPr>
        <w:rPr>
          <w:lang w:val="en-AU"/>
        </w:rPr>
      </w:pPr>
      <w:r w:rsidRPr="00F82C8D">
        <w:t xml:space="preserve">The legislation for the Emissions Reduction Fund was passed in November 2014. This established the legislative framework for the safeguard mechanism in the </w:t>
      </w:r>
      <w:r w:rsidRPr="00F82C8D">
        <w:rPr>
          <w:i/>
          <w:iCs/>
        </w:rPr>
        <w:t>National Greenhouse and Energy Reporting Act 2007</w:t>
      </w:r>
      <w:r w:rsidRPr="00F82C8D">
        <w:rPr>
          <w:iCs/>
        </w:rPr>
        <w:t xml:space="preserve"> (the Act)</w:t>
      </w:r>
      <w:r w:rsidRPr="00F82C8D">
        <w:rPr>
          <w:i/>
          <w:iCs/>
        </w:rPr>
        <w:t xml:space="preserve">. </w:t>
      </w:r>
      <w:r w:rsidRPr="00F82C8D">
        <w:t xml:space="preserve">The legislation included that the safeguard mechanism will apply to </w:t>
      </w:r>
      <w:r w:rsidR="00C90201" w:rsidRPr="00F82C8D">
        <w:t>designated large facilities</w:t>
      </w:r>
      <w:r w:rsidRPr="00F82C8D">
        <w:t xml:space="preserve">. The entity with operational control of a designated large facility will be responsible for meeting safeguard requirements, </w:t>
      </w:r>
      <w:r w:rsidR="007B4FD6" w:rsidRPr="00F82C8D">
        <w:t xml:space="preserve">including that the </w:t>
      </w:r>
      <w:r w:rsidR="007B4FD6" w:rsidRPr="00F82C8D">
        <w:rPr>
          <w:lang w:val="en-AU"/>
        </w:rPr>
        <w:t xml:space="preserve">facility must keep net emissions at or below baseline emissions levels. </w:t>
      </w:r>
    </w:p>
    <w:p w:rsidR="00F44A00" w:rsidRPr="00F82C8D" w:rsidRDefault="00F44A00" w:rsidP="00F44A00">
      <w:pPr>
        <w:rPr>
          <w:rFonts w:cs="Times New Roman"/>
          <w:szCs w:val="24"/>
        </w:rPr>
      </w:pPr>
      <w:r w:rsidRPr="00F82C8D">
        <w:rPr>
          <w:rFonts w:cs="Times New Roman"/>
          <w:szCs w:val="24"/>
        </w:rPr>
        <w:t>Legislative rules and regulations will give effect to policy details, including the</w:t>
      </w:r>
      <w:r w:rsidR="00C90201" w:rsidRPr="00F82C8D">
        <w:rPr>
          <w:rFonts w:cs="Times New Roman"/>
          <w:szCs w:val="24"/>
        </w:rPr>
        <w:t xml:space="preserve"> threshold for what is a designated large facility and</w:t>
      </w:r>
      <w:r w:rsidRPr="00F82C8D">
        <w:rPr>
          <w:rFonts w:cs="Times New Roman"/>
          <w:szCs w:val="24"/>
        </w:rPr>
        <w:t xml:space="preserve"> methods for setting</w:t>
      </w:r>
      <w:r w:rsidR="007B4FD6" w:rsidRPr="00F82C8D">
        <w:rPr>
          <w:rFonts w:cs="Times New Roman"/>
          <w:szCs w:val="24"/>
        </w:rPr>
        <w:t xml:space="preserve"> the baseline</w:t>
      </w:r>
      <w:r w:rsidRPr="00F82C8D">
        <w:rPr>
          <w:rFonts w:cs="Times New Roman"/>
          <w:szCs w:val="24"/>
        </w:rPr>
        <w:t xml:space="preserve"> emissions </w:t>
      </w:r>
      <w:r w:rsidR="007B4FD6" w:rsidRPr="00F82C8D">
        <w:rPr>
          <w:rFonts w:cs="Times New Roman"/>
          <w:szCs w:val="24"/>
        </w:rPr>
        <w:t>level for a designated large facility</w:t>
      </w:r>
      <w:r w:rsidRPr="00F82C8D">
        <w:rPr>
          <w:rFonts w:cs="Times New Roman"/>
          <w:szCs w:val="24"/>
        </w:rPr>
        <w:t xml:space="preserve">. The safeguard mechanism will commence on 1 July 2016. </w:t>
      </w:r>
    </w:p>
    <w:p w:rsidR="00F44A00" w:rsidRPr="00F82C8D" w:rsidRDefault="00F44A00" w:rsidP="00F44A00">
      <w:pPr>
        <w:rPr>
          <w:rFonts w:cs="Times New Roman"/>
          <w:szCs w:val="24"/>
        </w:rPr>
      </w:pPr>
      <w:r w:rsidRPr="00F82C8D">
        <w:rPr>
          <w:rFonts w:cs="Times New Roman"/>
          <w:szCs w:val="24"/>
        </w:rPr>
        <w:t xml:space="preserve">Legislative rules </w:t>
      </w:r>
      <w:r w:rsidR="009E5E83" w:rsidRPr="00F82C8D">
        <w:rPr>
          <w:rFonts w:cs="Times New Roman"/>
          <w:szCs w:val="24"/>
        </w:rPr>
        <w:t xml:space="preserve">under section 22XS of the Act </w:t>
      </w:r>
      <w:r w:rsidRPr="00F82C8D">
        <w:rPr>
          <w:rFonts w:cs="Times New Roman"/>
          <w:szCs w:val="24"/>
        </w:rPr>
        <w:t xml:space="preserve">to support the operation of the safeguard mechanism have been </w:t>
      </w:r>
      <w:r w:rsidR="00E348A3" w:rsidRPr="00F82C8D">
        <w:rPr>
          <w:rFonts w:cs="Times New Roman"/>
          <w:szCs w:val="24"/>
        </w:rPr>
        <w:t>made</w:t>
      </w:r>
      <w:r w:rsidRPr="00F82C8D">
        <w:rPr>
          <w:rFonts w:cs="Times New Roman"/>
          <w:szCs w:val="24"/>
        </w:rPr>
        <w:t xml:space="preserve">. The purpose of this Explanatory Statement is to explain the provisions included in these rules. </w:t>
      </w:r>
    </w:p>
    <w:p w:rsidR="00F44A00" w:rsidRPr="00F82C8D" w:rsidRDefault="00F44A00" w:rsidP="00F44A00">
      <w:pPr>
        <w:pStyle w:val="Heading2"/>
      </w:pPr>
      <w:bookmarkStart w:id="3" w:name="_Toc431975827"/>
      <w:r w:rsidRPr="00F82C8D">
        <w:t>Safeguard mechanism legislative framework</w:t>
      </w:r>
      <w:bookmarkEnd w:id="3"/>
    </w:p>
    <w:p w:rsidR="00F44A00" w:rsidRPr="00F82C8D" w:rsidRDefault="00F44A00" w:rsidP="00F44A00">
      <w:pPr>
        <w:spacing w:after="120"/>
        <w:rPr>
          <w:rFonts w:cs="Times New Roman"/>
          <w:szCs w:val="24"/>
          <w:lang w:val="en-AU"/>
        </w:rPr>
      </w:pPr>
      <w:r w:rsidRPr="00F82C8D">
        <w:rPr>
          <w:rFonts w:cs="Times New Roman"/>
          <w:szCs w:val="24"/>
          <w:lang w:val="en-AU"/>
        </w:rPr>
        <w:t xml:space="preserve">The </w:t>
      </w:r>
      <w:r w:rsidR="0077659D" w:rsidRPr="00F82C8D">
        <w:rPr>
          <w:rFonts w:cs="Times New Roman"/>
          <w:szCs w:val="24"/>
          <w:lang w:val="en-AU"/>
        </w:rPr>
        <w:t>Act</w:t>
      </w:r>
      <w:r w:rsidRPr="00F82C8D">
        <w:rPr>
          <w:rFonts w:cs="Times New Roman"/>
          <w:szCs w:val="24"/>
          <w:lang w:val="en-AU"/>
        </w:rPr>
        <w:t xml:space="preserve"> establishes a single national framework for reporting and disseminating company information about greenhouse gas emissions, energy production, energy consumption and other information. </w:t>
      </w:r>
    </w:p>
    <w:p w:rsidR="00F44A00" w:rsidRPr="00F82C8D" w:rsidRDefault="00F44A00" w:rsidP="00F44A00">
      <w:pPr>
        <w:spacing w:after="120"/>
        <w:rPr>
          <w:rFonts w:cs="Times New Roman"/>
          <w:szCs w:val="24"/>
          <w:lang w:val="en-AU"/>
        </w:rPr>
      </w:pPr>
      <w:r w:rsidRPr="00F82C8D">
        <w:rPr>
          <w:rFonts w:cs="Times New Roman"/>
          <w:szCs w:val="24"/>
          <w:lang w:val="en-AU"/>
        </w:rPr>
        <w:t xml:space="preserve">On 1 July 2016, amendments made to the Act through the </w:t>
      </w:r>
      <w:r w:rsidRPr="00F82C8D">
        <w:rPr>
          <w:rFonts w:cs="Times New Roman"/>
          <w:i/>
          <w:szCs w:val="24"/>
          <w:lang w:val="en-AU"/>
        </w:rPr>
        <w:t>Carbon Farming Initiative Amendment Act 2014</w:t>
      </w:r>
      <w:r w:rsidRPr="00F82C8D">
        <w:rPr>
          <w:rFonts w:cs="Times New Roman"/>
          <w:szCs w:val="24"/>
          <w:lang w:val="en-AU"/>
        </w:rPr>
        <w:t xml:space="preserve"> (Amendment Act) will commence. These amendments provide a legislative framework for the safeguard mechanism, the final element of the Australian Government’s Emissions Reduction Fund. </w:t>
      </w:r>
    </w:p>
    <w:p w:rsidR="00F44A00" w:rsidRPr="00F82C8D" w:rsidRDefault="00F44A00" w:rsidP="00F44A00">
      <w:pPr>
        <w:rPr>
          <w:rFonts w:cs="Times New Roman"/>
          <w:szCs w:val="24"/>
        </w:rPr>
      </w:pPr>
      <w:r w:rsidRPr="00F82C8D">
        <w:rPr>
          <w:rFonts w:cs="Times New Roman"/>
          <w:szCs w:val="24"/>
        </w:rPr>
        <w:t xml:space="preserve">Section 22XS of the Act empowers the Minister to make legislative rules to implement the safeguard mechanism. The legislative rules will specify the administrative detail of how the safeguard provisions </w:t>
      </w:r>
      <w:r w:rsidR="001B2098" w:rsidRPr="00F82C8D">
        <w:rPr>
          <w:rFonts w:cs="Times New Roman"/>
          <w:szCs w:val="24"/>
        </w:rPr>
        <w:t xml:space="preserve">will be implemented, including </w:t>
      </w:r>
      <w:r w:rsidRPr="00F82C8D">
        <w:rPr>
          <w:rFonts w:cs="Times New Roman"/>
          <w:szCs w:val="24"/>
        </w:rPr>
        <w:t xml:space="preserve">which kind of facilities will be </w:t>
      </w:r>
      <w:r w:rsidR="001B2098" w:rsidRPr="00F82C8D">
        <w:rPr>
          <w:rFonts w:cs="Times New Roman"/>
          <w:szCs w:val="24"/>
        </w:rPr>
        <w:t xml:space="preserve">covered, </w:t>
      </w:r>
      <w:r w:rsidRPr="00F82C8D">
        <w:rPr>
          <w:rFonts w:cs="Times New Roman"/>
          <w:szCs w:val="24"/>
        </w:rPr>
        <w:t>how e</w:t>
      </w:r>
      <w:r w:rsidR="001B2098" w:rsidRPr="00F82C8D">
        <w:rPr>
          <w:rFonts w:cs="Times New Roman"/>
          <w:szCs w:val="24"/>
        </w:rPr>
        <w:t xml:space="preserve">missions baselines will be set, </w:t>
      </w:r>
      <w:r w:rsidRPr="00F82C8D">
        <w:rPr>
          <w:rFonts w:cs="Times New Roman"/>
          <w:szCs w:val="24"/>
        </w:rPr>
        <w:t xml:space="preserve">and administrative processes for demonstrating compliance with safeguard obligations. </w:t>
      </w:r>
    </w:p>
    <w:p w:rsidR="00F44A00" w:rsidRPr="00F82C8D" w:rsidRDefault="00F44A00" w:rsidP="00F44A00">
      <w:pPr>
        <w:rPr>
          <w:rFonts w:cs="Times New Roman"/>
          <w:szCs w:val="24"/>
        </w:rPr>
      </w:pPr>
      <w:r w:rsidRPr="00F82C8D">
        <w:rPr>
          <w:rFonts w:cs="Times New Roman"/>
          <w:szCs w:val="24"/>
        </w:rPr>
        <w:t>The purpose of this</w:t>
      </w:r>
      <w:r w:rsidR="00086187" w:rsidRPr="00F82C8D">
        <w:rPr>
          <w:rFonts w:cs="Times New Roman"/>
          <w:szCs w:val="24"/>
        </w:rPr>
        <w:t xml:space="preserve"> </w:t>
      </w:r>
      <w:r w:rsidRPr="00F82C8D">
        <w:rPr>
          <w:rFonts w:cs="Times New Roman"/>
          <w:szCs w:val="24"/>
        </w:rPr>
        <w:t xml:space="preserve">Explanatory Statement is to explain the provisions included in the </w:t>
      </w:r>
      <w:r w:rsidRPr="00F82C8D">
        <w:rPr>
          <w:rFonts w:cs="Times New Roman"/>
          <w:i/>
          <w:szCs w:val="24"/>
        </w:rPr>
        <w:t>National Greenhouse and Energy Reporting (Safeguard Mechanism) Rule 2015</w:t>
      </w:r>
      <w:r w:rsidRPr="00F82C8D">
        <w:rPr>
          <w:rFonts w:cs="Times New Roman"/>
          <w:szCs w:val="24"/>
        </w:rPr>
        <w:t xml:space="preserve"> (the safeguard rule).</w:t>
      </w:r>
    </w:p>
    <w:p w:rsidR="00F44A00" w:rsidRPr="00F82C8D" w:rsidRDefault="00F44A00" w:rsidP="00F44A00">
      <w:pPr>
        <w:rPr>
          <w:rFonts w:cs="Times New Roman"/>
          <w:szCs w:val="24"/>
        </w:rPr>
      </w:pPr>
      <w:r w:rsidRPr="00F82C8D">
        <w:rPr>
          <w:rFonts w:cs="Times New Roman"/>
          <w:szCs w:val="24"/>
        </w:rPr>
        <w:t xml:space="preserve">Amendments will also be made to a number of related </w:t>
      </w:r>
      <w:r w:rsidR="009E5E83" w:rsidRPr="00F82C8D">
        <w:rPr>
          <w:rFonts w:cs="Times New Roman"/>
          <w:szCs w:val="24"/>
        </w:rPr>
        <w:t>legislative instruments</w:t>
      </w:r>
      <w:r w:rsidRPr="00F82C8D">
        <w:rPr>
          <w:rFonts w:cs="Times New Roman"/>
          <w:szCs w:val="24"/>
        </w:rPr>
        <w:t xml:space="preserve"> to give effect to the safeguard mechanism, including: the </w:t>
      </w:r>
      <w:r w:rsidRPr="00F82C8D">
        <w:rPr>
          <w:rFonts w:cs="Times New Roman"/>
          <w:i/>
          <w:szCs w:val="24"/>
        </w:rPr>
        <w:t>National Greenhouse and Energy Reporting Regulations 2008</w:t>
      </w:r>
      <w:r w:rsidR="001B2098" w:rsidRPr="00F82C8D">
        <w:rPr>
          <w:rFonts w:cs="Times New Roman"/>
          <w:szCs w:val="24"/>
        </w:rPr>
        <w:t>,</w:t>
      </w:r>
      <w:r w:rsidRPr="00F82C8D">
        <w:rPr>
          <w:rFonts w:cs="Times New Roman"/>
          <w:szCs w:val="24"/>
        </w:rPr>
        <w:t xml:space="preserve"> the </w:t>
      </w:r>
      <w:r w:rsidRPr="00F82C8D">
        <w:rPr>
          <w:rFonts w:cs="Times New Roman"/>
          <w:i/>
          <w:szCs w:val="24"/>
        </w:rPr>
        <w:t>National Greenhouse and Energy Reporting (Audit) Determination 2009</w:t>
      </w:r>
      <w:r w:rsidRPr="00F82C8D">
        <w:rPr>
          <w:rFonts w:cs="Times New Roman"/>
          <w:szCs w:val="24"/>
        </w:rPr>
        <w:t xml:space="preserve"> and the </w:t>
      </w:r>
      <w:r w:rsidRPr="00F82C8D">
        <w:rPr>
          <w:rFonts w:cs="Times New Roman"/>
          <w:i/>
          <w:szCs w:val="24"/>
        </w:rPr>
        <w:t>National Greenhouse and Energy (Measurement) Determination 2008</w:t>
      </w:r>
      <w:r w:rsidRPr="00F82C8D">
        <w:rPr>
          <w:rFonts w:cs="Times New Roman"/>
          <w:szCs w:val="24"/>
        </w:rPr>
        <w:t xml:space="preserve">. These amendments </w:t>
      </w:r>
      <w:r w:rsidR="00E348A3" w:rsidRPr="00F82C8D">
        <w:rPr>
          <w:rFonts w:cs="Times New Roman"/>
          <w:szCs w:val="24"/>
        </w:rPr>
        <w:t>were</w:t>
      </w:r>
      <w:r w:rsidRPr="00F82C8D">
        <w:rPr>
          <w:rFonts w:cs="Times New Roman"/>
          <w:szCs w:val="24"/>
        </w:rPr>
        <w:t xml:space="preserve"> released for consultation separately. An overview of the legislative framework for the safeguard mechanism is provided in</w:t>
      </w:r>
      <w:r w:rsidR="003C5589" w:rsidRPr="00F82C8D">
        <w:rPr>
          <w:rFonts w:cs="Times New Roman"/>
          <w:szCs w:val="24"/>
        </w:rPr>
        <w:t xml:space="preserve"> </w:t>
      </w:r>
      <w:fldSimple w:instr=" REF _Ref427924612 \h  \* MERGEFORMAT ">
        <w:r w:rsidR="00F16B1F" w:rsidRPr="00F16B1F">
          <w:rPr>
            <w:rFonts w:cs="Times New Roman"/>
            <w:szCs w:val="24"/>
          </w:rPr>
          <w:t>Table 1</w:t>
        </w:r>
      </w:fldSimple>
      <w:r w:rsidRPr="00F82C8D">
        <w:rPr>
          <w:rFonts w:cs="Times New Roman"/>
          <w:szCs w:val="24"/>
        </w:rPr>
        <w:t>.</w:t>
      </w:r>
    </w:p>
    <w:p w:rsidR="00F44A00" w:rsidRPr="00F82C8D" w:rsidRDefault="003C5589" w:rsidP="003C5589">
      <w:pPr>
        <w:pStyle w:val="Caption"/>
      </w:pPr>
      <w:bookmarkStart w:id="4" w:name="_Ref427924612"/>
      <w:bookmarkStart w:id="5" w:name="_Toc372559618"/>
      <w:r w:rsidRPr="00F82C8D">
        <w:t xml:space="preserve">Table </w:t>
      </w:r>
      <w:r w:rsidR="00744D5E" w:rsidRPr="00F82C8D">
        <w:fldChar w:fldCharType="begin"/>
      </w:r>
      <w:r w:rsidR="007329DC" w:rsidRPr="00F82C8D">
        <w:instrText xml:space="preserve"> SEQ Table \* ARABIC </w:instrText>
      </w:r>
      <w:r w:rsidR="00744D5E" w:rsidRPr="00F82C8D">
        <w:fldChar w:fldCharType="separate"/>
      </w:r>
      <w:r w:rsidR="00F16B1F">
        <w:rPr>
          <w:noProof/>
        </w:rPr>
        <w:t>1</w:t>
      </w:r>
      <w:r w:rsidR="00744D5E" w:rsidRPr="00F82C8D">
        <w:fldChar w:fldCharType="end"/>
      </w:r>
      <w:bookmarkEnd w:id="4"/>
      <w:r w:rsidRPr="00F82C8D">
        <w:t>—</w:t>
      </w:r>
      <w:r w:rsidR="00F44A00" w:rsidRPr="00F82C8D">
        <w:t>Summary of the safeguard mechanism legislative framework</w:t>
      </w:r>
    </w:p>
    <w:tbl>
      <w:tblPr>
        <w:tblStyle w:val="TableGrid"/>
        <w:tblW w:w="0" w:type="auto"/>
        <w:tblLook w:val="04A0"/>
      </w:tblPr>
      <w:tblGrid>
        <w:gridCol w:w="3369"/>
        <w:gridCol w:w="5811"/>
      </w:tblGrid>
      <w:tr w:rsidR="00F44A00" w:rsidRPr="00F82C8D" w:rsidTr="00F44A00">
        <w:trPr>
          <w:cantSplit/>
        </w:trPr>
        <w:tc>
          <w:tcPr>
            <w:tcW w:w="3369" w:type="dxa"/>
          </w:tcPr>
          <w:p w:rsidR="00F44A00" w:rsidRPr="00F82C8D" w:rsidRDefault="00F44A00" w:rsidP="00F44A00">
            <w:pPr>
              <w:pStyle w:val="base-text-paragraph"/>
              <w:numPr>
                <w:ilvl w:val="0"/>
                <w:numId w:val="0"/>
              </w:numPr>
              <w:ind w:left="142"/>
              <w:rPr>
                <w:szCs w:val="24"/>
              </w:rPr>
            </w:pPr>
            <w:r w:rsidRPr="00F82C8D">
              <w:rPr>
                <w:szCs w:val="24"/>
              </w:rPr>
              <w:t>Primary legislation</w:t>
            </w:r>
          </w:p>
        </w:tc>
        <w:tc>
          <w:tcPr>
            <w:tcW w:w="5811" w:type="dxa"/>
          </w:tcPr>
          <w:p w:rsidR="00F44A00" w:rsidRPr="00F82C8D" w:rsidRDefault="00F44A00" w:rsidP="00F44A00">
            <w:pPr>
              <w:pStyle w:val="base-text-paragraph"/>
              <w:numPr>
                <w:ilvl w:val="0"/>
                <w:numId w:val="0"/>
              </w:numPr>
              <w:ind w:left="106"/>
              <w:rPr>
                <w:szCs w:val="24"/>
              </w:rPr>
            </w:pPr>
            <w:r w:rsidRPr="00F82C8D">
              <w:rPr>
                <w:szCs w:val="24"/>
              </w:rPr>
              <w:t xml:space="preserve">Schedule 2 of the </w:t>
            </w:r>
            <w:r w:rsidRPr="00F82C8D">
              <w:rPr>
                <w:i/>
                <w:szCs w:val="24"/>
              </w:rPr>
              <w:t>Carbon Farming Initiative Amendment Act 2014</w:t>
            </w:r>
            <w:r w:rsidRPr="00F82C8D">
              <w:rPr>
                <w:szCs w:val="24"/>
              </w:rPr>
              <w:t xml:space="preserve"> establishes the safeguard mechanism by amending the </w:t>
            </w:r>
            <w:r w:rsidRPr="00F82C8D">
              <w:rPr>
                <w:i/>
                <w:iCs/>
                <w:szCs w:val="24"/>
              </w:rPr>
              <w:t>National Greenhouse and Energy Reporting Act 2007.</w:t>
            </w:r>
            <w:r w:rsidRPr="00F82C8D">
              <w:rPr>
                <w:iCs/>
                <w:szCs w:val="24"/>
              </w:rPr>
              <w:t xml:space="preserve"> These amendments will commence on 1 July 2016.</w:t>
            </w:r>
          </w:p>
        </w:tc>
      </w:tr>
      <w:tr w:rsidR="00F44A00" w:rsidRPr="00F82C8D" w:rsidTr="00F44A00">
        <w:tc>
          <w:tcPr>
            <w:tcW w:w="3369" w:type="dxa"/>
          </w:tcPr>
          <w:p w:rsidR="00F44A00" w:rsidRPr="00F82C8D" w:rsidRDefault="00F44A00" w:rsidP="00F44A00">
            <w:pPr>
              <w:pStyle w:val="base-text-paragraph"/>
              <w:numPr>
                <w:ilvl w:val="0"/>
                <w:numId w:val="0"/>
              </w:numPr>
              <w:ind w:left="142"/>
              <w:rPr>
                <w:szCs w:val="24"/>
              </w:rPr>
            </w:pPr>
            <w:r w:rsidRPr="00F82C8D">
              <w:rPr>
                <w:szCs w:val="24"/>
              </w:rPr>
              <w:t>Implementing agency</w:t>
            </w:r>
          </w:p>
        </w:tc>
        <w:tc>
          <w:tcPr>
            <w:tcW w:w="5811" w:type="dxa"/>
          </w:tcPr>
          <w:p w:rsidR="00F44A00" w:rsidRPr="00F82C8D" w:rsidRDefault="00F44A00" w:rsidP="008C021E">
            <w:pPr>
              <w:pStyle w:val="base-text-paragraph"/>
              <w:numPr>
                <w:ilvl w:val="0"/>
                <w:numId w:val="0"/>
              </w:numPr>
              <w:ind w:left="106"/>
              <w:rPr>
                <w:i/>
                <w:szCs w:val="24"/>
              </w:rPr>
            </w:pPr>
            <w:r w:rsidRPr="00F82C8D">
              <w:rPr>
                <w:szCs w:val="24"/>
              </w:rPr>
              <w:t xml:space="preserve">The </w:t>
            </w:r>
            <w:r w:rsidRPr="00F82C8D">
              <w:rPr>
                <w:i/>
                <w:szCs w:val="24"/>
              </w:rPr>
              <w:t>Clean Energy Regulator Act 2011</w:t>
            </w:r>
            <w:r w:rsidRPr="00F82C8D">
              <w:rPr>
                <w:szCs w:val="24"/>
              </w:rPr>
              <w:t xml:space="preserve"> sets out the powers and functions of the Clean Energy Regulator</w:t>
            </w:r>
            <w:r w:rsidR="008C021E" w:rsidRPr="00F82C8D">
              <w:rPr>
                <w:szCs w:val="24"/>
              </w:rPr>
              <w:t xml:space="preserve"> (the Regulator)</w:t>
            </w:r>
            <w:r w:rsidRPr="00F82C8D">
              <w:rPr>
                <w:szCs w:val="24"/>
              </w:rPr>
              <w:t>. The Regulator will administer the safeguard mechanism.</w:t>
            </w:r>
            <w:r w:rsidRPr="00F82C8D">
              <w:rPr>
                <w:i/>
                <w:szCs w:val="24"/>
              </w:rPr>
              <w:t xml:space="preserve"> </w:t>
            </w:r>
          </w:p>
        </w:tc>
      </w:tr>
      <w:tr w:rsidR="00F44A00" w:rsidRPr="00F82C8D" w:rsidTr="00F44A00">
        <w:trPr>
          <w:cantSplit/>
        </w:trPr>
        <w:tc>
          <w:tcPr>
            <w:tcW w:w="3369" w:type="dxa"/>
          </w:tcPr>
          <w:p w:rsidR="00F44A00" w:rsidRPr="00F82C8D" w:rsidRDefault="00F44A00" w:rsidP="00F44A00">
            <w:pPr>
              <w:pStyle w:val="base-text-paragraph"/>
              <w:numPr>
                <w:ilvl w:val="0"/>
                <w:numId w:val="0"/>
              </w:numPr>
              <w:ind w:left="142"/>
              <w:rPr>
                <w:szCs w:val="24"/>
              </w:rPr>
            </w:pPr>
            <w:r w:rsidRPr="00F82C8D">
              <w:rPr>
                <w:szCs w:val="24"/>
              </w:rPr>
              <w:t>Safeguard rule</w:t>
            </w:r>
          </w:p>
        </w:tc>
        <w:tc>
          <w:tcPr>
            <w:tcW w:w="5811" w:type="dxa"/>
          </w:tcPr>
          <w:p w:rsidR="00F44A00" w:rsidRPr="00F82C8D" w:rsidRDefault="00F44A00" w:rsidP="00F44A00">
            <w:pPr>
              <w:pStyle w:val="base-text-paragraph"/>
              <w:numPr>
                <w:ilvl w:val="0"/>
                <w:numId w:val="0"/>
              </w:numPr>
              <w:ind w:left="106"/>
              <w:rPr>
                <w:szCs w:val="24"/>
              </w:rPr>
            </w:pPr>
            <w:r w:rsidRPr="00F82C8D">
              <w:rPr>
                <w:szCs w:val="24"/>
              </w:rPr>
              <w:t xml:space="preserve">The </w:t>
            </w:r>
            <w:r w:rsidRPr="00F82C8D">
              <w:rPr>
                <w:i/>
                <w:szCs w:val="24"/>
              </w:rPr>
              <w:t>National Greenhouse and Energy Reporting (Safeguard Mechanism) Rule 2015</w:t>
            </w:r>
            <w:r w:rsidRPr="00F82C8D">
              <w:rPr>
                <w:szCs w:val="24"/>
              </w:rPr>
              <w:t xml:space="preserve"> will establish the operational elements of the safeguard mechanism, including: </w:t>
            </w:r>
          </w:p>
          <w:p w:rsidR="00F44A00" w:rsidRPr="00F82C8D" w:rsidRDefault="00F44A00" w:rsidP="00464595">
            <w:pPr>
              <w:pStyle w:val="base-text-paragraph"/>
              <w:numPr>
                <w:ilvl w:val="0"/>
                <w:numId w:val="14"/>
              </w:numPr>
              <w:ind w:left="531" w:hanging="425"/>
              <w:rPr>
                <w:szCs w:val="24"/>
              </w:rPr>
            </w:pPr>
            <w:r w:rsidRPr="00F82C8D">
              <w:rPr>
                <w:szCs w:val="24"/>
              </w:rPr>
              <w:t>sp</w:t>
            </w:r>
            <w:r w:rsidR="00346766" w:rsidRPr="00F82C8D">
              <w:rPr>
                <w:szCs w:val="24"/>
              </w:rPr>
              <w:t xml:space="preserve">ecifying the </w:t>
            </w:r>
            <w:r w:rsidR="008C021E" w:rsidRPr="00F82C8D">
              <w:rPr>
                <w:szCs w:val="24"/>
              </w:rPr>
              <w:t>designated large facility threshold</w:t>
            </w:r>
          </w:p>
          <w:p w:rsidR="00F44A00" w:rsidRPr="00F82C8D" w:rsidRDefault="00F44A00" w:rsidP="00464595">
            <w:pPr>
              <w:pStyle w:val="base-text-paragraph"/>
              <w:numPr>
                <w:ilvl w:val="0"/>
                <w:numId w:val="14"/>
              </w:numPr>
              <w:ind w:left="531" w:hanging="425"/>
              <w:rPr>
                <w:szCs w:val="24"/>
              </w:rPr>
            </w:pPr>
            <w:r w:rsidRPr="00F82C8D">
              <w:rPr>
                <w:szCs w:val="24"/>
              </w:rPr>
              <w:t>establis</w:t>
            </w:r>
            <w:r w:rsidR="00346766" w:rsidRPr="00F82C8D">
              <w:rPr>
                <w:szCs w:val="24"/>
              </w:rPr>
              <w:t>hing how baselines will be set</w:t>
            </w:r>
          </w:p>
          <w:p w:rsidR="00F44A00" w:rsidRPr="00F82C8D" w:rsidRDefault="00F44A00" w:rsidP="00464595">
            <w:pPr>
              <w:pStyle w:val="base-text-paragraph"/>
              <w:numPr>
                <w:ilvl w:val="0"/>
                <w:numId w:val="14"/>
              </w:numPr>
              <w:ind w:left="531" w:hanging="425"/>
              <w:rPr>
                <w:szCs w:val="24"/>
              </w:rPr>
            </w:pPr>
            <w:r w:rsidRPr="00F82C8D">
              <w:rPr>
                <w:szCs w:val="24"/>
              </w:rPr>
              <w:t>setting out administrative processes for demonstrating compliance with safeguard obligations.</w:t>
            </w:r>
          </w:p>
        </w:tc>
      </w:tr>
      <w:tr w:rsidR="00F44A00" w:rsidRPr="00F82C8D" w:rsidTr="00F44A00">
        <w:trPr>
          <w:cantSplit/>
        </w:trPr>
        <w:tc>
          <w:tcPr>
            <w:tcW w:w="3369" w:type="dxa"/>
          </w:tcPr>
          <w:p w:rsidR="00F44A00" w:rsidRPr="00F82C8D" w:rsidRDefault="00F44A00" w:rsidP="00F44A00">
            <w:pPr>
              <w:pStyle w:val="base-text-paragraph"/>
              <w:keepLines/>
              <w:numPr>
                <w:ilvl w:val="0"/>
                <w:numId w:val="0"/>
              </w:numPr>
              <w:ind w:left="142"/>
              <w:rPr>
                <w:szCs w:val="24"/>
              </w:rPr>
            </w:pPr>
            <w:r w:rsidRPr="00F82C8D">
              <w:rPr>
                <w:szCs w:val="24"/>
              </w:rPr>
              <w:t>Consequential amendments</w:t>
            </w:r>
          </w:p>
        </w:tc>
        <w:tc>
          <w:tcPr>
            <w:tcW w:w="5811" w:type="dxa"/>
          </w:tcPr>
          <w:p w:rsidR="00F44A00" w:rsidRPr="00F82C8D" w:rsidRDefault="00F44A00" w:rsidP="00F44A00">
            <w:pPr>
              <w:pStyle w:val="base-text-paragraph"/>
              <w:keepLines/>
              <w:numPr>
                <w:ilvl w:val="0"/>
                <w:numId w:val="0"/>
              </w:numPr>
              <w:ind w:left="106"/>
              <w:rPr>
                <w:szCs w:val="24"/>
              </w:rPr>
            </w:pPr>
            <w:r w:rsidRPr="00F82C8D">
              <w:rPr>
                <w:szCs w:val="24"/>
              </w:rPr>
              <w:t xml:space="preserve">The </w:t>
            </w:r>
            <w:r w:rsidRPr="00F82C8D">
              <w:rPr>
                <w:i/>
                <w:szCs w:val="24"/>
              </w:rPr>
              <w:t>National Greenhouse and Energy Reporting Amendment (2015 Measures No. 2) Regulation 2015</w:t>
            </w:r>
            <w:r w:rsidRPr="00F82C8D">
              <w:rPr>
                <w:szCs w:val="24"/>
              </w:rPr>
              <w:t xml:space="preserve"> will set out changes to the </w:t>
            </w:r>
            <w:r w:rsidRPr="00F82C8D">
              <w:rPr>
                <w:i/>
                <w:szCs w:val="24"/>
              </w:rPr>
              <w:t>National Greenhouse and Energy Reporting Regulations 2008</w:t>
            </w:r>
            <w:r w:rsidRPr="00F82C8D">
              <w:rPr>
                <w:szCs w:val="24"/>
              </w:rPr>
              <w:t xml:space="preserve">, including: </w:t>
            </w:r>
          </w:p>
          <w:p w:rsidR="00F44A00" w:rsidRPr="00F82C8D" w:rsidRDefault="00F44A00" w:rsidP="00464595">
            <w:pPr>
              <w:pStyle w:val="base-text-paragraph"/>
              <w:keepLines/>
              <w:numPr>
                <w:ilvl w:val="0"/>
                <w:numId w:val="15"/>
              </w:numPr>
              <w:ind w:left="531" w:hanging="425"/>
              <w:rPr>
                <w:szCs w:val="24"/>
              </w:rPr>
            </w:pPr>
            <w:r w:rsidRPr="00F82C8D">
              <w:rPr>
                <w:szCs w:val="24"/>
              </w:rPr>
              <w:t xml:space="preserve">providing for transport facilities to </w:t>
            </w:r>
            <w:r w:rsidR="00346766" w:rsidRPr="00F82C8D">
              <w:rPr>
                <w:szCs w:val="24"/>
              </w:rPr>
              <w:t>be defined on a national basis</w:t>
            </w:r>
            <w:r w:rsidR="009E5E83" w:rsidRPr="00F82C8D">
              <w:rPr>
                <w:szCs w:val="24"/>
              </w:rPr>
              <w:t xml:space="preserve"> on an opt-in basis</w:t>
            </w:r>
          </w:p>
          <w:p w:rsidR="00F44A00" w:rsidRPr="00F82C8D" w:rsidRDefault="009E5E83" w:rsidP="00464595">
            <w:pPr>
              <w:pStyle w:val="base-text-paragraph"/>
              <w:keepLines/>
              <w:numPr>
                <w:ilvl w:val="0"/>
                <w:numId w:val="15"/>
              </w:numPr>
              <w:ind w:left="531" w:hanging="425"/>
              <w:rPr>
                <w:szCs w:val="24"/>
              </w:rPr>
            </w:pPr>
            <w:r w:rsidRPr="00F82C8D">
              <w:rPr>
                <w:szCs w:val="24"/>
              </w:rPr>
              <w:t>including safeguard audits in the general audit framework</w:t>
            </w:r>
          </w:p>
          <w:p w:rsidR="00F44A00" w:rsidRPr="00F82C8D" w:rsidRDefault="00F44A00" w:rsidP="00464595">
            <w:pPr>
              <w:pStyle w:val="base-text-paragraph"/>
              <w:keepLines/>
              <w:numPr>
                <w:ilvl w:val="0"/>
                <w:numId w:val="15"/>
              </w:numPr>
              <w:ind w:left="531" w:hanging="425"/>
              <w:rPr>
                <w:szCs w:val="24"/>
              </w:rPr>
            </w:pPr>
            <w:r w:rsidRPr="00F82C8D">
              <w:rPr>
                <w:szCs w:val="24"/>
              </w:rPr>
              <w:t>setting the maximum civil penalty amount in the event of non-compliance.</w:t>
            </w:r>
          </w:p>
          <w:p w:rsidR="00F44A00" w:rsidRPr="00F82C8D" w:rsidRDefault="00F44A00" w:rsidP="00F44A00">
            <w:pPr>
              <w:spacing w:after="180"/>
              <w:rPr>
                <w:rFonts w:cs="Times New Roman"/>
                <w:szCs w:val="24"/>
                <w:lang w:val="en-AU" w:eastAsia="en-AU"/>
              </w:rPr>
            </w:pPr>
            <w:r w:rsidRPr="00F82C8D">
              <w:rPr>
                <w:rFonts w:cs="Times New Roman"/>
                <w:szCs w:val="24"/>
                <w:lang w:val="en-AU" w:eastAsia="en-AU"/>
              </w:rPr>
              <w:t xml:space="preserve">Amendments to the </w:t>
            </w:r>
            <w:r w:rsidRPr="00F82C8D">
              <w:rPr>
                <w:rFonts w:cs="Times New Roman"/>
                <w:i/>
                <w:szCs w:val="24"/>
                <w:lang w:val="en-AU" w:eastAsia="en-AU"/>
              </w:rPr>
              <w:t>National Greenhouse and Energy Reporting (Measurement) Determination 2008</w:t>
            </w:r>
            <w:r w:rsidRPr="00F82C8D">
              <w:rPr>
                <w:rFonts w:cs="Times New Roman"/>
                <w:szCs w:val="24"/>
                <w:lang w:val="en-AU" w:eastAsia="en-AU"/>
              </w:rPr>
              <w:t xml:space="preserve"> will ensure that methods are available to measure legacy and non-legacy waste separately, in accordance with the policy to limit coverage to waste that is deposited at a landfill after 1 July 2016.</w:t>
            </w:r>
          </w:p>
          <w:p w:rsidR="00F44A00" w:rsidRPr="00F82C8D" w:rsidRDefault="00F44A00" w:rsidP="00F44A00">
            <w:pPr>
              <w:spacing w:after="180"/>
              <w:rPr>
                <w:rFonts w:cs="Times New Roman"/>
                <w:szCs w:val="24"/>
                <w:lang w:val="en-AU" w:eastAsia="en-AU"/>
              </w:rPr>
            </w:pPr>
            <w:r w:rsidRPr="00F82C8D">
              <w:rPr>
                <w:rFonts w:cs="Times New Roman"/>
                <w:szCs w:val="24"/>
                <w:lang w:val="en-AU" w:eastAsia="en-AU"/>
              </w:rPr>
              <w:t xml:space="preserve">Amendments to the </w:t>
            </w:r>
            <w:r w:rsidRPr="00F82C8D">
              <w:rPr>
                <w:rFonts w:cs="Times New Roman"/>
                <w:i/>
                <w:szCs w:val="24"/>
                <w:lang w:val="en-AU" w:eastAsia="en-AU"/>
              </w:rPr>
              <w:t>National Greenhouse and Energy Reporting (Audit) Determination 2009</w:t>
            </w:r>
            <w:r w:rsidRPr="00F82C8D">
              <w:rPr>
                <w:rFonts w:cs="Times New Roman"/>
                <w:szCs w:val="24"/>
                <w:lang w:val="en-AU" w:eastAsia="en-AU"/>
              </w:rPr>
              <w:t xml:space="preserve"> will introduce the concept of a ‘safeguard audit’ and ensure that the determination is relevant to the safeguard mechanism. </w:t>
            </w:r>
          </w:p>
        </w:tc>
      </w:tr>
    </w:tbl>
    <w:p w:rsidR="00F44A00" w:rsidRPr="00F82C8D" w:rsidRDefault="00F44A00" w:rsidP="00F44A00">
      <w:pPr>
        <w:spacing w:after="0"/>
        <w:rPr>
          <w:rFonts w:cs="Times New Roman"/>
          <w:szCs w:val="24"/>
        </w:rPr>
      </w:pPr>
    </w:p>
    <w:p w:rsidR="00A23E6C" w:rsidRPr="00F82C8D" w:rsidRDefault="00A23E6C" w:rsidP="00A23E6C">
      <w:pPr>
        <w:pStyle w:val="Heading2"/>
      </w:pPr>
      <w:bookmarkStart w:id="6" w:name="_Toc426382200"/>
      <w:bookmarkStart w:id="7" w:name="_Toc426628834"/>
      <w:bookmarkStart w:id="8" w:name="_Toc431975828"/>
      <w:bookmarkEnd w:id="6"/>
      <w:bookmarkEnd w:id="7"/>
      <w:r w:rsidRPr="00F82C8D">
        <w:t>Public consultation</w:t>
      </w:r>
      <w:bookmarkEnd w:id="8"/>
    </w:p>
    <w:p w:rsidR="004E47B6" w:rsidRPr="00F82C8D" w:rsidRDefault="00A23E6C" w:rsidP="00A23E6C">
      <w:pPr>
        <w:pStyle w:val="base-text-paragraphnonumbers0"/>
        <w:ind w:left="0"/>
        <w:rPr>
          <w:szCs w:val="24"/>
        </w:rPr>
      </w:pPr>
      <w:r w:rsidRPr="00F82C8D">
        <w:rPr>
          <w:szCs w:val="24"/>
        </w:rPr>
        <w:t xml:space="preserve">The Government has consulted widely on the safeguard mechanism’s design. Terms of reference were consulted on in October 2013, followed by a Green Paper in December 2013 leading to release of a White Paper in April 2014. The Government announced a number of important policy decisions on the safeguard mechanism in the White Paper. During passage of the Carbon Farming Initiative Amendment Bill through Parliament, amendments were made to the </w:t>
      </w:r>
      <w:r w:rsidRPr="00F82C8D">
        <w:rPr>
          <w:i/>
          <w:szCs w:val="24"/>
        </w:rPr>
        <w:t>National Greenhouse and Energy Reporting Act 2007</w:t>
      </w:r>
      <w:r w:rsidRPr="00F82C8D">
        <w:rPr>
          <w:szCs w:val="24"/>
        </w:rPr>
        <w:t xml:space="preserve"> (Act). These established a legislative framework for the safeguard mechanism and enabled final design elements to be implemented through legislative rules. A Regulation Impact Statement was prepared that explores options for the remaining design decisions pertaining to the safeguard mechanism, that is those design elements not decided in either the Act or the White Paper. It also includes estimates of the regulatory burden arising from the introduction of the safeguard mechanism to inform the Government’s final decision on its design. </w:t>
      </w:r>
    </w:p>
    <w:p w:rsidR="00A23E6C" w:rsidRPr="00F82C8D" w:rsidRDefault="00A23E6C" w:rsidP="00A23E6C">
      <w:pPr>
        <w:pStyle w:val="base-text-paragraphnonumbers0"/>
        <w:ind w:left="0"/>
        <w:rPr>
          <w:szCs w:val="24"/>
        </w:rPr>
      </w:pPr>
      <w:r w:rsidRPr="00F82C8D">
        <w:rPr>
          <w:szCs w:val="24"/>
        </w:rPr>
        <w:t xml:space="preserve">Public consultation </w:t>
      </w:r>
      <w:r w:rsidR="004E47B6" w:rsidRPr="00F82C8D">
        <w:rPr>
          <w:szCs w:val="24"/>
        </w:rPr>
        <w:t xml:space="preserve">was </w:t>
      </w:r>
      <w:r w:rsidRPr="00F82C8D">
        <w:rPr>
          <w:szCs w:val="24"/>
        </w:rPr>
        <w:t xml:space="preserve">undertaken in September 2015 on the exposure draft safeguard rule, informed by </w:t>
      </w:r>
      <w:r w:rsidR="004E47B6" w:rsidRPr="00F82C8D">
        <w:rPr>
          <w:szCs w:val="24"/>
        </w:rPr>
        <w:t>a</w:t>
      </w:r>
      <w:r w:rsidRPr="00F82C8D">
        <w:rPr>
          <w:szCs w:val="24"/>
        </w:rPr>
        <w:t xml:space="preserve"> draft Explanatory Statement. </w:t>
      </w:r>
      <w:r w:rsidR="004E47B6" w:rsidRPr="00F82C8D">
        <w:rPr>
          <w:szCs w:val="24"/>
        </w:rPr>
        <w:t>A number of stakeholder briefings and teleconferences were held.</w:t>
      </w:r>
      <w:r w:rsidR="003A56BC" w:rsidRPr="00F82C8D">
        <w:rPr>
          <w:szCs w:val="24"/>
        </w:rPr>
        <w:t xml:space="preserve"> </w:t>
      </w:r>
      <w:r w:rsidRPr="00F82C8D">
        <w:rPr>
          <w:szCs w:val="24"/>
        </w:rPr>
        <w:t xml:space="preserve">Forty-eight submissions on the exposure draft safeguard rule were received during the consultation period. </w:t>
      </w:r>
    </w:p>
    <w:p w:rsidR="00A23E6C" w:rsidRPr="00F82C8D" w:rsidRDefault="00AE02A7" w:rsidP="00A23E6C">
      <w:pPr>
        <w:pStyle w:val="Heading2"/>
      </w:pPr>
      <w:bookmarkStart w:id="9" w:name="_Toc431975829"/>
      <w:r>
        <w:t>Regulatory i</w:t>
      </w:r>
      <w:r w:rsidR="00A23E6C" w:rsidRPr="00F82C8D">
        <w:t>mpact</w:t>
      </w:r>
      <w:bookmarkEnd w:id="9"/>
    </w:p>
    <w:p w:rsidR="00A23E6C" w:rsidRPr="00F82C8D" w:rsidRDefault="00A23E6C" w:rsidP="00A23E6C">
      <w:pPr>
        <w:pStyle w:val="base-text-paragraphnonumbers0"/>
        <w:ind w:left="0"/>
        <w:rPr>
          <w:szCs w:val="24"/>
        </w:rPr>
      </w:pPr>
      <w:r w:rsidRPr="00F82C8D">
        <w:rPr>
          <w:szCs w:val="24"/>
        </w:rPr>
        <w:t>The Department of the Environment certified the Emissions Reduction Fund White Paper as a Regulation Impact Statement for initial decisions on the Emissions Reduction Fund. These decisions included the Emissions Reduction Fund crediting and purchasing arrangements, Carbon Farming Initiative arrangements incorporated into the Emissions Reduction Fund, and coverage of the Emissions Reduction Fund safeguard mechanism in accordance with the Australian Government Guide to Regulation. This was foll</w:t>
      </w:r>
      <w:r w:rsidR="007D0B45" w:rsidRPr="00F82C8D">
        <w:rPr>
          <w:szCs w:val="24"/>
        </w:rPr>
        <w:t xml:space="preserve">owed with a dedicated Regulation </w:t>
      </w:r>
      <w:r w:rsidRPr="00F82C8D">
        <w:rPr>
          <w:szCs w:val="24"/>
        </w:rPr>
        <w:t xml:space="preserve">Impact Statement for the safeguard mechanism which was finalised after thorough consultation with a wide range of stakeholders. The </w:t>
      </w:r>
      <w:r w:rsidR="007D0B45" w:rsidRPr="00F82C8D">
        <w:rPr>
          <w:szCs w:val="24"/>
        </w:rPr>
        <w:t xml:space="preserve">Regulation Impact Statement </w:t>
      </w:r>
      <w:r w:rsidRPr="00F82C8D">
        <w:rPr>
          <w:szCs w:val="24"/>
        </w:rPr>
        <w:t xml:space="preserve">focused on the policy commitment made by the Australian Government, and the manner in which it should be implemented, exploring options and setting recommendations for design decisions not already settled in the Act or the White Paper. The safeguard mechanism will send a signal to businesses to avoid significant increases in emissions beyond business-as-usual levels. It will do so in a light touch way that supports economic growth and allows businesses to continue normal operations. </w:t>
      </w:r>
    </w:p>
    <w:p w:rsidR="00F44A00" w:rsidRPr="00F82C8D" w:rsidRDefault="009E5E83" w:rsidP="00346766">
      <w:pPr>
        <w:pStyle w:val="Heading2"/>
      </w:pPr>
      <w:bookmarkStart w:id="10" w:name="_Toc431975830"/>
      <w:r w:rsidRPr="00F82C8D">
        <w:t>Safeguard rule</w:t>
      </w:r>
      <w:r w:rsidR="00F44A00" w:rsidRPr="00F82C8D">
        <w:t xml:space="preserve"> details</w:t>
      </w:r>
      <w:bookmarkEnd w:id="10"/>
      <w:r w:rsidR="00F44A00" w:rsidRPr="00F82C8D">
        <w:t xml:space="preserve"> </w:t>
      </w:r>
    </w:p>
    <w:p w:rsidR="00F44A00" w:rsidRPr="00F82C8D" w:rsidRDefault="00F44A00" w:rsidP="00F44A00">
      <w:pPr>
        <w:rPr>
          <w:rFonts w:eastAsiaTheme="minorHAnsi" w:cs="Times New Roman"/>
          <w:szCs w:val="24"/>
        </w:rPr>
      </w:pPr>
      <w:r w:rsidRPr="00F82C8D">
        <w:rPr>
          <w:rFonts w:cs="Times New Roman"/>
          <w:szCs w:val="24"/>
        </w:rPr>
        <w:t xml:space="preserve">The safeguard rule is a legislative instrument within the meaning of the </w:t>
      </w:r>
      <w:r w:rsidRPr="00F82C8D">
        <w:rPr>
          <w:rFonts w:cs="Times New Roman"/>
          <w:i/>
          <w:iCs/>
          <w:szCs w:val="24"/>
        </w:rPr>
        <w:t>Legislative Instruments Act 200</w:t>
      </w:r>
      <w:r w:rsidRPr="00F82C8D">
        <w:rPr>
          <w:rFonts w:cs="Times New Roman"/>
          <w:szCs w:val="24"/>
        </w:rPr>
        <w:t>3.</w:t>
      </w:r>
      <w:r w:rsidRPr="00F82C8D">
        <w:rPr>
          <w:rFonts w:eastAsiaTheme="minorHAnsi" w:cs="Times New Roman"/>
          <w:szCs w:val="24"/>
        </w:rPr>
        <w:t xml:space="preserve"> </w:t>
      </w:r>
      <w:r w:rsidRPr="00F82C8D">
        <w:rPr>
          <w:rFonts w:cs="Times New Roman"/>
          <w:szCs w:val="24"/>
        </w:rPr>
        <w:t>It will commence on 1 July 2016.</w:t>
      </w:r>
      <w:r w:rsidR="00394E74" w:rsidRPr="00F82C8D">
        <w:rPr>
          <w:rFonts w:cs="Times New Roman"/>
          <w:szCs w:val="24"/>
        </w:rPr>
        <w:t xml:space="preserve"> </w:t>
      </w:r>
    </w:p>
    <w:p w:rsidR="00F44A00" w:rsidRPr="00F82C8D" w:rsidRDefault="00F44A00" w:rsidP="00346766">
      <w:pPr>
        <w:pStyle w:val="Heading2"/>
      </w:pPr>
      <w:bookmarkStart w:id="11" w:name="_Toc426382201"/>
      <w:bookmarkStart w:id="12" w:name="_Toc426628835"/>
      <w:bookmarkStart w:id="13" w:name="_Toc431975831"/>
      <w:bookmarkEnd w:id="11"/>
      <w:bookmarkEnd w:id="12"/>
      <w:r w:rsidRPr="00F82C8D">
        <w:t>Statement of compatibility with human rights</w:t>
      </w:r>
      <w:bookmarkEnd w:id="13"/>
    </w:p>
    <w:p w:rsidR="00F44A00" w:rsidRPr="00F82C8D" w:rsidRDefault="00F44A00" w:rsidP="00F44A00">
      <w:pPr>
        <w:rPr>
          <w:rFonts w:cs="Times New Roman"/>
          <w:szCs w:val="24"/>
        </w:rPr>
      </w:pPr>
      <w:r w:rsidRPr="00F82C8D">
        <w:rPr>
          <w:rFonts w:cs="Times New Roman"/>
          <w:szCs w:val="24"/>
        </w:rPr>
        <w:t>A Statement of Compatibility with Human Rights</w:t>
      </w:r>
      <w:r w:rsidR="00086187" w:rsidRPr="00F82C8D">
        <w:rPr>
          <w:rFonts w:cs="Times New Roman"/>
          <w:szCs w:val="24"/>
        </w:rPr>
        <w:t>,</w:t>
      </w:r>
      <w:r w:rsidRPr="00F82C8D">
        <w:rPr>
          <w:rFonts w:cs="Times New Roman"/>
          <w:szCs w:val="24"/>
        </w:rPr>
        <w:t xml:space="preserve"> prepared in accordance with the </w:t>
      </w:r>
      <w:r w:rsidRPr="00F82C8D">
        <w:rPr>
          <w:rFonts w:cs="Times New Roman"/>
          <w:i/>
          <w:iCs/>
          <w:szCs w:val="24"/>
        </w:rPr>
        <w:t>Human Rights (</w:t>
      </w:r>
      <w:r w:rsidR="00086187" w:rsidRPr="00F82C8D">
        <w:rPr>
          <w:rFonts w:cs="Times New Roman"/>
          <w:i/>
          <w:iCs/>
          <w:szCs w:val="24"/>
        </w:rPr>
        <w:t>Parliamentary Scrutiny) Act 2011</w:t>
      </w:r>
      <w:r w:rsidR="009E5E83" w:rsidRPr="00F82C8D">
        <w:rPr>
          <w:rFonts w:cs="Times New Roman"/>
          <w:i/>
          <w:iCs/>
          <w:szCs w:val="24"/>
        </w:rPr>
        <w:t xml:space="preserve">, </w:t>
      </w:r>
      <w:r w:rsidR="009E5E83" w:rsidRPr="00F82C8D">
        <w:rPr>
          <w:rFonts w:cs="Times New Roman"/>
          <w:szCs w:val="24"/>
        </w:rPr>
        <w:t>is</w:t>
      </w:r>
      <w:r w:rsidRPr="00F82C8D">
        <w:rPr>
          <w:rFonts w:cs="Times New Roman"/>
          <w:szCs w:val="24"/>
        </w:rPr>
        <w:t xml:space="preserve"> at page </w:t>
      </w:r>
      <w:r w:rsidR="00744D5E" w:rsidRPr="00F82C8D">
        <w:rPr>
          <w:rFonts w:eastAsia="Calibri" w:cs="Times New Roman"/>
          <w:szCs w:val="24"/>
          <w:lang w:val="en-AU" w:bidi="ar-SA"/>
        </w:rPr>
        <w:fldChar w:fldCharType="begin"/>
      </w:r>
      <w:r w:rsidR="005A3F65" w:rsidRPr="00F82C8D">
        <w:rPr>
          <w:rFonts w:eastAsia="Calibri" w:cs="Times New Roman"/>
          <w:szCs w:val="24"/>
          <w:lang w:val="en-AU" w:bidi="ar-SA"/>
        </w:rPr>
        <w:instrText xml:space="preserve"> PAGEREF _Ref427857344 \h </w:instrText>
      </w:r>
      <w:r w:rsidR="00744D5E" w:rsidRPr="00F82C8D">
        <w:rPr>
          <w:rFonts w:eastAsia="Calibri" w:cs="Times New Roman"/>
          <w:szCs w:val="24"/>
          <w:lang w:val="en-AU" w:bidi="ar-SA"/>
        </w:rPr>
      </w:r>
      <w:r w:rsidR="00744D5E" w:rsidRPr="00F82C8D">
        <w:rPr>
          <w:rFonts w:eastAsia="Calibri" w:cs="Times New Roman"/>
          <w:szCs w:val="24"/>
          <w:lang w:val="en-AU" w:bidi="ar-SA"/>
        </w:rPr>
        <w:fldChar w:fldCharType="separate"/>
      </w:r>
      <w:r w:rsidR="00F16B1F">
        <w:rPr>
          <w:rFonts w:eastAsia="Calibri" w:cs="Times New Roman"/>
          <w:noProof/>
          <w:szCs w:val="24"/>
          <w:lang w:val="en-AU" w:bidi="ar-SA"/>
        </w:rPr>
        <w:t>119</w:t>
      </w:r>
      <w:r w:rsidR="00744D5E" w:rsidRPr="00F82C8D">
        <w:rPr>
          <w:rFonts w:eastAsia="Calibri" w:cs="Times New Roman"/>
          <w:szCs w:val="24"/>
          <w:lang w:val="en-AU" w:bidi="ar-SA"/>
        </w:rPr>
        <w:fldChar w:fldCharType="end"/>
      </w:r>
      <w:r w:rsidR="005A3F65" w:rsidRPr="00F82C8D">
        <w:rPr>
          <w:rFonts w:eastAsia="Calibri" w:cs="Times New Roman"/>
          <w:b/>
          <w:szCs w:val="24"/>
          <w:lang w:val="en-AU" w:bidi="ar-SA"/>
        </w:rPr>
        <w:t xml:space="preserve"> </w:t>
      </w:r>
      <w:r w:rsidRPr="00F82C8D">
        <w:rPr>
          <w:rFonts w:cs="Times New Roman"/>
          <w:szCs w:val="24"/>
        </w:rPr>
        <w:t>of the</w:t>
      </w:r>
      <w:r w:rsidR="00346766" w:rsidRPr="00F82C8D">
        <w:rPr>
          <w:rFonts w:cs="Times New Roman"/>
          <w:szCs w:val="24"/>
        </w:rPr>
        <w:t xml:space="preserve"> </w:t>
      </w:r>
      <w:r w:rsidRPr="00F82C8D">
        <w:rPr>
          <w:rFonts w:cs="Times New Roman"/>
          <w:szCs w:val="24"/>
        </w:rPr>
        <w:t>Explanatory Statement.</w:t>
      </w:r>
    </w:p>
    <w:p w:rsidR="00F44A00" w:rsidRPr="00F82C8D" w:rsidRDefault="00F44A00" w:rsidP="00F44A00">
      <w:pPr>
        <w:rPr>
          <w:rFonts w:cs="Times New Roman"/>
          <w:szCs w:val="24"/>
        </w:rPr>
      </w:pPr>
      <w:r w:rsidRPr="00F82C8D">
        <w:rPr>
          <w:rFonts w:cs="Times New Roman"/>
          <w:szCs w:val="24"/>
        </w:rPr>
        <w:br w:type="page"/>
      </w:r>
    </w:p>
    <w:p w:rsidR="00F44A00" w:rsidRPr="00F82C8D" w:rsidRDefault="00F44A00" w:rsidP="00346766">
      <w:pPr>
        <w:pStyle w:val="Heading1"/>
      </w:pPr>
      <w:bookmarkStart w:id="14" w:name="_Toc431975832"/>
      <w:bookmarkEnd w:id="5"/>
      <w:r w:rsidRPr="00F82C8D">
        <w:t>Policy context</w:t>
      </w:r>
      <w:bookmarkEnd w:id="14"/>
    </w:p>
    <w:p w:rsidR="00F44A00" w:rsidRPr="00F82C8D" w:rsidRDefault="00F44A00" w:rsidP="00346766">
      <w:pPr>
        <w:pStyle w:val="Heading2"/>
      </w:pPr>
      <w:bookmarkStart w:id="15" w:name="_Toc431975833"/>
      <w:r w:rsidRPr="00F82C8D">
        <w:t>The Emissions Reduction Fund</w:t>
      </w:r>
      <w:bookmarkEnd w:id="15"/>
    </w:p>
    <w:p w:rsidR="00F44A00" w:rsidRPr="00F82C8D" w:rsidRDefault="00F44A00" w:rsidP="00346766">
      <w:pPr>
        <w:rPr>
          <w:rFonts w:cs="Times New Roman"/>
          <w:szCs w:val="24"/>
        </w:rPr>
      </w:pPr>
      <w:r w:rsidRPr="00F82C8D">
        <w:rPr>
          <w:rFonts w:cs="Times New Roman"/>
          <w:szCs w:val="24"/>
        </w:rPr>
        <w:t>The Emissions Reduction Fund is central to the Government’s Direct Action Plan to cut emissions to five per cent below 2000 levels by 2020 and to 26 to 28 per cent below 2005</w:t>
      </w:r>
      <w:r w:rsidR="004B16A8" w:rsidRPr="00F82C8D">
        <w:rPr>
          <w:rFonts w:cs="Times New Roman"/>
          <w:szCs w:val="24"/>
        </w:rPr>
        <w:t xml:space="preserve"> levels by 2030. It comprises an element to credit emissions reductions, a </w:t>
      </w:r>
      <w:r w:rsidRPr="00F82C8D">
        <w:rPr>
          <w:rFonts w:cs="Times New Roman"/>
          <w:szCs w:val="24"/>
        </w:rPr>
        <w:t>fund to purchase emissions reductions, and a safeguard mechanism to ensure that these reductions are not displaced by a significant rise in emissions</w:t>
      </w:r>
      <w:r w:rsidR="004B046F" w:rsidRPr="00F82C8D">
        <w:rPr>
          <w:rFonts w:cs="Times New Roman"/>
          <w:szCs w:val="24"/>
        </w:rPr>
        <w:t xml:space="preserve"> above business-as-usual levels</w:t>
      </w:r>
      <w:r w:rsidRPr="00F82C8D">
        <w:rPr>
          <w:rFonts w:cs="Times New Roman"/>
          <w:szCs w:val="24"/>
        </w:rPr>
        <w:t xml:space="preserve"> elsewhere in the economy. </w:t>
      </w:r>
    </w:p>
    <w:p w:rsidR="00F44A00" w:rsidRPr="00F82C8D" w:rsidRDefault="00F44A00" w:rsidP="00F44A00">
      <w:pPr>
        <w:rPr>
          <w:rFonts w:cs="Times New Roman"/>
          <w:szCs w:val="24"/>
        </w:rPr>
      </w:pPr>
      <w:r w:rsidRPr="00F82C8D">
        <w:rPr>
          <w:rFonts w:cs="Times New Roman"/>
          <w:szCs w:val="24"/>
        </w:rPr>
        <w:t xml:space="preserve">The </w:t>
      </w:r>
      <w:r w:rsidR="004B16A8" w:rsidRPr="00F82C8D">
        <w:rPr>
          <w:rFonts w:cs="Times New Roman"/>
          <w:b/>
          <w:szCs w:val="24"/>
        </w:rPr>
        <w:t xml:space="preserve">crediting and </w:t>
      </w:r>
      <w:r w:rsidRPr="00F82C8D">
        <w:rPr>
          <w:rFonts w:cs="Times New Roman"/>
          <w:b/>
          <w:szCs w:val="24"/>
        </w:rPr>
        <w:t>purchasing element</w:t>
      </w:r>
      <w:r w:rsidR="004B16A8" w:rsidRPr="00F82C8D">
        <w:rPr>
          <w:rFonts w:cs="Times New Roman"/>
          <w:b/>
          <w:szCs w:val="24"/>
        </w:rPr>
        <w:t>s</w:t>
      </w:r>
      <w:r w:rsidRPr="00F82C8D">
        <w:rPr>
          <w:rFonts w:cs="Times New Roman"/>
          <w:szCs w:val="24"/>
        </w:rPr>
        <w:t xml:space="preserve"> will lower national emissions, while funding businesses to undertake projects that will improve their productivity, for example through more efficient industrial processes, improved household and commercial energy efficiency and improved soil productivity. </w:t>
      </w:r>
    </w:p>
    <w:p w:rsidR="00F44A00" w:rsidRDefault="00F44A00" w:rsidP="00D7414C">
      <w:pPr>
        <w:rPr>
          <w:rFonts w:cs="Times New Roman"/>
          <w:szCs w:val="24"/>
        </w:rPr>
      </w:pPr>
      <w:r w:rsidRPr="00F82C8D">
        <w:rPr>
          <w:rFonts w:cs="Times New Roman"/>
          <w:szCs w:val="24"/>
        </w:rPr>
        <w:t xml:space="preserve">The </w:t>
      </w:r>
      <w:r w:rsidRPr="00F82C8D">
        <w:rPr>
          <w:rFonts w:cs="Times New Roman"/>
          <w:b/>
          <w:szCs w:val="24"/>
        </w:rPr>
        <w:t>safeguard mechanism</w:t>
      </w:r>
      <w:r w:rsidRPr="00F82C8D">
        <w:rPr>
          <w:rFonts w:cs="Times New Roman"/>
          <w:szCs w:val="24"/>
        </w:rPr>
        <w:t xml:space="preserve"> will safeguard the value of funds spent under the Emissions Reduction Fund by requiring large businesses to keep emissions below baseline levels. This section outlines its final design, which has been determined following extensive consultation with businesses and the community. The Emissions Reduction Fund Green Paper was released in December 2013 for public comment, followed by a White Paper in April 2014 outlining key design features. A consultation paper canvassing options for the safeguard mechanism was released in March 2015. The views expressed in over 85 submissions have informed the final design. The safeguard mechanism will commence on 1 July 2016. </w:t>
      </w:r>
      <w:r w:rsidR="00BC2B08">
        <w:rPr>
          <w:rFonts w:cs="Times New Roman"/>
          <w:szCs w:val="24"/>
        </w:rPr>
        <w:t xml:space="preserve"> The timeline for the design and implementation of the safeguard mechanism is illustrated in </w:t>
      </w:r>
      <w:r w:rsidR="00744D5E">
        <w:rPr>
          <w:rFonts w:cs="Times New Roman"/>
          <w:szCs w:val="24"/>
        </w:rPr>
        <w:fldChar w:fldCharType="begin"/>
      </w:r>
      <w:r w:rsidR="00FB7EB9">
        <w:rPr>
          <w:rFonts w:cs="Times New Roman"/>
          <w:szCs w:val="24"/>
        </w:rPr>
        <w:instrText xml:space="preserve"> REF _Ref431903561 \h </w:instrText>
      </w:r>
      <w:r w:rsidR="00744D5E">
        <w:rPr>
          <w:rFonts w:cs="Times New Roman"/>
          <w:szCs w:val="24"/>
        </w:rPr>
      </w:r>
      <w:r w:rsidR="00744D5E">
        <w:rPr>
          <w:rFonts w:cs="Times New Roman"/>
          <w:szCs w:val="24"/>
        </w:rPr>
        <w:fldChar w:fldCharType="separate"/>
      </w:r>
      <w:r w:rsidR="00F16B1F">
        <w:t xml:space="preserve">Figure </w:t>
      </w:r>
      <w:r w:rsidR="00F16B1F">
        <w:rPr>
          <w:noProof/>
        </w:rPr>
        <w:t>1</w:t>
      </w:r>
      <w:r w:rsidR="00744D5E">
        <w:rPr>
          <w:rFonts w:cs="Times New Roman"/>
          <w:szCs w:val="24"/>
        </w:rPr>
        <w:fldChar w:fldCharType="end"/>
      </w:r>
      <w:r w:rsidR="00FB7EB9">
        <w:rPr>
          <w:rFonts w:cs="Times New Roman"/>
          <w:szCs w:val="24"/>
        </w:rPr>
        <w:t>.</w:t>
      </w:r>
    </w:p>
    <w:p w:rsidR="00BC2B08" w:rsidRDefault="00FB7EB9" w:rsidP="00FB7EB9">
      <w:pPr>
        <w:pStyle w:val="Caption"/>
      </w:pPr>
      <w:bookmarkStart w:id="16" w:name="_Ref431903561"/>
      <w:r>
        <w:t xml:space="preserve">Figure </w:t>
      </w:r>
      <w:fldSimple w:instr=" SEQ Figure \* ARABIC ">
        <w:r w:rsidR="00F16B1F">
          <w:rPr>
            <w:noProof/>
          </w:rPr>
          <w:t>1</w:t>
        </w:r>
      </w:fldSimple>
      <w:bookmarkEnd w:id="16"/>
      <w:r>
        <w:t>—</w:t>
      </w:r>
      <w:r w:rsidR="00BC2B08">
        <w:t>Design and implementation timeline for the safeguard mechanism</w:t>
      </w:r>
    </w:p>
    <w:p w:rsidR="00BC2B08" w:rsidRPr="00BC2B08" w:rsidRDefault="00744D5E" w:rsidP="00BC2B08">
      <w:pPr>
        <w:rPr>
          <w:rFonts w:asciiTheme="majorHAnsi" w:hAnsiTheme="majorHAnsi"/>
        </w:rPr>
      </w:pPr>
      <w:r w:rsidRPr="00744D5E">
        <w:rPr>
          <w:rFonts w:asciiTheme="majorHAnsi" w:hAnsiTheme="majorHAnsi"/>
          <w:noProof/>
          <w:lang w:eastAsia="en-AU"/>
        </w:rPr>
      </w:r>
      <w:r>
        <w:rPr>
          <w:rFonts w:asciiTheme="majorHAnsi" w:hAnsiTheme="majorHAnsi"/>
          <w:noProof/>
          <w:lang w:eastAsia="en-AU"/>
        </w:rPr>
        <w:pict>
          <v:group id="Canvas 166" o:spid="_x0000_s1034" editas="canvas" style="width:487.5pt;height:132.85pt;mso-position-horizontal-relative:char;mso-position-vertical-relative:line" coordsize="61912,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1912;height:16872;visibility:visibl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1" o:spid="_x0000_s1036" type="#_x0000_t15" style="position:absolute;left:152;top:4870;width:10096;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YKMQA&#10;AADcAAAADwAAAGRycy9kb3ducmV2LnhtbERPTWvCQBC9F/oflil4KbppSEWiq5RCQdBLorR4G7Jj&#10;NpidDdk1xv76bqHQ2zze56w2o23FQL1vHCt4mSUgiCunG64VHA8f0wUIH5A1to5JwZ08bNaPDyvM&#10;tbtxQUMZahFD2OeowITQ5VL6ypBFP3MdceTOrrcYIuxrqXu8xXDbyjRJ5tJiw7HBYEfvhqpLebUK&#10;dpnZh/Hr/klZJov6uzTPp32h1ORpfFuCCDSGf/Gfe6vj/NcU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lmCjEAAAA3AAAAA8AAAAAAAAAAAAAAAAAmAIAAGRycy9k&#10;b3ducmV2LnhtbFBLBQYAAAAABAAEAPUAAACJAwAAAAA=&#10;" fillcolor="#dbe5f1" stroked="f">
              <v:textbox>
                <w:txbxContent>
                  <w:p w:rsidR="00FB7EB9" w:rsidRPr="00BC2B08" w:rsidRDefault="00FB7EB9" w:rsidP="00BC2B08">
                    <w:pPr>
                      <w:ind w:right="-123"/>
                      <w:rPr>
                        <w:rFonts w:asciiTheme="majorHAnsi" w:hAnsiTheme="majorHAnsi"/>
                        <w:sz w:val="20"/>
                      </w:rPr>
                    </w:pPr>
                    <w:r w:rsidRPr="00BC2B08">
                      <w:rPr>
                        <w:rFonts w:asciiTheme="majorHAnsi" w:hAnsiTheme="majorHAnsi"/>
                        <w:sz w:val="20"/>
                      </w:rPr>
                      <w:t>Emissions Reduction Fund Green Paper</w:t>
                    </w:r>
                  </w:p>
                </w:txbxContent>
              </v:textbox>
            </v:shape>
            <v:rect id="Rectangle 152" o:spid="_x0000_s1037" style="position:absolute;left:254;top:1066;width:7378;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ICJMQA&#10;AADcAAAADwAAAGRycy9kb3ducmV2LnhtbERPTWvCQBC9C/0PyxR6Ed1UaSPRVaQo9KLY6MHjkJ0m&#10;odnZmF1j9Ne7BcHbPN7nzBadqURLjSstK3gfRiCIM6tLzhUc9uvBBITzyBory6TgSg4W85feDBNt&#10;L/xDbepzEULYJaig8L5OpHRZQQbd0NbEgfu1jUEfYJNL3eAlhJtKjqLoUxosOTQUWNNXQdlfejYK&#10;dtvNJk7Xcf+05OiW3Vbn46klpd5eu+UUhKfOP8UP97cO8z/G8P9MuE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yAiTEAAAA3AAAAA8AAAAAAAAAAAAAAAAAmAIAAGRycy9k&#10;b3ducmV2LnhtbFBLBQYAAAAABAAEAPUAAACJAwAAAAA=&#10;" fillcolor="#f2f2f2" stroked="f">
              <v:textbox>
                <w:txbxContent>
                  <w:p w:rsidR="00FB7EB9" w:rsidRPr="00BC2B08" w:rsidRDefault="00FB7EB9" w:rsidP="00BC2B08">
                    <w:pPr>
                      <w:ind w:right="-123"/>
                      <w:rPr>
                        <w:rFonts w:asciiTheme="majorHAnsi" w:hAnsiTheme="majorHAnsi"/>
                        <w:sz w:val="20"/>
                      </w:rPr>
                    </w:pPr>
                    <w:r w:rsidRPr="00BC2B08">
                      <w:rPr>
                        <w:rFonts w:asciiTheme="majorHAnsi" w:hAnsiTheme="majorHAnsi"/>
                        <w:sz w:val="18"/>
                      </w:rPr>
                      <w:t xml:space="preserve">Dec </w:t>
                    </w:r>
                    <w:r w:rsidRPr="00BC2B08">
                      <w:rPr>
                        <w:rFonts w:asciiTheme="majorHAnsi" w:hAnsiTheme="majorHAnsi"/>
                        <w:sz w:val="20"/>
                      </w:rPr>
                      <w:t>2013</w:t>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53" o:spid="_x0000_s1038" type="#_x0000_t55" style="position:absolute;left:8064;top:4870;width:10560;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jy0MEA&#10;AADcAAAADwAAAGRycy9kb3ducmV2LnhtbERPTYvCMBC9L/gfwgh700RZRbpGWRYWxIta3dXj0Ixt&#10;sZmUJtX6740g7G0e73Pmy85W4kqNLx1rGA0VCOLMmZJzDYf9z2AGwgdkg5Vj0nAnD8tF722OiXE3&#10;3tE1DbmIIewT1FCEUCdS+qwgi37oauLInV1jMUTY5NI0eIvhtpJjpabSYsmxocCavgvKLmlrNfyq&#10;tj07f9piu1lfjuGvHK1UqvV7v/v6BBGoC//il3tl4vzJBz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Y8tDBAAAA3AAAAA8AAAAAAAAAAAAAAAAAmAIAAGRycy9kb3du&#10;cmV2LnhtbFBLBQYAAAAABAAEAPUAAACGAwAAAAA=&#10;" adj="16366" fillcolor="#dbe5f1" stroked="f">
              <v:textbox>
                <w:txbxContent>
                  <w:p w:rsidR="00FB7EB9" w:rsidRPr="00FB7EB9" w:rsidRDefault="00FB7EB9" w:rsidP="00FB7EB9">
                    <w:pPr>
                      <w:spacing w:after="0" w:line="240" w:lineRule="auto"/>
                      <w:ind w:left="142" w:right="-74"/>
                      <w:rPr>
                        <w:rFonts w:asciiTheme="majorHAnsi" w:hAnsiTheme="majorHAnsi"/>
                        <w:sz w:val="20"/>
                        <w:szCs w:val="8"/>
                      </w:rPr>
                    </w:pPr>
                    <w:r w:rsidRPr="00FB7EB9">
                      <w:rPr>
                        <w:rFonts w:asciiTheme="majorHAnsi" w:hAnsiTheme="majorHAnsi"/>
                        <w:sz w:val="20"/>
                        <w:szCs w:val="8"/>
                      </w:rPr>
                      <w:t>Emissions     Reduction</w:t>
                    </w:r>
                    <w:r w:rsidRPr="00FB7EB9">
                      <w:rPr>
                        <w:rFonts w:asciiTheme="majorHAnsi" w:hAnsiTheme="majorHAnsi"/>
                        <w:sz w:val="20"/>
                        <w:szCs w:val="8"/>
                      </w:rPr>
                      <w:br/>
                      <w:t>Fund White</w:t>
                    </w:r>
                    <w:r w:rsidRPr="00FB7EB9">
                      <w:rPr>
                        <w:rFonts w:asciiTheme="majorHAnsi" w:hAnsiTheme="majorHAnsi"/>
                        <w:sz w:val="20"/>
                        <w:szCs w:val="8"/>
                      </w:rPr>
                      <w:br/>
                      <w:t>Paper</w:t>
                    </w:r>
                  </w:p>
                </w:txbxContent>
              </v:textbox>
            </v:shape>
            <v:rect id="Rectangle 154" o:spid="_x0000_s1039" style="position:absolute;left:8064;top:1066;width:7938;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c/y8QA&#10;AADcAAAADwAAAGRycy9kb3ducmV2LnhtbERPS2vCQBC+F/wPywi9FN20YC2pq4g00EuKxh48Dtlp&#10;EszOxuzmUX99Vyh4m4/vOavNaGrRU+sqywqe5xEI4tzqigsF38dk9gbCeWSNtWVS8EsONuvJwwpj&#10;bQc+UJ/5QoQQdjEqKL1vYildXpJBN7cNceB+bGvQB9gWUrc4hHBTy5coepUGKw4NJTa0Kyk/Z51R&#10;sP9K02WWLJ8uW46u+fWjO116UupxOm7fQXga/V387/7UYf5iAb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XP8vEAAAA3AAAAA8AAAAAAAAAAAAAAAAAmAIAAGRycy9k&#10;b3ducmV2LnhtbFBLBQYAAAAABAAEAPUAAACJAwAAAAA=&#10;" fillcolor="#f2f2f2" stroked="f">
              <v:textbox>
                <w:txbxContent>
                  <w:p w:rsidR="00FB7EB9" w:rsidRDefault="00FB7EB9" w:rsidP="00BC2B08">
                    <w:pPr>
                      <w:ind w:right="-123"/>
                      <w:rPr>
                        <w:sz w:val="22"/>
                      </w:rPr>
                    </w:pPr>
                    <w:r w:rsidRPr="00BC2B08">
                      <w:rPr>
                        <w:rFonts w:asciiTheme="majorHAnsi" w:hAnsiTheme="majorHAnsi"/>
                        <w:sz w:val="18"/>
                      </w:rPr>
                      <w:t>Apr</w:t>
                    </w:r>
                    <w:r>
                      <w:rPr>
                        <w:sz w:val="22"/>
                      </w:rPr>
                      <w:t xml:space="preserve"> </w:t>
                    </w:r>
                    <w:r w:rsidRPr="00BC2B08">
                      <w:rPr>
                        <w:rFonts w:asciiTheme="majorHAnsi" w:hAnsiTheme="majorHAnsi"/>
                        <w:sz w:val="18"/>
                      </w:rPr>
                      <w:t>2014</w:t>
                    </w:r>
                  </w:p>
                </w:txbxContent>
              </v:textbox>
            </v:rect>
            <v:rect id="Rectangle 155" o:spid="_x0000_s1040" style="position:absolute;left:16433;top:1066;width:8103;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hvMMA&#10;AADcAAAADwAAAGRycy9kb3ducmV2LnhtbERPS4vCMBC+C/sfwix4EU0VfFCNIouCFxe368Hj0Ixt&#10;2WZSm1irv94sCN7m43vOYtWaUjRUu8KyguEgAkGcWl1wpuD4u+3PQDiPrLG0TAru5GC1/OgsMNb2&#10;xj/UJD4TIYRdjApy76tYSpfmZNANbEUcuLOtDfoA60zqGm8h3JRyFEUTabDg0JBjRV85pX/J1Sg4&#10;fO/302Q77V3WHD3Sx+Z6ujSkVPezXc9BeGr9W/xy73SYP57A/zPh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WhvMMAAADcAAAADwAAAAAAAAAAAAAAAACYAgAAZHJzL2Rv&#10;d25yZXYueG1sUEsFBgAAAAAEAAQA9QAAAIgDAAAAAA==&#10;" fillcolor="#f2f2f2" stroked="f">
              <v:textbox>
                <w:txbxContent>
                  <w:p w:rsidR="00FB7EB9" w:rsidRDefault="00FB7EB9" w:rsidP="00BC2B08">
                    <w:pPr>
                      <w:ind w:right="-123"/>
                      <w:rPr>
                        <w:sz w:val="22"/>
                      </w:rPr>
                    </w:pPr>
                    <w:r w:rsidRPr="00BC2B08">
                      <w:rPr>
                        <w:rFonts w:asciiTheme="majorHAnsi" w:hAnsiTheme="majorHAnsi"/>
                        <w:sz w:val="18"/>
                      </w:rPr>
                      <w:t>Nov</w:t>
                    </w:r>
                    <w:r>
                      <w:rPr>
                        <w:sz w:val="22"/>
                      </w:rPr>
                      <w:t xml:space="preserve"> </w:t>
                    </w:r>
                    <w:r w:rsidRPr="00BC2B08">
                      <w:rPr>
                        <w:rFonts w:asciiTheme="majorHAnsi" w:hAnsiTheme="majorHAnsi"/>
                        <w:sz w:val="18"/>
                      </w:rPr>
                      <w:t>2014</w:t>
                    </w:r>
                  </w:p>
                </w:txbxContent>
              </v:textbox>
            </v:rect>
            <v:rect id="Rectangle 156" o:spid="_x0000_s1041" style="position:absolute;left:25012;top:1066;width:7893;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EJ8QA&#10;AADcAAAADwAAAGRycy9kb3ducmV2LnhtbERPTWvCQBC9F/wPywheitko2EjqKiIKXiw2euhxyE6T&#10;0OxszK4x+uu7QqG3ebzPWax6U4uOWldZVjCJYhDEudUVFwrOp914DsJ5ZI21ZVJwJwer5eBlgam2&#10;N/6kLvOFCCHsUlRQet+kUrq8JIMusg1x4L5ta9AH2BZSt3gL4aaW0zh+kwYrDg0lNrQpKf/JrkbB&#10;8eNwSLJd8npZc/zIH9vr16UjpUbDfv0OwlPv/8V/7r0O82cJPJ8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JBCfEAAAA3AAAAA8AAAAAAAAAAAAAAAAAmAIAAGRycy9k&#10;b3ducmV2LnhtbFBLBQYAAAAABAAEAPUAAACJAwAAAAA=&#10;" fillcolor="#f2f2f2" stroked="f">
              <v:textbox>
                <w:txbxContent>
                  <w:p w:rsidR="00FB7EB9" w:rsidRDefault="00FB7EB9" w:rsidP="00BC2B08">
                    <w:pPr>
                      <w:ind w:right="-123"/>
                      <w:rPr>
                        <w:sz w:val="22"/>
                      </w:rPr>
                    </w:pPr>
                    <w:r w:rsidRPr="00BC2B08">
                      <w:rPr>
                        <w:rFonts w:asciiTheme="majorHAnsi" w:hAnsiTheme="majorHAnsi"/>
                        <w:sz w:val="18"/>
                      </w:rPr>
                      <w:t>Mar 2015</w:t>
                    </w:r>
                  </w:p>
                </w:txbxContent>
              </v:textbox>
            </v:rect>
            <v:rect id="Rectangle 157" o:spid="_x0000_s1042" style="position:absolute;left:41719;top:1066;width:7760;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aQVccA&#10;AADcAAAADwAAAGRycy9kb3ducmV2LnhtbESPQWvCQBCF7wX/wzKFXkqzsaCW1FVEFHpRbNpDj0N2&#10;moRmZ2N2jam/3jkI3mZ4b977Zr4cXKN66kLt2cA4SUERF97WXBr4/tq+vIEKEdli45kM/FOA5WL0&#10;MMfM+jN/Up/HUkkIhwwNVDG2mdahqMhhSHxLLNqv7xxGWbtS2w7PEu4a/ZqmU+2wZmmosKV1RcVf&#10;fnIGDvvdbpZvZ8/HFaeX4rI5/Rx7MubpcVi9g4o0xLv5dv1hBX8itPKMTK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WkFXHAAAA3AAAAA8AAAAAAAAAAAAAAAAAmAIAAGRy&#10;cy9kb3ducmV2LnhtbFBLBQYAAAAABAAEAPUAAACMAwAAAAA=&#10;" fillcolor="#f2f2f2" stroked="f">
              <v:textbox>
                <w:txbxContent>
                  <w:p w:rsidR="00FB7EB9" w:rsidRDefault="00FB7EB9" w:rsidP="00BC2B08">
                    <w:pPr>
                      <w:ind w:right="-123"/>
                      <w:rPr>
                        <w:sz w:val="22"/>
                      </w:rPr>
                    </w:pPr>
                    <w:r w:rsidRPr="00BC2B08">
                      <w:rPr>
                        <w:rFonts w:asciiTheme="majorHAnsi" w:hAnsiTheme="majorHAnsi"/>
                        <w:sz w:val="18"/>
                      </w:rPr>
                      <w:t>Oct</w:t>
                    </w:r>
                    <w:r>
                      <w:rPr>
                        <w:sz w:val="22"/>
                      </w:rPr>
                      <w:t xml:space="preserve"> </w:t>
                    </w:r>
                    <w:r w:rsidRPr="00BC2B08">
                      <w:rPr>
                        <w:rFonts w:asciiTheme="majorHAnsi" w:hAnsiTheme="majorHAnsi"/>
                        <w:sz w:val="18"/>
                      </w:rPr>
                      <w:t>2015</w:t>
                    </w:r>
                  </w:p>
                </w:txbxContent>
              </v:textbox>
            </v:rect>
            <v:rect id="Rectangle 158" o:spid="_x0000_s1043" style="position:absolute;left:33293;top:1066;width:7950;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l3TcQA&#10;AADcAAAADwAAAGRycy9kb3ducmV2LnhtbERPS2vCQBC+F/oflin0VjdtUDS6SmuxiAfR9HEes9Ns&#10;aHY2ZleN/74rCN7m43vOZNbZWhyp9ZVjBc+9BARx4XTFpYKvz8XTEIQPyBprx6TgTB5m0/u7CWba&#10;nXhLxzyUIoawz1CBCaHJpPSFIYu+5xriyP261mKIsC2lbvEUw20tX5JkIC1WHBsMNjQ3VPzlB6vg&#10;O92ZVZ7uu/Um+fk4l+/b5i01Sj0+dK9jEIG6cBNf3Usd5/dHcHkmXi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5d03EAAAA3AAAAA8AAAAAAAAAAAAAAAAAmAIAAGRycy9k&#10;b3ducmV2LnhtbFBLBQYAAAAABAAEAPUAAACJAwAAAAA=&#10;" fillcolor="#f2f2f2 [3052]" stroked="f">
              <v:textbox>
                <w:txbxContent>
                  <w:p w:rsidR="00FB7EB9" w:rsidRDefault="00FB7EB9" w:rsidP="00BC2B08">
                    <w:pPr>
                      <w:ind w:right="-123"/>
                      <w:rPr>
                        <w:sz w:val="22"/>
                      </w:rPr>
                    </w:pPr>
                    <w:r w:rsidRPr="00BC2B08">
                      <w:rPr>
                        <w:rFonts w:asciiTheme="majorHAnsi" w:hAnsiTheme="majorHAnsi"/>
                        <w:sz w:val="18"/>
                      </w:rPr>
                      <w:t>Sep</w:t>
                    </w:r>
                    <w:r>
                      <w:rPr>
                        <w:sz w:val="22"/>
                      </w:rPr>
                      <w:t xml:space="preserve"> </w:t>
                    </w:r>
                    <w:r w:rsidRPr="00BC2B08">
                      <w:rPr>
                        <w:rFonts w:asciiTheme="majorHAnsi" w:hAnsiTheme="majorHAnsi"/>
                        <w:sz w:val="18"/>
                      </w:rPr>
                      <w:t>2015</w:t>
                    </w:r>
                  </w:p>
                </w:txbxContent>
              </v:textbox>
            </v:rect>
            <v:shape id="AutoShape 159" o:spid="_x0000_s1044" type="#_x0000_t55" style="position:absolute;left:16452;top:4870;width:10560;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8+bsQA&#10;AADcAAAADwAAAGRycy9kb3ducmV2LnhtbESPQWvCQBCF7wX/wzKCt7qrBynRVUpBEC9qWm2PQ3ZM&#10;gtnZkN1o/PedQ6G3Gd6b975ZbQbfqDt1sQ5sYTY1oIiL4GouLXx9bl/fQMWE7LAJTBaeFGGzHr2s&#10;MHPhwSe656lUEsIxQwtVSm2mdSwq8hinoSUW7Ro6j0nWrtSuw4eE+0bPjVlojzVLQ4UtfVRU3PLe&#10;Wzibvr+G+HPE/rC/fadLPduZ3NrJeHhfgko0pH/z3/XOCf5C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Pm7EAAAA3AAAAA8AAAAAAAAAAAAAAAAAmAIAAGRycy9k&#10;b3ducmV2LnhtbFBLBQYAAAAABAAEAPUAAACJAwAAAAA=&#10;" adj="16366" fillcolor="#dbe5f1" stroked="f">
              <v:textbox>
                <w:txbxContent>
                  <w:p w:rsidR="00FB7EB9" w:rsidRPr="00FB7EB9" w:rsidRDefault="00FB7EB9" w:rsidP="00FB7EB9">
                    <w:pPr>
                      <w:spacing w:after="0" w:line="240" w:lineRule="auto"/>
                      <w:ind w:left="142" w:right="-74"/>
                      <w:rPr>
                        <w:rFonts w:asciiTheme="majorHAnsi" w:hAnsiTheme="majorHAnsi"/>
                        <w:sz w:val="20"/>
                      </w:rPr>
                    </w:pPr>
                    <w:r w:rsidRPr="00FB7EB9">
                      <w:rPr>
                        <w:rFonts w:asciiTheme="majorHAnsi" w:hAnsiTheme="majorHAnsi"/>
                        <w:sz w:val="6"/>
                        <w:szCs w:val="8"/>
                      </w:rPr>
                      <w:t xml:space="preserve">  </w:t>
                    </w:r>
                    <w:r w:rsidRPr="00FB7EB9">
                      <w:rPr>
                        <w:rFonts w:asciiTheme="majorHAnsi" w:hAnsiTheme="majorHAnsi"/>
                        <w:sz w:val="20"/>
                      </w:rPr>
                      <w:t xml:space="preserve">   Emissions</w:t>
                    </w:r>
                    <w:r w:rsidRPr="00FB7EB9">
                      <w:rPr>
                        <w:rFonts w:asciiTheme="majorHAnsi" w:hAnsiTheme="majorHAnsi"/>
                        <w:sz w:val="20"/>
                      </w:rPr>
                      <w:br/>
                      <w:t xml:space="preserve">   Reduction</w:t>
                    </w:r>
                    <w:r w:rsidRPr="00FB7EB9">
                      <w:rPr>
                        <w:rFonts w:asciiTheme="majorHAnsi" w:hAnsiTheme="majorHAnsi"/>
                        <w:sz w:val="20"/>
                      </w:rPr>
                      <w:br/>
                      <w:t xml:space="preserve">   Fund</w:t>
                    </w:r>
                    <w:r w:rsidRPr="00FB7EB9">
                      <w:rPr>
                        <w:rFonts w:asciiTheme="majorHAnsi" w:hAnsiTheme="majorHAnsi"/>
                        <w:sz w:val="20"/>
                      </w:rPr>
                      <w:br/>
                      <w:t xml:space="preserve">   legislation</w:t>
                    </w:r>
                    <w:r w:rsidRPr="00FB7EB9">
                      <w:rPr>
                        <w:rFonts w:asciiTheme="majorHAnsi" w:hAnsiTheme="majorHAnsi"/>
                        <w:sz w:val="20"/>
                      </w:rPr>
                      <w:br/>
                      <w:t xml:space="preserve">   enacted</w:t>
                    </w:r>
                  </w:p>
                </w:txbxContent>
              </v:textbox>
            </v:shape>
            <v:shape id="AutoShape 160" o:spid="_x0000_s1045" type="#_x0000_t55" style="position:absolute;left:24955;top:4870;width:10560;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eX8EA&#10;AADcAAAADwAAAGRycy9kb3ducmV2LnhtbERPTYvCMBC9C/sfwizsRdbURbRbG0UWFr2JteB1aMa2&#10;tJmUJmr990YQvM3jfU66HkwrrtS72rKC6SQCQVxYXXOpID/+f8cgnEfW2FomBXdysF59jFJMtL3x&#10;ga6ZL0UIYZeggsr7LpHSFRUZdBPbEQfubHuDPsC+lLrHWwg3rfyJork0WHNoqLCjv4qKJrsYBdls&#10;u4nyU37ZL5rxLD5wfJK/sVJfn8NmCcLT4N/il3unw/z5FJ7PhAv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s3l/BAAAA3AAAAA8AAAAAAAAAAAAAAAAAmAIAAGRycy9kb3du&#10;cmV2LnhtbFBLBQYAAAAABAAEAPUAAACGAwAAAAA=&#10;" adj="16560" fillcolor="#dbe5f1" stroked="f">
              <v:textbox>
                <w:txbxContent>
                  <w:p w:rsidR="00FB7EB9" w:rsidRPr="00FB7EB9" w:rsidRDefault="00FB7EB9" w:rsidP="00FB7EB9">
                    <w:pPr>
                      <w:spacing w:after="0" w:line="240" w:lineRule="auto"/>
                      <w:ind w:left="142" w:right="-204"/>
                      <w:rPr>
                        <w:rFonts w:asciiTheme="majorHAnsi" w:hAnsiTheme="majorHAnsi"/>
                        <w:sz w:val="20"/>
                      </w:rPr>
                    </w:pPr>
                    <w:r w:rsidRPr="00FB7EB9">
                      <w:rPr>
                        <w:rFonts w:asciiTheme="majorHAnsi" w:hAnsiTheme="majorHAnsi"/>
                        <w:sz w:val="20"/>
                      </w:rPr>
                      <w:t xml:space="preserve">  Safeguard</w:t>
                    </w:r>
                    <w:r w:rsidRPr="00FB7EB9">
                      <w:rPr>
                        <w:rFonts w:asciiTheme="majorHAnsi" w:hAnsiTheme="majorHAnsi"/>
                        <w:sz w:val="20"/>
                      </w:rPr>
                      <w:br/>
                      <w:t xml:space="preserve">  mechanism</w:t>
                    </w:r>
                    <w:r w:rsidRPr="00FB7EB9">
                      <w:rPr>
                        <w:rFonts w:asciiTheme="majorHAnsi" w:hAnsiTheme="majorHAnsi"/>
                        <w:sz w:val="20"/>
                      </w:rPr>
                      <w:br/>
                      <w:t xml:space="preserve">  consultation</w:t>
                    </w:r>
                    <w:r w:rsidRPr="00FB7EB9">
                      <w:rPr>
                        <w:rFonts w:asciiTheme="majorHAnsi" w:hAnsiTheme="majorHAnsi"/>
                        <w:sz w:val="20"/>
                      </w:rPr>
                      <w:br/>
                      <w:t xml:space="preserve">  paper</w:t>
                    </w:r>
                  </w:p>
                </w:txbxContent>
              </v:textbox>
            </v:shape>
            <v:shape id="AutoShape 161" o:spid="_x0000_s1046" type="#_x0000_t55" style="position:absolute;left:33337;top:4870;width:10560;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Z2hMMA&#10;AADcAAAADwAAAGRycy9kb3ducmV2LnhtbERPS2vCQBC+F/wPywje6kYPUlNXqWJrLy34wF6H7DQJ&#10;Zmdjdoxpf323IHibj+85s0XnKtVSE0rPBkbDBBRx5m3JuYHD/vXxCVQQZIuVZzLwQwEW897DDFPr&#10;r7yldie5iiEcUjRQiNSp1iEryGEY+po4ct++cSgRNrm2DV5juKv0OEkm2mHJsaHAmlYFZafdxRlY&#10;15u333b/ufyYyvnreLwka8GTMYN+9/IMSqiTu/jmfrdx/mQM/8/EC/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Z2hMMAAADcAAAADwAAAAAAAAAAAAAAAACYAgAAZHJzL2Rv&#10;d25yZXYueG1sUEsFBgAAAAAEAAQA9QAAAIgDAAAAAA==&#10;" adj="16366" fillcolor="#dbe5f1" stroked="f">
              <v:textbox>
                <w:txbxContent>
                  <w:p w:rsidR="00FB7EB9" w:rsidRPr="00FB7EB9" w:rsidRDefault="00FB7EB9" w:rsidP="00FB7EB9">
                    <w:pPr>
                      <w:spacing w:after="0" w:line="240" w:lineRule="auto"/>
                      <w:ind w:left="142" w:right="-204"/>
                      <w:rPr>
                        <w:rFonts w:asciiTheme="majorHAnsi" w:hAnsiTheme="majorHAnsi"/>
                        <w:sz w:val="20"/>
                      </w:rPr>
                    </w:pPr>
                    <w:r w:rsidRPr="00FB7EB9">
                      <w:rPr>
                        <w:rFonts w:asciiTheme="majorHAnsi" w:hAnsiTheme="majorHAnsi"/>
                        <w:sz w:val="20"/>
                      </w:rPr>
                      <w:t xml:space="preserve">   Draft</w:t>
                    </w:r>
                    <w:r w:rsidRPr="00FB7EB9">
                      <w:rPr>
                        <w:rFonts w:asciiTheme="majorHAnsi" w:hAnsiTheme="majorHAnsi"/>
                        <w:sz w:val="20"/>
                      </w:rPr>
                      <w:br/>
                      <w:t xml:space="preserve">   safeguard</w:t>
                    </w:r>
                    <w:r w:rsidRPr="00FB7EB9">
                      <w:rPr>
                        <w:rFonts w:asciiTheme="majorHAnsi" w:hAnsiTheme="majorHAnsi"/>
                        <w:sz w:val="20"/>
                      </w:rPr>
                      <w:br/>
                      <w:t xml:space="preserve">   rules and</w:t>
                    </w:r>
                    <w:r w:rsidRPr="00FB7EB9">
                      <w:rPr>
                        <w:rFonts w:asciiTheme="majorHAnsi" w:hAnsiTheme="majorHAnsi"/>
                        <w:sz w:val="20"/>
                      </w:rPr>
                      <w:br/>
                      <w:t xml:space="preserve">   regulations</w:t>
                    </w:r>
                    <w:r w:rsidRPr="00FB7EB9">
                      <w:rPr>
                        <w:rFonts w:asciiTheme="majorHAnsi" w:hAnsiTheme="majorHAnsi"/>
                        <w:sz w:val="20"/>
                      </w:rPr>
                      <w:br/>
                      <w:t xml:space="preserve">   released</w:t>
                    </w:r>
                  </w:p>
                  <w:p w:rsidR="00FB7EB9" w:rsidRDefault="00FB7EB9" w:rsidP="00BC2B08">
                    <w:pPr>
                      <w:rPr>
                        <w:szCs w:val="24"/>
                      </w:rPr>
                    </w:pPr>
                  </w:p>
                </w:txbxContent>
              </v:textbox>
            </v:shape>
            <v:shape id="AutoShape 162" o:spid="_x0000_s1047" type="#_x0000_t55" style="position:absolute;left:41719;top:4870;width:10560;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2gGcEA&#10;AADcAAAADwAAAGRycy9kb3ducmV2LnhtbERPS4vCMBC+L/gfwgje1sQVZKlGEUGQveh2fR2HZmyL&#10;zaQ0qdZ/bxYEb/PxPWe26GwlbtT40rGG0VCBIM6cKTnXsP9bf36D8AHZYOWYNDzIw2Le+5hhYtyd&#10;f+mWhlzEEPYJaihCqBMpfVaQRT90NXHkLq6xGCJscmkavMdwW8kvpSbSYsmxocCaVgVl17S1Gg6q&#10;bS/On3fYbn+up3AsRxuVaj3od8spiEBdeItf7o2J8ydj+H8mXi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doBnBAAAA3AAAAA8AAAAAAAAAAAAAAAAAmAIAAGRycy9kb3du&#10;cmV2LnhtbFBLBQYAAAAABAAEAPUAAACGAwAAAAA=&#10;" adj="16366" fillcolor="#dbe5f1" stroked="f">
              <v:textbox>
                <w:txbxContent>
                  <w:p w:rsidR="00FB7EB9" w:rsidRPr="00FB7EB9" w:rsidRDefault="00FB7EB9" w:rsidP="00BC2B08">
                    <w:pPr>
                      <w:ind w:left="142" w:right="-203"/>
                      <w:rPr>
                        <w:rFonts w:asciiTheme="majorHAnsi" w:hAnsiTheme="majorHAnsi"/>
                        <w:sz w:val="20"/>
                        <w:szCs w:val="24"/>
                      </w:rPr>
                    </w:pPr>
                    <w:r w:rsidRPr="00FB7EB9">
                      <w:rPr>
                        <w:rFonts w:asciiTheme="majorHAnsi" w:hAnsiTheme="majorHAnsi"/>
                        <w:sz w:val="20"/>
                      </w:rPr>
                      <w:t xml:space="preserve">  Safeguard</w:t>
                    </w:r>
                    <w:r w:rsidRPr="00FB7EB9">
                      <w:rPr>
                        <w:rFonts w:asciiTheme="majorHAnsi" w:hAnsiTheme="majorHAnsi"/>
                        <w:sz w:val="20"/>
                      </w:rPr>
                      <w:br/>
                      <w:t xml:space="preserve">   rules and</w:t>
                    </w:r>
                    <w:r w:rsidRPr="00FB7EB9">
                      <w:rPr>
                        <w:rFonts w:asciiTheme="majorHAnsi" w:hAnsiTheme="majorHAnsi"/>
                        <w:sz w:val="20"/>
                      </w:rPr>
                      <w:br/>
                      <w:t xml:space="preserve">   regulations</w:t>
                    </w:r>
                    <w:r w:rsidRPr="00FB7EB9">
                      <w:rPr>
                        <w:rFonts w:asciiTheme="majorHAnsi" w:hAnsiTheme="majorHAnsi"/>
                        <w:sz w:val="20"/>
                      </w:rPr>
                      <w:br/>
                      <w:t xml:space="preserve">   in place</w:t>
                    </w:r>
                  </w:p>
                </w:txbxContent>
              </v:textbox>
            </v:shape>
            <v:shape id="AutoShape 163" o:spid="_x0000_s1048" type="#_x0000_t55" style="position:absolute;left:50101;top:4870;width:10560;height:9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Q4bcEA&#10;AADcAAAADwAAAGRycy9kb3ducmV2LnhtbERPS4vCMBC+L/gfwgje1sRFZKlGEUGQveh2fR2HZmyL&#10;zaQ0qdZ/bxYEb/PxPWe26GwlbtT40rGG0VCBIM6cKTnXsP9bf36D8AHZYOWYNDzIw2Le+5hhYtyd&#10;f+mWhlzEEPYJaihCqBMpfVaQRT90NXHkLq6xGCJscmkavMdwW8kvpSbSYsmxocCaVgVl17S1Gg6q&#10;bS/On3fYbn+up3AsRxuVaj3od8spiEBdeItf7o2J8ydj+H8mXi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0OG3BAAAA3AAAAA8AAAAAAAAAAAAAAAAAmAIAAGRycy9kb3du&#10;cmV2LnhtbFBLBQYAAAAABAAEAPUAAACGAwAAAAA=&#10;" adj="16366" fillcolor="#dbe5f1" stroked="f">
              <v:textbox>
                <w:txbxContent>
                  <w:p w:rsidR="00FB7EB9" w:rsidRPr="00FB7EB9" w:rsidRDefault="00FB7EB9" w:rsidP="00BC2B08">
                    <w:pPr>
                      <w:spacing w:after="0"/>
                      <w:ind w:left="142" w:right="-345"/>
                      <w:rPr>
                        <w:rFonts w:asciiTheme="majorHAnsi" w:hAnsiTheme="majorHAnsi"/>
                        <w:sz w:val="20"/>
                        <w:szCs w:val="24"/>
                      </w:rPr>
                    </w:pPr>
                    <w:r w:rsidRPr="00FB7EB9">
                      <w:rPr>
                        <w:rFonts w:asciiTheme="majorHAnsi" w:hAnsiTheme="majorHAnsi"/>
                        <w:sz w:val="20"/>
                      </w:rPr>
                      <w:t xml:space="preserve">  Safeguard</w:t>
                    </w:r>
                    <w:r w:rsidRPr="00FB7EB9">
                      <w:rPr>
                        <w:rFonts w:asciiTheme="majorHAnsi" w:hAnsiTheme="majorHAnsi"/>
                        <w:sz w:val="20"/>
                      </w:rPr>
                      <w:br/>
                      <w:t xml:space="preserve">   mechanism</w:t>
                    </w:r>
                    <w:r w:rsidRPr="00FB7EB9">
                      <w:rPr>
                        <w:rFonts w:asciiTheme="majorHAnsi" w:hAnsiTheme="majorHAnsi"/>
                        <w:sz w:val="20"/>
                      </w:rPr>
                      <w:br/>
                      <w:t xml:space="preserve">  commences</w:t>
                    </w:r>
                  </w:p>
                </w:txbxContent>
              </v:textbox>
            </v:shape>
            <v:rect id="Rectangle 164" o:spid="_x0000_s1049" style="position:absolute;left:49815;top:1066;width:7760;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1dsMA&#10;AADcAAAADwAAAGRycy9kb3ducmV2LnhtbERPS4vCMBC+C/sfwix4EU0VfFCNIouCFxe368Hj0Ixt&#10;2WZSm1irv94sCN7m43vOYtWaUjRUu8KyguEgAkGcWl1wpuD4u+3PQDiPrLG0TAru5GC1/OgsMNb2&#10;xj/UJD4TIYRdjApy76tYSpfmZNANbEUcuLOtDfoA60zqGm8h3JRyFEUTabDg0JBjRV85pX/J1Sg4&#10;fO/302Q77V3WHD3Sx+Z6ujSkVPezXc9BeGr9W/xy73SYPxnD/zPh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1dsMAAADcAAAADwAAAAAAAAAAAAAAAACYAgAAZHJzL2Rv&#10;d25yZXYueG1sUEsFBgAAAAAEAAQA9QAAAIgDAAAAAA==&#10;" fillcolor="#f2f2f2" stroked="f">
              <v:textbox>
                <w:txbxContent>
                  <w:p w:rsidR="00FB7EB9" w:rsidRDefault="00FB7EB9" w:rsidP="00BC2B08">
                    <w:pPr>
                      <w:ind w:right="-123"/>
                    </w:pPr>
                    <w:r w:rsidRPr="00BC2B08">
                      <w:rPr>
                        <w:rFonts w:asciiTheme="majorHAnsi" w:hAnsiTheme="majorHAnsi"/>
                        <w:sz w:val="18"/>
                      </w:rPr>
                      <w:t>July</w:t>
                    </w:r>
                    <w:r>
                      <w:rPr>
                        <w:sz w:val="22"/>
                      </w:rPr>
                      <w:t xml:space="preserve"> </w:t>
                    </w:r>
                    <w:r w:rsidRPr="00BC2B08">
                      <w:rPr>
                        <w:rFonts w:asciiTheme="majorHAnsi" w:hAnsiTheme="majorHAnsi"/>
                        <w:sz w:val="18"/>
                      </w:rPr>
                      <w:t>2016</w:t>
                    </w:r>
                  </w:p>
                </w:txbxContent>
              </v:textbox>
            </v:rect>
            <w10:wrap type="none"/>
            <w10:anchorlock/>
          </v:group>
        </w:pict>
      </w:r>
    </w:p>
    <w:p w:rsidR="00BC2B08" w:rsidRDefault="00BC2B08" w:rsidP="00BC2B08">
      <w:pPr>
        <w:rPr>
          <w:rFonts w:ascii="Calibri" w:hAnsi="Calibri"/>
          <w:sz w:val="22"/>
        </w:rPr>
      </w:pPr>
    </w:p>
    <w:p w:rsidR="00BC2B08" w:rsidRPr="00F82C8D" w:rsidRDefault="00BC2B08" w:rsidP="00D7414C">
      <w:pPr>
        <w:rPr>
          <w:rFonts w:asciiTheme="majorHAnsi" w:hAnsiTheme="majorHAnsi"/>
          <w:sz w:val="18"/>
        </w:rPr>
      </w:pPr>
    </w:p>
    <w:p w:rsidR="00F44A00" w:rsidRPr="00F82C8D" w:rsidRDefault="00F44A00" w:rsidP="00F44A00">
      <w:pPr>
        <w:rPr>
          <w:rFonts w:cs="Times New Roman"/>
          <w:szCs w:val="24"/>
        </w:rPr>
      </w:pPr>
      <w:bookmarkStart w:id="17" w:name="_Toc426382196"/>
      <w:bookmarkStart w:id="18" w:name="_Toc426382197"/>
      <w:bookmarkStart w:id="19" w:name="_Toc426628831"/>
      <w:bookmarkStart w:id="20" w:name="_Toc426382198"/>
      <w:bookmarkStart w:id="21" w:name="_Toc426628832"/>
      <w:bookmarkStart w:id="22" w:name="_Toc426382199"/>
      <w:bookmarkStart w:id="23" w:name="_Toc426628833"/>
      <w:bookmarkEnd w:id="17"/>
      <w:bookmarkEnd w:id="18"/>
      <w:bookmarkEnd w:id="19"/>
      <w:bookmarkEnd w:id="20"/>
      <w:bookmarkEnd w:id="21"/>
      <w:bookmarkEnd w:id="22"/>
      <w:bookmarkEnd w:id="23"/>
    </w:p>
    <w:p w:rsidR="00F44A00" w:rsidRPr="00F82C8D" w:rsidRDefault="00F44A00" w:rsidP="00F44A00">
      <w:pPr>
        <w:rPr>
          <w:rFonts w:cs="Times New Roman"/>
          <w:szCs w:val="24"/>
        </w:rPr>
      </w:pPr>
      <w:r w:rsidRPr="00F82C8D">
        <w:rPr>
          <w:rFonts w:cs="Times New Roman"/>
          <w:szCs w:val="24"/>
        </w:rPr>
        <w:br w:type="page"/>
      </w:r>
    </w:p>
    <w:tbl>
      <w:tblPr>
        <w:tblStyle w:val="TableGrid"/>
        <w:tblW w:w="9214" w:type="dxa"/>
        <w:tblInd w:w="-34" w:type="dxa"/>
        <w:tblLook w:val="04A0"/>
      </w:tblPr>
      <w:tblGrid>
        <w:gridCol w:w="9214"/>
      </w:tblGrid>
      <w:tr w:rsidR="00F44A00" w:rsidRPr="00F82C8D" w:rsidTr="00F44A00">
        <w:trPr>
          <w:cantSplit/>
        </w:trPr>
        <w:tc>
          <w:tcPr>
            <w:tcW w:w="9214" w:type="dxa"/>
            <w:shd w:val="clear" w:color="auto" w:fill="DBE5F1" w:themeFill="accent1" w:themeFillTint="33"/>
          </w:tcPr>
          <w:p w:rsidR="00F44A00" w:rsidRPr="00F82C8D" w:rsidRDefault="00F44A00" w:rsidP="00F44A00">
            <w:pPr>
              <w:rPr>
                <w:rFonts w:cs="Times New Roman"/>
                <w:b/>
                <w:szCs w:val="24"/>
              </w:rPr>
            </w:pPr>
            <w:r w:rsidRPr="00F82C8D">
              <w:rPr>
                <w:rFonts w:cs="Times New Roman"/>
                <w:b/>
                <w:szCs w:val="24"/>
              </w:rPr>
              <w:t>Key elements of final safeguard design</w:t>
            </w:r>
          </w:p>
          <w:p w:rsidR="00DB293E" w:rsidRPr="00F82C8D" w:rsidRDefault="004B16A8">
            <w:pPr>
              <w:pStyle w:val="ListBullet"/>
            </w:pPr>
            <w:r w:rsidRPr="00F82C8D">
              <w:rPr>
                <w:b/>
              </w:rPr>
              <w:t>Duty to avoid excess emissions:</w:t>
            </w:r>
            <w:r w:rsidR="00F44A00" w:rsidRPr="00F82C8D">
              <w:t xml:space="preserve"> </w:t>
            </w:r>
            <w:r w:rsidR="007B6407" w:rsidRPr="00F82C8D">
              <w:t>designated la</w:t>
            </w:r>
            <w:r w:rsidR="00692811" w:rsidRPr="00F82C8D">
              <w:t>r</w:t>
            </w:r>
            <w:r w:rsidR="007B6407" w:rsidRPr="00F82C8D">
              <w:t>ge</w:t>
            </w:r>
            <w:r w:rsidR="00F44A00" w:rsidRPr="00F82C8D">
              <w:t xml:space="preserve"> facilities must keep net emissions at or below baseline emissions levels. </w:t>
            </w:r>
          </w:p>
          <w:p w:rsidR="00DB293E" w:rsidRPr="00F82C8D" w:rsidRDefault="00F44A00">
            <w:pPr>
              <w:pStyle w:val="ListBullet"/>
            </w:pPr>
            <w:r w:rsidRPr="00F82C8D">
              <w:rPr>
                <w:b/>
              </w:rPr>
              <w:t>Start date</w:t>
            </w:r>
            <w:r w:rsidRPr="00F82C8D">
              <w:t>: the safeguard mechanism will commence on 1 July 2016.</w:t>
            </w:r>
          </w:p>
          <w:p w:rsidR="00DB293E" w:rsidRPr="00F82C8D" w:rsidRDefault="00F44A00">
            <w:pPr>
              <w:pStyle w:val="ListBullet"/>
            </w:pPr>
            <w:r w:rsidRPr="00F82C8D">
              <w:rPr>
                <w:b/>
              </w:rPr>
              <w:t>Coverage</w:t>
            </w:r>
            <w:r w:rsidRPr="00F82C8D">
              <w:t>: the safeguard mechanism will apply to facilities with di</w:t>
            </w:r>
            <w:r w:rsidR="0014220B" w:rsidRPr="00F82C8D">
              <w:t>rect emissions of more than 100,</w:t>
            </w:r>
            <w:r w:rsidRPr="00F82C8D">
              <w:t xml:space="preserve">000 tonnes of </w:t>
            </w:r>
            <w:r w:rsidR="007E4207" w:rsidRPr="00F82C8D">
              <w:t xml:space="preserve">carbon dioxide equivalence (t </w:t>
            </w:r>
            <w:r w:rsidRPr="00F82C8D">
              <w:t>CO</w:t>
            </w:r>
            <w:r w:rsidRPr="00F82C8D">
              <w:rPr>
                <w:vertAlign w:val="subscript"/>
              </w:rPr>
              <w:t>2</w:t>
            </w:r>
            <w:r w:rsidR="007E4207" w:rsidRPr="00F82C8D">
              <w:t>-e)</w:t>
            </w:r>
          </w:p>
          <w:p w:rsidR="00F44A00" w:rsidRPr="00F82C8D" w:rsidRDefault="00F44A00" w:rsidP="00464595">
            <w:pPr>
              <w:pStyle w:val="ListParagraph"/>
              <w:keepLines w:val="0"/>
              <w:numPr>
                <w:ilvl w:val="0"/>
                <w:numId w:val="13"/>
              </w:numPr>
              <w:tabs>
                <w:tab w:val="clear" w:pos="0"/>
              </w:tabs>
              <w:spacing w:before="0" w:after="240"/>
              <w:ind w:left="885" w:hanging="425"/>
            </w:pPr>
            <w:r w:rsidRPr="00F82C8D">
              <w:t xml:space="preserve">It will apply broadly to a variety of business entities, including corporations, partnerships, trusts, and local councils. </w:t>
            </w:r>
          </w:p>
          <w:p w:rsidR="00F44A00" w:rsidRPr="00F82C8D" w:rsidRDefault="00F44A00" w:rsidP="00464595">
            <w:pPr>
              <w:pStyle w:val="ListParagraph"/>
              <w:keepLines w:val="0"/>
              <w:numPr>
                <w:ilvl w:val="0"/>
                <w:numId w:val="13"/>
              </w:numPr>
              <w:tabs>
                <w:tab w:val="clear" w:pos="0"/>
              </w:tabs>
              <w:spacing w:before="0" w:after="240"/>
              <w:ind w:left="885" w:hanging="425"/>
            </w:pPr>
            <w:r w:rsidRPr="00F82C8D">
              <w:t xml:space="preserve">The entity with operational control of a </w:t>
            </w:r>
            <w:r w:rsidR="007B6407" w:rsidRPr="00F82C8D">
              <w:t>designated large</w:t>
            </w:r>
            <w:r w:rsidRPr="00F82C8D">
              <w:t xml:space="preserve"> facility will be responsible for meeting safeguard requirements.</w:t>
            </w:r>
            <w:r w:rsidR="00394E74" w:rsidRPr="00F82C8D">
              <w:t xml:space="preserve"> </w:t>
            </w:r>
          </w:p>
          <w:p w:rsidR="00DB293E" w:rsidRPr="00F82C8D" w:rsidRDefault="00F44A00">
            <w:pPr>
              <w:pStyle w:val="ListBullet"/>
            </w:pPr>
            <w:r w:rsidRPr="00F82C8D">
              <w:rPr>
                <w:b/>
              </w:rPr>
              <w:t>Baselines for existing facilities</w:t>
            </w:r>
            <w:r w:rsidRPr="00F82C8D">
              <w:t>: baselines for existing facilities will reflect the highest level of reported emissions over the historical period</w:t>
            </w:r>
            <w:r w:rsidR="0014220B" w:rsidRPr="00F82C8D">
              <w:t xml:space="preserve"> from</w:t>
            </w:r>
            <w:r w:rsidRPr="00F82C8D">
              <w:t xml:space="preserve"> 2009</w:t>
            </w:r>
            <w:r w:rsidRPr="00F82C8D">
              <w:noBreakHyphen/>
              <w:t>10 to 2013</w:t>
            </w:r>
            <w:r w:rsidRPr="00F82C8D">
              <w:noBreakHyphen/>
              <w:t>14, and will be adjusted to accommodate economic growth, natural resource variability and other circumstances where historical baselines are not representative of future emissions performance.</w:t>
            </w:r>
            <w:r w:rsidR="00394E74" w:rsidRPr="00F82C8D">
              <w:t xml:space="preserve"> </w:t>
            </w:r>
          </w:p>
          <w:p w:rsidR="00F44A00" w:rsidRPr="00F82C8D" w:rsidRDefault="00F44A00" w:rsidP="00464595">
            <w:pPr>
              <w:pStyle w:val="ListParagraph"/>
              <w:keepLines w:val="0"/>
              <w:numPr>
                <w:ilvl w:val="0"/>
                <w:numId w:val="13"/>
              </w:numPr>
              <w:tabs>
                <w:tab w:val="clear" w:pos="0"/>
              </w:tabs>
              <w:spacing w:before="0" w:after="240"/>
              <w:ind w:left="885" w:hanging="425"/>
            </w:pPr>
            <w:r w:rsidRPr="00F82C8D">
              <w:t xml:space="preserve">To support economic growth, baselines will be permanently increased if a facility undertakes a significant expansion, defined as an increase in </w:t>
            </w:r>
            <w:r w:rsidR="007B6407" w:rsidRPr="00F82C8D">
              <w:t>maximum productive</w:t>
            </w:r>
            <w:r w:rsidRPr="00F82C8D">
              <w:t xml:space="preserve"> capacity of more than 20 per cent.</w:t>
            </w:r>
          </w:p>
          <w:p w:rsidR="00F44A00" w:rsidRPr="00F82C8D" w:rsidRDefault="00F44A00" w:rsidP="00464595">
            <w:pPr>
              <w:pStyle w:val="ListParagraph"/>
              <w:keepLines w:val="0"/>
              <w:numPr>
                <w:ilvl w:val="0"/>
                <w:numId w:val="13"/>
              </w:numPr>
              <w:tabs>
                <w:tab w:val="clear" w:pos="0"/>
              </w:tabs>
              <w:spacing w:before="0" w:after="240"/>
              <w:ind w:left="885" w:hanging="425"/>
            </w:pPr>
            <w:r w:rsidRPr="00F82C8D">
              <w:t>To accommodate incremental growth, baselines will be temporarily increased in any year where expanding production</w:t>
            </w:r>
            <w:r w:rsidR="0014220B" w:rsidRPr="00F82C8D">
              <w:t xml:space="preserve"> is accompanied by an emissions </w:t>
            </w:r>
            <w:r w:rsidRPr="00F82C8D">
              <w:t>intensity improvement.</w:t>
            </w:r>
          </w:p>
          <w:p w:rsidR="00F44A00" w:rsidRPr="00F82C8D" w:rsidRDefault="00F44A00" w:rsidP="00464595">
            <w:pPr>
              <w:pStyle w:val="ListParagraph"/>
              <w:keepLines w:val="0"/>
              <w:numPr>
                <w:ilvl w:val="0"/>
                <w:numId w:val="13"/>
              </w:numPr>
              <w:tabs>
                <w:tab w:val="clear" w:pos="0"/>
              </w:tabs>
              <w:spacing w:before="0" w:after="240"/>
              <w:ind w:left="885" w:hanging="425"/>
            </w:pPr>
            <w:r w:rsidRPr="00F82C8D">
              <w:t>Baselines can be adjusted to accommodate emissions variability associated with the extraction of a natural resource or reserve.</w:t>
            </w:r>
          </w:p>
          <w:p w:rsidR="00F44A00" w:rsidRPr="00F82C8D" w:rsidRDefault="00F44A00" w:rsidP="00464595">
            <w:pPr>
              <w:pStyle w:val="ListParagraph"/>
              <w:keepLines w:val="0"/>
              <w:numPr>
                <w:ilvl w:val="0"/>
                <w:numId w:val="13"/>
              </w:numPr>
              <w:tabs>
                <w:tab w:val="clear" w:pos="0"/>
              </w:tabs>
              <w:spacing w:before="0" w:after="240"/>
              <w:ind w:left="885" w:hanging="425"/>
            </w:pPr>
            <w:r w:rsidRPr="00F82C8D">
              <w:t>To accommodate other circumstances where historical emissions are not representative of future business</w:t>
            </w:r>
            <w:r w:rsidRPr="00F82C8D">
              <w:noBreakHyphen/>
              <w:t>as</w:t>
            </w:r>
            <w:r w:rsidRPr="00F82C8D">
              <w:noBreakHyphen/>
              <w:t xml:space="preserve">usual emissions performance, baselines can be adjusted if facilities </w:t>
            </w:r>
            <w:r w:rsidR="004B16A8" w:rsidRPr="00F82C8D">
              <w:t xml:space="preserve">expect to </w:t>
            </w:r>
            <w:r w:rsidRPr="00F82C8D">
              <w:t>exceed their baseline in the safeguard mechanism’s first year.</w:t>
            </w:r>
          </w:p>
          <w:p w:rsidR="00DB293E" w:rsidRPr="00F82C8D" w:rsidRDefault="00F44A00">
            <w:pPr>
              <w:pStyle w:val="ListBullet"/>
            </w:pPr>
            <w:r w:rsidRPr="00F82C8D">
              <w:rPr>
                <w:b/>
              </w:rPr>
              <w:t>Baselines for new investments</w:t>
            </w:r>
            <w:r w:rsidRPr="00F82C8D">
              <w:t>: baselines for new investments will encourage faciliti</w:t>
            </w:r>
            <w:r w:rsidR="004B16A8" w:rsidRPr="00F82C8D">
              <w:t xml:space="preserve">es to achieve and maintain best </w:t>
            </w:r>
            <w:r w:rsidRPr="00F82C8D">
              <w:t xml:space="preserve">practice. </w:t>
            </w:r>
          </w:p>
          <w:p w:rsidR="00F44A00" w:rsidRPr="00F82C8D" w:rsidRDefault="00086187" w:rsidP="00464595">
            <w:pPr>
              <w:pStyle w:val="ListParagraph"/>
              <w:keepLines w:val="0"/>
              <w:numPr>
                <w:ilvl w:val="0"/>
                <w:numId w:val="13"/>
              </w:numPr>
              <w:tabs>
                <w:tab w:val="clear" w:pos="0"/>
              </w:tabs>
              <w:spacing w:before="0" w:after="240"/>
              <w:ind w:left="885" w:hanging="425"/>
            </w:pPr>
            <w:r w:rsidRPr="00F82C8D">
              <w:t>B</w:t>
            </w:r>
            <w:r w:rsidR="00F44A00" w:rsidRPr="00F82C8D">
              <w:t xml:space="preserve">enchmark </w:t>
            </w:r>
            <w:r w:rsidRPr="00F82C8D">
              <w:t xml:space="preserve">emissions intensities </w:t>
            </w:r>
            <w:r w:rsidR="00F44A00" w:rsidRPr="00F82C8D">
              <w:t>will be used to determine baselines for new investments whose cov</w:t>
            </w:r>
            <w:r w:rsidR="0014220B" w:rsidRPr="00F82C8D">
              <w:t>ered emissions first exceed 100,</w:t>
            </w:r>
            <w:r w:rsidR="00F44A00" w:rsidRPr="00F82C8D">
              <w:t xml:space="preserve">000 </w:t>
            </w:r>
            <w:r w:rsidR="007E4207" w:rsidRPr="00F82C8D">
              <w:t>t</w:t>
            </w:r>
            <w:r w:rsidR="00F44A00" w:rsidRPr="00F82C8D">
              <w:t xml:space="preserve"> </w:t>
            </w:r>
            <w:r w:rsidR="004B16A8" w:rsidRPr="00F82C8D">
              <w:t>CO</w:t>
            </w:r>
            <w:r w:rsidR="004B16A8" w:rsidRPr="00F82C8D">
              <w:rPr>
                <w:vertAlign w:val="subscript"/>
              </w:rPr>
              <w:t>2</w:t>
            </w:r>
            <w:r w:rsidR="004B16A8" w:rsidRPr="00F82C8D">
              <w:t xml:space="preserve">-e </w:t>
            </w:r>
            <w:r w:rsidR="00F44A00" w:rsidRPr="00F82C8D">
              <w:t>after 1 July 2020.</w:t>
            </w:r>
          </w:p>
          <w:p w:rsidR="00F44A00" w:rsidRPr="00F82C8D" w:rsidRDefault="00F44A00" w:rsidP="00D7414C">
            <w:pPr>
              <w:pStyle w:val="ListParagraph"/>
              <w:keepLines w:val="0"/>
              <w:numPr>
                <w:ilvl w:val="0"/>
                <w:numId w:val="13"/>
              </w:numPr>
              <w:tabs>
                <w:tab w:val="clear" w:pos="0"/>
              </w:tabs>
              <w:spacing w:before="0" w:after="240"/>
              <w:ind w:left="885" w:hanging="425"/>
            </w:pPr>
            <w:r w:rsidRPr="00F82C8D">
              <w:t>In the period to 2020, baselines for new investments will reflect an audited emissions forecast provided by the facility operator, with a</w:t>
            </w:r>
            <w:r w:rsidR="00D7414C" w:rsidRPr="00F82C8D">
              <w:t xml:space="preserve">n adjustment </w:t>
            </w:r>
            <w:r w:rsidRPr="00F82C8D">
              <w:t>of the estimate after the forecast period, based on actual performance.</w:t>
            </w:r>
          </w:p>
        </w:tc>
      </w:tr>
      <w:tr w:rsidR="00F44A00" w:rsidRPr="00F82C8D" w:rsidTr="00F44A00">
        <w:trPr>
          <w:cantSplit/>
        </w:trPr>
        <w:tc>
          <w:tcPr>
            <w:tcW w:w="9214" w:type="dxa"/>
            <w:shd w:val="clear" w:color="auto" w:fill="DBE5F1" w:themeFill="accent1" w:themeFillTint="33"/>
          </w:tcPr>
          <w:p w:rsidR="00F44A00" w:rsidRPr="00F82C8D" w:rsidRDefault="00F44A00" w:rsidP="00F44A00">
            <w:pPr>
              <w:rPr>
                <w:rFonts w:cs="Times New Roman"/>
                <w:szCs w:val="24"/>
              </w:rPr>
            </w:pPr>
            <w:r w:rsidRPr="00F82C8D">
              <w:rPr>
                <w:rFonts w:cs="Times New Roman"/>
                <w:szCs w:val="24"/>
              </w:rPr>
              <w:t>Continued…</w:t>
            </w:r>
          </w:p>
          <w:p w:rsidR="00DB293E" w:rsidRPr="00F82C8D" w:rsidRDefault="00F44A00">
            <w:pPr>
              <w:pStyle w:val="ListBullet"/>
              <w:rPr>
                <w:sz w:val="24"/>
              </w:rPr>
            </w:pPr>
            <w:r w:rsidRPr="00F82C8D">
              <w:rPr>
                <w:b/>
              </w:rPr>
              <w:t>Emissions management</w:t>
            </w:r>
            <w:r w:rsidRPr="00F82C8D">
              <w:t xml:space="preserve">: flexible compliance arrangements will give </w:t>
            </w:r>
            <w:r w:rsidR="007B6407" w:rsidRPr="00F82C8D">
              <w:t>designated large</w:t>
            </w:r>
            <w:r w:rsidRPr="00F82C8D">
              <w:t xml:space="preserve"> entities access to options for meeting safeguard obligations.</w:t>
            </w:r>
          </w:p>
          <w:p w:rsidR="00F44A00" w:rsidRPr="00F82C8D" w:rsidRDefault="001B2098" w:rsidP="00464595">
            <w:pPr>
              <w:pStyle w:val="ListParagraph"/>
              <w:keepLines w:val="0"/>
              <w:numPr>
                <w:ilvl w:val="0"/>
                <w:numId w:val="13"/>
              </w:numPr>
              <w:tabs>
                <w:tab w:val="clear" w:pos="0"/>
              </w:tabs>
              <w:spacing w:before="0" w:after="240"/>
              <w:ind w:left="885" w:hanging="425"/>
            </w:pPr>
            <w:r w:rsidRPr="00F82C8D">
              <w:t>A</w:t>
            </w:r>
            <w:r w:rsidR="00F44A00" w:rsidRPr="00F82C8D">
              <w:t xml:space="preserve"> ‘net emissions’ approach will allow businesses t</w:t>
            </w:r>
            <w:r w:rsidR="00ED48E4" w:rsidRPr="00F82C8D">
              <w:t>o use Australian Carbon Credit Units (ACCUs)</w:t>
            </w:r>
            <w:r w:rsidR="00D37CAA" w:rsidRPr="00F82C8D">
              <w:t xml:space="preserve"> </w:t>
            </w:r>
            <w:r w:rsidRPr="00F82C8D">
              <w:t>to offset emissions.</w:t>
            </w:r>
          </w:p>
          <w:p w:rsidR="00F44A00" w:rsidRPr="00F82C8D" w:rsidRDefault="00F44A00" w:rsidP="00464595">
            <w:pPr>
              <w:pStyle w:val="ListParagraph"/>
              <w:keepLines w:val="0"/>
              <w:numPr>
                <w:ilvl w:val="0"/>
                <w:numId w:val="13"/>
              </w:numPr>
              <w:tabs>
                <w:tab w:val="clear" w:pos="0"/>
              </w:tabs>
              <w:spacing w:before="0" w:after="240"/>
              <w:ind w:left="885" w:hanging="425"/>
            </w:pPr>
            <w:r w:rsidRPr="00F82C8D">
              <w:t>Multi</w:t>
            </w:r>
            <w:r w:rsidRPr="00F82C8D">
              <w:noBreakHyphen/>
              <w:t>year monitoring will allow a facility to exceed its baseline in one year, so long as average emissions over two or three years are below baseline.</w:t>
            </w:r>
          </w:p>
          <w:p w:rsidR="00F44A00" w:rsidRPr="00F82C8D" w:rsidRDefault="00F44A00" w:rsidP="00464595">
            <w:pPr>
              <w:pStyle w:val="ListParagraph"/>
              <w:keepLines w:val="0"/>
              <w:numPr>
                <w:ilvl w:val="0"/>
                <w:numId w:val="13"/>
              </w:numPr>
              <w:tabs>
                <w:tab w:val="clear" w:pos="0"/>
              </w:tabs>
              <w:spacing w:before="0" w:after="240"/>
              <w:ind w:left="885" w:hanging="425"/>
            </w:pPr>
            <w:r w:rsidRPr="00F82C8D">
              <w:t>An exemption will be available for facilities whose emissions are the direct result of exceptional circumstances, such as a natural disaster or criminal activity</w:t>
            </w:r>
            <w:r w:rsidR="00916C72" w:rsidRPr="00F82C8D">
              <w:t xml:space="preserve"> by another party</w:t>
            </w:r>
            <w:r w:rsidRPr="00F82C8D">
              <w:t>.</w:t>
            </w:r>
          </w:p>
          <w:p w:rsidR="00DB293E" w:rsidRPr="00F82C8D" w:rsidRDefault="00F44A00">
            <w:pPr>
              <w:pStyle w:val="ListBullet"/>
              <w:rPr>
                <w:sz w:val="24"/>
              </w:rPr>
            </w:pPr>
            <w:r w:rsidRPr="00F82C8D">
              <w:rPr>
                <w:b/>
              </w:rPr>
              <w:t>Electricity</w:t>
            </w:r>
            <w:r w:rsidRPr="00F82C8D">
              <w:t xml:space="preserve">: A </w:t>
            </w:r>
            <w:r w:rsidR="008322CE" w:rsidRPr="00F82C8D">
              <w:t>sectoral-baseline</w:t>
            </w:r>
            <w:r w:rsidRPr="00F82C8D">
              <w:t xml:space="preserve"> will apply to the electricity sector, with individual baselines to apply in the event that the </w:t>
            </w:r>
            <w:r w:rsidR="008322CE" w:rsidRPr="00F82C8D">
              <w:t>sectoral-baseline</w:t>
            </w:r>
            <w:r w:rsidRPr="00F82C8D">
              <w:t xml:space="preserve"> is exceeded.</w:t>
            </w:r>
          </w:p>
          <w:p w:rsidR="00F44A00" w:rsidRPr="00F82C8D" w:rsidRDefault="008322CE" w:rsidP="00464595">
            <w:pPr>
              <w:pStyle w:val="ListParagraph"/>
              <w:keepLines w:val="0"/>
              <w:numPr>
                <w:ilvl w:val="0"/>
                <w:numId w:val="13"/>
              </w:numPr>
              <w:tabs>
                <w:tab w:val="clear" w:pos="0"/>
              </w:tabs>
              <w:spacing w:before="0" w:after="240"/>
              <w:ind w:left="885" w:hanging="425"/>
            </w:pPr>
            <w:r w:rsidRPr="00F82C8D">
              <w:t>Sectoral-baseline</w:t>
            </w:r>
            <w:r w:rsidR="00F44A00" w:rsidRPr="00F82C8D">
              <w:t>s will be set at the high point of sectoral emissions over the period 2009</w:t>
            </w:r>
            <w:r w:rsidR="00F44A00" w:rsidRPr="00F82C8D">
              <w:noBreakHyphen/>
              <w:t>10 to 2013</w:t>
            </w:r>
            <w:r w:rsidR="00F44A00" w:rsidRPr="00F82C8D">
              <w:noBreakHyphen/>
              <w:t>14.</w:t>
            </w:r>
          </w:p>
          <w:p w:rsidR="001F7D80" w:rsidRPr="00F82C8D" w:rsidRDefault="001F7D80" w:rsidP="00464595">
            <w:pPr>
              <w:pStyle w:val="ListParagraph"/>
              <w:keepLines w:val="0"/>
              <w:numPr>
                <w:ilvl w:val="0"/>
                <w:numId w:val="13"/>
              </w:numPr>
              <w:tabs>
                <w:tab w:val="clear" w:pos="0"/>
              </w:tabs>
              <w:spacing w:before="0" w:after="240"/>
              <w:ind w:left="885" w:hanging="425"/>
            </w:pPr>
            <w:r w:rsidRPr="00F82C8D">
              <w:t>Individual baselines will also be set at each facility’s highest annual</w:t>
            </w:r>
            <w:r w:rsidR="00175561" w:rsidRPr="00F82C8D">
              <w:t xml:space="preserve"> covered</w:t>
            </w:r>
            <w:r w:rsidRPr="00F82C8D">
              <w:t xml:space="preserve"> emissions between 2009-10 and 2013-14. Gen</w:t>
            </w:r>
            <w:r w:rsidR="004045B3" w:rsidRPr="00F82C8D">
              <w:t xml:space="preserve">erators will have access to the same </w:t>
            </w:r>
            <w:r w:rsidRPr="00F82C8D">
              <w:t>emissions management options as facilities in other sectors,</w:t>
            </w:r>
            <w:r w:rsidR="00FC3D3F" w:rsidRPr="00F82C8D">
              <w:t xml:space="preserve"> as well as </w:t>
            </w:r>
            <w:r w:rsidR="004045B3" w:rsidRPr="00F82C8D">
              <w:t>similar</w:t>
            </w:r>
            <w:r w:rsidRPr="00F82C8D">
              <w:t xml:space="preserve"> </w:t>
            </w:r>
            <w:r w:rsidR="00FC3D3F" w:rsidRPr="00F82C8D">
              <w:t>baseline adjustments to accommodate economic growth.</w:t>
            </w:r>
          </w:p>
          <w:p w:rsidR="00DB293E" w:rsidRPr="00F82C8D" w:rsidRDefault="00F44A00">
            <w:pPr>
              <w:pStyle w:val="ListBullet"/>
              <w:rPr>
                <w:sz w:val="24"/>
              </w:rPr>
            </w:pPr>
            <w:r w:rsidRPr="00F82C8D">
              <w:rPr>
                <w:b/>
              </w:rPr>
              <w:t>Administration</w:t>
            </w:r>
            <w:r w:rsidRPr="00F82C8D">
              <w:t xml:space="preserve">: the safeguard mechanism will be administered by the </w:t>
            </w:r>
            <w:r w:rsidR="00FC3D3F" w:rsidRPr="00F82C8D">
              <w:t xml:space="preserve">Clean Energy </w:t>
            </w:r>
            <w:r w:rsidRPr="00F82C8D">
              <w:t>Regulator</w:t>
            </w:r>
            <w:r w:rsidR="00FC3D3F" w:rsidRPr="00F82C8D">
              <w:t xml:space="preserve"> (the Regulator)</w:t>
            </w:r>
            <w:r w:rsidRPr="00F82C8D">
              <w:t>.</w:t>
            </w:r>
          </w:p>
          <w:p w:rsidR="00F44A00" w:rsidRPr="00F82C8D" w:rsidRDefault="00F44A00" w:rsidP="003A79A7">
            <w:pPr>
              <w:pStyle w:val="ListParagraph"/>
              <w:keepLines w:val="0"/>
              <w:numPr>
                <w:ilvl w:val="0"/>
                <w:numId w:val="13"/>
              </w:numPr>
              <w:tabs>
                <w:tab w:val="clear" w:pos="0"/>
              </w:tabs>
              <w:spacing w:before="0" w:after="240"/>
              <w:ind w:left="885" w:hanging="425"/>
            </w:pPr>
            <w:r w:rsidRPr="00F82C8D">
              <w:t xml:space="preserve">The operation of the </w:t>
            </w:r>
            <w:r w:rsidR="003A79A7">
              <w:t xml:space="preserve">safeguard mechanism </w:t>
            </w:r>
            <w:r w:rsidRPr="00F82C8D">
              <w:t xml:space="preserve">will be reviewed </w:t>
            </w:r>
            <w:r w:rsidR="003A79A7">
              <w:t xml:space="preserve">in 2017 </w:t>
            </w:r>
            <w:r w:rsidRPr="00F82C8D">
              <w:t>to ensure its ongoing effectiveness.</w:t>
            </w:r>
          </w:p>
        </w:tc>
      </w:tr>
    </w:tbl>
    <w:p w:rsidR="00F44A00" w:rsidRPr="00F82C8D" w:rsidRDefault="00F44A00" w:rsidP="00F44A00">
      <w:pPr>
        <w:rPr>
          <w:rFonts w:cs="Times New Roman"/>
          <w:szCs w:val="24"/>
        </w:rPr>
      </w:pPr>
    </w:p>
    <w:p w:rsidR="00F44A00" w:rsidRPr="00F82C8D" w:rsidRDefault="00F44A00" w:rsidP="00F44A00">
      <w:pPr>
        <w:rPr>
          <w:rFonts w:cs="Times New Roman"/>
          <w:szCs w:val="24"/>
        </w:rPr>
        <w:sectPr w:rsidR="00F44A00" w:rsidRPr="00F82C8D" w:rsidSect="00F44A00">
          <w:footerReference w:type="default" r:id="rId24"/>
          <w:footerReference w:type="first" r:id="rId25"/>
          <w:pgSz w:w="11906" w:h="16838" w:code="9"/>
          <w:pgMar w:top="1276" w:right="1276" w:bottom="709" w:left="1418" w:header="425" w:footer="425" w:gutter="0"/>
          <w:pgNumType w:start="1"/>
          <w:cols w:space="708"/>
          <w:titlePg/>
          <w:docGrid w:linePitch="360"/>
        </w:sectPr>
      </w:pPr>
    </w:p>
    <w:p w:rsidR="00F44A00" w:rsidRPr="00F82C8D" w:rsidRDefault="00F44A00" w:rsidP="00B41A10">
      <w:pPr>
        <w:pStyle w:val="Heading2"/>
      </w:pPr>
      <w:bookmarkStart w:id="24" w:name="_Toc425920452"/>
      <w:bookmarkStart w:id="25" w:name="_Toc431975834"/>
      <w:bookmarkStart w:id="26" w:name="_Toc371952169"/>
      <w:r w:rsidRPr="00F82C8D">
        <w:t>Coverage</w:t>
      </w:r>
      <w:bookmarkEnd w:id="24"/>
      <w:bookmarkEnd w:id="25"/>
    </w:p>
    <w:p w:rsidR="00F44A00" w:rsidRPr="00F82C8D" w:rsidRDefault="00F44A00" w:rsidP="00F44A00">
      <w:pPr>
        <w:rPr>
          <w:rFonts w:cs="Times New Roman"/>
          <w:szCs w:val="24"/>
        </w:rPr>
      </w:pPr>
      <w:r w:rsidRPr="00F82C8D">
        <w:rPr>
          <w:rFonts w:cs="Times New Roman"/>
          <w:szCs w:val="24"/>
        </w:rPr>
        <w:t>The safeguard mechanism will apply economy-wide to facilities with di</w:t>
      </w:r>
      <w:r w:rsidR="00B41A10" w:rsidRPr="00F82C8D">
        <w:rPr>
          <w:rFonts w:cs="Times New Roman"/>
          <w:szCs w:val="24"/>
        </w:rPr>
        <w:t>rect emissions of more than 100,</w:t>
      </w:r>
      <w:r w:rsidRPr="00F82C8D">
        <w:rPr>
          <w:rFonts w:cs="Times New Roman"/>
          <w:szCs w:val="24"/>
        </w:rPr>
        <w:t>000 </w:t>
      </w:r>
      <w:r w:rsidR="007E4207" w:rsidRPr="00F82C8D">
        <w:rPr>
          <w:rFonts w:cs="Times New Roman"/>
          <w:szCs w:val="24"/>
        </w:rPr>
        <w:t>t</w:t>
      </w:r>
      <w:r w:rsidRPr="00F82C8D">
        <w:rPr>
          <w:rFonts w:cs="Times New Roman"/>
          <w:szCs w:val="24"/>
        </w:rPr>
        <w:t xml:space="preserve"> CO</w:t>
      </w:r>
      <w:r w:rsidRPr="00F82C8D">
        <w:rPr>
          <w:rFonts w:cs="Times New Roman"/>
          <w:szCs w:val="24"/>
          <w:vertAlign w:val="subscript"/>
        </w:rPr>
        <w:t>2</w:t>
      </w:r>
      <w:r w:rsidRPr="00F82C8D">
        <w:rPr>
          <w:rFonts w:cs="Times New Roman"/>
          <w:szCs w:val="24"/>
        </w:rPr>
        <w:t>-e a year.</w:t>
      </w:r>
    </w:p>
    <w:p w:rsidR="00F44A00" w:rsidRPr="00F82C8D" w:rsidRDefault="00B41A10" w:rsidP="00F44A00">
      <w:pPr>
        <w:rPr>
          <w:rFonts w:cs="Times New Roman"/>
          <w:szCs w:val="24"/>
        </w:rPr>
      </w:pPr>
      <w:r w:rsidRPr="00F82C8D">
        <w:rPr>
          <w:rFonts w:cs="Times New Roman"/>
          <w:szCs w:val="24"/>
        </w:rPr>
        <w:t>The 100,</w:t>
      </w:r>
      <w:r w:rsidR="00F44A00" w:rsidRPr="00F82C8D">
        <w:rPr>
          <w:rFonts w:cs="Times New Roman"/>
          <w:szCs w:val="24"/>
        </w:rPr>
        <w:t>000 </w:t>
      </w:r>
      <w:r w:rsidR="00FC3D3F" w:rsidRPr="00F82C8D">
        <w:rPr>
          <w:rFonts w:cs="Times New Roman"/>
          <w:szCs w:val="24"/>
        </w:rPr>
        <w:t>t CO</w:t>
      </w:r>
      <w:r w:rsidR="00FC3D3F" w:rsidRPr="00F82C8D">
        <w:rPr>
          <w:rFonts w:cs="Times New Roman"/>
          <w:szCs w:val="24"/>
          <w:vertAlign w:val="subscript"/>
        </w:rPr>
        <w:t>2</w:t>
      </w:r>
      <w:r w:rsidR="00FC3D3F" w:rsidRPr="00F82C8D">
        <w:rPr>
          <w:rFonts w:cs="Times New Roman"/>
          <w:szCs w:val="24"/>
        </w:rPr>
        <w:t xml:space="preserve">-e </w:t>
      </w:r>
      <w:r w:rsidR="00F44A00" w:rsidRPr="00F82C8D">
        <w:rPr>
          <w:rFonts w:cs="Times New Roman"/>
          <w:szCs w:val="24"/>
        </w:rPr>
        <w:t xml:space="preserve">threshold will cover around </w:t>
      </w:r>
      <w:r w:rsidR="00F44A00" w:rsidRPr="00F82C8D">
        <w:rPr>
          <w:rFonts w:cs="Times New Roman"/>
          <w:color w:val="000000" w:themeColor="text1"/>
          <w:szCs w:val="24"/>
        </w:rPr>
        <w:t>140 large businesses</w:t>
      </w:r>
      <w:r w:rsidR="00F44A00" w:rsidRPr="00F82C8D">
        <w:rPr>
          <w:rFonts w:cs="Times New Roman"/>
          <w:szCs w:val="24"/>
        </w:rPr>
        <w:t>—representing around half of Australia’s emissions—from a range of sectors including power generation, mining (coal and metal ores), oil and gas extraction, gas supply, manufacturing (including metals, cement and lime), transport (air, sea, rail and road), heavy and civil engineering construction, and waste.</w:t>
      </w:r>
      <w:r w:rsidR="00F44A00" w:rsidRPr="00F82C8D">
        <w:rPr>
          <w:rStyle w:val="FootnoteReference"/>
          <w:rFonts w:cs="Times New Roman"/>
          <w:szCs w:val="24"/>
        </w:rPr>
        <w:footnoteReference w:id="1"/>
      </w:r>
      <w:r w:rsidR="00F44A00" w:rsidRPr="00F82C8D">
        <w:rPr>
          <w:rFonts w:cs="Times New Roman"/>
          <w:szCs w:val="24"/>
        </w:rPr>
        <w:t xml:space="preserve"> Emissions from the electricity sector represent around 57 per cent of covered emissions. </w:t>
      </w:r>
    </w:p>
    <w:p w:rsidR="00F44A00" w:rsidRPr="00F82C8D" w:rsidRDefault="00F44A00" w:rsidP="00F44A00">
      <w:pPr>
        <w:rPr>
          <w:rFonts w:cs="Times New Roman"/>
          <w:szCs w:val="24"/>
        </w:rPr>
      </w:pPr>
      <w:r w:rsidRPr="00F82C8D">
        <w:rPr>
          <w:rFonts w:cs="Times New Roman"/>
          <w:szCs w:val="24"/>
        </w:rPr>
        <w:t xml:space="preserve">Direct (or scope 1) emissions are defined in the Act. They include fuel combustion, emissions from physical and chemical processes and fugitive emissions. Electricity generators will be responsible for the emissions from electricity production. </w:t>
      </w:r>
    </w:p>
    <w:p w:rsidR="00F44A00" w:rsidRPr="00F82C8D" w:rsidRDefault="00F44A00" w:rsidP="00F44A00">
      <w:pPr>
        <w:rPr>
          <w:rFonts w:cs="Times New Roman"/>
          <w:szCs w:val="24"/>
        </w:rPr>
      </w:pPr>
      <w:r w:rsidRPr="00F82C8D">
        <w:rPr>
          <w:rFonts w:cs="Times New Roman"/>
          <w:szCs w:val="24"/>
        </w:rPr>
        <w:t>The safeguard mechanism will apply broadly to cover a variety of legal structures, including corporations, trusts, and local councils. A broad approach promotes competitive neutrality by covering different legal entities operating in the same market.</w:t>
      </w:r>
    </w:p>
    <w:p w:rsidR="00F44A00" w:rsidRPr="00F82C8D" w:rsidRDefault="00F44A00" w:rsidP="00F44A00">
      <w:pPr>
        <w:rPr>
          <w:rFonts w:cs="Times New Roman"/>
          <w:szCs w:val="24"/>
        </w:rPr>
      </w:pPr>
      <w:r w:rsidRPr="00F82C8D">
        <w:rPr>
          <w:rFonts w:cs="Times New Roman"/>
          <w:szCs w:val="24"/>
        </w:rPr>
        <w:t xml:space="preserve">The business with operational control of a </w:t>
      </w:r>
      <w:r w:rsidR="00FC3D3F" w:rsidRPr="00F82C8D">
        <w:rPr>
          <w:rFonts w:cs="Times New Roman"/>
          <w:szCs w:val="24"/>
        </w:rPr>
        <w:t>designated large</w:t>
      </w:r>
      <w:r w:rsidRPr="00F82C8D">
        <w:rPr>
          <w:rFonts w:cs="Times New Roman"/>
          <w:szCs w:val="24"/>
        </w:rPr>
        <w:t xml:space="preserve"> facility</w:t>
      </w:r>
      <w:r w:rsidR="00FC3D3F" w:rsidRPr="00F82C8D">
        <w:rPr>
          <w:rFonts w:cs="Times New Roman"/>
          <w:szCs w:val="24"/>
        </w:rPr>
        <w:t>, termed the responsible emitter,</w:t>
      </w:r>
      <w:r w:rsidRPr="00F82C8D">
        <w:rPr>
          <w:rFonts w:cs="Times New Roman"/>
          <w:szCs w:val="24"/>
        </w:rPr>
        <w:t xml:space="preserve"> will be responsible for meeting safeguard requirements. Placing obligations on the entity with operational control of the facility ensures that responsibility rests with the entity that is best placed to manage the facility’s emissions and take action to reduce them, if needed.</w:t>
      </w:r>
    </w:p>
    <w:p w:rsidR="00F44A00" w:rsidRPr="00F82C8D" w:rsidRDefault="00F44A00" w:rsidP="00F44A00">
      <w:pPr>
        <w:rPr>
          <w:rFonts w:cs="Times New Roman"/>
          <w:szCs w:val="24"/>
        </w:rPr>
      </w:pPr>
      <w:r w:rsidRPr="00F82C8D">
        <w:rPr>
          <w:rFonts w:cs="Times New Roman"/>
          <w:szCs w:val="24"/>
        </w:rPr>
        <w:t>The safeguard mechanism will address the unique circumstances of the transport and waste sectors:</w:t>
      </w:r>
    </w:p>
    <w:p w:rsidR="00F44A00" w:rsidRPr="00F82C8D" w:rsidRDefault="00F44A00" w:rsidP="00464595">
      <w:pPr>
        <w:pStyle w:val="ListParagraph"/>
        <w:keepLines w:val="0"/>
        <w:numPr>
          <w:ilvl w:val="0"/>
          <w:numId w:val="19"/>
        </w:numPr>
        <w:tabs>
          <w:tab w:val="clear" w:pos="0"/>
        </w:tabs>
        <w:spacing w:before="0" w:after="240"/>
      </w:pPr>
      <w:r w:rsidRPr="00F82C8D">
        <w:rPr>
          <w:i/>
        </w:rPr>
        <w:t>Transport</w:t>
      </w:r>
      <w:r w:rsidRPr="00F82C8D">
        <w:t xml:space="preserve">: To accommodate interstate transport operations, transport businesses will have the option to define their facilities on a national or state basis. </w:t>
      </w:r>
    </w:p>
    <w:p w:rsidR="00F44A00" w:rsidRPr="00F82C8D" w:rsidRDefault="00F44A00" w:rsidP="00464595">
      <w:pPr>
        <w:pStyle w:val="ListParagraph"/>
        <w:keepLines w:val="0"/>
        <w:numPr>
          <w:ilvl w:val="0"/>
          <w:numId w:val="19"/>
        </w:numPr>
        <w:tabs>
          <w:tab w:val="clear" w:pos="0"/>
        </w:tabs>
        <w:spacing w:before="0" w:after="240"/>
      </w:pPr>
      <w:r w:rsidRPr="00F82C8D">
        <w:rPr>
          <w:i/>
        </w:rPr>
        <w:t>Waste</w:t>
      </w:r>
      <w:r w:rsidRPr="00F82C8D">
        <w:t>: Waste sector coverage will be limited to emissions from waste that is deposited at a landfill after scheme commencement (that is, after 1 July 2016). This will ensure that the safeguard mechanism does not retrospectively cover emissions from activities that occurred in the past.</w:t>
      </w:r>
    </w:p>
    <w:p w:rsidR="00F44A00" w:rsidRPr="00F82C8D" w:rsidRDefault="00F44A00" w:rsidP="00086187">
      <w:pPr>
        <w:pStyle w:val="Heading2"/>
      </w:pPr>
      <w:bookmarkStart w:id="27" w:name="_Toc425920458"/>
      <w:bookmarkStart w:id="28" w:name="_Toc431975835"/>
      <w:bookmarkStart w:id="29" w:name="_Toc409006263"/>
      <w:r w:rsidRPr="00F82C8D">
        <w:t>Establishing baselines for existing facilities</w:t>
      </w:r>
      <w:bookmarkEnd w:id="27"/>
      <w:bookmarkEnd w:id="28"/>
    </w:p>
    <w:p w:rsidR="00F44A00" w:rsidRPr="00F82C8D" w:rsidRDefault="00F44A00" w:rsidP="00F44A00">
      <w:pPr>
        <w:rPr>
          <w:rFonts w:cs="Times New Roman"/>
          <w:szCs w:val="24"/>
        </w:rPr>
      </w:pPr>
      <w:r w:rsidRPr="00F82C8D">
        <w:rPr>
          <w:rFonts w:cs="Times New Roman"/>
          <w:szCs w:val="24"/>
        </w:rPr>
        <w:t>The safeguard mechanism will ensure that emissions reductions purchased through the Emissions Reduction Fund are not displaced by a significant rise in emissions</w:t>
      </w:r>
      <w:r w:rsidR="004B046F" w:rsidRPr="00F82C8D">
        <w:rPr>
          <w:rFonts w:cs="Times New Roman"/>
          <w:szCs w:val="24"/>
        </w:rPr>
        <w:t xml:space="preserve"> above business-as-usual levels</w:t>
      </w:r>
      <w:r w:rsidRPr="00F82C8D">
        <w:rPr>
          <w:rFonts w:cs="Times New Roman"/>
          <w:szCs w:val="24"/>
        </w:rPr>
        <w:t xml:space="preserve"> elsewhere in the economy. It will achieve this by requiring large businesses to keep emissions below baseline levels. Baselines represent the reference point against which future emissions performance will be measured.</w:t>
      </w:r>
      <w:r w:rsidR="00394E74" w:rsidRPr="00F82C8D">
        <w:rPr>
          <w:rFonts w:cs="Times New Roman"/>
          <w:szCs w:val="24"/>
        </w:rPr>
        <w:t xml:space="preserve"> </w:t>
      </w:r>
    </w:p>
    <w:p w:rsidR="00F44A00" w:rsidRPr="00F82C8D" w:rsidRDefault="00F44A00" w:rsidP="00F44A00">
      <w:pPr>
        <w:rPr>
          <w:rFonts w:cs="Times New Roman"/>
          <w:szCs w:val="24"/>
        </w:rPr>
      </w:pPr>
      <w:r w:rsidRPr="00F82C8D">
        <w:rPr>
          <w:rFonts w:cs="Times New Roman"/>
          <w:szCs w:val="24"/>
        </w:rPr>
        <w:t>To avoid new reporting obligations, baselines will reflect absolute emissions using historical data reported under the National Greenhouse and Energy Reporting Scheme</w:t>
      </w:r>
      <w:r w:rsidR="00825373" w:rsidRPr="00F82C8D">
        <w:rPr>
          <w:rFonts w:cs="Times New Roman"/>
          <w:szCs w:val="24"/>
        </w:rPr>
        <w:t>, also referred to as a report submitted under the Act</w:t>
      </w:r>
      <w:r w:rsidRPr="00F82C8D">
        <w:rPr>
          <w:rFonts w:cs="Times New Roman"/>
          <w:szCs w:val="24"/>
        </w:rPr>
        <w:t>. In particular, baselines will be set using the highest level of reported emissions for a facility over the historical period 2009</w:t>
      </w:r>
      <w:r w:rsidRPr="00F82C8D">
        <w:rPr>
          <w:rFonts w:cs="Times New Roman"/>
          <w:szCs w:val="24"/>
        </w:rPr>
        <w:noBreakHyphen/>
        <w:t>10 to 2013</w:t>
      </w:r>
      <w:r w:rsidRPr="00F82C8D">
        <w:rPr>
          <w:rFonts w:cs="Times New Roman"/>
          <w:szCs w:val="24"/>
        </w:rPr>
        <w:noBreakHyphen/>
        <w:t xml:space="preserve">14. Selecting the highest level of emissions over the five year period can help to accommodate natural variability in emissions associated with changes in production levels, plant maintenance or the types of inputs used. </w:t>
      </w:r>
    </w:p>
    <w:p w:rsidR="00F44A00" w:rsidRPr="00F82C8D" w:rsidRDefault="00F44A00" w:rsidP="00F44A00">
      <w:pPr>
        <w:rPr>
          <w:rFonts w:cs="Times New Roman"/>
          <w:szCs w:val="24"/>
        </w:rPr>
      </w:pPr>
      <w:r w:rsidRPr="00F82C8D">
        <w:rPr>
          <w:rFonts w:cs="Times New Roman"/>
          <w:szCs w:val="24"/>
        </w:rPr>
        <w:t xml:space="preserve">Historical baselines provide a useful starting point for defining safeguard obligations. However, the </w:t>
      </w:r>
      <w:r w:rsidR="00110005" w:rsidRPr="00F82C8D">
        <w:rPr>
          <w:rFonts w:cs="Times New Roman"/>
          <w:szCs w:val="24"/>
        </w:rPr>
        <w:t>safeguard mechanism</w:t>
      </w:r>
      <w:r w:rsidRPr="00F82C8D">
        <w:rPr>
          <w:rFonts w:cs="Times New Roman"/>
          <w:szCs w:val="24"/>
        </w:rPr>
        <w:t xml:space="preserve"> is designed to </w:t>
      </w:r>
      <w:r w:rsidR="00825373" w:rsidRPr="00F82C8D">
        <w:rPr>
          <w:rFonts w:cs="Times New Roman"/>
          <w:szCs w:val="24"/>
        </w:rPr>
        <w:t>accommodate</w:t>
      </w:r>
      <w:r w:rsidRPr="00F82C8D">
        <w:rPr>
          <w:rFonts w:cs="Times New Roman"/>
          <w:szCs w:val="24"/>
        </w:rPr>
        <w:t xml:space="preserve"> economic growth and allow businesses to continue to operate at business-as-usual levels. There will be a range of circumstances which may require historical baselines to be adjusted to better reflect business-as-usual emissions performance. In particular, the safeguard mechanism will allow baseline adjustments to accommodate business growth, emissions variability associated with the extraction of natural resources and other circumstances where historical emissions are not representative of future emissions performance.</w:t>
      </w:r>
    </w:p>
    <w:p w:rsidR="00F44A00" w:rsidRPr="00F82C8D" w:rsidRDefault="00825373" w:rsidP="00086187">
      <w:pPr>
        <w:pStyle w:val="Heading3"/>
      </w:pPr>
      <w:bookmarkStart w:id="30" w:name="_Toc425920459"/>
      <w:r w:rsidRPr="00F82C8D">
        <w:t>Accommodating</w:t>
      </w:r>
      <w:r w:rsidR="00F44A00" w:rsidRPr="00F82C8D">
        <w:t xml:space="preserve"> business growth</w:t>
      </w:r>
      <w:bookmarkEnd w:id="30"/>
    </w:p>
    <w:p w:rsidR="00F44A00" w:rsidRPr="00F82C8D" w:rsidRDefault="00F44A00" w:rsidP="00F44A00">
      <w:pPr>
        <w:rPr>
          <w:rFonts w:cs="Times New Roman"/>
          <w:szCs w:val="24"/>
        </w:rPr>
      </w:pPr>
      <w:r w:rsidRPr="00F82C8D">
        <w:rPr>
          <w:rFonts w:cs="Times New Roman"/>
          <w:szCs w:val="24"/>
        </w:rPr>
        <w:t>To ensure that businesses have room to grow, historical baselines will be permanently increased to accommodate a significant expansion in</w:t>
      </w:r>
      <w:r w:rsidR="00825373" w:rsidRPr="00F82C8D">
        <w:rPr>
          <w:rFonts w:cs="Times New Roman"/>
          <w:szCs w:val="24"/>
        </w:rPr>
        <w:t xml:space="preserve"> production </w:t>
      </w:r>
      <w:r w:rsidRPr="00F82C8D">
        <w:rPr>
          <w:rFonts w:cs="Times New Roman"/>
          <w:szCs w:val="24"/>
        </w:rPr>
        <w:t>capacity. A significant expansion is defined as</w:t>
      </w:r>
      <w:r w:rsidR="008F3642" w:rsidRPr="00F82C8D">
        <w:rPr>
          <w:rFonts w:cs="Times New Roman"/>
          <w:szCs w:val="24"/>
        </w:rPr>
        <w:t xml:space="preserve"> either</w:t>
      </w:r>
      <w:r w:rsidRPr="00F82C8D">
        <w:rPr>
          <w:rFonts w:cs="Times New Roman"/>
          <w:szCs w:val="24"/>
        </w:rPr>
        <w:t xml:space="preserve"> an increase in </w:t>
      </w:r>
      <w:r w:rsidR="00825373" w:rsidRPr="00F82C8D">
        <w:rPr>
          <w:rFonts w:cs="Times New Roman"/>
          <w:szCs w:val="24"/>
        </w:rPr>
        <w:t>maximum productive</w:t>
      </w:r>
      <w:r w:rsidRPr="00F82C8D">
        <w:rPr>
          <w:rFonts w:cs="Times New Roman"/>
          <w:szCs w:val="24"/>
        </w:rPr>
        <w:t xml:space="preserve"> capacity of more than 20 per cent </w:t>
      </w:r>
      <w:r w:rsidR="008F3642" w:rsidRPr="00F82C8D">
        <w:rPr>
          <w:rFonts w:cs="Times New Roman"/>
          <w:szCs w:val="24"/>
        </w:rPr>
        <w:t>of a production variable</w:t>
      </w:r>
      <w:r w:rsidR="00C62A92" w:rsidRPr="00F82C8D">
        <w:rPr>
          <w:rFonts w:cs="Times New Roman"/>
          <w:szCs w:val="24"/>
        </w:rPr>
        <w:t xml:space="preserve"> that is already produced</w:t>
      </w:r>
      <w:r w:rsidR="008F3642" w:rsidRPr="00F82C8D">
        <w:rPr>
          <w:rFonts w:cs="Times New Roman"/>
          <w:szCs w:val="24"/>
        </w:rPr>
        <w:t xml:space="preserve"> or the production of a new significant product, </w:t>
      </w:r>
      <w:r w:rsidR="00825373" w:rsidRPr="00F82C8D">
        <w:rPr>
          <w:rFonts w:cs="Times New Roman"/>
          <w:szCs w:val="24"/>
        </w:rPr>
        <w:t>within</w:t>
      </w:r>
      <w:r w:rsidRPr="00F82C8D">
        <w:rPr>
          <w:rFonts w:cs="Times New Roman"/>
          <w:szCs w:val="24"/>
        </w:rPr>
        <w:t xml:space="preserve"> three years, that results from the installation of new plant or equipment. </w:t>
      </w:r>
    </w:p>
    <w:p w:rsidR="00F44A00" w:rsidRPr="00F82C8D" w:rsidRDefault="00F44A00" w:rsidP="00F44A00">
      <w:pPr>
        <w:rPr>
          <w:rFonts w:cs="Times New Roman"/>
          <w:szCs w:val="24"/>
        </w:rPr>
      </w:pPr>
      <w:r w:rsidRPr="00F82C8D">
        <w:rPr>
          <w:rFonts w:cs="Times New Roman"/>
          <w:szCs w:val="24"/>
        </w:rPr>
        <w:t xml:space="preserve">A significant expansion in </w:t>
      </w:r>
      <w:r w:rsidR="00825373" w:rsidRPr="00F82C8D">
        <w:rPr>
          <w:rFonts w:cs="Times New Roman"/>
          <w:szCs w:val="24"/>
        </w:rPr>
        <w:t>maximum productive</w:t>
      </w:r>
      <w:r w:rsidRPr="00F82C8D">
        <w:rPr>
          <w:rFonts w:cs="Times New Roman"/>
          <w:szCs w:val="24"/>
        </w:rPr>
        <w:t xml:space="preserve"> capacity represents a new investment at an existing facility. When a significant expansion occurs, the operator can apply to the Regulator to have the facility baseline adjusted in accordance with the rules for establishing baselines for new investments. This includes different treatment for projects which are already being planned or are under construction: </w:t>
      </w:r>
    </w:p>
    <w:p w:rsidR="00F44A00" w:rsidRPr="00F82C8D" w:rsidRDefault="00F44A00" w:rsidP="00464595">
      <w:pPr>
        <w:pStyle w:val="ListParagraph"/>
        <w:keepLines w:val="0"/>
        <w:numPr>
          <w:ilvl w:val="0"/>
          <w:numId w:val="11"/>
        </w:numPr>
        <w:tabs>
          <w:tab w:val="clear" w:pos="0"/>
        </w:tabs>
        <w:spacing w:before="0" w:after="240"/>
      </w:pPr>
      <w:r w:rsidRPr="00F82C8D">
        <w:rPr>
          <w:i/>
        </w:rPr>
        <w:t>Pre-2020</w:t>
      </w:r>
      <w:r w:rsidRPr="00F82C8D">
        <w:t xml:space="preserve">: if a facility exceeds or expects to exceed its baseline due to a significant expansion </w:t>
      </w:r>
      <w:r w:rsidRPr="00F82C8D">
        <w:rPr>
          <w:i/>
        </w:rPr>
        <w:t>before</w:t>
      </w:r>
      <w:r w:rsidRPr="00F82C8D">
        <w:t xml:space="preserve"> 1 July 2020, the operator may apply to revise the baseline using the </w:t>
      </w:r>
      <w:r w:rsidR="00825373" w:rsidRPr="00F82C8D">
        <w:rPr>
          <w:i/>
        </w:rPr>
        <w:t xml:space="preserve">calculated-emissions baseline determination </w:t>
      </w:r>
      <w:r w:rsidR="008F1C69" w:rsidRPr="00F82C8D">
        <w:t>approach i</w:t>
      </w:r>
      <w:r w:rsidR="00825373" w:rsidRPr="00F82C8D">
        <w:t>n the safeguard rule</w:t>
      </w:r>
      <w:r w:rsidRPr="00F82C8D">
        <w:t xml:space="preserve">. Under this approach, the </w:t>
      </w:r>
      <w:r w:rsidR="00916C72" w:rsidRPr="00F82C8D">
        <w:t xml:space="preserve">Regulator may revise the baseline </w:t>
      </w:r>
      <w:r w:rsidRPr="00F82C8D">
        <w:t>based on an emissions forecast pr</w:t>
      </w:r>
      <w:r w:rsidR="00825373" w:rsidRPr="00F82C8D">
        <w:t xml:space="preserve">ovided by the facility operator, </w:t>
      </w:r>
      <w:r w:rsidR="008F1C69" w:rsidRPr="00F82C8D">
        <w:t xml:space="preserve">with an adjustment </w:t>
      </w:r>
      <w:r w:rsidRPr="00F82C8D">
        <w:t xml:space="preserve">after the forecast period based on actual performance (referred to as a </w:t>
      </w:r>
      <w:r w:rsidRPr="00F82C8D">
        <w:rPr>
          <w:i/>
        </w:rPr>
        <w:t>production</w:t>
      </w:r>
      <w:r w:rsidR="00E70CEB" w:rsidRPr="00F82C8D">
        <w:rPr>
          <w:i/>
        </w:rPr>
        <w:t>-</w:t>
      </w:r>
      <w:r w:rsidRPr="00F82C8D">
        <w:rPr>
          <w:i/>
        </w:rPr>
        <w:t>adjusted baseline</w:t>
      </w:r>
      <w:r w:rsidR="00E70CEB" w:rsidRPr="00F82C8D">
        <w:rPr>
          <w:i/>
        </w:rPr>
        <w:t xml:space="preserve"> determination</w:t>
      </w:r>
      <w:r w:rsidRPr="00F82C8D">
        <w:rPr>
          <w:i/>
        </w:rPr>
        <w:t xml:space="preserve"> </w:t>
      </w:r>
      <w:r w:rsidRPr="00F82C8D">
        <w:t xml:space="preserve">in the </w:t>
      </w:r>
      <w:r w:rsidR="008F1C69" w:rsidRPr="00F82C8D">
        <w:t>safeguard rule</w:t>
      </w:r>
      <w:r w:rsidRPr="00F82C8D">
        <w:t xml:space="preserve">). This method will be used to recalculate the baseline for the entire facility, not just the emissions associated with the </w:t>
      </w:r>
      <w:r w:rsidR="008F1C69" w:rsidRPr="00F82C8D">
        <w:t xml:space="preserve">significant </w:t>
      </w:r>
      <w:r w:rsidRPr="00F82C8D">
        <w:t>expansion.</w:t>
      </w:r>
    </w:p>
    <w:p w:rsidR="00F44A00" w:rsidRPr="00F82C8D" w:rsidRDefault="00F44A00" w:rsidP="00464595">
      <w:pPr>
        <w:pStyle w:val="ListParagraph"/>
        <w:keepLines w:val="0"/>
        <w:numPr>
          <w:ilvl w:val="0"/>
          <w:numId w:val="11"/>
        </w:numPr>
        <w:tabs>
          <w:tab w:val="clear" w:pos="0"/>
        </w:tabs>
        <w:spacing w:before="0" w:after="240"/>
      </w:pPr>
      <w:r w:rsidRPr="00F82C8D">
        <w:rPr>
          <w:i/>
        </w:rPr>
        <w:t>Post</w:t>
      </w:r>
      <w:r w:rsidRPr="00F82C8D">
        <w:rPr>
          <w:i/>
        </w:rPr>
        <w:noBreakHyphen/>
        <w:t>2020</w:t>
      </w:r>
      <w:r w:rsidRPr="00F82C8D">
        <w:t>: if a facility exceeds or expects to exceed its baseline due to a significant expansion</w:t>
      </w:r>
      <w:r w:rsidRPr="00F82C8D">
        <w:rPr>
          <w:i/>
        </w:rPr>
        <w:t xml:space="preserve"> after</w:t>
      </w:r>
      <w:r w:rsidR="00B429AD" w:rsidRPr="00F82C8D">
        <w:t xml:space="preserve"> 1 July </w:t>
      </w:r>
      <w:r w:rsidR="00373847" w:rsidRPr="00F82C8D">
        <w:t>2020,</w:t>
      </w:r>
      <w:r w:rsidR="00110005" w:rsidRPr="00F82C8D">
        <w:t xml:space="preserve"> the operator may apply to revise the baseline using the </w:t>
      </w:r>
      <w:r w:rsidR="00110005" w:rsidRPr="00F82C8D">
        <w:rPr>
          <w:i/>
        </w:rPr>
        <w:t xml:space="preserve">benchmark-emissions baseline determination </w:t>
      </w:r>
      <w:r w:rsidR="00110005" w:rsidRPr="00F82C8D">
        <w:t>approach in the safeguard rule. Under this provision</w:t>
      </w:r>
      <w:r w:rsidR="00373847" w:rsidRPr="00F82C8D">
        <w:t>, the</w:t>
      </w:r>
      <w:r w:rsidR="00B429AD" w:rsidRPr="00F82C8D">
        <w:t xml:space="preserve"> Regulator may</w:t>
      </w:r>
      <w:r w:rsidR="00942D59" w:rsidRPr="00F82C8D">
        <w:t xml:space="preserve"> </w:t>
      </w:r>
      <w:r w:rsidRPr="00F82C8D">
        <w:t xml:space="preserve">revise the facility’s baseline </w:t>
      </w:r>
      <w:r w:rsidR="00FB7EB9">
        <w:t xml:space="preserve">using </w:t>
      </w:r>
      <w:r w:rsidR="002C5A02" w:rsidRPr="00F82C8D">
        <w:t>benchmark emissions intensities</w:t>
      </w:r>
      <w:r w:rsidR="00FB7EB9">
        <w:t xml:space="preserve"> from Schedule 1 to the safeguard rule</w:t>
      </w:r>
      <w:r w:rsidR="002C5A02" w:rsidRPr="00F82C8D">
        <w:t xml:space="preserve">. </w:t>
      </w:r>
      <w:r w:rsidRPr="00F82C8D">
        <w:t>This approach will only apply to the emissions associated with the expanded capacity</w:t>
      </w:r>
      <w:r w:rsidR="00FB7EB9">
        <w:t xml:space="preserve"> such that the facility’s baseline would be the sum of its existing baseline and the benchmark baseline for</w:t>
      </w:r>
      <w:r w:rsidR="00D84338">
        <w:t xml:space="preserve"> the increased production resulting from the significant expansion</w:t>
      </w:r>
      <w:r w:rsidRPr="00F82C8D">
        <w:t xml:space="preserve">. </w:t>
      </w:r>
    </w:p>
    <w:p w:rsidR="00F44A00" w:rsidRPr="00F82C8D" w:rsidRDefault="00F44A00" w:rsidP="00F44A00">
      <w:pPr>
        <w:rPr>
          <w:rFonts w:cs="Times New Roman"/>
          <w:szCs w:val="24"/>
        </w:rPr>
      </w:pPr>
      <w:r w:rsidRPr="00F82C8D">
        <w:rPr>
          <w:rFonts w:cs="Times New Roman"/>
          <w:szCs w:val="24"/>
        </w:rPr>
        <w:t xml:space="preserve">An application for a baseline adjustment must be accompanied by an audit report providing assurance over the emissions </w:t>
      </w:r>
      <w:r w:rsidR="00825373" w:rsidRPr="00F82C8D">
        <w:rPr>
          <w:rFonts w:cs="Times New Roman"/>
          <w:szCs w:val="24"/>
        </w:rPr>
        <w:t xml:space="preserve">and production </w:t>
      </w:r>
      <w:r w:rsidRPr="00F82C8D">
        <w:rPr>
          <w:rFonts w:cs="Times New Roman"/>
          <w:szCs w:val="24"/>
        </w:rPr>
        <w:t xml:space="preserve">estimates provided and that the significant expansion criteria have been met. </w:t>
      </w:r>
    </w:p>
    <w:p w:rsidR="00F44A00" w:rsidRPr="00F82C8D" w:rsidRDefault="008F1C69" w:rsidP="00086187">
      <w:pPr>
        <w:pStyle w:val="Heading3"/>
      </w:pPr>
      <w:bookmarkStart w:id="31" w:name="_Toc425920460"/>
      <w:r w:rsidRPr="00F82C8D">
        <w:t xml:space="preserve">Emissions </w:t>
      </w:r>
      <w:r w:rsidR="00F44A00" w:rsidRPr="00F82C8D">
        <w:t xml:space="preserve">intensity test to </w:t>
      </w:r>
      <w:r w:rsidR="00825373" w:rsidRPr="00F82C8D">
        <w:t>accommodate</w:t>
      </w:r>
      <w:r w:rsidR="00F44A00" w:rsidRPr="00F82C8D">
        <w:t xml:space="preserve"> incremental growth</w:t>
      </w:r>
      <w:bookmarkEnd w:id="31"/>
    </w:p>
    <w:p w:rsidR="00F44A00" w:rsidRPr="00F82C8D" w:rsidRDefault="00F44A00" w:rsidP="00F44A00">
      <w:pPr>
        <w:rPr>
          <w:rFonts w:cs="Times New Roman"/>
          <w:szCs w:val="24"/>
        </w:rPr>
      </w:pPr>
      <w:r w:rsidRPr="00F82C8D">
        <w:rPr>
          <w:rFonts w:cs="Times New Roman"/>
          <w:szCs w:val="24"/>
        </w:rPr>
        <w:t xml:space="preserve">The significant expansion rule applies where there is a significant and permanent increase in </w:t>
      </w:r>
      <w:r w:rsidR="00825373" w:rsidRPr="00F82C8D">
        <w:rPr>
          <w:rFonts w:cs="Times New Roman"/>
          <w:szCs w:val="24"/>
        </w:rPr>
        <w:t>maximum productive</w:t>
      </w:r>
      <w:r w:rsidRPr="00F82C8D">
        <w:rPr>
          <w:rFonts w:cs="Times New Roman"/>
          <w:szCs w:val="24"/>
        </w:rPr>
        <w:t xml:space="preserve"> capacity</w:t>
      </w:r>
      <w:r w:rsidR="008F1C69" w:rsidRPr="00F82C8D">
        <w:rPr>
          <w:rFonts w:cs="Times New Roman"/>
          <w:szCs w:val="24"/>
        </w:rPr>
        <w:t xml:space="preserve"> or the production of a new significant product</w:t>
      </w:r>
      <w:r w:rsidRPr="00F82C8D">
        <w:rPr>
          <w:rFonts w:cs="Times New Roman"/>
          <w:szCs w:val="24"/>
        </w:rPr>
        <w:t xml:space="preserve"> at a </w:t>
      </w:r>
      <w:r w:rsidR="00825373" w:rsidRPr="00F82C8D">
        <w:rPr>
          <w:rFonts w:cs="Times New Roman"/>
          <w:szCs w:val="24"/>
        </w:rPr>
        <w:t>designated large</w:t>
      </w:r>
      <w:r w:rsidRPr="00F82C8D">
        <w:rPr>
          <w:rFonts w:cs="Times New Roman"/>
          <w:szCs w:val="24"/>
        </w:rPr>
        <w:t xml:space="preserve"> facility. There will also be instances where businesses grow incrementally over time. For example, businesses may increase production within existing plant capacity, or expand capacity by less than 20 per cent. In many cases, this growth will be a</w:t>
      </w:r>
      <w:r w:rsidR="004B16A8" w:rsidRPr="00F82C8D">
        <w:rPr>
          <w:rFonts w:cs="Times New Roman"/>
          <w:szCs w:val="24"/>
        </w:rPr>
        <w:t xml:space="preserve">ccompanied by falling emissions </w:t>
      </w:r>
      <w:r w:rsidRPr="00F82C8D">
        <w:rPr>
          <w:rFonts w:cs="Times New Roman"/>
          <w:szCs w:val="24"/>
        </w:rPr>
        <w:t xml:space="preserve">intensity of production, delivering both economic and environmental benefits. </w:t>
      </w:r>
    </w:p>
    <w:p w:rsidR="00F44A00" w:rsidRPr="00F82C8D" w:rsidRDefault="00F44A00" w:rsidP="00F44A00">
      <w:pPr>
        <w:rPr>
          <w:rFonts w:cs="Times New Roman"/>
          <w:szCs w:val="24"/>
        </w:rPr>
      </w:pPr>
      <w:r w:rsidRPr="00F82C8D">
        <w:rPr>
          <w:rFonts w:cs="Times New Roman"/>
          <w:szCs w:val="24"/>
        </w:rPr>
        <w:t xml:space="preserve">To </w:t>
      </w:r>
      <w:r w:rsidR="00825373" w:rsidRPr="00F82C8D">
        <w:rPr>
          <w:rFonts w:cs="Times New Roman"/>
          <w:szCs w:val="24"/>
        </w:rPr>
        <w:t>accommodate</w:t>
      </w:r>
      <w:r w:rsidRPr="00F82C8D">
        <w:rPr>
          <w:rFonts w:cs="Times New Roman"/>
          <w:szCs w:val="24"/>
        </w:rPr>
        <w:t xml:space="preserve"> incremental business growth and emissions efficiency, baselines will be temporarily increased in any year where baseline exceedance</w:t>
      </w:r>
      <w:r w:rsidR="004B16A8" w:rsidRPr="00F82C8D">
        <w:rPr>
          <w:rFonts w:cs="Times New Roman"/>
          <w:szCs w:val="24"/>
        </w:rPr>
        <w:t xml:space="preserve"> is accompanied by an emissions </w:t>
      </w:r>
      <w:r w:rsidRPr="00F82C8D">
        <w:rPr>
          <w:rFonts w:cs="Times New Roman"/>
          <w:szCs w:val="24"/>
        </w:rPr>
        <w:t xml:space="preserve">intensity improvement. A permanent adjustment would not be appropriate, as this could encourage businesses to temporarily shift production between facilities to progressively increase baselines at a number of different locations. While there may be limited opportunities to do this in practice, it </w:t>
      </w:r>
      <w:r w:rsidR="008F1C69" w:rsidRPr="00F82C8D">
        <w:rPr>
          <w:rFonts w:cs="Times New Roman"/>
          <w:szCs w:val="24"/>
        </w:rPr>
        <w:t xml:space="preserve">is </w:t>
      </w:r>
      <w:r w:rsidRPr="00F82C8D">
        <w:rPr>
          <w:rFonts w:cs="Times New Roman"/>
          <w:szCs w:val="24"/>
        </w:rPr>
        <w:t xml:space="preserve">important to ensure that baselines do not expand beyond business-as-usual levels. </w:t>
      </w:r>
    </w:p>
    <w:p w:rsidR="00F44A00" w:rsidRPr="00F82C8D" w:rsidRDefault="00F44A00" w:rsidP="00F44A00">
      <w:pPr>
        <w:rPr>
          <w:rFonts w:cs="Times New Roman"/>
          <w:szCs w:val="24"/>
        </w:rPr>
      </w:pPr>
      <w:r w:rsidRPr="00F82C8D">
        <w:rPr>
          <w:rFonts w:cs="Times New Roman"/>
          <w:szCs w:val="24"/>
        </w:rPr>
        <w:t xml:space="preserve">Facility operators </w:t>
      </w:r>
      <w:r w:rsidR="004B16A8" w:rsidRPr="00F82C8D">
        <w:rPr>
          <w:rFonts w:cs="Times New Roman"/>
          <w:szCs w:val="24"/>
        </w:rPr>
        <w:t xml:space="preserve">who can demonstrate an emissions </w:t>
      </w:r>
      <w:r w:rsidRPr="00F82C8D">
        <w:rPr>
          <w:rFonts w:cs="Times New Roman"/>
          <w:szCs w:val="24"/>
        </w:rPr>
        <w:t>intensity improvement can apply to the Regulator for a temporary variation of their baseline. Current emissions</w:t>
      </w:r>
      <w:r w:rsidR="004B16A8" w:rsidRPr="00F82C8D">
        <w:rPr>
          <w:rFonts w:cs="Times New Roman"/>
          <w:szCs w:val="24"/>
        </w:rPr>
        <w:t xml:space="preserve"> </w:t>
      </w:r>
      <w:r w:rsidRPr="00F82C8D">
        <w:rPr>
          <w:rFonts w:cs="Times New Roman"/>
          <w:szCs w:val="24"/>
        </w:rPr>
        <w:t>intensity will be compared with the</w:t>
      </w:r>
      <w:r w:rsidR="00C6214A" w:rsidRPr="00F82C8D">
        <w:rPr>
          <w:rFonts w:cs="Times New Roman"/>
          <w:szCs w:val="24"/>
        </w:rPr>
        <w:t xml:space="preserve"> emissions intensity associated with the</w:t>
      </w:r>
      <w:r w:rsidRPr="00F82C8D">
        <w:rPr>
          <w:rFonts w:cs="Times New Roman"/>
          <w:szCs w:val="24"/>
        </w:rPr>
        <w:t xml:space="preserve"> most recent baseline—including any tempor</w:t>
      </w:r>
      <w:r w:rsidR="00C6214A" w:rsidRPr="00F82C8D">
        <w:rPr>
          <w:rFonts w:cs="Times New Roman"/>
          <w:szCs w:val="24"/>
        </w:rPr>
        <w:t xml:space="preserve">ary baselines—so that emissions </w:t>
      </w:r>
      <w:r w:rsidRPr="00F82C8D">
        <w:rPr>
          <w:rFonts w:cs="Times New Roman"/>
          <w:szCs w:val="24"/>
        </w:rPr>
        <w:t xml:space="preserve">intensity must be continuously improving to justify ongoing baseline adjustments. </w:t>
      </w:r>
    </w:p>
    <w:p w:rsidR="00F44A00" w:rsidRPr="00F82C8D" w:rsidRDefault="00F44A00" w:rsidP="00F44A00">
      <w:pPr>
        <w:rPr>
          <w:rFonts w:cs="Times New Roman"/>
          <w:szCs w:val="24"/>
        </w:rPr>
      </w:pPr>
      <w:r w:rsidRPr="00F82C8D">
        <w:rPr>
          <w:rFonts w:cs="Times New Roman"/>
          <w:szCs w:val="24"/>
        </w:rPr>
        <w:t xml:space="preserve">Applications must be accompanied by an independent audit report. If successful, the facility’s baseline will be increased for one year to be equal to </w:t>
      </w:r>
      <w:r w:rsidR="00825373" w:rsidRPr="00F82C8D">
        <w:rPr>
          <w:rFonts w:cs="Times New Roman"/>
          <w:szCs w:val="24"/>
        </w:rPr>
        <w:t>covered</w:t>
      </w:r>
      <w:r w:rsidRPr="00F82C8D">
        <w:rPr>
          <w:rFonts w:cs="Times New Roman"/>
          <w:szCs w:val="24"/>
        </w:rPr>
        <w:t xml:space="preserve"> emissions in that year. </w:t>
      </w:r>
    </w:p>
    <w:p w:rsidR="00C6214A" w:rsidRPr="00F82C8D" w:rsidRDefault="00C6214A" w:rsidP="00F44A00">
      <w:pPr>
        <w:rPr>
          <w:rFonts w:cs="Times New Roman"/>
          <w:szCs w:val="24"/>
        </w:rPr>
      </w:pPr>
      <w:r w:rsidRPr="00F82C8D">
        <w:rPr>
          <w:rFonts w:cs="Times New Roman"/>
          <w:szCs w:val="24"/>
        </w:rPr>
        <w:t xml:space="preserve"> The emissions intensity test will be reviewed </w:t>
      </w:r>
      <w:r w:rsidR="003A79A7">
        <w:rPr>
          <w:rFonts w:cs="Times New Roman"/>
          <w:szCs w:val="24"/>
        </w:rPr>
        <w:t>in</w:t>
      </w:r>
      <w:r w:rsidRPr="00F82C8D">
        <w:rPr>
          <w:rFonts w:cs="Times New Roman"/>
          <w:szCs w:val="24"/>
        </w:rPr>
        <w:t xml:space="preserve"> 2017 to determine its form and operation after 2020.</w:t>
      </w:r>
    </w:p>
    <w:p w:rsidR="00F44A00" w:rsidRPr="00F82C8D" w:rsidRDefault="00F44A00" w:rsidP="00F44A00">
      <w:pPr>
        <w:pStyle w:val="Heading3"/>
        <w:rPr>
          <w:szCs w:val="24"/>
        </w:rPr>
      </w:pPr>
      <w:bookmarkStart w:id="32" w:name="_Toc425920461"/>
      <w:r w:rsidRPr="00F82C8D">
        <w:rPr>
          <w:szCs w:val="24"/>
        </w:rPr>
        <w:t>Baselines reflecting inherent emissions variability associated with existing natural resources and reserves</w:t>
      </w:r>
      <w:bookmarkEnd w:id="32"/>
      <w:r w:rsidRPr="00F82C8D">
        <w:rPr>
          <w:szCs w:val="24"/>
        </w:rPr>
        <w:t xml:space="preserve"> </w:t>
      </w:r>
    </w:p>
    <w:p w:rsidR="00F61D59" w:rsidRDefault="00F61D59" w:rsidP="00F61D59">
      <w:r>
        <w:t xml:space="preserve">While an emissions intensity test will be effective for many businesses, some highlighted that rising absolute emissions are often not linked to falling emissions intensity. Some operations in the mining and oil and gas sectors can have highly variable emissions intensity, particularly the fugitive emissions associated with resource extraction. Further, resource grades are highly variable. Mines tend to move from higher to lower grade ores in the natural progression of operations, so that emissions may rise, even while production remains constant. </w:t>
      </w:r>
    </w:p>
    <w:p w:rsidR="00F44A00" w:rsidRPr="00F82C8D" w:rsidRDefault="00F44A00" w:rsidP="00F44A00">
      <w:pPr>
        <w:rPr>
          <w:rFonts w:cs="Times New Roman"/>
          <w:szCs w:val="24"/>
        </w:rPr>
      </w:pPr>
      <w:r w:rsidRPr="00F82C8D">
        <w:rPr>
          <w:rFonts w:cs="Times New Roman"/>
          <w:szCs w:val="24"/>
        </w:rPr>
        <w:t>In the period to 2025, facility operators can apply for an adjustment to their baseline in circumstances where:</w:t>
      </w:r>
    </w:p>
    <w:p w:rsidR="00F44A00" w:rsidRPr="00F82C8D" w:rsidRDefault="00F44A00" w:rsidP="006A2BF9">
      <w:pPr>
        <w:pStyle w:val="ListBullet"/>
        <w:ind w:left="369"/>
      </w:pPr>
      <w:r w:rsidRPr="00F82C8D">
        <w:t>the operation of a facility is associated with the extraction of a natural r</w:t>
      </w:r>
      <w:r w:rsidR="00B41A10" w:rsidRPr="00F82C8D">
        <w:t>esource or reserve</w:t>
      </w:r>
    </w:p>
    <w:p w:rsidR="00DB293E" w:rsidRPr="00F82C8D" w:rsidRDefault="00F44A00" w:rsidP="006A2BF9">
      <w:pPr>
        <w:pStyle w:val="ListBullet"/>
        <w:ind w:left="369"/>
      </w:pPr>
      <w:r w:rsidRPr="00F82C8D">
        <w:t>the properties of the resource or reserve have a direct effect on the emiss</w:t>
      </w:r>
      <w:r w:rsidR="00B41A10" w:rsidRPr="00F82C8D">
        <w:t>ions performance of a facility</w:t>
      </w:r>
    </w:p>
    <w:p w:rsidR="00552B33" w:rsidRPr="00F82C8D" w:rsidRDefault="00F44A00" w:rsidP="006A2BF9">
      <w:pPr>
        <w:pStyle w:val="ListBullet"/>
        <w:ind w:left="369"/>
      </w:pPr>
      <w:r w:rsidRPr="00F82C8D">
        <w:t xml:space="preserve">the facility has a limited ability </w:t>
      </w:r>
      <w:r w:rsidR="00061DBB" w:rsidRPr="00F82C8D">
        <w:t>to control for such emissions</w:t>
      </w:r>
    </w:p>
    <w:p w:rsidR="00552B33" w:rsidRPr="00F82C8D" w:rsidRDefault="0055673A" w:rsidP="006A2BF9">
      <w:pPr>
        <w:pStyle w:val="ListBullet"/>
        <w:ind w:left="369"/>
      </w:pPr>
      <w:r w:rsidRPr="00F82C8D">
        <w:t xml:space="preserve">the </w:t>
      </w:r>
      <w:r w:rsidR="00061DBB" w:rsidRPr="00F82C8D">
        <w:t>facility has a calculated-emissions baseline or a reported-emissions baseline, and</w:t>
      </w:r>
    </w:p>
    <w:p w:rsidR="00552B33" w:rsidRPr="00F82C8D" w:rsidRDefault="00F44A00" w:rsidP="006A2BF9">
      <w:pPr>
        <w:pStyle w:val="ListBullet"/>
        <w:ind w:left="369"/>
      </w:pPr>
      <w:r w:rsidRPr="00F82C8D">
        <w:t>facility emissions have exceeded or are expected to exceed their baseline and the natural resource properties are the primary reason for this.</w:t>
      </w:r>
    </w:p>
    <w:p w:rsidR="00F44A00" w:rsidRPr="00F82C8D" w:rsidRDefault="00F44A00" w:rsidP="00F44A00">
      <w:pPr>
        <w:rPr>
          <w:rFonts w:cs="Times New Roman"/>
          <w:szCs w:val="24"/>
        </w:rPr>
      </w:pPr>
      <w:r w:rsidRPr="00F82C8D">
        <w:rPr>
          <w:rFonts w:cs="Times New Roman"/>
          <w:szCs w:val="24"/>
        </w:rPr>
        <w:t>Baseli</w:t>
      </w:r>
      <w:r w:rsidR="00061DBB" w:rsidRPr="00F82C8D">
        <w:rPr>
          <w:rFonts w:cs="Times New Roman"/>
          <w:szCs w:val="24"/>
        </w:rPr>
        <w:t xml:space="preserve">nes will be adjusted using the </w:t>
      </w:r>
      <w:r w:rsidR="00086187" w:rsidRPr="00F82C8D">
        <w:rPr>
          <w:rFonts w:cs="Times New Roman"/>
          <w:i/>
          <w:szCs w:val="24"/>
        </w:rPr>
        <w:t>calculated-</w:t>
      </w:r>
      <w:r w:rsidRPr="00F82C8D">
        <w:rPr>
          <w:rFonts w:cs="Times New Roman"/>
          <w:i/>
          <w:szCs w:val="24"/>
        </w:rPr>
        <w:t>emissions baseline</w:t>
      </w:r>
      <w:r w:rsidR="00086187" w:rsidRPr="00F82C8D">
        <w:rPr>
          <w:rFonts w:cs="Times New Roman"/>
          <w:i/>
          <w:szCs w:val="24"/>
        </w:rPr>
        <w:t xml:space="preserve"> </w:t>
      </w:r>
      <w:r w:rsidR="00061DBB" w:rsidRPr="00F82C8D">
        <w:rPr>
          <w:rFonts w:cs="Times New Roman"/>
          <w:szCs w:val="24"/>
        </w:rPr>
        <w:t>approach i</w:t>
      </w:r>
      <w:r w:rsidRPr="00F82C8D">
        <w:rPr>
          <w:rFonts w:cs="Times New Roman"/>
          <w:szCs w:val="24"/>
        </w:rPr>
        <w:t xml:space="preserve">n the </w:t>
      </w:r>
      <w:r w:rsidR="00086187" w:rsidRPr="00F82C8D">
        <w:rPr>
          <w:rFonts w:cs="Times New Roman"/>
          <w:szCs w:val="24"/>
        </w:rPr>
        <w:t>safeguard rule</w:t>
      </w:r>
      <w:r w:rsidRPr="00F82C8D">
        <w:rPr>
          <w:rFonts w:cs="Times New Roman"/>
          <w:szCs w:val="24"/>
        </w:rPr>
        <w:t xml:space="preserve">, whereby the Regulator </w:t>
      </w:r>
      <w:r w:rsidR="00825373" w:rsidRPr="00F82C8D">
        <w:rPr>
          <w:rFonts w:cs="Times New Roman"/>
          <w:szCs w:val="24"/>
        </w:rPr>
        <w:t>may</w:t>
      </w:r>
      <w:r w:rsidRPr="00F82C8D">
        <w:rPr>
          <w:rFonts w:cs="Times New Roman"/>
          <w:szCs w:val="24"/>
        </w:rPr>
        <w:t xml:space="preserve"> revise the facility’s baseline based on an audited emissions forecast provided by the facility operator. A facility operator can reapply for a second </w:t>
      </w:r>
      <w:r w:rsidR="00061DBB" w:rsidRPr="00F82C8D">
        <w:rPr>
          <w:rFonts w:cs="Times New Roman"/>
          <w:szCs w:val="24"/>
        </w:rPr>
        <w:t>calculated-emissions baseline</w:t>
      </w:r>
      <w:r w:rsidRPr="00F82C8D">
        <w:rPr>
          <w:rFonts w:cs="Times New Roman"/>
          <w:szCs w:val="24"/>
        </w:rPr>
        <w:t>, provided that the application relates to a forecast period beginning before 1 July 2025. New facilities that become covered by the safeguard after 1 July 2020 are not eligible for this baseline adjustment as they are expected to operate at be</w:t>
      </w:r>
      <w:r w:rsidR="002C5A02" w:rsidRPr="00F82C8D">
        <w:rPr>
          <w:rFonts w:cs="Times New Roman"/>
          <w:szCs w:val="24"/>
        </w:rPr>
        <w:t xml:space="preserve">st practice emissions intensity (referred to as a </w:t>
      </w:r>
      <w:r w:rsidR="002C5A02" w:rsidRPr="00F82C8D">
        <w:rPr>
          <w:rFonts w:cs="Times New Roman"/>
          <w:i/>
          <w:szCs w:val="24"/>
        </w:rPr>
        <w:t>benchmark-emissions baseline determination</w:t>
      </w:r>
      <w:r w:rsidR="002C5A02" w:rsidRPr="00F82C8D">
        <w:rPr>
          <w:rFonts w:cs="Times New Roman"/>
          <w:szCs w:val="24"/>
        </w:rPr>
        <w:t xml:space="preserve"> in the safeguard rule)</w:t>
      </w:r>
      <w:r w:rsidR="00D351B3" w:rsidRPr="00F82C8D">
        <w:rPr>
          <w:rFonts w:cs="Times New Roman"/>
          <w:szCs w:val="24"/>
        </w:rPr>
        <w:t>.</w:t>
      </w:r>
    </w:p>
    <w:p w:rsidR="00F44A00" w:rsidRPr="00F82C8D" w:rsidRDefault="00F44A00" w:rsidP="00086187">
      <w:pPr>
        <w:pStyle w:val="Heading3"/>
      </w:pPr>
      <w:bookmarkStart w:id="33" w:name="_Toc425920462"/>
      <w:bookmarkStart w:id="34" w:name="_Toc398551838"/>
      <w:r w:rsidRPr="00F82C8D">
        <w:t>Baseline adjustments where historical emissions are not representative of future emissions performance</w:t>
      </w:r>
      <w:bookmarkEnd w:id="33"/>
    </w:p>
    <w:p w:rsidR="00F44A00" w:rsidRPr="00F82C8D" w:rsidRDefault="00F44A00" w:rsidP="00F44A00">
      <w:pPr>
        <w:rPr>
          <w:rFonts w:cs="Times New Roman"/>
          <w:szCs w:val="24"/>
        </w:rPr>
      </w:pPr>
      <w:r w:rsidRPr="00F82C8D">
        <w:rPr>
          <w:rFonts w:cs="Times New Roman"/>
          <w:szCs w:val="24"/>
        </w:rPr>
        <w:t>There may be other circumstances where historical emissions are not a good indicator of future business</w:t>
      </w:r>
      <w:r w:rsidRPr="00F82C8D">
        <w:rPr>
          <w:rFonts w:cs="Times New Roman"/>
          <w:szCs w:val="24"/>
        </w:rPr>
        <w:noBreakHyphen/>
        <w:t>as</w:t>
      </w:r>
      <w:r w:rsidRPr="00F82C8D">
        <w:rPr>
          <w:rFonts w:cs="Times New Roman"/>
          <w:szCs w:val="24"/>
        </w:rPr>
        <w:noBreakHyphen/>
        <w:t xml:space="preserve">usual emissions performance. For example, many businesses reported low production in the baseline period due to depressed economic conditions following the global financial crisis. </w:t>
      </w:r>
    </w:p>
    <w:p w:rsidR="001C3AE8" w:rsidRPr="00F82C8D" w:rsidRDefault="00F44A00" w:rsidP="00F44A00">
      <w:pPr>
        <w:rPr>
          <w:rFonts w:cs="Times New Roman"/>
          <w:szCs w:val="24"/>
        </w:rPr>
      </w:pPr>
      <w:r w:rsidRPr="00F82C8D">
        <w:rPr>
          <w:rFonts w:cs="Times New Roman"/>
          <w:szCs w:val="24"/>
        </w:rPr>
        <w:t>To accommodate circumstances where historical emissions are clearly out of step with future emissions performance, a facility can apply for a baseline adjustment if its emissions exceed, or are expected to exceed, baseline levels in the first year of the safeguard mechanism's operation. The baseline will be increased to reflect an emissions forecast provided by th</w:t>
      </w:r>
      <w:r w:rsidR="001C3AE8" w:rsidRPr="00F82C8D">
        <w:rPr>
          <w:rFonts w:cs="Times New Roman"/>
          <w:szCs w:val="24"/>
        </w:rPr>
        <w:t>e facility operator, using the</w:t>
      </w:r>
      <w:r w:rsidRPr="00F82C8D">
        <w:rPr>
          <w:rFonts w:cs="Times New Roman"/>
          <w:szCs w:val="24"/>
        </w:rPr>
        <w:t xml:space="preserve"> </w:t>
      </w:r>
      <w:r w:rsidR="00F02C24" w:rsidRPr="00F82C8D">
        <w:rPr>
          <w:rFonts w:cs="Times New Roman"/>
          <w:i/>
          <w:szCs w:val="24"/>
        </w:rPr>
        <w:t>calculated-</w:t>
      </w:r>
      <w:r w:rsidRPr="00F82C8D">
        <w:rPr>
          <w:rFonts w:cs="Times New Roman"/>
          <w:i/>
          <w:szCs w:val="24"/>
        </w:rPr>
        <w:t>emissions baseline</w:t>
      </w:r>
      <w:r w:rsidRPr="00F82C8D">
        <w:rPr>
          <w:rFonts w:cs="Times New Roman"/>
          <w:szCs w:val="24"/>
        </w:rPr>
        <w:t xml:space="preserve"> </w:t>
      </w:r>
      <w:r w:rsidR="001C3AE8" w:rsidRPr="00F82C8D">
        <w:rPr>
          <w:rFonts w:cs="Times New Roman"/>
          <w:szCs w:val="24"/>
        </w:rPr>
        <w:t xml:space="preserve">approach. </w:t>
      </w:r>
    </w:p>
    <w:p w:rsidR="00F62F50" w:rsidRPr="00F82C8D" w:rsidRDefault="00F62F50" w:rsidP="00F44A00">
      <w:pPr>
        <w:rPr>
          <w:rFonts w:cs="Times New Roman"/>
          <w:szCs w:val="24"/>
        </w:rPr>
      </w:pPr>
      <w:r w:rsidRPr="00F82C8D">
        <w:rPr>
          <w:rFonts w:cs="Times New Roman"/>
          <w:szCs w:val="24"/>
          <w:lang w:val="en-AU"/>
        </w:rPr>
        <w:t>The treatment of any increase in emissions that may occur as a result of the introduction of new regulation will need to be assessed by the Government at the time that any such regulation is introduced</w:t>
      </w:r>
    </w:p>
    <w:p w:rsidR="00F44A00" w:rsidRPr="00F82C8D" w:rsidRDefault="00F44A00" w:rsidP="00F02C24">
      <w:pPr>
        <w:pStyle w:val="Heading2"/>
      </w:pPr>
      <w:bookmarkStart w:id="35" w:name="_Toc425920466"/>
      <w:bookmarkStart w:id="36" w:name="_Toc431975836"/>
      <w:bookmarkEnd w:id="29"/>
      <w:bookmarkEnd w:id="34"/>
      <w:r w:rsidRPr="00F82C8D">
        <w:t>Establishing baselines for new investments</w:t>
      </w:r>
      <w:bookmarkEnd w:id="35"/>
      <w:bookmarkEnd w:id="36"/>
    </w:p>
    <w:p w:rsidR="00F44A00" w:rsidRPr="00F82C8D" w:rsidRDefault="00F44A00" w:rsidP="00F44A00">
      <w:pPr>
        <w:rPr>
          <w:rFonts w:cs="Times New Roman"/>
          <w:szCs w:val="24"/>
        </w:rPr>
      </w:pPr>
      <w:r w:rsidRPr="00F82C8D">
        <w:rPr>
          <w:rFonts w:cs="Times New Roman"/>
          <w:szCs w:val="24"/>
        </w:rPr>
        <w:t>New investments are expected to be a major contributor to emissions growth in the short to medium term, so it is important that they are included in the safeguard mechanism. However, it is not possible to establish historical baselines for new facilities as they lack an adequate data record.</w:t>
      </w:r>
    </w:p>
    <w:p w:rsidR="00F44A00" w:rsidRPr="00F82C8D" w:rsidRDefault="00F44A00" w:rsidP="00F44A00">
      <w:pPr>
        <w:rPr>
          <w:rFonts w:cs="Times New Roman"/>
          <w:szCs w:val="24"/>
        </w:rPr>
      </w:pPr>
      <w:r w:rsidRPr="00F82C8D">
        <w:rPr>
          <w:rFonts w:cs="Times New Roman"/>
          <w:szCs w:val="24"/>
        </w:rPr>
        <w:t>In the absence of adequate historical data, the safeguard mechanism will aim to encourage businesses to achieve and maintain best practice in the design and implementation of new operations. It will do so in a way that distinguishes between new projects that are already underway—and therefore have little scope to change their design</w:t>
      </w:r>
      <w:r w:rsidR="004243F8" w:rsidRPr="00F82C8D">
        <w:rPr>
          <w:rFonts w:cs="Times New Roman"/>
          <w:szCs w:val="24"/>
        </w:rPr>
        <w:t xml:space="preserve"> and implementation</w:t>
      </w:r>
      <w:r w:rsidRPr="00F82C8D">
        <w:rPr>
          <w:rFonts w:cs="Times New Roman"/>
          <w:szCs w:val="24"/>
        </w:rPr>
        <w:t>—and entirely new endeavours.</w:t>
      </w:r>
      <w:r w:rsidR="00394E74" w:rsidRPr="00F82C8D">
        <w:rPr>
          <w:rFonts w:cs="Times New Roman"/>
          <w:szCs w:val="24"/>
        </w:rPr>
        <w:t xml:space="preserve"> </w:t>
      </w:r>
      <w:r w:rsidRPr="00F82C8D">
        <w:rPr>
          <w:rFonts w:cs="Times New Roman"/>
          <w:szCs w:val="24"/>
        </w:rPr>
        <w:t>As such, the safeguard mechanism will include two approaches for developing baselines for new investments:</w:t>
      </w:r>
    </w:p>
    <w:p w:rsidR="00F44A00" w:rsidRPr="00F82C8D" w:rsidRDefault="00F44A00" w:rsidP="00464595">
      <w:pPr>
        <w:pStyle w:val="ListParagraph"/>
        <w:keepLines w:val="0"/>
        <w:numPr>
          <w:ilvl w:val="0"/>
          <w:numId w:val="18"/>
        </w:numPr>
        <w:tabs>
          <w:tab w:val="clear" w:pos="0"/>
        </w:tabs>
        <w:spacing w:before="0" w:after="240"/>
      </w:pPr>
      <w:r w:rsidRPr="00F82C8D">
        <w:rPr>
          <w:i/>
        </w:rPr>
        <w:t>Pre-2020</w:t>
      </w:r>
      <w:r w:rsidR="002C5A02" w:rsidRPr="00F82C8D">
        <w:t xml:space="preserve">: The calculated-emissions baseline approach </w:t>
      </w:r>
      <w:r w:rsidRPr="00F82C8D">
        <w:t xml:space="preserve">will apply to new investments that are covered </w:t>
      </w:r>
      <w:r w:rsidRPr="00F82C8D">
        <w:rPr>
          <w:i/>
        </w:rPr>
        <w:t>before</w:t>
      </w:r>
      <w:r w:rsidR="001B2098" w:rsidRPr="00F82C8D">
        <w:t xml:space="preserve"> 1 July 2020</w:t>
      </w:r>
    </w:p>
    <w:p w:rsidR="00F44A00" w:rsidRPr="00F82C8D" w:rsidRDefault="00F44A00" w:rsidP="00464595">
      <w:pPr>
        <w:pStyle w:val="ListParagraph"/>
        <w:keepLines w:val="0"/>
        <w:numPr>
          <w:ilvl w:val="0"/>
          <w:numId w:val="18"/>
        </w:numPr>
        <w:tabs>
          <w:tab w:val="clear" w:pos="0"/>
        </w:tabs>
        <w:spacing w:before="0" w:after="240"/>
      </w:pPr>
      <w:r w:rsidRPr="00F82C8D">
        <w:rPr>
          <w:i/>
        </w:rPr>
        <w:t>Post</w:t>
      </w:r>
      <w:r w:rsidRPr="00F82C8D">
        <w:rPr>
          <w:i/>
        </w:rPr>
        <w:noBreakHyphen/>
        <w:t>2020</w:t>
      </w:r>
      <w:r w:rsidR="002C5A02" w:rsidRPr="00F82C8D">
        <w:t xml:space="preserve">: The benchmark-emissions baseline </w:t>
      </w:r>
      <w:r w:rsidRPr="00F82C8D">
        <w:t xml:space="preserve">approach will apply to new investments that are covered </w:t>
      </w:r>
      <w:r w:rsidRPr="00F82C8D">
        <w:rPr>
          <w:i/>
        </w:rPr>
        <w:t>after</w:t>
      </w:r>
      <w:r w:rsidRPr="00F82C8D">
        <w:t xml:space="preserve"> 1 July 2020.</w:t>
      </w:r>
      <w:r w:rsidR="00394E74" w:rsidRPr="00F82C8D">
        <w:t xml:space="preserve"> </w:t>
      </w:r>
    </w:p>
    <w:p w:rsidR="00F44A00" w:rsidRPr="00F82C8D" w:rsidRDefault="00F44A00" w:rsidP="00F44A00">
      <w:pPr>
        <w:rPr>
          <w:rFonts w:cs="Times New Roman"/>
          <w:szCs w:val="24"/>
        </w:rPr>
      </w:pPr>
      <w:r w:rsidRPr="00F82C8D">
        <w:rPr>
          <w:rFonts w:cs="Times New Roman"/>
          <w:szCs w:val="24"/>
        </w:rPr>
        <w:t>Recently commissioned facilities that are already operational, but have insufficient data reported under the National Greenhouse and Energy Reporting Scheme to establish a historical baseline could choose to establish their baseline based on either:</w:t>
      </w:r>
    </w:p>
    <w:p w:rsidR="00F44A00" w:rsidRPr="00F82C8D" w:rsidRDefault="00F44A00" w:rsidP="00464595">
      <w:pPr>
        <w:pStyle w:val="ListParagraph"/>
        <w:keepLines w:val="0"/>
        <w:numPr>
          <w:ilvl w:val="0"/>
          <w:numId w:val="31"/>
        </w:numPr>
        <w:tabs>
          <w:tab w:val="clear" w:pos="0"/>
        </w:tabs>
        <w:spacing w:before="0" w:after="240"/>
      </w:pPr>
      <w:r w:rsidRPr="00F82C8D">
        <w:t xml:space="preserve">the </w:t>
      </w:r>
      <w:r w:rsidR="004243F8" w:rsidRPr="00F82C8D">
        <w:t xml:space="preserve">calculated-emissions baseline approach </w:t>
      </w:r>
      <w:r w:rsidRPr="00F82C8D">
        <w:t>for investmen</w:t>
      </w:r>
      <w:r w:rsidR="001B2098" w:rsidRPr="00F82C8D">
        <w:t>ts that are already underway</w:t>
      </w:r>
    </w:p>
    <w:p w:rsidR="00F44A00" w:rsidRPr="00F82C8D" w:rsidRDefault="00F44A00" w:rsidP="00464595">
      <w:pPr>
        <w:pStyle w:val="ListParagraph"/>
        <w:keepLines w:val="0"/>
        <w:numPr>
          <w:ilvl w:val="0"/>
          <w:numId w:val="31"/>
        </w:numPr>
        <w:tabs>
          <w:tab w:val="clear" w:pos="0"/>
        </w:tabs>
        <w:spacing w:before="0" w:after="240"/>
      </w:pPr>
      <w:r w:rsidRPr="00F82C8D">
        <w:t xml:space="preserve">the highest reported </w:t>
      </w:r>
      <w:r w:rsidR="00F02C24" w:rsidRPr="00F82C8D">
        <w:t xml:space="preserve">covered </w:t>
      </w:r>
      <w:r w:rsidRPr="00F82C8D">
        <w:t>emissions of the limited da</w:t>
      </w:r>
      <w:r w:rsidR="00F02C24" w:rsidRPr="00F82C8D">
        <w:t>ta set between 2009-10 and 2013</w:t>
      </w:r>
      <w:r w:rsidR="00F02C24" w:rsidRPr="00F82C8D">
        <w:noBreakHyphen/>
      </w:r>
      <w:r w:rsidRPr="00F82C8D">
        <w:t>14.</w:t>
      </w:r>
    </w:p>
    <w:p w:rsidR="00F44A00" w:rsidRPr="00F82C8D" w:rsidRDefault="00F44A00" w:rsidP="00F44A00">
      <w:pPr>
        <w:rPr>
          <w:rFonts w:cs="Times New Roman"/>
          <w:szCs w:val="24"/>
        </w:rPr>
      </w:pPr>
      <w:r w:rsidRPr="00F82C8D">
        <w:rPr>
          <w:rFonts w:cs="Times New Roman"/>
          <w:szCs w:val="24"/>
        </w:rPr>
        <w:t xml:space="preserve">However, facilities that have submitted three reports where </w:t>
      </w:r>
      <w:r w:rsidR="00F02C24" w:rsidRPr="00F82C8D">
        <w:rPr>
          <w:rFonts w:cs="Times New Roman"/>
          <w:szCs w:val="24"/>
        </w:rPr>
        <w:t xml:space="preserve">covered </w:t>
      </w:r>
      <w:r w:rsidRPr="00F82C8D">
        <w:rPr>
          <w:rFonts w:cs="Times New Roman"/>
          <w:szCs w:val="24"/>
        </w:rPr>
        <w:t xml:space="preserve">emissions are greater than </w:t>
      </w:r>
      <w:r w:rsidR="008C021E" w:rsidRPr="00F82C8D">
        <w:rPr>
          <w:rFonts w:cs="Times New Roman"/>
          <w:szCs w:val="24"/>
        </w:rPr>
        <w:t>100,000</w:t>
      </w:r>
      <w:r w:rsidRPr="00F82C8D">
        <w:rPr>
          <w:rFonts w:cs="Times New Roman"/>
          <w:szCs w:val="24"/>
        </w:rPr>
        <w:t> </w:t>
      </w:r>
      <w:r w:rsidR="007E4207" w:rsidRPr="00F82C8D">
        <w:rPr>
          <w:rFonts w:cs="Times New Roman"/>
          <w:szCs w:val="24"/>
        </w:rPr>
        <w:t>t</w:t>
      </w:r>
      <w:r w:rsidRPr="00F82C8D">
        <w:rPr>
          <w:rFonts w:cs="Times New Roman"/>
          <w:szCs w:val="24"/>
        </w:rPr>
        <w:t xml:space="preserve"> CO</w:t>
      </w:r>
      <w:r w:rsidRPr="00F82C8D">
        <w:rPr>
          <w:rFonts w:cs="Times New Roman"/>
          <w:szCs w:val="24"/>
          <w:vertAlign w:val="subscript"/>
        </w:rPr>
        <w:t>2</w:t>
      </w:r>
      <w:r w:rsidRPr="00F82C8D">
        <w:rPr>
          <w:rFonts w:cs="Times New Roman"/>
          <w:szCs w:val="24"/>
        </w:rPr>
        <w:t xml:space="preserve">-e </w:t>
      </w:r>
      <w:r w:rsidR="00C6214A" w:rsidRPr="00F82C8D">
        <w:rPr>
          <w:rFonts w:cs="Times New Roman"/>
          <w:szCs w:val="24"/>
        </w:rPr>
        <w:t xml:space="preserve">in the 2009-10 to 2013-14 period </w:t>
      </w:r>
      <w:r w:rsidRPr="00F82C8D">
        <w:rPr>
          <w:rFonts w:cs="Times New Roman"/>
          <w:szCs w:val="24"/>
        </w:rPr>
        <w:t>are likely to have completed their ramp-up phase. These facilities must use historical data as a basis for setting their</w:t>
      </w:r>
      <w:r w:rsidR="00916C72" w:rsidRPr="00F82C8D">
        <w:rPr>
          <w:rFonts w:cs="Times New Roman"/>
          <w:szCs w:val="24"/>
        </w:rPr>
        <w:t xml:space="preserve"> reported-emi</w:t>
      </w:r>
      <w:r w:rsidR="002C5A02" w:rsidRPr="00F82C8D">
        <w:rPr>
          <w:rFonts w:cs="Times New Roman"/>
          <w:szCs w:val="24"/>
        </w:rPr>
        <w:t>ssions</w:t>
      </w:r>
      <w:r w:rsidRPr="00F82C8D">
        <w:rPr>
          <w:rFonts w:cs="Times New Roman"/>
          <w:szCs w:val="24"/>
        </w:rPr>
        <w:t xml:space="preserve"> baseline.</w:t>
      </w:r>
    </w:p>
    <w:p w:rsidR="00F44A00" w:rsidRPr="00F82C8D" w:rsidRDefault="00F44A00" w:rsidP="00255407">
      <w:pPr>
        <w:pStyle w:val="Heading3"/>
      </w:pPr>
      <w:bookmarkStart w:id="37" w:name="_Toc425920467"/>
      <w:r w:rsidRPr="00F82C8D">
        <w:t xml:space="preserve">Pre-2020: </w:t>
      </w:r>
      <w:r w:rsidR="002C5A02" w:rsidRPr="00F82C8D">
        <w:t>Calculated-emissions</w:t>
      </w:r>
      <w:r w:rsidR="003F79BB" w:rsidRPr="00F82C8D">
        <w:t xml:space="preserve"> baseline</w:t>
      </w:r>
      <w:r w:rsidRPr="00F82C8D">
        <w:t xml:space="preserve"> approach</w:t>
      </w:r>
      <w:bookmarkEnd w:id="37"/>
      <w:r w:rsidRPr="00F82C8D">
        <w:t xml:space="preserve"> </w:t>
      </w:r>
    </w:p>
    <w:p w:rsidR="00F44A00" w:rsidRPr="00F82C8D" w:rsidRDefault="00F44A00" w:rsidP="00F44A00">
      <w:pPr>
        <w:rPr>
          <w:rFonts w:cs="Times New Roman"/>
          <w:szCs w:val="24"/>
        </w:rPr>
      </w:pPr>
      <w:r w:rsidRPr="00F82C8D">
        <w:rPr>
          <w:rFonts w:cs="Times New Roman"/>
          <w:szCs w:val="24"/>
        </w:rPr>
        <w:t>New facilities that have already taken their final investment decision, commenced construction or recently commenced operations may have little scope to change their design</w:t>
      </w:r>
      <w:r w:rsidR="004243F8" w:rsidRPr="00F82C8D">
        <w:rPr>
          <w:rFonts w:cs="Times New Roman"/>
          <w:szCs w:val="24"/>
        </w:rPr>
        <w:t xml:space="preserve"> and implementation</w:t>
      </w:r>
      <w:r w:rsidRPr="00F82C8D">
        <w:rPr>
          <w:rFonts w:cs="Times New Roman"/>
          <w:szCs w:val="24"/>
        </w:rPr>
        <w:t xml:space="preserve">. The </w:t>
      </w:r>
      <w:r w:rsidR="003F79BB" w:rsidRPr="00F82C8D">
        <w:rPr>
          <w:rFonts w:cs="Times New Roman"/>
          <w:szCs w:val="24"/>
        </w:rPr>
        <w:t xml:space="preserve">calculated-emissions baseline approach </w:t>
      </w:r>
      <w:r w:rsidRPr="00F82C8D">
        <w:rPr>
          <w:rFonts w:cs="Times New Roman"/>
          <w:szCs w:val="24"/>
        </w:rPr>
        <w:t xml:space="preserve">(referred to as </w:t>
      </w:r>
      <w:r w:rsidR="003F79BB" w:rsidRPr="00F82C8D">
        <w:rPr>
          <w:rFonts w:cs="Times New Roman"/>
          <w:szCs w:val="24"/>
        </w:rPr>
        <w:t>‘independent assessment’ approach during earlier consultation on the safeguard mechanism</w:t>
      </w:r>
      <w:r w:rsidRPr="00F82C8D">
        <w:rPr>
          <w:rFonts w:cs="Times New Roman"/>
          <w:szCs w:val="24"/>
        </w:rPr>
        <w:t xml:space="preserve">) will allow these facilities to establish a baseline that is more consistent with the treatment of existing facilities. Specifically, baselines for new investments that are in place before 2020 will be based on an audited emissions forecast provided by the facility operator. </w:t>
      </w:r>
    </w:p>
    <w:p w:rsidR="00F44A00" w:rsidRPr="00F82C8D" w:rsidRDefault="00F44A00" w:rsidP="00F44A00">
      <w:pPr>
        <w:rPr>
          <w:rFonts w:cs="Times New Roman"/>
          <w:szCs w:val="24"/>
        </w:rPr>
      </w:pPr>
      <w:r w:rsidRPr="00F82C8D">
        <w:rPr>
          <w:rFonts w:cs="Times New Roman"/>
          <w:szCs w:val="24"/>
        </w:rPr>
        <w:t>The emissions forecast will comprise a forecast of production and emissions-intensity in the year with the highest level of production over</w:t>
      </w:r>
      <w:r w:rsidR="00552B33" w:rsidRPr="00F82C8D">
        <w:rPr>
          <w:rFonts w:cs="Times New Roman"/>
          <w:szCs w:val="24"/>
        </w:rPr>
        <w:t xml:space="preserve"> the</w:t>
      </w:r>
      <w:r w:rsidRPr="00F82C8D">
        <w:rPr>
          <w:rFonts w:cs="Times New Roman"/>
          <w:szCs w:val="24"/>
        </w:rPr>
        <w:t xml:space="preserve"> first three years of operation </w:t>
      </w:r>
      <w:r w:rsidR="004243F8" w:rsidRPr="00F82C8D">
        <w:rPr>
          <w:rFonts w:cs="Times New Roman"/>
          <w:szCs w:val="24"/>
        </w:rPr>
        <w:t>from when the calculated-emissions baseline is requested to start</w:t>
      </w:r>
      <w:r w:rsidRPr="00F82C8D">
        <w:rPr>
          <w:rFonts w:cs="Times New Roman"/>
          <w:szCs w:val="24"/>
        </w:rPr>
        <w:t>.</w:t>
      </w:r>
      <w:r w:rsidR="00394E74" w:rsidRPr="00F82C8D">
        <w:rPr>
          <w:rFonts w:cs="Times New Roman"/>
          <w:szCs w:val="24"/>
        </w:rPr>
        <w:t xml:space="preserve"> </w:t>
      </w:r>
      <w:r w:rsidR="008C6D8D" w:rsidRPr="00F82C8D">
        <w:rPr>
          <w:rFonts w:cs="Times New Roman"/>
          <w:szCs w:val="24"/>
        </w:rPr>
        <w:t>This</w:t>
      </w:r>
      <w:r w:rsidRPr="00F82C8D">
        <w:rPr>
          <w:rFonts w:cs="Times New Roman"/>
          <w:szCs w:val="24"/>
        </w:rPr>
        <w:t xml:space="preserve"> forecast period</w:t>
      </w:r>
      <w:r w:rsidR="008C6D8D" w:rsidRPr="00F82C8D">
        <w:rPr>
          <w:rFonts w:cs="Times New Roman"/>
          <w:szCs w:val="24"/>
        </w:rPr>
        <w:t xml:space="preserve"> will be</w:t>
      </w:r>
      <w:r w:rsidRPr="00F82C8D">
        <w:rPr>
          <w:rFonts w:cs="Times New Roman"/>
          <w:szCs w:val="24"/>
        </w:rPr>
        <w:t xml:space="preserve"> after the facility reaches the </w:t>
      </w:r>
      <w:r w:rsidR="008C021E" w:rsidRPr="00F82C8D">
        <w:rPr>
          <w:rFonts w:cs="Times New Roman"/>
          <w:szCs w:val="24"/>
        </w:rPr>
        <w:t>designated large facility threshold</w:t>
      </w:r>
      <w:r w:rsidR="008C6D8D" w:rsidRPr="00F82C8D">
        <w:rPr>
          <w:rFonts w:cs="Times New Roman"/>
          <w:szCs w:val="24"/>
        </w:rPr>
        <w:t xml:space="preserve">, which </w:t>
      </w:r>
      <w:r w:rsidRPr="00F82C8D">
        <w:rPr>
          <w:rFonts w:cs="Times New Roman"/>
          <w:szCs w:val="24"/>
        </w:rPr>
        <w:t>will help to ensure that the ramp</w:t>
      </w:r>
      <w:r w:rsidRPr="00F82C8D">
        <w:rPr>
          <w:rFonts w:cs="Times New Roman"/>
          <w:szCs w:val="24"/>
        </w:rPr>
        <w:noBreakHyphen/>
        <w:t xml:space="preserve">up phase of production has passed and the facility is in, or near, steady-state operations. </w:t>
      </w:r>
    </w:p>
    <w:p w:rsidR="00F44A00" w:rsidRPr="00F82C8D" w:rsidRDefault="00F44A00" w:rsidP="00F44A00">
      <w:pPr>
        <w:rPr>
          <w:rFonts w:cs="Times New Roman"/>
          <w:szCs w:val="24"/>
        </w:rPr>
      </w:pPr>
      <w:r w:rsidRPr="00F82C8D">
        <w:rPr>
          <w:rFonts w:cs="Times New Roman"/>
          <w:szCs w:val="24"/>
        </w:rPr>
        <w:t>The emissions forecast period will be extended to five years for very large facilities,</w:t>
      </w:r>
      <w:r w:rsidR="003F79BB" w:rsidRPr="00F82C8D">
        <w:rPr>
          <w:rFonts w:cs="Times New Roman"/>
          <w:szCs w:val="24"/>
        </w:rPr>
        <w:t xml:space="preserve"> termed large new facilities,</w:t>
      </w:r>
      <w:r w:rsidRPr="00F82C8D">
        <w:rPr>
          <w:rFonts w:cs="Times New Roman"/>
          <w:szCs w:val="24"/>
        </w:rPr>
        <w:t xml:space="preserve"> as they may take longer to reach steady state operations. </w:t>
      </w:r>
      <w:r w:rsidR="003F79BB" w:rsidRPr="00F82C8D">
        <w:rPr>
          <w:rFonts w:cs="Times New Roman"/>
          <w:szCs w:val="24"/>
        </w:rPr>
        <w:t>L</w:t>
      </w:r>
      <w:r w:rsidRPr="00F82C8D">
        <w:rPr>
          <w:rFonts w:cs="Times New Roman"/>
          <w:szCs w:val="24"/>
        </w:rPr>
        <w:t xml:space="preserve">arge </w:t>
      </w:r>
      <w:r w:rsidR="003F79BB" w:rsidRPr="00F82C8D">
        <w:rPr>
          <w:rFonts w:cs="Times New Roman"/>
          <w:szCs w:val="24"/>
        </w:rPr>
        <w:t xml:space="preserve">new </w:t>
      </w:r>
      <w:r w:rsidRPr="00F82C8D">
        <w:rPr>
          <w:rFonts w:cs="Times New Roman"/>
          <w:szCs w:val="24"/>
        </w:rPr>
        <w:t>facilities are defined as facilities</w:t>
      </w:r>
      <w:r w:rsidR="00C6214A" w:rsidRPr="00F82C8D">
        <w:rPr>
          <w:rFonts w:cs="Times New Roman"/>
          <w:szCs w:val="24"/>
        </w:rPr>
        <w:t xml:space="preserve">, </w:t>
      </w:r>
      <w:r w:rsidR="00F8620C" w:rsidRPr="00F82C8D">
        <w:rPr>
          <w:rFonts w:cs="Times New Roman"/>
          <w:szCs w:val="24"/>
        </w:rPr>
        <w:t>which</w:t>
      </w:r>
      <w:r w:rsidR="00C6214A" w:rsidRPr="00F82C8D">
        <w:rPr>
          <w:rFonts w:cs="Times New Roman"/>
          <w:szCs w:val="24"/>
        </w:rPr>
        <w:t xml:space="preserve"> are not grid-connected electricity generators,</w:t>
      </w:r>
      <w:r w:rsidRPr="00F82C8D">
        <w:rPr>
          <w:rFonts w:cs="Times New Roman"/>
          <w:szCs w:val="24"/>
        </w:rPr>
        <w:t xml:space="preserve"> whose annual </w:t>
      </w:r>
      <w:r w:rsidR="008C6D8D" w:rsidRPr="00F82C8D">
        <w:rPr>
          <w:rFonts w:cs="Times New Roman"/>
          <w:szCs w:val="24"/>
        </w:rPr>
        <w:t xml:space="preserve">covered </w:t>
      </w:r>
      <w:r w:rsidRPr="00F82C8D">
        <w:rPr>
          <w:rFonts w:cs="Times New Roman"/>
          <w:szCs w:val="24"/>
        </w:rPr>
        <w:t>em</w:t>
      </w:r>
      <w:r w:rsidR="00F02C24" w:rsidRPr="00F82C8D">
        <w:rPr>
          <w:rFonts w:cs="Times New Roman"/>
          <w:szCs w:val="24"/>
        </w:rPr>
        <w:t>issions are expected to exceed two</w:t>
      </w:r>
      <w:r w:rsidR="00C6214A" w:rsidRPr="00F82C8D">
        <w:rPr>
          <w:rFonts w:cs="Times New Roman"/>
          <w:szCs w:val="24"/>
        </w:rPr>
        <w:t> million </w:t>
      </w:r>
      <w:r w:rsidR="007E4207" w:rsidRPr="00F82C8D">
        <w:rPr>
          <w:rFonts w:cs="Times New Roman"/>
          <w:szCs w:val="24"/>
        </w:rPr>
        <w:t>t</w:t>
      </w:r>
      <w:r w:rsidRPr="00F82C8D">
        <w:rPr>
          <w:rFonts w:cs="Times New Roman"/>
          <w:szCs w:val="24"/>
        </w:rPr>
        <w:t xml:space="preserve"> CO</w:t>
      </w:r>
      <w:r w:rsidRPr="00F82C8D">
        <w:rPr>
          <w:rFonts w:cs="Times New Roman"/>
          <w:szCs w:val="24"/>
          <w:vertAlign w:val="subscript"/>
        </w:rPr>
        <w:t>2</w:t>
      </w:r>
      <w:r w:rsidRPr="00F82C8D">
        <w:rPr>
          <w:rFonts w:cs="Times New Roman"/>
          <w:szCs w:val="24"/>
        </w:rPr>
        <w:t>-e with</w:t>
      </w:r>
      <w:r w:rsidR="00F02C24" w:rsidRPr="00F82C8D">
        <w:rPr>
          <w:rFonts w:cs="Times New Roman"/>
          <w:szCs w:val="24"/>
        </w:rPr>
        <w:t xml:space="preserve">in five years after the facility’s </w:t>
      </w:r>
      <w:r w:rsidR="008C6D8D" w:rsidRPr="00F82C8D">
        <w:rPr>
          <w:rFonts w:cs="Times New Roman"/>
          <w:szCs w:val="24"/>
        </w:rPr>
        <w:t xml:space="preserve">calculated-emissions baseline starts. </w:t>
      </w:r>
      <w:r w:rsidR="00F8620C" w:rsidRPr="00F82C8D">
        <w:rPr>
          <w:rFonts w:cs="Times New Roman"/>
          <w:szCs w:val="24"/>
        </w:rPr>
        <w:t>Grid-connected electricity generators reach steady state operation more quickly than other very large facilities.</w:t>
      </w:r>
    </w:p>
    <w:p w:rsidR="00F44A00" w:rsidRPr="00F82C8D" w:rsidRDefault="00F44A00" w:rsidP="00F44A00">
      <w:pPr>
        <w:rPr>
          <w:rFonts w:cs="Times New Roman"/>
          <w:szCs w:val="24"/>
        </w:rPr>
      </w:pPr>
      <w:r w:rsidRPr="00F82C8D">
        <w:rPr>
          <w:rFonts w:cs="Times New Roman"/>
          <w:szCs w:val="24"/>
        </w:rPr>
        <w:t xml:space="preserve">After the forecast period, the baseline </w:t>
      </w:r>
      <w:r w:rsidR="008C6D8D" w:rsidRPr="00F82C8D">
        <w:rPr>
          <w:rFonts w:cs="Times New Roman"/>
          <w:szCs w:val="24"/>
        </w:rPr>
        <w:t>expires</w:t>
      </w:r>
      <w:r w:rsidR="00BA5E8A" w:rsidRPr="00F82C8D">
        <w:rPr>
          <w:rFonts w:cs="Times New Roman"/>
          <w:szCs w:val="24"/>
        </w:rPr>
        <w:t>;</w:t>
      </w:r>
      <w:r w:rsidR="008C6D8D" w:rsidRPr="00F82C8D">
        <w:rPr>
          <w:rFonts w:cs="Times New Roman"/>
          <w:szCs w:val="24"/>
        </w:rPr>
        <w:t xml:space="preserve"> however</w:t>
      </w:r>
      <w:r w:rsidR="00BA5E8A" w:rsidRPr="00F82C8D">
        <w:rPr>
          <w:rFonts w:cs="Times New Roman"/>
          <w:szCs w:val="24"/>
        </w:rPr>
        <w:t>, a baseline</w:t>
      </w:r>
      <w:r w:rsidR="008C6D8D" w:rsidRPr="00F82C8D">
        <w:rPr>
          <w:rFonts w:cs="Times New Roman"/>
          <w:szCs w:val="24"/>
        </w:rPr>
        <w:t xml:space="preserve"> may</w:t>
      </w:r>
      <w:r w:rsidR="00BA5E8A" w:rsidRPr="00F82C8D">
        <w:rPr>
          <w:rFonts w:cs="Times New Roman"/>
          <w:szCs w:val="24"/>
        </w:rPr>
        <w:t xml:space="preserve"> be</w:t>
      </w:r>
      <w:r w:rsidR="008C6D8D" w:rsidRPr="00F82C8D">
        <w:rPr>
          <w:rFonts w:cs="Times New Roman"/>
          <w:szCs w:val="24"/>
        </w:rPr>
        <w:t xml:space="preserve"> </w:t>
      </w:r>
      <w:r w:rsidR="00BA5E8A" w:rsidRPr="00F82C8D">
        <w:rPr>
          <w:rFonts w:cs="Times New Roman"/>
          <w:szCs w:val="24"/>
        </w:rPr>
        <w:t xml:space="preserve">replaced according to </w:t>
      </w:r>
      <w:r w:rsidRPr="00F82C8D">
        <w:rPr>
          <w:rFonts w:cs="Times New Roman"/>
          <w:szCs w:val="24"/>
        </w:rPr>
        <w:t xml:space="preserve">actual performance (referred to as a </w:t>
      </w:r>
      <w:r w:rsidR="00F02C24" w:rsidRPr="00F82C8D">
        <w:rPr>
          <w:rFonts w:cs="Times New Roman"/>
          <w:i/>
          <w:szCs w:val="24"/>
        </w:rPr>
        <w:t>production-</w:t>
      </w:r>
      <w:r w:rsidRPr="00F82C8D">
        <w:rPr>
          <w:rFonts w:cs="Times New Roman"/>
          <w:i/>
          <w:szCs w:val="24"/>
        </w:rPr>
        <w:t>adjusted baseline</w:t>
      </w:r>
      <w:r w:rsidR="00F02C24" w:rsidRPr="00F82C8D">
        <w:rPr>
          <w:rFonts w:cs="Times New Roman"/>
          <w:i/>
          <w:szCs w:val="24"/>
        </w:rPr>
        <w:t xml:space="preserve"> determination</w:t>
      </w:r>
      <w:r w:rsidRPr="00F82C8D">
        <w:rPr>
          <w:rFonts w:cs="Times New Roman"/>
          <w:szCs w:val="24"/>
        </w:rPr>
        <w:t xml:space="preserve"> in the </w:t>
      </w:r>
      <w:r w:rsidR="00F02C24" w:rsidRPr="00F82C8D">
        <w:rPr>
          <w:rFonts w:cs="Times New Roman"/>
          <w:szCs w:val="24"/>
        </w:rPr>
        <w:t xml:space="preserve">safeguard </w:t>
      </w:r>
      <w:r w:rsidRPr="00F82C8D">
        <w:rPr>
          <w:rFonts w:cs="Times New Roman"/>
          <w:szCs w:val="24"/>
        </w:rPr>
        <w:t xml:space="preserve">rule). If the highest level of actual production over the relevant forecast period is different to the forecast, the baseline </w:t>
      </w:r>
      <w:r w:rsidR="008C6D8D" w:rsidRPr="00F82C8D">
        <w:rPr>
          <w:rFonts w:cs="Times New Roman"/>
          <w:szCs w:val="24"/>
        </w:rPr>
        <w:t>may</w:t>
      </w:r>
      <w:r w:rsidRPr="00F82C8D">
        <w:rPr>
          <w:rFonts w:cs="Times New Roman"/>
          <w:szCs w:val="24"/>
        </w:rPr>
        <w:t xml:space="preserve"> be adjusted accordingly. The true-up is based on production, not emissions, to help avoid a perverse incentive to increase emissions during the forecast period to gain a higher baseline.</w:t>
      </w:r>
    </w:p>
    <w:p w:rsidR="00F44A00" w:rsidRPr="00F82C8D" w:rsidRDefault="00F44A00" w:rsidP="00F44A00">
      <w:pPr>
        <w:rPr>
          <w:rFonts w:cs="Times New Roman"/>
          <w:szCs w:val="24"/>
        </w:rPr>
      </w:pPr>
      <w:r w:rsidRPr="00F82C8D">
        <w:rPr>
          <w:rFonts w:cs="Times New Roman"/>
          <w:szCs w:val="24"/>
        </w:rPr>
        <w:t>Applications to the Regulator must be accompanied by a report from a regi</w:t>
      </w:r>
      <w:r w:rsidR="00942D59" w:rsidRPr="00F82C8D">
        <w:rPr>
          <w:rFonts w:cs="Times New Roman"/>
          <w:szCs w:val="24"/>
        </w:rPr>
        <w:t>stered national greenhouse and e</w:t>
      </w:r>
      <w:r w:rsidRPr="00F82C8D">
        <w:rPr>
          <w:rFonts w:cs="Times New Roman"/>
          <w:szCs w:val="24"/>
        </w:rPr>
        <w:t xml:space="preserve">nergy </w:t>
      </w:r>
      <w:r w:rsidR="00F02C24" w:rsidRPr="00F82C8D">
        <w:rPr>
          <w:rFonts w:cs="Times New Roman"/>
          <w:szCs w:val="24"/>
        </w:rPr>
        <w:t xml:space="preserve">auditor </w:t>
      </w:r>
      <w:r w:rsidR="006352A0" w:rsidRPr="00F82C8D">
        <w:rPr>
          <w:rFonts w:cs="Times New Roman"/>
          <w:szCs w:val="24"/>
        </w:rPr>
        <w:t>assessing the</w:t>
      </w:r>
      <w:r w:rsidRPr="00F82C8D">
        <w:rPr>
          <w:rFonts w:cs="Times New Roman"/>
          <w:szCs w:val="24"/>
        </w:rPr>
        <w:t xml:space="preserve"> estimate</w:t>
      </w:r>
      <w:r w:rsidR="006352A0" w:rsidRPr="00F82C8D">
        <w:rPr>
          <w:rFonts w:cs="Times New Roman"/>
          <w:szCs w:val="24"/>
        </w:rPr>
        <w:t>s</w:t>
      </w:r>
      <w:r w:rsidRPr="00F82C8D">
        <w:rPr>
          <w:rFonts w:cs="Times New Roman"/>
          <w:szCs w:val="24"/>
        </w:rPr>
        <w:t>, to provide the highest possible level of independent assurance of the reliability, accuracy and completeness of the underlying assumptions.</w:t>
      </w:r>
    </w:p>
    <w:p w:rsidR="00F44A00" w:rsidRPr="00F82C8D" w:rsidRDefault="00F44A00" w:rsidP="00F44A00">
      <w:pPr>
        <w:rPr>
          <w:rFonts w:cs="Times New Roman"/>
          <w:szCs w:val="24"/>
        </w:rPr>
      </w:pPr>
      <w:r w:rsidRPr="00F82C8D">
        <w:rPr>
          <w:rFonts w:cs="Times New Roman"/>
          <w:szCs w:val="24"/>
        </w:rPr>
        <w:t>To further promote transparency, baseline applications must include a statement outlining how the operator intends to manage greenhouse gas emissions</w:t>
      </w:r>
      <w:r w:rsidR="00FD2DEE" w:rsidRPr="00F82C8D">
        <w:rPr>
          <w:rFonts w:cs="Times New Roman"/>
          <w:szCs w:val="24"/>
        </w:rPr>
        <w:t xml:space="preserve"> </w:t>
      </w:r>
      <w:r w:rsidR="0068725A" w:rsidRPr="00F82C8D">
        <w:rPr>
          <w:rFonts w:cs="Times New Roman"/>
          <w:szCs w:val="24"/>
        </w:rPr>
        <w:t>intensity</w:t>
      </w:r>
      <w:r w:rsidRPr="00F82C8D">
        <w:rPr>
          <w:rFonts w:cs="Times New Roman"/>
          <w:szCs w:val="24"/>
        </w:rPr>
        <w:t xml:space="preserve"> and energy use at the facility. Where the estimate differs from publicly available information about expected production levels and emissions performance, the application should justify these differences. </w:t>
      </w:r>
      <w:r w:rsidR="00844F85" w:rsidRPr="00F82C8D">
        <w:rPr>
          <w:rFonts w:cs="Times New Roman"/>
          <w:szCs w:val="24"/>
        </w:rPr>
        <w:t xml:space="preserve">The Regulator must be satisfied that the justification is reasonable before making the baseline determination. </w:t>
      </w:r>
      <w:r w:rsidRPr="00F82C8D">
        <w:rPr>
          <w:rFonts w:cs="Times New Roman"/>
          <w:szCs w:val="24"/>
        </w:rPr>
        <w:t xml:space="preserve">Publicly available information may include Environmental Impact Statements or corporate reports for new facilities, and current emissions intensity performance of the facility for significant expansions. </w:t>
      </w:r>
    </w:p>
    <w:p w:rsidR="00F44A00" w:rsidRPr="00F82C8D" w:rsidRDefault="00F44A00" w:rsidP="00F44A00">
      <w:pPr>
        <w:rPr>
          <w:rFonts w:cs="Times New Roman"/>
          <w:szCs w:val="24"/>
        </w:rPr>
      </w:pPr>
      <w:r w:rsidRPr="00F82C8D">
        <w:rPr>
          <w:rFonts w:cs="Times New Roman"/>
          <w:szCs w:val="24"/>
        </w:rPr>
        <w:t xml:space="preserve">Based on information provided by the facility operator and the </w:t>
      </w:r>
      <w:r w:rsidR="006352A0" w:rsidRPr="00F82C8D">
        <w:rPr>
          <w:rFonts w:cs="Times New Roman"/>
          <w:szCs w:val="24"/>
        </w:rPr>
        <w:t>auditor</w:t>
      </w:r>
      <w:r w:rsidRPr="00F82C8D">
        <w:rPr>
          <w:rFonts w:cs="Times New Roman"/>
          <w:szCs w:val="24"/>
        </w:rPr>
        <w:t xml:space="preserve">, the Regulator </w:t>
      </w:r>
      <w:r w:rsidR="00825373" w:rsidRPr="00F82C8D">
        <w:rPr>
          <w:rFonts w:cs="Times New Roman"/>
          <w:szCs w:val="24"/>
        </w:rPr>
        <w:t>may</w:t>
      </w:r>
      <w:r w:rsidRPr="00F82C8D">
        <w:rPr>
          <w:rFonts w:cs="Times New Roman"/>
          <w:szCs w:val="24"/>
        </w:rPr>
        <w:t xml:space="preserve"> set the baseline in accordance with the legislative rules</w:t>
      </w:r>
      <w:r w:rsidR="00844F85" w:rsidRPr="00F82C8D">
        <w:rPr>
          <w:rFonts w:cs="Times New Roman"/>
          <w:szCs w:val="24"/>
        </w:rPr>
        <w:t>.</w:t>
      </w:r>
    </w:p>
    <w:p w:rsidR="00F44A00" w:rsidRPr="00F82C8D" w:rsidRDefault="00F44A00" w:rsidP="00255407">
      <w:pPr>
        <w:pStyle w:val="Heading3"/>
      </w:pPr>
      <w:bookmarkStart w:id="38" w:name="_Toc425920468"/>
      <w:r w:rsidRPr="00F82C8D">
        <w:t xml:space="preserve">Post-2020: </w:t>
      </w:r>
      <w:bookmarkEnd w:id="38"/>
      <w:r w:rsidR="001E1318" w:rsidRPr="00F82C8D">
        <w:t>Benchmark-emissions baseline approach</w:t>
      </w:r>
    </w:p>
    <w:p w:rsidR="00F44A00" w:rsidRPr="00F82C8D" w:rsidRDefault="00F44A00" w:rsidP="00F44A00">
      <w:pPr>
        <w:rPr>
          <w:rFonts w:cs="Times New Roman"/>
          <w:szCs w:val="24"/>
        </w:rPr>
      </w:pPr>
      <w:r w:rsidRPr="00F82C8D">
        <w:rPr>
          <w:rFonts w:cs="Times New Roman"/>
          <w:szCs w:val="24"/>
        </w:rPr>
        <w:t xml:space="preserve">New investments that have not yet taken a final investment decision will be encouraged to perform at best practice. Best practice will be defined in a way that compares the relative performance of industry peers. Existing industry data will be used as a basis for developing </w:t>
      </w:r>
      <w:r w:rsidR="00255407" w:rsidRPr="00F82C8D">
        <w:rPr>
          <w:rFonts w:cs="Times New Roman"/>
          <w:szCs w:val="24"/>
        </w:rPr>
        <w:t xml:space="preserve">benchmark </w:t>
      </w:r>
      <w:r w:rsidR="00E16219" w:rsidRPr="00F82C8D">
        <w:rPr>
          <w:rFonts w:cs="Times New Roman"/>
          <w:szCs w:val="24"/>
        </w:rPr>
        <w:t xml:space="preserve">emissions </w:t>
      </w:r>
      <w:r w:rsidR="00255407" w:rsidRPr="00F82C8D">
        <w:rPr>
          <w:rFonts w:cs="Times New Roman"/>
          <w:szCs w:val="24"/>
        </w:rPr>
        <w:t>intensities</w:t>
      </w:r>
      <w:r w:rsidR="001E1318" w:rsidRPr="00F82C8D">
        <w:rPr>
          <w:rFonts w:cs="Times New Roman"/>
          <w:szCs w:val="24"/>
        </w:rPr>
        <w:t xml:space="preserve"> that are representative of best practice</w:t>
      </w:r>
      <w:r w:rsidRPr="00F82C8D">
        <w:rPr>
          <w:rFonts w:cs="Times New Roman"/>
          <w:szCs w:val="24"/>
        </w:rPr>
        <w:t>. Where data is limited or not adequately representative—such as for small industries or industries that are new to Australia—international data or independent technical advice will help to define best practice.</w:t>
      </w:r>
    </w:p>
    <w:p w:rsidR="00807424" w:rsidRDefault="00807424" w:rsidP="00807424">
      <w:r>
        <w:t>The Department of the Environment will commence work on the development of these benchmark emissions intensities immediately following the making of the safeguard rule.  The first tranche of benchmarks will be made by 31 December 2016.</w:t>
      </w:r>
    </w:p>
    <w:p w:rsidR="00F44A00" w:rsidRPr="00F82C8D" w:rsidRDefault="00F44A00" w:rsidP="003C5589">
      <w:pPr>
        <w:keepNext/>
        <w:rPr>
          <w:rStyle w:val="SubtleEmphasis"/>
          <w:rFonts w:cs="Times New Roman"/>
          <w:szCs w:val="24"/>
        </w:rPr>
      </w:pPr>
      <w:r w:rsidRPr="00F82C8D">
        <w:rPr>
          <w:rStyle w:val="SubtleEmphasis"/>
          <w:rFonts w:cs="Times New Roman"/>
          <w:szCs w:val="24"/>
        </w:rPr>
        <w:t xml:space="preserve">How will the </w:t>
      </w:r>
      <w:r w:rsidR="001E1318" w:rsidRPr="00F82C8D">
        <w:rPr>
          <w:rStyle w:val="SubtleEmphasis"/>
          <w:rFonts w:cs="Times New Roman"/>
          <w:szCs w:val="24"/>
        </w:rPr>
        <w:t xml:space="preserve">benchmark-emissions </w:t>
      </w:r>
      <w:r w:rsidRPr="00F82C8D">
        <w:rPr>
          <w:rStyle w:val="SubtleEmphasis"/>
          <w:rFonts w:cs="Times New Roman"/>
          <w:szCs w:val="24"/>
        </w:rPr>
        <w:t>baseline be calculated?</w:t>
      </w:r>
    </w:p>
    <w:p w:rsidR="00F44A00" w:rsidRPr="00F82C8D" w:rsidRDefault="00F44A00" w:rsidP="00F44A00">
      <w:pPr>
        <w:rPr>
          <w:rFonts w:cs="Times New Roman"/>
          <w:szCs w:val="24"/>
        </w:rPr>
      </w:pPr>
      <w:bookmarkStart w:id="39" w:name="_Toc396821503"/>
      <w:r w:rsidRPr="00F82C8D">
        <w:rPr>
          <w:rFonts w:cs="Times New Roman"/>
          <w:szCs w:val="24"/>
        </w:rPr>
        <w:t xml:space="preserve">Under the benchmark approach, the facility baseline will equal the aggregate of the baselines for each relevant </w:t>
      </w:r>
      <w:r w:rsidR="00C62A92" w:rsidRPr="00F82C8D">
        <w:rPr>
          <w:rFonts w:cs="Times New Roman"/>
          <w:szCs w:val="24"/>
        </w:rPr>
        <w:t>production variable</w:t>
      </w:r>
      <w:r w:rsidRPr="00F82C8D">
        <w:rPr>
          <w:rFonts w:cs="Times New Roman"/>
          <w:szCs w:val="24"/>
        </w:rPr>
        <w:t xml:space="preserve"> at the facility. The baseline for each </w:t>
      </w:r>
      <w:r w:rsidR="00C62A92" w:rsidRPr="00F82C8D">
        <w:rPr>
          <w:rFonts w:cs="Times New Roman"/>
          <w:szCs w:val="24"/>
        </w:rPr>
        <w:t>production variable</w:t>
      </w:r>
      <w:r w:rsidRPr="00F82C8D">
        <w:rPr>
          <w:rFonts w:cs="Times New Roman"/>
          <w:szCs w:val="24"/>
        </w:rPr>
        <w:t xml:space="preserve"> will be calculated as:</w:t>
      </w:r>
    </w:p>
    <w:tbl>
      <w:tblPr>
        <w:tblStyle w:val="TableGrid"/>
        <w:tblW w:w="6732"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6"/>
        <w:gridCol w:w="422"/>
        <w:gridCol w:w="2405"/>
        <w:gridCol w:w="523"/>
        <w:gridCol w:w="1256"/>
      </w:tblGrid>
      <w:tr w:rsidR="001E1318" w:rsidRPr="00F82C8D" w:rsidTr="00C62A92">
        <w:tc>
          <w:tcPr>
            <w:tcW w:w="2126" w:type="dxa"/>
            <w:vAlign w:val="center"/>
          </w:tcPr>
          <w:p w:rsidR="00F44A00" w:rsidRPr="00F82C8D" w:rsidRDefault="00F44A00" w:rsidP="00C62A92">
            <w:pPr>
              <w:rPr>
                <w:rFonts w:cs="Times New Roman"/>
                <w:szCs w:val="24"/>
              </w:rPr>
            </w:pPr>
            <w:r w:rsidRPr="00F82C8D">
              <w:rPr>
                <w:rFonts w:cs="Times New Roman"/>
                <w:szCs w:val="24"/>
              </w:rPr>
              <w:t xml:space="preserve">Baseline for each relevant </w:t>
            </w:r>
            <w:r w:rsidR="00C62A92" w:rsidRPr="00F82C8D">
              <w:rPr>
                <w:rFonts w:cs="Times New Roman"/>
                <w:szCs w:val="24"/>
              </w:rPr>
              <w:t>production variable</w:t>
            </w:r>
          </w:p>
        </w:tc>
        <w:tc>
          <w:tcPr>
            <w:tcW w:w="422" w:type="dxa"/>
            <w:vAlign w:val="center"/>
          </w:tcPr>
          <w:p w:rsidR="00F44A00" w:rsidRPr="00F82C8D" w:rsidRDefault="00F44A00" w:rsidP="00F44A00">
            <w:pPr>
              <w:rPr>
                <w:rFonts w:ascii="Arial" w:hAnsi="Arial" w:cs="Arial"/>
                <w:szCs w:val="24"/>
              </w:rPr>
            </w:pPr>
            <w:r w:rsidRPr="00F82C8D">
              <w:rPr>
                <w:rFonts w:ascii="Arial" w:hAnsi="Arial" w:cs="Arial"/>
                <w:szCs w:val="24"/>
              </w:rPr>
              <w:t>=</w:t>
            </w:r>
          </w:p>
        </w:tc>
        <w:tc>
          <w:tcPr>
            <w:tcW w:w="2405" w:type="dxa"/>
            <w:vAlign w:val="center"/>
          </w:tcPr>
          <w:p w:rsidR="00F44A00" w:rsidRPr="00F82C8D" w:rsidRDefault="001E1318" w:rsidP="001E1318">
            <w:pPr>
              <w:rPr>
                <w:rFonts w:cs="Times New Roman"/>
                <w:szCs w:val="24"/>
              </w:rPr>
            </w:pPr>
            <w:r w:rsidRPr="00F82C8D">
              <w:rPr>
                <w:rFonts w:cs="Times New Roman"/>
                <w:szCs w:val="24"/>
              </w:rPr>
              <w:t>Benchmark e</w:t>
            </w:r>
            <w:r w:rsidR="00F44A00" w:rsidRPr="00F82C8D">
              <w:rPr>
                <w:rFonts w:cs="Times New Roman"/>
                <w:szCs w:val="24"/>
              </w:rPr>
              <w:t xml:space="preserve">missions intensity of production </w:t>
            </w:r>
          </w:p>
        </w:tc>
        <w:tc>
          <w:tcPr>
            <w:tcW w:w="523" w:type="dxa"/>
            <w:vAlign w:val="center"/>
          </w:tcPr>
          <w:p w:rsidR="00F44A00" w:rsidRPr="00F82C8D" w:rsidRDefault="00F44A00" w:rsidP="00F44A00">
            <w:pPr>
              <w:rPr>
                <w:rFonts w:ascii="Arial" w:hAnsi="Arial" w:cs="Arial"/>
                <w:szCs w:val="24"/>
              </w:rPr>
            </w:pPr>
            <w:r w:rsidRPr="00F82C8D">
              <w:rPr>
                <w:rFonts w:ascii="Arial" w:hAnsi="Arial" w:cs="Arial"/>
                <w:szCs w:val="24"/>
              </w:rPr>
              <w:t>x</w:t>
            </w:r>
          </w:p>
        </w:tc>
        <w:tc>
          <w:tcPr>
            <w:tcW w:w="1256" w:type="dxa"/>
            <w:vAlign w:val="center"/>
          </w:tcPr>
          <w:p w:rsidR="00F44A00" w:rsidRPr="00F82C8D" w:rsidRDefault="001E1318" w:rsidP="00F44A00">
            <w:pPr>
              <w:rPr>
                <w:rFonts w:cs="Times New Roman"/>
                <w:szCs w:val="24"/>
              </w:rPr>
            </w:pPr>
            <w:r w:rsidRPr="00F82C8D">
              <w:rPr>
                <w:rFonts w:cs="Times New Roman"/>
                <w:szCs w:val="24"/>
              </w:rPr>
              <w:t xml:space="preserve">Estimated level of </w:t>
            </w:r>
            <w:r w:rsidR="00F44A00" w:rsidRPr="00F82C8D">
              <w:rPr>
                <w:rFonts w:cs="Times New Roman"/>
                <w:szCs w:val="24"/>
              </w:rPr>
              <w:t>production</w:t>
            </w:r>
          </w:p>
        </w:tc>
      </w:tr>
    </w:tbl>
    <w:p w:rsidR="00F44A00" w:rsidRPr="00F82C8D" w:rsidRDefault="006352A0" w:rsidP="00F44A00">
      <w:pPr>
        <w:rPr>
          <w:rFonts w:cs="Times New Roman"/>
          <w:szCs w:val="24"/>
        </w:rPr>
      </w:pPr>
      <w:r w:rsidRPr="00F82C8D">
        <w:rPr>
          <w:rFonts w:cs="Times New Roman"/>
          <w:szCs w:val="24"/>
        </w:rPr>
        <w:t>T</w:t>
      </w:r>
      <w:r w:rsidR="00F44A00" w:rsidRPr="00F82C8D">
        <w:rPr>
          <w:rFonts w:cs="Times New Roman"/>
          <w:szCs w:val="24"/>
        </w:rPr>
        <w:t xml:space="preserve">he </w:t>
      </w:r>
      <w:r w:rsidR="001E1318" w:rsidRPr="00F82C8D">
        <w:rPr>
          <w:rFonts w:cs="Times New Roman"/>
          <w:szCs w:val="24"/>
        </w:rPr>
        <w:t xml:space="preserve">benchmark-emissions </w:t>
      </w:r>
      <w:r w:rsidR="00F44A00" w:rsidRPr="00F82C8D">
        <w:rPr>
          <w:rFonts w:cs="Times New Roman"/>
          <w:szCs w:val="24"/>
        </w:rPr>
        <w:t xml:space="preserve">baseline will be calculated using the highest </w:t>
      </w:r>
      <w:r w:rsidR="00EE6E59" w:rsidRPr="00F82C8D">
        <w:rPr>
          <w:rFonts w:cs="Times New Roman"/>
          <w:szCs w:val="24"/>
        </w:rPr>
        <w:t xml:space="preserve">annual </w:t>
      </w:r>
      <w:r w:rsidR="00F44A00" w:rsidRPr="00F82C8D">
        <w:rPr>
          <w:rFonts w:cs="Times New Roman"/>
          <w:szCs w:val="24"/>
        </w:rPr>
        <w:t xml:space="preserve">expected production </w:t>
      </w:r>
      <w:r w:rsidR="00EE6E59" w:rsidRPr="00F82C8D">
        <w:rPr>
          <w:rFonts w:cs="Times New Roman"/>
          <w:szCs w:val="24"/>
        </w:rPr>
        <w:t>over</w:t>
      </w:r>
      <w:r w:rsidR="00F44A00" w:rsidRPr="00F82C8D">
        <w:rPr>
          <w:rFonts w:cs="Times New Roman"/>
          <w:szCs w:val="24"/>
        </w:rPr>
        <w:t xml:space="preserve"> the first three years of operation above </w:t>
      </w:r>
      <w:r w:rsidR="008C021E" w:rsidRPr="00F82C8D">
        <w:rPr>
          <w:rFonts w:cs="Times New Roman"/>
          <w:szCs w:val="24"/>
        </w:rPr>
        <w:t>100,000</w:t>
      </w:r>
      <w:r w:rsidR="00F44A00" w:rsidRPr="00F82C8D">
        <w:rPr>
          <w:rFonts w:cs="Times New Roman"/>
          <w:szCs w:val="24"/>
        </w:rPr>
        <w:t> </w:t>
      </w:r>
      <w:r w:rsidR="007E4207" w:rsidRPr="00F82C8D">
        <w:rPr>
          <w:rFonts w:cs="Times New Roman"/>
          <w:szCs w:val="24"/>
        </w:rPr>
        <w:t>t</w:t>
      </w:r>
      <w:r w:rsidR="00F44A00" w:rsidRPr="00F82C8D">
        <w:rPr>
          <w:rFonts w:cs="Times New Roman"/>
          <w:szCs w:val="24"/>
        </w:rPr>
        <w:t xml:space="preserve"> CO</w:t>
      </w:r>
      <w:r w:rsidR="00F44A00" w:rsidRPr="00F82C8D">
        <w:rPr>
          <w:rFonts w:cs="Times New Roman"/>
          <w:szCs w:val="24"/>
          <w:vertAlign w:val="subscript"/>
        </w:rPr>
        <w:t>2</w:t>
      </w:r>
      <w:r w:rsidR="001E1318" w:rsidRPr="00F82C8D">
        <w:rPr>
          <w:rFonts w:cs="Times New Roman"/>
          <w:szCs w:val="24"/>
        </w:rPr>
        <w:t xml:space="preserve">-e. </w:t>
      </w:r>
      <w:r w:rsidR="009D6A8E" w:rsidRPr="00F82C8D">
        <w:rPr>
          <w:rFonts w:cs="Times New Roman"/>
          <w:szCs w:val="24"/>
        </w:rPr>
        <w:t xml:space="preserve">After three years, baselines will </w:t>
      </w:r>
      <w:r w:rsidRPr="00F82C8D">
        <w:rPr>
          <w:rFonts w:cs="Times New Roman"/>
          <w:szCs w:val="24"/>
        </w:rPr>
        <w:t xml:space="preserve">expire and may </w:t>
      </w:r>
      <w:r w:rsidR="009D6A8E" w:rsidRPr="00F82C8D">
        <w:rPr>
          <w:rFonts w:cs="Times New Roman"/>
          <w:szCs w:val="24"/>
        </w:rPr>
        <w:t>be permanently adjusted to reflect the highest actual</w:t>
      </w:r>
      <w:r w:rsidR="00EE6E59" w:rsidRPr="00F82C8D">
        <w:rPr>
          <w:rFonts w:cs="Times New Roman"/>
          <w:szCs w:val="24"/>
        </w:rPr>
        <w:t xml:space="preserve"> annual</w:t>
      </w:r>
      <w:r w:rsidR="009D6A8E" w:rsidRPr="00F82C8D">
        <w:rPr>
          <w:rFonts w:cs="Times New Roman"/>
          <w:szCs w:val="24"/>
        </w:rPr>
        <w:t xml:space="preserve"> production over that period (referred to as a </w:t>
      </w:r>
      <w:r w:rsidR="009D6A8E" w:rsidRPr="00F82C8D">
        <w:rPr>
          <w:rFonts w:cs="Times New Roman"/>
          <w:i/>
          <w:szCs w:val="24"/>
        </w:rPr>
        <w:t>production-adjusted baseline determination</w:t>
      </w:r>
      <w:r w:rsidR="009D6A8E" w:rsidRPr="00F82C8D">
        <w:rPr>
          <w:rFonts w:cs="Times New Roman"/>
          <w:szCs w:val="24"/>
        </w:rPr>
        <w:t xml:space="preserve"> in the </w:t>
      </w:r>
      <w:r w:rsidR="00222BD7" w:rsidRPr="00F82C8D">
        <w:rPr>
          <w:rFonts w:cs="Times New Roman"/>
          <w:szCs w:val="24"/>
        </w:rPr>
        <w:t>safeguard rule</w:t>
      </w:r>
      <w:r w:rsidR="009D6A8E" w:rsidRPr="00F82C8D">
        <w:rPr>
          <w:rFonts w:cs="Times New Roman"/>
          <w:szCs w:val="24"/>
        </w:rPr>
        <w:t xml:space="preserve">). </w:t>
      </w:r>
    </w:p>
    <w:p w:rsidR="00F44A00" w:rsidRPr="00F82C8D" w:rsidRDefault="00F44A00" w:rsidP="00F44A00">
      <w:pPr>
        <w:rPr>
          <w:rFonts w:cs="Times New Roman"/>
          <w:szCs w:val="24"/>
        </w:rPr>
      </w:pPr>
      <w:r w:rsidRPr="00F82C8D">
        <w:rPr>
          <w:rFonts w:cs="Times New Roman"/>
          <w:szCs w:val="24"/>
        </w:rPr>
        <w:t>Consistent with the treatment of large</w:t>
      </w:r>
      <w:r w:rsidR="00222BD7" w:rsidRPr="00F82C8D">
        <w:rPr>
          <w:rFonts w:cs="Times New Roman"/>
          <w:szCs w:val="24"/>
        </w:rPr>
        <w:t xml:space="preserve"> new</w:t>
      </w:r>
      <w:r w:rsidRPr="00F82C8D">
        <w:rPr>
          <w:rFonts w:cs="Times New Roman"/>
          <w:szCs w:val="24"/>
        </w:rPr>
        <w:t xml:space="preserve"> fa</w:t>
      </w:r>
      <w:r w:rsidR="00222BD7" w:rsidRPr="00F82C8D">
        <w:rPr>
          <w:rFonts w:cs="Times New Roman"/>
          <w:szCs w:val="24"/>
        </w:rPr>
        <w:t xml:space="preserve">cilities under the calculated-emissions baseline </w:t>
      </w:r>
      <w:r w:rsidRPr="00F82C8D">
        <w:rPr>
          <w:rFonts w:cs="Times New Roman"/>
          <w:szCs w:val="24"/>
        </w:rPr>
        <w:t>approach, the production forecast period will be extended to five years for very large facilities</w:t>
      </w:r>
      <w:r w:rsidR="00C2222F" w:rsidRPr="00F82C8D">
        <w:rPr>
          <w:rFonts w:cs="Times New Roman"/>
          <w:szCs w:val="24"/>
        </w:rPr>
        <w:t xml:space="preserve">, which are not grid-connected electricity generators, </w:t>
      </w:r>
      <w:r w:rsidRPr="00F82C8D">
        <w:rPr>
          <w:rFonts w:cs="Times New Roman"/>
          <w:szCs w:val="24"/>
        </w:rPr>
        <w:t>whose annual</w:t>
      </w:r>
      <w:r w:rsidR="00222BD7" w:rsidRPr="00F82C8D">
        <w:rPr>
          <w:rFonts w:cs="Times New Roman"/>
          <w:szCs w:val="24"/>
        </w:rPr>
        <w:t xml:space="preserve"> covered</w:t>
      </w:r>
      <w:r w:rsidRPr="00F82C8D">
        <w:rPr>
          <w:rFonts w:cs="Times New Roman"/>
          <w:szCs w:val="24"/>
        </w:rPr>
        <w:t xml:space="preserve"> em</w:t>
      </w:r>
      <w:r w:rsidR="00255407" w:rsidRPr="00F82C8D">
        <w:rPr>
          <w:rFonts w:cs="Times New Roman"/>
          <w:szCs w:val="24"/>
        </w:rPr>
        <w:t>issions are expected to exceed two</w:t>
      </w:r>
      <w:r w:rsidRPr="00F82C8D">
        <w:rPr>
          <w:rFonts w:cs="Times New Roman"/>
          <w:szCs w:val="24"/>
        </w:rPr>
        <w:t xml:space="preserve"> million </w:t>
      </w:r>
      <w:r w:rsidR="007E4207" w:rsidRPr="00F82C8D">
        <w:rPr>
          <w:rFonts w:cs="Times New Roman"/>
          <w:szCs w:val="24"/>
        </w:rPr>
        <w:t>t</w:t>
      </w:r>
      <w:r w:rsidRPr="00F82C8D">
        <w:rPr>
          <w:rFonts w:cs="Times New Roman"/>
          <w:szCs w:val="24"/>
        </w:rPr>
        <w:t xml:space="preserve"> CO</w:t>
      </w:r>
      <w:r w:rsidRPr="00F82C8D">
        <w:rPr>
          <w:rFonts w:cs="Times New Roman"/>
          <w:szCs w:val="24"/>
          <w:vertAlign w:val="subscript"/>
        </w:rPr>
        <w:t>2</w:t>
      </w:r>
      <w:r w:rsidRPr="00F82C8D">
        <w:rPr>
          <w:rFonts w:cs="Times New Roman"/>
          <w:szCs w:val="24"/>
        </w:rPr>
        <w:t>-e during the forecast period.</w:t>
      </w:r>
    </w:p>
    <w:p w:rsidR="00F44A00" w:rsidRPr="00F82C8D" w:rsidRDefault="00F44A00" w:rsidP="00255407">
      <w:pPr>
        <w:pStyle w:val="Heading2"/>
      </w:pPr>
      <w:bookmarkStart w:id="40" w:name="_Toc425920469"/>
      <w:bookmarkStart w:id="41" w:name="_Toc431975837"/>
      <w:bookmarkEnd w:id="39"/>
      <w:r w:rsidRPr="00F82C8D">
        <w:t>Emissions management</w:t>
      </w:r>
      <w:bookmarkEnd w:id="40"/>
      <w:bookmarkEnd w:id="41"/>
    </w:p>
    <w:p w:rsidR="00F44A00" w:rsidRPr="00F82C8D" w:rsidRDefault="00F44A00" w:rsidP="00F44A00">
      <w:pPr>
        <w:rPr>
          <w:rFonts w:cs="Times New Roman"/>
          <w:szCs w:val="24"/>
        </w:rPr>
      </w:pPr>
      <w:r w:rsidRPr="00F82C8D">
        <w:rPr>
          <w:rFonts w:cs="Times New Roman"/>
          <w:szCs w:val="24"/>
        </w:rPr>
        <w:t>The safeguard mechanism includes an emissions management framework that gives businesses a range of options for meeting safeguard obligations, including:</w:t>
      </w:r>
    </w:p>
    <w:p w:rsidR="00F44A00" w:rsidRPr="00F82C8D" w:rsidRDefault="00F44A00" w:rsidP="006A2BF9">
      <w:pPr>
        <w:pStyle w:val="ListParagraph"/>
        <w:numPr>
          <w:ilvl w:val="1"/>
          <w:numId w:val="41"/>
        </w:numPr>
        <w:ind w:left="720"/>
      </w:pPr>
      <w:r w:rsidRPr="00F82C8D">
        <w:t>Offsets: a ‘net emissions’ approach will allow businesses to use</w:t>
      </w:r>
      <w:r w:rsidR="00280EB4" w:rsidRPr="00F82C8D">
        <w:t xml:space="preserve"> </w:t>
      </w:r>
      <w:r w:rsidR="00D37CAA" w:rsidRPr="00F82C8D">
        <w:t xml:space="preserve">ACCUs </w:t>
      </w:r>
      <w:r w:rsidR="001B2098" w:rsidRPr="00F82C8D">
        <w:t>to offset emissions</w:t>
      </w:r>
    </w:p>
    <w:p w:rsidR="00F44A00" w:rsidRPr="00F82C8D" w:rsidRDefault="00F44A00" w:rsidP="006A2BF9">
      <w:pPr>
        <w:pStyle w:val="ListParagraph"/>
        <w:numPr>
          <w:ilvl w:val="1"/>
          <w:numId w:val="41"/>
        </w:numPr>
        <w:ind w:left="720"/>
      </w:pPr>
      <w:r w:rsidRPr="00F82C8D">
        <w:t>Multi</w:t>
      </w:r>
      <w:r w:rsidRPr="00F82C8D">
        <w:noBreakHyphen/>
        <w:t>year monitoring: allowing a business to exceed its baseline in one year, so long as average emissions over two or</w:t>
      </w:r>
      <w:r w:rsidR="001B2098" w:rsidRPr="00F82C8D">
        <w:t xml:space="preserve"> three years are below baseline</w:t>
      </w:r>
    </w:p>
    <w:p w:rsidR="00F44A00" w:rsidRPr="00F82C8D" w:rsidRDefault="00F44A00" w:rsidP="006A2BF9">
      <w:pPr>
        <w:pStyle w:val="ListParagraph"/>
        <w:numPr>
          <w:ilvl w:val="1"/>
          <w:numId w:val="41"/>
        </w:numPr>
        <w:ind w:left="720"/>
      </w:pPr>
      <w:r w:rsidRPr="00F82C8D">
        <w:t xml:space="preserve">Exceptional circumstances: an exemption for facilities whose emissions are the result of exceptional circumstances, </w:t>
      </w:r>
      <w:r w:rsidR="001B2098" w:rsidRPr="00F82C8D">
        <w:t>such as a natural disaster</w:t>
      </w:r>
    </w:p>
    <w:p w:rsidR="00F44A00" w:rsidRPr="00F82C8D" w:rsidRDefault="00F44A00" w:rsidP="006A2BF9">
      <w:pPr>
        <w:pStyle w:val="ListParagraph"/>
        <w:numPr>
          <w:ilvl w:val="1"/>
          <w:numId w:val="41"/>
        </w:numPr>
        <w:ind w:left="720"/>
      </w:pPr>
      <w:r w:rsidRPr="00F82C8D">
        <w:t>Enforcement options: a range of discretionary, graduated enforcement options to deter non</w:t>
      </w:r>
      <w:r w:rsidRPr="00F82C8D">
        <w:noBreakHyphen/>
        <w:t xml:space="preserve">compliance. </w:t>
      </w:r>
    </w:p>
    <w:p w:rsidR="00F44A00" w:rsidRPr="00F82C8D" w:rsidRDefault="00F44A00" w:rsidP="00255407">
      <w:pPr>
        <w:pStyle w:val="Heading3"/>
      </w:pPr>
      <w:bookmarkStart w:id="42" w:name="_Toc425920470"/>
      <w:r w:rsidRPr="00F82C8D">
        <w:t>Net emissions and carbon offsets</w:t>
      </w:r>
      <w:bookmarkEnd w:id="42"/>
    </w:p>
    <w:p w:rsidR="00F44A00" w:rsidRPr="00F82C8D" w:rsidRDefault="00F44A00" w:rsidP="00F44A00">
      <w:pPr>
        <w:rPr>
          <w:rFonts w:cs="Times New Roman"/>
          <w:szCs w:val="24"/>
        </w:rPr>
      </w:pPr>
      <w:r w:rsidRPr="00F82C8D">
        <w:rPr>
          <w:rFonts w:cs="Times New Roman"/>
          <w:szCs w:val="24"/>
        </w:rPr>
        <w:t xml:space="preserve">A number of businesses currently participate in voluntary carbon neutral programmes and use carbon credits to offset their emissions. This means that businesses with few in-house emissions reduction options can offer their customers carbon neutral products and services by purchasing credits from businesses that can reduce emissions relatively cheaply. For example, airlines cannot avoid burning aviation fuel, but they can give passengers the option to offset the emissions associated with their flight. </w:t>
      </w:r>
    </w:p>
    <w:p w:rsidR="00F44A00" w:rsidRPr="00F82C8D" w:rsidRDefault="00F44A00" w:rsidP="00F44A00">
      <w:pPr>
        <w:rPr>
          <w:rFonts w:cs="Times New Roman"/>
          <w:szCs w:val="24"/>
        </w:rPr>
      </w:pPr>
      <w:r w:rsidRPr="00F82C8D">
        <w:rPr>
          <w:rFonts w:cs="Times New Roman"/>
          <w:szCs w:val="24"/>
        </w:rPr>
        <w:t xml:space="preserve">The safeguard mechanism will provide a similar option to participants, giving them additional flexibility in meeting safeguard obligations. </w:t>
      </w:r>
      <w:r w:rsidR="00222BD7" w:rsidRPr="00F82C8D">
        <w:rPr>
          <w:rFonts w:cs="Times New Roman"/>
          <w:szCs w:val="24"/>
        </w:rPr>
        <w:t>Designated large</w:t>
      </w:r>
      <w:r w:rsidRPr="00F82C8D">
        <w:rPr>
          <w:rFonts w:cs="Times New Roman"/>
          <w:szCs w:val="24"/>
        </w:rPr>
        <w:t xml:space="preserve"> facilities must keep net emissions—defined as actual emissions less offsets—below baseline levels. Facility operators can surrender eligible carbon offsets at any time to remain below baseline levels. </w:t>
      </w:r>
    </w:p>
    <w:p w:rsidR="00F44A00" w:rsidRPr="00F82C8D" w:rsidRDefault="00F44A00" w:rsidP="00F44A00">
      <w:pPr>
        <w:rPr>
          <w:rFonts w:cs="Times New Roman"/>
          <w:szCs w:val="24"/>
        </w:rPr>
      </w:pPr>
      <w:r w:rsidRPr="00F82C8D">
        <w:rPr>
          <w:rFonts w:cs="Times New Roman"/>
          <w:szCs w:val="24"/>
        </w:rPr>
        <w:t>Credits issued under the Emissions Reduction Fund—also known as Australian Carbon Credit Units (ACCUs)—will be eligible offsets under the safeguard mechanism.</w:t>
      </w:r>
      <w:r w:rsidR="00B43040" w:rsidRPr="00F82C8D">
        <w:rPr>
          <w:rFonts w:cs="Times New Roman"/>
          <w:szCs w:val="24"/>
        </w:rPr>
        <w:t xml:space="preserve"> </w:t>
      </w:r>
    </w:p>
    <w:p w:rsidR="004530C8" w:rsidRPr="00F82C8D" w:rsidRDefault="004530C8" w:rsidP="004530C8">
      <w:pPr>
        <w:spacing w:before="0" w:after="0"/>
      </w:pPr>
      <w:r w:rsidRPr="00F82C8D">
        <w:t xml:space="preserve">The role of high quality international units in the safeguard mechanism will be reviewed </w:t>
      </w:r>
      <w:r w:rsidR="003A79A7">
        <w:t>in</w:t>
      </w:r>
      <w:r w:rsidRPr="00F82C8D">
        <w:t xml:space="preserve"> 2017 </w:t>
      </w:r>
      <w:r w:rsidR="00F33448">
        <w:t>and</w:t>
      </w:r>
      <w:r w:rsidRPr="00F82C8D">
        <w:t xml:space="preserve"> align with the broader review of the Emissions Reduction Fund, subject to accounting rules to be agreed as a result of the United Nations Framework Convention on Climate Change meeting in Paris in December 2015 and the credibility of the system for purchasing international units. </w:t>
      </w:r>
    </w:p>
    <w:p w:rsidR="00F44A00" w:rsidRPr="00F82C8D" w:rsidRDefault="00F44A00" w:rsidP="00F44A00">
      <w:pPr>
        <w:pStyle w:val="Heading3"/>
        <w:rPr>
          <w:rStyle w:val="SubtleEmphasis"/>
          <w:i/>
          <w:szCs w:val="24"/>
        </w:rPr>
      </w:pPr>
      <w:r w:rsidRPr="00F82C8D">
        <w:rPr>
          <w:rStyle w:val="SubtleEmphasis"/>
          <w:szCs w:val="24"/>
        </w:rPr>
        <w:t>Avoiding double counting</w:t>
      </w:r>
    </w:p>
    <w:p w:rsidR="00F146B5" w:rsidRPr="00F82C8D" w:rsidRDefault="00F146B5" w:rsidP="009C1782">
      <w:pPr>
        <w:rPr>
          <w:rFonts w:cs="Times New Roman"/>
          <w:szCs w:val="24"/>
        </w:rPr>
      </w:pPr>
      <w:r w:rsidRPr="00F82C8D">
        <w:rPr>
          <w:rFonts w:cs="Times New Roman"/>
          <w:szCs w:val="24"/>
        </w:rPr>
        <w:t xml:space="preserve">Safeguard entities are eligible to participate in the </w:t>
      </w:r>
      <w:r w:rsidR="004511FD" w:rsidRPr="00F82C8D">
        <w:rPr>
          <w:rFonts w:cs="Times New Roman"/>
          <w:szCs w:val="24"/>
        </w:rPr>
        <w:t>Emissions Reduction Fund</w:t>
      </w:r>
      <w:r w:rsidRPr="00F82C8D">
        <w:rPr>
          <w:rFonts w:cs="Times New Roman"/>
          <w:szCs w:val="24"/>
        </w:rPr>
        <w:t xml:space="preserve"> crediting and purchasing mechanisms, in the same way as other businesses.</w:t>
      </w:r>
      <w:r w:rsidR="004511FD" w:rsidRPr="00F82C8D">
        <w:rPr>
          <w:rFonts w:cs="Times New Roman"/>
          <w:szCs w:val="24"/>
        </w:rPr>
        <w:t xml:space="preserve"> </w:t>
      </w:r>
      <w:r w:rsidRPr="00F82C8D">
        <w:rPr>
          <w:rFonts w:cs="Times New Roman"/>
          <w:szCs w:val="24"/>
        </w:rPr>
        <w:t xml:space="preserve">They can create ACCUs from eligible emissions reduction projects undertaken at their facility. </w:t>
      </w:r>
    </w:p>
    <w:p w:rsidR="00F44A00" w:rsidRPr="00F82C8D" w:rsidRDefault="00F146B5" w:rsidP="009C1782">
      <w:pPr>
        <w:rPr>
          <w:rFonts w:cs="Times New Roman"/>
          <w:szCs w:val="24"/>
        </w:rPr>
      </w:pPr>
      <w:r w:rsidRPr="00F82C8D">
        <w:rPr>
          <w:rFonts w:cs="Times New Roman"/>
          <w:szCs w:val="24"/>
        </w:rPr>
        <w:t xml:space="preserve">The Emissions Reduction Fund </w:t>
      </w:r>
      <w:r w:rsidR="004511FD" w:rsidRPr="00F82C8D">
        <w:rPr>
          <w:rFonts w:cs="Times New Roman"/>
          <w:szCs w:val="24"/>
        </w:rPr>
        <w:t>legislation ensures that emissions reductions</w:t>
      </w:r>
      <w:r w:rsidRPr="00F82C8D">
        <w:rPr>
          <w:rFonts w:cs="Times New Roman"/>
          <w:szCs w:val="24"/>
        </w:rPr>
        <w:t xml:space="preserve"> created</w:t>
      </w:r>
      <w:r w:rsidR="000B1EE5" w:rsidRPr="00F82C8D">
        <w:rPr>
          <w:rFonts w:cs="Times New Roman"/>
          <w:szCs w:val="24"/>
        </w:rPr>
        <w:t xml:space="preserve"> at designated large facilities </w:t>
      </w:r>
      <w:r w:rsidRPr="00F82C8D">
        <w:rPr>
          <w:rFonts w:cs="Times New Roman"/>
          <w:szCs w:val="24"/>
        </w:rPr>
        <w:t>cannot be</w:t>
      </w:r>
      <w:r w:rsidR="004511FD" w:rsidRPr="00F82C8D">
        <w:rPr>
          <w:rFonts w:cs="Times New Roman"/>
          <w:szCs w:val="24"/>
        </w:rPr>
        <w:t xml:space="preserve"> counted more than once</w:t>
      </w:r>
      <w:r w:rsidRPr="00F82C8D">
        <w:rPr>
          <w:rFonts w:cs="Times New Roman"/>
          <w:szCs w:val="24"/>
        </w:rPr>
        <w:t>, to ensure the integrity of the mechanism</w:t>
      </w:r>
      <w:r w:rsidR="004511FD" w:rsidRPr="00F82C8D">
        <w:rPr>
          <w:rFonts w:cs="Times New Roman"/>
          <w:szCs w:val="24"/>
        </w:rPr>
        <w:t>.</w:t>
      </w:r>
      <w:r w:rsidRPr="00F82C8D">
        <w:rPr>
          <w:rFonts w:cs="Times New Roman"/>
          <w:szCs w:val="24"/>
        </w:rPr>
        <w:t xml:space="preserve"> It does this by adding ACCUs issued for abatement at the facility back on to that facility’s net emissions. If the facility then uses the ACCUs as an offset under the safeguard</w:t>
      </w:r>
      <w:r w:rsidR="000B1EE5" w:rsidRPr="00F82C8D">
        <w:rPr>
          <w:rFonts w:cs="Times New Roman"/>
          <w:szCs w:val="24"/>
        </w:rPr>
        <w:t>,</w:t>
      </w:r>
      <w:r w:rsidRPr="00F82C8D">
        <w:rPr>
          <w:rFonts w:cs="Times New Roman"/>
          <w:szCs w:val="24"/>
        </w:rPr>
        <w:t xml:space="preserve"> or sells them to the Regulator</w:t>
      </w:r>
      <w:r w:rsidR="004511FD" w:rsidRPr="00F82C8D">
        <w:rPr>
          <w:rFonts w:cs="Times New Roman"/>
          <w:szCs w:val="24"/>
        </w:rPr>
        <w:t xml:space="preserve"> </w:t>
      </w:r>
      <w:r w:rsidRPr="00F82C8D">
        <w:rPr>
          <w:rFonts w:cs="Times New Roman"/>
          <w:szCs w:val="24"/>
        </w:rPr>
        <w:t>under a carbon abatement contract</w:t>
      </w:r>
      <w:r w:rsidR="000B1EE5" w:rsidRPr="00F82C8D">
        <w:rPr>
          <w:rFonts w:cs="Times New Roman"/>
          <w:szCs w:val="24"/>
        </w:rPr>
        <w:t>, the facility’s net emissions are correspondingly reduced.</w:t>
      </w:r>
      <w:r w:rsidR="004511FD" w:rsidRPr="00F82C8D">
        <w:rPr>
          <w:rFonts w:cs="Times New Roman"/>
          <w:szCs w:val="24"/>
        </w:rPr>
        <w:t xml:space="preserve"> </w:t>
      </w:r>
      <w:bookmarkStart w:id="43" w:name="_Toc373064640"/>
      <w:bookmarkStart w:id="44" w:name="_Toc373175125"/>
    </w:p>
    <w:p w:rsidR="00F44A00" w:rsidRPr="00F82C8D" w:rsidRDefault="00F44A00" w:rsidP="00F44A00">
      <w:pPr>
        <w:pStyle w:val="Heading3"/>
        <w:rPr>
          <w:szCs w:val="24"/>
        </w:rPr>
      </w:pPr>
      <w:bookmarkStart w:id="45" w:name="_Toc425920471"/>
      <w:bookmarkEnd w:id="43"/>
      <w:bookmarkEnd w:id="44"/>
      <w:r w:rsidRPr="00F82C8D">
        <w:rPr>
          <w:szCs w:val="24"/>
        </w:rPr>
        <w:t xml:space="preserve">Multi-year </w:t>
      </w:r>
      <w:bookmarkEnd w:id="45"/>
      <w:r w:rsidR="00A67365" w:rsidRPr="00F82C8D">
        <w:rPr>
          <w:szCs w:val="24"/>
        </w:rPr>
        <w:t>period declaration</w:t>
      </w:r>
    </w:p>
    <w:p w:rsidR="00F44A00" w:rsidRPr="00F82C8D" w:rsidRDefault="00F44A00" w:rsidP="00F44A00">
      <w:pPr>
        <w:rPr>
          <w:rFonts w:cs="Times New Roman"/>
          <w:szCs w:val="24"/>
        </w:rPr>
      </w:pPr>
      <w:r w:rsidRPr="00F82C8D">
        <w:rPr>
          <w:rFonts w:cs="Times New Roman"/>
          <w:szCs w:val="24"/>
        </w:rPr>
        <w:t xml:space="preserve">To accommodate natural variability, participants will have access to multi-year averaging—whereby a facility could exceed its baseline in one year, so long as average emissions over multiple years remain below the baseline. </w:t>
      </w:r>
    </w:p>
    <w:p w:rsidR="00F44A00" w:rsidRPr="00F82C8D" w:rsidRDefault="00F44A00" w:rsidP="00F44A00">
      <w:pPr>
        <w:rPr>
          <w:rFonts w:cs="Times New Roman"/>
          <w:szCs w:val="24"/>
        </w:rPr>
      </w:pPr>
      <w:r w:rsidRPr="00F82C8D">
        <w:rPr>
          <w:rFonts w:cs="Times New Roman"/>
          <w:szCs w:val="24"/>
        </w:rPr>
        <w:t xml:space="preserve">The maximum </w:t>
      </w:r>
      <w:r w:rsidR="00E04A16" w:rsidRPr="00F82C8D">
        <w:rPr>
          <w:rFonts w:cs="Times New Roman"/>
          <w:szCs w:val="24"/>
        </w:rPr>
        <w:t xml:space="preserve">declared </w:t>
      </w:r>
      <w:r w:rsidR="000537DE" w:rsidRPr="00F82C8D">
        <w:rPr>
          <w:rFonts w:cs="Times New Roman"/>
          <w:szCs w:val="24"/>
        </w:rPr>
        <w:t>multi-year</w:t>
      </w:r>
      <w:r w:rsidRPr="00F82C8D">
        <w:rPr>
          <w:rFonts w:cs="Times New Roman"/>
          <w:szCs w:val="24"/>
        </w:rPr>
        <w:t xml:space="preserve"> period will be three years, giving businesses sufficient time to implement emissions reduction projects, acquire offsets or help capture natural peaks and troughs i</w:t>
      </w:r>
      <w:r w:rsidR="00A67365" w:rsidRPr="00F82C8D">
        <w:rPr>
          <w:rFonts w:cs="Times New Roman"/>
          <w:szCs w:val="24"/>
        </w:rPr>
        <w:t xml:space="preserve">n emissions. The operation of the </w:t>
      </w:r>
      <w:r w:rsidR="00943791" w:rsidRPr="00F82C8D">
        <w:rPr>
          <w:rFonts w:cs="Times New Roman"/>
          <w:szCs w:val="24"/>
        </w:rPr>
        <w:t>multi-year period declaration</w:t>
      </w:r>
      <w:r w:rsidRPr="00F82C8D">
        <w:rPr>
          <w:rFonts w:cs="Times New Roman"/>
          <w:szCs w:val="24"/>
        </w:rPr>
        <w:t xml:space="preserve"> is illustrated in</w:t>
      </w:r>
      <w:r w:rsidR="009B3D5F" w:rsidRPr="00F82C8D">
        <w:rPr>
          <w:rFonts w:cs="Times New Roman"/>
          <w:szCs w:val="24"/>
        </w:rPr>
        <w:t xml:space="preserve"> </w:t>
      </w:r>
      <w:fldSimple w:instr=" REF _Ref427924855 \h  \* MERGEFORMAT ">
        <w:r w:rsidR="00F16B1F" w:rsidRPr="00F16B1F">
          <w:rPr>
            <w:rFonts w:cs="Times New Roman"/>
            <w:szCs w:val="24"/>
          </w:rPr>
          <w:t>Figure</w:t>
        </w:r>
        <w:r w:rsidR="00F16B1F" w:rsidRPr="00F82C8D">
          <w:t xml:space="preserve"> </w:t>
        </w:r>
        <w:r w:rsidR="00F16B1F">
          <w:rPr>
            <w:noProof/>
          </w:rPr>
          <w:t>2</w:t>
        </w:r>
      </w:fldSimple>
      <w:r w:rsidRPr="00F82C8D">
        <w:rPr>
          <w:rFonts w:cs="Times New Roman"/>
          <w:szCs w:val="24"/>
        </w:rPr>
        <w:t>.</w:t>
      </w:r>
    </w:p>
    <w:p w:rsidR="00F44A00" w:rsidRPr="00F82C8D" w:rsidRDefault="003C5589" w:rsidP="003C5589">
      <w:pPr>
        <w:pStyle w:val="Caption"/>
      </w:pPr>
      <w:bookmarkStart w:id="46" w:name="_Ref427924855"/>
      <w:r w:rsidRPr="00F82C8D">
        <w:t xml:space="preserve">Figure </w:t>
      </w:r>
      <w:r w:rsidR="00744D5E" w:rsidRPr="00F82C8D">
        <w:fldChar w:fldCharType="begin"/>
      </w:r>
      <w:r w:rsidR="007329DC" w:rsidRPr="00F82C8D">
        <w:instrText xml:space="preserve"> SEQ Figure \* ARABIC </w:instrText>
      </w:r>
      <w:r w:rsidR="00744D5E" w:rsidRPr="00F82C8D">
        <w:fldChar w:fldCharType="separate"/>
      </w:r>
      <w:r w:rsidR="00F16B1F">
        <w:rPr>
          <w:noProof/>
        </w:rPr>
        <w:t>2</w:t>
      </w:r>
      <w:r w:rsidR="00744D5E" w:rsidRPr="00F82C8D">
        <w:fldChar w:fldCharType="end"/>
      </w:r>
      <w:bookmarkEnd w:id="46"/>
      <w:r w:rsidRPr="00F82C8D">
        <w:t>—</w:t>
      </w:r>
      <w:r w:rsidR="00F44A00" w:rsidRPr="00F82C8D">
        <w:t xml:space="preserve">Operation of multi-year averaging </w:t>
      </w:r>
    </w:p>
    <w:p w:rsidR="00F44A00" w:rsidRPr="00F82C8D" w:rsidRDefault="00744D5E" w:rsidP="00F44A00">
      <w:pPr>
        <w:rPr>
          <w:rFonts w:cs="Times New Roman"/>
          <w:szCs w:val="24"/>
        </w:rPr>
      </w:pPr>
      <w:r w:rsidRPr="00744D5E">
        <w:rPr>
          <w:rFonts w:cs="Times New Roman"/>
          <w:noProof/>
          <w:szCs w:val="24"/>
          <w:lang w:eastAsia="en-AU"/>
        </w:rPr>
        <w:pict>
          <v:shapetype id="_x0000_t202" coordsize="21600,21600" o:spt="202" path="m,l,21600r21600,l21600,xe">
            <v:stroke joinstyle="miter"/>
            <v:path gradientshapeok="t" o:connecttype="rect"/>
          </v:shapetype>
          <v:shape id="Text Box 53" o:spid="_x0000_s1050" type="#_x0000_t202" style="position:absolute;margin-left:-3.75pt;margin-top:25.9pt;width:106.5pt;height: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" stroked="f">
            <v:textbox>
              <w:txbxContent>
                <w:p w:rsidR="00FB7EB9" w:rsidRPr="006D2EED" w:rsidRDefault="00FB7EB9" w:rsidP="006D2EED">
                  <w:pPr>
                    <w:spacing w:before="0" w:line="240" w:lineRule="auto"/>
                    <w:rPr>
                      <w:rFonts w:ascii="Arial" w:hAnsi="Arial" w:cs="Arial"/>
                      <w:sz w:val="16"/>
                      <w:szCs w:val="16"/>
                    </w:rPr>
                  </w:pPr>
                  <w:r>
                    <w:rPr>
                      <w:rFonts w:ascii="Arial" w:hAnsi="Arial" w:cs="Arial"/>
                      <w:sz w:val="16"/>
                      <w:szCs w:val="16"/>
                    </w:rPr>
                    <w:t>Net e</w:t>
                  </w:r>
                  <w:r w:rsidRPr="00994676">
                    <w:rPr>
                      <w:rFonts w:ascii="Arial" w:hAnsi="Arial" w:cs="Arial"/>
                      <w:sz w:val="16"/>
                      <w:szCs w:val="16"/>
                    </w:rPr>
                    <w:t xml:space="preserve">missions </w:t>
                  </w:r>
                  <w:r>
                    <w:rPr>
                      <w:rFonts w:ascii="Arial" w:hAnsi="Arial" w:cs="Arial"/>
                      <w:sz w:val="16"/>
                      <w:szCs w:val="16"/>
                    </w:rPr>
                    <w:t xml:space="preserve">(covered emissions </w:t>
                  </w:r>
                  <w:r w:rsidRPr="00994676">
                    <w:rPr>
                      <w:rFonts w:ascii="Arial" w:hAnsi="Arial" w:cs="Arial"/>
                      <w:sz w:val="16"/>
                      <w:szCs w:val="16"/>
                    </w:rPr>
                    <w:t>less offsets</w:t>
                  </w:r>
                  <w:r>
                    <w:rPr>
                      <w:rFonts w:ascii="Arial" w:hAnsi="Arial" w:cs="Arial"/>
                      <w:sz w:val="16"/>
                      <w:szCs w:val="16"/>
                    </w:rPr>
                    <w:t xml:space="preserve"> surrendered</w:t>
                  </w:r>
                  <w:r>
                    <w:t xml:space="preserve">) </w:t>
                  </w:r>
                  <w:r w:rsidRPr="00994676">
                    <w:rPr>
                      <w:rFonts w:ascii="Arial" w:hAnsi="Arial" w:cs="Arial"/>
                      <w:sz w:val="16"/>
                      <w:szCs w:val="16"/>
                    </w:rPr>
                    <w:t>(kt CO</w:t>
                  </w:r>
                  <w:r w:rsidRPr="00994676">
                    <w:rPr>
                      <w:rFonts w:ascii="Arial" w:hAnsi="Arial" w:cs="Arial"/>
                      <w:sz w:val="16"/>
                      <w:szCs w:val="16"/>
                      <w:vertAlign w:val="subscript"/>
                    </w:rPr>
                    <w:t>2</w:t>
                  </w:r>
                  <w:r w:rsidRPr="00994676">
                    <w:rPr>
                      <w:rFonts w:ascii="Arial" w:hAnsi="Arial" w:cs="Arial"/>
                      <w:sz w:val="16"/>
                      <w:szCs w:val="16"/>
                    </w:rPr>
                    <w:t>-e)</w:t>
                  </w:r>
                </w:p>
              </w:txbxContent>
            </v:textbox>
          </v:shape>
        </w:pict>
      </w:r>
      <w:r w:rsidR="00E83730" w:rsidRPr="00F82C8D">
        <w:rPr>
          <w:noProof/>
          <w:lang w:val="en-AU" w:eastAsia="en-AU" w:bidi="ar-SA"/>
        </w:rPr>
        <w:t xml:space="preserve"> </w:t>
      </w:r>
      <w:r w:rsidR="00E83730" w:rsidRPr="00F82C8D">
        <w:rPr>
          <w:noProof/>
          <w:szCs w:val="24"/>
          <w:lang w:val="en-AU" w:eastAsia="en-AU" w:bidi="ar-SA"/>
        </w:rPr>
        <w:drawing>
          <wp:inline distT="0" distB="0" distL="0" distR="0">
            <wp:extent cx="5939155" cy="4743450"/>
            <wp:effectExtent l="19050" t="0" r="444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 cstate="print"/>
                    <a:srcRect/>
                    <a:stretch>
                      <a:fillRect/>
                    </a:stretch>
                  </pic:blipFill>
                  <pic:spPr bwMode="auto">
                    <a:xfrm>
                      <a:off x="0" y="0"/>
                      <a:ext cx="5939155" cy="4743450"/>
                    </a:xfrm>
                    <a:prstGeom prst="rect">
                      <a:avLst/>
                    </a:prstGeom>
                    <a:noFill/>
                    <a:ln w="9525">
                      <a:noFill/>
                      <a:miter lim="800000"/>
                      <a:headEnd/>
                      <a:tailEnd/>
                    </a:ln>
                  </pic:spPr>
                </pic:pic>
              </a:graphicData>
            </a:graphic>
          </wp:inline>
        </w:drawing>
      </w:r>
    </w:p>
    <w:p w:rsidR="00F44A00" w:rsidRPr="00F82C8D" w:rsidRDefault="006D2EED" w:rsidP="00F44A00">
      <w:pPr>
        <w:rPr>
          <w:rFonts w:cs="Times New Roman"/>
          <w:szCs w:val="24"/>
        </w:rPr>
      </w:pPr>
      <w:r w:rsidRPr="00F82C8D">
        <w:rPr>
          <w:rFonts w:cs="Times New Roman"/>
          <w:szCs w:val="24"/>
        </w:rPr>
        <w:t>Responsible emitters</w:t>
      </w:r>
      <w:r w:rsidR="00F44A00" w:rsidRPr="00F82C8D">
        <w:rPr>
          <w:rFonts w:cs="Times New Roman"/>
          <w:szCs w:val="24"/>
        </w:rPr>
        <w:t xml:space="preserve"> can apply for a </w:t>
      </w:r>
      <w:r w:rsidR="00E04A16" w:rsidRPr="00F82C8D">
        <w:rPr>
          <w:rFonts w:cs="Times New Roman"/>
          <w:szCs w:val="24"/>
        </w:rPr>
        <w:t xml:space="preserve">declared </w:t>
      </w:r>
      <w:r w:rsidR="00F44A00" w:rsidRPr="00F82C8D">
        <w:rPr>
          <w:rFonts w:cs="Times New Roman"/>
          <w:szCs w:val="24"/>
        </w:rPr>
        <w:t>multi-year period</w:t>
      </w:r>
      <w:r w:rsidR="008C4D78" w:rsidRPr="00F82C8D">
        <w:rPr>
          <w:rFonts w:cs="Times New Roman"/>
          <w:szCs w:val="24"/>
        </w:rPr>
        <w:t xml:space="preserve"> </w:t>
      </w:r>
      <w:r w:rsidR="00F44A00" w:rsidRPr="00F82C8D">
        <w:rPr>
          <w:rFonts w:cs="Times New Roman"/>
          <w:szCs w:val="24"/>
        </w:rPr>
        <w:t>where there is a reasonable expectation that a facility’s emissions will exceed its baseline. Applications will be assessed by the Regulator, having regard to:</w:t>
      </w:r>
    </w:p>
    <w:p w:rsidR="00F44A00" w:rsidRPr="00F82C8D" w:rsidRDefault="00F44A00" w:rsidP="00464595">
      <w:pPr>
        <w:pStyle w:val="ListParagraph"/>
        <w:keepLines w:val="0"/>
        <w:numPr>
          <w:ilvl w:val="0"/>
          <w:numId w:val="17"/>
        </w:numPr>
        <w:tabs>
          <w:tab w:val="clear" w:pos="0"/>
        </w:tabs>
        <w:spacing w:before="0" w:after="240"/>
      </w:pPr>
      <w:r w:rsidRPr="00F82C8D">
        <w:t xml:space="preserve">whether the </w:t>
      </w:r>
      <w:r w:rsidR="001F7788" w:rsidRPr="00F82C8D">
        <w:t>responsible emitter</w:t>
      </w:r>
      <w:r w:rsidRPr="00F82C8D">
        <w:t xml:space="preserve"> has previously met all its safeguard requirements</w:t>
      </w:r>
      <w:r w:rsidR="008C021E" w:rsidRPr="00F82C8D">
        <w:t>,</w:t>
      </w:r>
      <w:r w:rsidRPr="00F82C8D">
        <w:t xml:space="preserve"> and</w:t>
      </w:r>
    </w:p>
    <w:p w:rsidR="00F44A00" w:rsidRPr="00F82C8D" w:rsidRDefault="00F44A00" w:rsidP="00464595">
      <w:pPr>
        <w:pStyle w:val="ListParagraph"/>
        <w:keepLines w:val="0"/>
        <w:numPr>
          <w:ilvl w:val="0"/>
          <w:numId w:val="17"/>
        </w:numPr>
        <w:tabs>
          <w:tab w:val="clear" w:pos="0"/>
        </w:tabs>
        <w:spacing w:before="0" w:after="240"/>
      </w:pPr>
      <w:r w:rsidRPr="00F82C8D">
        <w:t xml:space="preserve">whether the </w:t>
      </w:r>
      <w:r w:rsidR="001F7788" w:rsidRPr="00F82C8D">
        <w:t>responsible emitter</w:t>
      </w:r>
      <w:r w:rsidRPr="00F82C8D">
        <w:t xml:space="preserve"> has provided satisfactory evidence that the emissions could be returned to baseline levels over an extended period. </w:t>
      </w:r>
    </w:p>
    <w:p w:rsidR="00F44A00" w:rsidRPr="00F82C8D" w:rsidRDefault="00F44A00" w:rsidP="00F44A00">
      <w:pPr>
        <w:rPr>
          <w:rFonts w:cs="Times New Roman"/>
          <w:szCs w:val="24"/>
        </w:rPr>
      </w:pPr>
      <w:r w:rsidRPr="00F82C8D">
        <w:rPr>
          <w:rFonts w:cs="Times New Roman"/>
          <w:szCs w:val="24"/>
        </w:rPr>
        <w:t xml:space="preserve">If satisfactory evidence is not available, the </w:t>
      </w:r>
      <w:r w:rsidR="001F7788" w:rsidRPr="00F82C8D">
        <w:rPr>
          <w:rFonts w:cs="Times New Roman"/>
          <w:szCs w:val="24"/>
        </w:rPr>
        <w:t>responsible emitter</w:t>
      </w:r>
      <w:r w:rsidRPr="00F82C8D">
        <w:rPr>
          <w:rFonts w:cs="Times New Roman"/>
          <w:szCs w:val="24"/>
        </w:rPr>
        <w:t xml:space="preserve"> has the option to enter into an enforceable undertaking to implement measures to return emissions to baseline levels over the extended period.</w:t>
      </w:r>
      <w:r w:rsidR="00644B15" w:rsidRPr="00F82C8D">
        <w:rPr>
          <w:rFonts w:cs="Times New Roman"/>
          <w:szCs w:val="24"/>
        </w:rPr>
        <w:t xml:space="preserve"> Choosing to enter an enforceable undertaking could support the Regulator’s decision to make th</w:t>
      </w:r>
      <w:r w:rsidR="00D84338">
        <w:rPr>
          <w:rFonts w:cs="Times New Roman"/>
          <w:szCs w:val="24"/>
        </w:rPr>
        <w:t xml:space="preserve">e declaration for the situation, where for example, </w:t>
      </w:r>
      <w:r w:rsidR="00644B15" w:rsidRPr="00F82C8D">
        <w:rPr>
          <w:rFonts w:cs="Times New Roman"/>
          <w:szCs w:val="24"/>
        </w:rPr>
        <w:t xml:space="preserve">the responsible emitter has a history of non-compliance. </w:t>
      </w:r>
    </w:p>
    <w:p w:rsidR="00F44A00" w:rsidRPr="00F82C8D" w:rsidRDefault="00F44A00" w:rsidP="007E4207">
      <w:pPr>
        <w:pStyle w:val="Heading3"/>
      </w:pPr>
      <w:bookmarkStart w:id="47" w:name="_Toc425920472"/>
      <w:r w:rsidRPr="00F82C8D">
        <w:t>Exemptions for exceptional circumstances</w:t>
      </w:r>
      <w:bookmarkEnd w:id="47"/>
    </w:p>
    <w:p w:rsidR="00F44A00" w:rsidRPr="00F82C8D" w:rsidRDefault="00F44A00" w:rsidP="00F44A00">
      <w:pPr>
        <w:rPr>
          <w:rFonts w:cs="Times New Roman"/>
          <w:szCs w:val="24"/>
        </w:rPr>
      </w:pPr>
      <w:r w:rsidRPr="00F82C8D">
        <w:rPr>
          <w:rFonts w:cs="Times New Roman"/>
          <w:szCs w:val="24"/>
        </w:rPr>
        <w:t xml:space="preserve">The Regulator </w:t>
      </w:r>
      <w:r w:rsidR="00825373" w:rsidRPr="00F82C8D">
        <w:rPr>
          <w:rFonts w:cs="Times New Roman"/>
          <w:szCs w:val="24"/>
        </w:rPr>
        <w:t>may</w:t>
      </w:r>
      <w:r w:rsidRPr="00F82C8D">
        <w:rPr>
          <w:rFonts w:cs="Times New Roman"/>
          <w:szCs w:val="24"/>
        </w:rPr>
        <w:t xml:space="preserve"> disregard emissions increases linked to an exceptional event, namely a natural disaster or criminal activity, and exempt the facility from its safeguard obligation for a defined period of time. </w:t>
      </w:r>
    </w:p>
    <w:p w:rsidR="00F44A00" w:rsidRPr="00F82C8D" w:rsidRDefault="00F44A00" w:rsidP="00F44A00">
      <w:pPr>
        <w:rPr>
          <w:rFonts w:cs="Times New Roman"/>
          <w:szCs w:val="24"/>
        </w:rPr>
      </w:pPr>
      <w:r w:rsidRPr="00F82C8D">
        <w:rPr>
          <w:rFonts w:cs="Times New Roman"/>
          <w:szCs w:val="24"/>
        </w:rPr>
        <w:t xml:space="preserve">To encourage the responsible management of emissions, even under exceptional circumstances, the Regulator will consider whether reasonable steps were taken to mitigate the risk of excess emissions arising from the exceptional event, both before and after its occurrence. </w:t>
      </w:r>
    </w:p>
    <w:p w:rsidR="00F44A00" w:rsidRPr="00F82C8D" w:rsidRDefault="00F44A00" w:rsidP="00F44A00">
      <w:pPr>
        <w:rPr>
          <w:rFonts w:cs="Times New Roman"/>
          <w:szCs w:val="24"/>
        </w:rPr>
      </w:pPr>
      <w:r w:rsidRPr="00F82C8D">
        <w:rPr>
          <w:rFonts w:cs="Times New Roman"/>
          <w:szCs w:val="24"/>
        </w:rPr>
        <w:t xml:space="preserve">Exemptions will not apply to events that reflect normal market dynamics or as a mechanism for addressing drivers of emissions variation, such as changes to price, production inputs and outputs, or maintenance. </w:t>
      </w:r>
    </w:p>
    <w:p w:rsidR="00F44A00" w:rsidRPr="00F82C8D" w:rsidRDefault="00F44A00" w:rsidP="007E4207">
      <w:pPr>
        <w:pStyle w:val="Heading3"/>
      </w:pPr>
      <w:bookmarkStart w:id="48" w:name="_Toc425920473"/>
      <w:r w:rsidRPr="00F82C8D">
        <w:t>Enforcement options</w:t>
      </w:r>
      <w:bookmarkEnd w:id="48"/>
    </w:p>
    <w:p w:rsidR="00F44A00" w:rsidRPr="00F82C8D" w:rsidRDefault="00F44A00" w:rsidP="00F44A00">
      <w:pPr>
        <w:rPr>
          <w:rFonts w:cs="Times New Roman"/>
          <w:szCs w:val="24"/>
        </w:rPr>
      </w:pPr>
      <w:r w:rsidRPr="00F82C8D">
        <w:rPr>
          <w:rFonts w:cs="Times New Roman"/>
          <w:szCs w:val="24"/>
        </w:rPr>
        <w:t xml:space="preserve">Safeguard requirements must be enforceable to ensure that the mechanism is effective. The Regulator has access to a range of graduated enforcement options to encourage operators to comply with their safeguard obligations. </w:t>
      </w:r>
    </w:p>
    <w:p w:rsidR="00F44A00" w:rsidRPr="00F82C8D" w:rsidRDefault="00F44A00" w:rsidP="00F44A00">
      <w:pPr>
        <w:rPr>
          <w:rFonts w:cs="Times New Roman"/>
          <w:szCs w:val="24"/>
        </w:rPr>
      </w:pPr>
      <w:r w:rsidRPr="00F82C8D">
        <w:rPr>
          <w:rFonts w:cs="Times New Roman"/>
          <w:szCs w:val="24"/>
        </w:rPr>
        <w:t>Enforcement options available to the Regulator include issuing infringement notices, accepting enforceable undertakings and seeking injunctions to rectify an emissions exceedance. The final sanction is a civil penalty that could be imposed by a court, with the maximum amount set at the lesser of 100 penalty points per day (currently $18</w:t>
      </w:r>
      <w:r w:rsidR="009D6A8E" w:rsidRPr="00F82C8D">
        <w:rPr>
          <w:rFonts w:cs="Times New Roman"/>
          <w:szCs w:val="24"/>
        </w:rPr>
        <w:t>,</w:t>
      </w:r>
      <w:r w:rsidRPr="00F82C8D">
        <w:rPr>
          <w:rFonts w:cs="Times New Roman"/>
          <w:szCs w:val="24"/>
        </w:rPr>
        <w:t>000</w:t>
      </w:r>
      <w:r w:rsidR="009D6A8E" w:rsidRPr="00F82C8D">
        <w:rPr>
          <w:rFonts w:cs="Times New Roman"/>
          <w:szCs w:val="24"/>
        </w:rPr>
        <w:t xml:space="preserve"> per day</w:t>
      </w:r>
      <w:r w:rsidR="0046746E" w:rsidRPr="00F82C8D">
        <w:rPr>
          <w:rFonts w:cs="Times New Roman"/>
          <w:szCs w:val="24"/>
        </w:rPr>
        <w:t>), to a maximum of 10,</w:t>
      </w:r>
      <w:r w:rsidRPr="00F82C8D">
        <w:rPr>
          <w:rFonts w:cs="Times New Roman"/>
          <w:szCs w:val="24"/>
        </w:rPr>
        <w:t xml:space="preserve">000 penalty points in total. </w:t>
      </w:r>
      <w:r w:rsidR="00B64F1A" w:rsidRPr="00F82C8D">
        <w:rPr>
          <w:rFonts w:cs="Times New Roman"/>
          <w:szCs w:val="24"/>
        </w:rPr>
        <w:t xml:space="preserve">Despite paying the penalty, the responsible emitter of the facility has an ongoing obligation to rectify any emissions exceedance. </w:t>
      </w:r>
      <w:r w:rsidRPr="00F82C8D">
        <w:rPr>
          <w:rFonts w:cs="Times New Roman"/>
          <w:szCs w:val="24"/>
        </w:rPr>
        <w:t>The Regulator has discretion over which enforcement options are most appropriate in circumstances of non</w:t>
      </w:r>
      <w:r w:rsidRPr="00F82C8D">
        <w:rPr>
          <w:rFonts w:cs="Times New Roman"/>
          <w:szCs w:val="24"/>
        </w:rPr>
        <w:noBreakHyphen/>
        <w:t>compliance, including whether to pursue court action.</w:t>
      </w:r>
    </w:p>
    <w:p w:rsidR="00F44A00" w:rsidRPr="00F82C8D" w:rsidRDefault="00F44A00" w:rsidP="00F44A00">
      <w:pPr>
        <w:rPr>
          <w:rFonts w:cs="Times New Roman"/>
          <w:szCs w:val="24"/>
        </w:rPr>
      </w:pPr>
      <w:r w:rsidRPr="00F82C8D">
        <w:rPr>
          <w:rFonts w:cs="Times New Roman"/>
          <w:szCs w:val="24"/>
        </w:rPr>
        <w:t xml:space="preserve">The civil penalty is designed to encourage compliance, not raise revenue. It is a last resort and will never apply to businesses that meet legislated safeguard requirements. The presence of such a penalty is standard practice in Commonwealth legislation. </w:t>
      </w:r>
    </w:p>
    <w:p w:rsidR="00F44A00" w:rsidRPr="00F82C8D" w:rsidRDefault="00744D5E" w:rsidP="00F44A00">
      <w:pPr>
        <w:rPr>
          <w:rFonts w:cs="Times New Roman"/>
          <w:szCs w:val="24"/>
        </w:rPr>
      </w:pPr>
      <w:fldSimple w:instr=" REF _Ref427924969 \h  \* MERGEFORMAT ">
        <w:r w:rsidR="00F16B1F" w:rsidRPr="00F16B1F">
          <w:rPr>
            <w:rFonts w:cs="Times New Roman"/>
            <w:szCs w:val="24"/>
          </w:rPr>
          <w:t>Figure 3</w:t>
        </w:r>
      </w:fldSimple>
      <w:r w:rsidR="009B3D5F" w:rsidRPr="00F82C8D">
        <w:rPr>
          <w:rFonts w:cs="Times New Roman"/>
          <w:szCs w:val="24"/>
        </w:rPr>
        <w:t xml:space="preserve"> </w:t>
      </w:r>
      <w:r w:rsidR="00F44A00" w:rsidRPr="00F82C8D">
        <w:rPr>
          <w:rFonts w:cs="Times New Roman"/>
          <w:szCs w:val="24"/>
        </w:rPr>
        <w:t>presents an overview of the operation of the safeguard mechanism, including scope for a multi-year monitoring period, an exemption for emissions linked to exceptional events and a civil penalty as a final sanction.</w:t>
      </w:r>
    </w:p>
    <w:p w:rsidR="00E83730" w:rsidRPr="00F82C8D" w:rsidRDefault="00E83730" w:rsidP="00E83730">
      <w:pPr>
        <w:pStyle w:val="Caption"/>
      </w:pPr>
      <w:bookmarkStart w:id="49" w:name="_Ref427924969"/>
      <w:bookmarkStart w:id="50" w:name="_Toc409006276"/>
      <w:bookmarkStart w:id="51" w:name="_Toc410900028"/>
      <w:bookmarkStart w:id="52" w:name="_Toc425920474"/>
      <w:bookmarkEnd w:id="26"/>
      <w:r w:rsidRPr="00F82C8D">
        <w:t xml:space="preserve">Figure </w:t>
      </w:r>
      <w:r w:rsidR="00744D5E" w:rsidRPr="00F82C8D">
        <w:fldChar w:fldCharType="begin"/>
      </w:r>
      <w:r w:rsidR="007329DC" w:rsidRPr="00F82C8D">
        <w:instrText xml:space="preserve"> SEQ Figure \* ARABIC </w:instrText>
      </w:r>
      <w:r w:rsidR="00744D5E" w:rsidRPr="00F82C8D">
        <w:fldChar w:fldCharType="separate"/>
      </w:r>
      <w:r w:rsidR="00F16B1F">
        <w:rPr>
          <w:noProof/>
        </w:rPr>
        <w:t>3</w:t>
      </w:r>
      <w:r w:rsidR="00744D5E" w:rsidRPr="00F82C8D">
        <w:fldChar w:fldCharType="end"/>
      </w:r>
      <w:bookmarkEnd w:id="49"/>
      <w:r w:rsidRPr="00F82C8D">
        <w:t xml:space="preserve">—Safeguard mechanism compliance process </w:t>
      </w:r>
    </w:p>
    <w:p w:rsidR="00175561" w:rsidRPr="00F82C8D" w:rsidRDefault="00744D5E" w:rsidP="00175561">
      <w:pPr>
        <w:ind w:left="-709"/>
        <w:rPr>
          <w:rFonts w:cs="Times New Roman"/>
          <w:szCs w:val="24"/>
        </w:rPr>
      </w:pPr>
      <w:r w:rsidRPr="00744D5E">
        <w:rPr>
          <w:rFonts w:cs="Times New Roman"/>
          <w:szCs w:val="24"/>
        </w:rPr>
      </w:r>
      <w:r>
        <w:rPr>
          <w:rFonts w:cs="Times New Roman"/>
          <w:szCs w:val="24"/>
        </w:rPr>
        <w:pict>
          <v:group id="_x0000_s1026" editas="canvas" style="width:528.9pt;height:193.35pt;mso-position-horizontal-relative:char;mso-position-vertical-relative:line" coordorigin="2362,3637" coordsize="8438,3085">
            <o:lock v:ext="edit" aspectratio="t"/>
            <v:shape id="_x0000_s1027" type="#_x0000_t75" style="position:absolute;left:2362;top:3637;width:8438;height:3085" o:preferrelative="f">
              <v:fill o:detectmouseclick="t"/>
              <v:path o:extrusionok="t" o:connecttype="none"/>
              <o:lock v:ext="edit" text="t"/>
            </v:shape>
            <v:group id="_x0000_s1028" style="position:absolute;left:2362;top:3637;width:8438;height:3085" coordorigin="942,2545" coordsize="15420,5234">
              <v:shape id="_x0000_s1029" type="#_x0000_t15" style="position:absolute;left:942;top:2545;width:3438;height:5234" adj="14978" fillcolor="#dbe5f1 [660]">
                <v:fill opacity="15073f"/>
                <v:textbox style="mso-next-textbox:#_x0000_s1029">
                  <w:txbxContent>
                    <w:p w:rsidR="00FB7EB9" w:rsidRPr="007E4207" w:rsidRDefault="00FB7EB9" w:rsidP="00175561">
                      <w:pPr>
                        <w:spacing w:after="100"/>
                        <w:ind w:left="142" w:right="176"/>
                        <w:rPr>
                          <w:rFonts w:ascii="Arial" w:hAnsi="Arial" w:cs="Arial"/>
                          <w:b/>
                          <w:sz w:val="16"/>
                          <w:szCs w:val="16"/>
                        </w:rPr>
                      </w:pPr>
                      <w:r w:rsidRPr="007E4207">
                        <w:rPr>
                          <w:rFonts w:ascii="Arial" w:hAnsi="Arial" w:cs="Arial"/>
                          <w:b/>
                          <w:sz w:val="16"/>
                          <w:szCs w:val="16"/>
                        </w:rPr>
                        <w:t xml:space="preserve">STEP 1: REPORTING </w:t>
                      </w:r>
                    </w:p>
                    <w:p w:rsidR="00FB7EB9" w:rsidRPr="007E4207" w:rsidRDefault="00FB7EB9" w:rsidP="00175561">
                      <w:pPr>
                        <w:spacing w:after="100" w:line="252" w:lineRule="auto"/>
                        <w:ind w:left="142" w:right="-102"/>
                        <w:rPr>
                          <w:rFonts w:ascii="Arial" w:hAnsi="Arial" w:cs="Arial"/>
                          <w:sz w:val="16"/>
                          <w:szCs w:val="16"/>
                        </w:rPr>
                      </w:pPr>
                      <w:r w:rsidRPr="007E4207">
                        <w:rPr>
                          <w:rFonts w:ascii="Arial" w:hAnsi="Arial" w:cs="Arial"/>
                          <w:sz w:val="16"/>
                          <w:szCs w:val="16"/>
                        </w:rPr>
                        <w:t xml:space="preserve">The </w:t>
                      </w:r>
                      <w:r>
                        <w:rPr>
                          <w:rFonts w:ascii="Arial" w:hAnsi="Arial" w:cs="Arial"/>
                          <w:sz w:val="16"/>
                          <w:szCs w:val="16"/>
                        </w:rPr>
                        <w:t>responsible emitter</w:t>
                      </w:r>
                      <w:r w:rsidRPr="007E4207">
                        <w:rPr>
                          <w:rFonts w:ascii="Arial" w:hAnsi="Arial" w:cs="Arial"/>
                          <w:sz w:val="16"/>
                          <w:szCs w:val="16"/>
                        </w:rPr>
                        <w:t xml:space="preserve"> reports facility emissions and may surrender carbon offsets to stay below baseline levels.</w:t>
                      </w:r>
                    </w:p>
                    <w:p w:rsidR="00FB7EB9" w:rsidRPr="007E4207" w:rsidRDefault="00FB7EB9" w:rsidP="00175561">
                      <w:pPr>
                        <w:spacing w:after="100" w:line="252" w:lineRule="auto"/>
                        <w:ind w:left="142" w:right="-102"/>
                        <w:rPr>
                          <w:rFonts w:ascii="Arial" w:hAnsi="Arial" w:cs="Arial"/>
                          <w:sz w:val="16"/>
                          <w:szCs w:val="16"/>
                        </w:rPr>
                      </w:pPr>
                      <w:r w:rsidRPr="007E4207">
                        <w:rPr>
                          <w:rFonts w:ascii="Arial" w:hAnsi="Arial" w:cs="Arial"/>
                          <w:sz w:val="16"/>
                          <w:szCs w:val="16"/>
                        </w:rPr>
                        <w:t>The Regulator compares reported emissions—net of carbon offsets—with each facility’s baseline.</w:t>
                      </w:r>
                    </w:p>
                  </w:txbxContent>
                </v:textbox>
              </v:shape>
              <v:shape id="_x0000_s1030" type="#_x0000_t15" style="position:absolute;left:11352;top:2545;width:5010;height:5234;rotation:180" fillcolor="#95b3d7 [1940]">
                <v:textbox style="mso-next-textbox:#_x0000_s1030">
                  <w:txbxContent>
                    <w:p w:rsidR="00FB7EB9" w:rsidRPr="007E4207" w:rsidRDefault="00FB7EB9" w:rsidP="00175561">
                      <w:pPr>
                        <w:spacing w:before="100" w:after="100"/>
                        <w:ind w:left="709" w:right="13"/>
                        <w:rPr>
                          <w:rFonts w:ascii="Arial" w:hAnsi="Arial" w:cs="Arial"/>
                          <w:b/>
                          <w:sz w:val="16"/>
                          <w:szCs w:val="16"/>
                        </w:rPr>
                      </w:pPr>
                      <w:r w:rsidRPr="007E4207">
                        <w:rPr>
                          <w:rFonts w:ascii="Arial" w:hAnsi="Arial" w:cs="Arial"/>
                          <w:b/>
                          <w:sz w:val="16"/>
                          <w:szCs w:val="16"/>
                        </w:rPr>
                        <w:t>STEP 5: FINAL SANCTION</w:t>
                      </w:r>
                    </w:p>
                    <w:p w:rsidR="00FB7EB9" w:rsidRPr="007E4207" w:rsidRDefault="00FB7EB9" w:rsidP="00175561">
                      <w:pPr>
                        <w:spacing w:after="100" w:line="252" w:lineRule="auto"/>
                        <w:ind w:left="1134" w:right="-90"/>
                        <w:rPr>
                          <w:rFonts w:ascii="Arial" w:hAnsi="Arial" w:cs="Arial"/>
                          <w:sz w:val="16"/>
                          <w:szCs w:val="16"/>
                        </w:rPr>
                      </w:pPr>
                      <w:r w:rsidRPr="007E4207">
                        <w:rPr>
                          <w:rFonts w:ascii="Arial" w:hAnsi="Arial" w:cs="Arial"/>
                          <w:sz w:val="16"/>
                          <w:szCs w:val="16"/>
                        </w:rPr>
                        <w:t>If a facility’s average emissions over the monitoring period remain above its baseline, the Regulator has the discretion to seek the application of a civil penalty through the court.</w:t>
                      </w:r>
                    </w:p>
                    <w:p w:rsidR="00FB7EB9" w:rsidRPr="007E4207" w:rsidRDefault="00FB7EB9" w:rsidP="00175561">
                      <w:pPr>
                        <w:spacing w:after="100" w:line="252" w:lineRule="auto"/>
                        <w:ind w:left="1134" w:right="-90"/>
                        <w:rPr>
                          <w:rFonts w:ascii="Arial" w:hAnsi="Arial" w:cs="Arial"/>
                          <w:sz w:val="16"/>
                          <w:szCs w:val="16"/>
                        </w:rPr>
                      </w:pPr>
                      <w:r w:rsidRPr="007E4207">
                        <w:rPr>
                          <w:rFonts w:ascii="Arial" w:hAnsi="Arial" w:cs="Arial"/>
                          <w:sz w:val="16"/>
                          <w:szCs w:val="16"/>
                        </w:rPr>
                        <w:t xml:space="preserve">The </w:t>
                      </w:r>
                      <w:r>
                        <w:rPr>
                          <w:rFonts w:ascii="Arial" w:hAnsi="Arial" w:cs="Arial"/>
                          <w:sz w:val="16"/>
                          <w:szCs w:val="16"/>
                        </w:rPr>
                        <w:t>responsible emitter</w:t>
                      </w:r>
                      <w:r w:rsidRPr="007E4207">
                        <w:rPr>
                          <w:rFonts w:ascii="Arial" w:hAnsi="Arial" w:cs="Arial"/>
                          <w:sz w:val="16"/>
                          <w:szCs w:val="16"/>
                        </w:rPr>
                        <w:t xml:space="preserve"> of the facility has an ongoing obligation to rectify any emissions exceedance.</w:t>
                      </w:r>
                    </w:p>
                    <w:p w:rsidR="00FB7EB9" w:rsidRPr="007E4207" w:rsidRDefault="00FB7EB9" w:rsidP="00175561">
                      <w:pPr>
                        <w:ind w:left="2410"/>
                        <w:rPr>
                          <w:rFonts w:ascii="Arial" w:hAnsi="Arial" w:cs="Arial"/>
                          <w:sz w:val="16"/>
                          <w:szCs w:val="16"/>
                        </w:rPr>
                      </w:pPr>
                    </w:p>
                  </w:txbxContent>
                </v:textbox>
              </v:shape>
              <v:shape id="_x0000_s1031" type="#_x0000_t55" style="position:absolute;left:6444;top:2545;width:4215;height:5234" fillcolor="#dbe5f1 [660]">
                <v:textbox style="mso-next-textbox:#_x0000_s1031">
                  <w:txbxContent>
                    <w:p w:rsidR="00FB7EB9" w:rsidRPr="007E4207" w:rsidRDefault="00FB7EB9" w:rsidP="00175561">
                      <w:pPr>
                        <w:spacing w:after="100"/>
                        <w:ind w:left="567" w:right="176"/>
                        <w:rPr>
                          <w:rFonts w:ascii="Arial" w:hAnsi="Arial" w:cs="Arial"/>
                          <w:b/>
                          <w:sz w:val="16"/>
                          <w:szCs w:val="16"/>
                        </w:rPr>
                      </w:pPr>
                      <w:r w:rsidRPr="007E4207">
                        <w:rPr>
                          <w:rFonts w:ascii="Arial" w:hAnsi="Arial" w:cs="Arial"/>
                          <w:b/>
                          <w:sz w:val="16"/>
                          <w:szCs w:val="16"/>
                        </w:rPr>
                        <w:t>STEP 3: APPLICATION FOR MULTI-YEAR MONITORING</w:t>
                      </w:r>
                    </w:p>
                    <w:p w:rsidR="00FB7EB9" w:rsidRPr="007E4207" w:rsidRDefault="00FB7EB9" w:rsidP="00175561">
                      <w:pPr>
                        <w:spacing w:after="140" w:line="252" w:lineRule="auto"/>
                        <w:ind w:left="567" w:right="-138"/>
                        <w:rPr>
                          <w:rFonts w:ascii="Arial" w:hAnsi="Arial" w:cs="Arial"/>
                          <w:sz w:val="16"/>
                          <w:szCs w:val="16"/>
                        </w:rPr>
                      </w:pPr>
                      <w:r w:rsidRPr="007E4207">
                        <w:rPr>
                          <w:rFonts w:ascii="Arial" w:hAnsi="Arial" w:cs="Arial"/>
                          <w:sz w:val="16"/>
                          <w:szCs w:val="16"/>
                        </w:rPr>
                        <w:t xml:space="preserve">The </w:t>
                      </w:r>
                      <w:r>
                        <w:rPr>
                          <w:rFonts w:ascii="Arial" w:hAnsi="Arial" w:cs="Arial"/>
                          <w:sz w:val="16"/>
                          <w:szCs w:val="16"/>
                        </w:rPr>
                        <w:t>responsible emitter</w:t>
                      </w:r>
                      <w:r w:rsidRPr="007E4207">
                        <w:rPr>
                          <w:rFonts w:ascii="Arial" w:hAnsi="Arial" w:cs="Arial"/>
                          <w:sz w:val="16"/>
                          <w:szCs w:val="16"/>
                        </w:rPr>
                        <w:t xml:space="preserve"> can apply for a</w:t>
                      </w:r>
                      <w:r>
                        <w:rPr>
                          <w:rFonts w:ascii="Arial" w:hAnsi="Arial" w:cs="Arial"/>
                          <w:sz w:val="16"/>
                          <w:szCs w:val="16"/>
                        </w:rPr>
                        <w:t xml:space="preserve"> declared</w:t>
                      </w:r>
                      <w:r w:rsidRPr="007E4207">
                        <w:rPr>
                          <w:rFonts w:ascii="Arial" w:hAnsi="Arial" w:cs="Arial"/>
                          <w:sz w:val="16"/>
                          <w:szCs w:val="16"/>
                        </w:rPr>
                        <w:t xml:space="preserve"> multi-year </w:t>
                      </w:r>
                      <w:r>
                        <w:rPr>
                          <w:rFonts w:ascii="Arial" w:hAnsi="Arial" w:cs="Arial"/>
                          <w:sz w:val="16"/>
                          <w:szCs w:val="16"/>
                        </w:rPr>
                        <w:t xml:space="preserve">period of up to three </w:t>
                      </w:r>
                      <w:r w:rsidRPr="007E4207">
                        <w:rPr>
                          <w:rFonts w:ascii="Arial" w:hAnsi="Arial" w:cs="Arial"/>
                          <w:sz w:val="16"/>
                          <w:szCs w:val="16"/>
                        </w:rPr>
                        <w:t>years.</w:t>
                      </w:r>
                    </w:p>
                    <w:p w:rsidR="00FB7EB9" w:rsidRPr="007E4207" w:rsidRDefault="00FB7EB9" w:rsidP="00175561">
                      <w:pPr>
                        <w:spacing w:after="140" w:line="252" w:lineRule="auto"/>
                        <w:ind w:left="567" w:right="-138"/>
                        <w:rPr>
                          <w:rFonts w:ascii="Arial" w:hAnsi="Arial" w:cs="Arial"/>
                          <w:sz w:val="16"/>
                          <w:szCs w:val="16"/>
                        </w:rPr>
                      </w:pPr>
                      <w:r>
                        <w:rPr>
                          <w:rFonts w:ascii="Arial" w:hAnsi="Arial" w:cs="Arial"/>
                          <w:sz w:val="16"/>
                          <w:szCs w:val="16"/>
                        </w:rPr>
                        <w:t>If relevant, t</w:t>
                      </w:r>
                      <w:r w:rsidRPr="007E4207">
                        <w:rPr>
                          <w:rFonts w:ascii="Arial" w:hAnsi="Arial" w:cs="Arial"/>
                          <w:sz w:val="16"/>
                          <w:szCs w:val="16"/>
                        </w:rPr>
                        <w:t xml:space="preserve">he </w:t>
                      </w:r>
                      <w:r>
                        <w:rPr>
                          <w:rFonts w:ascii="Arial" w:hAnsi="Arial" w:cs="Arial"/>
                          <w:sz w:val="16"/>
                          <w:szCs w:val="16"/>
                        </w:rPr>
                        <w:t>responsible emitter</w:t>
                      </w:r>
                      <w:r w:rsidRPr="007E4207">
                        <w:rPr>
                          <w:rFonts w:ascii="Arial" w:hAnsi="Arial" w:cs="Arial"/>
                          <w:sz w:val="16"/>
                          <w:szCs w:val="16"/>
                        </w:rPr>
                        <w:t xml:space="preserve"> can apply for a</w:t>
                      </w:r>
                      <w:r>
                        <w:rPr>
                          <w:rFonts w:ascii="Arial" w:hAnsi="Arial" w:cs="Arial"/>
                          <w:sz w:val="16"/>
                          <w:szCs w:val="16"/>
                        </w:rPr>
                        <w:t xml:space="preserve"> exemption declaration</w:t>
                      </w:r>
                      <w:r w:rsidRPr="007E4207">
                        <w:rPr>
                          <w:rFonts w:ascii="Arial" w:hAnsi="Arial" w:cs="Arial"/>
                          <w:sz w:val="16"/>
                          <w:szCs w:val="16"/>
                        </w:rPr>
                        <w:t>.</w:t>
                      </w:r>
                      <w:r>
                        <w:rPr>
                          <w:rFonts w:ascii="Arial" w:hAnsi="Arial" w:cs="Arial"/>
                          <w:sz w:val="16"/>
                          <w:szCs w:val="16"/>
                        </w:rPr>
                        <w:t xml:space="preserve">  E</w:t>
                      </w:r>
                      <w:r w:rsidRPr="007E4207">
                        <w:rPr>
                          <w:rFonts w:ascii="Arial" w:hAnsi="Arial" w:cs="Arial"/>
                          <w:sz w:val="16"/>
                          <w:szCs w:val="16"/>
                        </w:rPr>
                        <w:t>xceedance that is the direct resul</w:t>
                      </w:r>
                      <w:r>
                        <w:rPr>
                          <w:rFonts w:ascii="Arial" w:hAnsi="Arial" w:cs="Arial"/>
                          <w:sz w:val="16"/>
                          <w:szCs w:val="16"/>
                        </w:rPr>
                        <w:t xml:space="preserve">t of exceptional circumstances </w:t>
                      </w:r>
                      <w:r w:rsidRPr="007E4207">
                        <w:rPr>
                          <w:rFonts w:ascii="Arial" w:hAnsi="Arial" w:cs="Arial"/>
                          <w:sz w:val="16"/>
                          <w:szCs w:val="16"/>
                        </w:rPr>
                        <w:t>may be disregarded.</w:t>
                      </w:r>
                    </w:p>
                    <w:p w:rsidR="00FB7EB9" w:rsidRPr="007E4207" w:rsidRDefault="00FB7EB9" w:rsidP="00175561">
                      <w:pPr>
                        <w:ind w:left="851"/>
                        <w:rPr>
                          <w:rFonts w:ascii="Arial" w:hAnsi="Arial" w:cs="Arial"/>
                          <w:sz w:val="16"/>
                          <w:szCs w:val="16"/>
                        </w:rPr>
                      </w:pPr>
                    </w:p>
                  </w:txbxContent>
                </v:textbox>
              </v:shape>
              <v:shape id="_x0000_s1032" type="#_x0000_t55" style="position:absolute;left:9537;top:2545;width:4185;height:5234" fillcolor="#b8cce4 [1300]">
                <v:textbox style="mso-next-textbox:#_x0000_s1032">
                  <w:txbxContent>
                    <w:p w:rsidR="00FB7EB9" w:rsidRPr="007E4207" w:rsidRDefault="00FB7EB9" w:rsidP="00175561">
                      <w:pPr>
                        <w:spacing w:after="100"/>
                        <w:ind w:left="142" w:right="221"/>
                        <w:rPr>
                          <w:rFonts w:ascii="Arial" w:hAnsi="Arial" w:cs="Arial"/>
                          <w:b/>
                          <w:sz w:val="16"/>
                          <w:szCs w:val="16"/>
                        </w:rPr>
                      </w:pPr>
                      <w:r w:rsidRPr="007E4207">
                        <w:rPr>
                          <w:rFonts w:ascii="Arial" w:hAnsi="Arial" w:cs="Arial"/>
                          <w:b/>
                          <w:sz w:val="16"/>
                          <w:szCs w:val="16"/>
                        </w:rPr>
                        <w:t>STEP 4: MONITORING</w:t>
                      </w:r>
                    </w:p>
                    <w:p w:rsidR="00FB7EB9" w:rsidRPr="007E4207" w:rsidRDefault="00FB7EB9" w:rsidP="00175561">
                      <w:pPr>
                        <w:spacing w:after="40" w:line="21" w:lineRule="atLeast"/>
                        <w:ind w:left="567" w:right="-125"/>
                        <w:rPr>
                          <w:rFonts w:ascii="Arial" w:hAnsi="Arial" w:cs="Arial"/>
                          <w:sz w:val="16"/>
                          <w:szCs w:val="16"/>
                        </w:rPr>
                      </w:pPr>
                      <w:r w:rsidRPr="007E4207">
                        <w:rPr>
                          <w:rFonts w:ascii="Arial" w:hAnsi="Arial" w:cs="Arial"/>
                          <w:sz w:val="16"/>
                          <w:szCs w:val="16"/>
                        </w:rPr>
                        <w:t xml:space="preserve">The Regulator monitors facility emissions over the monitoring period. During this time, the </w:t>
                      </w:r>
                      <w:r>
                        <w:rPr>
                          <w:rFonts w:ascii="Arial" w:hAnsi="Arial" w:cs="Arial"/>
                          <w:sz w:val="16"/>
                          <w:szCs w:val="16"/>
                        </w:rPr>
                        <w:t>responsible emitter</w:t>
                      </w:r>
                      <w:r w:rsidRPr="007E4207">
                        <w:rPr>
                          <w:rFonts w:ascii="Arial" w:hAnsi="Arial" w:cs="Arial"/>
                          <w:sz w:val="16"/>
                          <w:szCs w:val="16"/>
                        </w:rPr>
                        <w:t xml:space="preserve"> can:</w:t>
                      </w:r>
                    </w:p>
                    <w:p w:rsidR="00FB7EB9" w:rsidRPr="007E4207" w:rsidRDefault="00FB7EB9" w:rsidP="00175561">
                      <w:pPr>
                        <w:pStyle w:val="ListParagraph"/>
                        <w:keepLines w:val="0"/>
                        <w:numPr>
                          <w:ilvl w:val="0"/>
                          <w:numId w:val="20"/>
                        </w:numPr>
                        <w:tabs>
                          <w:tab w:val="clear" w:pos="0"/>
                        </w:tabs>
                        <w:spacing w:before="0" w:after="0" w:line="21" w:lineRule="atLeast"/>
                        <w:ind w:left="709" w:right="-153" w:hanging="142"/>
                        <w:contextualSpacing/>
                        <w:rPr>
                          <w:rFonts w:ascii="Arial" w:hAnsi="Arial" w:cs="Arial"/>
                          <w:sz w:val="16"/>
                          <w:szCs w:val="16"/>
                        </w:rPr>
                      </w:pPr>
                      <w:r w:rsidRPr="007E4207">
                        <w:rPr>
                          <w:rFonts w:ascii="Arial" w:hAnsi="Arial" w:cs="Arial"/>
                          <w:sz w:val="16"/>
                          <w:szCs w:val="16"/>
                        </w:rPr>
                        <w:t xml:space="preserve">Take actions to reduce emissions at the facility; </w:t>
                      </w:r>
                    </w:p>
                    <w:p w:rsidR="00FB7EB9" w:rsidRPr="007E4207" w:rsidRDefault="00FB7EB9" w:rsidP="00175561">
                      <w:pPr>
                        <w:spacing w:after="0"/>
                        <w:ind w:left="851" w:right="-18"/>
                        <w:jc w:val="center"/>
                        <w:rPr>
                          <w:rFonts w:ascii="Arial" w:hAnsi="Arial" w:cs="Arial"/>
                          <w:sz w:val="16"/>
                          <w:szCs w:val="16"/>
                        </w:rPr>
                      </w:pPr>
                      <w:r w:rsidRPr="007E4207">
                        <w:rPr>
                          <w:rFonts w:ascii="Arial" w:hAnsi="Arial" w:cs="Arial"/>
                          <w:sz w:val="16"/>
                          <w:szCs w:val="16"/>
                        </w:rPr>
                        <w:t>and/or</w:t>
                      </w:r>
                    </w:p>
                    <w:p w:rsidR="00FB7EB9" w:rsidRPr="007E4207" w:rsidRDefault="00FB7EB9" w:rsidP="00175561">
                      <w:pPr>
                        <w:pStyle w:val="ListParagraph"/>
                        <w:keepLines w:val="0"/>
                        <w:numPr>
                          <w:ilvl w:val="0"/>
                          <w:numId w:val="20"/>
                        </w:numPr>
                        <w:tabs>
                          <w:tab w:val="clear" w:pos="0"/>
                        </w:tabs>
                        <w:spacing w:before="0" w:after="0" w:line="252" w:lineRule="auto"/>
                        <w:ind w:left="567" w:right="-17" w:hanging="141"/>
                        <w:contextualSpacing/>
                        <w:rPr>
                          <w:rFonts w:ascii="Arial" w:hAnsi="Arial" w:cs="Arial"/>
                          <w:sz w:val="16"/>
                          <w:szCs w:val="16"/>
                        </w:rPr>
                      </w:pPr>
                      <w:r w:rsidRPr="007E4207">
                        <w:rPr>
                          <w:rFonts w:ascii="Arial" w:hAnsi="Arial" w:cs="Arial"/>
                          <w:sz w:val="16"/>
                          <w:szCs w:val="16"/>
                        </w:rPr>
                        <w:t>Offset emissions increases by voluntarily surrendering eligible carbon units.</w:t>
                      </w:r>
                    </w:p>
                    <w:p w:rsidR="00FB7EB9" w:rsidRPr="007E4207" w:rsidRDefault="00FB7EB9" w:rsidP="00175561">
                      <w:pPr>
                        <w:ind w:left="567" w:right="-71" w:hanging="141"/>
                        <w:rPr>
                          <w:rFonts w:ascii="Arial" w:hAnsi="Arial" w:cs="Arial"/>
                          <w:sz w:val="16"/>
                          <w:szCs w:val="16"/>
                        </w:rPr>
                      </w:pPr>
                    </w:p>
                  </w:txbxContent>
                </v:textbox>
              </v:shape>
              <v:shape id="_x0000_s1033" type="#_x0000_t55" style="position:absolute;left:3327;top:2545;width:4170;height:5234" fillcolor="#dbe5f1 [660]">
                <v:fill opacity="39977f"/>
                <v:textbox style="mso-next-textbox:#_x0000_s1033">
                  <w:txbxContent>
                    <w:p w:rsidR="00FB7EB9" w:rsidRPr="007E4207" w:rsidRDefault="00FB7EB9" w:rsidP="00175561">
                      <w:pPr>
                        <w:spacing w:after="100"/>
                        <w:ind w:left="567" w:right="176"/>
                        <w:rPr>
                          <w:rFonts w:ascii="Arial" w:hAnsi="Arial" w:cs="Arial"/>
                          <w:b/>
                          <w:sz w:val="16"/>
                          <w:szCs w:val="16"/>
                        </w:rPr>
                      </w:pPr>
                      <w:r w:rsidRPr="007E4207">
                        <w:rPr>
                          <w:rFonts w:ascii="Arial" w:hAnsi="Arial" w:cs="Arial"/>
                          <w:b/>
                          <w:sz w:val="16"/>
                          <w:szCs w:val="16"/>
                        </w:rPr>
                        <w:t>STEP 2: NOTIFICATION</w:t>
                      </w:r>
                    </w:p>
                    <w:p w:rsidR="00FB7EB9" w:rsidRPr="007E4207" w:rsidRDefault="00FB7EB9" w:rsidP="00175561">
                      <w:pPr>
                        <w:spacing w:after="100" w:line="252" w:lineRule="auto"/>
                        <w:ind w:left="709" w:right="-102"/>
                        <w:rPr>
                          <w:rFonts w:ascii="Arial" w:hAnsi="Arial" w:cs="Arial"/>
                          <w:sz w:val="16"/>
                          <w:szCs w:val="16"/>
                        </w:rPr>
                      </w:pPr>
                      <w:r w:rsidRPr="007E4207">
                        <w:rPr>
                          <w:rFonts w:ascii="Arial" w:hAnsi="Arial" w:cs="Arial"/>
                          <w:sz w:val="16"/>
                          <w:szCs w:val="16"/>
                        </w:rPr>
                        <w:t xml:space="preserve">The Regulator issues a notice to </w:t>
                      </w:r>
                      <w:r>
                        <w:rPr>
                          <w:rFonts w:ascii="Arial" w:hAnsi="Arial" w:cs="Arial"/>
                          <w:sz w:val="16"/>
                          <w:szCs w:val="16"/>
                        </w:rPr>
                        <w:t>responsible emitters</w:t>
                      </w:r>
                      <w:r w:rsidRPr="007E4207">
                        <w:rPr>
                          <w:rFonts w:ascii="Arial" w:hAnsi="Arial" w:cs="Arial"/>
                          <w:sz w:val="16"/>
                          <w:szCs w:val="16"/>
                        </w:rPr>
                        <w:t xml:space="preserve"> of facilities whose net emissions exceed their baseline in any given year.</w:t>
                      </w:r>
                    </w:p>
                  </w:txbxContent>
                </v:textbox>
              </v:shape>
            </v:group>
            <w10:wrap type="none"/>
            <w10:anchorlock/>
          </v:group>
        </w:pict>
      </w:r>
    </w:p>
    <w:p w:rsidR="00E83730" w:rsidRPr="00F82C8D" w:rsidRDefault="00E83730" w:rsidP="00E83730"/>
    <w:p w:rsidR="00F44A00" w:rsidRPr="00F82C8D" w:rsidRDefault="00F44A00" w:rsidP="007E4207">
      <w:pPr>
        <w:pStyle w:val="Heading2"/>
      </w:pPr>
      <w:bookmarkStart w:id="53" w:name="_Toc431975838"/>
      <w:r w:rsidRPr="00F82C8D">
        <w:t>Electricity sector</w:t>
      </w:r>
      <w:bookmarkEnd w:id="50"/>
      <w:bookmarkEnd w:id="51"/>
      <w:bookmarkEnd w:id="52"/>
      <w:bookmarkEnd w:id="53"/>
    </w:p>
    <w:p w:rsidR="001F7D80" w:rsidRPr="00F82C8D" w:rsidRDefault="001F7D80" w:rsidP="001F7D80">
      <w:pPr>
        <w:rPr>
          <w:rFonts w:cs="Times New Roman"/>
          <w:szCs w:val="24"/>
        </w:rPr>
      </w:pPr>
      <w:r w:rsidRPr="00F82C8D">
        <w:rPr>
          <w:rFonts w:cs="Times New Roman"/>
          <w:szCs w:val="24"/>
        </w:rPr>
        <w:t>A sectoral approach is taken to the coverage of grid-c</w:t>
      </w:r>
      <w:r w:rsidR="00DD0EFF" w:rsidRPr="00F82C8D">
        <w:rPr>
          <w:rFonts w:cs="Times New Roman"/>
          <w:szCs w:val="24"/>
        </w:rPr>
        <w:t>onnected electricity generators, which</w:t>
      </w:r>
      <w:r w:rsidRPr="00F82C8D">
        <w:rPr>
          <w:rFonts w:cs="Times New Roman"/>
          <w:szCs w:val="24"/>
        </w:rPr>
        <w:t xml:space="preserve"> </w:t>
      </w:r>
      <w:r w:rsidR="00DD0EFF" w:rsidRPr="00F82C8D">
        <w:rPr>
          <w:lang w:val="en-AU"/>
        </w:rPr>
        <w:t>is defined to include the following five electricity</w:t>
      </w:r>
      <w:r w:rsidR="00DD0EFF" w:rsidRPr="00F82C8D">
        <w:rPr>
          <w:sz w:val="28"/>
          <w:lang w:val="en-AU"/>
        </w:rPr>
        <w:t xml:space="preserve"> </w:t>
      </w:r>
      <w:r w:rsidR="00DD0EFF" w:rsidRPr="00F82C8D">
        <w:rPr>
          <w:lang w:val="en-AU"/>
        </w:rPr>
        <w:t>grids: the National Electricity Market</w:t>
      </w:r>
      <w:r w:rsidR="001B2098" w:rsidRPr="00F82C8D">
        <w:rPr>
          <w:lang w:val="en-AU"/>
        </w:rPr>
        <w:t>,</w:t>
      </w:r>
      <w:r w:rsidR="00DD0EFF" w:rsidRPr="00F82C8D">
        <w:rPr>
          <w:lang w:val="en-AU"/>
        </w:rPr>
        <w:t xml:space="preserve"> the South West Interconnected System</w:t>
      </w:r>
      <w:r w:rsidR="001B2098" w:rsidRPr="00F82C8D">
        <w:rPr>
          <w:lang w:val="en-AU"/>
        </w:rPr>
        <w:t>,</w:t>
      </w:r>
      <w:r w:rsidR="00DD0EFF" w:rsidRPr="00F82C8D">
        <w:rPr>
          <w:lang w:val="en-AU"/>
        </w:rPr>
        <w:t xml:space="preserve"> the North West Interconnected System</w:t>
      </w:r>
      <w:r w:rsidR="001B2098" w:rsidRPr="00F82C8D">
        <w:rPr>
          <w:lang w:val="en-AU"/>
        </w:rPr>
        <w:t>,</w:t>
      </w:r>
      <w:r w:rsidR="00DD0EFF" w:rsidRPr="00F82C8D">
        <w:rPr>
          <w:lang w:val="en-AU"/>
        </w:rPr>
        <w:t xml:space="preserve"> the Darwin-Katherine Interconnected System</w:t>
      </w:r>
      <w:r w:rsidR="001B2098" w:rsidRPr="00F82C8D">
        <w:rPr>
          <w:lang w:val="en-AU"/>
        </w:rPr>
        <w:t>,</w:t>
      </w:r>
      <w:r w:rsidR="00DD0EFF" w:rsidRPr="00F82C8D">
        <w:rPr>
          <w:lang w:val="en-AU"/>
        </w:rPr>
        <w:t xml:space="preserve"> and the Mount Isa–Cloncurry Supply Network. </w:t>
      </w:r>
      <w:r w:rsidRPr="00F82C8D">
        <w:rPr>
          <w:rFonts w:cs="Times New Roman"/>
          <w:szCs w:val="24"/>
        </w:rPr>
        <w:t xml:space="preserve">A </w:t>
      </w:r>
      <w:r w:rsidR="008322CE" w:rsidRPr="00F82C8D">
        <w:rPr>
          <w:rFonts w:cs="Times New Roman"/>
          <w:szCs w:val="24"/>
        </w:rPr>
        <w:t>sectoral-baseline</w:t>
      </w:r>
      <w:r w:rsidRPr="00F82C8D">
        <w:rPr>
          <w:rFonts w:cs="Times New Roman"/>
          <w:szCs w:val="24"/>
        </w:rPr>
        <w:t>, equal to 198 million tonnes CO</w:t>
      </w:r>
      <w:r w:rsidRPr="00F82C8D">
        <w:rPr>
          <w:rFonts w:cs="Times New Roman"/>
          <w:szCs w:val="24"/>
          <w:vertAlign w:val="subscript"/>
        </w:rPr>
        <w:t>2</w:t>
      </w:r>
      <w:r w:rsidRPr="00F82C8D">
        <w:rPr>
          <w:rFonts w:cs="Times New Roman"/>
          <w:szCs w:val="24"/>
        </w:rPr>
        <w:t xml:space="preserve">-e, applies to all grid-connected electricity generators. This baseline has been worked as the sum of the scope 1 emissions from </w:t>
      </w:r>
      <w:r w:rsidRPr="00F82C8D">
        <w:rPr>
          <w:rFonts w:cs="Times New Roman"/>
          <w:szCs w:val="24"/>
        </w:rPr>
        <w:br/>
        <w:t>grid-connected generators in 2009-10.</w:t>
      </w:r>
    </w:p>
    <w:p w:rsidR="001F7D80" w:rsidRPr="00F82C8D" w:rsidRDefault="001F7D80" w:rsidP="001F7D80">
      <w:pPr>
        <w:rPr>
          <w:rFonts w:cs="Times New Roman"/>
          <w:szCs w:val="24"/>
        </w:rPr>
      </w:pPr>
      <w:r w:rsidRPr="00F82C8D">
        <w:rPr>
          <w:rFonts w:cs="Times New Roman"/>
          <w:szCs w:val="24"/>
        </w:rPr>
        <w:t xml:space="preserve">The Regulator will publish a statement on its website that the </w:t>
      </w:r>
      <w:r w:rsidR="008322CE" w:rsidRPr="00F82C8D">
        <w:rPr>
          <w:rFonts w:cs="Times New Roman"/>
          <w:szCs w:val="24"/>
        </w:rPr>
        <w:t>sectoral-baseline</w:t>
      </w:r>
      <w:r w:rsidRPr="00F82C8D">
        <w:rPr>
          <w:rFonts w:cs="Times New Roman"/>
          <w:szCs w:val="24"/>
        </w:rPr>
        <w:t xml:space="preserve"> has been exceeded in the year afte</w:t>
      </w:r>
      <w:r w:rsidR="00F62F50" w:rsidRPr="00F82C8D">
        <w:rPr>
          <w:rFonts w:cs="Times New Roman"/>
          <w:szCs w:val="24"/>
        </w:rPr>
        <w:t>r the exceedance has occurred. Individual g</w:t>
      </w:r>
      <w:r w:rsidRPr="00F82C8D">
        <w:rPr>
          <w:rFonts w:cs="Times New Roman"/>
          <w:szCs w:val="24"/>
        </w:rPr>
        <w:t xml:space="preserve">rid-connected generators are not covered up to and including each year that the Regulator publishes this statement. </w:t>
      </w:r>
    </w:p>
    <w:p w:rsidR="001F7D80" w:rsidRPr="00F82C8D" w:rsidRDefault="001F7D80" w:rsidP="001F7D80">
      <w:pPr>
        <w:rPr>
          <w:rFonts w:cs="Times New Roman"/>
          <w:szCs w:val="24"/>
        </w:rPr>
      </w:pPr>
      <w:r w:rsidRPr="00F82C8D">
        <w:rPr>
          <w:rFonts w:cs="Times New Roman"/>
          <w:szCs w:val="24"/>
        </w:rPr>
        <w:t>Individual baselines, set at each facility’s highest annual emissions between 2009-10 and</w:t>
      </w:r>
      <w:r w:rsidRPr="00F82C8D">
        <w:rPr>
          <w:rFonts w:cs="Times New Roman"/>
          <w:szCs w:val="24"/>
        </w:rPr>
        <w:br/>
        <w:t xml:space="preserve">2013-14, will apply to grid-connected generators when the </w:t>
      </w:r>
      <w:r w:rsidR="008322CE" w:rsidRPr="00F82C8D">
        <w:rPr>
          <w:rFonts w:cs="Times New Roman"/>
          <w:szCs w:val="24"/>
        </w:rPr>
        <w:t>sectoral-baseline</w:t>
      </w:r>
      <w:r w:rsidRPr="00F82C8D">
        <w:rPr>
          <w:rFonts w:cs="Times New Roman"/>
          <w:szCs w:val="24"/>
        </w:rPr>
        <w:t xml:space="preserve"> no longer applies. Grid-connected generators will have access to the same general baseline adjustment and emissions management options as facilities in other sectors, other than in the following areas:</w:t>
      </w:r>
    </w:p>
    <w:p w:rsidR="001F7D80" w:rsidRPr="00F82C8D" w:rsidRDefault="001F7D80" w:rsidP="006A2BF9">
      <w:pPr>
        <w:numPr>
          <w:ilvl w:val="0"/>
          <w:numId w:val="28"/>
        </w:numPr>
        <w:ind w:left="357" w:hanging="357"/>
        <w:rPr>
          <w:rFonts w:cs="Times New Roman"/>
          <w:szCs w:val="24"/>
        </w:rPr>
      </w:pPr>
      <w:r w:rsidRPr="00F82C8D">
        <w:rPr>
          <w:rFonts w:cs="Times New Roman"/>
          <w:i/>
          <w:szCs w:val="24"/>
        </w:rPr>
        <w:t>initial calculated-emissions baselines:</w:t>
      </w:r>
      <w:r w:rsidRPr="00F82C8D">
        <w:rPr>
          <w:rFonts w:cs="Times New Roman"/>
          <w:szCs w:val="24"/>
        </w:rPr>
        <w:t xml:space="preserve"> grid-connected electricity generators are not eligible</w:t>
      </w:r>
      <w:r w:rsidR="00DD0EFF" w:rsidRPr="00F82C8D">
        <w:rPr>
          <w:rFonts w:cs="Times New Roman"/>
          <w:szCs w:val="24"/>
        </w:rPr>
        <w:t xml:space="preserve"> to</w:t>
      </w:r>
      <w:r w:rsidRPr="00F82C8D">
        <w:rPr>
          <w:rFonts w:cs="Times New Roman"/>
          <w:szCs w:val="24"/>
        </w:rPr>
        <w:t xml:space="preserve"> apply to adjust their baseline if their individual emissions exceed their individual baselines in the first year of the safeguard mechanism. This is because </w:t>
      </w:r>
      <w:r w:rsidR="00F62F50" w:rsidRPr="00F82C8D">
        <w:t>grid connected generators are included in the sectoral approach. In addition</w:t>
      </w:r>
      <w:r w:rsidR="00F62F50" w:rsidRPr="00F82C8D">
        <w:rPr>
          <w:rFonts w:cs="Times New Roman"/>
          <w:szCs w:val="24"/>
        </w:rPr>
        <w:t xml:space="preserve">, </w:t>
      </w:r>
      <w:r w:rsidRPr="00F82C8D">
        <w:rPr>
          <w:rFonts w:cs="Times New Roman"/>
          <w:szCs w:val="24"/>
        </w:rPr>
        <w:t>entities in control of multiple generators have the ability to shift production between generators in order to satisfy the initial calculated-emissions baseline criteria.</w:t>
      </w:r>
    </w:p>
    <w:p w:rsidR="001F7D80" w:rsidRPr="00F82C8D" w:rsidRDefault="001F7D80" w:rsidP="006A2BF9">
      <w:pPr>
        <w:numPr>
          <w:ilvl w:val="0"/>
          <w:numId w:val="28"/>
        </w:numPr>
        <w:ind w:left="357" w:hanging="357"/>
        <w:rPr>
          <w:rFonts w:cs="Times New Roman"/>
          <w:szCs w:val="24"/>
        </w:rPr>
      </w:pPr>
      <w:r w:rsidRPr="00F82C8D">
        <w:rPr>
          <w:rFonts w:cs="Times New Roman"/>
          <w:szCs w:val="24"/>
        </w:rPr>
        <w:t xml:space="preserve"> </w:t>
      </w:r>
      <w:r w:rsidRPr="00F82C8D">
        <w:rPr>
          <w:rFonts w:cs="Times New Roman"/>
          <w:i/>
          <w:szCs w:val="24"/>
        </w:rPr>
        <w:t>duration of calculated-emissions</w:t>
      </w:r>
      <w:r w:rsidR="009A384C" w:rsidRPr="00F82C8D">
        <w:rPr>
          <w:rFonts w:cs="Times New Roman"/>
          <w:i/>
          <w:szCs w:val="24"/>
        </w:rPr>
        <w:t xml:space="preserve"> and benchmark-emissions</w:t>
      </w:r>
      <w:r w:rsidRPr="00F82C8D">
        <w:rPr>
          <w:rFonts w:cs="Times New Roman"/>
          <w:i/>
          <w:szCs w:val="24"/>
        </w:rPr>
        <w:t xml:space="preserve"> baseline determinations</w:t>
      </w:r>
      <w:r w:rsidRPr="00F82C8D">
        <w:rPr>
          <w:rFonts w:cs="Times New Roman"/>
          <w:szCs w:val="24"/>
        </w:rPr>
        <w:t xml:space="preserve">: new grid-connected generators are not eligible for an extended forecast period of five years when calculating baselines under the </w:t>
      </w:r>
      <w:r w:rsidR="00ED3A8A" w:rsidRPr="00F82C8D">
        <w:rPr>
          <w:rFonts w:cs="Times New Roman"/>
          <w:szCs w:val="24"/>
        </w:rPr>
        <w:t>calculated-emissions</w:t>
      </w:r>
      <w:r w:rsidRPr="00F82C8D">
        <w:rPr>
          <w:rFonts w:cs="Times New Roman"/>
          <w:szCs w:val="24"/>
        </w:rPr>
        <w:t xml:space="preserve"> approach</w:t>
      </w:r>
      <w:r w:rsidR="009A384C" w:rsidRPr="00F82C8D">
        <w:rPr>
          <w:rFonts w:cs="Times New Roman"/>
          <w:szCs w:val="24"/>
        </w:rPr>
        <w:t xml:space="preserve"> or the </w:t>
      </w:r>
      <w:r w:rsidR="00ED3A8A" w:rsidRPr="00F82C8D">
        <w:rPr>
          <w:rFonts w:cs="Times New Roman"/>
          <w:szCs w:val="24"/>
        </w:rPr>
        <w:t xml:space="preserve">benchmark-emissions </w:t>
      </w:r>
      <w:r w:rsidR="009A384C" w:rsidRPr="00F82C8D">
        <w:rPr>
          <w:rFonts w:cs="Times New Roman"/>
          <w:szCs w:val="24"/>
        </w:rPr>
        <w:t>approach</w:t>
      </w:r>
      <w:r w:rsidRPr="00F82C8D">
        <w:rPr>
          <w:rFonts w:cs="Times New Roman"/>
          <w:szCs w:val="24"/>
        </w:rPr>
        <w:t xml:space="preserve">, even if they meet the criteria of a large </w:t>
      </w:r>
      <w:r w:rsidR="009A384C" w:rsidRPr="00F82C8D">
        <w:rPr>
          <w:rFonts w:cs="Times New Roman"/>
          <w:szCs w:val="24"/>
        </w:rPr>
        <w:t xml:space="preserve">new </w:t>
      </w:r>
      <w:r w:rsidRPr="00F82C8D">
        <w:rPr>
          <w:rFonts w:cs="Times New Roman"/>
          <w:szCs w:val="24"/>
        </w:rPr>
        <w:t>facility. The extended forecast period is intended to address longer lead times to reach full production that occur in other sectors of the economy.</w:t>
      </w:r>
    </w:p>
    <w:p w:rsidR="001F7D80" w:rsidRPr="00F82C8D" w:rsidRDefault="001F7D80" w:rsidP="001F7D80">
      <w:pPr>
        <w:rPr>
          <w:rFonts w:cs="Times New Roman"/>
          <w:szCs w:val="24"/>
        </w:rPr>
      </w:pPr>
      <w:r w:rsidRPr="00F82C8D">
        <w:rPr>
          <w:rFonts w:cs="Times New Roman"/>
          <w:szCs w:val="24"/>
        </w:rPr>
        <w:t xml:space="preserve">Other than the differences described above, baselines for new </w:t>
      </w:r>
      <w:r w:rsidR="009A384C" w:rsidRPr="00F82C8D">
        <w:rPr>
          <w:rFonts w:cs="Times New Roman"/>
          <w:szCs w:val="24"/>
        </w:rPr>
        <w:t>grid-connected</w:t>
      </w:r>
      <w:r w:rsidRPr="00F82C8D">
        <w:rPr>
          <w:rFonts w:cs="Times New Roman"/>
          <w:szCs w:val="24"/>
        </w:rPr>
        <w:t xml:space="preserve"> generators will be set in a manner that is consistent with other sectors.</w:t>
      </w:r>
    </w:p>
    <w:p w:rsidR="00597312" w:rsidRPr="00F82C8D" w:rsidRDefault="00597312" w:rsidP="001F7D80">
      <w:pPr>
        <w:rPr>
          <w:rFonts w:cs="Times New Roman"/>
          <w:szCs w:val="24"/>
        </w:rPr>
      </w:pPr>
      <w:r w:rsidRPr="00F82C8D">
        <w:rPr>
          <w:rFonts w:cs="Times New Roman"/>
          <w:szCs w:val="24"/>
        </w:rPr>
        <w:t xml:space="preserve">The approach to the electricity sector, and the arrangements that apply once the </w:t>
      </w:r>
      <w:r w:rsidR="008322CE" w:rsidRPr="00F82C8D">
        <w:rPr>
          <w:rFonts w:cs="Times New Roman"/>
          <w:szCs w:val="24"/>
        </w:rPr>
        <w:t>sectoral-baseline</w:t>
      </w:r>
      <w:r w:rsidRPr="00F82C8D">
        <w:rPr>
          <w:rFonts w:cs="Times New Roman"/>
          <w:szCs w:val="24"/>
        </w:rPr>
        <w:t xml:space="preserve"> is exceeded, will be reviewed </w:t>
      </w:r>
      <w:r w:rsidR="00F33448">
        <w:rPr>
          <w:rFonts w:cs="Times New Roman"/>
          <w:szCs w:val="24"/>
        </w:rPr>
        <w:t>in</w:t>
      </w:r>
      <w:r w:rsidRPr="00F82C8D">
        <w:rPr>
          <w:rFonts w:cs="Times New Roman"/>
          <w:szCs w:val="24"/>
        </w:rPr>
        <w:t xml:space="preserve"> 2017.</w:t>
      </w:r>
    </w:p>
    <w:p w:rsidR="00F44A00" w:rsidRPr="00F82C8D" w:rsidRDefault="00F44A00" w:rsidP="007E4207">
      <w:pPr>
        <w:pStyle w:val="Heading2"/>
      </w:pPr>
      <w:bookmarkStart w:id="54" w:name="_Toc425920483"/>
      <w:bookmarkStart w:id="55" w:name="_Toc431975839"/>
      <w:r w:rsidRPr="00F82C8D">
        <w:t>Administration</w:t>
      </w:r>
      <w:bookmarkEnd w:id="54"/>
      <w:bookmarkEnd w:id="55"/>
    </w:p>
    <w:p w:rsidR="00F44A00" w:rsidRPr="00F82C8D" w:rsidRDefault="00F44A00" w:rsidP="00F44A00">
      <w:pPr>
        <w:rPr>
          <w:rFonts w:cs="Times New Roman"/>
          <w:szCs w:val="24"/>
        </w:rPr>
      </w:pPr>
      <w:r w:rsidRPr="00F82C8D">
        <w:rPr>
          <w:rFonts w:cs="Times New Roman"/>
          <w:szCs w:val="24"/>
        </w:rPr>
        <w:t xml:space="preserve">Administrative arrangements will be consistent across all elements of the Emissions Reduction Fund. The Government will make decisions about the design of the safeguard mechanism. Through the Minister for the Environment, the Government will be responsible for making the rules that will guide its operations. </w:t>
      </w:r>
    </w:p>
    <w:p w:rsidR="00F44A00" w:rsidRPr="00F82C8D" w:rsidRDefault="00F44A00" w:rsidP="00F44A00">
      <w:pPr>
        <w:rPr>
          <w:rFonts w:cs="Times New Roman"/>
          <w:szCs w:val="24"/>
        </w:rPr>
      </w:pPr>
      <w:r w:rsidRPr="00F82C8D">
        <w:rPr>
          <w:rFonts w:cs="Times New Roman"/>
          <w:szCs w:val="24"/>
        </w:rPr>
        <w:t xml:space="preserve">The Regulator will administer the safeguard mechanism and apply its rules, including managing the compliance of covered businesses. In general, determinations and declarations made by the Regulator are subject to review by the Administrative Appeals Tribunal. </w:t>
      </w:r>
    </w:p>
    <w:p w:rsidR="00F44A00" w:rsidRPr="00F82C8D" w:rsidRDefault="00F44A00" w:rsidP="00F44A00">
      <w:pPr>
        <w:rPr>
          <w:rFonts w:cs="Times New Roman"/>
          <w:szCs w:val="24"/>
        </w:rPr>
      </w:pPr>
      <w:r w:rsidRPr="00F82C8D">
        <w:rPr>
          <w:rFonts w:cs="Times New Roman"/>
          <w:szCs w:val="24"/>
        </w:rPr>
        <w:t xml:space="preserve">The Regulator currently administers the National Greenhouse and Energy Reporting Scheme and has the required expertise to perform the administrative functions associated with the safeguard mechanism. </w:t>
      </w:r>
    </w:p>
    <w:p w:rsidR="00F44A00" w:rsidRPr="00F82C8D" w:rsidRDefault="00F44A00" w:rsidP="007E4207">
      <w:pPr>
        <w:pStyle w:val="Heading3"/>
      </w:pPr>
      <w:bookmarkStart w:id="56" w:name="_Toc425920484"/>
      <w:r w:rsidRPr="00F82C8D">
        <w:t>Publication of information</w:t>
      </w:r>
      <w:bookmarkEnd w:id="56"/>
    </w:p>
    <w:p w:rsidR="00F44A00" w:rsidRPr="00F82C8D" w:rsidRDefault="00F44A00" w:rsidP="00F44A00">
      <w:pPr>
        <w:rPr>
          <w:rFonts w:cs="Times New Roman"/>
          <w:szCs w:val="24"/>
        </w:rPr>
      </w:pPr>
      <w:r w:rsidRPr="00F82C8D">
        <w:rPr>
          <w:rFonts w:cs="Times New Roman"/>
          <w:szCs w:val="24"/>
        </w:rPr>
        <w:t>To ensure that information about the effectiveness of the safeguard mechanism is available to the public, the Regulator will publish regular information about its operation, including the following information:</w:t>
      </w:r>
    </w:p>
    <w:p w:rsidR="00F44A00" w:rsidRPr="00F82C8D" w:rsidRDefault="00F44A00" w:rsidP="00464595">
      <w:pPr>
        <w:pStyle w:val="ListParagraph"/>
        <w:keepLines w:val="0"/>
        <w:numPr>
          <w:ilvl w:val="0"/>
          <w:numId w:val="16"/>
        </w:numPr>
        <w:tabs>
          <w:tab w:val="clear" w:pos="0"/>
        </w:tabs>
        <w:spacing w:before="0" w:after="240"/>
      </w:pPr>
      <w:r w:rsidRPr="00F82C8D">
        <w:t>facilities cov</w:t>
      </w:r>
      <w:r w:rsidR="007E4207" w:rsidRPr="00F82C8D">
        <w:t>ered by the safeguard mechanism</w:t>
      </w:r>
    </w:p>
    <w:p w:rsidR="00F44A00" w:rsidRPr="00F82C8D" w:rsidRDefault="00F44A00" w:rsidP="00464595">
      <w:pPr>
        <w:pStyle w:val="ListParagraph"/>
        <w:keepLines w:val="0"/>
        <w:numPr>
          <w:ilvl w:val="0"/>
          <w:numId w:val="16"/>
        </w:numPr>
        <w:tabs>
          <w:tab w:val="clear" w:pos="0"/>
        </w:tabs>
        <w:spacing w:before="0" w:after="240"/>
      </w:pPr>
      <w:r w:rsidRPr="00F82C8D">
        <w:t>baseline d</w:t>
      </w:r>
      <w:r w:rsidR="007E4207" w:rsidRPr="00F82C8D">
        <w:t>eterminations for each facility</w:t>
      </w:r>
    </w:p>
    <w:p w:rsidR="00F44A00" w:rsidRPr="00F82C8D" w:rsidRDefault="00F44A00" w:rsidP="00464595">
      <w:pPr>
        <w:pStyle w:val="ListParagraph"/>
        <w:keepLines w:val="0"/>
        <w:numPr>
          <w:ilvl w:val="0"/>
          <w:numId w:val="16"/>
        </w:numPr>
        <w:tabs>
          <w:tab w:val="clear" w:pos="0"/>
        </w:tabs>
        <w:spacing w:before="0" w:after="240"/>
      </w:pPr>
      <w:r w:rsidRPr="00F82C8D">
        <w:t>net emissions, covered emissions and surren</w:t>
      </w:r>
      <w:r w:rsidR="007E4207" w:rsidRPr="00F82C8D">
        <w:t>dered offsets for each facility</w:t>
      </w:r>
    </w:p>
    <w:p w:rsidR="00F44A00" w:rsidRPr="00F82C8D" w:rsidRDefault="00F44A00" w:rsidP="00464595">
      <w:pPr>
        <w:pStyle w:val="ListParagraph"/>
        <w:keepLines w:val="0"/>
        <w:numPr>
          <w:ilvl w:val="0"/>
          <w:numId w:val="16"/>
        </w:numPr>
        <w:tabs>
          <w:tab w:val="clear" w:pos="0"/>
        </w:tabs>
        <w:spacing w:before="0" w:after="240"/>
      </w:pPr>
      <w:r w:rsidRPr="00F82C8D">
        <w:t>for facilities that have a multi-year monitoring period, the start and end d</w:t>
      </w:r>
      <w:r w:rsidR="007E4207" w:rsidRPr="00F82C8D">
        <w:t>ate of that monitoring period</w:t>
      </w:r>
    </w:p>
    <w:p w:rsidR="00F44A00" w:rsidRPr="00F82C8D" w:rsidRDefault="00F44A00" w:rsidP="00464595">
      <w:pPr>
        <w:pStyle w:val="ListParagraph"/>
        <w:keepLines w:val="0"/>
        <w:numPr>
          <w:ilvl w:val="0"/>
          <w:numId w:val="16"/>
        </w:numPr>
        <w:tabs>
          <w:tab w:val="clear" w:pos="0"/>
        </w:tabs>
        <w:spacing w:before="0" w:after="240"/>
      </w:pPr>
      <w:r w:rsidRPr="00F82C8D">
        <w:t>operators whose emissions over the monitori</w:t>
      </w:r>
      <w:r w:rsidR="007E4207" w:rsidRPr="00F82C8D">
        <w:t>ng period exceed their baseline</w:t>
      </w:r>
    </w:p>
    <w:p w:rsidR="00F44A00" w:rsidRPr="00F82C8D" w:rsidRDefault="00F44A00" w:rsidP="00464595">
      <w:pPr>
        <w:pStyle w:val="ListParagraph"/>
        <w:keepLines w:val="0"/>
        <w:numPr>
          <w:ilvl w:val="0"/>
          <w:numId w:val="16"/>
        </w:numPr>
        <w:tabs>
          <w:tab w:val="clear" w:pos="0"/>
        </w:tabs>
        <w:spacing w:before="0" w:after="240"/>
      </w:pPr>
      <w:r w:rsidRPr="00F82C8D">
        <w:t>facilities declared exempt from safeguard obligations due to exceptional circumstances.</w:t>
      </w:r>
    </w:p>
    <w:p w:rsidR="00DB293E" w:rsidRPr="00F82C8D" w:rsidRDefault="00E04A16">
      <w:bookmarkStart w:id="57" w:name="_Toc425920485"/>
      <w:r w:rsidRPr="00F82C8D">
        <w:t>The approach to publication of information under the safeguard mechanism is to ensure that commercially sensitive data is not published, but sufficient data is released to allow the public to assess progress against safeguard mechanism objectives.</w:t>
      </w:r>
    </w:p>
    <w:p w:rsidR="00F44A00" w:rsidRPr="00F82C8D" w:rsidRDefault="00F44A00" w:rsidP="007E4207">
      <w:pPr>
        <w:pStyle w:val="Heading3"/>
      </w:pPr>
      <w:r w:rsidRPr="00F82C8D">
        <w:t>Review</w:t>
      </w:r>
      <w:bookmarkEnd w:id="57"/>
    </w:p>
    <w:p w:rsidR="008C46D6" w:rsidRPr="008C46D6" w:rsidRDefault="008C46D6" w:rsidP="008C46D6">
      <w:pPr>
        <w:rPr>
          <w:rFonts w:cs="Times New Roman"/>
          <w:szCs w:val="24"/>
          <w:lang w:val="en-AU"/>
        </w:rPr>
      </w:pPr>
      <w:r w:rsidRPr="008C46D6">
        <w:rPr>
          <w:rFonts w:cs="Times New Roman"/>
          <w:szCs w:val="24"/>
          <w:lang w:val="en-AU"/>
        </w:rPr>
        <w:t xml:space="preserve">The Emissions Reduction Fund – including crediting, purchasing and the safeguard mechanism – is a core component of the policy suite to meet Australia’s emissions reduction target of 26-28 per cent below 2005 levels by 2030. The Government considers it appropriate that the mechanism be reviewed on an ongoing basis to ensure that it makes an effective contribution to Australia’s emissions reduction target. </w:t>
      </w:r>
    </w:p>
    <w:p w:rsidR="008C46D6" w:rsidRPr="00F33448" w:rsidRDefault="008C46D6" w:rsidP="008C46D6">
      <w:pPr>
        <w:rPr>
          <w:rFonts w:cs="Times New Roman"/>
          <w:szCs w:val="24"/>
          <w:lang w:val="en-AU"/>
        </w:rPr>
      </w:pPr>
      <w:r w:rsidRPr="008C46D6">
        <w:rPr>
          <w:rFonts w:cs="Times New Roman"/>
          <w:szCs w:val="24"/>
          <w:lang w:val="en-AU"/>
        </w:rPr>
        <w:t xml:space="preserve">A review of the operation of the safeguard </w:t>
      </w:r>
      <w:r w:rsidRPr="00F33448">
        <w:rPr>
          <w:rFonts w:cs="Times New Roman"/>
          <w:szCs w:val="24"/>
          <w:lang w:val="en-AU"/>
        </w:rPr>
        <w:t xml:space="preserve">mechanism will commence by 30 June 2017 </w:t>
      </w:r>
      <w:r w:rsidR="00F33448" w:rsidRPr="00F33448">
        <w:t xml:space="preserve">and report by 15 November 2017 </w:t>
      </w:r>
      <w:r w:rsidRPr="00F33448">
        <w:rPr>
          <w:rFonts w:cs="Times New Roman"/>
          <w:szCs w:val="24"/>
          <w:lang w:val="en-AU"/>
        </w:rPr>
        <w:t xml:space="preserve">covering the following elements: </w:t>
      </w:r>
    </w:p>
    <w:p w:rsidR="008C46D6" w:rsidRPr="00F33448" w:rsidRDefault="008C46D6" w:rsidP="008C46D6">
      <w:pPr>
        <w:numPr>
          <w:ilvl w:val="0"/>
          <w:numId w:val="61"/>
        </w:numPr>
        <w:rPr>
          <w:rFonts w:cs="Times New Roman"/>
          <w:szCs w:val="24"/>
          <w:lang w:val="en-AU"/>
        </w:rPr>
      </w:pPr>
      <w:r w:rsidRPr="00F33448">
        <w:rPr>
          <w:rFonts w:cs="Times New Roman"/>
          <w:szCs w:val="24"/>
          <w:lang w:val="en-AU"/>
        </w:rPr>
        <w:t>the operation of the safeguard mechanism in concert with the crediting and purchasing elements of the Emission Reduction Fund</w:t>
      </w:r>
    </w:p>
    <w:p w:rsidR="008C46D6" w:rsidRPr="00F33448" w:rsidRDefault="008C46D6" w:rsidP="008C46D6">
      <w:pPr>
        <w:numPr>
          <w:ilvl w:val="0"/>
          <w:numId w:val="61"/>
        </w:numPr>
        <w:rPr>
          <w:rFonts w:cs="Times New Roman"/>
          <w:szCs w:val="24"/>
          <w:lang w:val="en-AU"/>
        </w:rPr>
      </w:pPr>
      <w:r w:rsidRPr="00F33448">
        <w:rPr>
          <w:rFonts w:cs="Times New Roman"/>
          <w:szCs w:val="24"/>
          <w:lang w:val="en-AU"/>
        </w:rPr>
        <w:t>the effectiveness of the baseline setting approach for new investments already underway</w:t>
      </w:r>
    </w:p>
    <w:p w:rsidR="008C46D6" w:rsidRPr="00F33448" w:rsidRDefault="008C46D6" w:rsidP="008C46D6">
      <w:pPr>
        <w:numPr>
          <w:ilvl w:val="0"/>
          <w:numId w:val="61"/>
        </w:numPr>
        <w:rPr>
          <w:rFonts w:cs="Times New Roman"/>
          <w:szCs w:val="24"/>
          <w:lang w:val="en-AU"/>
        </w:rPr>
      </w:pPr>
      <w:r w:rsidRPr="00F33448">
        <w:rPr>
          <w:rFonts w:cs="Times New Roman"/>
          <w:szCs w:val="24"/>
          <w:lang w:val="en-AU"/>
        </w:rPr>
        <w:t>the transition to the best practice framework for new investments</w:t>
      </w:r>
    </w:p>
    <w:p w:rsidR="008C46D6" w:rsidRPr="008C46D6" w:rsidRDefault="008C46D6" w:rsidP="008C46D6">
      <w:pPr>
        <w:numPr>
          <w:ilvl w:val="0"/>
          <w:numId w:val="61"/>
        </w:numPr>
        <w:rPr>
          <w:rFonts w:cs="Times New Roman"/>
          <w:szCs w:val="24"/>
          <w:lang w:val="en-AU"/>
        </w:rPr>
      </w:pPr>
      <w:r w:rsidRPr="00F33448">
        <w:rPr>
          <w:rFonts w:cs="Times New Roman"/>
          <w:szCs w:val="24"/>
          <w:lang w:val="en-AU"/>
        </w:rPr>
        <w:t xml:space="preserve">any </w:t>
      </w:r>
      <w:r w:rsidR="00F33448" w:rsidRPr="00F33448">
        <w:t xml:space="preserve">conditions and criteria </w:t>
      </w:r>
      <w:r w:rsidRPr="00F33448">
        <w:rPr>
          <w:rFonts w:cs="Times New Roman"/>
          <w:szCs w:val="24"/>
          <w:lang w:val="en-AU"/>
        </w:rPr>
        <w:t>for existing facilities to adjust</w:t>
      </w:r>
      <w:r>
        <w:rPr>
          <w:rFonts w:cs="Times New Roman"/>
          <w:szCs w:val="24"/>
          <w:lang w:val="en-AU"/>
        </w:rPr>
        <w:t xml:space="preserve"> baselines</w:t>
      </w:r>
    </w:p>
    <w:p w:rsidR="008C46D6" w:rsidRDefault="008C46D6" w:rsidP="008C46D6">
      <w:pPr>
        <w:numPr>
          <w:ilvl w:val="0"/>
          <w:numId w:val="61"/>
        </w:numPr>
        <w:rPr>
          <w:rFonts w:cs="Times New Roman"/>
          <w:szCs w:val="24"/>
          <w:lang w:val="en-AU"/>
        </w:rPr>
      </w:pPr>
      <w:r w:rsidRPr="008C46D6">
        <w:rPr>
          <w:rFonts w:cs="Times New Roman"/>
          <w:szCs w:val="24"/>
          <w:lang w:val="en-AU"/>
        </w:rPr>
        <w:t>the role of the crediting, purchasing and safeguard mechanism elements of the Emission Reduction Fund in conjunction with the broader suite of emission reduction po</w:t>
      </w:r>
      <w:r w:rsidR="00F33448">
        <w:rPr>
          <w:rFonts w:cs="Times New Roman"/>
          <w:szCs w:val="24"/>
          <w:lang w:val="en-AU"/>
        </w:rPr>
        <w:t>licies to meet the 2030 target</w:t>
      </w:r>
    </w:p>
    <w:p w:rsidR="00F33448" w:rsidRPr="00F33448" w:rsidRDefault="00F33448" w:rsidP="008C46D6">
      <w:pPr>
        <w:numPr>
          <w:ilvl w:val="0"/>
          <w:numId w:val="61"/>
        </w:numPr>
        <w:rPr>
          <w:rFonts w:cs="Times New Roman"/>
          <w:szCs w:val="24"/>
          <w:lang w:val="en-AU"/>
        </w:rPr>
      </w:pPr>
      <w:r w:rsidRPr="00F33448">
        <w:t>an examination of how different sectors, including the electricity sector, are to be treated.</w:t>
      </w:r>
    </w:p>
    <w:p w:rsidR="00F44A00" w:rsidRPr="00F82C8D" w:rsidRDefault="00F44A00" w:rsidP="00F44A00">
      <w:pPr>
        <w:rPr>
          <w:rFonts w:cs="Times New Roman"/>
          <w:szCs w:val="24"/>
        </w:rPr>
      </w:pPr>
    </w:p>
    <w:p w:rsidR="00D26932" w:rsidRPr="00F82C8D" w:rsidRDefault="005D4E9D" w:rsidP="0043556F">
      <w:pPr>
        <w:spacing w:after="120" w:line="240" w:lineRule="auto"/>
        <w:rPr>
          <w:rFonts w:cs="Times New Roman"/>
          <w:szCs w:val="24"/>
          <w:u w:val="single"/>
          <w:lang w:val="en-AU"/>
        </w:rPr>
      </w:pPr>
      <w:r w:rsidRPr="00F82C8D">
        <w:rPr>
          <w:rFonts w:cs="Times New Roman"/>
          <w:szCs w:val="24"/>
          <w:lang w:val="en-AU"/>
        </w:rPr>
        <w:br w:type="page"/>
      </w:r>
    </w:p>
    <w:p w:rsidR="0043556F" w:rsidRPr="00F82C8D" w:rsidRDefault="00211337" w:rsidP="00622D84">
      <w:pPr>
        <w:pStyle w:val="Heading1"/>
      </w:pPr>
      <w:bookmarkStart w:id="58" w:name="_Toc426382202"/>
      <w:bookmarkStart w:id="59" w:name="_Toc431975840"/>
      <w:r w:rsidRPr="00F82C8D">
        <w:t>Part 1</w:t>
      </w:r>
      <w:r w:rsidR="00196785" w:rsidRPr="00F82C8D">
        <w:br/>
      </w:r>
      <w:r w:rsidR="0043556F" w:rsidRPr="00F82C8D">
        <w:t>Preliminary</w:t>
      </w:r>
      <w:bookmarkEnd w:id="58"/>
      <w:bookmarkEnd w:id="59"/>
    </w:p>
    <w:p w:rsidR="00196785" w:rsidRPr="00F82C8D" w:rsidRDefault="00196785" w:rsidP="00196785">
      <w:pPr>
        <w:pStyle w:val="Heading3"/>
      </w:pPr>
      <w:r w:rsidRPr="00F82C8D">
        <w:t xml:space="preserve">Outline of the </w:t>
      </w:r>
      <w:r w:rsidR="00211337" w:rsidRPr="00F82C8D">
        <w:t>Part</w:t>
      </w:r>
    </w:p>
    <w:p w:rsidR="00196785" w:rsidRPr="00F82C8D" w:rsidRDefault="00196785" w:rsidP="00625D31">
      <w:pPr>
        <w:pStyle w:val="ListParagraph"/>
        <w:rPr>
          <w:lang w:val="en-AU"/>
        </w:rPr>
      </w:pPr>
      <w:r w:rsidRPr="00F82C8D">
        <w:rPr>
          <w:lang w:val="en-AU"/>
        </w:rPr>
        <w:t xml:space="preserve">This </w:t>
      </w:r>
      <w:r w:rsidR="00211337" w:rsidRPr="00F82C8D">
        <w:rPr>
          <w:lang w:val="en-AU"/>
        </w:rPr>
        <w:t xml:space="preserve">Part </w:t>
      </w:r>
      <w:r w:rsidRPr="00F82C8D">
        <w:rPr>
          <w:lang w:val="en-AU"/>
        </w:rPr>
        <w:t>describes the name, commencement and authority for making</w:t>
      </w:r>
      <w:r w:rsidR="00EE4330" w:rsidRPr="00F82C8D">
        <w:rPr>
          <w:lang w:val="en-AU"/>
        </w:rPr>
        <w:t xml:space="preserve"> the safeguard rule. </w:t>
      </w:r>
      <w:r w:rsidR="00211337" w:rsidRPr="00F82C8D">
        <w:rPr>
          <w:lang w:val="en-AU"/>
        </w:rPr>
        <w:t xml:space="preserve">It also defines key terms used in the </w:t>
      </w:r>
      <w:r w:rsidR="00D360AB" w:rsidRPr="00F82C8D">
        <w:rPr>
          <w:lang w:val="en-AU"/>
        </w:rPr>
        <w:t>safeguard rule</w:t>
      </w:r>
      <w:r w:rsidR="00211337" w:rsidRPr="00F82C8D">
        <w:rPr>
          <w:lang w:val="en-AU"/>
        </w:rPr>
        <w:t>.</w:t>
      </w:r>
    </w:p>
    <w:p w:rsidR="00C03E5E" w:rsidRPr="00F82C8D" w:rsidRDefault="00C03E5E" w:rsidP="00625D31">
      <w:pPr>
        <w:pStyle w:val="ListParagraph"/>
        <w:rPr>
          <w:lang w:val="en-AU"/>
        </w:rPr>
      </w:pPr>
      <w:r w:rsidRPr="00F82C8D">
        <w:rPr>
          <w:lang w:val="en-AU"/>
        </w:rPr>
        <w:t xml:space="preserve">The type of information found </w:t>
      </w:r>
      <w:r w:rsidR="00DD0EFF" w:rsidRPr="00F82C8D">
        <w:rPr>
          <w:lang w:val="en-AU"/>
        </w:rPr>
        <w:t xml:space="preserve">in </w:t>
      </w:r>
      <w:r w:rsidRPr="00F82C8D">
        <w:rPr>
          <w:lang w:val="en-AU"/>
        </w:rPr>
        <w:t xml:space="preserve">Part 1 of the </w:t>
      </w:r>
      <w:r w:rsidR="00D360AB" w:rsidRPr="00F82C8D">
        <w:rPr>
          <w:lang w:val="en-AU"/>
        </w:rPr>
        <w:t>safeguard rule</w:t>
      </w:r>
      <w:r w:rsidRPr="00F82C8D">
        <w:rPr>
          <w:lang w:val="en-AU"/>
        </w:rPr>
        <w:t xml:space="preserve"> is typically generic for all legislative instruments. The section on definitions is however specific to the </w:t>
      </w:r>
      <w:r w:rsidR="00D360AB" w:rsidRPr="00F82C8D">
        <w:rPr>
          <w:lang w:val="en-AU"/>
        </w:rPr>
        <w:t>safeguard rule</w:t>
      </w:r>
      <w:r w:rsidRPr="00F82C8D">
        <w:rPr>
          <w:lang w:val="en-AU"/>
        </w:rPr>
        <w:t xml:space="preserve"> and essential for </w:t>
      </w:r>
      <w:r w:rsidR="00B4203F" w:rsidRPr="00F82C8D">
        <w:rPr>
          <w:lang w:val="en-AU"/>
        </w:rPr>
        <w:t xml:space="preserve">understanding </w:t>
      </w:r>
      <w:r w:rsidRPr="00F82C8D">
        <w:rPr>
          <w:lang w:val="en-AU"/>
        </w:rPr>
        <w:t>the requirements set out in subsequent parts.</w:t>
      </w:r>
    </w:p>
    <w:p w:rsidR="00EE4330" w:rsidRPr="00F82C8D" w:rsidRDefault="00571F9C" w:rsidP="00EE4330">
      <w:pPr>
        <w:pStyle w:val="Heading3"/>
      </w:pPr>
      <w:r w:rsidRPr="00F82C8D">
        <w:t>Section</w:t>
      </w:r>
      <w:r w:rsidR="00305453" w:rsidRPr="00F82C8D">
        <w:t>s</w:t>
      </w:r>
      <w:r w:rsidRPr="00F82C8D">
        <w:t xml:space="preserve"> 1, 2, 3: </w:t>
      </w:r>
      <w:r w:rsidR="00DB63DF" w:rsidRPr="00F82C8D">
        <w:t>Name, C</w:t>
      </w:r>
      <w:r w:rsidR="00EE4330" w:rsidRPr="00F82C8D">
        <w:t xml:space="preserve">ommencement, </w:t>
      </w:r>
      <w:r w:rsidR="00DB63DF" w:rsidRPr="00F82C8D">
        <w:t>A</w:t>
      </w:r>
      <w:r w:rsidR="00EE4330" w:rsidRPr="00F82C8D">
        <w:t>uthority</w:t>
      </w:r>
    </w:p>
    <w:p w:rsidR="0043556F" w:rsidRPr="00F82C8D" w:rsidRDefault="0043556F" w:rsidP="00625D31">
      <w:pPr>
        <w:pStyle w:val="ListParagraph"/>
        <w:rPr>
          <w:lang w:val="en-AU"/>
        </w:rPr>
      </w:pPr>
      <w:r w:rsidRPr="00F82C8D">
        <w:rPr>
          <w:lang w:val="en-AU"/>
        </w:rPr>
        <w:t xml:space="preserve">The name of the </w:t>
      </w:r>
      <w:r w:rsidR="00D360AB" w:rsidRPr="00F82C8D">
        <w:rPr>
          <w:lang w:val="en-AU"/>
        </w:rPr>
        <w:t>safeguard rule</w:t>
      </w:r>
      <w:r w:rsidRPr="00F82C8D">
        <w:rPr>
          <w:lang w:val="en-AU"/>
        </w:rPr>
        <w:t xml:space="preserve"> is the </w:t>
      </w:r>
      <w:r w:rsidRPr="00F82C8D">
        <w:rPr>
          <w:i/>
          <w:lang w:val="en-AU"/>
        </w:rPr>
        <w:t>National Greenhouse and Energy Reporting (Safeguard Mechanism) Rule 2015</w:t>
      </w:r>
      <w:r w:rsidR="00196785" w:rsidRPr="00F82C8D">
        <w:rPr>
          <w:lang w:val="en-AU"/>
        </w:rPr>
        <w:t>.</w:t>
      </w:r>
      <w:r w:rsidRPr="00F82C8D">
        <w:rPr>
          <w:lang w:val="en-AU"/>
        </w:rPr>
        <w:t xml:space="preserve"> </w:t>
      </w:r>
      <w:r w:rsidR="0092078A" w:rsidRPr="00F82C8D">
        <w:rPr>
          <w:b/>
          <w:i/>
          <w:sz w:val="20"/>
          <w:lang w:val="en-AU"/>
        </w:rPr>
        <w:t>[</w:t>
      </w:r>
      <w:r w:rsidRPr="00F82C8D">
        <w:rPr>
          <w:b/>
          <w:i/>
          <w:sz w:val="20"/>
          <w:lang w:val="en-AU"/>
        </w:rPr>
        <w:t>section 1</w:t>
      </w:r>
      <w:r w:rsidR="00744E76" w:rsidRPr="00F82C8D">
        <w:rPr>
          <w:b/>
          <w:i/>
          <w:sz w:val="20"/>
          <w:lang w:val="en-AU"/>
        </w:rPr>
        <w:t>]</w:t>
      </w:r>
      <w:r w:rsidRPr="00F82C8D">
        <w:rPr>
          <w:lang w:val="en-AU"/>
        </w:rPr>
        <w:t xml:space="preserve"> </w:t>
      </w:r>
    </w:p>
    <w:p w:rsidR="0043556F" w:rsidRPr="00F82C8D" w:rsidRDefault="0043556F" w:rsidP="00625D31">
      <w:pPr>
        <w:pStyle w:val="ListParagraph"/>
        <w:rPr>
          <w:lang w:val="en-AU"/>
        </w:rPr>
      </w:pPr>
      <w:r w:rsidRPr="00F82C8D">
        <w:rPr>
          <w:lang w:val="en-AU"/>
        </w:rPr>
        <w:t xml:space="preserve">The </w:t>
      </w:r>
      <w:r w:rsidR="00EE4330" w:rsidRPr="00F82C8D">
        <w:rPr>
          <w:lang w:val="en-AU"/>
        </w:rPr>
        <w:t>safeguard rule</w:t>
      </w:r>
      <w:r w:rsidRPr="00F82C8D">
        <w:rPr>
          <w:lang w:val="en-AU"/>
        </w:rPr>
        <w:t xml:space="preserve"> </w:t>
      </w:r>
      <w:r w:rsidR="00B4203F" w:rsidRPr="00F82C8D">
        <w:rPr>
          <w:lang w:val="en-AU"/>
        </w:rPr>
        <w:t>will</w:t>
      </w:r>
      <w:r w:rsidR="0058425D" w:rsidRPr="00F82C8D">
        <w:rPr>
          <w:lang w:val="en-AU"/>
        </w:rPr>
        <w:t xml:space="preserve"> </w:t>
      </w:r>
      <w:r w:rsidRPr="00F82C8D">
        <w:rPr>
          <w:lang w:val="en-AU"/>
        </w:rPr>
        <w:t>commence on 1 July 2016</w:t>
      </w:r>
      <w:r w:rsidR="00196785" w:rsidRPr="00F82C8D">
        <w:rPr>
          <w:lang w:val="en-AU"/>
        </w:rPr>
        <w:t>.</w:t>
      </w:r>
      <w:r w:rsidRPr="00F82C8D">
        <w:rPr>
          <w:lang w:val="en-AU"/>
        </w:rPr>
        <w:t xml:space="preserve"> </w:t>
      </w:r>
      <w:r w:rsidR="0092078A" w:rsidRPr="00F82C8D">
        <w:rPr>
          <w:b/>
          <w:i/>
          <w:sz w:val="20"/>
          <w:lang w:val="en-AU"/>
        </w:rPr>
        <w:t>[</w:t>
      </w:r>
      <w:r w:rsidRPr="00F82C8D">
        <w:rPr>
          <w:b/>
          <w:i/>
          <w:sz w:val="20"/>
          <w:lang w:val="en-AU"/>
        </w:rPr>
        <w:t>section 2</w:t>
      </w:r>
      <w:r w:rsidR="00744E76" w:rsidRPr="00F82C8D">
        <w:rPr>
          <w:b/>
          <w:i/>
          <w:sz w:val="20"/>
          <w:lang w:val="en-AU"/>
        </w:rPr>
        <w:t>]</w:t>
      </w:r>
    </w:p>
    <w:p w:rsidR="0043556F" w:rsidRPr="00F82C8D" w:rsidRDefault="0043556F" w:rsidP="00625D31">
      <w:pPr>
        <w:pStyle w:val="ListParagraph"/>
        <w:rPr>
          <w:lang w:val="en-AU"/>
        </w:rPr>
      </w:pPr>
      <w:r w:rsidRPr="00F82C8D">
        <w:rPr>
          <w:lang w:val="en-AU"/>
        </w:rPr>
        <w:t xml:space="preserve">The </w:t>
      </w:r>
      <w:r w:rsidR="00EE4330" w:rsidRPr="00F82C8D">
        <w:rPr>
          <w:lang w:val="en-AU"/>
        </w:rPr>
        <w:t>safeguard rule</w:t>
      </w:r>
      <w:r w:rsidRPr="00F82C8D">
        <w:rPr>
          <w:lang w:val="en-AU"/>
        </w:rPr>
        <w:t xml:space="preserve"> </w:t>
      </w:r>
      <w:r w:rsidR="00B4203F" w:rsidRPr="00F82C8D">
        <w:rPr>
          <w:lang w:val="en-AU"/>
        </w:rPr>
        <w:t>will</w:t>
      </w:r>
      <w:r w:rsidR="0058425D" w:rsidRPr="00F82C8D">
        <w:rPr>
          <w:lang w:val="en-AU"/>
        </w:rPr>
        <w:t xml:space="preserve"> be</w:t>
      </w:r>
      <w:r w:rsidRPr="00F82C8D">
        <w:rPr>
          <w:lang w:val="en-AU"/>
        </w:rPr>
        <w:t xml:space="preserve"> made under </w:t>
      </w:r>
      <w:r w:rsidR="00211337" w:rsidRPr="00F82C8D">
        <w:t xml:space="preserve">subsection 22XS(1) </w:t>
      </w:r>
      <w:r w:rsidRPr="00F82C8D">
        <w:rPr>
          <w:lang w:val="en-AU"/>
        </w:rPr>
        <w:t xml:space="preserve">of the </w:t>
      </w:r>
      <w:r w:rsidRPr="00F82C8D">
        <w:rPr>
          <w:i/>
          <w:lang w:val="en-AU"/>
        </w:rPr>
        <w:t>National Greenhouse and Energy Reporting Act 2007</w:t>
      </w:r>
      <w:r w:rsidR="00E453C2" w:rsidRPr="00F82C8D">
        <w:rPr>
          <w:lang w:val="en-AU"/>
        </w:rPr>
        <w:t>(the Act)</w:t>
      </w:r>
      <w:r w:rsidR="00196785" w:rsidRPr="00F82C8D">
        <w:rPr>
          <w:i/>
          <w:lang w:val="en-AU"/>
        </w:rPr>
        <w:t>.</w:t>
      </w:r>
      <w:r w:rsidRPr="00F82C8D">
        <w:rPr>
          <w:lang w:val="en-AU"/>
        </w:rPr>
        <w:t xml:space="preserve"> </w:t>
      </w:r>
      <w:r w:rsidR="0092078A" w:rsidRPr="00F82C8D">
        <w:rPr>
          <w:b/>
          <w:i/>
          <w:sz w:val="20"/>
          <w:lang w:val="en-AU"/>
        </w:rPr>
        <w:t>[</w:t>
      </w:r>
      <w:r w:rsidRPr="00F82C8D">
        <w:rPr>
          <w:b/>
          <w:i/>
          <w:sz w:val="20"/>
          <w:lang w:val="en-AU"/>
        </w:rPr>
        <w:t>section 3</w:t>
      </w:r>
      <w:r w:rsidR="00744E76" w:rsidRPr="00F82C8D">
        <w:rPr>
          <w:b/>
          <w:i/>
          <w:sz w:val="20"/>
          <w:lang w:val="en-AU"/>
        </w:rPr>
        <w:t>]</w:t>
      </w:r>
      <w:r w:rsidRPr="00F82C8D">
        <w:rPr>
          <w:lang w:val="en-AU"/>
        </w:rPr>
        <w:t xml:space="preserve"> </w:t>
      </w:r>
    </w:p>
    <w:p w:rsidR="00EE4330" w:rsidRPr="00F82C8D" w:rsidRDefault="00571F9C" w:rsidP="00EE4330">
      <w:pPr>
        <w:pStyle w:val="Heading3"/>
      </w:pPr>
      <w:r w:rsidRPr="00F82C8D">
        <w:t xml:space="preserve">Section 4: </w:t>
      </w:r>
      <w:r w:rsidR="00EE4330" w:rsidRPr="00F82C8D">
        <w:t>Definitions</w:t>
      </w:r>
    </w:p>
    <w:p w:rsidR="00B3427A" w:rsidRPr="00F82C8D" w:rsidRDefault="0058425D" w:rsidP="00625D31">
      <w:pPr>
        <w:pStyle w:val="ListParagraph"/>
        <w:rPr>
          <w:lang w:val="en-AU"/>
        </w:rPr>
      </w:pPr>
      <w:r w:rsidRPr="00F82C8D">
        <w:rPr>
          <w:lang w:val="en-AU"/>
        </w:rPr>
        <w:t>Unless taken from the Act, t</w:t>
      </w:r>
      <w:r w:rsidR="00B3427A" w:rsidRPr="00F82C8D">
        <w:rPr>
          <w:lang w:val="en-AU"/>
        </w:rPr>
        <w:t xml:space="preserve">he terms used </w:t>
      </w:r>
      <w:r w:rsidR="00196785" w:rsidRPr="00F82C8D">
        <w:rPr>
          <w:lang w:val="en-AU"/>
        </w:rPr>
        <w:t xml:space="preserve">in the </w:t>
      </w:r>
      <w:r w:rsidR="00D360AB" w:rsidRPr="00F82C8D">
        <w:rPr>
          <w:lang w:val="en-AU"/>
        </w:rPr>
        <w:t>safeguard rule</w:t>
      </w:r>
      <w:r w:rsidR="00196785" w:rsidRPr="00F82C8D">
        <w:rPr>
          <w:lang w:val="en-AU"/>
        </w:rPr>
        <w:t xml:space="preserve"> are def</w:t>
      </w:r>
      <w:r w:rsidRPr="00F82C8D">
        <w:rPr>
          <w:lang w:val="en-AU"/>
        </w:rPr>
        <w:t>ined</w:t>
      </w:r>
      <w:r w:rsidR="00211337" w:rsidRPr="00F82C8D">
        <w:rPr>
          <w:lang w:val="en-AU"/>
        </w:rPr>
        <w:t xml:space="preserve"> in </w:t>
      </w:r>
      <w:r w:rsidR="00B3427A" w:rsidRPr="00F82C8D">
        <w:rPr>
          <w:lang w:val="en-AU"/>
        </w:rPr>
        <w:t>section 4</w:t>
      </w:r>
      <w:r w:rsidR="00196785" w:rsidRPr="00F82C8D">
        <w:rPr>
          <w:lang w:val="en-AU"/>
        </w:rPr>
        <w:t>.</w:t>
      </w:r>
      <w:r w:rsidR="00B3427A" w:rsidRPr="00F82C8D">
        <w:rPr>
          <w:lang w:val="en-AU"/>
        </w:rPr>
        <w:t xml:space="preserve"> </w:t>
      </w:r>
      <w:r w:rsidR="001D71A7" w:rsidRPr="00F82C8D">
        <w:rPr>
          <w:i/>
          <w:lang w:val="en-AU"/>
        </w:rPr>
        <w:t>[</w:t>
      </w:r>
      <w:r w:rsidR="00B3427A" w:rsidRPr="00F82C8D">
        <w:rPr>
          <w:b/>
          <w:i/>
          <w:sz w:val="20"/>
          <w:lang w:val="en-AU"/>
        </w:rPr>
        <w:t>section 4</w:t>
      </w:r>
      <w:r w:rsidR="00196785" w:rsidRPr="00F82C8D">
        <w:rPr>
          <w:b/>
          <w:i/>
          <w:sz w:val="20"/>
          <w:lang w:val="en-AU"/>
        </w:rPr>
        <w:t>]</w:t>
      </w:r>
      <w:r w:rsidR="00F83F82" w:rsidRPr="00F82C8D">
        <w:rPr>
          <w:b/>
          <w:i/>
          <w:sz w:val="20"/>
          <w:lang w:val="en-AU"/>
        </w:rPr>
        <w:t xml:space="preserve"> </w:t>
      </w:r>
      <w:r w:rsidR="007329DC" w:rsidRPr="00F82C8D">
        <w:rPr>
          <w:lang w:val="en-AU"/>
        </w:rPr>
        <w:t>T</w:t>
      </w:r>
      <w:r w:rsidR="00F83F82" w:rsidRPr="00F82C8D">
        <w:rPr>
          <w:lang w:val="en-AU"/>
        </w:rPr>
        <w:t xml:space="preserve">erms used in the Act relevant to the safeguard rule include: baseline emissions number, carbon dioxide equivalence, covered emissions, designated large facility, excess emissions situation, net emissions number, monitoring period, responsible emitter and scope 1 emission. </w:t>
      </w:r>
    </w:p>
    <w:p w:rsidR="00A772AC" w:rsidRPr="00F82C8D" w:rsidRDefault="00A772AC" w:rsidP="00A772AC">
      <w:pPr>
        <w:pStyle w:val="Heading4"/>
      </w:pPr>
      <w:r w:rsidRPr="00F82C8D">
        <w:t>Electricity sector definitions</w:t>
      </w:r>
    </w:p>
    <w:p w:rsidR="00A772AC" w:rsidRPr="00F82C8D" w:rsidRDefault="00A772AC" w:rsidP="00A772AC">
      <w:pPr>
        <w:pStyle w:val="ListParagraph"/>
        <w:rPr>
          <w:lang w:val="en-AU"/>
        </w:rPr>
      </w:pPr>
      <w:r w:rsidRPr="00F82C8D">
        <w:rPr>
          <w:b/>
          <w:i/>
          <w:lang w:val="en-AU"/>
        </w:rPr>
        <w:t>Sectoral-baseline financial year</w:t>
      </w:r>
      <w:r w:rsidRPr="00F82C8D">
        <w:rPr>
          <w:lang w:val="en-AU"/>
        </w:rPr>
        <w:t>,</w:t>
      </w:r>
      <w:r w:rsidR="005C07AB" w:rsidRPr="00F82C8D">
        <w:rPr>
          <w:lang w:val="en-AU"/>
        </w:rPr>
        <w:t xml:space="preserve"> </w:t>
      </w:r>
      <w:r w:rsidRPr="00F82C8D">
        <w:rPr>
          <w:b/>
          <w:i/>
          <w:lang w:val="en-AU"/>
        </w:rPr>
        <w:t>designated electricity network</w:t>
      </w:r>
      <w:r w:rsidR="005C07AB" w:rsidRPr="00F82C8D">
        <w:rPr>
          <w:lang w:val="en-AU"/>
        </w:rPr>
        <w:t xml:space="preserve"> and </w:t>
      </w:r>
      <w:r w:rsidRPr="00F82C8D">
        <w:rPr>
          <w:b/>
          <w:i/>
          <w:lang w:val="en-AU"/>
        </w:rPr>
        <w:t>grid-</w:t>
      </w:r>
      <w:r w:rsidR="005C07AB" w:rsidRPr="00F82C8D">
        <w:rPr>
          <w:b/>
          <w:i/>
          <w:lang w:val="en-AU"/>
        </w:rPr>
        <w:t>connected electricity generator</w:t>
      </w:r>
      <w:r w:rsidRPr="00F82C8D">
        <w:rPr>
          <w:b/>
          <w:i/>
          <w:lang w:val="en-AU"/>
        </w:rPr>
        <w:t xml:space="preserve"> </w:t>
      </w:r>
      <w:r w:rsidRPr="00F82C8D">
        <w:rPr>
          <w:lang w:val="en-AU"/>
        </w:rPr>
        <w:t>are definitions specific to the electricity sector. They are explained in the</w:t>
      </w:r>
      <w:r w:rsidR="007647A2" w:rsidRPr="00F82C8D">
        <w:rPr>
          <w:lang w:val="en-AU"/>
        </w:rPr>
        <w:t xml:space="preserve"> section headed</w:t>
      </w:r>
      <w:r w:rsidRPr="00F82C8D">
        <w:rPr>
          <w:lang w:val="en-AU"/>
        </w:rPr>
        <w:t xml:space="preserve"> </w:t>
      </w:r>
      <w:fldSimple w:instr=" REF _Ref426547590 \h  \* MERGEFORMAT ">
        <w:r w:rsidR="00F16B1F" w:rsidRPr="00F16B1F">
          <w:rPr>
            <w:i/>
          </w:rPr>
          <w:t>Coverage of grid-connected electricity generators</w:t>
        </w:r>
      </w:fldSimple>
      <w:r w:rsidR="00592B20" w:rsidRPr="00F82C8D">
        <w:rPr>
          <w:i/>
          <w:lang w:val="en-AU"/>
        </w:rPr>
        <w:t xml:space="preserve"> </w:t>
      </w:r>
      <w:r w:rsidRPr="00F82C8D">
        <w:rPr>
          <w:lang w:val="en-AU"/>
        </w:rPr>
        <w:t xml:space="preserve">on page </w:t>
      </w:r>
      <w:r w:rsidR="00744D5E" w:rsidRPr="00F82C8D">
        <w:rPr>
          <w:lang w:val="en-AU"/>
        </w:rPr>
        <w:fldChar w:fldCharType="begin"/>
      </w:r>
      <w:r w:rsidRPr="00F82C8D">
        <w:rPr>
          <w:lang w:val="en-AU"/>
        </w:rPr>
        <w:instrText xml:space="preserve"> PAGEREF _Ref426547590 \h </w:instrText>
      </w:r>
      <w:r w:rsidR="00744D5E" w:rsidRPr="00F82C8D">
        <w:rPr>
          <w:lang w:val="en-AU"/>
        </w:rPr>
      </w:r>
      <w:r w:rsidR="00744D5E" w:rsidRPr="00F82C8D">
        <w:rPr>
          <w:lang w:val="en-AU"/>
        </w:rPr>
        <w:fldChar w:fldCharType="separate"/>
      </w:r>
      <w:r w:rsidR="00F16B1F">
        <w:rPr>
          <w:noProof/>
          <w:lang w:val="en-AU"/>
        </w:rPr>
        <w:t>34</w:t>
      </w:r>
      <w:r w:rsidR="00744D5E" w:rsidRPr="00F82C8D">
        <w:rPr>
          <w:lang w:val="en-AU"/>
        </w:rPr>
        <w:fldChar w:fldCharType="end"/>
      </w:r>
      <w:r w:rsidRPr="00F82C8D">
        <w:rPr>
          <w:lang w:val="en-AU"/>
        </w:rPr>
        <w:t xml:space="preserve"> of</w:t>
      </w:r>
      <w:r w:rsidR="004C00A9" w:rsidRPr="00F82C8D">
        <w:rPr>
          <w:lang w:val="en-AU"/>
        </w:rPr>
        <w:t xml:space="preserve"> the</w:t>
      </w:r>
      <w:r w:rsidR="00F37DA6" w:rsidRPr="00F82C8D">
        <w:rPr>
          <w:lang w:val="en-AU"/>
        </w:rPr>
        <w:t xml:space="preserve"> </w:t>
      </w:r>
      <w:r w:rsidR="00E11FB8" w:rsidRPr="00F82C8D">
        <w:rPr>
          <w:lang w:val="en-AU"/>
        </w:rPr>
        <w:t>E</w:t>
      </w:r>
      <w:r w:rsidR="00D360AB" w:rsidRPr="00F82C8D">
        <w:rPr>
          <w:lang w:val="en-AU"/>
        </w:rPr>
        <w:t>xp</w:t>
      </w:r>
      <w:r w:rsidR="004C00A9" w:rsidRPr="00F82C8D">
        <w:rPr>
          <w:lang w:val="en-AU"/>
        </w:rPr>
        <w:t>lanatory Statement</w:t>
      </w:r>
      <w:r w:rsidRPr="00F82C8D">
        <w:rPr>
          <w:lang w:val="en-AU"/>
        </w:rPr>
        <w:t>.</w:t>
      </w:r>
    </w:p>
    <w:p w:rsidR="00A772AC" w:rsidRPr="00F82C8D" w:rsidRDefault="00A772AC" w:rsidP="00A772AC">
      <w:pPr>
        <w:pStyle w:val="Heading4"/>
        <w:rPr>
          <w:lang w:val="en-AU"/>
        </w:rPr>
      </w:pPr>
      <w:r w:rsidRPr="00F82C8D">
        <w:rPr>
          <w:lang w:val="en-AU"/>
        </w:rPr>
        <w:t>Production variable related definitions</w:t>
      </w:r>
    </w:p>
    <w:p w:rsidR="00B12773" w:rsidRPr="00F82C8D" w:rsidRDefault="00B12773" w:rsidP="003152A3">
      <w:pPr>
        <w:pStyle w:val="ListParagraph"/>
        <w:rPr>
          <w:lang w:val="en-AU"/>
        </w:rPr>
      </w:pPr>
      <w:r w:rsidRPr="00F82C8D">
        <w:rPr>
          <w:lang w:val="en-AU"/>
        </w:rPr>
        <w:t xml:space="preserve">The concept of a </w:t>
      </w:r>
      <w:r w:rsidR="005C07AB" w:rsidRPr="00F82C8D">
        <w:rPr>
          <w:b/>
          <w:i/>
          <w:lang w:val="en-AU"/>
        </w:rPr>
        <w:t>production variable</w:t>
      </w:r>
      <w:r w:rsidRPr="00F82C8D">
        <w:rPr>
          <w:lang w:val="en-AU"/>
        </w:rPr>
        <w:t>,</w:t>
      </w:r>
      <w:r w:rsidR="00D90ED5" w:rsidRPr="00F82C8D">
        <w:rPr>
          <w:lang w:val="en-AU"/>
        </w:rPr>
        <w:t xml:space="preserve"> which is </w:t>
      </w:r>
      <w:r w:rsidRPr="00F82C8D">
        <w:rPr>
          <w:lang w:val="en-AU"/>
        </w:rPr>
        <w:t>generally the quantity of an output, intermediate product or input</w:t>
      </w:r>
      <w:r w:rsidR="00A51BCE" w:rsidRPr="00F82C8D">
        <w:rPr>
          <w:lang w:val="en-AU"/>
        </w:rPr>
        <w:t>,</w:t>
      </w:r>
      <w:r w:rsidRPr="00F82C8D">
        <w:rPr>
          <w:lang w:val="en-AU"/>
        </w:rPr>
        <w:t xml:space="preserve"> is central to</w:t>
      </w:r>
      <w:r w:rsidR="006A0C3B" w:rsidRPr="00F82C8D">
        <w:rPr>
          <w:lang w:val="en-AU"/>
        </w:rPr>
        <w:t xml:space="preserve"> the emissions intensity test as well as</w:t>
      </w:r>
      <w:r w:rsidRPr="00F82C8D">
        <w:rPr>
          <w:lang w:val="en-AU"/>
        </w:rPr>
        <w:t xml:space="preserve"> the determination of a baseline emissions </w:t>
      </w:r>
      <w:r w:rsidR="000A1117" w:rsidRPr="00F82C8D">
        <w:rPr>
          <w:lang w:val="en-AU"/>
        </w:rPr>
        <w:t xml:space="preserve">number under most baseline determinations (not reported-emissions baselines). </w:t>
      </w:r>
      <w:r w:rsidR="006A0C3B" w:rsidRPr="00F82C8D">
        <w:rPr>
          <w:lang w:val="en-AU"/>
        </w:rPr>
        <w:t xml:space="preserve"> </w:t>
      </w:r>
      <w:r w:rsidR="000A1117" w:rsidRPr="00F82C8D">
        <w:rPr>
          <w:lang w:val="en-AU"/>
        </w:rPr>
        <w:t xml:space="preserve">For a </w:t>
      </w:r>
      <w:r w:rsidR="00D90ED5" w:rsidRPr="00F82C8D">
        <w:rPr>
          <w:lang w:val="en-AU"/>
        </w:rPr>
        <w:t>calculated-e</w:t>
      </w:r>
      <w:r w:rsidR="000A1117" w:rsidRPr="00F82C8D">
        <w:rPr>
          <w:lang w:val="en-AU"/>
        </w:rPr>
        <w:t xml:space="preserve">missions baseline determination, and a production-adjusted baseline determination that follows a calculated-emissions baseline, production variables are worked out for a facility under section 5.  </w:t>
      </w:r>
      <w:r w:rsidR="006A0C3B" w:rsidRPr="00F82C8D">
        <w:rPr>
          <w:lang w:val="en-AU"/>
        </w:rPr>
        <w:t xml:space="preserve">For facilities with a reported-emissions baseline determination, the emissions intensity test is also performed using production variables worked out under section 5. </w:t>
      </w:r>
      <w:r w:rsidR="00D90ED5" w:rsidRPr="00F82C8D">
        <w:rPr>
          <w:lang w:val="en-AU"/>
        </w:rPr>
        <w:t xml:space="preserve"> For </w:t>
      </w:r>
      <w:r w:rsidR="006A0C3B" w:rsidRPr="00F82C8D">
        <w:rPr>
          <w:lang w:val="en-AU"/>
        </w:rPr>
        <w:t>benchmark-emissions baseline determinations and production-adjusted baseline determinations that do not follow a calculated-emissions baseline, the</w:t>
      </w:r>
      <w:r w:rsidR="00D90ED5" w:rsidRPr="00F82C8D">
        <w:rPr>
          <w:lang w:val="en-AU"/>
        </w:rPr>
        <w:t xml:space="preserve"> </w:t>
      </w:r>
      <w:r w:rsidR="00C61DFD" w:rsidRPr="00F82C8D">
        <w:rPr>
          <w:lang w:val="en-AU"/>
        </w:rPr>
        <w:t>Benchmark Emissions-Intensity Index</w:t>
      </w:r>
      <w:r w:rsidR="00BD0B4E" w:rsidRPr="00F82C8D">
        <w:rPr>
          <w:lang w:val="en-AU"/>
        </w:rPr>
        <w:t xml:space="preserve">, in </w:t>
      </w:r>
      <w:r w:rsidR="00BF3FA1" w:rsidRPr="00F82C8D">
        <w:rPr>
          <w:lang w:val="en-AU"/>
        </w:rPr>
        <w:t>Schedule 1</w:t>
      </w:r>
      <w:r w:rsidR="00BD0B4E" w:rsidRPr="00F82C8D">
        <w:rPr>
          <w:lang w:val="en-AU"/>
        </w:rPr>
        <w:t>,</w:t>
      </w:r>
      <w:r w:rsidR="00D90ED5" w:rsidRPr="00F82C8D">
        <w:rPr>
          <w:lang w:val="en-AU"/>
        </w:rPr>
        <w:t xml:space="preserve"> will set out what the relevant production variables for a facility</w:t>
      </w:r>
      <w:r w:rsidR="00A51BCE" w:rsidRPr="00F82C8D">
        <w:rPr>
          <w:lang w:val="en-AU"/>
        </w:rPr>
        <w:t xml:space="preserve"> will be</w:t>
      </w:r>
      <w:r w:rsidR="006A0C3B" w:rsidRPr="00F82C8D">
        <w:rPr>
          <w:lang w:val="en-AU"/>
        </w:rPr>
        <w:t xml:space="preserve"> for both working out the baseline emissions number and performing the emissions intensity test. </w:t>
      </w:r>
    </w:p>
    <w:p w:rsidR="00A51BCE" w:rsidRPr="00F82C8D" w:rsidRDefault="00A51BCE" w:rsidP="003152A3">
      <w:pPr>
        <w:pStyle w:val="ListParagraph"/>
        <w:rPr>
          <w:lang w:val="en-AU"/>
        </w:rPr>
      </w:pPr>
      <w:r w:rsidRPr="00F82C8D">
        <w:rPr>
          <w:lang w:val="en-AU"/>
        </w:rPr>
        <w:t xml:space="preserve">The </w:t>
      </w:r>
      <w:r w:rsidR="00BB7C53" w:rsidRPr="00F82C8D">
        <w:rPr>
          <w:lang w:val="en-AU"/>
        </w:rPr>
        <w:t>emissions intens</w:t>
      </w:r>
      <w:r w:rsidRPr="00F82C8D">
        <w:rPr>
          <w:lang w:val="en-AU"/>
        </w:rPr>
        <w:t>ity of certain production variables and the quantity of those production variables in a given year are used to calculate the baseline emissions number in three types of baseline determinations:</w:t>
      </w:r>
    </w:p>
    <w:p w:rsidR="00A51BCE" w:rsidRPr="00F82C8D" w:rsidRDefault="00D90ED5" w:rsidP="002E625A">
      <w:pPr>
        <w:pStyle w:val="ListBullet"/>
      </w:pPr>
      <w:r w:rsidRPr="00F82C8D">
        <w:t>calculated-emi</w:t>
      </w:r>
      <w:r w:rsidR="00A51BCE" w:rsidRPr="00F82C8D">
        <w:t>ssions baseline determinations</w:t>
      </w:r>
    </w:p>
    <w:p w:rsidR="00552B33" w:rsidRPr="00F82C8D" w:rsidRDefault="00D90ED5">
      <w:pPr>
        <w:pStyle w:val="ListBullet"/>
      </w:pPr>
      <w:r w:rsidRPr="00F82C8D">
        <w:t xml:space="preserve">benchmark-emissions baseline determinations </w:t>
      </w:r>
    </w:p>
    <w:p w:rsidR="00552B33" w:rsidRPr="00F82C8D" w:rsidRDefault="00893FB8">
      <w:pPr>
        <w:pStyle w:val="ListBullet"/>
      </w:pPr>
      <w:r w:rsidRPr="00F82C8D">
        <w:t>production</w:t>
      </w:r>
      <w:r w:rsidR="00D90ED5" w:rsidRPr="00F82C8D">
        <w:t xml:space="preserve">-adjusted baseline determinations. </w:t>
      </w:r>
    </w:p>
    <w:p w:rsidR="00D90ED5" w:rsidRPr="00F82C8D" w:rsidRDefault="00D90ED5" w:rsidP="003152A3">
      <w:pPr>
        <w:pStyle w:val="ListParagraph"/>
        <w:rPr>
          <w:lang w:val="en-AU"/>
        </w:rPr>
      </w:pPr>
      <w:r w:rsidRPr="00F82C8D">
        <w:rPr>
          <w:lang w:val="en-AU"/>
        </w:rPr>
        <w:t>Calculated-emissions and benchmark-emissi</w:t>
      </w:r>
      <w:r w:rsidR="001000FA" w:rsidRPr="00F82C8D">
        <w:rPr>
          <w:lang w:val="en-AU"/>
        </w:rPr>
        <w:t>ons baseline determinations use</w:t>
      </w:r>
      <w:r w:rsidRPr="00F82C8D">
        <w:rPr>
          <w:lang w:val="en-AU"/>
        </w:rPr>
        <w:t xml:space="preserve"> estimates of </w:t>
      </w:r>
      <w:r w:rsidR="00A51BCE" w:rsidRPr="00F82C8D">
        <w:rPr>
          <w:lang w:val="en-AU"/>
        </w:rPr>
        <w:t xml:space="preserve">future </w:t>
      </w:r>
      <w:r w:rsidRPr="00F82C8D">
        <w:rPr>
          <w:lang w:val="en-AU"/>
        </w:rPr>
        <w:t xml:space="preserve">production for these calculations, whereas the production-adjusted baseline determination uses historical production </w:t>
      </w:r>
      <w:r w:rsidR="00A51BCE" w:rsidRPr="00F82C8D">
        <w:rPr>
          <w:lang w:val="en-AU"/>
        </w:rPr>
        <w:t xml:space="preserve">from </w:t>
      </w:r>
      <w:r w:rsidRPr="00F82C8D">
        <w:rPr>
          <w:lang w:val="en-AU"/>
        </w:rPr>
        <w:t xml:space="preserve">the period covered by </w:t>
      </w:r>
      <w:r w:rsidR="00A51BCE" w:rsidRPr="00F82C8D">
        <w:rPr>
          <w:lang w:val="en-AU"/>
        </w:rPr>
        <w:t>a</w:t>
      </w:r>
      <w:r w:rsidRPr="00F82C8D">
        <w:rPr>
          <w:lang w:val="en-AU"/>
        </w:rPr>
        <w:t xml:space="preserve"> calculated-emissions or benchmark-emissions baseline determinati</w:t>
      </w:r>
      <w:r w:rsidR="00A51BCE" w:rsidRPr="00F82C8D">
        <w:rPr>
          <w:lang w:val="en-AU"/>
        </w:rPr>
        <w:t>ons, as a ‘true-up’</w:t>
      </w:r>
      <w:r w:rsidR="00A849E1" w:rsidRPr="00F82C8D">
        <w:rPr>
          <w:lang w:val="en-AU"/>
        </w:rPr>
        <w:t xml:space="preserve"> to calculate a final baseline determination.</w:t>
      </w:r>
    </w:p>
    <w:p w:rsidR="003F26F4" w:rsidRPr="00F82C8D" w:rsidRDefault="003F26F4" w:rsidP="003152A3">
      <w:pPr>
        <w:pStyle w:val="ListParagraph"/>
        <w:rPr>
          <w:lang w:val="en-AU"/>
        </w:rPr>
      </w:pPr>
      <w:r w:rsidRPr="00F82C8D">
        <w:rPr>
          <w:lang w:val="en-AU"/>
        </w:rPr>
        <w:t xml:space="preserve">The production variable related definitions are broadly consistent with the </w:t>
      </w:r>
      <w:r w:rsidRPr="00F82C8D">
        <w:rPr>
          <w:i/>
          <w:lang w:val="en-GB"/>
        </w:rPr>
        <w:t>Carbon Credits (Carbon</w:t>
      </w:r>
      <w:r w:rsidR="0069101A" w:rsidRPr="00F82C8D">
        <w:rPr>
          <w:i/>
          <w:lang w:val="en-GB"/>
        </w:rPr>
        <w:t xml:space="preserve"> Farming Initiative—Facilities) </w:t>
      </w:r>
      <w:r w:rsidRPr="00F82C8D">
        <w:rPr>
          <w:i/>
          <w:lang w:val="en-GB"/>
        </w:rPr>
        <w:t xml:space="preserve">Methodology Determination 2015 </w:t>
      </w:r>
      <w:r w:rsidRPr="00F82C8D">
        <w:rPr>
          <w:lang w:val="en-GB"/>
        </w:rPr>
        <w:t xml:space="preserve">(the </w:t>
      </w:r>
      <w:r w:rsidRPr="00F82C8D">
        <w:rPr>
          <w:lang w:val="en-AU"/>
        </w:rPr>
        <w:t>facilities method).</w:t>
      </w:r>
    </w:p>
    <w:p w:rsidR="005221C0" w:rsidRPr="00F82C8D" w:rsidRDefault="005221C0" w:rsidP="00A772AC">
      <w:pPr>
        <w:pStyle w:val="Heading5"/>
      </w:pPr>
      <w:r w:rsidRPr="00F82C8D">
        <w:t>Input</w:t>
      </w:r>
    </w:p>
    <w:p w:rsidR="005221C0" w:rsidRPr="00F82C8D" w:rsidRDefault="005221C0" w:rsidP="005221C0">
      <w:pPr>
        <w:pStyle w:val="ListParagraph"/>
      </w:pPr>
      <w:r w:rsidRPr="00F82C8D">
        <w:t>In re</w:t>
      </w:r>
      <w:r w:rsidR="00A92110" w:rsidRPr="00F82C8D">
        <w:t xml:space="preserve">lation to landfill facilities, </w:t>
      </w:r>
      <w:r w:rsidRPr="00F82C8D">
        <w:rPr>
          <w:b/>
          <w:i/>
        </w:rPr>
        <w:t>input</w:t>
      </w:r>
      <w:r w:rsidRPr="00F82C8D">
        <w:t xml:space="preserve"> is defined as a tonne of waste received by a landfill facility. </w:t>
      </w:r>
      <w:r w:rsidR="00592B20" w:rsidRPr="00F82C8D">
        <w:t>A</w:t>
      </w:r>
      <w:r w:rsidRPr="00F82C8D">
        <w:t xml:space="preserve"> tonne of waste received </w:t>
      </w:r>
      <w:r w:rsidR="00592B20" w:rsidRPr="00F82C8D">
        <w:t xml:space="preserve">at a landfill facility </w:t>
      </w:r>
      <w:r w:rsidRPr="00F82C8D">
        <w:t xml:space="preserve">can </w:t>
      </w:r>
      <w:r w:rsidR="00592B20" w:rsidRPr="00F82C8D">
        <w:t xml:space="preserve">also </w:t>
      </w:r>
      <w:r w:rsidRPr="00F82C8D">
        <w:t xml:space="preserve">be identified as the facility’s production variable in accordance with </w:t>
      </w:r>
      <w:r w:rsidR="00A849E1" w:rsidRPr="00F82C8D">
        <w:t xml:space="preserve">section 5 of the </w:t>
      </w:r>
      <w:r w:rsidR="00D360AB" w:rsidRPr="00F82C8D">
        <w:t>safeguard rule</w:t>
      </w:r>
      <w:r w:rsidRPr="00F82C8D">
        <w:t xml:space="preserve">. This is because landfills </w:t>
      </w:r>
      <w:r w:rsidR="00592B20" w:rsidRPr="00F82C8D">
        <w:t xml:space="preserve">do not produce </w:t>
      </w:r>
      <w:r w:rsidR="00F93B5D" w:rsidRPr="00F82C8D">
        <w:t>an output (as described below)</w:t>
      </w:r>
      <w:r w:rsidRPr="00F82C8D">
        <w:t xml:space="preserve"> and there is a relationship between a landfill</w:t>
      </w:r>
      <w:r w:rsidR="00F93B5D" w:rsidRPr="00F82C8D">
        <w:t xml:space="preserve"> facility</w:t>
      </w:r>
      <w:r w:rsidRPr="00F82C8D">
        <w:t>’s emissions and the amount of waste it receives.</w:t>
      </w:r>
    </w:p>
    <w:p w:rsidR="00D02148" w:rsidRPr="00F82C8D" w:rsidRDefault="005221C0" w:rsidP="00D02148">
      <w:pPr>
        <w:pStyle w:val="ListParagraph"/>
      </w:pPr>
      <w:r w:rsidRPr="00F82C8D">
        <w:t>In relation to facilities o</w:t>
      </w:r>
      <w:r w:rsidR="00A92110" w:rsidRPr="00F82C8D">
        <w:t>ther than landfill facilities, input</w:t>
      </w:r>
      <w:r w:rsidRPr="00F82C8D">
        <w:t xml:space="preserve"> is defined as anything that undergoes a chemical or physical process to produce an intermediate product or an output. </w:t>
      </w:r>
      <w:r w:rsidR="00F93B5D" w:rsidRPr="00F82C8D">
        <w:t>Examples of an input</w:t>
      </w:r>
      <w:r w:rsidRPr="00F82C8D">
        <w:t xml:space="preserve"> </w:t>
      </w:r>
      <w:r w:rsidR="00F93B5D" w:rsidRPr="00F82C8D">
        <w:t>are</w:t>
      </w:r>
      <w:r w:rsidRPr="00F82C8D">
        <w:t xml:space="preserve"> crude oil and iron ore. A facility’s input may be identified as the facility’s production variable in accordance with section 5.</w:t>
      </w:r>
      <w:r w:rsidR="000A7B10" w:rsidRPr="00F82C8D">
        <w:t xml:space="preserve"> </w:t>
      </w:r>
    </w:p>
    <w:p w:rsidR="005221C0" w:rsidRPr="00F82C8D" w:rsidRDefault="005221C0" w:rsidP="00A772AC">
      <w:pPr>
        <w:pStyle w:val="Heading5"/>
      </w:pPr>
      <w:r w:rsidRPr="00F82C8D">
        <w:t>Output</w:t>
      </w:r>
    </w:p>
    <w:p w:rsidR="005221C0" w:rsidRPr="00F82C8D" w:rsidRDefault="005221C0" w:rsidP="00E4349E">
      <w:pPr>
        <w:pStyle w:val="ListParagraph"/>
        <w:rPr>
          <w:rFonts w:ascii="Arial" w:hAnsi="Arial"/>
          <w:color w:val="44546A"/>
          <w:sz w:val="20"/>
        </w:rPr>
      </w:pPr>
      <w:r w:rsidRPr="00F82C8D">
        <w:t>In relation to transport</w:t>
      </w:r>
      <w:r w:rsidR="00A92110" w:rsidRPr="00F82C8D">
        <w:t xml:space="preserve"> facilities, </w:t>
      </w:r>
      <w:r w:rsidR="00A92110" w:rsidRPr="00F82C8D">
        <w:rPr>
          <w:b/>
          <w:i/>
        </w:rPr>
        <w:t>output</w:t>
      </w:r>
      <w:r w:rsidRPr="00F82C8D">
        <w:t xml:space="preserve"> is defined as a</w:t>
      </w:r>
      <w:r w:rsidR="00A92110" w:rsidRPr="00F82C8D">
        <w:t xml:space="preserve"> transport service measured by </w:t>
      </w:r>
      <w:r w:rsidR="00A92110" w:rsidRPr="00F82C8D">
        <w:rPr>
          <w:b/>
          <w:i/>
        </w:rPr>
        <w:t>service units</w:t>
      </w:r>
      <w:r w:rsidRPr="00F82C8D">
        <w:t xml:space="preserve">, which </w:t>
      </w:r>
      <w:r w:rsidR="002E625A" w:rsidRPr="00F82C8D">
        <w:t>is defined in section 4 of the safeguard rule</w:t>
      </w:r>
      <w:r w:rsidRPr="00F82C8D">
        <w:t xml:space="preserve"> and include units such as vehicle kilometres travelled (vkt).</w:t>
      </w:r>
      <w:r w:rsidR="00E4349E" w:rsidRPr="00F82C8D">
        <w:t xml:space="preserve"> </w:t>
      </w:r>
    </w:p>
    <w:p w:rsidR="003F26F4" w:rsidRPr="00F82C8D" w:rsidRDefault="003F26F4" w:rsidP="003F26F4">
      <w:pPr>
        <w:pStyle w:val="ListParagraph"/>
      </w:pPr>
      <w:r w:rsidRPr="00F82C8D">
        <w:t xml:space="preserve">Where facilities produce less than 25,000 megawatt hours of electricity in a financial year, this production is not considered to be an output. This is intended to exclude minor or trivial amounts of electricity generated, for example, by a small onsite generator at a facility used as a back-up power source. </w:t>
      </w:r>
    </w:p>
    <w:p w:rsidR="005221C0" w:rsidRPr="00F82C8D" w:rsidRDefault="005221C0" w:rsidP="005221C0">
      <w:pPr>
        <w:pStyle w:val="ListParagraph"/>
      </w:pPr>
      <w:r w:rsidRPr="00F82C8D">
        <w:t>In relation</w:t>
      </w:r>
      <w:r w:rsidR="00A92110" w:rsidRPr="00F82C8D">
        <w:t xml:space="preserve"> to all other </w:t>
      </w:r>
      <w:r w:rsidR="003F26F4" w:rsidRPr="00F82C8D">
        <w:t>cases</w:t>
      </w:r>
      <w:r w:rsidR="00A92110" w:rsidRPr="00F82C8D">
        <w:t>, output</w:t>
      </w:r>
      <w:r w:rsidRPr="00F82C8D">
        <w:t xml:space="preserve"> is defined as the last product resulting from a chemical or physical process undertaken by a facility using one or more inputs or intermediate products. </w:t>
      </w:r>
      <w:r w:rsidR="00F93B5D" w:rsidRPr="00F82C8D">
        <w:t>Examples of an output</w:t>
      </w:r>
      <w:r w:rsidR="007647A2" w:rsidRPr="00F82C8D">
        <w:t xml:space="preserve"> could</w:t>
      </w:r>
      <w:r w:rsidR="00F93B5D" w:rsidRPr="00F82C8D">
        <w:t xml:space="preserve"> </w:t>
      </w:r>
      <w:r w:rsidRPr="00F82C8D">
        <w:t xml:space="preserve">include </w:t>
      </w:r>
      <w:r w:rsidR="00893FB8" w:rsidRPr="00F82C8D">
        <w:t>aluminum</w:t>
      </w:r>
      <w:r w:rsidR="00F93B5D" w:rsidRPr="00F82C8D">
        <w:t xml:space="preserve"> ingots, coal and</w:t>
      </w:r>
      <w:r w:rsidRPr="00F82C8D">
        <w:t xml:space="preserve"> glass sheets.</w:t>
      </w:r>
    </w:p>
    <w:p w:rsidR="007A7F24" w:rsidRPr="00F82C8D" w:rsidRDefault="007A7F24" w:rsidP="00A772AC">
      <w:pPr>
        <w:pStyle w:val="Heading5"/>
      </w:pPr>
      <w:r w:rsidRPr="00F82C8D">
        <w:t>Intermediate product</w:t>
      </w:r>
    </w:p>
    <w:p w:rsidR="007A7F24" w:rsidRPr="00F82C8D" w:rsidRDefault="00A92110" w:rsidP="007A7F24">
      <w:pPr>
        <w:pStyle w:val="ListParagraph"/>
      </w:pPr>
      <w:r w:rsidRPr="00F82C8D">
        <w:rPr>
          <w:b/>
          <w:i/>
        </w:rPr>
        <w:t>Intermediate product</w:t>
      </w:r>
      <w:r w:rsidR="007A7F24" w:rsidRPr="00F82C8D">
        <w:t xml:space="preserve"> is defined as a product that results from a chemical or physical process undertaken by a facility using one or more inputs and is then used as an input for the production of an output at the same facility. </w:t>
      </w:r>
    </w:p>
    <w:p w:rsidR="003F26F4" w:rsidRPr="00F82C8D" w:rsidRDefault="003F26F4" w:rsidP="003F26F4">
      <w:pPr>
        <w:pStyle w:val="Quote"/>
      </w:pPr>
      <w:r w:rsidRPr="00F82C8D">
        <w:t>For example, primary nickel is produced from mineralised nickel ore. This primary nickel may be sold without further processing or subsequently refined into higher grades of nickel metal to be sold as different outputs. Primary nickel would be the intermediate product.</w:t>
      </w:r>
    </w:p>
    <w:p w:rsidR="005221C0" w:rsidRPr="00F82C8D" w:rsidRDefault="005221C0" w:rsidP="00A772AC">
      <w:pPr>
        <w:pStyle w:val="Heading5"/>
      </w:pPr>
      <w:r w:rsidRPr="00F82C8D">
        <w:t>Output variable</w:t>
      </w:r>
    </w:p>
    <w:p w:rsidR="003F26F4" w:rsidRPr="00F82C8D" w:rsidRDefault="003F26F4" w:rsidP="003F26F4">
      <w:pPr>
        <w:pStyle w:val="ListParagraph"/>
      </w:pPr>
      <w:r w:rsidRPr="00F82C8D">
        <w:t xml:space="preserve">An </w:t>
      </w:r>
      <w:r w:rsidRPr="00F82C8D">
        <w:rPr>
          <w:b/>
          <w:i/>
        </w:rPr>
        <w:t xml:space="preserve">output variable </w:t>
      </w:r>
      <w:r w:rsidRPr="00F82C8D">
        <w:t xml:space="preserve">is an output (as defined above) that is the last saleable output </w:t>
      </w:r>
      <w:r w:rsidR="00271201" w:rsidRPr="00F82C8D">
        <w:t xml:space="preserve">or outputs </w:t>
      </w:r>
      <w:r w:rsidRPr="00F82C8D">
        <w:t xml:space="preserve">of a production process which results in an increase (or decrease) in covered emissions from a facility when there is an increase (or decrease) in the quantity of that output. </w:t>
      </w:r>
    </w:p>
    <w:p w:rsidR="00F37DA6" w:rsidRPr="00F82C8D" w:rsidRDefault="00F37DA6" w:rsidP="00F37DA6">
      <w:pPr>
        <w:pStyle w:val="ListParagraph"/>
      </w:pPr>
      <w:r w:rsidRPr="00F82C8D">
        <w:t xml:space="preserve">Unless certain exceptions apply, a facility’s output variable(s) will generally be its production variable(s) (see the section headed </w:t>
      </w:r>
      <w:fldSimple w:instr=" REF _Ref431306428 \h  \* MERGEFORMAT ">
        <w:r w:rsidR="00F16B1F" w:rsidRPr="00F16B1F">
          <w:rPr>
            <w:i/>
          </w:rPr>
          <w:t>Section 5: Identification of production variables</w:t>
        </w:r>
      </w:fldSimple>
      <w:r w:rsidR="00E71D81" w:rsidRPr="00F82C8D">
        <w:t xml:space="preserve"> </w:t>
      </w:r>
      <w:r w:rsidRPr="00F82C8D">
        <w:t xml:space="preserve">on page </w:t>
      </w:r>
      <w:r w:rsidR="00744D5E" w:rsidRPr="00F82C8D">
        <w:fldChar w:fldCharType="begin"/>
      </w:r>
      <w:r w:rsidRPr="00F82C8D">
        <w:instrText xml:space="preserve"> PAGEREF _Ref426633765 \h </w:instrText>
      </w:r>
      <w:r w:rsidR="00744D5E" w:rsidRPr="00F82C8D">
        <w:fldChar w:fldCharType="separate"/>
      </w:r>
      <w:r w:rsidR="00F16B1F">
        <w:rPr>
          <w:noProof/>
        </w:rPr>
        <w:t>25</w:t>
      </w:r>
      <w:r w:rsidR="00744D5E" w:rsidRPr="00F82C8D">
        <w:fldChar w:fldCharType="end"/>
      </w:r>
      <w:r w:rsidRPr="00F82C8D">
        <w:t xml:space="preserve"> of the</w:t>
      </w:r>
      <w:r w:rsidR="007647A2" w:rsidRPr="00F82C8D">
        <w:t xml:space="preserve"> </w:t>
      </w:r>
      <w:r w:rsidR="00D360AB" w:rsidRPr="00F82C8D">
        <w:t>Exp</w:t>
      </w:r>
      <w:r w:rsidRPr="00F82C8D">
        <w:t>lanatory Statement).</w:t>
      </w:r>
    </w:p>
    <w:p w:rsidR="003F26F4" w:rsidRPr="00F82C8D" w:rsidRDefault="003F26F4" w:rsidP="003F26F4">
      <w:pPr>
        <w:pStyle w:val="ListParagraph"/>
      </w:pPr>
      <w:r w:rsidRPr="00F82C8D">
        <w:t>In relation to facilities where electricity generation is the only output, the output variable is defined as the quantity of electricity exported from the facility measured in megawatt hours.</w:t>
      </w:r>
    </w:p>
    <w:p w:rsidR="003F26F4" w:rsidRPr="00F82C8D" w:rsidRDefault="003F26F4" w:rsidP="003F26F4">
      <w:pPr>
        <w:pStyle w:val="ListParagraph"/>
      </w:pPr>
      <w:r w:rsidRPr="00F82C8D">
        <w:t>For facilities that generate electricity as one of two or more outputs, the output variable for electricity is defined as the quantity of electricity generated at the facility, rather than the quantity exported. This is to ensure that emissions from electricity used onsite to make other production variables are also accounted for.</w:t>
      </w:r>
    </w:p>
    <w:p w:rsidR="005221C0" w:rsidRPr="00F82C8D" w:rsidRDefault="005221C0" w:rsidP="005221C0">
      <w:pPr>
        <w:pStyle w:val="ListParagraph"/>
      </w:pPr>
      <w:r w:rsidRPr="00F82C8D">
        <w:t>In rel</w:t>
      </w:r>
      <w:r w:rsidR="00A92110" w:rsidRPr="00F82C8D">
        <w:t>ation to transport facilities, output variable</w:t>
      </w:r>
      <w:r w:rsidR="000A7B10" w:rsidRPr="00F82C8D">
        <w:t xml:space="preserve"> is defined as the quantity of </w:t>
      </w:r>
      <w:r w:rsidRPr="00F82C8D">
        <w:t>service units.</w:t>
      </w:r>
    </w:p>
    <w:p w:rsidR="005221C0" w:rsidRPr="00F82C8D" w:rsidRDefault="003F26F4" w:rsidP="005221C0">
      <w:pPr>
        <w:pStyle w:val="ListParagraph"/>
      </w:pPr>
      <w:r w:rsidRPr="00F82C8D">
        <w:t>An</w:t>
      </w:r>
      <w:r w:rsidR="00A92110" w:rsidRPr="00F82C8D">
        <w:t xml:space="preserve"> </w:t>
      </w:r>
      <w:r w:rsidR="005221C0" w:rsidRPr="00F82C8D">
        <w:t>output variable is defined as the quantity of a product that is produced or processed a</w:t>
      </w:r>
      <w:r w:rsidR="00401892" w:rsidRPr="00F82C8D">
        <w:t xml:space="preserve">t a facility, provided that these </w:t>
      </w:r>
      <w:r w:rsidR="005221C0" w:rsidRPr="00F82C8D">
        <w:t xml:space="preserve">criteria are </w:t>
      </w:r>
      <w:r w:rsidR="00893FB8" w:rsidRPr="00F82C8D">
        <w:t>all met</w:t>
      </w:r>
      <w:r w:rsidR="005221C0" w:rsidRPr="00F82C8D">
        <w:t>:</w:t>
      </w:r>
    </w:p>
    <w:p w:rsidR="00552B33" w:rsidRPr="00F82C8D" w:rsidRDefault="005221C0" w:rsidP="00422E09">
      <w:pPr>
        <w:pStyle w:val="ListBullet"/>
      </w:pPr>
      <w:r w:rsidRPr="00F82C8D">
        <w:t>the product is the last saleable output from a chemical</w:t>
      </w:r>
      <w:r w:rsidR="000A7B10" w:rsidRPr="00F82C8D">
        <w:t xml:space="preserve"> </w:t>
      </w:r>
      <w:r w:rsidRPr="00F82C8D">
        <w:t xml:space="preserve">or physical process undertaken by the facility </w:t>
      </w:r>
    </w:p>
    <w:p w:rsidR="00552B33" w:rsidRPr="00F82C8D" w:rsidRDefault="005221C0">
      <w:pPr>
        <w:pStyle w:val="ListBullet"/>
      </w:pPr>
      <w:r w:rsidRPr="00F82C8D">
        <w:t>an increase in the production or processing of the product would result in an increase in greenhouse gas emissions from the facility, and a decrease would result in a decrease in emissions</w:t>
      </w:r>
    </w:p>
    <w:p w:rsidR="00552B33" w:rsidRPr="00F82C8D" w:rsidRDefault="005221C0">
      <w:pPr>
        <w:pStyle w:val="ListBullet"/>
      </w:pPr>
      <w:r w:rsidRPr="00F82C8D">
        <w:t xml:space="preserve">the quantity of the product can be expressed in a unit of measurement that complies with the </w:t>
      </w:r>
      <w:r w:rsidRPr="00F82C8D">
        <w:rPr>
          <w:i/>
        </w:rPr>
        <w:t>National Measurement Act 1960</w:t>
      </w:r>
      <w:r w:rsidR="006D0660" w:rsidRPr="00F82C8D">
        <w:rPr>
          <w:i/>
        </w:rPr>
        <w:t xml:space="preserve">, </w:t>
      </w:r>
      <w:r w:rsidR="006D0660" w:rsidRPr="00F82C8D">
        <w:t>and</w:t>
      </w:r>
    </w:p>
    <w:p w:rsidR="00552B33" w:rsidRPr="00F82C8D" w:rsidRDefault="005221C0">
      <w:pPr>
        <w:pStyle w:val="ListBullet"/>
      </w:pPr>
      <w:r w:rsidRPr="00F82C8D">
        <w:t>the product is not an intermediate product, a by-product or a waste product.</w:t>
      </w:r>
    </w:p>
    <w:p w:rsidR="005221C0" w:rsidRPr="00F82C8D" w:rsidRDefault="005221C0" w:rsidP="001132F4">
      <w:pPr>
        <w:pStyle w:val="ListParagraph"/>
      </w:pPr>
      <w:r w:rsidRPr="00F82C8D">
        <w:t xml:space="preserve">The definition of </w:t>
      </w:r>
      <w:r w:rsidR="00A92110" w:rsidRPr="00F82C8D">
        <w:t>output variable</w:t>
      </w:r>
      <w:r w:rsidRPr="00F82C8D">
        <w:t xml:space="preserve"> is intended to result in estimates of a facility’s level of production that </w:t>
      </w:r>
      <w:r w:rsidR="00592B20" w:rsidRPr="00F82C8D">
        <w:t>are</w:t>
      </w:r>
      <w:r w:rsidRPr="00F82C8D">
        <w:t xml:space="preserve"> accurate and can be related to emissions produced by the facility.</w:t>
      </w:r>
    </w:p>
    <w:p w:rsidR="00592B20" w:rsidRPr="00F82C8D" w:rsidRDefault="00592B20" w:rsidP="00592B20">
      <w:pPr>
        <w:pStyle w:val="Heading4"/>
      </w:pPr>
      <w:r w:rsidRPr="00F82C8D">
        <w:t>Transport service unit definitions</w:t>
      </w:r>
    </w:p>
    <w:p w:rsidR="00DB293E" w:rsidRPr="00F82C8D" w:rsidRDefault="002E625A">
      <w:pPr>
        <w:pStyle w:val="ListParagraph"/>
      </w:pPr>
      <w:r w:rsidRPr="00F82C8D">
        <w:t>Examples</w:t>
      </w:r>
      <w:r w:rsidR="00A92110" w:rsidRPr="00F82C8D">
        <w:t xml:space="preserve"> of </w:t>
      </w:r>
      <w:r w:rsidR="00A92110" w:rsidRPr="00F82C8D">
        <w:rPr>
          <w:b/>
          <w:i/>
        </w:rPr>
        <w:t>service units</w:t>
      </w:r>
      <w:r w:rsidR="00C96502" w:rsidRPr="00F82C8D">
        <w:t xml:space="preserve"> which relate to a transport facility</w:t>
      </w:r>
      <w:r w:rsidRPr="00F82C8D">
        <w:t xml:space="preserve"> are</w:t>
      </w:r>
      <w:r w:rsidR="00777F58" w:rsidRPr="00F82C8D">
        <w:t xml:space="preserve"> </w:t>
      </w:r>
      <w:r w:rsidR="00777F58" w:rsidRPr="00F82C8D">
        <w:rPr>
          <w:b/>
          <w:i/>
        </w:rPr>
        <w:t>dwtnmi</w:t>
      </w:r>
      <w:r w:rsidR="00CA2367" w:rsidRPr="00F82C8D">
        <w:t>,</w:t>
      </w:r>
      <w:r w:rsidR="00CA2367" w:rsidRPr="00F82C8D">
        <w:rPr>
          <w:b/>
          <w:i/>
        </w:rPr>
        <w:t xml:space="preserve"> </w:t>
      </w:r>
      <w:r w:rsidR="00777F58" w:rsidRPr="00F82C8D">
        <w:rPr>
          <w:rFonts w:ascii="Helvetica Neue" w:hAnsi="Helvetica Neue"/>
          <w:b/>
          <w:i/>
        </w:rPr>
        <w:t>m</w:t>
      </w:r>
      <w:r w:rsidR="00777F58" w:rsidRPr="00F82C8D">
        <w:rPr>
          <w:rFonts w:ascii="Helvetica Neue" w:hAnsi="Helvetica Neue"/>
          <w:b/>
          <w:i/>
          <w:vertAlign w:val="superscript"/>
        </w:rPr>
        <w:t>3</w:t>
      </w:r>
      <w:r w:rsidR="00C96502" w:rsidRPr="00F82C8D">
        <w:rPr>
          <w:rFonts w:ascii="Helvetica Neue" w:hAnsi="Helvetica Neue"/>
          <w:b/>
          <w:i/>
        </w:rPr>
        <w:t>km</w:t>
      </w:r>
      <w:r w:rsidR="00CA2367" w:rsidRPr="00F82C8D">
        <w:rPr>
          <w:rFonts w:ascii="Helvetica Neue" w:hAnsi="Helvetica Neue"/>
        </w:rPr>
        <w:t>,</w:t>
      </w:r>
      <w:r w:rsidR="00CA2367" w:rsidRPr="00F82C8D">
        <w:rPr>
          <w:b/>
          <w:i/>
        </w:rPr>
        <w:t xml:space="preserve"> pkm</w:t>
      </w:r>
      <w:r w:rsidR="00CA2367" w:rsidRPr="00F82C8D">
        <w:t>,</w:t>
      </w:r>
      <w:r w:rsidR="00CA2367" w:rsidRPr="00F82C8D">
        <w:rPr>
          <w:b/>
          <w:i/>
        </w:rPr>
        <w:t xml:space="preserve"> pnmi</w:t>
      </w:r>
      <w:r w:rsidR="00CA2367" w:rsidRPr="00F82C8D">
        <w:t>,</w:t>
      </w:r>
      <w:r w:rsidR="00CA2367" w:rsidRPr="00F82C8D">
        <w:rPr>
          <w:b/>
          <w:i/>
        </w:rPr>
        <w:t xml:space="preserve"> tkm</w:t>
      </w:r>
      <w:r w:rsidR="00CA2367" w:rsidRPr="00F82C8D">
        <w:t>,</w:t>
      </w:r>
      <w:r w:rsidR="00CA2367" w:rsidRPr="00F82C8D">
        <w:rPr>
          <w:b/>
          <w:i/>
        </w:rPr>
        <w:t xml:space="preserve"> </w:t>
      </w:r>
      <w:r w:rsidR="00777F58" w:rsidRPr="00F82C8D">
        <w:rPr>
          <w:b/>
          <w:i/>
        </w:rPr>
        <w:t>tnmi</w:t>
      </w:r>
      <w:r w:rsidR="00CA2367" w:rsidRPr="00F82C8D">
        <w:t>,</w:t>
      </w:r>
      <w:r w:rsidR="00777F58" w:rsidRPr="00F82C8D">
        <w:rPr>
          <w:b/>
          <w:i/>
        </w:rPr>
        <w:t xml:space="preserve"> vkt</w:t>
      </w:r>
      <w:r w:rsidR="00CA2367" w:rsidRPr="00F82C8D">
        <w:rPr>
          <w:b/>
          <w:i/>
        </w:rPr>
        <w:t xml:space="preserve"> </w:t>
      </w:r>
      <w:r w:rsidR="00CA2367" w:rsidRPr="00F82C8D">
        <w:t>or</w:t>
      </w:r>
      <w:r w:rsidR="00CA2367" w:rsidRPr="00F82C8D">
        <w:rPr>
          <w:b/>
          <w:i/>
        </w:rPr>
        <w:t xml:space="preserve"> askm</w:t>
      </w:r>
      <w:r w:rsidR="00C96502" w:rsidRPr="00F82C8D">
        <w:t xml:space="preserve">. </w:t>
      </w:r>
      <w:r w:rsidRPr="00F82C8D">
        <w:t>S</w:t>
      </w:r>
      <w:r w:rsidR="00C96502" w:rsidRPr="00F82C8D">
        <w:t xml:space="preserve">ervice units </w:t>
      </w:r>
      <w:r w:rsidR="00F37DA6" w:rsidRPr="00F82C8D">
        <w:t>define</w:t>
      </w:r>
      <w:r w:rsidR="00777F58" w:rsidRPr="00F82C8D">
        <w:t xml:space="preserve"> </w:t>
      </w:r>
      <w:r w:rsidR="00893FB8" w:rsidRPr="00F82C8D">
        <w:t>how to</w:t>
      </w:r>
      <w:r w:rsidR="00777F58" w:rsidRPr="00F82C8D">
        <w:t xml:space="preserve"> measure the </w:t>
      </w:r>
      <w:r w:rsidR="00C96502" w:rsidRPr="00F82C8D">
        <w:t>product or output for</w:t>
      </w:r>
      <w:r w:rsidR="00777F58" w:rsidRPr="00F82C8D">
        <w:t xml:space="preserve"> different types of transport</w:t>
      </w:r>
      <w:r w:rsidRPr="00F82C8D">
        <w:t xml:space="preserve">. </w:t>
      </w:r>
      <w:r w:rsidR="007329DC" w:rsidRPr="00F82C8D">
        <w:t>They are determined and measured by the responsible emitter for the facility taking into account:</w:t>
      </w:r>
    </w:p>
    <w:p w:rsidR="00DB293E" w:rsidRPr="00F82C8D" w:rsidRDefault="002E625A">
      <w:pPr>
        <w:pStyle w:val="ListBullet"/>
      </w:pPr>
      <w:r w:rsidRPr="00F82C8D">
        <w:t xml:space="preserve">standard </w:t>
      </w:r>
      <w:r w:rsidR="007329DC" w:rsidRPr="00F82C8D">
        <w:t>industry practice</w:t>
      </w:r>
    </w:p>
    <w:p w:rsidR="00DB293E" w:rsidRPr="00F82C8D" w:rsidRDefault="007329DC">
      <w:pPr>
        <w:pStyle w:val="ListBullet"/>
      </w:pPr>
      <w:r w:rsidRPr="00F82C8D">
        <w:t>existing measurement systems used by the responsible emitter.</w:t>
      </w:r>
    </w:p>
    <w:p w:rsidR="00C27D9A" w:rsidRPr="00F82C8D" w:rsidRDefault="00C27D9A" w:rsidP="00C27D9A">
      <w:pPr>
        <w:pStyle w:val="Heading4"/>
      </w:pPr>
      <w:bookmarkStart w:id="60" w:name="_Ref426633765"/>
      <w:r w:rsidRPr="00F82C8D">
        <w:t>References to legislative instruments</w:t>
      </w:r>
    </w:p>
    <w:p w:rsidR="00DB293E" w:rsidRPr="00F82C8D" w:rsidRDefault="00C27D9A">
      <w:pPr>
        <w:pStyle w:val="ListParagraph"/>
      </w:pPr>
      <w:r w:rsidRPr="00F82C8D">
        <w:t xml:space="preserve">The definitions reference a number of legislative instruments, including the </w:t>
      </w:r>
      <w:r w:rsidRPr="00F82C8D">
        <w:rPr>
          <w:i/>
        </w:rPr>
        <w:t xml:space="preserve">National Greenhouse and Energy Reporting (Measurement) Determination 2008, National Greenhouse and Energy Reporting Regulations 2008 </w:t>
      </w:r>
      <w:r w:rsidRPr="00F82C8D">
        <w:t>and</w:t>
      </w:r>
      <w:r w:rsidRPr="00F82C8D">
        <w:rPr>
          <w:i/>
        </w:rPr>
        <w:t xml:space="preserve"> National Greenhouse and Energy Reporting (Audit) Determination 2009.</w:t>
      </w:r>
      <w:r w:rsidRPr="00F82C8D">
        <w:t xml:space="preserve"> These references are to those instruments as in force from time to time, consistent with section 10 of the </w:t>
      </w:r>
      <w:r w:rsidR="007329DC" w:rsidRPr="00F82C8D">
        <w:rPr>
          <w:i/>
        </w:rPr>
        <w:t>Acts Interpretation Act 1901</w:t>
      </w:r>
      <w:r w:rsidRPr="00F82C8D">
        <w:t xml:space="preserve"> as applied by section 13 of the </w:t>
      </w:r>
      <w:r w:rsidR="007329DC" w:rsidRPr="00F82C8D">
        <w:rPr>
          <w:i/>
        </w:rPr>
        <w:t>Legislative Instruments Act 2003</w:t>
      </w:r>
      <w:r w:rsidRPr="00F82C8D">
        <w:t>.</w:t>
      </w:r>
      <w:r w:rsidR="00452E05" w:rsidRPr="00F82C8D">
        <w:t xml:space="preserve"> Similarly, references to these legislative instruments elsewhere in the safeguard rule is to those instruments as in force from time to time.</w:t>
      </w:r>
    </w:p>
    <w:p w:rsidR="0058425D" w:rsidRPr="00F82C8D" w:rsidRDefault="00571F9C" w:rsidP="0058425D">
      <w:pPr>
        <w:pStyle w:val="Heading3"/>
      </w:pPr>
      <w:bookmarkStart w:id="61" w:name="_Ref431306428"/>
      <w:r w:rsidRPr="00F82C8D">
        <w:t xml:space="preserve">Section 5: </w:t>
      </w:r>
      <w:r w:rsidR="0058425D" w:rsidRPr="00F82C8D">
        <w:t>Identification of production variables</w:t>
      </w:r>
      <w:bookmarkEnd w:id="60"/>
      <w:bookmarkEnd w:id="61"/>
    </w:p>
    <w:p w:rsidR="00AB0507" w:rsidRPr="00F82C8D" w:rsidRDefault="00AB0507" w:rsidP="00AB0507">
      <w:pPr>
        <w:pStyle w:val="ListParagraph"/>
        <w:rPr>
          <w:lang w:val="en-GB"/>
        </w:rPr>
      </w:pPr>
      <w:r w:rsidRPr="00F82C8D">
        <w:rPr>
          <w:lang w:val="en-GB"/>
        </w:rPr>
        <w:t xml:space="preserve">Production variables must be identified in accordance with the rules in section 5. </w:t>
      </w:r>
      <w:r w:rsidRPr="00F82C8D">
        <w:rPr>
          <w:rStyle w:val="Emphasis"/>
        </w:rPr>
        <w:t>[subsection 5(1)]</w:t>
      </w:r>
      <w:r w:rsidRPr="00F82C8D">
        <w:rPr>
          <w:lang w:val="en-GB"/>
        </w:rPr>
        <w:t xml:space="preserve"> The identification of production variables is for the purposes of determining calculated-emissions baselines and assessing whether a facility is eligible for a variation of a baseline determination because of a reduction in </w:t>
      </w:r>
      <w:r w:rsidR="00BB7C53" w:rsidRPr="00F82C8D">
        <w:rPr>
          <w:lang w:val="en-GB"/>
        </w:rPr>
        <w:t>emissions intens</w:t>
      </w:r>
      <w:r w:rsidRPr="00F82C8D">
        <w:rPr>
          <w:lang w:val="en-GB"/>
        </w:rPr>
        <w:t>ity.</w:t>
      </w:r>
    </w:p>
    <w:p w:rsidR="007976ED" w:rsidRPr="00F82C8D" w:rsidRDefault="00AB0507" w:rsidP="00AB0507">
      <w:pPr>
        <w:pStyle w:val="Quote"/>
      </w:pPr>
      <w:r w:rsidRPr="00F82C8D">
        <w:t>Note that t</w:t>
      </w:r>
      <w:r w:rsidR="00A018EF" w:rsidRPr="00F82C8D">
        <w:t xml:space="preserve">hese rules </w:t>
      </w:r>
      <w:r w:rsidRPr="00F82C8D">
        <w:t xml:space="preserve">are similar to </w:t>
      </w:r>
      <w:r w:rsidR="00B0445C" w:rsidRPr="00F82C8D">
        <w:t>those used in the</w:t>
      </w:r>
      <w:r w:rsidR="00A018EF" w:rsidRPr="00F82C8D">
        <w:t xml:space="preserve"> facilities method </w:t>
      </w:r>
      <w:r w:rsidR="00B0445C" w:rsidRPr="00F82C8D">
        <w:t>under</w:t>
      </w:r>
      <w:r w:rsidR="00A018EF" w:rsidRPr="00F82C8D">
        <w:t xml:space="preserve"> the Emissions Reduction Fund. However, the application of the rules to a facility may differ as the facilities method includes both scope 1 and 2 emissions whereas the safeguard mechanism only deals with scope 1 emissions</w:t>
      </w:r>
      <w:r w:rsidR="007976ED" w:rsidRPr="00F82C8D">
        <w:t>.</w:t>
      </w:r>
    </w:p>
    <w:p w:rsidR="007976ED" w:rsidRPr="00F82C8D" w:rsidRDefault="0097406B" w:rsidP="00625D31">
      <w:pPr>
        <w:pStyle w:val="ListParagraph"/>
      </w:pPr>
      <w:r w:rsidRPr="00F82C8D">
        <w:t>The rules in section 5 are not relevant to benchmark-emissions baseline determination</w:t>
      </w:r>
      <w:r w:rsidR="00CB547C" w:rsidRPr="00F82C8D">
        <w:t>s</w:t>
      </w:r>
      <w:r w:rsidRPr="00F82C8D">
        <w:t xml:space="preserve"> or </w:t>
      </w:r>
      <w:r w:rsidR="00B0445C" w:rsidRPr="00F82C8D">
        <w:t xml:space="preserve">to </w:t>
      </w:r>
      <w:r w:rsidRPr="00F82C8D">
        <w:t xml:space="preserve">production-adjusted baseline determinations </w:t>
      </w:r>
      <w:r w:rsidR="00B0445C" w:rsidRPr="00F82C8D">
        <w:t>that</w:t>
      </w:r>
      <w:r w:rsidR="00E71D81" w:rsidRPr="00F82C8D">
        <w:t xml:space="preserve"> do not</w:t>
      </w:r>
      <w:r w:rsidR="00B0445C" w:rsidRPr="00F82C8D">
        <w:t xml:space="preserve"> follow</w:t>
      </w:r>
      <w:r w:rsidRPr="00F82C8D">
        <w:t xml:space="preserve"> a </w:t>
      </w:r>
      <w:r w:rsidR="00E71D81" w:rsidRPr="00F82C8D">
        <w:t>calculated</w:t>
      </w:r>
      <w:r w:rsidRPr="00F82C8D">
        <w:t>-emissions baseline determination</w:t>
      </w:r>
      <w:r w:rsidR="00B0445C" w:rsidRPr="00F82C8D">
        <w:t>,</w:t>
      </w:r>
      <w:r w:rsidRPr="00F82C8D">
        <w:t xml:space="preserve"> because </w:t>
      </w:r>
      <w:r w:rsidR="00B0445C" w:rsidRPr="00F82C8D">
        <w:t xml:space="preserve">in these cases </w:t>
      </w:r>
      <w:r w:rsidRPr="00F82C8D">
        <w:t xml:space="preserve">the relevant production variables </w:t>
      </w:r>
      <w:r w:rsidR="00B0445C" w:rsidRPr="00F82C8D">
        <w:t>are instead</w:t>
      </w:r>
      <w:r w:rsidR="00A018EF" w:rsidRPr="00F82C8D">
        <w:t xml:space="preserve"> defined in the </w:t>
      </w:r>
      <w:r w:rsidR="00C61DFD" w:rsidRPr="00F82C8D">
        <w:t>Benchmark Emissions-Intensity Index</w:t>
      </w:r>
      <w:r w:rsidRPr="00F82C8D">
        <w:t xml:space="preserve"> in </w:t>
      </w:r>
      <w:r w:rsidR="00BF3FA1" w:rsidRPr="00F82C8D">
        <w:t>Schedule 1</w:t>
      </w:r>
      <w:r w:rsidR="00305453" w:rsidRPr="00F82C8D">
        <w:t xml:space="preserve"> of the </w:t>
      </w:r>
      <w:r w:rsidR="00D360AB" w:rsidRPr="00F82C8D">
        <w:t>safeguard rule</w:t>
      </w:r>
      <w:r w:rsidRPr="00F82C8D">
        <w:t xml:space="preserve">. </w:t>
      </w:r>
    </w:p>
    <w:p w:rsidR="006903B0" w:rsidRPr="00F82C8D" w:rsidRDefault="007976ED" w:rsidP="00625D31">
      <w:pPr>
        <w:pStyle w:val="ListParagraph"/>
      </w:pPr>
      <w:r w:rsidRPr="00F82C8D">
        <w:t>If a facility has only one output variable, then that variable is the production variable for the facility</w:t>
      </w:r>
      <w:r w:rsidR="006903B0" w:rsidRPr="00F82C8D">
        <w:t>.</w:t>
      </w:r>
      <w:r w:rsidRPr="00F82C8D">
        <w:t xml:space="preserve"> </w:t>
      </w:r>
      <w:r w:rsidRPr="00F82C8D">
        <w:rPr>
          <w:rStyle w:val="Emphasis"/>
        </w:rPr>
        <w:t>[subsection 5(2)]</w:t>
      </w:r>
      <w:r w:rsidRPr="00F82C8D">
        <w:t xml:space="preserve"> </w:t>
      </w:r>
    </w:p>
    <w:p w:rsidR="007976ED" w:rsidRPr="00F82C8D" w:rsidRDefault="007976ED" w:rsidP="006903B0">
      <w:pPr>
        <w:pStyle w:val="Quote"/>
      </w:pPr>
      <w:r w:rsidRPr="00F82C8D">
        <w:t>For example, if a facility produces 4,000 tonnes of zinc in 201</w:t>
      </w:r>
      <w:r w:rsidR="006903B0" w:rsidRPr="00F82C8D">
        <w:t>6-1</w:t>
      </w:r>
      <w:r w:rsidRPr="00F82C8D">
        <w:t>7 and nothing else, the production variable for the facility in 201</w:t>
      </w:r>
      <w:r w:rsidR="006903B0" w:rsidRPr="00F82C8D">
        <w:t>6-</w:t>
      </w:r>
      <w:r w:rsidR="00CB547C" w:rsidRPr="00F82C8D">
        <w:t>1</w:t>
      </w:r>
      <w:r w:rsidRPr="00F82C8D">
        <w:t>7 is 4,000 tonnes of zinc.</w:t>
      </w:r>
      <w:r w:rsidR="004C00A9" w:rsidRPr="00F82C8D">
        <w:t xml:space="preserve"> </w:t>
      </w:r>
    </w:p>
    <w:p w:rsidR="007976ED" w:rsidRPr="00F82C8D" w:rsidRDefault="007976ED" w:rsidP="00625D31">
      <w:pPr>
        <w:pStyle w:val="ListParagraph"/>
        <w:rPr>
          <w:lang w:val="en-GB"/>
        </w:rPr>
      </w:pPr>
      <w:r w:rsidRPr="00F82C8D">
        <w:t xml:space="preserve">If a facility has more than one output variable, then each of those variables is a production variable unless </w:t>
      </w:r>
      <w:r w:rsidR="00401892" w:rsidRPr="00F82C8D">
        <w:t>an</w:t>
      </w:r>
      <w:r w:rsidRPr="00F82C8D">
        <w:t xml:space="preserve"> </w:t>
      </w:r>
      <w:r w:rsidR="00401892" w:rsidRPr="00F82C8D">
        <w:rPr>
          <w:lang w:val="en-GB"/>
        </w:rPr>
        <w:t>exception</w:t>
      </w:r>
      <w:r w:rsidRPr="00F82C8D">
        <w:rPr>
          <w:lang w:val="en-GB"/>
        </w:rPr>
        <w:t xml:space="preserve"> applies</w:t>
      </w:r>
      <w:r w:rsidR="006903B0" w:rsidRPr="00F82C8D">
        <w:rPr>
          <w:lang w:val="en-GB"/>
        </w:rPr>
        <w:t>.</w:t>
      </w:r>
      <w:r w:rsidRPr="00F82C8D">
        <w:rPr>
          <w:lang w:val="en-GB"/>
        </w:rPr>
        <w:t xml:space="preserve"> </w:t>
      </w:r>
      <w:r w:rsidRPr="00F82C8D">
        <w:rPr>
          <w:rStyle w:val="Emphasis"/>
        </w:rPr>
        <w:t>[</w:t>
      </w:r>
      <w:r w:rsidR="006903B0" w:rsidRPr="00F82C8D">
        <w:rPr>
          <w:rStyle w:val="Emphasis"/>
        </w:rPr>
        <w:t>subsection </w:t>
      </w:r>
      <w:r w:rsidRPr="00F82C8D">
        <w:rPr>
          <w:rStyle w:val="Emphasis"/>
        </w:rPr>
        <w:t>5(3)</w:t>
      </w:r>
      <w:r w:rsidR="006903B0" w:rsidRPr="00F82C8D">
        <w:rPr>
          <w:rStyle w:val="Emphasis"/>
        </w:rPr>
        <w:t>]</w:t>
      </w:r>
    </w:p>
    <w:p w:rsidR="007976ED" w:rsidRPr="00F82C8D" w:rsidRDefault="007976ED" w:rsidP="00E71D81">
      <w:pPr>
        <w:pStyle w:val="Heading4"/>
        <w:rPr>
          <w:lang w:val="en-GB"/>
        </w:rPr>
      </w:pPr>
      <w:r w:rsidRPr="00F82C8D">
        <w:rPr>
          <w:lang w:val="en-GB"/>
        </w:rPr>
        <w:t xml:space="preserve">Similar output variables </w:t>
      </w:r>
    </w:p>
    <w:p w:rsidR="006903B0" w:rsidRPr="00F82C8D" w:rsidRDefault="007976ED" w:rsidP="00625D31">
      <w:pPr>
        <w:pStyle w:val="ListParagraph"/>
      </w:pPr>
      <w:r w:rsidRPr="00F82C8D">
        <w:t xml:space="preserve">If two or more of a facility’s output variables are measured in the same units, and the emissions per unit of the output variables are materially similar, then the sum of the similar variables may be treated </w:t>
      </w:r>
      <w:r w:rsidR="006903B0" w:rsidRPr="00F82C8D">
        <w:t xml:space="preserve">as a single production variable. </w:t>
      </w:r>
      <w:r w:rsidRPr="00F82C8D">
        <w:rPr>
          <w:rStyle w:val="Emphasis"/>
        </w:rPr>
        <w:t>[subsection 5(4)</w:t>
      </w:r>
      <w:r w:rsidR="006903B0" w:rsidRPr="00F82C8D">
        <w:rPr>
          <w:rStyle w:val="Emphasis"/>
        </w:rPr>
        <w:t>]</w:t>
      </w:r>
      <w:r w:rsidR="006903B0" w:rsidRPr="00F82C8D">
        <w:t xml:space="preserve"> </w:t>
      </w:r>
    </w:p>
    <w:p w:rsidR="00414D69" w:rsidRPr="00F82C8D" w:rsidRDefault="007976ED" w:rsidP="00414D69">
      <w:pPr>
        <w:pStyle w:val="Quote"/>
      </w:pPr>
      <w:r w:rsidRPr="00F82C8D">
        <w:t>For example, if a facility produces 3,000 tonnes of zinc, 2,000 tonnes of lead and 1,000 tonnes of copper in 201</w:t>
      </w:r>
      <w:r w:rsidR="006903B0" w:rsidRPr="00F82C8D">
        <w:t>6-1</w:t>
      </w:r>
      <w:r w:rsidRPr="00F82C8D">
        <w:t>7, and emissions from each tonne of zinc, lead and copper are materially similar, then the production variable for the facility in 201</w:t>
      </w:r>
      <w:r w:rsidR="006903B0" w:rsidRPr="00F82C8D">
        <w:t>6-1</w:t>
      </w:r>
      <w:r w:rsidRPr="00F82C8D">
        <w:t>7 is 6,000 tonnes of zinc/lead/copper</w:t>
      </w:r>
      <w:r w:rsidR="00414D69" w:rsidRPr="00F82C8D">
        <w:t>.</w:t>
      </w:r>
    </w:p>
    <w:p w:rsidR="00414D69" w:rsidRPr="00F82C8D" w:rsidRDefault="00414D69" w:rsidP="002D213E">
      <w:pPr>
        <w:pStyle w:val="Quote"/>
      </w:pPr>
      <w:r w:rsidRPr="00F82C8D">
        <w:t xml:space="preserve">However, a facility that produces </w:t>
      </w:r>
      <w:r w:rsidR="002D213E" w:rsidRPr="00F82C8D">
        <w:t>two different grades of zinc— 2,000 tonnes of 99.5% grade zinc and 500 tonnes of 99.9% grade zinc—and the emissions per unit of these two grades are not materially similar. The facility is therefore not able to sum the quantities to treat as a single production variable.</w:t>
      </w:r>
    </w:p>
    <w:p w:rsidR="007976ED" w:rsidRPr="00F82C8D" w:rsidRDefault="007976ED" w:rsidP="006903B0">
      <w:pPr>
        <w:pStyle w:val="Heading4"/>
        <w:rPr>
          <w:rStyle w:val="BookTitle"/>
        </w:rPr>
      </w:pPr>
      <w:r w:rsidRPr="00F82C8D">
        <w:t xml:space="preserve">Inputs and intermediate products </w:t>
      </w:r>
    </w:p>
    <w:p w:rsidR="007976ED" w:rsidRPr="00F82C8D" w:rsidRDefault="007976ED" w:rsidP="00625D31">
      <w:pPr>
        <w:pStyle w:val="ListParagraph"/>
        <w:rPr>
          <w:lang w:val="en-GB"/>
        </w:rPr>
      </w:pPr>
      <w:r w:rsidRPr="00F82C8D">
        <w:rPr>
          <w:lang w:val="en-GB"/>
        </w:rPr>
        <w:t>For some facilities</w:t>
      </w:r>
      <w:r w:rsidR="00E76659" w:rsidRPr="00F82C8D">
        <w:rPr>
          <w:lang w:val="en-GB"/>
        </w:rPr>
        <w:t>, such as oil refineries and natural gas processing facilities</w:t>
      </w:r>
      <w:r w:rsidRPr="00F82C8D">
        <w:rPr>
          <w:lang w:val="en-GB"/>
        </w:rPr>
        <w:t xml:space="preserve">, inputs or intermediate products </w:t>
      </w:r>
      <w:r w:rsidR="00E76659" w:rsidRPr="00F82C8D">
        <w:rPr>
          <w:lang w:val="en-GB"/>
        </w:rPr>
        <w:t>may be</w:t>
      </w:r>
      <w:r w:rsidRPr="00F82C8D">
        <w:rPr>
          <w:lang w:val="en-GB"/>
        </w:rPr>
        <w:t xml:space="preserve"> better measures of production than output variables. However, if the facility operator wishes to take an input or intermediate product to be the facility’s production variable, then (unless the facility has no discernible output) the input or intermediate product must meet the following requirements </w:t>
      </w:r>
      <w:r w:rsidRPr="00F82C8D">
        <w:rPr>
          <w:rStyle w:val="Emphasis"/>
        </w:rPr>
        <w:t>[paragraphs 5(5)(b), 5(6)(c) and 5(7)(d)]</w:t>
      </w:r>
      <w:r w:rsidRPr="00F82C8D">
        <w:rPr>
          <w:lang w:val="en-GB"/>
        </w:rPr>
        <w:t>:</w:t>
      </w:r>
    </w:p>
    <w:p w:rsidR="00DB293E" w:rsidRPr="00F82C8D" w:rsidRDefault="007976ED">
      <w:pPr>
        <w:pStyle w:val="ListBullet"/>
      </w:pPr>
      <w:r w:rsidRPr="00F82C8D">
        <w:t>either the outputs are produced in a fixed proportion</w:t>
      </w:r>
      <w:r w:rsidR="00942D59" w:rsidRPr="00F82C8D">
        <w:t xml:space="preserve"> </w:t>
      </w:r>
      <w:r w:rsidRPr="00F82C8D">
        <w:t xml:space="preserve">to the input or intermediate product, or each output can be quantified using the same unit of measurement and the </w:t>
      </w:r>
      <w:r w:rsidR="00A018EF" w:rsidRPr="00F82C8D">
        <w:t xml:space="preserve">covered </w:t>
      </w:r>
      <w:r w:rsidRPr="00F82C8D">
        <w:t>emissions of each output are materially similar</w:t>
      </w:r>
      <w:r w:rsidR="00E76659" w:rsidRPr="00F82C8D">
        <w:t>, unless the facility is a petroleum refinery or natural gas processing or liquefaction facility</w:t>
      </w:r>
      <w:r w:rsidRPr="00F82C8D">
        <w:t xml:space="preserve"> </w:t>
      </w:r>
      <w:r w:rsidRPr="00F82C8D">
        <w:rPr>
          <w:rStyle w:val="Emphasis"/>
        </w:rPr>
        <w:t>[paragraph 5(8)(a)]</w:t>
      </w:r>
      <w:r w:rsidR="00100B4A" w:rsidRPr="00F82C8D">
        <w:rPr>
          <w:rStyle w:val="Emphasis"/>
        </w:rPr>
        <w:t>.</w:t>
      </w:r>
      <w:r w:rsidRPr="00F82C8D">
        <w:t xml:space="preserve"> </w:t>
      </w:r>
      <w:r w:rsidR="00E11FB8" w:rsidRPr="00F82C8D">
        <w:t>Fixed proportion is defined in section 4 of the safeguard rule and means a proportion that varies by less than five per cent.</w:t>
      </w:r>
    </w:p>
    <w:p w:rsidR="00552B33" w:rsidRPr="00F82C8D" w:rsidRDefault="007976ED">
      <w:pPr>
        <w:pStyle w:val="ListBullet"/>
        <w:rPr>
          <w:rStyle w:val="Emphasis"/>
          <w:b w:val="0"/>
          <w:i w:val="0"/>
          <w:sz w:val="24"/>
        </w:rPr>
      </w:pPr>
      <w:r w:rsidRPr="00F82C8D">
        <w:t xml:space="preserve">an increase in the quantity of the input or intermediate product used by the facility to produce the outputs would result in an increase in </w:t>
      </w:r>
      <w:r w:rsidR="00A018EF" w:rsidRPr="00F82C8D">
        <w:t xml:space="preserve">covered </w:t>
      </w:r>
      <w:r w:rsidRPr="00F82C8D">
        <w:t xml:space="preserve">emissions, and a decrease in the quantity would result in a decrease </w:t>
      </w:r>
      <w:r w:rsidR="007647A2" w:rsidRPr="00F82C8D">
        <w:t xml:space="preserve">in covered emissions </w:t>
      </w:r>
      <w:r w:rsidRPr="00F82C8D">
        <w:rPr>
          <w:rStyle w:val="Emphasis"/>
        </w:rPr>
        <w:t>[paragraphs 5(8)(b) and (c)]</w:t>
      </w:r>
    </w:p>
    <w:p w:rsidR="00552B33" w:rsidRPr="00F82C8D" w:rsidRDefault="00D02148">
      <w:pPr>
        <w:pStyle w:val="ListBullet"/>
      </w:pPr>
      <w:r w:rsidRPr="00F82C8D">
        <w:t xml:space="preserve">omitting the input or intermediate product from the process would either prevent the outputs of the process from being produced </w:t>
      </w:r>
      <w:r w:rsidR="00CE0760" w:rsidRPr="00F82C8D">
        <w:rPr>
          <w:rStyle w:val="Emphasis"/>
        </w:rPr>
        <w:t xml:space="preserve">[subparagraph 5(8)(d)(i)] </w:t>
      </w:r>
      <w:r w:rsidRPr="00F82C8D">
        <w:t xml:space="preserve">or change the covered emissions of a facility by more than five per cent </w:t>
      </w:r>
      <w:r w:rsidR="00CE0760" w:rsidRPr="00F82C8D">
        <w:rPr>
          <w:rStyle w:val="Emphasis"/>
        </w:rPr>
        <w:t>[subp</w:t>
      </w:r>
      <w:r w:rsidRPr="00F82C8D">
        <w:rPr>
          <w:rStyle w:val="Emphasis"/>
        </w:rPr>
        <w:t>aragraph 5(8)(</w:t>
      </w:r>
      <w:r w:rsidR="00CE0760" w:rsidRPr="00F82C8D">
        <w:rPr>
          <w:rStyle w:val="Emphasis"/>
        </w:rPr>
        <w:t>d</w:t>
      </w:r>
      <w:r w:rsidRPr="00F82C8D">
        <w:rPr>
          <w:rStyle w:val="Emphasis"/>
        </w:rPr>
        <w:t>)</w:t>
      </w:r>
      <w:r w:rsidR="00CE0760" w:rsidRPr="00F82C8D">
        <w:rPr>
          <w:rStyle w:val="Emphasis"/>
        </w:rPr>
        <w:t>(ii)</w:t>
      </w:r>
      <w:r w:rsidRPr="00F82C8D">
        <w:rPr>
          <w:rStyle w:val="Emphasis"/>
        </w:rPr>
        <w:t>]</w:t>
      </w:r>
    </w:p>
    <w:p w:rsidR="00552B33" w:rsidRPr="00F82C8D" w:rsidRDefault="007976ED">
      <w:pPr>
        <w:pStyle w:val="ListBullet"/>
      </w:pPr>
      <w:r w:rsidRPr="00F82C8D">
        <w:t xml:space="preserve">the quantity of the input or intermediate product can be expressed in a unit of measurement that complies with the </w:t>
      </w:r>
      <w:r w:rsidRPr="00F82C8D">
        <w:rPr>
          <w:i/>
        </w:rPr>
        <w:t>National Measurement Act</w:t>
      </w:r>
      <w:r w:rsidRPr="00F82C8D">
        <w:rPr>
          <w:b/>
          <w:i/>
        </w:rPr>
        <w:t xml:space="preserve"> </w:t>
      </w:r>
      <w:r w:rsidR="00CC206E" w:rsidRPr="00F82C8D">
        <w:rPr>
          <w:i/>
        </w:rPr>
        <w:t xml:space="preserve">1960 </w:t>
      </w:r>
      <w:r w:rsidR="00D01E17" w:rsidRPr="00F82C8D">
        <w:rPr>
          <w:i/>
        </w:rPr>
        <w:t>[</w:t>
      </w:r>
      <w:r w:rsidR="00D221F8" w:rsidRPr="00F82C8D">
        <w:rPr>
          <w:rStyle w:val="Emphasis"/>
        </w:rPr>
        <w:t>paragraph </w:t>
      </w:r>
      <w:r w:rsidRPr="00F82C8D">
        <w:rPr>
          <w:rStyle w:val="Emphasis"/>
        </w:rPr>
        <w:t>5(8)(</w:t>
      </w:r>
      <w:r w:rsidR="00CC206E" w:rsidRPr="00F82C8D">
        <w:rPr>
          <w:rStyle w:val="Emphasis"/>
        </w:rPr>
        <w:t>e</w:t>
      </w:r>
      <w:r w:rsidRPr="00F82C8D">
        <w:rPr>
          <w:rStyle w:val="Emphasis"/>
        </w:rPr>
        <w:t>)</w:t>
      </w:r>
      <w:r w:rsidR="00E20909" w:rsidRPr="00F82C8D">
        <w:rPr>
          <w:rStyle w:val="Emphasis"/>
        </w:rPr>
        <w:t>]</w:t>
      </w:r>
    </w:p>
    <w:p w:rsidR="00552B33" w:rsidRPr="00F82C8D" w:rsidRDefault="00E20909">
      <w:pPr>
        <w:pStyle w:val="ListBullet"/>
        <w:rPr>
          <w:rStyle w:val="Emphasis"/>
          <w:b w:val="0"/>
          <w:i w:val="0"/>
          <w:sz w:val="24"/>
        </w:rPr>
      </w:pPr>
      <w:r w:rsidRPr="00F82C8D">
        <w:t>the inpu</w:t>
      </w:r>
      <w:r w:rsidR="00762314" w:rsidRPr="00F82C8D">
        <w:t>t or intermediate product is not</w:t>
      </w:r>
      <w:r w:rsidRPr="00F82C8D">
        <w:t xml:space="preserve"> used as a fuel for producing energy </w:t>
      </w:r>
      <w:r w:rsidR="00762314" w:rsidRPr="00F82C8D">
        <w:t xml:space="preserve">at the facility, unless the facility is a petroleum refinery </w:t>
      </w:r>
      <w:r w:rsidR="00E76659" w:rsidRPr="00F82C8D">
        <w:t>or natural gas processing or liquefaction facility</w:t>
      </w:r>
      <w:r w:rsidR="00E76659" w:rsidRPr="00F82C8D">
        <w:rPr>
          <w:b/>
          <w:bCs/>
          <w:i/>
          <w:iCs/>
        </w:rPr>
        <w:t xml:space="preserve"> </w:t>
      </w:r>
      <w:r w:rsidR="00C510BC" w:rsidRPr="00F82C8D">
        <w:rPr>
          <w:rStyle w:val="Emphasis"/>
        </w:rPr>
        <w:t>[paragraphs 5(8)</w:t>
      </w:r>
      <w:r w:rsidR="00762314" w:rsidRPr="00F82C8D">
        <w:rPr>
          <w:rStyle w:val="Emphasis"/>
        </w:rPr>
        <w:t>(</w:t>
      </w:r>
      <w:r w:rsidR="00CC206E" w:rsidRPr="00F82C8D">
        <w:rPr>
          <w:rStyle w:val="Emphasis"/>
        </w:rPr>
        <w:t>g</w:t>
      </w:r>
      <w:r w:rsidR="00762314" w:rsidRPr="00F82C8D">
        <w:rPr>
          <w:rStyle w:val="Emphasis"/>
        </w:rPr>
        <w:t>)]</w:t>
      </w:r>
      <w:r w:rsidR="00E76659" w:rsidRPr="00F82C8D">
        <w:rPr>
          <w:rStyle w:val="Emphasis"/>
        </w:rPr>
        <w:t xml:space="preserve">, </w:t>
      </w:r>
      <w:r w:rsidR="007329DC" w:rsidRPr="00F82C8D">
        <w:rPr>
          <w:rStyle w:val="Emphasis"/>
          <w:b w:val="0"/>
          <w:i w:val="0"/>
          <w:sz w:val="22"/>
        </w:rPr>
        <w:t>and</w:t>
      </w:r>
    </w:p>
    <w:p w:rsidR="00552B33" w:rsidRPr="00F82C8D" w:rsidRDefault="00B412FD">
      <w:pPr>
        <w:pStyle w:val="ListBullet"/>
        <w:rPr>
          <w:rStyle w:val="Emphasis"/>
          <w:b w:val="0"/>
          <w:bCs w:val="0"/>
          <w:i w:val="0"/>
          <w:iCs w:val="0"/>
          <w:sz w:val="24"/>
        </w:rPr>
      </w:pPr>
      <w:r w:rsidRPr="00F82C8D">
        <w:t>if</w:t>
      </w:r>
      <w:r w:rsidR="00E76659" w:rsidRPr="00F82C8D">
        <w:t xml:space="preserve"> the facility is a petroleum refinery or natural gas processing or liquefaction facility</w:t>
      </w:r>
      <w:r w:rsidRPr="00F82C8D">
        <w:t xml:space="preserve"> then the input or intermediate product is primarily used as an input to a production process. </w:t>
      </w:r>
      <w:r w:rsidRPr="00F82C8D">
        <w:rPr>
          <w:i/>
        </w:rPr>
        <w:t>[</w:t>
      </w:r>
      <w:r w:rsidRPr="00F82C8D">
        <w:rPr>
          <w:rStyle w:val="Emphasis"/>
        </w:rPr>
        <w:t>paragraph 5(8)(</w:t>
      </w:r>
      <w:r w:rsidR="00C510BC" w:rsidRPr="00F82C8D">
        <w:rPr>
          <w:rStyle w:val="Emphasis"/>
        </w:rPr>
        <w:t>f</w:t>
      </w:r>
      <w:r w:rsidRPr="00F82C8D">
        <w:rPr>
          <w:rStyle w:val="Emphasis"/>
        </w:rPr>
        <w:t>)]</w:t>
      </w:r>
    </w:p>
    <w:p w:rsidR="00DB293E" w:rsidRPr="00F82C8D" w:rsidRDefault="00100B4A">
      <w:pPr>
        <w:pStyle w:val="ListParagraph"/>
      </w:pPr>
      <w:r w:rsidRPr="00F82C8D">
        <w:t>For the purposes of this section and section 25, a natural gas processing facility is intended to include a facility which processes raw natural gas into natural gas which can be injected into a pipeline.</w:t>
      </w:r>
    </w:p>
    <w:p w:rsidR="007976ED" w:rsidRPr="00F82C8D" w:rsidRDefault="007976ED" w:rsidP="007976ED">
      <w:pPr>
        <w:spacing w:after="120" w:line="240" w:lineRule="auto"/>
        <w:rPr>
          <w:i/>
          <w:szCs w:val="24"/>
          <w:lang w:val="en-GB"/>
        </w:rPr>
      </w:pPr>
      <w:r w:rsidRPr="00F82C8D">
        <w:rPr>
          <w:i/>
          <w:szCs w:val="24"/>
          <w:lang w:val="en-GB"/>
        </w:rPr>
        <w:t>Single input or intermediate product</w:t>
      </w:r>
    </w:p>
    <w:p w:rsidR="00B0445C" w:rsidRPr="00F82C8D" w:rsidRDefault="007976ED" w:rsidP="00625D31">
      <w:pPr>
        <w:pStyle w:val="ListParagraph"/>
        <w:rPr>
          <w:lang w:val="en-GB"/>
        </w:rPr>
      </w:pPr>
      <w:r w:rsidRPr="00F82C8D">
        <w:rPr>
          <w:lang w:val="en-GB"/>
        </w:rPr>
        <w:t xml:space="preserve">If a single input or intermediate product is used to produce all of a facility’s outputs, then the facility operator may choose the quantity of the </w:t>
      </w:r>
      <w:r w:rsidR="00B0445C" w:rsidRPr="00F82C8D">
        <w:rPr>
          <w:lang w:val="en-GB"/>
        </w:rPr>
        <w:t>input or</w:t>
      </w:r>
      <w:r w:rsidRPr="00F82C8D">
        <w:rPr>
          <w:lang w:val="en-GB"/>
        </w:rPr>
        <w:t xml:space="preserve"> intermediate product to be the facility’s production variable</w:t>
      </w:r>
      <w:r w:rsidR="00D221F8" w:rsidRPr="00F82C8D">
        <w:rPr>
          <w:lang w:val="en-GB"/>
        </w:rPr>
        <w:t>.</w:t>
      </w:r>
      <w:r w:rsidRPr="00F82C8D">
        <w:rPr>
          <w:lang w:val="en-GB"/>
        </w:rPr>
        <w:t xml:space="preserve"> </w:t>
      </w:r>
      <w:r w:rsidRPr="00F82C8D">
        <w:rPr>
          <w:rStyle w:val="Emphasis"/>
        </w:rPr>
        <w:t>[subsection 5(5)</w:t>
      </w:r>
      <w:r w:rsidR="00D221F8" w:rsidRPr="00F82C8D">
        <w:rPr>
          <w:rStyle w:val="Emphasis"/>
        </w:rPr>
        <w:t>]</w:t>
      </w:r>
      <w:r w:rsidRPr="00F82C8D">
        <w:rPr>
          <w:lang w:val="en-GB"/>
        </w:rPr>
        <w:t xml:space="preserve"> </w:t>
      </w:r>
    </w:p>
    <w:p w:rsidR="007976ED" w:rsidRPr="00F82C8D" w:rsidRDefault="007976ED" w:rsidP="00B0445C">
      <w:pPr>
        <w:pStyle w:val="Quote"/>
      </w:pPr>
      <w:r w:rsidRPr="00F82C8D">
        <w:t>For example, if a petroleum refinery produces multiple products but its only input is crude oil, then the quantity of crude oil used to make the facility’s products can be the facility’s production variable.</w:t>
      </w:r>
    </w:p>
    <w:p w:rsidR="00DB293E" w:rsidRPr="00F82C8D" w:rsidRDefault="007976ED">
      <w:pPr>
        <w:pStyle w:val="Heading4"/>
        <w:rPr>
          <w:lang w:val="en-GB"/>
        </w:rPr>
      </w:pPr>
      <w:r w:rsidRPr="00F82C8D">
        <w:rPr>
          <w:lang w:val="en-GB"/>
        </w:rPr>
        <w:t xml:space="preserve">Multiple inputs or intermediate products and one input or intermediate product chosen as </w:t>
      </w:r>
      <w:r w:rsidR="007647A2" w:rsidRPr="00F82C8D">
        <w:rPr>
          <w:lang w:val="en-GB"/>
        </w:rPr>
        <w:t xml:space="preserve">the </w:t>
      </w:r>
      <w:r w:rsidRPr="00F82C8D">
        <w:rPr>
          <w:lang w:val="en-GB"/>
        </w:rPr>
        <w:t>production variable</w:t>
      </w:r>
    </w:p>
    <w:p w:rsidR="00B0445C" w:rsidRPr="00F82C8D" w:rsidRDefault="00B0445C" w:rsidP="008959D8">
      <w:pPr>
        <w:pStyle w:val="ListParagraph"/>
        <w:rPr>
          <w:rStyle w:val="Emphasis"/>
          <w:b w:val="0"/>
          <w:bCs w:val="0"/>
          <w:i w:val="0"/>
          <w:iCs/>
          <w:sz w:val="24"/>
        </w:rPr>
      </w:pPr>
      <w:r w:rsidRPr="00F82C8D">
        <w:t>If</w:t>
      </w:r>
      <w:r w:rsidR="008959D8" w:rsidRPr="00F82C8D">
        <w:t xml:space="preserve"> </w:t>
      </w:r>
      <w:r w:rsidR="007976ED" w:rsidRPr="00F82C8D">
        <w:t>two or more inputs, or two or more intermediate products, are used to produce all of a facility’s outputs and the inputs or intermediate products are used in a fixed proportion to one another</w:t>
      </w:r>
      <w:r w:rsidR="007F6D25" w:rsidRPr="00F82C8D">
        <w:t xml:space="preserve"> (meaning a proportion that varies by less than five per cent)</w:t>
      </w:r>
      <w:r w:rsidR="007976ED" w:rsidRPr="00F82C8D">
        <w:t>, then one of those inputs or intermediate products may taken to be the facility’s production variable</w:t>
      </w:r>
      <w:r w:rsidR="00D221F8" w:rsidRPr="00F82C8D">
        <w:t>.</w:t>
      </w:r>
      <w:r w:rsidR="007976ED" w:rsidRPr="00F82C8D">
        <w:t xml:space="preserve"> </w:t>
      </w:r>
      <w:r w:rsidR="007976ED" w:rsidRPr="00F82C8D">
        <w:rPr>
          <w:rStyle w:val="Emphasis"/>
        </w:rPr>
        <w:t>[subsection 5(6)</w:t>
      </w:r>
      <w:r w:rsidR="00D221F8" w:rsidRPr="00F82C8D">
        <w:rPr>
          <w:rStyle w:val="Emphasis"/>
        </w:rPr>
        <w:t>]</w:t>
      </w:r>
      <w:r w:rsidR="007976ED" w:rsidRPr="00F82C8D">
        <w:rPr>
          <w:rStyle w:val="Emphasis"/>
        </w:rPr>
        <w:t xml:space="preserve"> </w:t>
      </w:r>
    </w:p>
    <w:p w:rsidR="007976ED" w:rsidRPr="00F82C8D" w:rsidRDefault="007976ED" w:rsidP="00B0445C">
      <w:pPr>
        <w:pStyle w:val="Quote"/>
      </w:pPr>
      <w:r w:rsidRPr="00F82C8D">
        <w:t>For example, if a steel mill produces multiple products from iron ore and other inputs, and the iron ore and other inputs are used in a fixed proportion to one another, then the quantity of iron ore used to make the facility’s products can be the facility’s production variable.</w:t>
      </w:r>
    </w:p>
    <w:p w:rsidR="007976ED" w:rsidRPr="00F82C8D" w:rsidRDefault="007976ED" w:rsidP="003D70C1">
      <w:pPr>
        <w:pStyle w:val="Heading4"/>
        <w:rPr>
          <w:lang w:val="en-GB"/>
        </w:rPr>
      </w:pPr>
      <w:r w:rsidRPr="00F82C8D">
        <w:rPr>
          <w:lang w:val="en-GB"/>
        </w:rPr>
        <w:t xml:space="preserve">Multiple inputs or intermediate products and sum of multiple inputs or intermediate products chosen as </w:t>
      </w:r>
      <w:r w:rsidR="007647A2" w:rsidRPr="00F82C8D">
        <w:rPr>
          <w:lang w:val="en-GB"/>
        </w:rPr>
        <w:t xml:space="preserve">the </w:t>
      </w:r>
      <w:r w:rsidRPr="00F82C8D">
        <w:rPr>
          <w:lang w:val="en-GB"/>
        </w:rPr>
        <w:t>production variable</w:t>
      </w:r>
    </w:p>
    <w:p w:rsidR="008959D8" w:rsidRPr="00F82C8D" w:rsidRDefault="008959D8" w:rsidP="003D70C1">
      <w:pPr>
        <w:pStyle w:val="ListParagraph"/>
        <w:keepNext/>
      </w:pPr>
      <w:r w:rsidRPr="00F82C8D">
        <w:rPr>
          <w:lang w:val="en-GB"/>
        </w:rPr>
        <w:t>If:</w:t>
      </w:r>
    </w:p>
    <w:p w:rsidR="00DB293E" w:rsidRPr="00F82C8D" w:rsidRDefault="007976ED">
      <w:pPr>
        <w:pStyle w:val="ListBullet"/>
        <w:rPr>
          <w:rStyle w:val="BookTitle"/>
          <w:i w:val="0"/>
          <w:iCs w:val="0"/>
          <w:smallCaps w:val="0"/>
          <w:spacing w:val="0"/>
        </w:rPr>
      </w:pPr>
      <w:r w:rsidRPr="00F82C8D">
        <w:rPr>
          <w:lang w:val="en-GB"/>
        </w:rPr>
        <w:t xml:space="preserve">two or more inputs or </w:t>
      </w:r>
      <w:r w:rsidRPr="00F82C8D">
        <w:rPr>
          <w:rStyle w:val="BookTitle"/>
          <w:i w:val="0"/>
          <w:iCs w:val="0"/>
          <w:smallCaps w:val="0"/>
          <w:spacing w:val="0"/>
        </w:rPr>
        <w:t>intermediate products are used to produ</w:t>
      </w:r>
      <w:r w:rsidR="008959D8" w:rsidRPr="00F82C8D">
        <w:rPr>
          <w:rStyle w:val="BookTitle"/>
          <w:i w:val="0"/>
          <w:iCs w:val="0"/>
          <w:smallCaps w:val="0"/>
          <w:spacing w:val="0"/>
        </w:rPr>
        <w:t>ce all of a facility’s outputs</w:t>
      </w:r>
    </w:p>
    <w:p w:rsidR="00DB293E" w:rsidRPr="00F82C8D" w:rsidRDefault="007976ED">
      <w:pPr>
        <w:pStyle w:val="ListBullet"/>
        <w:rPr>
          <w:rStyle w:val="BookTitle"/>
          <w:i w:val="0"/>
          <w:iCs w:val="0"/>
          <w:smallCaps w:val="0"/>
          <w:spacing w:val="0"/>
        </w:rPr>
      </w:pPr>
      <w:r w:rsidRPr="00F82C8D">
        <w:rPr>
          <w:rStyle w:val="BookTitle"/>
          <w:i w:val="0"/>
          <w:iCs w:val="0"/>
          <w:smallCaps w:val="0"/>
          <w:spacing w:val="0"/>
        </w:rPr>
        <w:t>two or more of those inputs or intermediate products can be quantified using the same unit of m</w:t>
      </w:r>
      <w:r w:rsidR="008959D8" w:rsidRPr="00F82C8D">
        <w:rPr>
          <w:rStyle w:val="BookTitle"/>
          <w:i w:val="0"/>
          <w:iCs w:val="0"/>
          <w:smallCaps w:val="0"/>
          <w:spacing w:val="0"/>
        </w:rPr>
        <w:t>easurement</w:t>
      </w:r>
    </w:p>
    <w:p w:rsidR="00DB293E" w:rsidRPr="00F82C8D" w:rsidRDefault="007976ED">
      <w:pPr>
        <w:pStyle w:val="ListBullet"/>
        <w:rPr>
          <w:rStyle w:val="BookTitle"/>
          <w:i w:val="0"/>
          <w:iCs w:val="0"/>
          <w:smallCaps w:val="0"/>
          <w:spacing w:val="0"/>
        </w:rPr>
      </w:pPr>
      <w:r w:rsidRPr="00F82C8D">
        <w:rPr>
          <w:rStyle w:val="BookTitle"/>
          <w:i w:val="0"/>
          <w:iCs w:val="0"/>
          <w:smallCaps w:val="0"/>
          <w:spacing w:val="0"/>
        </w:rPr>
        <w:t xml:space="preserve">the </w:t>
      </w:r>
      <w:r w:rsidR="00100B4A" w:rsidRPr="00F82C8D">
        <w:rPr>
          <w:rStyle w:val="BookTitle"/>
          <w:i w:val="0"/>
          <w:iCs w:val="0"/>
          <w:smallCaps w:val="0"/>
          <w:spacing w:val="0"/>
        </w:rPr>
        <w:t xml:space="preserve">covered </w:t>
      </w:r>
      <w:r w:rsidRPr="00F82C8D">
        <w:rPr>
          <w:rStyle w:val="BookTitle"/>
          <w:i w:val="0"/>
          <w:iCs w:val="0"/>
          <w:smallCaps w:val="0"/>
          <w:spacing w:val="0"/>
        </w:rPr>
        <w:t>emissions from those inputs or intermediate products are materia</w:t>
      </w:r>
      <w:r w:rsidR="000605BB" w:rsidRPr="00F82C8D">
        <w:rPr>
          <w:rStyle w:val="BookTitle"/>
          <w:i w:val="0"/>
          <w:iCs w:val="0"/>
          <w:smallCaps w:val="0"/>
          <w:spacing w:val="0"/>
        </w:rPr>
        <w:t>lly similar (see subsection 5(1</w:t>
      </w:r>
      <w:r w:rsidR="005C45EF" w:rsidRPr="00F82C8D">
        <w:rPr>
          <w:rStyle w:val="BookTitle"/>
          <w:i w:val="0"/>
          <w:iCs w:val="0"/>
          <w:smallCaps w:val="0"/>
          <w:spacing w:val="0"/>
        </w:rPr>
        <w:t>2</w:t>
      </w:r>
      <w:r w:rsidRPr="00F82C8D">
        <w:rPr>
          <w:rStyle w:val="BookTitle"/>
          <w:i w:val="0"/>
          <w:iCs w:val="0"/>
          <w:smallCaps w:val="0"/>
          <w:spacing w:val="0"/>
        </w:rPr>
        <w:t>)</w:t>
      </w:r>
      <w:r w:rsidR="00CC206E" w:rsidRPr="00F82C8D">
        <w:rPr>
          <w:rStyle w:val="BookTitle"/>
          <w:i w:val="0"/>
          <w:iCs w:val="0"/>
          <w:smallCaps w:val="0"/>
          <w:spacing w:val="0"/>
        </w:rPr>
        <w:t xml:space="preserve"> of the </w:t>
      </w:r>
      <w:r w:rsidR="00D360AB" w:rsidRPr="00F82C8D">
        <w:rPr>
          <w:rStyle w:val="BookTitle"/>
          <w:i w:val="0"/>
          <w:iCs w:val="0"/>
          <w:smallCaps w:val="0"/>
          <w:spacing w:val="0"/>
        </w:rPr>
        <w:t>safeguard rule</w:t>
      </w:r>
      <w:r w:rsidRPr="00F82C8D">
        <w:rPr>
          <w:rStyle w:val="BookTitle"/>
          <w:i w:val="0"/>
          <w:iCs w:val="0"/>
          <w:smallCaps w:val="0"/>
          <w:spacing w:val="0"/>
        </w:rPr>
        <w:t xml:space="preserve">), </w:t>
      </w:r>
    </w:p>
    <w:p w:rsidR="00DB293E" w:rsidRPr="00F82C8D" w:rsidRDefault="007976ED">
      <w:pPr>
        <w:pStyle w:val="ListParagraph"/>
        <w:numPr>
          <w:ilvl w:val="0"/>
          <w:numId w:val="0"/>
        </w:numPr>
        <w:ind w:left="1287"/>
        <w:rPr>
          <w:rStyle w:val="Emphasis"/>
          <w:rFonts w:eastAsia="Calibri"/>
          <w:b w:val="0"/>
          <w:bCs w:val="0"/>
          <w:i w:val="0"/>
          <w:iCs/>
          <w:sz w:val="24"/>
          <w:lang w:val="en-AU" w:bidi="ar-SA"/>
        </w:rPr>
      </w:pPr>
      <w:r w:rsidRPr="00F82C8D">
        <w:rPr>
          <w:lang w:val="en-GB"/>
        </w:rPr>
        <w:t>the</w:t>
      </w:r>
      <w:r w:rsidR="008959D8" w:rsidRPr="00F82C8D">
        <w:rPr>
          <w:lang w:val="en-GB"/>
        </w:rPr>
        <w:t>n the</w:t>
      </w:r>
      <w:r w:rsidRPr="00F82C8D">
        <w:rPr>
          <w:lang w:val="en-GB"/>
        </w:rPr>
        <w:t xml:space="preserve"> quantity of those inputs or intermediate products may be taken to be the facility’s production variable</w:t>
      </w:r>
      <w:r w:rsidR="00D221F8" w:rsidRPr="00F82C8D">
        <w:rPr>
          <w:lang w:val="en-GB"/>
        </w:rPr>
        <w:t>.</w:t>
      </w:r>
      <w:r w:rsidRPr="00F82C8D">
        <w:rPr>
          <w:lang w:val="en-GB"/>
        </w:rPr>
        <w:t xml:space="preserve"> </w:t>
      </w:r>
      <w:r w:rsidRPr="00F82C8D">
        <w:rPr>
          <w:rStyle w:val="Emphasis"/>
        </w:rPr>
        <w:t xml:space="preserve">[subsection 5(7)] </w:t>
      </w:r>
    </w:p>
    <w:p w:rsidR="007976ED" w:rsidRPr="00F82C8D" w:rsidRDefault="007976ED" w:rsidP="008959D8">
      <w:pPr>
        <w:pStyle w:val="Quote"/>
      </w:pPr>
      <w:r w:rsidRPr="00F82C8D">
        <w:t xml:space="preserve">For example, if a steel mill produces multiple stainless steel products from iron ore, nickel and other inputs, and the iron ore and </w:t>
      </w:r>
      <w:r w:rsidR="00110005" w:rsidRPr="00F82C8D">
        <w:t>another input</w:t>
      </w:r>
      <w:r w:rsidRPr="00F82C8D">
        <w:t xml:space="preserve"> can be quantified using the same unit of measurement and have materially similar emissions (withi</w:t>
      </w:r>
      <w:r w:rsidR="000605BB" w:rsidRPr="00F82C8D">
        <w:t>n the meaning of subsection 5(12</w:t>
      </w:r>
      <w:r w:rsidRPr="00F82C8D">
        <w:t>)), then the sum of</w:t>
      </w:r>
      <w:r w:rsidR="00110005" w:rsidRPr="00F82C8D">
        <w:t xml:space="preserve"> the quantities of iron ore and this other input</w:t>
      </w:r>
      <w:r w:rsidRPr="00F82C8D">
        <w:t xml:space="preserve"> used to make the facility’s products can be the facility’s production variable.</w:t>
      </w:r>
      <w:r w:rsidR="00110005" w:rsidRPr="00F82C8D">
        <w:t xml:space="preserve"> Nickel cannot be included in the production variable because it is likely to have a much higher emissions intensity.</w:t>
      </w:r>
      <w:r w:rsidR="00E20909" w:rsidRPr="00F82C8D">
        <w:t xml:space="preserve"> This provision is intended mainly for facilities that produce a number of products from a number of similar inputs or intermediate products.</w:t>
      </w:r>
    </w:p>
    <w:p w:rsidR="007976ED" w:rsidRPr="00F82C8D" w:rsidRDefault="00E647C0" w:rsidP="0012297F">
      <w:pPr>
        <w:pStyle w:val="Heading4"/>
      </w:pPr>
      <w:r w:rsidRPr="00F82C8D">
        <w:t>If n</w:t>
      </w:r>
      <w:r w:rsidR="00036198" w:rsidRPr="00F82C8D">
        <w:t xml:space="preserve">o discernible </w:t>
      </w:r>
      <w:r w:rsidR="007976ED" w:rsidRPr="00F82C8D">
        <w:t>output exists</w:t>
      </w:r>
    </w:p>
    <w:p w:rsidR="008959D8" w:rsidRPr="00F82C8D" w:rsidRDefault="007976ED" w:rsidP="00625D31">
      <w:pPr>
        <w:pStyle w:val="ListParagraph"/>
        <w:rPr>
          <w:lang w:val="en-GB"/>
        </w:rPr>
      </w:pPr>
      <w:r w:rsidRPr="00F82C8D">
        <w:rPr>
          <w:lang w:val="en-GB"/>
        </w:rPr>
        <w:t>If a facility has no discernible</w:t>
      </w:r>
      <w:r w:rsidR="00E647C0" w:rsidRPr="00F82C8D">
        <w:rPr>
          <w:lang w:val="en-GB"/>
        </w:rPr>
        <w:t xml:space="preserve"> output</w:t>
      </w:r>
      <w:r w:rsidR="00D351B3" w:rsidRPr="00F82C8D">
        <w:rPr>
          <w:lang w:val="en-GB"/>
        </w:rPr>
        <w:t xml:space="preserve"> that meets the definition for being an output variable (as defined in section 4 of the safeguard rule)</w:t>
      </w:r>
      <w:r w:rsidR="00E647C0" w:rsidRPr="00F82C8D">
        <w:rPr>
          <w:lang w:val="en-GB"/>
        </w:rPr>
        <w:t xml:space="preserve">, then the quantity of one or more </w:t>
      </w:r>
      <w:r w:rsidRPr="00F82C8D">
        <w:rPr>
          <w:lang w:val="en-GB"/>
        </w:rPr>
        <w:t>input</w:t>
      </w:r>
      <w:r w:rsidR="00E647C0" w:rsidRPr="00F82C8D">
        <w:rPr>
          <w:lang w:val="en-GB"/>
        </w:rPr>
        <w:t>s</w:t>
      </w:r>
      <w:r w:rsidR="00EA257F" w:rsidRPr="00F82C8D">
        <w:rPr>
          <w:lang w:val="en-GB"/>
        </w:rPr>
        <w:t xml:space="preserve">, </w:t>
      </w:r>
      <w:r w:rsidRPr="00F82C8D">
        <w:rPr>
          <w:lang w:val="en-GB"/>
        </w:rPr>
        <w:t>intermediate product</w:t>
      </w:r>
      <w:r w:rsidR="00E647C0" w:rsidRPr="00F82C8D">
        <w:rPr>
          <w:lang w:val="en-GB"/>
        </w:rPr>
        <w:t>s</w:t>
      </w:r>
      <w:r w:rsidRPr="00F82C8D">
        <w:rPr>
          <w:lang w:val="en-GB"/>
        </w:rPr>
        <w:t xml:space="preserve"> </w:t>
      </w:r>
      <w:r w:rsidR="00EA257F" w:rsidRPr="00F82C8D">
        <w:rPr>
          <w:lang w:val="en-GB"/>
        </w:rPr>
        <w:t xml:space="preserve">or non-saleable outputs </w:t>
      </w:r>
      <w:r w:rsidRPr="00F82C8D">
        <w:rPr>
          <w:lang w:val="en-GB"/>
        </w:rPr>
        <w:t>may be identified as a production variable for the facility</w:t>
      </w:r>
      <w:r w:rsidR="00D221F8" w:rsidRPr="00F82C8D">
        <w:rPr>
          <w:lang w:val="en-GB"/>
        </w:rPr>
        <w:t>.</w:t>
      </w:r>
      <w:r w:rsidRPr="00F82C8D">
        <w:rPr>
          <w:lang w:val="en-GB"/>
        </w:rPr>
        <w:t xml:space="preserve"> </w:t>
      </w:r>
      <w:r w:rsidRPr="00F82C8D">
        <w:rPr>
          <w:rStyle w:val="Emphasis"/>
        </w:rPr>
        <w:t>[subsection 5(9)</w:t>
      </w:r>
      <w:r w:rsidR="00D221F8" w:rsidRPr="00F82C8D">
        <w:rPr>
          <w:rStyle w:val="Emphasis"/>
        </w:rPr>
        <w:t>]</w:t>
      </w:r>
      <w:r w:rsidR="00D221F8" w:rsidRPr="00F82C8D">
        <w:rPr>
          <w:lang w:val="en-GB"/>
        </w:rPr>
        <w:t xml:space="preserve"> </w:t>
      </w:r>
    </w:p>
    <w:p w:rsidR="007976ED" w:rsidRPr="00F82C8D" w:rsidRDefault="007976ED" w:rsidP="008959D8">
      <w:pPr>
        <w:pStyle w:val="Quote"/>
      </w:pPr>
      <w:r w:rsidRPr="00F82C8D">
        <w:t>For example, landfill facilities have no discernible output</w:t>
      </w:r>
      <w:r w:rsidR="008959D8" w:rsidRPr="00F82C8D">
        <w:t xml:space="preserve"> as defined here</w:t>
      </w:r>
      <w:r w:rsidRPr="00F82C8D">
        <w:t xml:space="preserve">. They </w:t>
      </w:r>
      <w:r w:rsidR="008959D8" w:rsidRPr="00F82C8D">
        <w:t>instead</w:t>
      </w:r>
      <w:r w:rsidRPr="00F82C8D">
        <w:t xml:space="preserve"> use a tonne of waste received at the landfill as their production variable.</w:t>
      </w:r>
    </w:p>
    <w:p w:rsidR="00D351B3" w:rsidRPr="00F82C8D" w:rsidRDefault="00D351B3" w:rsidP="00D351B3">
      <w:pPr>
        <w:pStyle w:val="ListParagraph"/>
        <w:rPr>
          <w:lang w:val="en-AU"/>
        </w:rPr>
      </w:pPr>
      <w:r w:rsidRPr="00F82C8D">
        <w:rPr>
          <w:lang w:val="en-AU"/>
        </w:rPr>
        <w:t xml:space="preserve">Production variables identified in this way may be grouped together if the provisions set out in subsection 9(4) are met. </w:t>
      </w:r>
      <w:r w:rsidRPr="00F82C8D">
        <w:rPr>
          <w:rStyle w:val="Emphasis"/>
        </w:rPr>
        <w:t>[</w:t>
      </w:r>
      <w:r w:rsidR="001A7FA3" w:rsidRPr="00F82C8D">
        <w:rPr>
          <w:rStyle w:val="Emphasis"/>
        </w:rPr>
        <w:t>paragraph</w:t>
      </w:r>
      <w:r w:rsidRPr="00F82C8D">
        <w:rPr>
          <w:rStyle w:val="Emphasis"/>
        </w:rPr>
        <w:t xml:space="preserve"> 5(9</w:t>
      </w:r>
      <w:r w:rsidR="001A7FA3" w:rsidRPr="00F82C8D">
        <w:rPr>
          <w:rStyle w:val="Emphasis"/>
        </w:rPr>
        <w:t>)(d</w:t>
      </w:r>
      <w:r w:rsidRPr="00F82C8D">
        <w:rPr>
          <w:rStyle w:val="Emphasis"/>
        </w:rPr>
        <w:t>)]</w:t>
      </w:r>
    </w:p>
    <w:p w:rsidR="00E647C0" w:rsidRPr="00F82C8D" w:rsidRDefault="00E647C0" w:rsidP="00E647C0">
      <w:pPr>
        <w:pStyle w:val="h6Subsec"/>
        <w:ind w:left="0"/>
      </w:pPr>
      <w:r w:rsidRPr="00F82C8D">
        <w:t>If emissions-intensive trade-exposed activities conducted</w:t>
      </w:r>
    </w:p>
    <w:p w:rsidR="00E647C0" w:rsidRPr="00F82C8D" w:rsidRDefault="006F7C47" w:rsidP="007976ED">
      <w:pPr>
        <w:pStyle w:val="ListParagraph"/>
      </w:pPr>
      <w:r w:rsidRPr="00F82C8D">
        <w:t xml:space="preserve">If a facility carries out one or more </w:t>
      </w:r>
      <w:r w:rsidRPr="00F82C8D">
        <w:rPr>
          <w:b/>
          <w:i/>
        </w:rPr>
        <w:t>emissions-intensive trade-exposed activities</w:t>
      </w:r>
      <w:r w:rsidRPr="00F82C8D">
        <w:t xml:space="preserve"> (as defined in the </w:t>
      </w:r>
      <w:r w:rsidRPr="00F82C8D">
        <w:rPr>
          <w:i/>
        </w:rPr>
        <w:t>Renewable Energy (Electricity) Act 2001)</w:t>
      </w:r>
      <w:r w:rsidRPr="00F82C8D">
        <w:t xml:space="preserve">, then production variables for the facility may be identified as the quantity of </w:t>
      </w:r>
      <w:r w:rsidR="00E647C0" w:rsidRPr="00F82C8D">
        <w:t xml:space="preserve">relevant </w:t>
      </w:r>
      <w:r w:rsidR="007329DC" w:rsidRPr="00F82C8D">
        <w:t>products</w:t>
      </w:r>
      <w:r w:rsidR="00E647C0" w:rsidRPr="00F82C8D">
        <w:t xml:space="preserve"> </w:t>
      </w:r>
      <w:r w:rsidR="008A1F66" w:rsidRPr="00F82C8D">
        <w:t>that are</w:t>
      </w:r>
      <w:r w:rsidRPr="00F82C8D">
        <w:t xml:space="preserve"> defined in</w:t>
      </w:r>
      <w:r w:rsidR="00E647C0" w:rsidRPr="00F82C8D">
        <w:t xml:space="preserve"> Part 3A of the</w:t>
      </w:r>
      <w:r w:rsidR="008A1F66" w:rsidRPr="00F82C8D">
        <w:rPr>
          <w:i/>
        </w:rPr>
        <w:t xml:space="preserve"> Renewable Energy (Electricity</w:t>
      </w:r>
      <w:r w:rsidR="00E647C0" w:rsidRPr="00F82C8D">
        <w:rPr>
          <w:i/>
        </w:rPr>
        <w:t xml:space="preserve"> Regulations 200</w:t>
      </w:r>
      <w:r w:rsidR="00110005" w:rsidRPr="00F82C8D">
        <w:rPr>
          <w:i/>
        </w:rPr>
        <w:t>1</w:t>
      </w:r>
      <w:r w:rsidR="00C00DC0" w:rsidRPr="00F82C8D">
        <w:rPr>
          <w:i/>
        </w:rPr>
        <w:t xml:space="preserve"> </w:t>
      </w:r>
      <w:r w:rsidR="00C00DC0" w:rsidRPr="00F82C8D">
        <w:t>as in force from time to time</w:t>
      </w:r>
      <w:r w:rsidRPr="00F82C8D">
        <w:t>.</w:t>
      </w:r>
      <w:r w:rsidR="008A1F66" w:rsidRPr="00F82C8D">
        <w:t xml:space="preserve"> </w:t>
      </w:r>
      <w:r w:rsidR="008A1F66" w:rsidRPr="00F82C8D">
        <w:rPr>
          <w:rStyle w:val="Emphasis"/>
        </w:rPr>
        <w:t>[subsection 5(10)]</w:t>
      </w:r>
      <w:r w:rsidR="00C00DC0" w:rsidRPr="00F82C8D">
        <w:rPr>
          <w:rStyle w:val="Emphasis"/>
        </w:rPr>
        <w:t xml:space="preserve"> </w:t>
      </w:r>
    </w:p>
    <w:p w:rsidR="006F7C47" w:rsidRPr="00F82C8D" w:rsidRDefault="00036198" w:rsidP="006F7C47">
      <w:pPr>
        <w:pStyle w:val="ListParagraph"/>
        <w:rPr>
          <w:lang w:val="en-AU" w:bidi="ar-SA"/>
        </w:rPr>
      </w:pPr>
      <w:r w:rsidRPr="00F82C8D">
        <w:t>The</w:t>
      </w:r>
      <w:r w:rsidR="008A1F66" w:rsidRPr="00F82C8D">
        <w:t xml:space="preserve"> products</w:t>
      </w:r>
      <w:r w:rsidRPr="00F82C8D">
        <w:t xml:space="preserve"> specified under these Regulations </w:t>
      </w:r>
      <w:r w:rsidR="008A1F66" w:rsidRPr="00F82C8D">
        <w:t xml:space="preserve">are </w:t>
      </w:r>
      <w:r w:rsidR="008A1F66" w:rsidRPr="00F82C8D">
        <w:rPr>
          <w:lang w:val="en-AU" w:bidi="ar-SA"/>
        </w:rPr>
        <w:t>specified</w:t>
      </w:r>
      <w:r w:rsidR="006F7C47" w:rsidRPr="00F82C8D">
        <w:rPr>
          <w:lang w:val="en-AU" w:bidi="ar-SA"/>
        </w:rPr>
        <w:t xml:space="preserve"> </w:t>
      </w:r>
      <w:r w:rsidR="008A1F66" w:rsidRPr="00F82C8D">
        <w:rPr>
          <w:lang w:val="en-AU" w:bidi="ar-SA"/>
        </w:rPr>
        <w:t xml:space="preserve">for working out the emissions intensity of production from </w:t>
      </w:r>
      <w:r w:rsidR="008A1F66" w:rsidRPr="00F82C8D">
        <w:rPr>
          <w:b/>
          <w:i/>
        </w:rPr>
        <w:t>emissions-intensive trade-exposed activities</w:t>
      </w:r>
      <w:r w:rsidR="008A1F66" w:rsidRPr="00F82C8D">
        <w:rPr>
          <w:i/>
        </w:rPr>
        <w:t>.</w:t>
      </w:r>
      <w:r w:rsidR="00041428" w:rsidRPr="00F82C8D">
        <w:rPr>
          <w:lang w:val="en-AU" w:bidi="ar-SA"/>
        </w:rPr>
        <w:t xml:space="preserve"> The quantity of these products</w:t>
      </w:r>
      <w:r w:rsidR="008A1F66" w:rsidRPr="00F82C8D">
        <w:rPr>
          <w:lang w:val="en-AU" w:bidi="ar-SA"/>
        </w:rPr>
        <w:t xml:space="preserve"> are </w:t>
      </w:r>
      <w:r w:rsidR="006F7C47" w:rsidRPr="00F82C8D">
        <w:rPr>
          <w:lang w:val="en-AU" w:bidi="ar-SA"/>
        </w:rPr>
        <w:t xml:space="preserve">suitable </w:t>
      </w:r>
      <w:r w:rsidR="008A1F66" w:rsidRPr="00F82C8D">
        <w:rPr>
          <w:lang w:val="en-AU" w:bidi="ar-SA"/>
        </w:rPr>
        <w:t>to be</w:t>
      </w:r>
      <w:r w:rsidR="006F7C47" w:rsidRPr="00F82C8D">
        <w:rPr>
          <w:lang w:val="en-AU" w:bidi="ar-SA"/>
        </w:rPr>
        <w:t xml:space="preserve"> production variables for the safeguard mechanism because</w:t>
      </w:r>
      <w:r w:rsidR="008A1F66" w:rsidRPr="00F82C8D">
        <w:rPr>
          <w:lang w:val="en-AU" w:bidi="ar-SA"/>
        </w:rPr>
        <w:t xml:space="preserve"> designated large facilities are likely to carry out an emissions-intensive trade-exposed activity, and the products were </w:t>
      </w:r>
      <w:r w:rsidR="00942D59" w:rsidRPr="00F82C8D">
        <w:rPr>
          <w:lang w:val="en-AU" w:bidi="ar-SA"/>
        </w:rPr>
        <w:t>also defined for the purpose of</w:t>
      </w:r>
      <w:r w:rsidR="008A1F66" w:rsidRPr="00F82C8D">
        <w:rPr>
          <w:lang w:val="en-AU" w:bidi="ar-SA"/>
        </w:rPr>
        <w:t xml:space="preserve"> working out </w:t>
      </w:r>
      <w:r w:rsidR="00041428" w:rsidRPr="00F82C8D">
        <w:rPr>
          <w:lang w:val="en-AU" w:bidi="ar-SA"/>
        </w:rPr>
        <w:t>emissions intensities</w:t>
      </w:r>
      <w:r w:rsidR="008A1F66" w:rsidRPr="00F82C8D">
        <w:rPr>
          <w:lang w:val="en-AU" w:bidi="ar-SA"/>
        </w:rPr>
        <w:t>.</w:t>
      </w:r>
      <w:r w:rsidR="00100B4A" w:rsidRPr="00F82C8D">
        <w:rPr>
          <w:lang w:val="en-AU" w:bidi="ar-SA"/>
        </w:rPr>
        <w:t xml:space="preserve"> These include what would otherwise be inputs, intermediate productions and outputs measured to the particular standards specified under the regulations.</w:t>
      </w:r>
      <w:r w:rsidR="00A95784" w:rsidRPr="00F82C8D">
        <w:rPr>
          <w:lang w:val="en-AU" w:bidi="ar-SA"/>
        </w:rPr>
        <w:t xml:space="preserve"> All such relevant products at a facility would need to be used if this option was utilised.</w:t>
      </w:r>
      <w:r w:rsidR="00C00DC0" w:rsidRPr="00F82C8D">
        <w:rPr>
          <w:lang w:val="en-AU" w:bidi="ar-SA"/>
        </w:rPr>
        <w:t xml:space="preserve"> However, electricity related output variables will still need to be identified separately from any relevant products (and thus will also be production variables for the facility).</w:t>
      </w:r>
    </w:p>
    <w:p w:rsidR="00DB293E" w:rsidRPr="00F82C8D" w:rsidRDefault="007976ED">
      <w:pPr>
        <w:pStyle w:val="Heading4"/>
        <w:rPr>
          <w:i w:val="0"/>
          <w:lang w:val="en-GB"/>
        </w:rPr>
      </w:pPr>
      <w:r w:rsidRPr="00F82C8D">
        <w:rPr>
          <w:lang w:val="en-GB"/>
        </w:rPr>
        <w:t>Meaning of ‘materially similar’</w:t>
      </w:r>
      <w:r w:rsidR="007329DC" w:rsidRPr="00F82C8D">
        <w:rPr>
          <w:lang w:val="en-GB"/>
        </w:rPr>
        <w:t>—two output variables</w:t>
      </w:r>
    </w:p>
    <w:p w:rsidR="007976ED" w:rsidRPr="00F82C8D" w:rsidRDefault="007976ED" w:rsidP="00625D31">
      <w:pPr>
        <w:pStyle w:val="ListParagraph"/>
        <w:rPr>
          <w:lang w:val="en-GB"/>
        </w:rPr>
      </w:pPr>
      <w:r w:rsidRPr="00F82C8D">
        <w:rPr>
          <w:lang w:val="en-GB"/>
        </w:rPr>
        <w:t xml:space="preserve">Emissions per unit of production of two output variables or outputs are materially similar if the average emissions per unit of production of one of those variable or outputs </w:t>
      </w:r>
      <w:r w:rsidR="00431A33" w:rsidRPr="00F82C8D">
        <w:rPr>
          <w:lang w:val="en-GB"/>
        </w:rPr>
        <w:t xml:space="preserve">during </w:t>
      </w:r>
      <w:r w:rsidRPr="00F82C8D">
        <w:rPr>
          <w:lang w:val="en-GB"/>
        </w:rPr>
        <w:t>the</w:t>
      </w:r>
      <w:r w:rsidR="00431A33" w:rsidRPr="00F82C8D">
        <w:rPr>
          <w:lang w:val="en-GB"/>
        </w:rPr>
        <w:t xml:space="preserve"> relevant comparison period (see subsection 5(1</w:t>
      </w:r>
      <w:r w:rsidR="00E71D81" w:rsidRPr="00F82C8D">
        <w:rPr>
          <w:lang w:val="en-GB"/>
        </w:rPr>
        <w:t>3</w:t>
      </w:r>
      <w:r w:rsidR="00431A33" w:rsidRPr="00F82C8D">
        <w:rPr>
          <w:lang w:val="en-GB"/>
        </w:rPr>
        <w:t>)</w:t>
      </w:r>
      <w:r w:rsidR="004F39BE" w:rsidRPr="00F82C8D">
        <w:rPr>
          <w:lang w:val="en-GB"/>
        </w:rPr>
        <w:t xml:space="preserve"> of the </w:t>
      </w:r>
      <w:r w:rsidR="00D360AB" w:rsidRPr="00F82C8D">
        <w:rPr>
          <w:lang w:val="en-GB"/>
        </w:rPr>
        <w:t>safeguard rule</w:t>
      </w:r>
      <w:r w:rsidR="00DD14C8" w:rsidRPr="00F82C8D">
        <w:rPr>
          <w:lang w:val="en-GB"/>
        </w:rPr>
        <w:t>)</w:t>
      </w:r>
      <w:r w:rsidRPr="00F82C8D">
        <w:rPr>
          <w:lang w:val="en-GB"/>
        </w:rPr>
        <w:t xml:space="preserve"> i</w:t>
      </w:r>
      <w:r w:rsidR="00625D31" w:rsidRPr="00F82C8D">
        <w:rPr>
          <w:lang w:val="en-GB"/>
        </w:rPr>
        <w:t>s expected to be no more than five per cent</w:t>
      </w:r>
      <w:r w:rsidRPr="00F82C8D">
        <w:rPr>
          <w:lang w:val="en-GB"/>
        </w:rPr>
        <w:t xml:space="preserve"> greater than the average emissions per unit of production of the other variable or output during that period. </w:t>
      </w:r>
      <w:r w:rsidR="00E647C0" w:rsidRPr="00F82C8D">
        <w:rPr>
          <w:rStyle w:val="Emphasis"/>
        </w:rPr>
        <w:t>[subsection 5(11</w:t>
      </w:r>
      <w:r w:rsidRPr="00F82C8D">
        <w:rPr>
          <w:rStyle w:val="Emphasis"/>
        </w:rPr>
        <w:t>)</w:t>
      </w:r>
      <w:r w:rsidR="00D221F8" w:rsidRPr="00F82C8D">
        <w:rPr>
          <w:rStyle w:val="Emphasis"/>
        </w:rPr>
        <w:t>]</w:t>
      </w:r>
    </w:p>
    <w:p w:rsidR="00DB293E" w:rsidRPr="00F82C8D" w:rsidRDefault="00DD14C8">
      <w:pPr>
        <w:pStyle w:val="Heading4"/>
        <w:rPr>
          <w:i w:val="0"/>
          <w:lang w:val="en-GB"/>
        </w:rPr>
      </w:pPr>
      <w:r w:rsidRPr="00F82C8D">
        <w:rPr>
          <w:lang w:val="en-GB"/>
        </w:rPr>
        <w:t>Mean</w:t>
      </w:r>
      <w:r w:rsidR="007329DC" w:rsidRPr="00F82C8D">
        <w:rPr>
          <w:lang w:val="en-GB"/>
        </w:rPr>
        <w:t>ing of ‘materially similar’—similar inputs and intermediate products</w:t>
      </w:r>
    </w:p>
    <w:p w:rsidR="00DD14C8" w:rsidRPr="00F82C8D" w:rsidRDefault="00893FB8" w:rsidP="004B00F7">
      <w:pPr>
        <w:pStyle w:val="ListParagraph"/>
        <w:rPr>
          <w:lang w:val="en-GB"/>
        </w:rPr>
      </w:pPr>
      <w:r w:rsidRPr="00F82C8D">
        <w:rPr>
          <w:lang w:val="en-GB"/>
        </w:rPr>
        <w:t xml:space="preserve">The covered emissions produced by a facility for each unit of the facility’s similar inputs or intermediate products are ‘materially similar’ if the average covered emissions per unit of one of the similar inputs or intermediate products used during the relevant comparison period is no more than five per cent greater than the average covered emissions per unit of any other similar input or intermediate product used in the relevant comparison period. </w:t>
      </w:r>
      <w:r w:rsidR="00E647C0" w:rsidRPr="00F82C8D">
        <w:rPr>
          <w:rStyle w:val="Emphasis"/>
        </w:rPr>
        <w:t>[subsection 5(12</w:t>
      </w:r>
      <w:r w:rsidR="00AC51FE" w:rsidRPr="00F82C8D">
        <w:rPr>
          <w:rStyle w:val="Emphasis"/>
        </w:rPr>
        <w:t>)</w:t>
      </w:r>
      <w:r w:rsidR="00D221F8" w:rsidRPr="00F82C8D">
        <w:rPr>
          <w:rStyle w:val="Emphasis"/>
        </w:rPr>
        <w:t>]</w:t>
      </w:r>
    </w:p>
    <w:p w:rsidR="00EA2D52" w:rsidRPr="00F82C8D" w:rsidRDefault="00EA2D52" w:rsidP="004B00F7">
      <w:pPr>
        <w:pStyle w:val="ListParagraph"/>
        <w:rPr>
          <w:lang w:val="en-GB"/>
        </w:rPr>
      </w:pPr>
      <w:r w:rsidRPr="00F82C8D">
        <w:rPr>
          <w:lang w:val="en-GB"/>
        </w:rPr>
        <w:t xml:space="preserve">The ‘relevant </w:t>
      </w:r>
      <w:r w:rsidR="00893FB8" w:rsidRPr="00F82C8D">
        <w:rPr>
          <w:lang w:val="en-GB"/>
        </w:rPr>
        <w:t>comparison</w:t>
      </w:r>
      <w:r w:rsidRPr="00F82C8D">
        <w:rPr>
          <w:lang w:val="en-GB"/>
        </w:rPr>
        <w:t xml:space="preserve"> period’ is the first three years of a calculated-emissions baseline determination if the production variable is being identified for the purposes of a calculated-emissions baseline determination</w:t>
      </w:r>
      <w:r w:rsidR="00D221F8" w:rsidRPr="00F82C8D">
        <w:rPr>
          <w:lang w:val="en-GB"/>
        </w:rPr>
        <w:t>.</w:t>
      </w:r>
      <w:r w:rsidRPr="00F82C8D">
        <w:rPr>
          <w:lang w:val="en-GB"/>
        </w:rPr>
        <w:t xml:space="preserve"> </w:t>
      </w:r>
      <w:r w:rsidR="004B00F7" w:rsidRPr="00F82C8D">
        <w:rPr>
          <w:rStyle w:val="Emphasis"/>
        </w:rPr>
        <w:t>[paragraph </w:t>
      </w:r>
      <w:r w:rsidR="00E647C0" w:rsidRPr="00F82C8D">
        <w:rPr>
          <w:rStyle w:val="Emphasis"/>
        </w:rPr>
        <w:t>5(13</w:t>
      </w:r>
      <w:r w:rsidRPr="00F82C8D">
        <w:rPr>
          <w:rStyle w:val="Emphasis"/>
        </w:rPr>
        <w:t>)(a)</w:t>
      </w:r>
      <w:r w:rsidR="00D221F8" w:rsidRPr="00F82C8D">
        <w:rPr>
          <w:rStyle w:val="Emphasis"/>
        </w:rPr>
        <w:t>]</w:t>
      </w:r>
    </w:p>
    <w:p w:rsidR="007976ED" w:rsidRPr="00F82C8D" w:rsidRDefault="00EA2D52" w:rsidP="004B00F7">
      <w:pPr>
        <w:pStyle w:val="ListParagraph"/>
        <w:rPr>
          <w:lang w:val="en-GB"/>
        </w:rPr>
      </w:pPr>
      <w:r w:rsidRPr="00F82C8D">
        <w:rPr>
          <w:lang w:val="en-GB"/>
        </w:rPr>
        <w:t xml:space="preserve">If the production variable is being identified for the purposes of the </w:t>
      </w:r>
      <w:r w:rsidR="00BB7C53" w:rsidRPr="00F82C8D">
        <w:rPr>
          <w:lang w:val="en-GB"/>
        </w:rPr>
        <w:t>emissions intens</w:t>
      </w:r>
      <w:r w:rsidRPr="00F82C8D">
        <w:rPr>
          <w:lang w:val="en-GB"/>
        </w:rPr>
        <w:t>ity test</w:t>
      </w:r>
      <w:r w:rsidR="00DD14C8" w:rsidRPr="00F82C8D">
        <w:rPr>
          <w:lang w:val="en-GB"/>
        </w:rPr>
        <w:t xml:space="preserve"> (see section 46</w:t>
      </w:r>
      <w:r w:rsidR="004F39BE" w:rsidRPr="00F82C8D">
        <w:rPr>
          <w:lang w:val="en-GB"/>
        </w:rPr>
        <w:t xml:space="preserve"> if the </w:t>
      </w:r>
      <w:r w:rsidR="00D360AB" w:rsidRPr="00F82C8D">
        <w:rPr>
          <w:lang w:val="en-GB"/>
        </w:rPr>
        <w:t>safeguard rule</w:t>
      </w:r>
      <w:r w:rsidR="00DD14C8" w:rsidRPr="00F82C8D">
        <w:rPr>
          <w:lang w:val="en-GB"/>
        </w:rPr>
        <w:t>)</w:t>
      </w:r>
      <w:r w:rsidRPr="00F82C8D">
        <w:rPr>
          <w:lang w:val="en-GB"/>
        </w:rPr>
        <w:t xml:space="preserve">, the relevant comparison period is the year for which the baseline variation is sought and the most recent baseline intensity </w:t>
      </w:r>
      <w:r w:rsidR="00893FB8" w:rsidRPr="00F82C8D">
        <w:rPr>
          <w:lang w:val="en-GB"/>
        </w:rPr>
        <w:t>comparison</w:t>
      </w:r>
      <w:r w:rsidRPr="00F82C8D">
        <w:rPr>
          <w:lang w:val="en-GB"/>
        </w:rPr>
        <w:t xml:space="preserve"> year</w:t>
      </w:r>
      <w:r w:rsidR="00CC206E" w:rsidRPr="00F82C8D">
        <w:rPr>
          <w:lang w:val="en-GB"/>
        </w:rPr>
        <w:t>.</w:t>
      </w:r>
      <w:r w:rsidRPr="00F82C8D">
        <w:rPr>
          <w:lang w:val="en-GB"/>
        </w:rPr>
        <w:t xml:space="preserve"> </w:t>
      </w:r>
      <w:r w:rsidRPr="00F82C8D">
        <w:rPr>
          <w:rStyle w:val="Emphasis"/>
        </w:rPr>
        <w:t>[paragraph 5(1</w:t>
      </w:r>
      <w:r w:rsidR="00E647C0" w:rsidRPr="00F82C8D">
        <w:rPr>
          <w:rStyle w:val="Emphasis"/>
        </w:rPr>
        <w:t>3</w:t>
      </w:r>
      <w:r w:rsidR="00A018EF" w:rsidRPr="00F82C8D">
        <w:rPr>
          <w:rStyle w:val="Emphasis"/>
        </w:rPr>
        <w:t>)</w:t>
      </w:r>
      <w:r w:rsidR="00CC206E" w:rsidRPr="00F82C8D">
        <w:rPr>
          <w:rStyle w:val="Emphasis"/>
        </w:rPr>
        <w:t>(b)]</w:t>
      </w:r>
      <w:r w:rsidRPr="00F82C8D">
        <w:rPr>
          <w:rStyle w:val="Emphasis"/>
        </w:rPr>
        <w:t xml:space="preserve"> </w:t>
      </w:r>
      <w:r w:rsidRPr="00F82C8D">
        <w:rPr>
          <w:lang w:val="en-GB"/>
        </w:rPr>
        <w:t xml:space="preserve">That is, to ensure that the </w:t>
      </w:r>
      <w:r w:rsidR="00BB7C53" w:rsidRPr="00F82C8D">
        <w:rPr>
          <w:lang w:val="en-GB"/>
        </w:rPr>
        <w:t>emissions intens</w:t>
      </w:r>
      <w:r w:rsidRPr="00F82C8D">
        <w:rPr>
          <w:lang w:val="en-GB"/>
        </w:rPr>
        <w:t>ity of production is calcu</w:t>
      </w:r>
      <w:r w:rsidR="00DD14C8" w:rsidRPr="00F82C8D">
        <w:rPr>
          <w:lang w:val="en-GB"/>
        </w:rPr>
        <w:t>lated accurately, the output variables, inputs or intermediate products must be materially similar in both the baseline intensity comparison year and the year for which the variation is sought.</w:t>
      </w:r>
      <w:r w:rsidRPr="00F82C8D">
        <w:rPr>
          <w:lang w:val="en-GB"/>
        </w:rPr>
        <w:t xml:space="preserve"> </w:t>
      </w:r>
    </w:p>
    <w:p w:rsidR="0058425D" w:rsidRPr="00F82C8D" w:rsidRDefault="0065595C" w:rsidP="0058425D">
      <w:pPr>
        <w:pStyle w:val="Heading3"/>
      </w:pPr>
      <w:bookmarkStart w:id="62" w:name="_Ref427668960"/>
      <w:r w:rsidRPr="00F82C8D">
        <w:t xml:space="preserve">Section 6: </w:t>
      </w:r>
      <w:r w:rsidR="003D70C1" w:rsidRPr="00F82C8D">
        <w:t>Emissions-</w:t>
      </w:r>
      <w:r w:rsidR="00BB7C53" w:rsidRPr="00F82C8D">
        <w:t>intens</w:t>
      </w:r>
      <w:r w:rsidR="00F24E7E" w:rsidRPr="00F82C8D">
        <w:t>it</w:t>
      </w:r>
      <w:r w:rsidR="0058425D" w:rsidRPr="00F82C8D">
        <w:t>y calculation criteria</w:t>
      </w:r>
      <w:bookmarkEnd w:id="62"/>
    </w:p>
    <w:p w:rsidR="00ED066F" w:rsidRPr="00F82C8D" w:rsidRDefault="00ED066F" w:rsidP="00625D31">
      <w:pPr>
        <w:pStyle w:val="ListParagraph"/>
        <w:rPr>
          <w:lang w:val="en-GB"/>
        </w:rPr>
      </w:pPr>
      <w:r w:rsidRPr="00F82C8D">
        <w:rPr>
          <w:lang w:val="en-GB"/>
        </w:rPr>
        <w:t>The emissions intensity of production variables is calculated for the purposes of making calculated-emissions baselines and assessing whether a facility is eligible for a variation of a baseline determination because of a reduction in emissions intensity.</w:t>
      </w:r>
    </w:p>
    <w:p w:rsidR="00ED066F" w:rsidRPr="00F82C8D" w:rsidRDefault="00431A33" w:rsidP="00625D31">
      <w:pPr>
        <w:pStyle w:val="ListParagraph"/>
        <w:rPr>
          <w:lang w:val="en-GB"/>
        </w:rPr>
      </w:pPr>
      <w:r w:rsidRPr="00F82C8D">
        <w:rPr>
          <w:lang w:val="en-GB"/>
        </w:rPr>
        <w:t xml:space="preserve">The </w:t>
      </w:r>
      <w:r w:rsidR="00BB7C53" w:rsidRPr="00F82C8D">
        <w:rPr>
          <w:lang w:val="en-GB"/>
        </w:rPr>
        <w:t>emissions intens</w:t>
      </w:r>
      <w:r w:rsidRPr="00F82C8D">
        <w:rPr>
          <w:lang w:val="en-GB"/>
        </w:rPr>
        <w:t>ity of a production variable must be calculated in accordance with the rules in section 6</w:t>
      </w:r>
      <w:r w:rsidR="00D221F8" w:rsidRPr="00F82C8D">
        <w:rPr>
          <w:lang w:val="en-GB"/>
        </w:rPr>
        <w:t>.</w:t>
      </w:r>
      <w:r w:rsidRPr="00F82C8D">
        <w:rPr>
          <w:lang w:val="en-GB"/>
        </w:rPr>
        <w:t xml:space="preserve"> </w:t>
      </w:r>
      <w:r w:rsidR="00BF3FA1" w:rsidRPr="00F82C8D">
        <w:rPr>
          <w:lang w:val="en-GB"/>
        </w:rPr>
        <w:t xml:space="preserve">The calculation must met requirements, </w:t>
      </w:r>
      <w:r w:rsidR="00ED066F" w:rsidRPr="00F82C8D">
        <w:rPr>
          <w:lang w:val="en-GB"/>
        </w:rPr>
        <w:t xml:space="preserve">which </w:t>
      </w:r>
      <w:r w:rsidR="00BF3FA1" w:rsidRPr="00F82C8D">
        <w:rPr>
          <w:lang w:val="en-GB"/>
        </w:rPr>
        <w:t xml:space="preserve">are set out in subsections (2) to (8), and take into account </w:t>
      </w:r>
      <w:r w:rsidR="00ED066F" w:rsidRPr="00F82C8D">
        <w:rPr>
          <w:lang w:val="en-GB"/>
        </w:rPr>
        <w:t xml:space="preserve">the principles which are </w:t>
      </w:r>
      <w:r w:rsidR="00BF3FA1" w:rsidRPr="00F82C8D">
        <w:rPr>
          <w:lang w:val="en-GB"/>
        </w:rPr>
        <w:t xml:space="preserve">set out in </w:t>
      </w:r>
      <w:r w:rsidR="007329DC" w:rsidRPr="00F82C8D">
        <w:t>subsections (9) to (11)</w:t>
      </w:r>
      <w:r w:rsidR="00ED066F" w:rsidRPr="00F82C8D">
        <w:rPr>
          <w:color w:val="0000FF"/>
        </w:rPr>
        <w:t>.</w:t>
      </w:r>
      <w:r w:rsidR="00BF3FA1" w:rsidRPr="00F82C8D">
        <w:rPr>
          <w:lang w:val="en-GB"/>
        </w:rPr>
        <w:t xml:space="preserve"> </w:t>
      </w:r>
      <w:r w:rsidRPr="00F82C8D">
        <w:rPr>
          <w:rStyle w:val="Emphasis"/>
        </w:rPr>
        <w:t>[subsection 6(1)</w:t>
      </w:r>
      <w:r w:rsidR="00D221F8" w:rsidRPr="00F82C8D">
        <w:rPr>
          <w:rStyle w:val="Emphasis"/>
        </w:rPr>
        <w:t>]</w:t>
      </w:r>
      <w:r w:rsidRPr="00F82C8D">
        <w:rPr>
          <w:lang w:val="en-GB"/>
        </w:rPr>
        <w:t xml:space="preserve"> </w:t>
      </w:r>
      <w:r w:rsidR="00ED066F" w:rsidRPr="00F82C8D">
        <w:rPr>
          <w:lang w:val="en-GB"/>
        </w:rPr>
        <w:t xml:space="preserve">Differentiating requirements from principles is significant for determining if </w:t>
      </w:r>
      <w:r w:rsidR="003F1ABC" w:rsidRPr="00F82C8D">
        <w:rPr>
          <w:lang w:val="en-GB"/>
        </w:rPr>
        <w:t>emissions</w:t>
      </w:r>
      <w:r w:rsidR="00A95784" w:rsidRPr="00F82C8D">
        <w:rPr>
          <w:lang w:val="en-GB"/>
        </w:rPr>
        <w:t xml:space="preserve"> </w:t>
      </w:r>
      <w:r w:rsidR="00ED066F" w:rsidRPr="00F82C8D">
        <w:rPr>
          <w:lang w:val="en-GB"/>
        </w:rPr>
        <w:t>intensity</w:t>
      </w:r>
      <w:r w:rsidR="00942D59" w:rsidRPr="00F82C8D">
        <w:rPr>
          <w:lang w:val="en-GB"/>
        </w:rPr>
        <w:t xml:space="preserve"> has been correctly calculated.</w:t>
      </w:r>
      <w:r w:rsidR="00ED066F" w:rsidRPr="00F82C8D">
        <w:rPr>
          <w:lang w:val="en-GB"/>
        </w:rPr>
        <w:t xml:space="preserve"> </w:t>
      </w:r>
      <w:r w:rsidR="00A95784" w:rsidRPr="00F82C8D">
        <w:rPr>
          <w:lang w:val="en-GB"/>
        </w:rPr>
        <w:t>In taking into account the principles in subsections (9) to (11) it is recognised that individual circumstances may mean that the principle cannot be met, but the calculation should get as close to the relevant principle as is practicable.</w:t>
      </w:r>
    </w:p>
    <w:p w:rsidR="00DB293E" w:rsidRPr="00F82C8D" w:rsidRDefault="00ED066F">
      <w:pPr>
        <w:pStyle w:val="Heading4"/>
        <w:rPr>
          <w:lang w:val="en-GB"/>
        </w:rPr>
      </w:pPr>
      <w:r w:rsidRPr="00F82C8D">
        <w:rPr>
          <w:lang w:val="en-GB"/>
        </w:rPr>
        <w:t>Requirements</w:t>
      </w:r>
    </w:p>
    <w:p w:rsidR="00431A33" w:rsidRPr="00F82C8D" w:rsidRDefault="00431A33" w:rsidP="00625D31">
      <w:pPr>
        <w:pStyle w:val="ListParagraph"/>
        <w:rPr>
          <w:lang w:val="en-GB"/>
        </w:rPr>
      </w:pPr>
      <w:r w:rsidRPr="00F82C8D">
        <w:rPr>
          <w:lang w:val="en-GB"/>
        </w:rPr>
        <w:t xml:space="preserve">The calculation of </w:t>
      </w:r>
      <w:r w:rsidR="00BB7C53" w:rsidRPr="00F82C8D">
        <w:rPr>
          <w:lang w:val="en-GB"/>
        </w:rPr>
        <w:t>emissions intens</w:t>
      </w:r>
      <w:r w:rsidRPr="00F82C8D">
        <w:rPr>
          <w:lang w:val="en-GB"/>
        </w:rPr>
        <w:t>ity must only include covered emissions</w:t>
      </w:r>
      <w:r w:rsidR="00D221F8" w:rsidRPr="00F82C8D">
        <w:rPr>
          <w:lang w:val="en-GB"/>
        </w:rPr>
        <w:t>.</w:t>
      </w:r>
      <w:r w:rsidRPr="00F82C8D">
        <w:rPr>
          <w:lang w:val="en-GB"/>
        </w:rPr>
        <w:t xml:space="preserve"> </w:t>
      </w:r>
      <w:r w:rsidRPr="00F82C8D">
        <w:rPr>
          <w:rStyle w:val="Emphasis"/>
        </w:rPr>
        <w:t>[</w:t>
      </w:r>
      <w:r w:rsidR="00D221F8" w:rsidRPr="00F82C8D">
        <w:rPr>
          <w:rStyle w:val="Emphasis"/>
        </w:rPr>
        <w:t>subsection </w:t>
      </w:r>
      <w:r w:rsidRPr="00F82C8D">
        <w:rPr>
          <w:rStyle w:val="Emphasis"/>
        </w:rPr>
        <w:t>6(2)</w:t>
      </w:r>
      <w:r w:rsidR="00D221F8" w:rsidRPr="00F82C8D">
        <w:rPr>
          <w:rStyle w:val="Emphasis"/>
        </w:rPr>
        <w:t>]</w:t>
      </w:r>
      <w:r w:rsidR="005D0EFD" w:rsidRPr="00F82C8D">
        <w:rPr>
          <w:lang w:val="en-GB"/>
        </w:rPr>
        <w:t xml:space="preserve"> The safeguard mechanism only applies</w:t>
      </w:r>
      <w:r w:rsidRPr="00F82C8D">
        <w:rPr>
          <w:lang w:val="en-GB"/>
        </w:rPr>
        <w:t xml:space="preserve"> to a facility’s covered emissions.</w:t>
      </w:r>
    </w:p>
    <w:p w:rsidR="0084508D" w:rsidRPr="00F82C8D" w:rsidRDefault="0084508D" w:rsidP="00625D31">
      <w:pPr>
        <w:pStyle w:val="ListParagraph"/>
        <w:rPr>
          <w:lang w:val="en-GB"/>
        </w:rPr>
      </w:pPr>
      <w:r w:rsidRPr="00F82C8D">
        <w:rPr>
          <w:lang w:val="en-GB"/>
        </w:rPr>
        <w:t xml:space="preserve">The total covered emissions of the facility are </w:t>
      </w:r>
      <w:r w:rsidR="00A06319" w:rsidRPr="00F82C8D">
        <w:rPr>
          <w:lang w:val="en-GB"/>
        </w:rPr>
        <w:t>used</w:t>
      </w:r>
      <w:r w:rsidRPr="00F82C8D">
        <w:rPr>
          <w:lang w:val="en-GB"/>
        </w:rPr>
        <w:t xml:space="preserve"> to calculate the</w:t>
      </w:r>
      <w:r w:rsidR="00A06319" w:rsidRPr="00F82C8D">
        <w:rPr>
          <w:lang w:val="en-GB"/>
        </w:rPr>
        <w:t xml:space="preserve"> one or more emissions intensities</w:t>
      </w:r>
      <w:r w:rsidRPr="00F82C8D">
        <w:rPr>
          <w:lang w:val="en-GB"/>
        </w:rPr>
        <w:t xml:space="preserve">. If there </w:t>
      </w:r>
      <w:r w:rsidR="00A06319" w:rsidRPr="00F82C8D">
        <w:rPr>
          <w:lang w:val="en-GB"/>
        </w:rPr>
        <w:t xml:space="preserve">is only one production variable, </w:t>
      </w:r>
      <w:r w:rsidRPr="00F82C8D">
        <w:rPr>
          <w:lang w:val="en-GB"/>
        </w:rPr>
        <w:t xml:space="preserve">then </w:t>
      </w:r>
      <w:r w:rsidR="00A06319" w:rsidRPr="00F82C8D">
        <w:rPr>
          <w:lang w:val="en-GB"/>
        </w:rPr>
        <w:t>its</w:t>
      </w:r>
      <w:r w:rsidRPr="00F82C8D">
        <w:rPr>
          <w:lang w:val="en-GB"/>
        </w:rPr>
        <w:t xml:space="preserve"> </w:t>
      </w:r>
      <w:r w:rsidRPr="00F82C8D">
        <w:t xml:space="preserve">emissions intensity </w:t>
      </w:r>
      <w:r w:rsidR="00A06319" w:rsidRPr="00F82C8D">
        <w:t>is calculated</w:t>
      </w:r>
      <w:r w:rsidRPr="00F82C8D">
        <w:t xml:space="preserve"> </w:t>
      </w:r>
      <w:r w:rsidR="00A06319" w:rsidRPr="00F82C8D">
        <w:t>simply</w:t>
      </w:r>
      <w:r w:rsidRPr="00F82C8D">
        <w:t xml:space="preserve"> by dividing the total covered emissions of the facility by the production variable. If there are two or more production variables—the total covered emissions of the facility are apportioned between each production variable and then the emissions apportioned to each production variable are divided by that production variable</w:t>
      </w:r>
      <w:r w:rsidR="00A06319" w:rsidRPr="00F82C8D">
        <w:t xml:space="preserve">. </w:t>
      </w:r>
      <w:r w:rsidR="00A06319" w:rsidRPr="00F82C8D">
        <w:rPr>
          <w:rStyle w:val="Emphasis"/>
        </w:rPr>
        <w:t>[subsections 6(3) and 6(4)]</w:t>
      </w:r>
    </w:p>
    <w:p w:rsidR="00A06319" w:rsidRPr="00F82C8D" w:rsidRDefault="00A06319" w:rsidP="00A06319">
      <w:pPr>
        <w:pStyle w:val="ListParagraph"/>
        <w:rPr>
          <w:rStyle w:val="Emphasis"/>
          <w:b w:val="0"/>
          <w:bCs w:val="0"/>
          <w:i w:val="0"/>
          <w:iCs/>
          <w:sz w:val="24"/>
          <w:lang w:val="en-GB"/>
        </w:rPr>
      </w:pPr>
      <w:r w:rsidRPr="00F82C8D">
        <w:rPr>
          <w:lang w:val="en-GB"/>
        </w:rPr>
        <w:t>Emissions intensity must be expressed in tonnes of carbon dioxide equivalence (t CO</w:t>
      </w:r>
      <w:r w:rsidRPr="00F82C8D">
        <w:rPr>
          <w:vertAlign w:val="subscript"/>
          <w:lang w:val="en-GB"/>
        </w:rPr>
        <w:t>2</w:t>
      </w:r>
      <w:r w:rsidRPr="00F82C8D">
        <w:rPr>
          <w:lang w:val="en-GB"/>
        </w:rPr>
        <w:t xml:space="preserve">-e) per unit of the production variable, noting that the production variable may combine both a unit and a quantity. </w:t>
      </w:r>
      <w:r w:rsidRPr="00F82C8D">
        <w:rPr>
          <w:rStyle w:val="Emphasis"/>
        </w:rPr>
        <w:t xml:space="preserve">[subsection 6(5)] </w:t>
      </w:r>
    </w:p>
    <w:p w:rsidR="00A06319" w:rsidRPr="00F82C8D" w:rsidRDefault="00A06319" w:rsidP="00A06319">
      <w:pPr>
        <w:pStyle w:val="Quote"/>
      </w:pPr>
      <w:r w:rsidRPr="00F82C8D">
        <w:t>For example, if a facility’s production variable is 4,000 tonnes of zinc, then the unit is ‘tonne’. The emissions intensity of the facility’s zinc production must therefore be expressed in t CO2-e per tonne of zinc.</w:t>
      </w:r>
    </w:p>
    <w:p w:rsidR="00431A33" w:rsidRPr="00F82C8D" w:rsidRDefault="00431A33" w:rsidP="00625D31">
      <w:pPr>
        <w:pStyle w:val="ListParagraph"/>
        <w:rPr>
          <w:lang w:val="en-GB"/>
        </w:rPr>
      </w:pPr>
      <w:r w:rsidRPr="00F82C8D">
        <w:rPr>
          <w:lang w:val="en-GB"/>
        </w:rPr>
        <w:t>If</w:t>
      </w:r>
      <w:r w:rsidR="00645410" w:rsidRPr="00F82C8D">
        <w:rPr>
          <w:lang w:val="en-GB"/>
        </w:rPr>
        <w:t xml:space="preserve"> the emissions intensity is being worked out for the purpose of making a calculated-emissions baseline determination, then if</w:t>
      </w:r>
      <w:r w:rsidRPr="00F82C8D">
        <w:rPr>
          <w:lang w:val="en-GB"/>
        </w:rPr>
        <w:t xml:space="preserve"> a greenhouse gas other than carbon dioxide has, or is reasonably li</w:t>
      </w:r>
      <w:r w:rsidR="003F0698" w:rsidRPr="00F82C8D">
        <w:rPr>
          <w:lang w:val="en-GB"/>
        </w:rPr>
        <w:t>kely to, contribute more than one per cent</w:t>
      </w:r>
      <w:r w:rsidRPr="00F82C8D">
        <w:rPr>
          <w:lang w:val="en-GB"/>
        </w:rPr>
        <w:t xml:space="preserve"> of the expected covered emissions in the financial year </w:t>
      </w:r>
      <w:r w:rsidR="00547748" w:rsidRPr="00F82C8D">
        <w:rPr>
          <w:lang w:val="en-GB"/>
        </w:rPr>
        <w:t xml:space="preserve">being considered, the emissions </w:t>
      </w:r>
      <w:r w:rsidRPr="00F82C8D">
        <w:rPr>
          <w:lang w:val="en-GB"/>
        </w:rPr>
        <w:t>intensity of that gas must be separately identified</w:t>
      </w:r>
      <w:r w:rsidR="00645410" w:rsidRPr="00F82C8D">
        <w:rPr>
          <w:lang w:val="en-GB"/>
        </w:rPr>
        <w:t xml:space="preserve"> per unit of production variable</w:t>
      </w:r>
      <w:r w:rsidR="003F0698" w:rsidRPr="00F82C8D">
        <w:rPr>
          <w:lang w:val="en-GB"/>
        </w:rPr>
        <w:t>.</w:t>
      </w:r>
      <w:r w:rsidRPr="00F82C8D">
        <w:rPr>
          <w:lang w:val="en-GB"/>
        </w:rPr>
        <w:t xml:space="preserve"> </w:t>
      </w:r>
      <w:r w:rsidR="0084508D" w:rsidRPr="00F82C8D">
        <w:rPr>
          <w:rStyle w:val="Emphasis"/>
        </w:rPr>
        <w:t>[subsection 6(6</w:t>
      </w:r>
      <w:r w:rsidRPr="00F82C8D">
        <w:rPr>
          <w:rStyle w:val="Emphasis"/>
        </w:rPr>
        <w:t>)</w:t>
      </w:r>
      <w:r w:rsidR="003F0698" w:rsidRPr="00F82C8D">
        <w:rPr>
          <w:rStyle w:val="Emphasis"/>
        </w:rPr>
        <w:t>]</w:t>
      </w:r>
      <w:r w:rsidR="003F0698" w:rsidRPr="00F82C8D">
        <w:rPr>
          <w:lang w:val="en-GB"/>
        </w:rPr>
        <w:t xml:space="preserve"> </w:t>
      </w:r>
      <w:r w:rsidRPr="00F82C8D">
        <w:rPr>
          <w:lang w:val="en-GB"/>
        </w:rPr>
        <w:t>This p</w:t>
      </w:r>
      <w:r w:rsidR="00547748" w:rsidRPr="00F82C8D">
        <w:rPr>
          <w:lang w:val="en-GB"/>
        </w:rPr>
        <w:t xml:space="preserve">rovision ensures that emissions </w:t>
      </w:r>
      <w:r w:rsidRPr="00F82C8D">
        <w:rPr>
          <w:lang w:val="en-GB"/>
        </w:rPr>
        <w:t xml:space="preserve">intensity is calculated accurately by fully taking into account significant </w:t>
      </w:r>
      <w:r w:rsidR="008C69DD" w:rsidRPr="00F82C8D">
        <w:rPr>
          <w:lang w:val="en-GB"/>
        </w:rPr>
        <w:t xml:space="preserve">covered </w:t>
      </w:r>
      <w:r w:rsidRPr="00F82C8D">
        <w:rPr>
          <w:lang w:val="en-GB"/>
        </w:rPr>
        <w:t>emissions sources</w:t>
      </w:r>
      <w:r w:rsidR="00A018EF" w:rsidRPr="00F82C8D">
        <w:rPr>
          <w:lang w:val="en-GB"/>
        </w:rPr>
        <w:t xml:space="preserve"> and </w:t>
      </w:r>
      <w:r w:rsidR="00562E97" w:rsidRPr="00F82C8D">
        <w:rPr>
          <w:lang w:val="en-GB"/>
        </w:rPr>
        <w:t xml:space="preserve">the baseline </w:t>
      </w:r>
      <w:r w:rsidR="00A018EF" w:rsidRPr="00F82C8D">
        <w:rPr>
          <w:lang w:val="en-GB"/>
        </w:rPr>
        <w:t>can be updated should the global warming potential of the relevant greenhouse gas change in the future</w:t>
      </w:r>
      <w:r w:rsidRPr="00F82C8D">
        <w:rPr>
          <w:lang w:val="en-GB"/>
        </w:rPr>
        <w:t>.</w:t>
      </w:r>
      <w:r w:rsidR="0006041F" w:rsidRPr="00F82C8D">
        <w:rPr>
          <w:lang w:val="en-GB"/>
        </w:rPr>
        <w:t xml:space="preserve"> </w:t>
      </w:r>
      <w:r w:rsidR="00A06319" w:rsidRPr="00F82C8D">
        <w:rPr>
          <w:lang w:val="en-GB"/>
        </w:rPr>
        <w:t>A source of information for working out if</w:t>
      </w:r>
      <w:r w:rsidR="0006041F" w:rsidRPr="00F82C8D">
        <w:rPr>
          <w:lang w:val="en-GB"/>
        </w:rPr>
        <w:t xml:space="preserve"> this one per cent threshold is met, or likely to be met, is </w:t>
      </w:r>
      <w:r w:rsidR="00A06319" w:rsidRPr="00F82C8D">
        <w:rPr>
          <w:lang w:val="en-GB"/>
        </w:rPr>
        <w:t>the</w:t>
      </w:r>
      <w:r w:rsidR="00F26413" w:rsidRPr="00F82C8D">
        <w:rPr>
          <w:lang w:val="en-GB"/>
        </w:rPr>
        <w:t xml:space="preserve"> data contained in</w:t>
      </w:r>
      <w:r w:rsidR="0006041F" w:rsidRPr="00F82C8D">
        <w:rPr>
          <w:lang w:val="en-GB"/>
        </w:rPr>
        <w:t xml:space="preserve"> report</w:t>
      </w:r>
      <w:r w:rsidR="00F26413" w:rsidRPr="00F82C8D">
        <w:rPr>
          <w:lang w:val="en-GB"/>
        </w:rPr>
        <w:t xml:space="preserve">s submitted under the Act. </w:t>
      </w:r>
      <w:r w:rsidR="00645410" w:rsidRPr="00F82C8D">
        <w:rPr>
          <w:lang w:val="en-GB"/>
        </w:rPr>
        <w:t xml:space="preserve"> This is not required for the emissions intensity test where two emissions intensity are compared and are not used to determine a baseline emissions number.</w:t>
      </w:r>
    </w:p>
    <w:p w:rsidR="00431A33" w:rsidRPr="00F82C8D" w:rsidRDefault="00547748" w:rsidP="00625D31">
      <w:pPr>
        <w:pStyle w:val="ListParagraph"/>
        <w:rPr>
          <w:lang w:val="en-GB"/>
        </w:rPr>
      </w:pPr>
      <w:r w:rsidRPr="00F82C8D">
        <w:rPr>
          <w:lang w:val="en-GB"/>
        </w:rPr>
        <w:t xml:space="preserve">The calculation of emissions </w:t>
      </w:r>
      <w:r w:rsidR="00431A33" w:rsidRPr="00F82C8D">
        <w:rPr>
          <w:lang w:val="en-GB"/>
        </w:rPr>
        <w:t>intensity</w:t>
      </w:r>
      <w:r w:rsidRPr="00F82C8D">
        <w:rPr>
          <w:lang w:val="en-GB"/>
        </w:rPr>
        <w:t xml:space="preserve"> of a greenhouse gas</w:t>
      </w:r>
      <w:r w:rsidR="00431A33" w:rsidRPr="00F82C8D">
        <w:rPr>
          <w:lang w:val="en-GB"/>
        </w:rPr>
        <w:t xml:space="preserve"> must </w:t>
      </w:r>
      <w:r w:rsidR="00431A33" w:rsidRPr="00F82C8D">
        <w:t>measure and apportion emissions in a man</w:t>
      </w:r>
      <w:r w:rsidR="003B2168" w:rsidRPr="00F82C8D">
        <w:t>ner that is consistent with the</w:t>
      </w:r>
      <w:r w:rsidR="003B2168" w:rsidRPr="00F82C8D">
        <w:rPr>
          <w:rFonts w:ascii="Verdana" w:hAnsi="Verdana"/>
          <w:sz w:val="19"/>
          <w:szCs w:val="19"/>
        </w:rPr>
        <w:t xml:space="preserve"> </w:t>
      </w:r>
      <w:r w:rsidR="003B2168" w:rsidRPr="00F82C8D">
        <w:rPr>
          <w:i/>
        </w:rPr>
        <w:t>National Greenhouse and Energy Reporting (Measurement) Determination 2008 (</w:t>
      </w:r>
      <w:r w:rsidR="00431A33" w:rsidRPr="00F82C8D">
        <w:t>NGER (Measurement</w:t>
      </w:r>
      <w:r w:rsidR="00151277" w:rsidRPr="00F82C8D">
        <w:t>)</w:t>
      </w:r>
      <w:r w:rsidR="00431A33" w:rsidRPr="00F82C8D">
        <w:t xml:space="preserve"> Determination</w:t>
      </w:r>
      <w:r w:rsidR="003B2168" w:rsidRPr="00F82C8D">
        <w:rPr>
          <w:i/>
        </w:rPr>
        <w:t>)</w:t>
      </w:r>
      <w:r w:rsidR="003F0698" w:rsidRPr="00F82C8D">
        <w:rPr>
          <w:i/>
          <w:lang w:val="en-GB"/>
        </w:rPr>
        <w:t xml:space="preserve">. </w:t>
      </w:r>
      <w:r w:rsidR="00084A4D" w:rsidRPr="00F82C8D">
        <w:rPr>
          <w:rStyle w:val="Emphasis"/>
        </w:rPr>
        <w:t>[subsection 6(7</w:t>
      </w:r>
      <w:r w:rsidR="00431A33" w:rsidRPr="00F82C8D">
        <w:rPr>
          <w:rStyle w:val="Emphasis"/>
        </w:rPr>
        <w:t>)</w:t>
      </w:r>
      <w:r w:rsidR="003F0698" w:rsidRPr="00F82C8D">
        <w:rPr>
          <w:rStyle w:val="Emphasis"/>
        </w:rPr>
        <w:t>]</w:t>
      </w:r>
      <w:r w:rsidR="00431A33" w:rsidRPr="00F82C8D">
        <w:rPr>
          <w:lang w:val="en-GB"/>
        </w:rPr>
        <w:t xml:space="preserve"> This p</w:t>
      </w:r>
      <w:r w:rsidRPr="00F82C8D">
        <w:rPr>
          <w:lang w:val="en-GB"/>
        </w:rPr>
        <w:t xml:space="preserve">rovision ensures that emissions </w:t>
      </w:r>
      <w:r w:rsidR="00431A33" w:rsidRPr="00F82C8D">
        <w:rPr>
          <w:lang w:val="en-GB"/>
        </w:rPr>
        <w:t xml:space="preserve">intensity is determined consistently with </w:t>
      </w:r>
      <w:r w:rsidR="00D13D28" w:rsidRPr="00F82C8D">
        <w:rPr>
          <w:lang w:val="en-GB"/>
        </w:rPr>
        <w:t xml:space="preserve">how </w:t>
      </w:r>
      <w:r w:rsidR="00431A33" w:rsidRPr="00F82C8D">
        <w:rPr>
          <w:lang w:val="en-GB"/>
        </w:rPr>
        <w:t>emissions</w:t>
      </w:r>
      <w:r w:rsidR="00D13D28" w:rsidRPr="00F82C8D">
        <w:rPr>
          <w:lang w:val="en-GB"/>
        </w:rPr>
        <w:t xml:space="preserve"> are</w:t>
      </w:r>
      <w:r w:rsidR="00431A33" w:rsidRPr="00F82C8D">
        <w:rPr>
          <w:lang w:val="en-GB"/>
        </w:rPr>
        <w:t xml:space="preserve"> report</w:t>
      </w:r>
      <w:r w:rsidR="00D13D28" w:rsidRPr="00F82C8D">
        <w:rPr>
          <w:lang w:val="en-GB"/>
        </w:rPr>
        <w:t>ed</w:t>
      </w:r>
      <w:r w:rsidR="00431A33" w:rsidRPr="00F82C8D">
        <w:rPr>
          <w:lang w:val="en-GB"/>
        </w:rPr>
        <w:t xml:space="preserve"> under the Act, in a way that is familiar to the Regulator and </w:t>
      </w:r>
      <w:r w:rsidR="00942D59" w:rsidRPr="00F82C8D">
        <w:rPr>
          <w:lang w:val="en-GB"/>
        </w:rPr>
        <w:t>national greenhouse and e</w:t>
      </w:r>
      <w:r w:rsidR="00F02C24" w:rsidRPr="00F82C8D">
        <w:rPr>
          <w:lang w:val="en-GB"/>
        </w:rPr>
        <w:t>nergy</w:t>
      </w:r>
      <w:r w:rsidR="0006041F" w:rsidRPr="00F82C8D">
        <w:rPr>
          <w:lang w:val="en-GB"/>
        </w:rPr>
        <w:t xml:space="preserve"> </w:t>
      </w:r>
      <w:r w:rsidR="00431A33" w:rsidRPr="00F82C8D">
        <w:rPr>
          <w:lang w:val="en-GB"/>
        </w:rPr>
        <w:t>auditors.</w:t>
      </w:r>
    </w:p>
    <w:p w:rsidR="003F0698" w:rsidRPr="00F82C8D" w:rsidRDefault="00431A33" w:rsidP="00625D31">
      <w:pPr>
        <w:pStyle w:val="ListParagraph"/>
        <w:rPr>
          <w:lang w:val="en-GB"/>
        </w:rPr>
      </w:pPr>
      <w:r w:rsidRPr="00F82C8D">
        <w:rPr>
          <w:lang w:val="en-GB"/>
        </w:rPr>
        <w:t xml:space="preserve">The </w:t>
      </w:r>
      <w:r w:rsidR="00BB7C53" w:rsidRPr="00F82C8D">
        <w:rPr>
          <w:lang w:val="en-GB"/>
        </w:rPr>
        <w:t>emissions intens</w:t>
      </w:r>
      <w:r w:rsidRPr="00F82C8D">
        <w:rPr>
          <w:lang w:val="en-GB"/>
        </w:rPr>
        <w:t>ity of each production variable must fairly represent the actual emissions attributable to the production variable</w:t>
      </w:r>
      <w:r w:rsidR="003F0698" w:rsidRPr="00F82C8D">
        <w:rPr>
          <w:lang w:val="en-GB"/>
        </w:rPr>
        <w:t>.</w:t>
      </w:r>
      <w:r w:rsidRPr="00F82C8D">
        <w:rPr>
          <w:lang w:val="en-GB"/>
        </w:rPr>
        <w:t xml:space="preserve"> </w:t>
      </w:r>
      <w:r w:rsidRPr="00F82C8D">
        <w:rPr>
          <w:rStyle w:val="Emphasis"/>
        </w:rPr>
        <w:t>[subsection 6(</w:t>
      </w:r>
      <w:r w:rsidR="00084A4D" w:rsidRPr="00F82C8D">
        <w:rPr>
          <w:rStyle w:val="Emphasis"/>
        </w:rPr>
        <w:t>8</w:t>
      </w:r>
      <w:r w:rsidRPr="00F82C8D">
        <w:rPr>
          <w:rStyle w:val="Emphasis"/>
        </w:rPr>
        <w:t>)</w:t>
      </w:r>
      <w:r w:rsidR="003F0698" w:rsidRPr="00F82C8D">
        <w:rPr>
          <w:rStyle w:val="Emphasis"/>
        </w:rPr>
        <w:t>]</w:t>
      </w:r>
      <w:r w:rsidR="003F0698" w:rsidRPr="00F82C8D">
        <w:rPr>
          <w:lang w:val="en-GB"/>
        </w:rPr>
        <w:t xml:space="preserve"> </w:t>
      </w:r>
    </w:p>
    <w:p w:rsidR="00431A33" w:rsidRPr="00F82C8D" w:rsidRDefault="00431A33" w:rsidP="003F0698">
      <w:pPr>
        <w:pStyle w:val="Quote"/>
      </w:pPr>
      <w:r w:rsidRPr="00F82C8D">
        <w:t xml:space="preserve">For example, </w:t>
      </w:r>
      <w:r w:rsidR="00084A4D" w:rsidRPr="00F82C8D">
        <w:t xml:space="preserve">covered </w:t>
      </w:r>
      <w:r w:rsidRPr="00F82C8D">
        <w:t xml:space="preserve">emissions should not be attributed to a production variable when in fact they could with greater or equal justification be attributed to </w:t>
      </w:r>
      <w:r w:rsidR="00084A4D" w:rsidRPr="00F82C8D">
        <w:t>a different production variable identified</w:t>
      </w:r>
      <w:r w:rsidRPr="00F82C8D">
        <w:t xml:space="preserve"> in accordance with the rules in section 5.</w:t>
      </w:r>
    </w:p>
    <w:p w:rsidR="00DB293E" w:rsidRPr="00F82C8D" w:rsidRDefault="00ED066F">
      <w:pPr>
        <w:pStyle w:val="Heading4"/>
      </w:pPr>
      <w:r w:rsidRPr="00F82C8D">
        <w:rPr>
          <w:lang w:val="en-AU"/>
        </w:rPr>
        <w:t>Principles</w:t>
      </w:r>
    </w:p>
    <w:p w:rsidR="005F0FC6" w:rsidRPr="00F82C8D" w:rsidRDefault="00431A33" w:rsidP="005F0FC6">
      <w:pPr>
        <w:pStyle w:val="ListParagraph"/>
      </w:pPr>
      <w:r w:rsidRPr="00F82C8D">
        <w:rPr>
          <w:lang w:val="en-GB"/>
        </w:rPr>
        <w:t>If an</w:t>
      </w:r>
      <w:r w:rsidR="00586D41" w:rsidRPr="00F82C8D">
        <w:rPr>
          <w:lang w:val="en-GB"/>
        </w:rPr>
        <w:t xml:space="preserve"> emissions source </w:t>
      </w:r>
      <w:r w:rsidR="00317879" w:rsidRPr="00F82C8D">
        <w:rPr>
          <w:lang w:val="en-GB"/>
        </w:rPr>
        <w:t xml:space="preserve">could be attributed to the </w:t>
      </w:r>
      <w:r w:rsidR="00BB7C53" w:rsidRPr="00F82C8D">
        <w:rPr>
          <w:lang w:val="en-GB"/>
        </w:rPr>
        <w:t>emissions intens</w:t>
      </w:r>
      <w:r w:rsidR="00317879" w:rsidRPr="00F82C8D">
        <w:rPr>
          <w:lang w:val="en-GB"/>
        </w:rPr>
        <w:t>ity of</w:t>
      </w:r>
      <w:r w:rsidR="00586D41" w:rsidRPr="00F82C8D">
        <w:rPr>
          <w:lang w:val="en-GB"/>
        </w:rPr>
        <w:t xml:space="preserve"> two</w:t>
      </w:r>
      <w:r w:rsidRPr="00F82C8D">
        <w:rPr>
          <w:lang w:val="en-GB"/>
        </w:rPr>
        <w:t xml:space="preserve"> or more </w:t>
      </w:r>
      <w:r w:rsidR="00084A4D" w:rsidRPr="00F82C8D">
        <w:rPr>
          <w:lang w:val="en-GB"/>
        </w:rPr>
        <w:t>production</w:t>
      </w:r>
      <w:r w:rsidRPr="00F82C8D">
        <w:rPr>
          <w:lang w:val="en-GB"/>
        </w:rPr>
        <w:t xml:space="preserve"> variables, then</w:t>
      </w:r>
      <w:r w:rsidR="005F0FC6" w:rsidRPr="00F82C8D">
        <w:rPr>
          <w:lang w:val="en-GB"/>
        </w:rPr>
        <w:t xml:space="preserve"> covered</w:t>
      </w:r>
      <w:r w:rsidRPr="00F82C8D">
        <w:rPr>
          <w:lang w:val="en-GB"/>
        </w:rPr>
        <w:t xml:space="preserve"> emissions from that source </w:t>
      </w:r>
      <w:r w:rsidR="002356E4" w:rsidRPr="00F82C8D">
        <w:rPr>
          <w:lang w:val="en-GB"/>
        </w:rPr>
        <w:t>should</w:t>
      </w:r>
      <w:r w:rsidRPr="00F82C8D">
        <w:rPr>
          <w:lang w:val="en-GB"/>
        </w:rPr>
        <w:t xml:space="preserve"> be apportioned between the variables</w:t>
      </w:r>
      <w:r w:rsidR="00ED066F" w:rsidRPr="00F82C8D">
        <w:rPr>
          <w:lang w:val="en-GB"/>
        </w:rPr>
        <w:t xml:space="preserve">. As a principle, </w:t>
      </w:r>
      <w:r w:rsidRPr="00F82C8D">
        <w:rPr>
          <w:lang w:val="en-GB"/>
        </w:rPr>
        <w:t xml:space="preserve">the sum of the emissions apportioned to each variable in any year to be covered by a baseline </w:t>
      </w:r>
      <w:r w:rsidR="00586D41" w:rsidRPr="00F82C8D">
        <w:rPr>
          <w:lang w:val="en-GB"/>
        </w:rPr>
        <w:t xml:space="preserve">determination </w:t>
      </w:r>
      <w:r w:rsidR="00036198" w:rsidRPr="00F82C8D">
        <w:rPr>
          <w:lang w:val="en-GB"/>
        </w:rPr>
        <w:t>should be</w:t>
      </w:r>
      <w:r w:rsidR="00586D41" w:rsidRPr="00F82C8D">
        <w:rPr>
          <w:lang w:val="en-GB"/>
        </w:rPr>
        <w:t xml:space="preserve"> no more than five percent</w:t>
      </w:r>
      <w:r w:rsidRPr="00F82C8D">
        <w:rPr>
          <w:lang w:val="en-GB"/>
        </w:rPr>
        <w:t xml:space="preserve"> greater than the total expected covered emissions from that source</w:t>
      </w:r>
      <w:r w:rsidR="005F0FC6" w:rsidRPr="00F82C8D">
        <w:rPr>
          <w:lang w:val="en-GB"/>
        </w:rPr>
        <w:t>:</w:t>
      </w:r>
    </w:p>
    <w:p w:rsidR="00DB293E" w:rsidRPr="00F82C8D" w:rsidRDefault="005F0FC6">
      <w:pPr>
        <w:pStyle w:val="ListBullet"/>
      </w:pPr>
      <w:r w:rsidRPr="00F82C8D">
        <w:t>if production variables are being identified for a calculated-emissions baseline determination—</w:t>
      </w:r>
      <w:r w:rsidR="00305453" w:rsidRPr="00F82C8D">
        <w:t xml:space="preserve"> during </w:t>
      </w:r>
      <w:r w:rsidRPr="00F82C8D">
        <w:t xml:space="preserve">the first </w:t>
      </w:r>
      <w:r w:rsidR="00D13D28" w:rsidRPr="00F82C8D">
        <w:t>three</w:t>
      </w:r>
      <w:r w:rsidRPr="00F82C8D">
        <w:t xml:space="preserve"> years</w:t>
      </w:r>
      <w:r w:rsidR="000423EC" w:rsidRPr="00F82C8D">
        <w:t xml:space="preserve"> of that baseline determination,</w:t>
      </w:r>
      <w:r w:rsidRPr="00F82C8D">
        <w:t xml:space="preserve"> and</w:t>
      </w:r>
    </w:p>
    <w:p w:rsidR="00DB293E" w:rsidRPr="00F82C8D" w:rsidRDefault="005F0FC6">
      <w:pPr>
        <w:pStyle w:val="ListBullet"/>
      </w:pPr>
      <w:r w:rsidRPr="00F82C8D">
        <w:t>if production variables are being identified for a variation of a baseline determination under subsection 51(2) and the facility is not a benchmark facility—</w:t>
      </w:r>
      <w:r w:rsidR="00305453" w:rsidRPr="00F82C8D">
        <w:t xml:space="preserve">during </w:t>
      </w:r>
      <w:r w:rsidRPr="00F82C8D">
        <w:t xml:space="preserve">both the financial year for which the baseline </w:t>
      </w:r>
      <w:r w:rsidR="002D213E" w:rsidRPr="00F82C8D">
        <w:t xml:space="preserve">emissions </w:t>
      </w:r>
      <w:r w:rsidRPr="00F82C8D">
        <w:t>number is to be varied and the most recent baseline intensity comparison year</w:t>
      </w:r>
      <w:r w:rsidR="00317879" w:rsidRPr="00F82C8D">
        <w:t xml:space="preserve">. </w:t>
      </w:r>
      <w:r w:rsidR="00084A4D" w:rsidRPr="00F82C8D">
        <w:rPr>
          <w:rStyle w:val="Emphasis"/>
        </w:rPr>
        <w:t>[subsection 6(9</w:t>
      </w:r>
      <w:r w:rsidR="00431A33" w:rsidRPr="00F82C8D">
        <w:rPr>
          <w:rStyle w:val="Emphasis"/>
        </w:rPr>
        <w:t>)</w:t>
      </w:r>
      <w:r w:rsidR="003F0698" w:rsidRPr="00F82C8D">
        <w:rPr>
          <w:rStyle w:val="Emphasis"/>
        </w:rPr>
        <w:t>]</w:t>
      </w:r>
      <w:r w:rsidR="00431A33" w:rsidRPr="00F82C8D">
        <w:rPr>
          <w:lang w:val="en-GB"/>
        </w:rPr>
        <w:t xml:space="preserve"> </w:t>
      </w:r>
    </w:p>
    <w:p w:rsidR="00230259" w:rsidRPr="00F82C8D" w:rsidRDefault="00230259" w:rsidP="00305453">
      <w:pPr>
        <w:pStyle w:val="Quote"/>
      </w:pPr>
      <w:r w:rsidRPr="00F82C8D">
        <w:t>For example if a facility combusts coal in the process of producing two production variables – Widget A and Widget B. In 2017-18 the facility produced 100,000 tonnes of Widget A and 50,000 tonnes of Widget B. Total emissions in 2017-18 were 200,000 t CO</w:t>
      </w:r>
      <w:r w:rsidRPr="00F82C8D">
        <w:rPr>
          <w:vertAlign w:val="subscript"/>
        </w:rPr>
        <w:t>2</w:t>
      </w:r>
      <w:r w:rsidRPr="00F82C8D">
        <w:t>-e from coal combustion but the heat from the coal combustion was used to produce both Widget A and Widget B. The total covered emissions attributable to each production variable is estimated to be 100,000 t CO</w:t>
      </w:r>
      <w:r w:rsidRPr="00F82C8D">
        <w:rPr>
          <w:vertAlign w:val="subscript"/>
        </w:rPr>
        <w:t>2</w:t>
      </w:r>
      <w:r w:rsidRPr="00F82C8D">
        <w:t>-e for both Widget A and Widget B. The emissions-intensity of the output variables are therefore 1 t CO</w:t>
      </w:r>
      <w:r w:rsidRPr="00F82C8D">
        <w:rPr>
          <w:vertAlign w:val="subscript"/>
        </w:rPr>
        <w:t>2</w:t>
      </w:r>
      <w:r w:rsidRPr="00F82C8D">
        <w:t xml:space="preserve">-e per tonne of Widget A and 2 </w:t>
      </w:r>
      <w:r w:rsidR="00C17525" w:rsidRPr="00F82C8D">
        <w:t>t</w:t>
      </w:r>
      <w:r w:rsidRPr="00F82C8D">
        <w:t xml:space="preserve"> CO</w:t>
      </w:r>
      <w:r w:rsidRPr="00F82C8D">
        <w:rPr>
          <w:vertAlign w:val="subscript"/>
        </w:rPr>
        <w:t>2</w:t>
      </w:r>
      <w:r w:rsidRPr="00F82C8D">
        <w:t xml:space="preserve">-e per tonne of Widget B. </w:t>
      </w:r>
      <w:r w:rsidRPr="00F82C8D">
        <w:rPr>
          <w:b/>
          <w:i/>
        </w:rPr>
        <w:t>[subsection 6(4)]</w:t>
      </w:r>
      <w:r w:rsidRPr="00F82C8D">
        <w:t xml:space="preserve"> In the first year of the calculated-emissions baseline the covered emissions at the facility are estimated to be 210,000 </w:t>
      </w:r>
      <w:r w:rsidR="00C17525" w:rsidRPr="00F82C8D">
        <w:t>t</w:t>
      </w:r>
      <w:r w:rsidRPr="00F82C8D">
        <w:t xml:space="preserve"> CO</w:t>
      </w:r>
      <w:r w:rsidRPr="00F82C8D">
        <w:rPr>
          <w:vertAlign w:val="subscript"/>
        </w:rPr>
        <w:t>2</w:t>
      </w:r>
      <w:r w:rsidRPr="00F82C8D">
        <w:t xml:space="preserve">-e, due to the combustion of coal and the facility produced 120,000 tonnes of Widget A and 55,000 tonnes of Widget B. The sum of the covered emissions apportioned to each output variable is 230,000 </w:t>
      </w:r>
      <w:r w:rsidR="00C17525" w:rsidRPr="00F82C8D">
        <w:t>t</w:t>
      </w:r>
      <w:r w:rsidRPr="00F82C8D">
        <w:t xml:space="preserve"> CO</w:t>
      </w:r>
      <w:r w:rsidRPr="00F82C8D">
        <w:rPr>
          <w:vertAlign w:val="subscript"/>
        </w:rPr>
        <w:t>2</w:t>
      </w:r>
      <w:r w:rsidRPr="00F82C8D">
        <w:t xml:space="preserve">-e (120,000 </w:t>
      </w:r>
      <w:r w:rsidR="00C17525" w:rsidRPr="00F82C8D">
        <w:t>t</w:t>
      </w:r>
      <w:r w:rsidRPr="00F82C8D">
        <w:t xml:space="preserve"> CO</w:t>
      </w:r>
      <w:r w:rsidRPr="00F82C8D">
        <w:rPr>
          <w:vertAlign w:val="subscript"/>
        </w:rPr>
        <w:t>2</w:t>
      </w:r>
      <w:r w:rsidRPr="00F82C8D">
        <w:t xml:space="preserve">-e + 110,000 </w:t>
      </w:r>
      <w:r w:rsidR="00C17525" w:rsidRPr="00F82C8D">
        <w:t>t</w:t>
      </w:r>
      <w:r w:rsidRPr="00F82C8D">
        <w:t xml:space="preserve"> CO</w:t>
      </w:r>
      <w:r w:rsidRPr="00F82C8D">
        <w:rPr>
          <w:vertAlign w:val="subscript"/>
        </w:rPr>
        <w:t>2</w:t>
      </w:r>
      <w:r w:rsidR="00C17525" w:rsidRPr="00F82C8D">
        <w:t>-e), which is 9.5 per cent</w:t>
      </w:r>
      <w:r w:rsidRPr="00F82C8D">
        <w:t xml:space="preserve"> greater than the total covered emissions from coal combustion. </w:t>
      </w:r>
      <w:r w:rsidR="00C17525" w:rsidRPr="00F82C8D">
        <w:t>Because the difference is more than 5 per cent</w:t>
      </w:r>
      <w:r w:rsidRPr="00F82C8D">
        <w:t xml:space="preserve"> the emissions apportioning </w:t>
      </w:r>
      <w:r w:rsidR="00036198" w:rsidRPr="00F82C8D">
        <w:t>should</w:t>
      </w:r>
      <w:r w:rsidR="003D70C1" w:rsidRPr="00F82C8D">
        <w:t xml:space="preserve"> be re</w:t>
      </w:r>
      <w:r w:rsidRPr="00F82C8D">
        <w:t>calculated</w:t>
      </w:r>
      <w:r w:rsidR="00036198" w:rsidRPr="00F82C8D">
        <w:t xml:space="preserve"> to see if the per cent difference can be reduced</w:t>
      </w:r>
      <w:r w:rsidRPr="00F82C8D">
        <w:t xml:space="preserve">. </w:t>
      </w:r>
      <w:r w:rsidRPr="00F82C8D">
        <w:rPr>
          <w:b/>
          <w:i/>
        </w:rPr>
        <w:t>[subsection 6(9)]</w:t>
      </w:r>
    </w:p>
    <w:p w:rsidR="00431A33" w:rsidRPr="00F82C8D" w:rsidRDefault="00431A33" w:rsidP="005F0FC6">
      <w:pPr>
        <w:pStyle w:val="ListParagraph"/>
        <w:rPr>
          <w:lang w:val="en-AU"/>
        </w:rPr>
      </w:pPr>
      <w:r w:rsidRPr="00F82C8D">
        <w:rPr>
          <w:lang w:val="en-GB"/>
        </w:rPr>
        <w:t xml:space="preserve">This </w:t>
      </w:r>
      <w:r w:rsidR="002356E4" w:rsidRPr="00F82C8D">
        <w:rPr>
          <w:lang w:val="en-GB"/>
        </w:rPr>
        <w:t>principle helps</w:t>
      </w:r>
      <w:r w:rsidRPr="00F82C8D">
        <w:rPr>
          <w:lang w:val="en-GB"/>
        </w:rPr>
        <w:t xml:space="preserve"> prevent the </w:t>
      </w:r>
      <w:r w:rsidR="00586D41" w:rsidRPr="00F82C8D">
        <w:rPr>
          <w:lang w:val="en-GB"/>
        </w:rPr>
        <w:t>over</w:t>
      </w:r>
      <w:r w:rsidRPr="00F82C8D">
        <w:rPr>
          <w:lang w:val="en-GB"/>
        </w:rPr>
        <w:t>estimation of emissions by apportioning emissions between different output variables for one mix of output variables and then calculating or estimating emissions for a different mix of the same output variables.</w:t>
      </w:r>
    </w:p>
    <w:p w:rsidR="00431A33" w:rsidRPr="00F82C8D" w:rsidRDefault="00431A33" w:rsidP="00625D31">
      <w:pPr>
        <w:pStyle w:val="ListParagraph"/>
        <w:rPr>
          <w:lang w:val="en-GB"/>
        </w:rPr>
      </w:pPr>
      <w:r w:rsidRPr="00F82C8D">
        <w:rPr>
          <w:lang w:val="en-GB"/>
        </w:rPr>
        <w:t xml:space="preserve">The method used to calculate the </w:t>
      </w:r>
      <w:r w:rsidR="00BB7C53" w:rsidRPr="00F82C8D">
        <w:rPr>
          <w:lang w:val="en-GB"/>
        </w:rPr>
        <w:t>emissions intens</w:t>
      </w:r>
      <w:r w:rsidRPr="00F82C8D">
        <w:rPr>
          <w:lang w:val="en-GB"/>
        </w:rPr>
        <w:t xml:space="preserve">ity of a facility’s production variable </w:t>
      </w:r>
      <w:r w:rsidR="00036198" w:rsidRPr="00F82C8D">
        <w:rPr>
          <w:lang w:val="en-GB"/>
        </w:rPr>
        <w:t>should</w:t>
      </w:r>
      <w:r w:rsidRPr="00F82C8D">
        <w:rPr>
          <w:lang w:val="en-GB"/>
        </w:rPr>
        <w:t xml:space="preserve"> be consistent with </w:t>
      </w:r>
      <w:r w:rsidR="00317879" w:rsidRPr="00F82C8D">
        <w:rPr>
          <w:lang w:val="en-GB"/>
        </w:rPr>
        <w:t xml:space="preserve">the method used in </w:t>
      </w:r>
      <w:r w:rsidRPr="00F82C8D">
        <w:rPr>
          <w:lang w:val="en-GB"/>
        </w:rPr>
        <w:t xml:space="preserve">any previous </w:t>
      </w:r>
      <w:r w:rsidR="00036198" w:rsidRPr="00F82C8D">
        <w:rPr>
          <w:lang w:val="en-GB"/>
        </w:rPr>
        <w:t xml:space="preserve">successful </w:t>
      </w:r>
      <w:r w:rsidRPr="00F82C8D">
        <w:rPr>
          <w:lang w:val="en-GB"/>
        </w:rPr>
        <w:t>application for a baseline determination or variati</w:t>
      </w:r>
      <w:r w:rsidR="003F0698" w:rsidRPr="00F82C8D">
        <w:rPr>
          <w:lang w:val="en-GB"/>
        </w:rPr>
        <w:t xml:space="preserve">on in relation to that facility. </w:t>
      </w:r>
      <w:r w:rsidR="00084A4D" w:rsidRPr="00F82C8D">
        <w:rPr>
          <w:rStyle w:val="Emphasis"/>
        </w:rPr>
        <w:t>[subsection 6(10</w:t>
      </w:r>
      <w:r w:rsidRPr="00F82C8D">
        <w:rPr>
          <w:rStyle w:val="Emphasis"/>
        </w:rPr>
        <w:t>)</w:t>
      </w:r>
      <w:r w:rsidR="003F0698" w:rsidRPr="00F82C8D">
        <w:rPr>
          <w:rStyle w:val="Emphasis"/>
        </w:rPr>
        <w:t>]</w:t>
      </w:r>
      <w:r w:rsidR="003F0698" w:rsidRPr="00F82C8D">
        <w:rPr>
          <w:lang w:val="en-GB"/>
        </w:rPr>
        <w:t xml:space="preserve"> </w:t>
      </w:r>
      <w:r w:rsidRPr="00F82C8D">
        <w:rPr>
          <w:lang w:val="en-GB"/>
        </w:rPr>
        <w:t>This provision</w:t>
      </w:r>
      <w:r w:rsidR="002356E4" w:rsidRPr="00F82C8D">
        <w:rPr>
          <w:lang w:val="en-GB"/>
        </w:rPr>
        <w:t xml:space="preserve"> helps ensure</w:t>
      </w:r>
      <w:r w:rsidRPr="00F82C8D">
        <w:rPr>
          <w:lang w:val="en-GB"/>
        </w:rPr>
        <w:t xml:space="preserve"> that the </w:t>
      </w:r>
      <w:r w:rsidR="00BB7C53" w:rsidRPr="00F82C8D">
        <w:rPr>
          <w:lang w:val="en-GB"/>
        </w:rPr>
        <w:t>emissions intens</w:t>
      </w:r>
      <w:r w:rsidRPr="00F82C8D">
        <w:rPr>
          <w:lang w:val="en-GB"/>
        </w:rPr>
        <w:t xml:space="preserve">ity calculation captures actual changes in </w:t>
      </w:r>
      <w:r w:rsidR="00BB7C53" w:rsidRPr="00F82C8D">
        <w:rPr>
          <w:lang w:val="en-GB"/>
        </w:rPr>
        <w:t>emissions intens</w:t>
      </w:r>
      <w:r w:rsidRPr="00F82C8D">
        <w:rPr>
          <w:lang w:val="en-GB"/>
        </w:rPr>
        <w:t xml:space="preserve">ity rather than changes in the method used to calculate </w:t>
      </w:r>
      <w:r w:rsidR="00BB7C53" w:rsidRPr="00F82C8D">
        <w:rPr>
          <w:lang w:val="en-GB"/>
        </w:rPr>
        <w:t>emissions intens</w:t>
      </w:r>
      <w:r w:rsidRPr="00F82C8D">
        <w:rPr>
          <w:lang w:val="en-GB"/>
        </w:rPr>
        <w:t>ity.</w:t>
      </w:r>
      <w:r w:rsidR="00A95784" w:rsidRPr="00F82C8D">
        <w:rPr>
          <w:lang w:val="en-GB"/>
        </w:rPr>
        <w:t xml:space="preserve"> This may not be practicable if the production variables have changed.</w:t>
      </w:r>
    </w:p>
    <w:p w:rsidR="0058425D" w:rsidRPr="00F82C8D" w:rsidRDefault="00431A33" w:rsidP="0058425D">
      <w:pPr>
        <w:pStyle w:val="ListParagraph"/>
        <w:rPr>
          <w:lang w:val="en-GB"/>
        </w:rPr>
      </w:pPr>
      <w:r w:rsidRPr="00F82C8D">
        <w:rPr>
          <w:lang w:val="en-GB"/>
        </w:rPr>
        <w:t>The apportionment of emissions to individual production variables should be free of bias that may lead to an overestimate of emissions to be covered by the baseline determination or variation resulting from changes in the relative mix of production variables</w:t>
      </w:r>
      <w:r w:rsidR="005F0FC6" w:rsidRPr="00F82C8D">
        <w:rPr>
          <w:lang w:val="en-GB"/>
        </w:rPr>
        <w:t>.</w:t>
      </w:r>
      <w:r w:rsidRPr="00F82C8D">
        <w:rPr>
          <w:lang w:val="en-GB"/>
        </w:rPr>
        <w:t xml:space="preserve"> </w:t>
      </w:r>
      <w:r w:rsidRPr="00F82C8D">
        <w:rPr>
          <w:rStyle w:val="Emphasis"/>
        </w:rPr>
        <w:t>[subsection 6(</w:t>
      </w:r>
      <w:r w:rsidR="00084A4D" w:rsidRPr="00F82C8D">
        <w:rPr>
          <w:rStyle w:val="Emphasis"/>
        </w:rPr>
        <w:t>11)</w:t>
      </w:r>
      <w:r w:rsidR="00F24164" w:rsidRPr="00F82C8D">
        <w:rPr>
          <w:rStyle w:val="Emphasis"/>
        </w:rPr>
        <w:t>]</w:t>
      </w:r>
      <w:r w:rsidRPr="00F82C8D">
        <w:rPr>
          <w:rStyle w:val="Emphasis"/>
        </w:rPr>
        <w:t xml:space="preserve"> </w:t>
      </w:r>
      <w:r w:rsidRPr="00F82C8D">
        <w:rPr>
          <w:lang w:val="en-GB"/>
        </w:rPr>
        <w:t xml:space="preserve">This provision expands on the rule that emissions </w:t>
      </w:r>
      <w:r w:rsidR="002356E4" w:rsidRPr="00F82C8D">
        <w:rPr>
          <w:lang w:val="en-GB"/>
        </w:rPr>
        <w:t>should</w:t>
      </w:r>
      <w:r w:rsidRPr="00F82C8D">
        <w:rPr>
          <w:lang w:val="en-GB"/>
        </w:rPr>
        <w:t xml:space="preserve"> be apportioned fairly between producti</w:t>
      </w:r>
      <w:r w:rsidR="00084A4D" w:rsidRPr="00F82C8D">
        <w:rPr>
          <w:lang w:val="en-GB"/>
        </w:rPr>
        <w:t>on variables (see subsection 6(9</w:t>
      </w:r>
      <w:r w:rsidRPr="00F82C8D">
        <w:rPr>
          <w:lang w:val="en-GB"/>
        </w:rPr>
        <w:t xml:space="preserve">)). </w:t>
      </w:r>
    </w:p>
    <w:p w:rsidR="00915E1B" w:rsidRPr="00F82C8D" w:rsidRDefault="00211337" w:rsidP="00622D84">
      <w:pPr>
        <w:pStyle w:val="Heading1"/>
      </w:pPr>
      <w:bookmarkStart w:id="63" w:name="_Toc426382203"/>
      <w:bookmarkStart w:id="64" w:name="_Toc431975841"/>
      <w:r w:rsidRPr="00F82C8D">
        <w:t xml:space="preserve">Part </w:t>
      </w:r>
      <w:r w:rsidR="00622D84" w:rsidRPr="00F82C8D">
        <w:t>2</w:t>
      </w:r>
      <w:r w:rsidR="008F5627" w:rsidRPr="00F82C8D">
        <w:br/>
      </w:r>
      <w:r w:rsidR="00DE1E4B" w:rsidRPr="00F82C8D">
        <w:t>Coverage</w:t>
      </w:r>
      <w:bookmarkEnd w:id="63"/>
      <w:bookmarkEnd w:id="64"/>
    </w:p>
    <w:p w:rsidR="00D52B35" w:rsidRPr="00F82C8D" w:rsidRDefault="00196785" w:rsidP="00D52B35">
      <w:pPr>
        <w:pStyle w:val="Heading3"/>
      </w:pPr>
      <w:r w:rsidRPr="00F82C8D">
        <w:t xml:space="preserve">Outline of the </w:t>
      </w:r>
      <w:r w:rsidR="00571F9C" w:rsidRPr="00F82C8D">
        <w:t>Part</w:t>
      </w:r>
    </w:p>
    <w:p w:rsidR="004B00F7" w:rsidRPr="00F82C8D" w:rsidRDefault="004B00F7" w:rsidP="00A1283B">
      <w:pPr>
        <w:pStyle w:val="ListParagraph"/>
        <w:numPr>
          <w:ilvl w:val="0"/>
          <w:numId w:val="10"/>
        </w:numPr>
        <w:rPr>
          <w:vanish/>
          <w:lang w:val="en-AU"/>
        </w:rPr>
      </w:pPr>
    </w:p>
    <w:p w:rsidR="00F879F1" w:rsidRPr="00F82C8D" w:rsidRDefault="00F879F1" w:rsidP="004B00F7">
      <w:pPr>
        <w:pStyle w:val="ListParagraph"/>
        <w:rPr>
          <w:lang w:val="en-AU"/>
        </w:rPr>
      </w:pPr>
      <w:r w:rsidRPr="00F82C8D">
        <w:rPr>
          <w:lang w:val="en-AU"/>
        </w:rPr>
        <w:t xml:space="preserve">This </w:t>
      </w:r>
      <w:r w:rsidR="00211337" w:rsidRPr="00F82C8D">
        <w:rPr>
          <w:lang w:val="en-AU"/>
        </w:rPr>
        <w:t>Part</w:t>
      </w:r>
      <w:r w:rsidRPr="00F82C8D">
        <w:rPr>
          <w:lang w:val="en-AU"/>
        </w:rPr>
        <w:t xml:space="preserve"> describes the type of greenhouse gas emissions and type of facility to be covered by the safeguard mechanism.</w:t>
      </w:r>
    </w:p>
    <w:p w:rsidR="00400D95" w:rsidRPr="00F82C8D" w:rsidRDefault="00400D95" w:rsidP="004B00F7">
      <w:pPr>
        <w:pStyle w:val="ListParagraph"/>
        <w:rPr>
          <w:lang w:val="en-AU"/>
        </w:rPr>
      </w:pPr>
      <w:r w:rsidRPr="00F82C8D">
        <w:rPr>
          <w:lang w:val="en-AU"/>
        </w:rPr>
        <w:t>There are several definitions of greenhouse gas emissions under the Act and its subordinate</w:t>
      </w:r>
      <w:r w:rsidR="005B585E" w:rsidRPr="00F82C8D">
        <w:rPr>
          <w:lang w:val="en-AU"/>
        </w:rPr>
        <w:t xml:space="preserve"> legislation (such as scope 1 emissions, s</w:t>
      </w:r>
      <w:r w:rsidRPr="00F82C8D">
        <w:rPr>
          <w:lang w:val="en-AU"/>
        </w:rPr>
        <w:t>cop</w:t>
      </w:r>
      <w:r w:rsidR="005B585E" w:rsidRPr="00F82C8D">
        <w:rPr>
          <w:lang w:val="en-AU"/>
        </w:rPr>
        <w:t>e 2 emissions, direct emissions</w:t>
      </w:r>
      <w:r w:rsidRPr="00F82C8D">
        <w:rPr>
          <w:lang w:val="en-AU"/>
        </w:rPr>
        <w:t xml:space="preserve"> and </w:t>
      </w:r>
      <w:r w:rsidR="000246C3" w:rsidRPr="00F82C8D">
        <w:rPr>
          <w:lang w:val="en-AU"/>
        </w:rPr>
        <w:t>in</w:t>
      </w:r>
      <w:r w:rsidRPr="00F82C8D">
        <w:rPr>
          <w:lang w:val="en-AU"/>
        </w:rPr>
        <w:t xml:space="preserve"> the case of landfills, legacy and non-legacy emissions</w:t>
      </w:r>
      <w:r w:rsidR="005B585E" w:rsidRPr="00F82C8D">
        <w:rPr>
          <w:lang w:val="en-AU"/>
        </w:rPr>
        <w:t>)</w:t>
      </w:r>
      <w:r w:rsidRPr="00F82C8D">
        <w:rPr>
          <w:lang w:val="en-AU"/>
        </w:rPr>
        <w:t>.</w:t>
      </w:r>
      <w:r w:rsidR="000A7B10" w:rsidRPr="00F82C8D">
        <w:rPr>
          <w:lang w:val="en-AU"/>
        </w:rPr>
        <w:t xml:space="preserve"> </w:t>
      </w:r>
      <w:r w:rsidRPr="00F82C8D">
        <w:rPr>
          <w:lang w:val="en-AU"/>
        </w:rPr>
        <w:t xml:space="preserve">The </w:t>
      </w:r>
      <w:r w:rsidR="005B585E" w:rsidRPr="00F82C8D">
        <w:rPr>
          <w:lang w:val="en-AU"/>
        </w:rPr>
        <w:t>meaning</w:t>
      </w:r>
      <w:r w:rsidRPr="00F82C8D">
        <w:rPr>
          <w:lang w:val="en-AU"/>
        </w:rPr>
        <w:t xml:space="preserve"> of covered emissions </w:t>
      </w:r>
      <w:r w:rsidR="00C041EE" w:rsidRPr="00F82C8D">
        <w:rPr>
          <w:lang w:val="en-AU"/>
        </w:rPr>
        <w:t>set out</w:t>
      </w:r>
      <w:r w:rsidR="00401892" w:rsidRPr="00F82C8D">
        <w:rPr>
          <w:lang w:val="en-AU"/>
        </w:rPr>
        <w:t xml:space="preserve"> in</w:t>
      </w:r>
      <w:r w:rsidRPr="00F82C8D">
        <w:rPr>
          <w:lang w:val="en-AU"/>
        </w:rPr>
        <w:t xml:space="preserve"> </w:t>
      </w:r>
      <w:r w:rsidR="005B585E" w:rsidRPr="00F82C8D">
        <w:rPr>
          <w:lang w:val="en-AU"/>
        </w:rPr>
        <w:t xml:space="preserve">the </w:t>
      </w:r>
      <w:r w:rsidR="00D360AB" w:rsidRPr="00F82C8D">
        <w:rPr>
          <w:lang w:val="en-AU"/>
        </w:rPr>
        <w:t>safeguard rule</w:t>
      </w:r>
      <w:r w:rsidR="005B585E" w:rsidRPr="00F82C8D">
        <w:rPr>
          <w:lang w:val="en-AU"/>
        </w:rPr>
        <w:t xml:space="preserve"> </w:t>
      </w:r>
      <w:r w:rsidR="00C041EE" w:rsidRPr="00F82C8D">
        <w:rPr>
          <w:lang w:val="en-AU"/>
        </w:rPr>
        <w:t>are</w:t>
      </w:r>
      <w:r w:rsidR="005B585E" w:rsidRPr="00F82C8D">
        <w:rPr>
          <w:lang w:val="en-AU"/>
        </w:rPr>
        <w:t xml:space="preserve"> </w:t>
      </w:r>
      <w:r w:rsidR="00C041EE" w:rsidRPr="00F82C8D">
        <w:rPr>
          <w:lang w:val="en-AU"/>
        </w:rPr>
        <w:t xml:space="preserve">those particular emissions of a </w:t>
      </w:r>
      <w:r w:rsidR="00D037A0" w:rsidRPr="00F82C8D">
        <w:rPr>
          <w:lang w:val="en-AU"/>
        </w:rPr>
        <w:t>designated large facilit</w:t>
      </w:r>
      <w:r w:rsidR="005B585E" w:rsidRPr="00F82C8D">
        <w:rPr>
          <w:lang w:val="en-AU"/>
        </w:rPr>
        <w:t>y</w:t>
      </w:r>
      <w:r w:rsidR="00305453" w:rsidRPr="00F82C8D">
        <w:rPr>
          <w:lang w:val="en-AU"/>
        </w:rPr>
        <w:t>, as defined under section 22XJ of the Act,</w:t>
      </w:r>
      <w:r w:rsidR="005B585E" w:rsidRPr="00F82C8D">
        <w:rPr>
          <w:lang w:val="en-AU"/>
        </w:rPr>
        <w:t xml:space="preserve"> that </w:t>
      </w:r>
      <w:r w:rsidR="00C041EE" w:rsidRPr="00F82C8D">
        <w:rPr>
          <w:lang w:val="en-AU"/>
        </w:rPr>
        <w:t>are to be</w:t>
      </w:r>
      <w:r w:rsidR="00913BCD" w:rsidRPr="00F82C8D">
        <w:rPr>
          <w:lang w:val="en-AU"/>
        </w:rPr>
        <w:t xml:space="preserve"> </w:t>
      </w:r>
      <w:r w:rsidR="00C041EE" w:rsidRPr="00F82C8D">
        <w:rPr>
          <w:lang w:val="en-AU"/>
        </w:rPr>
        <w:t>measured, reported and managed under the safeguard mechanism.</w:t>
      </w:r>
    </w:p>
    <w:p w:rsidR="00F879F1" w:rsidRPr="00F82C8D" w:rsidRDefault="0065595C" w:rsidP="00891B83">
      <w:pPr>
        <w:pStyle w:val="Heading3"/>
      </w:pPr>
      <w:bookmarkStart w:id="65" w:name="_Ref427686612"/>
      <w:r w:rsidRPr="00F82C8D">
        <w:t xml:space="preserve">Section 7: </w:t>
      </w:r>
      <w:bookmarkStart w:id="66" w:name="_Ref426366368"/>
      <w:r w:rsidR="00F879F1" w:rsidRPr="00F82C8D">
        <w:t>Covered emissions</w:t>
      </w:r>
      <w:bookmarkEnd w:id="65"/>
      <w:bookmarkEnd w:id="66"/>
    </w:p>
    <w:p w:rsidR="00F879F1" w:rsidRPr="00F82C8D" w:rsidRDefault="00F879F1" w:rsidP="00464595">
      <w:pPr>
        <w:pStyle w:val="ListParagraph"/>
        <w:numPr>
          <w:ilvl w:val="1"/>
          <w:numId w:val="33"/>
        </w:numPr>
        <w:rPr>
          <w:lang w:val="en-AU"/>
        </w:rPr>
      </w:pPr>
      <w:r w:rsidRPr="00F82C8D">
        <w:rPr>
          <w:lang w:val="en-AU"/>
        </w:rPr>
        <w:t xml:space="preserve">The safeguard mechanism is concerned with the management of certain kinds of greenhouse gas emissions, </w:t>
      </w:r>
      <w:r w:rsidR="00DB63DF" w:rsidRPr="00F82C8D">
        <w:rPr>
          <w:lang w:val="en-AU"/>
        </w:rPr>
        <w:t xml:space="preserve">termed </w:t>
      </w:r>
      <w:r w:rsidRPr="00F82C8D">
        <w:rPr>
          <w:lang w:val="en-AU"/>
        </w:rPr>
        <w:t xml:space="preserve">‘covered emissions’. </w:t>
      </w:r>
      <w:r w:rsidR="00DB63DF" w:rsidRPr="00F82C8D">
        <w:rPr>
          <w:lang w:val="en-AU"/>
        </w:rPr>
        <w:t>Covered emissions are defined within the Act, under section 22XI, as scope 1 emissions of one or more greenhouse gases other than emissions of a kind specified by the safeguard rules.</w:t>
      </w:r>
    </w:p>
    <w:p w:rsidR="00F879F1" w:rsidRPr="00F82C8D" w:rsidRDefault="00F879F1" w:rsidP="00625D31">
      <w:pPr>
        <w:pStyle w:val="ListParagraph"/>
        <w:rPr>
          <w:lang w:val="en-AU"/>
        </w:rPr>
      </w:pPr>
      <w:r w:rsidRPr="00F82C8D">
        <w:rPr>
          <w:lang w:val="en-AU"/>
        </w:rPr>
        <w:t xml:space="preserve">Under the safeguard mechanism, </w:t>
      </w:r>
      <w:r w:rsidR="00151277" w:rsidRPr="00F82C8D">
        <w:rPr>
          <w:lang w:val="en-AU"/>
        </w:rPr>
        <w:t xml:space="preserve">a </w:t>
      </w:r>
      <w:r w:rsidRPr="00F82C8D">
        <w:rPr>
          <w:lang w:val="en-AU"/>
        </w:rPr>
        <w:t>facilit</w:t>
      </w:r>
      <w:r w:rsidR="00151277" w:rsidRPr="00F82C8D">
        <w:rPr>
          <w:lang w:val="en-AU"/>
        </w:rPr>
        <w:t>y’</w:t>
      </w:r>
      <w:r w:rsidRPr="00F82C8D">
        <w:rPr>
          <w:lang w:val="en-AU"/>
        </w:rPr>
        <w:t xml:space="preserve">s covered emissions are quantified to determine </w:t>
      </w:r>
      <w:r w:rsidR="000246C3" w:rsidRPr="00F82C8D">
        <w:rPr>
          <w:lang w:val="en-AU"/>
        </w:rPr>
        <w:t>its</w:t>
      </w:r>
      <w:r w:rsidRPr="00F82C8D">
        <w:rPr>
          <w:lang w:val="en-AU"/>
        </w:rPr>
        <w:t xml:space="preserve"> net emissions numbers and baseline emissions numbers—data points that form the basis for emissions management.</w:t>
      </w:r>
    </w:p>
    <w:p w:rsidR="00F879F1" w:rsidRPr="00F82C8D" w:rsidRDefault="00F879F1" w:rsidP="00625D31">
      <w:pPr>
        <w:pStyle w:val="ListParagraph"/>
        <w:rPr>
          <w:lang w:val="en-AU"/>
        </w:rPr>
      </w:pPr>
      <w:r w:rsidRPr="00F82C8D">
        <w:rPr>
          <w:lang w:val="en-AU"/>
        </w:rPr>
        <w:t>Scope 1 emissions are emissions resulting directly from an activity or series of activities (including ancillary activities) that constitute a facility</w:t>
      </w:r>
      <w:r w:rsidR="00823027" w:rsidRPr="00F82C8D">
        <w:rPr>
          <w:lang w:val="en-AU"/>
        </w:rPr>
        <w:t xml:space="preserve"> as defined under section 2.23 of the </w:t>
      </w:r>
      <w:r w:rsidR="007329DC" w:rsidRPr="00F82C8D">
        <w:rPr>
          <w:i/>
          <w:lang w:val="en-AU"/>
        </w:rPr>
        <w:t>National</w:t>
      </w:r>
      <w:r w:rsidR="00576351" w:rsidRPr="00F82C8D">
        <w:rPr>
          <w:i/>
          <w:lang w:val="en-AU"/>
        </w:rPr>
        <w:t xml:space="preserve"> Greenhouse and Energy Reporting Regulations 2008 </w:t>
      </w:r>
      <w:r w:rsidR="00576351" w:rsidRPr="00F82C8D">
        <w:rPr>
          <w:lang w:val="en-AU"/>
        </w:rPr>
        <w:t>(</w:t>
      </w:r>
      <w:r w:rsidR="00400D95" w:rsidRPr="00F82C8D">
        <w:rPr>
          <w:lang w:val="en-AU"/>
        </w:rPr>
        <w:t xml:space="preserve">NGER </w:t>
      </w:r>
      <w:r w:rsidRPr="00F82C8D">
        <w:rPr>
          <w:lang w:val="en-AU"/>
        </w:rPr>
        <w:t>Regulations</w:t>
      </w:r>
      <w:r w:rsidR="00576351" w:rsidRPr="00F82C8D">
        <w:rPr>
          <w:lang w:val="en-AU"/>
        </w:rPr>
        <w:t>)</w:t>
      </w:r>
      <w:r w:rsidR="00823027" w:rsidRPr="00F82C8D">
        <w:rPr>
          <w:i/>
          <w:lang w:val="en-AU"/>
        </w:rPr>
        <w:t>.</w:t>
      </w:r>
      <w:r w:rsidRPr="00F82C8D">
        <w:rPr>
          <w:lang w:val="en-AU"/>
        </w:rPr>
        <w:t xml:space="preserve"> Scope 1 emissions </w:t>
      </w:r>
      <w:r w:rsidR="00BB0548" w:rsidRPr="00F82C8D">
        <w:rPr>
          <w:lang w:val="en-AU"/>
        </w:rPr>
        <w:t>may be</w:t>
      </w:r>
      <w:r w:rsidRPr="00F82C8D">
        <w:rPr>
          <w:lang w:val="en-AU"/>
        </w:rPr>
        <w:t xml:space="preserve"> referred to as direct emissions. Scope 1 emissions include emissions resulting from fuel combustion, physical and chemical processes, and fugitive emissions.</w:t>
      </w:r>
    </w:p>
    <w:p w:rsidR="00F879F1" w:rsidRPr="00F82C8D" w:rsidRDefault="00F879F1" w:rsidP="00625D31">
      <w:pPr>
        <w:pStyle w:val="ListParagraph"/>
        <w:rPr>
          <w:lang w:val="en-AU"/>
        </w:rPr>
      </w:pPr>
      <w:r w:rsidRPr="00F82C8D">
        <w:rPr>
          <w:lang w:val="en-AU"/>
        </w:rPr>
        <w:t xml:space="preserve">The Act allows for the </w:t>
      </w:r>
      <w:r w:rsidR="00EE4330" w:rsidRPr="00F82C8D">
        <w:rPr>
          <w:lang w:val="en-AU"/>
        </w:rPr>
        <w:t>safeguard rule</w:t>
      </w:r>
      <w:r w:rsidRPr="00F82C8D">
        <w:rPr>
          <w:lang w:val="en-AU"/>
        </w:rPr>
        <w:t xml:space="preserve"> to specify certain kinds of scope 1 emissions to be disregarded (not covered) under the safeguard mechanism. According to the </w:t>
      </w:r>
      <w:r w:rsidR="00D360AB" w:rsidRPr="00F82C8D">
        <w:rPr>
          <w:lang w:val="en-AU"/>
        </w:rPr>
        <w:t>safeguard rule</w:t>
      </w:r>
      <w:r w:rsidR="00E36D99" w:rsidRPr="00F82C8D">
        <w:rPr>
          <w:lang w:val="en-AU"/>
        </w:rPr>
        <w:t xml:space="preserve">, </w:t>
      </w:r>
      <w:r w:rsidRPr="00F82C8D">
        <w:rPr>
          <w:lang w:val="en-AU"/>
        </w:rPr>
        <w:t>the following emissions are not covered under the mechanism:</w:t>
      </w:r>
    </w:p>
    <w:p w:rsidR="00F879F1" w:rsidRPr="00F82C8D" w:rsidRDefault="00891152" w:rsidP="002E625A">
      <w:pPr>
        <w:pStyle w:val="ListBullet"/>
      </w:pPr>
      <w:r w:rsidRPr="00F82C8D">
        <w:t>E</w:t>
      </w:r>
      <w:r w:rsidR="00F879F1" w:rsidRPr="00F82C8D">
        <w:t xml:space="preserve">missions in circumstances where the Minister has not determined methods or criteria for methods </w:t>
      </w:r>
      <w:r w:rsidR="00BB0548" w:rsidRPr="00F82C8D">
        <w:t xml:space="preserve">to measure the scope 1 emissions. </w:t>
      </w:r>
      <w:r w:rsidR="0092078A" w:rsidRPr="00F82C8D">
        <w:rPr>
          <w:b/>
          <w:i/>
          <w:sz w:val="20"/>
        </w:rPr>
        <w:t>[</w:t>
      </w:r>
      <w:r w:rsidR="00043F60" w:rsidRPr="00F82C8D">
        <w:rPr>
          <w:b/>
          <w:i/>
          <w:sz w:val="20"/>
        </w:rPr>
        <w:t>paragraph</w:t>
      </w:r>
      <w:r w:rsidR="005A2472" w:rsidRPr="00F82C8D">
        <w:rPr>
          <w:b/>
          <w:i/>
          <w:sz w:val="20"/>
        </w:rPr>
        <w:t xml:space="preserve"> 7</w:t>
      </w:r>
      <w:r w:rsidR="00A872B4" w:rsidRPr="00F82C8D">
        <w:rPr>
          <w:b/>
          <w:i/>
          <w:sz w:val="20"/>
        </w:rPr>
        <w:t>(1)(a)</w:t>
      </w:r>
      <w:r w:rsidR="00744E76" w:rsidRPr="00F82C8D">
        <w:rPr>
          <w:b/>
          <w:i/>
          <w:sz w:val="20"/>
        </w:rPr>
        <w:t>]</w:t>
      </w:r>
      <w:r w:rsidR="000A7B10" w:rsidRPr="00F82C8D">
        <w:rPr>
          <w:b/>
          <w:i/>
          <w:sz w:val="20"/>
        </w:rPr>
        <w:t xml:space="preserve"> </w:t>
      </w:r>
      <w:r w:rsidR="001D71A7" w:rsidRPr="00F82C8D">
        <w:t>These</w:t>
      </w:r>
      <w:r w:rsidR="00151277" w:rsidRPr="00F82C8D">
        <w:t xml:space="preserve"> are currently not reported under subsections 19(1A), </w:t>
      </w:r>
      <w:r w:rsidR="00823027" w:rsidRPr="00F82C8D">
        <w:t>22G (</w:t>
      </w:r>
      <w:r w:rsidR="00151277" w:rsidRPr="00F82C8D">
        <w:t xml:space="preserve">1A) and </w:t>
      </w:r>
      <w:r w:rsidR="00823027" w:rsidRPr="00F82C8D">
        <w:t>22X (</w:t>
      </w:r>
      <w:r w:rsidR="00151277" w:rsidRPr="00F82C8D">
        <w:t>3)</w:t>
      </w:r>
      <w:r w:rsidR="00F24164" w:rsidRPr="00F82C8D">
        <w:t xml:space="preserve"> of the Act.</w:t>
      </w:r>
    </w:p>
    <w:p w:rsidR="00DB293E" w:rsidRPr="00F82C8D" w:rsidRDefault="00F879F1">
      <w:pPr>
        <w:pStyle w:val="ListBullet"/>
      </w:pPr>
      <w:r w:rsidRPr="00F82C8D">
        <w:t xml:space="preserve">Legacy emissions from the operation of a landfill facility, </w:t>
      </w:r>
      <w:r w:rsidR="00043F60" w:rsidRPr="00F82C8D">
        <w:t>which are the</w:t>
      </w:r>
      <w:r w:rsidRPr="00F82C8D">
        <w:t xml:space="preserve"> emissions attributable to waste accepted by a facility before 1 July 2016</w:t>
      </w:r>
      <w:r w:rsidR="00F24164" w:rsidRPr="00F82C8D">
        <w:t>.</w:t>
      </w:r>
      <w:r w:rsidR="00A872B4" w:rsidRPr="00F82C8D">
        <w:t xml:space="preserve"> </w:t>
      </w:r>
      <w:r w:rsidR="0092078A" w:rsidRPr="00F82C8D">
        <w:rPr>
          <w:b/>
          <w:i/>
          <w:sz w:val="20"/>
        </w:rPr>
        <w:t>[</w:t>
      </w:r>
      <w:r w:rsidR="00043F60" w:rsidRPr="00F82C8D">
        <w:rPr>
          <w:b/>
          <w:i/>
          <w:sz w:val="20"/>
        </w:rPr>
        <w:t>paragraphs</w:t>
      </w:r>
      <w:r w:rsidR="00A872B4" w:rsidRPr="00F82C8D">
        <w:rPr>
          <w:b/>
          <w:i/>
          <w:sz w:val="20"/>
        </w:rPr>
        <w:t> </w:t>
      </w:r>
      <w:r w:rsidR="005A2472" w:rsidRPr="00F82C8D">
        <w:rPr>
          <w:b/>
          <w:i/>
          <w:sz w:val="20"/>
        </w:rPr>
        <w:t>7</w:t>
      </w:r>
      <w:r w:rsidR="00A872B4" w:rsidRPr="00F82C8D">
        <w:rPr>
          <w:b/>
          <w:i/>
          <w:sz w:val="20"/>
        </w:rPr>
        <w:t>(1)(b)</w:t>
      </w:r>
      <w:r w:rsidR="003A3D2A" w:rsidRPr="00F82C8D">
        <w:rPr>
          <w:b/>
          <w:i/>
          <w:sz w:val="20"/>
        </w:rPr>
        <w:t>,</w:t>
      </w:r>
      <w:r w:rsidR="000A7B10" w:rsidRPr="00F82C8D">
        <w:rPr>
          <w:b/>
          <w:i/>
          <w:sz w:val="20"/>
        </w:rPr>
        <w:t xml:space="preserve"> </w:t>
      </w:r>
      <w:r w:rsidR="003A3D2A" w:rsidRPr="00F82C8D">
        <w:rPr>
          <w:b/>
          <w:i/>
          <w:sz w:val="20"/>
        </w:rPr>
        <w:t>7(2)(a), and 7(2)(b)</w:t>
      </w:r>
      <w:r w:rsidR="00744E76" w:rsidRPr="00F82C8D">
        <w:rPr>
          <w:b/>
          <w:i/>
          <w:sz w:val="20"/>
        </w:rPr>
        <w:t>]</w:t>
      </w:r>
    </w:p>
    <w:p w:rsidR="00DB293E" w:rsidRPr="00F82C8D" w:rsidRDefault="0095393E">
      <w:pPr>
        <w:pStyle w:val="ListBullet"/>
      </w:pPr>
      <w:r w:rsidRPr="00F82C8D">
        <w:t>Em</w:t>
      </w:r>
      <w:r w:rsidR="005A2472" w:rsidRPr="00F82C8D">
        <w:t xml:space="preserve">issions from the operation of </w:t>
      </w:r>
      <w:r w:rsidR="000246C3" w:rsidRPr="00F82C8D">
        <w:t>either grid-connected electricity generators or connected to a designated electricity grid</w:t>
      </w:r>
      <w:r w:rsidR="00751EFF" w:rsidRPr="00F82C8D">
        <w:t xml:space="preserve"> generators </w:t>
      </w:r>
      <w:r w:rsidRPr="00F82C8D">
        <w:t xml:space="preserve">in a </w:t>
      </w:r>
      <w:r w:rsidR="00313861" w:rsidRPr="00F82C8D">
        <w:t>sectoral</w:t>
      </w:r>
      <w:r w:rsidR="00BB0548" w:rsidRPr="00F82C8D">
        <w:t xml:space="preserve">-baseline year, which is </w:t>
      </w:r>
      <w:r w:rsidRPr="00F82C8D">
        <w:t>every financial year</w:t>
      </w:r>
      <w:r w:rsidR="00110005" w:rsidRPr="00F82C8D">
        <w:t xml:space="preserve"> up to and including the financial year</w:t>
      </w:r>
      <w:r w:rsidRPr="00F82C8D">
        <w:t xml:space="preserve"> </w:t>
      </w:r>
      <w:r w:rsidR="00751EFF" w:rsidRPr="00F82C8D">
        <w:t>in which the Regulator publishes</w:t>
      </w:r>
      <w:r w:rsidRPr="00F82C8D">
        <w:t xml:space="preserve"> a statement on its website that the </w:t>
      </w:r>
      <w:r w:rsidR="008322CE" w:rsidRPr="00F82C8D">
        <w:t>sectoral-baseline</w:t>
      </w:r>
      <w:r w:rsidRPr="00F82C8D">
        <w:t xml:space="preserve"> has been exceeded. </w:t>
      </w:r>
      <w:r w:rsidR="0092078A" w:rsidRPr="00F82C8D">
        <w:rPr>
          <w:b/>
          <w:i/>
          <w:sz w:val="20"/>
        </w:rPr>
        <w:t>[</w:t>
      </w:r>
      <w:r w:rsidR="00BB0548" w:rsidRPr="00F82C8D">
        <w:rPr>
          <w:b/>
          <w:i/>
          <w:sz w:val="20"/>
        </w:rPr>
        <w:t>paragraph </w:t>
      </w:r>
      <w:r w:rsidR="005A2472" w:rsidRPr="00F82C8D">
        <w:rPr>
          <w:b/>
          <w:i/>
          <w:sz w:val="20"/>
        </w:rPr>
        <w:t>7</w:t>
      </w:r>
      <w:r w:rsidRPr="00F82C8D">
        <w:rPr>
          <w:b/>
          <w:i/>
          <w:sz w:val="20"/>
        </w:rPr>
        <w:t>(1)(c)</w:t>
      </w:r>
      <w:r w:rsidR="00744E76" w:rsidRPr="00F82C8D">
        <w:rPr>
          <w:b/>
          <w:i/>
          <w:sz w:val="20"/>
        </w:rPr>
        <w:t>]</w:t>
      </w:r>
    </w:p>
    <w:p w:rsidR="00DB293E" w:rsidRPr="00F82C8D" w:rsidRDefault="00F879F1">
      <w:pPr>
        <w:pStyle w:val="ListBullet"/>
      </w:pPr>
      <w:r w:rsidRPr="00F82C8D">
        <w:t>Emissions that occurred within the Greater Sunrise unit area or Joint Petroleum Development Area (which may represent the whole or a portion of a facility’s total emissions)</w:t>
      </w:r>
      <w:r w:rsidR="005672A1" w:rsidRPr="00F82C8D">
        <w:t>.</w:t>
      </w:r>
      <w:r w:rsidR="00943435" w:rsidRPr="00F82C8D">
        <w:t xml:space="preserve"> </w:t>
      </w:r>
      <w:r w:rsidR="0092078A" w:rsidRPr="00F82C8D">
        <w:rPr>
          <w:b/>
          <w:i/>
          <w:sz w:val="20"/>
        </w:rPr>
        <w:t>[</w:t>
      </w:r>
      <w:r w:rsidR="00BB0548" w:rsidRPr="00F82C8D">
        <w:rPr>
          <w:b/>
          <w:i/>
          <w:sz w:val="20"/>
        </w:rPr>
        <w:t>paragraph</w:t>
      </w:r>
      <w:r w:rsidR="005A2472" w:rsidRPr="00F82C8D">
        <w:rPr>
          <w:b/>
          <w:i/>
          <w:sz w:val="20"/>
        </w:rPr>
        <w:t xml:space="preserve"> 7</w:t>
      </w:r>
      <w:r w:rsidR="00401892" w:rsidRPr="00F82C8D">
        <w:rPr>
          <w:b/>
          <w:i/>
          <w:sz w:val="20"/>
        </w:rPr>
        <w:t>(1)(d</w:t>
      </w:r>
      <w:r w:rsidR="00943435" w:rsidRPr="00F82C8D">
        <w:rPr>
          <w:b/>
          <w:i/>
          <w:sz w:val="20"/>
        </w:rPr>
        <w:t>)</w:t>
      </w:r>
      <w:r w:rsidR="00744E76" w:rsidRPr="00F82C8D">
        <w:rPr>
          <w:b/>
          <w:i/>
          <w:sz w:val="20"/>
        </w:rPr>
        <w:t>]</w:t>
      </w:r>
      <w:r w:rsidRPr="00F82C8D">
        <w:t xml:space="preserve"> </w:t>
      </w:r>
      <w:r w:rsidR="005672A1" w:rsidRPr="00F82C8D">
        <w:t>This supplements the existing exclusion of facilities wholly in the Greater Sunrise unit area or Joint Petroleum Development Area provided by subsection 6A(2) of the Act.</w:t>
      </w:r>
    </w:p>
    <w:p w:rsidR="0095393E" w:rsidRPr="00F82C8D" w:rsidRDefault="0095393E" w:rsidP="000C3D50">
      <w:pPr>
        <w:pStyle w:val="Heading3"/>
      </w:pPr>
      <w:bookmarkStart w:id="67" w:name="_Ref426547590"/>
      <w:r w:rsidRPr="00F82C8D">
        <w:t>Coverage of grid-connected electricity generators</w:t>
      </w:r>
      <w:bookmarkEnd w:id="67"/>
    </w:p>
    <w:p w:rsidR="0095393E" w:rsidRPr="00F82C8D" w:rsidRDefault="0095393E" w:rsidP="00625D31">
      <w:pPr>
        <w:pStyle w:val="ListParagraph"/>
        <w:rPr>
          <w:lang w:val="en-AU"/>
        </w:rPr>
      </w:pPr>
      <w:r w:rsidRPr="00F82C8D">
        <w:rPr>
          <w:lang w:val="en-AU"/>
        </w:rPr>
        <w:t xml:space="preserve">A sectoral approach is taken to the coverage of grid-connected electricity generators. Emissions from grid-connected electricity generators are not covered as long as </w:t>
      </w:r>
      <w:r w:rsidR="000246C3" w:rsidRPr="00F82C8D">
        <w:rPr>
          <w:lang w:val="en-AU"/>
        </w:rPr>
        <w:t>the</w:t>
      </w:r>
      <w:r w:rsidR="00576351" w:rsidRPr="00F82C8D">
        <w:rPr>
          <w:lang w:val="en-AU"/>
        </w:rPr>
        <w:t xml:space="preserve"> sector</w:t>
      </w:r>
      <w:r w:rsidRPr="00F82C8D">
        <w:rPr>
          <w:lang w:val="en-AU"/>
        </w:rPr>
        <w:t xml:space="preserve"> aggregate emissions do no</w:t>
      </w:r>
      <w:r w:rsidR="000C3D50" w:rsidRPr="00F82C8D">
        <w:rPr>
          <w:lang w:val="en-AU"/>
        </w:rPr>
        <w:t xml:space="preserve">t exceed the </w:t>
      </w:r>
      <w:r w:rsidR="008322CE" w:rsidRPr="00F82C8D">
        <w:rPr>
          <w:lang w:val="en-AU"/>
        </w:rPr>
        <w:t>sectoral-baseline</w:t>
      </w:r>
      <w:r w:rsidR="000C3D50" w:rsidRPr="00F82C8D">
        <w:rPr>
          <w:lang w:val="en-AU"/>
        </w:rPr>
        <w:t>.</w:t>
      </w:r>
    </w:p>
    <w:p w:rsidR="0095393E" w:rsidRPr="00F82C8D" w:rsidRDefault="0095393E" w:rsidP="00625D31">
      <w:pPr>
        <w:pStyle w:val="ListParagraph"/>
        <w:rPr>
          <w:lang w:val="en-AU"/>
        </w:rPr>
      </w:pPr>
      <w:r w:rsidRPr="00F82C8D">
        <w:rPr>
          <w:lang w:val="en-AU"/>
        </w:rPr>
        <w:t xml:space="preserve">The </w:t>
      </w:r>
      <w:r w:rsidR="008322CE" w:rsidRPr="00F82C8D">
        <w:rPr>
          <w:lang w:val="en-AU"/>
        </w:rPr>
        <w:t>sectoral-baseline</w:t>
      </w:r>
      <w:r w:rsidRPr="00F82C8D">
        <w:rPr>
          <w:lang w:val="en-AU"/>
        </w:rPr>
        <w:t xml:space="preserve"> is equal to </w:t>
      </w:r>
      <w:r w:rsidR="00751EFF" w:rsidRPr="00F82C8D">
        <w:rPr>
          <w:lang w:val="en-AU"/>
        </w:rPr>
        <w:t>198</w:t>
      </w:r>
      <w:r w:rsidRPr="00F82C8D">
        <w:rPr>
          <w:lang w:val="en-AU"/>
        </w:rPr>
        <w:t xml:space="preserve"> million</w:t>
      </w:r>
      <w:r w:rsidR="00751EFF" w:rsidRPr="00F82C8D">
        <w:rPr>
          <w:b/>
          <w:i/>
          <w:sz w:val="20"/>
          <w:lang w:val="en-AU"/>
        </w:rPr>
        <w:t xml:space="preserve"> </w:t>
      </w:r>
      <w:r w:rsidRPr="00F82C8D">
        <w:rPr>
          <w:lang w:val="en-AU"/>
        </w:rPr>
        <w:t>tonnes of</w:t>
      </w:r>
      <w:r w:rsidR="00576351" w:rsidRPr="00F82C8D">
        <w:rPr>
          <w:lang w:val="en-AU"/>
        </w:rPr>
        <w:t xml:space="preserve"> carbon dioxide equivalence</w:t>
      </w:r>
      <w:r w:rsidR="00F77D66" w:rsidRPr="00F82C8D">
        <w:rPr>
          <w:lang w:val="en-AU"/>
        </w:rPr>
        <w:t xml:space="preserve"> (</w:t>
      </w:r>
      <w:r w:rsidR="00F77D66" w:rsidRPr="00F82C8D">
        <w:t>Mt CO</w:t>
      </w:r>
      <w:r w:rsidR="00E073C6" w:rsidRPr="00F82C8D">
        <w:rPr>
          <w:vertAlign w:val="subscript"/>
        </w:rPr>
        <w:t>2</w:t>
      </w:r>
      <w:r w:rsidR="00E073C6" w:rsidRPr="00F82C8D">
        <w:t>-</w:t>
      </w:r>
      <w:r w:rsidR="00F77D66" w:rsidRPr="00F82C8D">
        <w:t>e)</w:t>
      </w:r>
      <w:r w:rsidRPr="00F82C8D">
        <w:rPr>
          <w:lang w:val="en-AU"/>
        </w:rPr>
        <w:t xml:space="preserve">. It has been </w:t>
      </w:r>
      <w:r w:rsidR="00823027" w:rsidRPr="00F82C8D">
        <w:rPr>
          <w:lang w:val="en-AU"/>
        </w:rPr>
        <w:t>calculated</w:t>
      </w:r>
      <w:r w:rsidRPr="00F82C8D">
        <w:rPr>
          <w:lang w:val="en-AU"/>
        </w:rPr>
        <w:t xml:space="preserve"> as the sum of the sector’s emissions in the 2009-10 financial year. Each ye</w:t>
      </w:r>
      <w:r w:rsidR="00825373" w:rsidRPr="00F82C8D">
        <w:rPr>
          <w:lang w:val="en-AU"/>
        </w:rPr>
        <w:t>ar, the Regulator will monitor s</w:t>
      </w:r>
      <w:r w:rsidRPr="00F82C8D">
        <w:rPr>
          <w:lang w:val="en-AU"/>
        </w:rPr>
        <w:t xml:space="preserve">cope 1 emissions from all grid-connected electricity generators. </w:t>
      </w:r>
      <w:r w:rsidR="009D370F" w:rsidRPr="00F82C8D">
        <w:rPr>
          <w:lang w:val="en-AU"/>
        </w:rPr>
        <w:t xml:space="preserve">The Regulator </w:t>
      </w:r>
      <w:r w:rsidR="00110005" w:rsidRPr="00F82C8D">
        <w:rPr>
          <w:lang w:val="en-AU"/>
        </w:rPr>
        <w:t>must take all reasonable steps to</w:t>
      </w:r>
      <w:r w:rsidR="009D370F" w:rsidRPr="00F82C8D">
        <w:rPr>
          <w:lang w:val="en-AU"/>
        </w:rPr>
        <w:t xml:space="preserve"> publish a statement on its website, including if the</w:t>
      </w:r>
      <w:r w:rsidRPr="00F82C8D">
        <w:rPr>
          <w:lang w:val="en-AU"/>
        </w:rPr>
        <w:t xml:space="preserve"> sum of emissions exceeds the </w:t>
      </w:r>
      <w:r w:rsidR="008322CE" w:rsidRPr="00F82C8D">
        <w:rPr>
          <w:lang w:val="en-AU"/>
        </w:rPr>
        <w:t>sectoral-baseline</w:t>
      </w:r>
      <w:r w:rsidRPr="00F82C8D">
        <w:rPr>
          <w:lang w:val="en-AU"/>
        </w:rPr>
        <w:t xml:space="preserve">, </w:t>
      </w:r>
      <w:r w:rsidR="009C1ABD" w:rsidRPr="00F82C8D">
        <w:rPr>
          <w:lang w:val="en-AU"/>
        </w:rPr>
        <w:t>by 28 February</w:t>
      </w:r>
      <w:r w:rsidRPr="00F82C8D">
        <w:rPr>
          <w:lang w:val="en-AU"/>
        </w:rPr>
        <w:t xml:space="preserve"> of</w:t>
      </w:r>
      <w:r w:rsidR="000C3D50" w:rsidRPr="00F82C8D">
        <w:rPr>
          <w:lang w:val="en-AU"/>
        </w:rPr>
        <w:t xml:space="preserve"> the </w:t>
      </w:r>
      <w:r w:rsidR="00576351" w:rsidRPr="00F82C8D">
        <w:rPr>
          <w:lang w:val="en-AU"/>
        </w:rPr>
        <w:t xml:space="preserve">financial year following when the </w:t>
      </w:r>
      <w:r w:rsidR="008322CE" w:rsidRPr="00F82C8D">
        <w:rPr>
          <w:lang w:val="en-AU"/>
        </w:rPr>
        <w:t>sectoral-baseline</w:t>
      </w:r>
      <w:r w:rsidR="00576351" w:rsidRPr="00F82C8D">
        <w:rPr>
          <w:lang w:val="en-AU"/>
        </w:rPr>
        <w:t xml:space="preserve"> has been exceeded.</w:t>
      </w:r>
      <w:r w:rsidR="007F6D25" w:rsidRPr="00F82C8D">
        <w:rPr>
          <w:lang w:val="en-AU"/>
        </w:rPr>
        <w:t xml:space="preserve"> </w:t>
      </w:r>
      <w:r w:rsidR="00A95784" w:rsidRPr="00F82C8D">
        <w:rPr>
          <w:lang w:val="en-AU"/>
        </w:rPr>
        <w:t>To avoid doubt, t</w:t>
      </w:r>
      <w:r w:rsidR="007F6D25" w:rsidRPr="00F82C8D">
        <w:rPr>
          <w:lang w:val="en-AU"/>
        </w:rPr>
        <w:t>his statement is not a legislative instrument.</w:t>
      </w:r>
    </w:p>
    <w:p w:rsidR="0095393E" w:rsidRPr="00F82C8D" w:rsidRDefault="0095393E" w:rsidP="00625D31">
      <w:pPr>
        <w:pStyle w:val="ListParagraph"/>
        <w:rPr>
          <w:lang w:val="en-AU"/>
        </w:rPr>
      </w:pPr>
      <w:r w:rsidRPr="00F82C8D">
        <w:rPr>
          <w:lang w:val="en-AU"/>
        </w:rPr>
        <w:t xml:space="preserve">Every financial year up to and including the financial year in which the Regulator publishes the statement on its website is referred to as a </w:t>
      </w:r>
      <w:r w:rsidR="009D370F" w:rsidRPr="00F82C8D">
        <w:rPr>
          <w:b/>
          <w:i/>
          <w:lang w:val="en-AU"/>
        </w:rPr>
        <w:t>sectoral</w:t>
      </w:r>
      <w:r w:rsidRPr="00F82C8D">
        <w:rPr>
          <w:b/>
          <w:i/>
          <w:lang w:val="en-AU"/>
        </w:rPr>
        <w:t>-baseline financial year</w:t>
      </w:r>
      <w:r w:rsidRPr="00F82C8D">
        <w:rPr>
          <w:lang w:val="en-AU"/>
        </w:rPr>
        <w:t xml:space="preserve">. Scope 1 emissions from grid-connected electricity generators will remain uncovered for every </w:t>
      </w:r>
      <w:r w:rsidR="000B0CF6" w:rsidRPr="00F82C8D">
        <w:rPr>
          <w:lang w:val="en-AU"/>
        </w:rPr>
        <w:t>sectoral</w:t>
      </w:r>
      <w:r w:rsidRPr="00F82C8D">
        <w:rPr>
          <w:lang w:val="en-AU"/>
        </w:rPr>
        <w:t xml:space="preserve">-baseline financial year. In other words, these emissions will start to be covered in the financial year after the Regulator publishes the statement on its website. </w:t>
      </w:r>
      <w:r w:rsidR="0092078A" w:rsidRPr="00F82C8D">
        <w:rPr>
          <w:b/>
          <w:i/>
          <w:sz w:val="20"/>
          <w:lang w:val="en-AU"/>
        </w:rPr>
        <w:t>[</w:t>
      </w:r>
      <w:r w:rsidRPr="00F82C8D">
        <w:rPr>
          <w:b/>
          <w:i/>
          <w:sz w:val="20"/>
          <w:lang w:val="en-AU"/>
        </w:rPr>
        <w:t xml:space="preserve">subsection </w:t>
      </w:r>
      <w:r w:rsidR="009C1ABD" w:rsidRPr="00F82C8D">
        <w:rPr>
          <w:b/>
          <w:i/>
          <w:sz w:val="20"/>
          <w:lang w:val="en-AU"/>
        </w:rPr>
        <w:t>7</w:t>
      </w:r>
      <w:r w:rsidRPr="00F82C8D">
        <w:rPr>
          <w:b/>
          <w:i/>
          <w:sz w:val="20"/>
          <w:lang w:val="en-AU"/>
        </w:rPr>
        <w:t>(1)(c)</w:t>
      </w:r>
      <w:r w:rsidR="0092078A" w:rsidRPr="00F82C8D">
        <w:rPr>
          <w:b/>
          <w:i/>
          <w:sz w:val="20"/>
          <w:lang w:val="en-AU"/>
        </w:rPr>
        <w:t>]</w:t>
      </w:r>
    </w:p>
    <w:p w:rsidR="00B55E2F" w:rsidRPr="00F82C8D" w:rsidRDefault="0095393E" w:rsidP="00625D31">
      <w:pPr>
        <w:pStyle w:val="ListParagraph"/>
        <w:rPr>
          <w:b/>
          <w:i/>
          <w:sz w:val="20"/>
          <w:lang w:val="en-AU"/>
        </w:rPr>
      </w:pPr>
      <w:r w:rsidRPr="00F82C8D">
        <w:rPr>
          <w:b/>
          <w:i/>
          <w:lang w:val="en-AU"/>
        </w:rPr>
        <w:t>Grid-connected electricity generators</w:t>
      </w:r>
      <w:r w:rsidRPr="00F82C8D">
        <w:t xml:space="preserve"> are defined as designated generation facilities that are connected to a designated electricity network at any time </w:t>
      </w:r>
      <w:r w:rsidR="00E11FB8" w:rsidRPr="00F82C8D">
        <w:t>during a financial year</w:t>
      </w:r>
      <w:r w:rsidRPr="00F82C8D">
        <w:t>.</w:t>
      </w:r>
      <w:r w:rsidR="00B55E2F" w:rsidRPr="00F82C8D">
        <w:t xml:space="preserve"> Designated generation facilities are defined under section 7 of the Act in relation to item 54 of Schedule 2 to the NG</w:t>
      </w:r>
      <w:r w:rsidR="00576351" w:rsidRPr="00F82C8D">
        <w:t xml:space="preserve">ER Regulations. </w:t>
      </w:r>
      <w:r w:rsidR="00B55E2F" w:rsidRPr="00F82C8D">
        <w:t>The Regulator publishes scope 1 emissions from all designated generation facilities after the end of each financial year.</w:t>
      </w:r>
    </w:p>
    <w:p w:rsidR="006D0660" w:rsidRPr="00F82C8D" w:rsidRDefault="006D0660" w:rsidP="006D0660">
      <w:pPr>
        <w:pStyle w:val="ListParagraph"/>
        <w:rPr>
          <w:b/>
          <w:i/>
          <w:sz w:val="20"/>
          <w:lang w:val="en-AU"/>
        </w:rPr>
      </w:pPr>
      <w:r w:rsidRPr="00F82C8D">
        <w:rPr>
          <w:b/>
          <w:i/>
          <w:lang w:val="en-AU"/>
        </w:rPr>
        <w:t>Designated electricity network</w:t>
      </w:r>
      <w:r w:rsidRPr="00F82C8D">
        <w:rPr>
          <w:lang w:val="en-AU"/>
        </w:rPr>
        <w:t xml:space="preserve"> is defined to include the following five electricity</w:t>
      </w:r>
      <w:r w:rsidRPr="00F82C8D">
        <w:rPr>
          <w:sz w:val="28"/>
          <w:lang w:val="en-AU"/>
        </w:rPr>
        <w:t xml:space="preserve"> </w:t>
      </w:r>
      <w:r w:rsidRPr="00F82C8D">
        <w:rPr>
          <w:lang w:val="en-AU"/>
        </w:rPr>
        <w:t>grids: the National Electricity Market</w:t>
      </w:r>
      <w:r w:rsidR="001B2098" w:rsidRPr="00F82C8D">
        <w:rPr>
          <w:lang w:val="en-AU"/>
        </w:rPr>
        <w:t>,</w:t>
      </w:r>
      <w:r w:rsidRPr="00F82C8D">
        <w:rPr>
          <w:lang w:val="en-AU"/>
        </w:rPr>
        <w:t xml:space="preserve"> the South West Interconnected System</w:t>
      </w:r>
      <w:r w:rsidR="001B2098" w:rsidRPr="00F82C8D">
        <w:rPr>
          <w:lang w:val="en-AU"/>
        </w:rPr>
        <w:t>,</w:t>
      </w:r>
      <w:r w:rsidRPr="00F82C8D">
        <w:rPr>
          <w:lang w:val="en-AU"/>
        </w:rPr>
        <w:t xml:space="preserve"> the North West Interconnected System</w:t>
      </w:r>
      <w:r w:rsidR="001B2098" w:rsidRPr="00F82C8D">
        <w:rPr>
          <w:lang w:val="en-AU"/>
        </w:rPr>
        <w:t>,</w:t>
      </w:r>
      <w:r w:rsidRPr="00F82C8D">
        <w:rPr>
          <w:lang w:val="en-AU"/>
        </w:rPr>
        <w:t xml:space="preserve"> the Darwin-Katherine Interconnected System</w:t>
      </w:r>
      <w:r w:rsidR="001B2098" w:rsidRPr="00F82C8D">
        <w:rPr>
          <w:lang w:val="en-AU"/>
        </w:rPr>
        <w:t>,</w:t>
      </w:r>
      <w:r w:rsidRPr="00F82C8D">
        <w:rPr>
          <w:lang w:val="en-AU"/>
        </w:rPr>
        <w:t xml:space="preserve"> and the Mount Isa–Cloncurry Supply Network. </w:t>
      </w:r>
    </w:p>
    <w:p w:rsidR="006D0660" w:rsidRPr="00F82C8D" w:rsidRDefault="006D0660" w:rsidP="006D0660">
      <w:pPr>
        <w:pStyle w:val="Quote"/>
      </w:pPr>
      <w:r w:rsidRPr="00F82C8D">
        <w:t xml:space="preserve">Example: A grid-connected generator is advised that its individual reported-emissions </w:t>
      </w:r>
      <w:r w:rsidR="003D70C1" w:rsidRPr="00F82C8D">
        <w:t>baseline emissions number is</w:t>
      </w:r>
      <w:r w:rsidRPr="00F82C8D">
        <w:t xml:space="preserve"> 150,000 t CO</w:t>
      </w:r>
      <w:r w:rsidRPr="00F82C8D">
        <w:rPr>
          <w:vertAlign w:val="subscript"/>
        </w:rPr>
        <w:t>2</w:t>
      </w:r>
      <w:r w:rsidRPr="00F82C8D">
        <w:t xml:space="preserve">-e. The generator will not face an obligation though until the </w:t>
      </w:r>
      <w:r w:rsidR="008322CE" w:rsidRPr="00F82C8D">
        <w:t>sectoral-baseline</w:t>
      </w:r>
      <w:r w:rsidRPr="00F82C8D">
        <w:t xml:space="preserve"> of 198 Mt CO</w:t>
      </w:r>
      <w:r w:rsidRPr="00F82C8D">
        <w:rPr>
          <w:vertAlign w:val="subscript"/>
        </w:rPr>
        <w:t>2</w:t>
      </w:r>
      <w:r w:rsidRPr="00F82C8D">
        <w:t xml:space="preserve">-e is exceeded. </w:t>
      </w:r>
    </w:p>
    <w:p w:rsidR="006D0660" w:rsidRPr="00F82C8D" w:rsidRDefault="006D0660" w:rsidP="006D0660">
      <w:pPr>
        <w:pStyle w:val="Quote"/>
      </w:pPr>
      <w:r w:rsidRPr="00F82C8D">
        <w:t>If in 2016-17, the sum of emissions from grid-connected generators is 190 Mt CO</w:t>
      </w:r>
      <w:r w:rsidRPr="00F82C8D">
        <w:rPr>
          <w:vertAlign w:val="subscript"/>
        </w:rPr>
        <w:t>2</w:t>
      </w:r>
      <w:r w:rsidRPr="00F82C8D">
        <w:t xml:space="preserve">-e, and therefore lower than the </w:t>
      </w:r>
      <w:r w:rsidR="008322CE" w:rsidRPr="00F82C8D">
        <w:t>sectoral-baseline</w:t>
      </w:r>
      <w:r w:rsidRPr="00F82C8D">
        <w:t xml:space="preserve"> of 198 Mt CO</w:t>
      </w:r>
      <w:r w:rsidRPr="00F82C8D">
        <w:rPr>
          <w:vertAlign w:val="subscript"/>
        </w:rPr>
        <w:t>2</w:t>
      </w:r>
      <w:r w:rsidRPr="00F82C8D">
        <w:t xml:space="preserve">-e. The year is classified as a sectoral-baseline financial year and the generator’s covered emissions are zero. </w:t>
      </w:r>
    </w:p>
    <w:p w:rsidR="006D0660" w:rsidRPr="00F82C8D" w:rsidRDefault="006D0660" w:rsidP="006D0660">
      <w:pPr>
        <w:pStyle w:val="Quote"/>
      </w:pPr>
      <w:r w:rsidRPr="00F82C8D">
        <w:t>If, in 2017-18, the sector’s emissions are 210 Mt CO</w:t>
      </w:r>
      <w:r w:rsidRPr="00F82C8D">
        <w:rPr>
          <w:vertAlign w:val="subscript"/>
        </w:rPr>
        <w:t>2</w:t>
      </w:r>
      <w:r w:rsidRPr="00F82C8D">
        <w:t xml:space="preserve">-e then the </w:t>
      </w:r>
      <w:r w:rsidRPr="00F82C8D">
        <w:br/>
        <w:t xml:space="preserve">sectoral-baseline would be exceeded. The year of the exceedance would be classified as a sectoral-baseline financial year covered emissions in that year would be equal to zero. By 28 February in the 2018-19 financial year, the Regulator would publish a statement that the </w:t>
      </w:r>
      <w:r w:rsidR="008322CE" w:rsidRPr="00F82C8D">
        <w:t>sectoral-baseline</w:t>
      </w:r>
      <w:r w:rsidRPr="00F82C8D">
        <w:t xml:space="preserve"> has been exceeded. This year would also be classified as a sectoral-baseline financial year and covered emissions from the facility would be equal to zero.</w:t>
      </w:r>
    </w:p>
    <w:p w:rsidR="006D0660" w:rsidRPr="00F82C8D" w:rsidRDefault="00C77032" w:rsidP="006D0660">
      <w:pPr>
        <w:pStyle w:val="Quote"/>
      </w:pPr>
      <w:r w:rsidRPr="00F82C8D">
        <w:t xml:space="preserve">Therefore </w:t>
      </w:r>
      <w:r w:rsidR="006D0660" w:rsidRPr="00F82C8D">
        <w:t xml:space="preserve">2019-20 would be the first year that is not a </w:t>
      </w:r>
      <w:r w:rsidR="008322CE" w:rsidRPr="00F82C8D">
        <w:t>sectoral-baseline</w:t>
      </w:r>
      <w:r w:rsidR="006D0660" w:rsidRPr="00F82C8D">
        <w:t xml:space="preserve"> financial year</w:t>
      </w:r>
      <w:r w:rsidR="00373847" w:rsidRPr="00F82C8D">
        <w:t>.</w:t>
      </w:r>
      <w:r w:rsidR="006D0660" w:rsidRPr="00F82C8D">
        <w:t xml:space="preserve"> If in this year, the generator’s individual covered emissions are 145,000 t CO</w:t>
      </w:r>
      <w:r w:rsidR="006D0660" w:rsidRPr="00F82C8D">
        <w:rPr>
          <w:vertAlign w:val="subscript"/>
        </w:rPr>
        <w:t>2</w:t>
      </w:r>
      <w:r w:rsidR="006D0660" w:rsidRPr="00F82C8D">
        <w:t>-e, which would be below the generator’s baseline emissions number of 150,000 t CO</w:t>
      </w:r>
      <w:r w:rsidR="006D0660" w:rsidRPr="00F82C8D">
        <w:rPr>
          <w:vertAlign w:val="subscript"/>
        </w:rPr>
        <w:t>2</w:t>
      </w:r>
      <w:r w:rsidR="006D0660" w:rsidRPr="00F82C8D">
        <w:t>-e, the generator would not have an excess emissions situation for that year.</w:t>
      </w:r>
    </w:p>
    <w:p w:rsidR="00F879F1" w:rsidRPr="00F82C8D" w:rsidRDefault="0065595C" w:rsidP="00891B83">
      <w:pPr>
        <w:pStyle w:val="Heading3"/>
      </w:pPr>
      <w:r w:rsidRPr="00F82C8D">
        <w:t xml:space="preserve">Section 8: </w:t>
      </w:r>
      <w:r w:rsidR="00F879F1" w:rsidRPr="00F82C8D">
        <w:t>Designated large facility threshold</w:t>
      </w:r>
    </w:p>
    <w:p w:rsidR="00F879F1" w:rsidRPr="00F82C8D" w:rsidRDefault="00F879F1" w:rsidP="00625D31">
      <w:pPr>
        <w:pStyle w:val="ListParagraph"/>
        <w:rPr>
          <w:lang w:val="en-AU"/>
        </w:rPr>
      </w:pPr>
      <w:r w:rsidRPr="00F82C8D">
        <w:rPr>
          <w:lang w:val="en-AU"/>
        </w:rPr>
        <w:t>The safeguard mechanism’s coverage approach places emissions management obligations on the operators of a limited number of facilities responsible for a significant proportion of the Australian economy’s emissions.</w:t>
      </w:r>
      <w:r w:rsidR="000A7B10" w:rsidRPr="00F82C8D">
        <w:rPr>
          <w:lang w:val="en-AU"/>
        </w:rPr>
        <w:t xml:space="preserve"> </w:t>
      </w:r>
      <w:r w:rsidRPr="00F82C8D">
        <w:rPr>
          <w:lang w:val="en-AU"/>
        </w:rPr>
        <w:t xml:space="preserve">A facility that is covered under the safeguard mechanism is described by the Act as a ‘designated large facility’, meaning a facility that emits more than a certain </w:t>
      </w:r>
      <w:r w:rsidR="00576351" w:rsidRPr="00F82C8D">
        <w:rPr>
          <w:lang w:val="en-AU"/>
        </w:rPr>
        <w:t>amount of</w:t>
      </w:r>
      <w:r w:rsidRPr="00F82C8D">
        <w:rPr>
          <w:lang w:val="en-AU"/>
        </w:rPr>
        <w:t xml:space="preserve"> covered emissions </w:t>
      </w:r>
      <w:r w:rsidR="00F77D66" w:rsidRPr="00F82C8D">
        <w:rPr>
          <w:lang w:val="en-AU"/>
        </w:rPr>
        <w:t>(</w:t>
      </w:r>
      <w:r w:rsidR="00576351" w:rsidRPr="00F82C8D">
        <w:rPr>
          <w:lang w:val="en-AU"/>
        </w:rPr>
        <w:t xml:space="preserve">t </w:t>
      </w:r>
      <w:r w:rsidRPr="00F82C8D">
        <w:rPr>
          <w:lang w:val="en-AU"/>
        </w:rPr>
        <w:t>CO</w:t>
      </w:r>
      <w:r w:rsidR="00E073C6" w:rsidRPr="00F82C8D">
        <w:rPr>
          <w:vertAlign w:val="subscript"/>
          <w:lang w:val="en-AU"/>
        </w:rPr>
        <w:t>2</w:t>
      </w:r>
      <w:r w:rsidR="00E073C6" w:rsidRPr="00F82C8D">
        <w:rPr>
          <w:lang w:val="en-AU"/>
        </w:rPr>
        <w:t>-</w:t>
      </w:r>
      <w:r w:rsidR="002614A0" w:rsidRPr="00F82C8D">
        <w:rPr>
          <w:lang w:val="en-AU"/>
        </w:rPr>
        <w:t>e</w:t>
      </w:r>
      <w:r w:rsidR="00F77D66" w:rsidRPr="00F82C8D">
        <w:rPr>
          <w:lang w:val="en-AU"/>
        </w:rPr>
        <w:t>)</w:t>
      </w:r>
      <w:r w:rsidR="00576351" w:rsidRPr="00F82C8D">
        <w:rPr>
          <w:lang w:val="en-AU"/>
        </w:rPr>
        <w:t xml:space="preserve"> </w:t>
      </w:r>
      <w:r w:rsidR="00562E97" w:rsidRPr="00F82C8D">
        <w:rPr>
          <w:lang w:val="en-AU"/>
        </w:rPr>
        <w:t>per financial year. T</w:t>
      </w:r>
      <w:r w:rsidRPr="00F82C8D">
        <w:rPr>
          <w:lang w:val="en-AU"/>
        </w:rPr>
        <w:t>his number is the ‘designa</w:t>
      </w:r>
      <w:r w:rsidR="00562E97" w:rsidRPr="00F82C8D">
        <w:rPr>
          <w:lang w:val="en-AU"/>
        </w:rPr>
        <w:t>ted large facility threshold’</w:t>
      </w:r>
      <w:r w:rsidR="00260D4B" w:rsidRPr="00F82C8D">
        <w:rPr>
          <w:lang w:val="en-AU"/>
        </w:rPr>
        <w:t xml:space="preserve"> under section 22XJ of the Act</w:t>
      </w:r>
      <w:r w:rsidR="008C3DF8" w:rsidRPr="00F82C8D">
        <w:rPr>
          <w:lang w:val="en-AU"/>
        </w:rPr>
        <w:t xml:space="preserve">. </w:t>
      </w:r>
    </w:p>
    <w:p w:rsidR="00F879F1" w:rsidRPr="00F82C8D" w:rsidRDefault="00F879F1" w:rsidP="00625D31">
      <w:pPr>
        <w:pStyle w:val="ListParagraph"/>
        <w:rPr>
          <w:lang w:val="en-AU"/>
        </w:rPr>
      </w:pPr>
      <w:r w:rsidRPr="00F82C8D">
        <w:rPr>
          <w:lang w:val="en-AU"/>
        </w:rPr>
        <w:t xml:space="preserve">The designated large facility threshold is specified in the </w:t>
      </w:r>
      <w:r w:rsidR="00D360AB" w:rsidRPr="00F82C8D">
        <w:rPr>
          <w:lang w:val="en-AU"/>
        </w:rPr>
        <w:t>safeguard rule</w:t>
      </w:r>
      <w:r w:rsidRPr="00F82C8D">
        <w:rPr>
          <w:lang w:val="en-AU"/>
        </w:rPr>
        <w:t xml:space="preserve"> as 100,000 </w:t>
      </w:r>
      <w:r w:rsidR="00053244" w:rsidRPr="00F82C8D">
        <w:rPr>
          <w:lang w:val="en-AU"/>
        </w:rPr>
        <w:t xml:space="preserve">t </w:t>
      </w:r>
      <w:r w:rsidRPr="00F82C8D">
        <w:rPr>
          <w:lang w:val="en-AU"/>
        </w:rPr>
        <w:t>CO</w:t>
      </w:r>
      <w:r w:rsidR="00E073C6" w:rsidRPr="00F82C8D">
        <w:rPr>
          <w:vertAlign w:val="subscript"/>
          <w:lang w:val="en-AU"/>
        </w:rPr>
        <w:t>2</w:t>
      </w:r>
      <w:r w:rsidR="00E073C6" w:rsidRPr="00F82C8D">
        <w:rPr>
          <w:lang w:val="en-AU"/>
        </w:rPr>
        <w:t>-</w:t>
      </w:r>
      <w:r w:rsidR="002614A0" w:rsidRPr="00F82C8D">
        <w:rPr>
          <w:lang w:val="en-AU"/>
        </w:rPr>
        <w:t>e</w:t>
      </w:r>
      <w:r w:rsidRPr="00F82C8D">
        <w:rPr>
          <w:lang w:val="en-AU"/>
        </w:rPr>
        <w:t xml:space="preserve"> </w:t>
      </w:r>
      <w:r w:rsidR="00BB0548" w:rsidRPr="00F82C8D">
        <w:rPr>
          <w:lang w:val="en-AU"/>
        </w:rPr>
        <w:t>in a</w:t>
      </w:r>
      <w:r w:rsidRPr="00F82C8D">
        <w:rPr>
          <w:lang w:val="en-AU"/>
        </w:rPr>
        <w:t xml:space="preserve"> financial year</w:t>
      </w:r>
      <w:r w:rsidR="002D6B56" w:rsidRPr="00F82C8D">
        <w:rPr>
          <w:lang w:val="en-AU"/>
        </w:rPr>
        <w:t>.</w:t>
      </w:r>
      <w:r w:rsidR="00942206" w:rsidRPr="00F82C8D">
        <w:rPr>
          <w:lang w:val="en-AU"/>
        </w:rPr>
        <w:t xml:space="preserve"> </w:t>
      </w:r>
      <w:r w:rsidR="0092078A" w:rsidRPr="00F82C8D">
        <w:rPr>
          <w:b/>
          <w:i/>
          <w:sz w:val="20"/>
          <w:lang w:val="en-AU"/>
        </w:rPr>
        <w:t>[</w:t>
      </w:r>
      <w:r w:rsidR="00942206" w:rsidRPr="00F82C8D">
        <w:rPr>
          <w:b/>
          <w:i/>
          <w:sz w:val="20"/>
          <w:lang w:val="en-AU"/>
        </w:rPr>
        <w:t xml:space="preserve">section </w:t>
      </w:r>
      <w:r w:rsidR="003A3D2A" w:rsidRPr="00F82C8D">
        <w:rPr>
          <w:b/>
          <w:i/>
          <w:sz w:val="20"/>
          <w:lang w:val="en-AU"/>
        </w:rPr>
        <w:t>8</w:t>
      </w:r>
      <w:r w:rsidR="00744E76" w:rsidRPr="00F82C8D">
        <w:rPr>
          <w:b/>
          <w:i/>
          <w:sz w:val="20"/>
          <w:lang w:val="en-AU"/>
        </w:rPr>
        <w:t>]</w:t>
      </w:r>
    </w:p>
    <w:p w:rsidR="00F879F1" w:rsidRPr="00F82C8D" w:rsidRDefault="00B7594D" w:rsidP="00625D31">
      <w:pPr>
        <w:pStyle w:val="ListParagraph"/>
        <w:rPr>
          <w:lang w:val="en-AU"/>
        </w:rPr>
      </w:pPr>
      <w:r w:rsidRPr="00F82C8D">
        <w:rPr>
          <w:lang w:val="en-AU"/>
        </w:rPr>
        <w:t xml:space="preserve">The safeguard mechanism applies to ‘persons’ which enables coverage of a wide range of legal structures. </w:t>
      </w:r>
      <w:r w:rsidR="00F879F1" w:rsidRPr="00F82C8D">
        <w:rPr>
          <w:lang w:val="en-AU"/>
        </w:rPr>
        <w:t>A broad approach maximises the application of the safeguard mechanism across the economy,</w:t>
      </w:r>
      <w:r w:rsidRPr="00F82C8D">
        <w:rPr>
          <w:lang w:val="en-AU"/>
        </w:rPr>
        <w:t xml:space="preserve"> while supporting competitive neutrality by covering different legal structures in the same market.</w:t>
      </w:r>
    </w:p>
    <w:p w:rsidR="00F879F1" w:rsidRPr="00F82C8D" w:rsidRDefault="00F879F1" w:rsidP="00625D31">
      <w:pPr>
        <w:pStyle w:val="ListParagraph"/>
        <w:rPr>
          <w:lang w:val="en-AU"/>
        </w:rPr>
      </w:pPr>
      <w:r w:rsidRPr="00F82C8D">
        <w:rPr>
          <w:lang w:val="en-AU"/>
        </w:rPr>
        <w:t>The person or entity with operational control of a designated large facility, referred to in the A</w:t>
      </w:r>
      <w:r w:rsidR="00BB0548" w:rsidRPr="00F82C8D">
        <w:rPr>
          <w:lang w:val="en-AU"/>
        </w:rPr>
        <w:t>ct</w:t>
      </w:r>
      <w:r w:rsidR="00260D4B" w:rsidRPr="00F82C8D">
        <w:rPr>
          <w:lang w:val="en-AU"/>
        </w:rPr>
        <w:t>, under paragraphs 22XE, 22XF and 22XH,</w:t>
      </w:r>
      <w:r w:rsidR="00BB0548" w:rsidRPr="00F82C8D">
        <w:rPr>
          <w:lang w:val="en-AU"/>
        </w:rPr>
        <w:t xml:space="preserve"> as the ‘responsible emitter’, </w:t>
      </w:r>
      <w:r w:rsidRPr="00F82C8D">
        <w:rPr>
          <w:lang w:val="en-AU"/>
        </w:rPr>
        <w:t>will be responsible for ensuring the facility’s net emissions number does not exceed the facility’s baseline emissions number for the given monitoring period (i.e. avoiding an excess emissions situation)</w:t>
      </w:r>
      <w:r w:rsidR="00BB0548" w:rsidRPr="00F82C8D">
        <w:rPr>
          <w:lang w:val="en-AU"/>
        </w:rPr>
        <w:t>.</w:t>
      </w:r>
    </w:p>
    <w:p w:rsidR="00F879F1" w:rsidRPr="00F82C8D" w:rsidRDefault="00F879F1" w:rsidP="00625D31">
      <w:pPr>
        <w:pStyle w:val="ListParagraph"/>
        <w:rPr>
          <w:lang w:val="en-AU"/>
        </w:rPr>
      </w:pPr>
      <w:r w:rsidRPr="00F82C8D">
        <w:rPr>
          <w:lang w:val="en-AU"/>
        </w:rPr>
        <w:t>Placing obligations on the entity with operational control of the facility ensures that responsibility rests with the entity that is best placed to manage the facility’s emissions and take action to reduce them, if needed.</w:t>
      </w:r>
    </w:p>
    <w:p w:rsidR="00E5003F" w:rsidRPr="00F82C8D" w:rsidRDefault="00C86817" w:rsidP="002614A0">
      <w:pPr>
        <w:pStyle w:val="Heading1"/>
      </w:pPr>
      <w:bookmarkStart w:id="68" w:name="_Toc426382204"/>
      <w:bookmarkStart w:id="69" w:name="_Toc431975842"/>
      <w:r w:rsidRPr="00F82C8D">
        <w:t xml:space="preserve">Part </w:t>
      </w:r>
      <w:r w:rsidR="000C3D50" w:rsidRPr="00F82C8D">
        <w:t>3</w:t>
      </w:r>
      <w:r w:rsidR="00CC1CC8" w:rsidRPr="00F82C8D">
        <w:br/>
      </w:r>
      <w:r w:rsidR="00DE1E4B" w:rsidRPr="00F82C8D">
        <w:t>Baselines</w:t>
      </w:r>
      <w:bookmarkEnd w:id="68"/>
      <w:bookmarkEnd w:id="69"/>
    </w:p>
    <w:p w:rsidR="002A07F4" w:rsidRPr="00F82C8D" w:rsidRDefault="002A07F4" w:rsidP="002614A0">
      <w:pPr>
        <w:pStyle w:val="Heading2"/>
      </w:pPr>
      <w:bookmarkStart w:id="70" w:name="_Toc426382205"/>
      <w:bookmarkStart w:id="71" w:name="_Toc426628839"/>
      <w:bookmarkStart w:id="72" w:name="_Toc428260141"/>
      <w:bookmarkStart w:id="73" w:name="_Toc428868021"/>
      <w:bookmarkStart w:id="74" w:name="_Toc428869928"/>
      <w:bookmarkStart w:id="75" w:name="_Toc431975843"/>
      <w:r w:rsidRPr="00F82C8D">
        <w:t xml:space="preserve">Outline of the </w:t>
      </w:r>
      <w:bookmarkEnd w:id="70"/>
      <w:bookmarkEnd w:id="71"/>
      <w:bookmarkEnd w:id="72"/>
      <w:bookmarkEnd w:id="73"/>
      <w:bookmarkEnd w:id="74"/>
      <w:r w:rsidR="006A2BF9" w:rsidRPr="00F82C8D">
        <w:t>Part</w:t>
      </w:r>
      <w:bookmarkEnd w:id="75"/>
    </w:p>
    <w:p w:rsidR="00586D41" w:rsidRPr="00F82C8D" w:rsidRDefault="00586D41" w:rsidP="00A1283B">
      <w:pPr>
        <w:pStyle w:val="ListParagraph"/>
        <w:numPr>
          <w:ilvl w:val="0"/>
          <w:numId w:val="10"/>
        </w:numPr>
        <w:rPr>
          <w:vanish/>
          <w:lang w:val="en-AU"/>
        </w:rPr>
      </w:pPr>
    </w:p>
    <w:p w:rsidR="00996921" w:rsidRPr="00F82C8D" w:rsidRDefault="002A07F4" w:rsidP="00586D41">
      <w:pPr>
        <w:pStyle w:val="ListParagraph"/>
        <w:rPr>
          <w:lang w:val="en-AU"/>
        </w:rPr>
      </w:pPr>
      <w:r w:rsidRPr="00F82C8D">
        <w:rPr>
          <w:lang w:val="en-AU"/>
        </w:rPr>
        <w:t xml:space="preserve">This </w:t>
      </w:r>
      <w:r w:rsidR="00C86817" w:rsidRPr="00F82C8D">
        <w:rPr>
          <w:lang w:val="en-AU"/>
        </w:rPr>
        <w:t>Part</w:t>
      </w:r>
      <w:r w:rsidR="00EE77C3" w:rsidRPr="00F82C8D">
        <w:rPr>
          <w:lang w:val="en-AU"/>
        </w:rPr>
        <w:t xml:space="preserve"> </w:t>
      </w:r>
      <w:r w:rsidR="000C3D50" w:rsidRPr="00F82C8D">
        <w:rPr>
          <w:lang w:val="en-AU"/>
        </w:rPr>
        <w:t>explains</w:t>
      </w:r>
      <w:r w:rsidR="00EE77C3" w:rsidRPr="00F82C8D">
        <w:rPr>
          <w:lang w:val="en-AU"/>
        </w:rPr>
        <w:t xml:space="preserve"> the baseline provisions set out in the </w:t>
      </w:r>
      <w:r w:rsidR="00D360AB" w:rsidRPr="00F82C8D">
        <w:rPr>
          <w:lang w:val="en-AU"/>
        </w:rPr>
        <w:t>safeguard rule</w:t>
      </w:r>
      <w:r w:rsidR="00EE77C3" w:rsidRPr="00F82C8D">
        <w:rPr>
          <w:lang w:val="en-AU"/>
        </w:rPr>
        <w:t>.</w:t>
      </w:r>
    </w:p>
    <w:p w:rsidR="005775D2" w:rsidRPr="00F82C8D" w:rsidRDefault="00B66A94" w:rsidP="00586D41">
      <w:pPr>
        <w:pStyle w:val="ListParagraph"/>
        <w:rPr>
          <w:lang w:val="en-AU"/>
        </w:rPr>
      </w:pPr>
      <w:r w:rsidRPr="00F82C8D">
        <w:rPr>
          <w:lang w:val="en-AU"/>
        </w:rPr>
        <w:t>Division 2 of this</w:t>
      </w:r>
      <w:r w:rsidR="005775D2" w:rsidRPr="00F82C8D">
        <w:rPr>
          <w:lang w:val="en-AU"/>
        </w:rPr>
        <w:t xml:space="preserve"> Part sets out the circumstances for making the different types of baseline determinations and how the baseline emissions number is calculated. </w:t>
      </w:r>
      <w:r w:rsidR="005A3F65" w:rsidRPr="00F82C8D">
        <w:rPr>
          <w:lang w:val="en-AU"/>
        </w:rPr>
        <w:t>Example scenarios</w:t>
      </w:r>
      <w:r w:rsidR="005775D2" w:rsidRPr="00F82C8D">
        <w:rPr>
          <w:lang w:val="en-AU"/>
        </w:rPr>
        <w:t xml:space="preserve"> illustrate how the provisions in this Part could apply to a facility (see</w:t>
      </w:r>
      <w:r w:rsidR="001E5FAA" w:rsidRPr="00F82C8D">
        <w:rPr>
          <w:lang w:val="en-AU"/>
        </w:rPr>
        <w:t xml:space="preserve"> the section headed</w:t>
      </w:r>
      <w:r w:rsidR="005775D2" w:rsidRPr="00F82C8D">
        <w:rPr>
          <w:lang w:val="en-AU"/>
        </w:rPr>
        <w:t xml:space="preserve"> </w:t>
      </w:r>
      <w:fldSimple w:instr=" REF _Ref427857419 \h  \* MERGEFORMAT ">
        <w:r w:rsidR="00F16B1F" w:rsidRPr="00F16B1F">
          <w:rPr>
            <w:i/>
          </w:rPr>
          <w:t>Example scenarios</w:t>
        </w:r>
      </w:fldSimple>
      <w:r w:rsidR="005A3F65" w:rsidRPr="00F82C8D">
        <w:t xml:space="preserve"> </w:t>
      </w:r>
      <w:r w:rsidR="005775D2" w:rsidRPr="00F82C8D">
        <w:rPr>
          <w:lang w:val="en-AU"/>
        </w:rPr>
        <w:t xml:space="preserve">on page </w:t>
      </w:r>
      <w:r w:rsidR="00744D5E" w:rsidRPr="00F82C8D">
        <w:rPr>
          <w:lang w:val="en-AU"/>
        </w:rPr>
        <w:fldChar w:fldCharType="begin"/>
      </w:r>
      <w:r w:rsidR="005A3F65" w:rsidRPr="00F82C8D">
        <w:rPr>
          <w:lang w:val="en-AU"/>
        </w:rPr>
        <w:instrText xml:space="preserve"> PAGEREF _Ref427857415 \h </w:instrText>
      </w:r>
      <w:r w:rsidR="00744D5E" w:rsidRPr="00F82C8D">
        <w:rPr>
          <w:lang w:val="en-AU"/>
        </w:rPr>
      </w:r>
      <w:r w:rsidR="00744D5E" w:rsidRPr="00F82C8D">
        <w:rPr>
          <w:lang w:val="en-AU"/>
        </w:rPr>
        <w:fldChar w:fldCharType="separate"/>
      </w:r>
      <w:r w:rsidR="00F16B1F">
        <w:rPr>
          <w:noProof/>
          <w:lang w:val="en-AU"/>
        </w:rPr>
        <w:t>106</w:t>
      </w:r>
      <w:r w:rsidR="00744D5E" w:rsidRPr="00F82C8D">
        <w:rPr>
          <w:lang w:val="en-AU"/>
        </w:rPr>
        <w:fldChar w:fldCharType="end"/>
      </w:r>
      <w:r w:rsidR="005A3F65" w:rsidRPr="00F82C8D">
        <w:rPr>
          <w:lang w:val="en-AU"/>
        </w:rPr>
        <w:t xml:space="preserve"> </w:t>
      </w:r>
      <w:r w:rsidR="005775D2" w:rsidRPr="00F82C8D">
        <w:rPr>
          <w:lang w:val="en-AU"/>
        </w:rPr>
        <w:t>of</w:t>
      </w:r>
      <w:r w:rsidR="004C00A9" w:rsidRPr="00F82C8D">
        <w:rPr>
          <w:lang w:val="en-AU"/>
        </w:rPr>
        <w:t xml:space="preserve"> the</w:t>
      </w:r>
      <w:r w:rsidR="00F37DA6" w:rsidRPr="00F82C8D">
        <w:rPr>
          <w:lang w:val="en-AU"/>
        </w:rPr>
        <w:t xml:space="preserve"> </w:t>
      </w:r>
      <w:r w:rsidR="00D360AB" w:rsidRPr="00F82C8D">
        <w:rPr>
          <w:lang w:val="en-AU"/>
        </w:rPr>
        <w:t>Exp</w:t>
      </w:r>
      <w:r w:rsidR="004C00A9" w:rsidRPr="00F82C8D">
        <w:rPr>
          <w:lang w:val="en-AU"/>
        </w:rPr>
        <w:t>lanatory Statement</w:t>
      </w:r>
      <w:r w:rsidR="005775D2" w:rsidRPr="00F82C8D">
        <w:rPr>
          <w:lang w:val="en-AU"/>
        </w:rPr>
        <w:t>).</w:t>
      </w:r>
      <w:r w:rsidR="000A7B10" w:rsidRPr="00F82C8D">
        <w:rPr>
          <w:lang w:val="en-AU"/>
        </w:rPr>
        <w:t xml:space="preserve"> </w:t>
      </w:r>
    </w:p>
    <w:p w:rsidR="00F93509" w:rsidRPr="00F82C8D" w:rsidRDefault="003B5AAE">
      <w:pPr>
        <w:pStyle w:val="Heading2"/>
      </w:pPr>
      <w:bookmarkStart w:id="76" w:name="_Toc431975844"/>
      <w:r w:rsidRPr="00F82C8D">
        <w:t>Division</w:t>
      </w:r>
      <w:r w:rsidR="0065595C" w:rsidRPr="00F82C8D">
        <w:t xml:space="preserve"> 1—</w:t>
      </w:r>
      <w:r w:rsidR="00DE1E4B" w:rsidRPr="00F82C8D">
        <w:t>Baseline emissions number</w:t>
      </w:r>
      <w:bookmarkEnd w:id="76"/>
    </w:p>
    <w:p w:rsidR="006903B0" w:rsidRPr="00F82C8D" w:rsidRDefault="0065595C">
      <w:pPr>
        <w:pStyle w:val="Heading3"/>
      </w:pPr>
      <w:bookmarkStart w:id="77" w:name="_Ref426987944"/>
      <w:r w:rsidRPr="00F82C8D">
        <w:t>Sections 9 and 10</w:t>
      </w:r>
      <w:r w:rsidR="007C2047" w:rsidRPr="00F82C8D">
        <w:t>: Operation of this Division, Baseline emissions number</w:t>
      </w:r>
      <w:bookmarkEnd w:id="77"/>
    </w:p>
    <w:p w:rsidR="008F674A" w:rsidRPr="00F82C8D" w:rsidRDefault="008F674A" w:rsidP="00625D31">
      <w:pPr>
        <w:pStyle w:val="ListParagraph"/>
        <w:rPr>
          <w:lang w:val="en-AU"/>
        </w:rPr>
      </w:pPr>
      <w:r w:rsidRPr="00F82C8D">
        <w:rPr>
          <w:lang w:val="en-AU"/>
        </w:rPr>
        <w:t>The baseline emissions number is the reference point used to evaluate the emissions perfor</w:t>
      </w:r>
      <w:r w:rsidR="0016764B" w:rsidRPr="00F82C8D">
        <w:rPr>
          <w:lang w:val="en-AU"/>
        </w:rPr>
        <w:t xml:space="preserve">mance of a </w:t>
      </w:r>
      <w:r w:rsidR="00D037A0" w:rsidRPr="00F82C8D">
        <w:rPr>
          <w:lang w:val="en-AU"/>
        </w:rPr>
        <w:t>designated large facilit</w:t>
      </w:r>
      <w:r w:rsidR="0016764B" w:rsidRPr="00F82C8D">
        <w:rPr>
          <w:lang w:val="en-AU"/>
        </w:rPr>
        <w:t>y. If</w:t>
      </w:r>
      <w:r w:rsidRPr="00F82C8D">
        <w:rPr>
          <w:lang w:val="en-AU"/>
        </w:rPr>
        <w:t xml:space="preserve"> at the </w:t>
      </w:r>
      <w:r w:rsidR="0016764B" w:rsidRPr="00F82C8D">
        <w:rPr>
          <w:lang w:val="en-AU"/>
        </w:rPr>
        <w:t xml:space="preserve">end of a monitoring period a facility’s </w:t>
      </w:r>
      <w:r w:rsidR="00505F58" w:rsidRPr="00F82C8D">
        <w:rPr>
          <w:lang w:val="en-AU"/>
        </w:rPr>
        <w:t>net</w:t>
      </w:r>
      <w:r w:rsidR="0016764B" w:rsidRPr="00F82C8D">
        <w:rPr>
          <w:lang w:val="en-AU"/>
        </w:rPr>
        <w:t xml:space="preserve"> emissions</w:t>
      </w:r>
      <w:r w:rsidRPr="00F82C8D">
        <w:rPr>
          <w:lang w:val="en-AU"/>
        </w:rPr>
        <w:t xml:space="preserve"> exceeds its baseline emissions number, an excess emissions situation exists</w:t>
      </w:r>
      <w:r w:rsidR="00EB29A9" w:rsidRPr="00F82C8D">
        <w:rPr>
          <w:lang w:val="en-AU"/>
        </w:rPr>
        <w:t xml:space="preserve"> (see section 22XE of the Act)</w:t>
      </w:r>
      <w:r w:rsidR="0016764B" w:rsidRPr="00F82C8D">
        <w:rPr>
          <w:lang w:val="en-AU"/>
        </w:rPr>
        <w:t>.</w:t>
      </w:r>
      <w:r w:rsidRPr="00F82C8D">
        <w:rPr>
          <w:lang w:val="en-AU"/>
        </w:rPr>
        <w:t xml:space="preserve"> </w:t>
      </w:r>
      <w:r w:rsidR="0062312F" w:rsidRPr="00F82C8D">
        <w:rPr>
          <w:lang w:val="en-AU"/>
        </w:rPr>
        <w:t xml:space="preserve">Where a monitoring period is longer than a year, the sum of the baseline emissions numbers applicable in each financial year constituting the monitoring period are used under section 22XE of the Act to </w:t>
      </w:r>
      <w:r w:rsidR="00893FB8" w:rsidRPr="00F82C8D">
        <w:rPr>
          <w:lang w:val="en-AU"/>
        </w:rPr>
        <w:t>compare</w:t>
      </w:r>
      <w:r w:rsidR="0062312F" w:rsidRPr="00F82C8D">
        <w:rPr>
          <w:lang w:val="en-AU"/>
        </w:rPr>
        <w:t xml:space="preserve"> with the net emissions number for the facility for that monitoring period.</w:t>
      </w:r>
    </w:p>
    <w:p w:rsidR="005D1A60" w:rsidRPr="00F82C8D" w:rsidRDefault="005D1A60" w:rsidP="005D1A60">
      <w:pPr>
        <w:pStyle w:val="Quote"/>
      </w:pPr>
      <w:r w:rsidRPr="00F82C8D">
        <w:t>For example, if a baseline emissions number is 100,000 t CO</w:t>
      </w:r>
      <w:r w:rsidRPr="00F82C8D">
        <w:rPr>
          <w:vertAlign w:val="subscript"/>
        </w:rPr>
        <w:t>2</w:t>
      </w:r>
      <w:r w:rsidRPr="00F82C8D">
        <w:t>-e in both 2016</w:t>
      </w:r>
      <w:r w:rsidRPr="00F82C8D">
        <w:noBreakHyphen/>
        <w:t>17 and 2017-18, a monitoring period from 1 July 2016 to 30 June 2018 would sum the baseline emissions numbers to 200,000 t CO</w:t>
      </w:r>
      <w:r w:rsidRPr="00F82C8D">
        <w:rPr>
          <w:vertAlign w:val="subscript"/>
        </w:rPr>
        <w:t>2</w:t>
      </w:r>
      <w:r w:rsidRPr="00F82C8D">
        <w:t>-e and compare that with the net emissions number for the monitoring period. If covered emissions were 105,000 t CO</w:t>
      </w:r>
      <w:r w:rsidRPr="00F82C8D">
        <w:rPr>
          <w:vertAlign w:val="subscript"/>
        </w:rPr>
        <w:t>2</w:t>
      </w:r>
      <w:r w:rsidRPr="00F82C8D">
        <w:t>-e in both 2016-17 and 2017-18 and 10,000 Australian Carbon Credit Units were surrendered for that period, the net emissions number would be 105,000+105,000-10,000= 200,000 t CO</w:t>
      </w:r>
      <w:r w:rsidRPr="00F82C8D">
        <w:rPr>
          <w:vertAlign w:val="subscript"/>
        </w:rPr>
        <w:t>2</w:t>
      </w:r>
      <w:r w:rsidRPr="00F82C8D">
        <w:t>-e, which is the same as the baseline of 200,000 t CO</w:t>
      </w:r>
      <w:r w:rsidRPr="00F82C8D">
        <w:rPr>
          <w:vertAlign w:val="subscript"/>
        </w:rPr>
        <w:t>2</w:t>
      </w:r>
      <w:r w:rsidRPr="00F82C8D">
        <w:t xml:space="preserve">-e. No excess </w:t>
      </w:r>
      <w:r w:rsidR="00E16219" w:rsidRPr="00F82C8D">
        <w:t xml:space="preserve">emissions </w:t>
      </w:r>
      <w:r w:rsidRPr="00F82C8D">
        <w:t>situation would exist for the monitoring period.</w:t>
      </w:r>
    </w:p>
    <w:p w:rsidR="00D66482" w:rsidRPr="00F82C8D" w:rsidRDefault="008F674A" w:rsidP="00625D31">
      <w:pPr>
        <w:pStyle w:val="ListParagraph"/>
        <w:rPr>
          <w:lang w:val="en-AU"/>
        </w:rPr>
      </w:pPr>
      <w:r w:rsidRPr="00F82C8D">
        <w:rPr>
          <w:lang w:val="en-AU"/>
        </w:rPr>
        <w:t>For</w:t>
      </w:r>
      <w:r w:rsidR="0016764B" w:rsidRPr="00F82C8D">
        <w:rPr>
          <w:lang w:val="en-AU"/>
        </w:rPr>
        <w:t xml:space="preserve"> subsection</w:t>
      </w:r>
      <w:r w:rsidR="0085203F" w:rsidRPr="00F82C8D">
        <w:rPr>
          <w:lang w:val="en-AU"/>
        </w:rPr>
        <w:t xml:space="preserve"> 22XL(1</w:t>
      </w:r>
      <w:r w:rsidRPr="00F82C8D">
        <w:rPr>
          <w:lang w:val="en-AU"/>
        </w:rPr>
        <w:t xml:space="preserve">) of the Act, </w:t>
      </w:r>
      <w:r w:rsidR="0016764B" w:rsidRPr="00F82C8D">
        <w:rPr>
          <w:lang w:val="en-AU"/>
        </w:rPr>
        <w:t>Division</w:t>
      </w:r>
      <w:r w:rsidR="0085203F" w:rsidRPr="00F82C8D">
        <w:rPr>
          <w:lang w:val="en-AU"/>
        </w:rPr>
        <w:t>s 1 and</w:t>
      </w:r>
      <w:r w:rsidR="0016764B" w:rsidRPr="00F82C8D">
        <w:rPr>
          <w:lang w:val="en-AU"/>
        </w:rPr>
        <w:t xml:space="preserve"> 2 of Part 3</w:t>
      </w:r>
      <w:r w:rsidR="00920364" w:rsidRPr="00F82C8D">
        <w:rPr>
          <w:lang w:val="en-AU"/>
        </w:rPr>
        <w:t xml:space="preserve"> of the </w:t>
      </w:r>
      <w:r w:rsidR="00D360AB" w:rsidRPr="00F82C8D">
        <w:rPr>
          <w:lang w:val="en-AU"/>
        </w:rPr>
        <w:t>safeguard rule</w:t>
      </w:r>
      <w:r w:rsidRPr="00F82C8D">
        <w:rPr>
          <w:lang w:val="en-AU"/>
        </w:rPr>
        <w:t xml:space="preserve"> set</w:t>
      </w:r>
      <w:r w:rsidR="00920364" w:rsidRPr="00F82C8D">
        <w:rPr>
          <w:lang w:val="en-AU"/>
        </w:rPr>
        <w:t>s</w:t>
      </w:r>
      <w:r w:rsidRPr="00F82C8D">
        <w:rPr>
          <w:lang w:val="en-AU"/>
        </w:rPr>
        <w:t xml:space="preserve"> out </w:t>
      </w:r>
      <w:r w:rsidR="0016764B" w:rsidRPr="00F82C8D">
        <w:rPr>
          <w:lang w:val="en-AU"/>
        </w:rPr>
        <w:t>how to calculate the</w:t>
      </w:r>
      <w:r w:rsidRPr="00F82C8D">
        <w:rPr>
          <w:lang w:val="en-AU"/>
        </w:rPr>
        <w:t xml:space="preserve"> baseline emissions number</w:t>
      </w:r>
      <w:r w:rsidR="0016764B" w:rsidRPr="00F82C8D">
        <w:rPr>
          <w:lang w:val="en-AU"/>
        </w:rPr>
        <w:t>.</w:t>
      </w:r>
      <w:r w:rsidRPr="00F82C8D">
        <w:rPr>
          <w:lang w:val="en-AU"/>
        </w:rPr>
        <w:t xml:space="preserve"> </w:t>
      </w:r>
      <w:r w:rsidR="0092078A" w:rsidRPr="00F82C8D">
        <w:rPr>
          <w:b/>
          <w:i/>
          <w:sz w:val="20"/>
          <w:lang w:val="en-AU"/>
        </w:rPr>
        <w:t>[</w:t>
      </w:r>
      <w:r w:rsidR="0085203F" w:rsidRPr="00F82C8D">
        <w:rPr>
          <w:b/>
          <w:i/>
          <w:sz w:val="20"/>
          <w:lang w:val="en-AU"/>
        </w:rPr>
        <w:t>section </w:t>
      </w:r>
      <w:r w:rsidR="0016764B" w:rsidRPr="00F82C8D">
        <w:rPr>
          <w:b/>
          <w:i/>
          <w:sz w:val="20"/>
          <w:lang w:val="en-AU"/>
        </w:rPr>
        <w:t>9</w:t>
      </w:r>
      <w:r w:rsidR="00744E76" w:rsidRPr="00F82C8D">
        <w:rPr>
          <w:b/>
          <w:i/>
          <w:sz w:val="20"/>
          <w:lang w:val="en-AU"/>
        </w:rPr>
        <w:t>]</w:t>
      </w:r>
    </w:p>
    <w:p w:rsidR="00920364" w:rsidRPr="00F82C8D" w:rsidRDefault="00920364" w:rsidP="00625D31">
      <w:pPr>
        <w:pStyle w:val="ListParagraph"/>
        <w:rPr>
          <w:lang w:val="en-AU"/>
        </w:rPr>
      </w:pPr>
      <w:r w:rsidRPr="00F82C8D">
        <w:rPr>
          <w:lang w:val="en-AU"/>
        </w:rPr>
        <w:t xml:space="preserve">The baseline emissions number </w:t>
      </w:r>
      <w:r w:rsidR="0016764B" w:rsidRPr="00F82C8D">
        <w:rPr>
          <w:lang w:val="en-AU"/>
        </w:rPr>
        <w:t>is</w:t>
      </w:r>
      <w:r w:rsidR="00961062" w:rsidRPr="00F82C8D">
        <w:rPr>
          <w:lang w:val="en-AU"/>
        </w:rPr>
        <w:t xml:space="preserve"> expressed in</w:t>
      </w:r>
      <w:r w:rsidRPr="00F82C8D">
        <w:rPr>
          <w:lang w:val="en-AU"/>
        </w:rPr>
        <w:t xml:space="preserve"> </w:t>
      </w:r>
      <w:r w:rsidR="0016764B" w:rsidRPr="00F82C8D">
        <w:rPr>
          <w:lang w:val="en-AU"/>
        </w:rPr>
        <w:t>t CO</w:t>
      </w:r>
      <w:r w:rsidR="00E073C6" w:rsidRPr="00F82C8D">
        <w:rPr>
          <w:vertAlign w:val="subscript"/>
          <w:lang w:val="en-AU"/>
        </w:rPr>
        <w:t>2</w:t>
      </w:r>
      <w:r w:rsidR="00E073C6" w:rsidRPr="00F82C8D">
        <w:rPr>
          <w:lang w:val="en-AU"/>
        </w:rPr>
        <w:t>-</w:t>
      </w:r>
      <w:r w:rsidR="0016764B" w:rsidRPr="00F82C8D">
        <w:rPr>
          <w:lang w:val="en-AU"/>
        </w:rPr>
        <w:t xml:space="preserve">e </w:t>
      </w:r>
      <w:r w:rsidRPr="00F82C8D">
        <w:rPr>
          <w:lang w:val="en-AU"/>
        </w:rPr>
        <w:t>for a financial year</w:t>
      </w:r>
      <w:r w:rsidR="0016764B" w:rsidRPr="00F82C8D">
        <w:rPr>
          <w:lang w:val="en-AU"/>
        </w:rPr>
        <w:t>.</w:t>
      </w:r>
      <w:r w:rsidRPr="00F82C8D">
        <w:rPr>
          <w:lang w:val="en-AU"/>
        </w:rPr>
        <w:t xml:space="preserve"> </w:t>
      </w:r>
      <w:r w:rsidR="0092078A" w:rsidRPr="00F82C8D">
        <w:rPr>
          <w:b/>
          <w:i/>
          <w:sz w:val="20"/>
          <w:lang w:val="en-AU"/>
        </w:rPr>
        <w:t>[</w:t>
      </w:r>
      <w:r w:rsidRPr="00F82C8D">
        <w:rPr>
          <w:b/>
          <w:i/>
          <w:sz w:val="20"/>
          <w:lang w:val="en-AU"/>
        </w:rPr>
        <w:t xml:space="preserve">section </w:t>
      </w:r>
      <w:r w:rsidR="00EE77C3" w:rsidRPr="00F82C8D">
        <w:rPr>
          <w:b/>
          <w:i/>
          <w:sz w:val="20"/>
          <w:lang w:val="en-AU"/>
        </w:rPr>
        <w:t>10</w:t>
      </w:r>
      <w:r w:rsidR="00744E76" w:rsidRPr="00F82C8D">
        <w:rPr>
          <w:b/>
          <w:i/>
          <w:sz w:val="20"/>
          <w:lang w:val="en-AU"/>
        </w:rPr>
        <w:t>]</w:t>
      </w:r>
      <w:r w:rsidRPr="00F82C8D">
        <w:rPr>
          <w:lang w:val="en-AU"/>
        </w:rPr>
        <w:t xml:space="preserve"> </w:t>
      </w:r>
    </w:p>
    <w:p w:rsidR="00C2080F" w:rsidRPr="00F82C8D" w:rsidRDefault="0016764B" w:rsidP="00625D31">
      <w:pPr>
        <w:pStyle w:val="ListParagraph"/>
      </w:pPr>
      <w:r w:rsidRPr="00F82C8D">
        <w:t xml:space="preserve">If a baseline determination is in force for a facility, the baseline emissions number is the number ascertained under that determination. </w:t>
      </w:r>
      <w:r w:rsidR="00ED5814" w:rsidRPr="00F82C8D">
        <w:rPr>
          <w:b/>
          <w:i/>
          <w:sz w:val="20"/>
        </w:rPr>
        <w:t>[paragraph 10</w:t>
      </w:r>
      <w:r w:rsidRPr="00F82C8D">
        <w:rPr>
          <w:b/>
          <w:i/>
          <w:sz w:val="20"/>
        </w:rPr>
        <w:t>(a)]</w:t>
      </w:r>
      <w:r w:rsidR="00C2080F" w:rsidRPr="00F82C8D">
        <w:rPr>
          <w:b/>
          <w:i/>
          <w:sz w:val="20"/>
        </w:rPr>
        <w:t xml:space="preserve"> </w:t>
      </w:r>
      <w:r w:rsidR="00C2080F" w:rsidRPr="00F82C8D">
        <w:t xml:space="preserve">The number must be rounded up or down to the nearest whole number, with numbers </w:t>
      </w:r>
      <w:r w:rsidR="00961062" w:rsidRPr="00F82C8D">
        <w:t xml:space="preserve">ending in ‘.5’ being rounded up. </w:t>
      </w:r>
    </w:p>
    <w:p w:rsidR="0016764B" w:rsidRPr="00F82C8D" w:rsidRDefault="0016764B" w:rsidP="00625D31">
      <w:pPr>
        <w:pStyle w:val="ListParagraph"/>
      </w:pPr>
      <w:r w:rsidRPr="00F82C8D">
        <w:rPr>
          <w:b/>
          <w:i/>
          <w:sz w:val="20"/>
        </w:rPr>
        <w:t xml:space="preserve"> </w:t>
      </w:r>
      <w:bookmarkStart w:id="78" w:name="_Ref426467651"/>
      <w:r w:rsidRPr="00F82C8D">
        <w:t xml:space="preserve">If there is no baseline determination in force, then </w:t>
      </w:r>
      <w:r w:rsidR="00961062" w:rsidRPr="00F82C8D">
        <w:t>a</w:t>
      </w:r>
      <w:r w:rsidRPr="00F82C8D">
        <w:t xml:space="preserve"> facility’s baseline emissions number is 100,000 </w:t>
      </w:r>
      <w:r w:rsidRPr="00F82C8D">
        <w:rPr>
          <w:lang w:val="en-AU"/>
        </w:rPr>
        <w:t>t CO</w:t>
      </w:r>
      <w:r w:rsidR="00E073C6" w:rsidRPr="00F82C8D">
        <w:rPr>
          <w:vertAlign w:val="subscript"/>
          <w:lang w:val="en-AU"/>
        </w:rPr>
        <w:t>2</w:t>
      </w:r>
      <w:r w:rsidR="00E073C6" w:rsidRPr="00F82C8D">
        <w:rPr>
          <w:lang w:val="en-AU"/>
        </w:rPr>
        <w:t>-</w:t>
      </w:r>
      <w:r w:rsidRPr="00F82C8D">
        <w:rPr>
          <w:lang w:val="en-AU"/>
        </w:rPr>
        <w:t>e</w:t>
      </w:r>
      <w:r w:rsidRPr="00F82C8D">
        <w:t xml:space="preserve">. </w:t>
      </w:r>
      <w:r w:rsidR="00ED5814" w:rsidRPr="00F82C8D">
        <w:rPr>
          <w:b/>
          <w:i/>
          <w:sz w:val="20"/>
        </w:rPr>
        <w:t>[paragraph 10</w:t>
      </w:r>
      <w:r w:rsidRPr="00F82C8D">
        <w:rPr>
          <w:b/>
          <w:i/>
          <w:sz w:val="20"/>
        </w:rPr>
        <w:t>(b)]</w:t>
      </w:r>
      <w:bookmarkEnd w:id="78"/>
      <w:r w:rsidRPr="00F82C8D">
        <w:t xml:space="preserve"> </w:t>
      </w:r>
      <w:r w:rsidR="00FE334E" w:rsidRPr="00F82C8D">
        <w:t>This is the same as the designated large facility threshold.</w:t>
      </w:r>
    </w:p>
    <w:p w:rsidR="00326D07" w:rsidRPr="00F82C8D" w:rsidRDefault="00920364" w:rsidP="00625D31">
      <w:pPr>
        <w:pStyle w:val="ListParagraph"/>
        <w:rPr>
          <w:lang w:val="en-AU"/>
        </w:rPr>
      </w:pPr>
      <w:r w:rsidRPr="00F82C8D">
        <w:rPr>
          <w:lang w:val="en-AU"/>
        </w:rPr>
        <w:t xml:space="preserve">In </w:t>
      </w:r>
      <w:r w:rsidR="00425A3A" w:rsidRPr="00F82C8D">
        <w:rPr>
          <w:lang w:val="en-AU"/>
        </w:rPr>
        <w:t xml:space="preserve">an instance that </w:t>
      </w:r>
      <w:r w:rsidR="00C2080F" w:rsidRPr="00F82C8D">
        <w:rPr>
          <w:lang w:val="en-AU"/>
        </w:rPr>
        <w:t>a facility’s</w:t>
      </w:r>
      <w:r w:rsidRPr="00F82C8D">
        <w:rPr>
          <w:lang w:val="en-AU"/>
        </w:rPr>
        <w:t xml:space="preserve"> monitoring period </w:t>
      </w:r>
      <w:r w:rsidR="00425A3A" w:rsidRPr="00F82C8D">
        <w:rPr>
          <w:lang w:val="en-AU"/>
        </w:rPr>
        <w:t>is</w:t>
      </w:r>
      <w:r w:rsidR="00A45859" w:rsidRPr="00F82C8D">
        <w:rPr>
          <w:lang w:val="en-AU"/>
        </w:rPr>
        <w:t xml:space="preserve"> shorter than a</w:t>
      </w:r>
      <w:r w:rsidR="00425A3A" w:rsidRPr="00F82C8D">
        <w:rPr>
          <w:lang w:val="en-AU"/>
        </w:rPr>
        <w:t xml:space="preserve"> financial year, </w:t>
      </w:r>
      <w:r w:rsidR="00FE334E" w:rsidRPr="00F82C8D">
        <w:rPr>
          <w:lang w:val="en-AU"/>
        </w:rPr>
        <w:t>s</w:t>
      </w:r>
      <w:r w:rsidR="00FE334E" w:rsidRPr="00F82C8D">
        <w:t xml:space="preserve">ubsection 22XL(2) of </w:t>
      </w:r>
      <w:r w:rsidR="00425A3A" w:rsidRPr="00F82C8D">
        <w:rPr>
          <w:lang w:val="en-AU"/>
        </w:rPr>
        <w:t xml:space="preserve">the </w:t>
      </w:r>
      <w:r w:rsidRPr="00F82C8D">
        <w:rPr>
          <w:lang w:val="en-AU"/>
        </w:rPr>
        <w:t xml:space="preserve">Act </w:t>
      </w:r>
      <w:r w:rsidR="00326D07" w:rsidRPr="00F82C8D">
        <w:rPr>
          <w:lang w:val="en-AU"/>
        </w:rPr>
        <w:t>sets out that</w:t>
      </w:r>
      <w:r w:rsidRPr="00F82C8D">
        <w:rPr>
          <w:lang w:val="en-AU"/>
        </w:rPr>
        <w:t xml:space="preserve"> the </w:t>
      </w:r>
      <w:r w:rsidR="00326D07" w:rsidRPr="00F82C8D">
        <w:rPr>
          <w:lang w:val="en-AU"/>
        </w:rPr>
        <w:t>baseline emissions number is</w:t>
      </w:r>
      <w:r w:rsidRPr="00F82C8D">
        <w:rPr>
          <w:lang w:val="en-AU"/>
        </w:rPr>
        <w:t xml:space="preserve"> calculated </w:t>
      </w:r>
      <w:r w:rsidR="006E1B5E" w:rsidRPr="00F82C8D">
        <w:rPr>
          <w:lang w:val="en-AU"/>
        </w:rPr>
        <w:t xml:space="preserve">on a pro </w:t>
      </w:r>
      <w:r w:rsidR="00326D07" w:rsidRPr="00F82C8D">
        <w:rPr>
          <w:lang w:val="en-AU"/>
        </w:rPr>
        <w:t>rata basis by:</w:t>
      </w:r>
    </w:p>
    <w:p w:rsidR="00326D07" w:rsidRPr="00F82C8D" w:rsidRDefault="00920364" w:rsidP="002E625A">
      <w:pPr>
        <w:pStyle w:val="ListBullet"/>
      </w:pPr>
      <w:r w:rsidRPr="00F82C8D">
        <w:t>dividing the baseline emissions number by 365</w:t>
      </w:r>
      <w:r w:rsidR="00326D07" w:rsidRPr="00F82C8D">
        <w:t xml:space="preserve"> days</w:t>
      </w:r>
    </w:p>
    <w:p w:rsidR="00DB293E" w:rsidRPr="00F82C8D" w:rsidRDefault="00326D07">
      <w:pPr>
        <w:pStyle w:val="ListBullet"/>
      </w:pPr>
      <w:r w:rsidRPr="00F82C8D">
        <w:t>multiplied</w:t>
      </w:r>
      <w:r w:rsidR="00920364" w:rsidRPr="00F82C8D">
        <w:t xml:space="preserve"> </w:t>
      </w:r>
      <w:r w:rsidRPr="00F82C8D">
        <w:t>by</w:t>
      </w:r>
    </w:p>
    <w:p w:rsidR="00DB293E" w:rsidRPr="00F82C8D" w:rsidRDefault="00920364">
      <w:pPr>
        <w:pStyle w:val="ListBullet"/>
      </w:pPr>
      <w:r w:rsidRPr="00F82C8D">
        <w:t>the number o</w:t>
      </w:r>
      <w:r w:rsidR="00326D07" w:rsidRPr="00F82C8D">
        <w:t>f days in the monitoring period</w:t>
      </w:r>
      <w:r w:rsidR="00FE334E" w:rsidRPr="00F82C8D">
        <w:t>.</w:t>
      </w:r>
    </w:p>
    <w:p w:rsidR="00920364" w:rsidRPr="00F82C8D" w:rsidRDefault="000C3D50" w:rsidP="0051382B">
      <w:pPr>
        <w:pStyle w:val="Quote"/>
      </w:pPr>
      <w:r w:rsidRPr="00F82C8D">
        <w:t xml:space="preserve">For example, </w:t>
      </w:r>
      <w:r w:rsidR="00326D07" w:rsidRPr="00F82C8D">
        <w:t>on</w:t>
      </w:r>
      <w:r w:rsidR="00A45859" w:rsidRPr="00F82C8D">
        <w:t xml:space="preserve"> 30</w:t>
      </w:r>
      <w:r w:rsidR="00326D07" w:rsidRPr="00F82C8D">
        <w:rPr>
          <w:vertAlign w:val="superscript"/>
        </w:rPr>
        <w:t xml:space="preserve"> </w:t>
      </w:r>
      <w:r w:rsidR="00A45859" w:rsidRPr="00F82C8D">
        <w:t xml:space="preserve">January </w:t>
      </w:r>
      <w:r w:rsidR="00920364" w:rsidRPr="00F82C8D">
        <w:t>201</w:t>
      </w:r>
      <w:r w:rsidR="00A45859" w:rsidRPr="00F82C8D">
        <w:t>8</w:t>
      </w:r>
      <w:r w:rsidR="00326D07" w:rsidRPr="00F82C8D">
        <w:t xml:space="preserve"> </w:t>
      </w:r>
      <w:r w:rsidR="00920364" w:rsidRPr="00F82C8D">
        <w:t>a manufacturing facility with a</w:t>
      </w:r>
      <w:r w:rsidR="006A30ED" w:rsidRPr="00F82C8D">
        <w:t xml:space="preserve"> </w:t>
      </w:r>
      <w:r w:rsidR="00920364" w:rsidRPr="00F82C8D">
        <w:t xml:space="preserve">baseline emissions number of 210,000 </w:t>
      </w:r>
      <w:r w:rsidR="00FC6939" w:rsidRPr="00F82C8D">
        <w:t>t</w:t>
      </w:r>
      <w:r w:rsidR="00920364" w:rsidRPr="00F82C8D">
        <w:t xml:space="preserve"> CO</w:t>
      </w:r>
      <w:r w:rsidR="00E073C6" w:rsidRPr="00F82C8D">
        <w:rPr>
          <w:vertAlign w:val="subscript"/>
        </w:rPr>
        <w:t>2</w:t>
      </w:r>
      <w:r w:rsidR="00E073C6" w:rsidRPr="00F82C8D">
        <w:t>-</w:t>
      </w:r>
      <w:r w:rsidR="003D4477" w:rsidRPr="00F82C8D">
        <w:t>e</w:t>
      </w:r>
      <w:r w:rsidR="00920364" w:rsidRPr="00F82C8D">
        <w:t xml:space="preserve"> ceased operation</w:t>
      </w:r>
      <w:r w:rsidR="00A91FB3" w:rsidRPr="00F82C8D">
        <w:t xml:space="preserve"> and the responsible emitter no longer had operational control of the facility</w:t>
      </w:r>
      <w:r w:rsidR="00920364" w:rsidRPr="00F82C8D">
        <w:t xml:space="preserve">. </w:t>
      </w:r>
      <w:r w:rsidR="00326D07" w:rsidRPr="00F82C8D">
        <w:t>The facility’s</w:t>
      </w:r>
      <w:r w:rsidR="00B12CBD" w:rsidRPr="00F82C8D">
        <w:t xml:space="preserve"> monitoring period </w:t>
      </w:r>
      <w:r w:rsidR="00326D07" w:rsidRPr="00F82C8D">
        <w:t>was therefore 214 days during 2017-18. T</w:t>
      </w:r>
      <w:r w:rsidR="00B12CBD" w:rsidRPr="00F82C8D">
        <w:t xml:space="preserve">he Regulator </w:t>
      </w:r>
      <w:r w:rsidR="00326D07" w:rsidRPr="00F82C8D">
        <w:t>calculated</w:t>
      </w:r>
      <w:r w:rsidR="00B12CBD" w:rsidRPr="00F82C8D">
        <w:t xml:space="preserve"> the baseline emissions number for that monitoring period </w:t>
      </w:r>
      <w:r w:rsidR="00326D07" w:rsidRPr="00F82C8D">
        <w:t>as</w:t>
      </w:r>
      <w:r w:rsidR="00B12CBD" w:rsidRPr="00F82C8D">
        <w:t xml:space="preserve"> 210,000</w:t>
      </w:r>
      <w:r w:rsidR="003D4477" w:rsidRPr="00F82C8D">
        <w:t> </w:t>
      </w:r>
      <w:r w:rsidR="00326D07" w:rsidRPr="00F82C8D">
        <w:t xml:space="preserve">t </w:t>
      </w:r>
      <w:r w:rsidR="00B12CBD" w:rsidRPr="00F82C8D">
        <w:t>CO</w:t>
      </w:r>
      <w:r w:rsidR="00E073C6" w:rsidRPr="00F82C8D">
        <w:rPr>
          <w:vertAlign w:val="subscript"/>
        </w:rPr>
        <w:t>2</w:t>
      </w:r>
      <w:r w:rsidR="00E073C6" w:rsidRPr="00F82C8D">
        <w:t>-</w:t>
      </w:r>
      <w:r w:rsidR="002614A0" w:rsidRPr="00F82C8D">
        <w:t>e</w:t>
      </w:r>
      <w:r w:rsidR="00326D07" w:rsidRPr="00F82C8D">
        <w:t xml:space="preserve"> divided by 365 days and</w:t>
      </w:r>
      <w:r w:rsidR="00B12CBD" w:rsidRPr="00F82C8D">
        <w:t xml:space="preserve"> multiplied by 214</w:t>
      </w:r>
      <w:r w:rsidR="00326D07" w:rsidRPr="00F82C8D">
        <w:t xml:space="preserve"> days, equalling 123,123 t CO</w:t>
      </w:r>
      <w:r w:rsidR="00E073C6" w:rsidRPr="00F82C8D">
        <w:rPr>
          <w:vertAlign w:val="subscript"/>
        </w:rPr>
        <w:t>2</w:t>
      </w:r>
      <w:r w:rsidR="00E073C6" w:rsidRPr="00F82C8D">
        <w:t>-</w:t>
      </w:r>
      <w:r w:rsidR="00326D07" w:rsidRPr="00F82C8D">
        <w:t>e</w:t>
      </w:r>
      <w:r w:rsidR="00B12CBD" w:rsidRPr="00F82C8D">
        <w:t xml:space="preserve">. </w:t>
      </w:r>
      <w:r w:rsidR="00326D07" w:rsidRPr="00F82C8D">
        <w:t>The</w:t>
      </w:r>
      <w:r w:rsidR="00920364" w:rsidRPr="00F82C8D">
        <w:t xml:space="preserve"> facility</w:t>
      </w:r>
      <w:r w:rsidR="00256952" w:rsidRPr="00F82C8D">
        <w:t xml:space="preserve"> operator</w:t>
      </w:r>
      <w:r w:rsidR="006A30ED" w:rsidRPr="00F82C8D">
        <w:t xml:space="preserve"> reported</w:t>
      </w:r>
      <w:r w:rsidR="00920364" w:rsidRPr="00F82C8D">
        <w:t xml:space="preserve"> </w:t>
      </w:r>
      <w:r w:rsidR="00A7119D" w:rsidRPr="00F82C8D">
        <w:t>110</w:t>
      </w:r>
      <w:r w:rsidR="006A30ED" w:rsidRPr="00F82C8D">
        <w:t>,000 t </w:t>
      </w:r>
      <w:r w:rsidR="00920364" w:rsidRPr="00F82C8D">
        <w:t>CO</w:t>
      </w:r>
      <w:r w:rsidR="00E073C6" w:rsidRPr="00F82C8D">
        <w:rPr>
          <w:vertAlign w:val="subscript"/>
        </w:rPr>
        <w:t>2</w:t>
      </w:r>
      <w:r w:rsidR="00E073C6" w:rsidRPr="00F82C8D">
        <w:t>-</w:t>
      </w:r>
      <w:r w:rsidR="002614A0" w:rsidRPr="00F82C8D">
        <w:t>e</w:t>
      </w:r>
      <w:r w:rsidR="00920364" w:rsidRPr="00F82C8D">
        <w:t xml:space="preserve"> of covered emissions </w:t>
      </w:r>
      <w:r w:rsidR="006A30ED" w:rsidRPr="00F82C8D">
        <w:t>for</w:t>
      </w:r>
      <w:r w:rsidR="00920364" w:rsidRPr="00F82C8D">
        <w:t xml:space="preserve"> the 2</w:t>
      </w:r>
      <w:r w:rsidR="00A7119D" w:rsidRPr="00F82C8D">
        <w:t>14</w:t>
      </w:r>
      <w:r w:rsidR="007C2047" w:rsidRPr="00F82C8D">
        <w:t xml:space="preserve"> </w:t>
      </w:r>
      <w:r w:rsidR="00920364" w:rsidRPr="00F82C8D">
        <w:t>day monitoring period</w:t>
      </w:r>
      <w:r w:rsidR="00326D07" w:rsidRPr="00F82C8D">
        <w:t>. This was less than the baseline emissions number so there was no excess emissions situation</w:t>
      </w:r>
      <w:r w:rsidR="00920364" w:rsidRPr="00F82C8D">
        <w:t>.</w:t>
      </w:r>
    </w:p>
    <w:p w:rsidR="0031018B" w:rsidRPr="00F82C8D" w:rsidRDefault="0065595C" w:rsidP="00326D07">
      <w:pPr>
        <w:pStyle w:val="Heading2"/>
      </w:pPr>
      <w:bookmarkStart w:id="79" w:name="_Toc426382206"/>
      <w:bookmarkStart w:id="80" w:name="_Toc431975845"/>
      <w:r w:rsidRPr="00F82C8D">
        <w:t>Division 2—</w:t>
      </w:r>
      <w:r w:rsidR="00DE1E4B" w:rsidRPr="00F82C8D">
        <w:t>Baseline determinations</w:t>
      </w:r>
      <w:bookmarkEnd w:id="79"/>
      <w:bookmarkEnd w:id="80"/>
    </w:p>
    <w:p w:rsidR="00C041EE" w:rsidRPr="00F82C8D" w:rsidRDefault="00C041EE" w:rsidP="00505F58">
      <w:pPr>
        <w:pStyle w:val="ListParagraph"/>
      </w:pPr>
      <w:r w:rsidRPr="00F82C8D">
        <w:t xml:space="preserve">Baseline </w:t>
      </w:r>
      <w:r w:rsidR="00893FB8" w:rsidRPr="00F82C8D">
        <w:t>determinations contain</w:t>
      </w:r>
      <w:r w:rsidRPr="00F82C8D">
        <w:t xml:space="preserve"> the baseline emissions number for a </w:t>
      </w:r>
      <w:r w:rsidR="00D037A0" w:rsidRPr="00F82C8D">
        <w:t>designated large facilit</w:t>
      </w:r>
      <w:r w:rsidRPr="00F82C8D">
        <w:t xml:space="preserve">y. </w:t>
      </w:r>
    </w:p>
    <w:p w:rsidR="00C2080F" w:rsidRPr="00F82C8D" w:rsidRDefault="0065595C">
      <w:pPr>
        <w:pStyle w:val="Heading3"/>
      </w:pPr>
      <w:bookmarkStart w:id="81" w:name="_Toc426382207"/>
      <w:r w:rsidRPr="00F82C8D">
        <w:t xml:space="preserve">Subdivision 1: </w:t>
      </w:r>
      <w:r w:rsidR="00C2080F" w:rsidRPr="00F82C8D">
        <w:t>Preliminary</w:t>
      </w:r>
      <w:bookmarkEnd w:id="81"/>
    </w:p>
    <w:p w:rsidR="00C041EE" w:rsidRPr="00F82C8D" w:rsidRDefault="00920364" w:rsidP="00C041EE">
      <w:pPr>
        <w:pStyle w:val="ListParagraph"/>
      </w:pPr>
      <w:r w:rsidRPr="00F82C8D">
        <w:t>Division 2</w:t>
      </w:r>
      <w:r w:rsidR="00E10719" w:rsidRPr="00F82C8D">
        <w:t xml:space="preserve"> of Part 3</w:t>
      </w:r>
      <w:r w:rsidRPr="00F82C8D">
        <w:t xml:space="preserve"> of the </w:t>
      </w:r>
      <w:r w:rsidR="00D360AB" w:rsidRPr="00F82C8D">
        <w:t>safeguard rule</w:t>
      </w:r>
      <w:r w:rsidRPr="00F82C8D">
        <w:t xml:space="preserve"> p</w:t>
      </w:r>
      <w:r w:rsidR="00961062" w:rsidRPr="00F82C8D">
        <w:t>r</w:t>
      </w:r>
      <w:r w:rsidR="00FE334E" w:rsidRPr="00F82C8D">
        <w:t xml:space="preserve">ovides for the making, varying </w:t>
      </w:r>
      <w:r w:rsidRPr="00F82C8D">
        <w:t>and expiry of baseline determinations</w:t>
      </w:r>
      <w:r w:rsidR="000C3D50" w:rsidRPr="00F82C8D">
        <w:t>.</w:t>
      </w:r>
      <w:r w:rsidR="000A7B10" w:rsidRPr="00F82C8D">
        <w:t xml:space="preserve"> </w:t>
      </w:r>
      <w:r w:rsidR="0092078A" w:rsidRPr="00F82C8D">
        <w:rPr>
          <w:b/>
          <w:i/>
          <w:sz w:val="20"/>
        </w:rPr>
        <w:t>[</w:t>
      </w:r>
      <w:r w:rsidR="00961062" w:rsidRPr="00F82C8D">
        <w:rPr>
          <w:b/>
          <w:i/>
          <w:sz w:val="20"/>
        </w:rPr>
        <w:t>section 11</w:t>
      </w:r>
      <w:r w:rsidR="00744E76" w:rsidRPr="00F82C8D">
        <w:rPr>
          <w:b/>
          <w:i/>
          <w:sz w:val="20"/>
        </w:rPr>
        <w:t>]</w:t>
      </w:r>
    </w:p>
    <w:p w:rsidR="00920364" w:rsidRPr="00F82C8D" w:rsidRDefault="0065595C" w:rsidP="00425A3A">
      <w:pPr>
        <w:pStyle w:val="Heading3"/>
      </w:pPr>
      <w:r w:rsidRPr="00F82C8D">
        <w:t xml:space="preserve">Section 12: </w:t>
      </w:r>
      <w:r w:rsidR="00920364" w:rsidRPr="00F82C8D">
        <w:t>Minimum baseline emissions number</w:t>
      </w:r>
    </w:p>
    <w:p w:rsidR="00920364" w:rsidRPr="00F82C8D" w:rsidRDefault="00961062" w:rsidP="00625D31">
      <w:pPr>
        <w:pStyle w:val="ListParagraph"/>
      </w:pPr>
      <w:r w:rsidRPr="00F82C8D">
        <w:t xml:space="preserve">A </w:t>
      </w:r>
      <w:r w:rsidR="00920364" w:rsidRPr="00F82C8D">
        <w:t xml:space="preserve">baseline emissions number </w:t>
      </w:r>
      <w:r w:rsidRPr="00F82C8D">
        <w:t xml:space="preserve">cannot be less than </w:t>
      </w:r>
      <w:r w:rsidR="00920364" w:rsidRPr="00F82C8D">
        <w:t>100,000</w:t>
      </w:r>
      <w:r w:rsidRPr="00F82C8D">
        <w:t xml:space="preserve"> t CO</w:t>
      </w:r>
      <w:r w:rsidR="00E073C6" w:rsidRPr="00F82C8D">
        <w:rPr>
          <w:vertAlign w:val="subscript"/>
        </w:rPr>
        <w:t>2</w:t>
      </w:r>
      <w:r w:rsidR="00E073C6" w:rsidRPr="00F82C8D">
        <w:t>-</w:t>
      </w:r>
      <w:r w:rsidRPr="00F82C8D">
        <w:t>e, which is the</w:t>
      </w:r>
      <w:r w:rsidR="00920364" w:rsidRPr="00F82C8D">
        <w:t xml:space="preserve"> designated large facility threshold.</w:t>
      </w:r>
      <w:r w:rsidRPr="00F82C8D">
        <w:rPr>
          <w:b/>
          <w:i/>
          <w:sz w:val="20"/>
        </w:rPr>
        <w:t xml:space="preserve"> [section 12]</w:t>
      </w:r>
    </w:p>
    <w:p w:rsidR="00920364" w:rsidRPr="00F82C8D" w:rsidRDefault="0065595C" w:rsidP="00961062">
      <w:pPr>
        <w:pStyle w:val="Heading3"/>
      </w:pPr>
      <w:r w:rsidRPr="00F82C8D">
        <w:t xml:space="preserve">Section 13: </w:t>
      </w:r>
      <w:r w:rsidR="00C907BD" w:rsidRPr="00F82C8D">
        <w:t>References to covered emissions</w:t>
      </w:r>
    </w:p>
    <w:p w:rsidR="00920364" w:rsidRPr="00F82C8D" w:rsidRDefault="00920364" w:rsidP="00625D31">
      <w:pPr>
        <w:pStyle w:val="ListParagraph"/>
      </w:pPr>
      <w:r w:rsidRPr="00F82C8D">
        <w:t xml:space="preserve">While Part 2 of the </w:t>
      </w:r>
      <w:r w:rsidR="00D360AB" w:rsidRPr="00F82C8D">
        <w:t>safeguard rule</w:t>
      </w:r>
      <w:r w:rsidRPr="00F82C8D">
        <w:t xml:space="preserve"> specifies the kinds of emissions covered under the safeguard mechanism, </w:t>
      </w:r>
      <w:r w:rsidR="0075366C" w:rsidRPr="00F82C8D">
        <w:t xml:space="preserve">covered emissions </w:t>
      </w:r>
      <w:r w:rsidR="00961062" w:rsidRPr="00F82C8D">
        <w:t xml:space="preserve">have a particular </w:t>
      </w:r>
      <w:r w:rsidR="00893FB8" w:rsidRPr="00F82C8D">
        <w:t>meaning for</w:t>
      </w:r>
      <w:r w:rsidR="00F77F4A" w:rsidRPr="00F82C8D">
        <w:t xml:space="preserve"> the purpose</w:t>
      </w:r>
      <w:r w:rsidRPr="00F82C8D">
        <w:t xml:space="preserve"> of making a baseline determination</w:t>
      </w:r>
      <w:r w:rsidR="00961062" w:rsidRPr="00F82C8D">
        <w:t>.</w:t>
      </w:r>
      <w:r w:rsidRPr="00F82C8D">
        <w:t xml:space="preserve"> </w:t>
      </w:r>
      <w:r w:rsidR="0092078A" w:rsidRPr="00F82C8D">
        <w:rPr>
          <w:b/>
          <w:i/>
          <w:sz w:val="20"/>
        </w:rPr>
        <w:t>[</w:t>
      </w:r>
      <w:r w:rsidR="00961062" w:rsidRPr="00F82C8D">
        <w:rPr>
          <w:b/>
          <w:i/>
          <w:sz w:val="20"/>
        </w:rPr>
        <w:t>section 13</w:t>
      </w:r>
      <w:r w:rsidR="00744E76" w:rsidRPr="00F82C8D">
        <w:rPr>
          <w:b/>
          <w:i/>
          <w:sz w:val="20"/>
        </w:rPr>
        <w:t>]</w:t>
      </w:r>
      <w:r w:rsidRPr="00F82C8D">
        <w:t xml:space="preserve"> </w:t>
      </w:r>
    </w:p>
    <w:p w:rsidR="00920364" w:rsidRPr="00F82C8D" w:rsidRDefault="00A91FB3" w:rsidP="00625D31">
      <w:pPr>
        <w:pStyle w:val="ListParagraph"/>
      </w:pPr>
      <w:r w:rsidRPr="00F82C8D">
        <w:t>It is intended that t</w:t>
      </w:r>
      <w:r w:rsidR="00DD0317" w:rsidRPr="00F82C8D">
        <w:t>he covered emissions for a</w:t>
      </w:r>
      <w:r w:rsidR="00961062" w:rsidRPr="00F82C8D">
        <w:t xml:space="preserve"> facility </w:t>
      </w:r>
      <w:r w:rsidR="00DD0317" w:rsidRPr="00F82C8D">
        <w:t xml:space="preserve">from 1 July 2009 onwards are calculated in </w:t>
      </w:r>
      <w:r w:rsidR="00F77F4A" w:rsidRPr="00F82C8D">
        <w:t xml:space="preserve">accordance with </w:t>
      </w:r>
      <w:r w:rsidR="00961062" w:rsidRPr="00F82C8D">
        <w:t xml:space="preserve">the safeguard rule </w:t>
      </w:r>
      <w:r w:rsidR="00F77F4A" w:rsidRPr="00F82C8D">
        <w:t>for the purposes of making a baseline determination</w:t>
      </w:r>
      <w:r w:rsidR="00DD0317" w:rsidRPr="00F82C8D">
        <w:t xml:space="preserve">. </w:t>
      </w:r>
      <w:r w:rsidR="00920364" w:rsidRPr="00F82C8D">
        <w:t>This enable</w:t>
      </w:r>
      <w:r w:rsidR="00DD0317" w:rsidRPr="00F82C8D">
        <w:t>s</w:t>
      </w:r>
      <w:r w:rsidR="00920364" w:rsidRPr="00F82C8D">
        <w:t xml:space="preserve"> </w:t>
      </w:r>
      <w:r w:rsidR="00DD0317" w:rsidRPr="00F82C8D">
        <w:t>a</w:t>
      </w:r>
      <w:r w:rsidR="00920364" w:rsidRPr="00F82C8D">
        <w:t xml:space="preserve"> baseline emissions number to be derived from </w:t>
      </w:r>
      <w:r w:rsidR="00DC3A3B" w:rsidRPr="00F82C8D">
        <w:t>the</w:t>
      </w:r>
      <w:r w:rsidR="00920364" w:rsidRPr="00F82C8D">
        <w:t xml:space="preserve"> </w:t>
      </w:r>
      <w:r w:rsidR="00DD0317" w:rsidRPr="00F82C8D">
        <w:t>covered emissions</w:t>
      </w:r>
      <w:r w:rsidR="00DC3A3B" w:rsidRPr="00F82C8D">
        <w:t xml:space="preserve"> emitted in a historic year</w:t>
      </w:r>
      <w:r w:rsidR="00920364" w:rsidRPr="00F82C8D">
        <w:t>.</w:t>
      </w:r>
    </w:p>
    <w:p w:rsidR="00920364" w:rsidRPr="00F82C8D" w:rsidRDefault="00DD0317" w:rsidP="00DD0317">
      <w:pPr>
        <w:pStyle w:val="Heading4"/>
      </w:pPr>
      <w:r w:rsidRPr="00F82C8D">
        <w:t>Covered emissions</w:t>
      </w:r>
      <w:r w:rsidR="00920364" w:rsidRPr="00F82C8D">
        <w:t xml:space="preserve"> </w:t>
      </w:r>
      <w:r w:rsidR="00316A9A" w:rsidRPr="00F82C8D">
        <w:t>for</w:t>
      </w:r>
      <w:r w:rsidR="00920364" w:rsidRPr="00F82C8D">
        <w:t xml:space="preserve"> electricity generators</w:t>
      </w:r>
    </w:p>
    <w:p w:rsidR="00F77F4A" w:rsidRPr="00F82C8D" w:rsidRDefault="00667469" w:rsidP="00625D31">
      <w:pPr>
        <w:pStyle w:val="ListParagraph"/>
      </w:pPr>
      <w:r w:rsidRPr="00F82C8D">
        <w:t>T</w:t>
      </w:r>
      <w:r w:rsidR="00417EB4" w:rsidRPr="00F82C8D">
        <w:t xml:space="preserve">he </w:t>
      </w:r>
      <w:r w:rsidR="00E72B75" w:rsidRPr="00F82C8D">
        <w:t xml:space="preserve">covered </w:t>
      </w:r>
      <w:r w:rsidR="00417EB4" w:rsidRPr="00F82C8D">
        <w:t xml:space="preserve">emissions of </w:t>
      </w:r>
      <w:r w:rsidR="006E404C" w:rsidRPr="00F82C8D">
        <w:t xml:space="preserve">an </w:t>
      </w:r>
      <w:r w:rsidR="00417EB4" w:rsidRPr="00F82C8D">
        <w:t xml:space="preserve">individual electricity generator </w:t>
      </w:r>
      <w:r w:rsidR="006E404C" w:rsidRPr="00F82C8D">
        <w:t xml:space="preserve">that </w:t>
      </w:r>
      <w:r w:rsidR="00A37B97" w:rsidRPr="00F82C8D">
        <w:t>is a</w:t>
      </w:r>
      <w:r w:rsidR="006E404C" w:rsidRPr="00F82C8D">
        <w:t xml:space="preserve"> designated large facility </w:t>
      </w:r>
      <w:r w:rsidR="00417EB4" w:rsidRPr="00F82C8D">
        <w:t xml:space="preserve">will be considered covered emissions </w:t>
      </w:r>
      <w:r w:rsidRPr="00F82C8D">
        <w:t xml:space="preserve">for the purposes of making a baseline determination </w:t>
      </w:r>
      <w:r w:rsidR="00417EB4" w:rsidRPr="00F82C8D">
        <w:t xml:space="preserve">if the financial </w:t>
      </w:r>
      <w:r w:rsidR="00962A1C" w:rsidRPr="00F82C8D">
        <w:t xml:space="preserve">year is not a </w:t>
      </w:r>
      <w:r w:rsidR="000B0CF6" w:rsidRPr="00F82C8D">
        <w:t>sectoral</w:t>
      </w:r>
      <w:r w:rsidR="00962A1C" w:rsidRPr="00F82C8D">
        <w:t>-baseline financial year</w:t>
      </w:r>
      <w:r w:rsidR="001468BD" w:rsidRPr="00F82C8D">
        <w:t xml:space="preserve"> (see </w:t>
      </w:r>
      <w:fldSimple w:instr=" REF _Ref426547590 \h  \* MERGEFORMAT ">
        <w:r w:rsidR="00F16B1F" w:rsidRPr="00F16B1F">
          <w:rPr>
            <w:i/>
          </w:rPr>
          <w:t>Coverage of grid-connected electricity generators</w:t>
        </w:r>
      </w:fldSimple>
      <w:r w:rsidR="001468BD" w:rsidRPr="00F82C8D">
        <w:t xml:space="preserve"> section on page </w:t>
      </w:r>
      <w:r w:rsidR="00744D5E" w:rsidRPr="00F82C8D">
        <w:fldChar w:fldCharType="begin"/>
      </w:r>
      <w:r w:rsidR="001468BD" w:rsidRPr="00F82C8D">
        <w:instrText xml:space="preserve"> PAGEREF _Ref426547590 \h </w:instrText>
      </w:r>
      <w:r w:rsidR="00744D5E" w:rsidRPr="00F82C8D">
        <w:fldChar w:fldCharType="separate"/>
      </w:r>
      <w:r w:rsidR="00F16B1F">
        <w:rPr>
          <w:noProof/>
        </w:rPr>
        <w:t>34</w:t>
      </w:r>
      <w:r w:rsidR="00744D5E" w:rsidRPr="00F82C8D">
        <w:fldChar w:fldCharType="end"/>
      </w:r>
      <w:r w:rsidR="00417EB4" w:rsidRPr="00F82C8D">
        <w:t xml:space="preserve"> </w:t>
      </w:r>
      <w:r w:rsidR="001468BD" w:rsidRPr="00F82C8D">
        <w:t>of</w:t>
      </w:r>
      <w:r w:rsidR="004C00A9" w:rsidRPr="00F82C8D">
        <w:t xml:space="preserve"> the</w:t>
      </w:r>
      <w:r w:rsidR="00F37DA6" w:rsidRPr="00F82C8D">
        <w:t xml:space="preserve"> </w:t>
      </w:r>
      <w:r w:rsidR="00D360AB" w:rsidRPr="00F82C8D">
        <w:t>Exp</w:t>
      </w:r>
      <w:r w:rsidR="001E5FAA" w:rsidRPr="00F82C8D">
        <w:t>lanatory Statement</w:t>
      </w:r>
      <w:r w:rsidR="001468BD" w:rsidRPr="00F82C8D">
        <w:t xml:space="preserve">). </w:t>
      </w:r>
      <w:r w:rsidR="0092078A" w:rsidRPr="00F82C8D">
        <w:rPr>
          <w:b/>
          <w:i/>
          <w:sz w:val="20"/>
        </w:rPr>
        <w:t>[</w:t>
      </w:r>
      <w:r w:rsidR="00DC3A3B" w:rsidRPr="00F82C8D">
        <w:rPr>
          <w:b/>
          <w:i/>
          <w:sz w:val="20"/>
        </w:rPr>
        <w:t>paragraph 13</w:t>
      </w:r>
      <w:r w:rsidR="00417EB4" w:rsidRPr="00F82C8D">
        <w:rPr>
          <w:b/>
          <w:i/>
          <w:sz w:val="20"/>
        </w:rPr>
        <w:t>(a)</w:t>
      </w:r>
      <w:r w:rsidR="0092078A" w:rsidRPr="00F82C8D">
        <w:rPr>
          <w:b/>
          <w:i/>
          <w:sz w:val="20"/>
        </w:rPr>
        <w:t>]</w:t>
      </w:r>
      <w:r w:rsidR="000A7B10" w:rsidRPr="00F82C8D">
        <w:t xml:space="preserve"> </w:t>
      </w:r>
      <w:r w:rsidR="001D71A7" w:rsidRPr="00F82C8D">
        <w:t xml:space="preserve">This </w:t>
      </w:r>
      <w:r w:rsidR="0062312F" w:rsidRPr="00F82C8D">
        <w:t xml:space="preserve">ensures that baseline determinations can be made and varied for grid-connected electricity generators in advance of the </w:t>
      </w:r>
      <w:r w:rsidR="008322CE" w:rsidRPr="00F82C8D">
        <w:t>sectoral-baseline</w:t>
      </w:r>
      <w:r w:rsidR="0062312F" w:rsidRPr="00F82C8D">
        <w:t xml:space="preserve"> being </w:t>
      </w:r>
      <w:r w:rsidR="009675EE" w:rsidRPr="00F82C8D">
        <w:t>exceed</w:t>
      </w:r>
      <w:r w:rsidR="0062312F" w:rsidRPr="00F82C8D">
        <w:t>ed.</w:t>
      </w:r>
    </w:p>
    <w:p w:rsidR="00920364" w:rsidRPr="00F82C8D" w:rsidRDefault="00DD0317" w:rsidP="00DD0317">
      <w:pPr>
        <w:pStyle w:val="Heading4"/>
        <w:rPr>
          <w:lang w:val="en-AU"/>
        </w:rPr>
      </w:pPr>
      <w:r w:rsidRPr="00F82C8D">
        <w:rPr>
          <w:lang w:val="en-AU"/>
        </w:rPr>
        <w:t>Covered emissions for landfill</w:t>
      </w:r>
      <w:r w:rsidR="00920364" w:rsidRPr="00F82C8D">
        <w:rPr>
          <w:lang w:val="en-AU"/>
        </w:rPr>
        <w:t xml:space="preserve"> facilities</w:t>
      </w:r>
    </w:p>
    <w:p w:rsidR="00377EE6" w:rsidRPr="00F82C8D" w:rsidRDefault="00920364" w:rsidP="00625D31">
      <w:pPr>
        <w:pStyle w:val="ListParagraph"/>
        <w:rPr>
          <w:lang w:val="en-AU"/>
        </w:rPr>
      </w:pPr>
      <w:r w:rsidRPr="00F82C8D">
        <w:t xml:space="preserve">Legacy emissions from the operation of a landfill facility </w:t>
      </w:r>
      <w:r w:rsidR="00DD0317" w:rsidRPr="00F82C8D">
        <w:t>are</w:t>
      </w:r>
      <w:r w:rsidRPr="00F82C8D">
        <w:t xml:space="preserve"> considered covered emissions for the purposes of making</w:t>
      </w:r>
      <w:r w:rsidR="00DC3A3B" w:rsidRPr="00F82C8D">
        <w:t xml:space="preserve"> any</w:t>
      </w:r>
      <w:r w:rsidRPr="00F82C8D">
        <w:t xml:space="preserve"> baseline determination</w:t>
      </w:r>
      <w:r w:rsidR="00962F2E" w:rsidRPr="00F82C8D">
        <w:t xml:space="preserve"> that is not a landfill-</w:t>
      </w:r>
      <w:r w:rsidR="00FE334E" w:rsidRPr="00F82C8D">
        <w:t xml:space="preserve">benchmark baseline determination (this type of baseline determination is set out in subdivision 7 of the </w:t>
      </w:r>
      <w:r w:rsidR="00D360AB" w:rsidRPr="00F82C8D">
        <w:t>safeguard rule</w:t>
      </w:r>
      <w:r w:rsidR="00FE334E" w:rsidRPr="00F82C8D">
        <w:t>)</w:t>
      </w:r>
      <w:r w:rsidR="00962F2E" w:rsidRPr="00F82C8D">
        <w:t>.</w:t>
      </w:r>
      <w:r w:rsidRPr="00F82C8D">
        <w:t xml:space="preserve"> </w:t>
      </w:r>
      <w:r w:rsidR="0092078A" w:rsidRPr="00F82C8D">
        <w:rPr>
          <w:b/>
          <w:i/>
          <w:sz w:val="20"/>
        </w:rPr>
        <w:t>[</w:t>
      </w:r>
      <w:r w:rsidR="00BD6EB7" w:rsidRPr="00F82C8D">
        <w:rPr>
          <w:b/>
          <w:i/>
          <w:sz w:val="20"/>
        </w:rPr>
        <w:t>paragraph</w:t>
      </w:r>
      <w:r w:rsidR="00DC3A3B" w:rsidRPr="00F82C8D">
        <w:rPr>
          <w:b/>
          <w:i/>
          <w:sz w:val="20"/>
        </w:rPr>
        <w:t> 13(b</w:t>
      </w:r>
      <w:r w:rsidRPr="00F82C8D">
        <w:rPr>
          <w:b/>
          <w:i/>
          <w:sz w:val="20"/>
        </w:rPr>
        <w:t>)</w:t>
      </w:r>
      <w:r w:rsidR="00744E76" w:rsidRPr="00F82C8D">
        <w:rPr>
          <w:b/>
          <w:i/>
          <w:sz w:val="20"/>
        </w:rPr>
        <w:t>]</w:t>
      </w:r>
      <w:r w:rsidRPr="00F82C8D">
        <w:t xml:space="preserve"> </w:t>
      </w:r>
      <w:r w:rsidR="00DC3A3B" w:rsidRPr="00F82C8D">
        <w:t>For a reported-emissions baseline determination, this provision</w:t>
      </w:r>
      <w:r w:rsidRPr="00F82C8D">
        <w:t xml:space="preserve"> enable</w:t>
      </w:r>
      <w:r w:rsidR="00962F2E" w:rsidRPr="00F82C8D">
        <w:t>s</w:t>
      </w:r>
      <w:r w:rsidRPr="00F82C8D">
        <w:t xml:space="preserve"> the </w:t>
      </w:r>
      <w:r w:rsidR="00DC3A3B" w:rsidRPr="00F82C8D">
        <w:t xml:space="preserve">baseline emissions number to be </w:t>
      </w:r>
      <w:r w:rsidR="00FE334E" w:rsidRPr="00F82C8D">
        <w:t>ascertained from</w:t>
      </w:r>
      <w:r w:rsidR="00DC3A3B" w:rsidRPr="00F82C8D">
        <w:t xml:space="preserve"> the emissions of all waste accepted at the facility, not distinguishing legacy and non-legacy emissions.</w:t>
      </w:r>
    </w:p>
    <w:p w:rsidR="00374AB0" w:rsidRPr="00F82C8D" w:rsidRDefault="00374AB0" w:rsidP="00374AB0">
      <w:pPr>
        <w:pStyle w:val="Quote"/>
      </w:pPr>
      <w:r w:rsidRPr="00F82C8D">
        <w:t>For example, from 2009-10 to 2013-14 (the historical baseline period), a landfill operator reported its landfill facility’s greenhouse gas emissions under the Act. Over that period the facility’s emissions peaked in the year 2013-14 at 600,000 t CO</w:t>
      </w:r>
      <w:r w:rsidRPr="00F82C8D">
        <w:rPr>
          <w:vertAlign w:val="subscript"/>
        </w:rPr>
        <w:t>2</w:t>
      </w:r>
      <w:r w:rsidRPr="00F82C8D">
        <w:t>-e, which became the facility’s baseline emissions number. In 2016-17, the first year of the sa</w:t>
      </w:r>
      <w:r w:rsidR="00256952" w:rsidRPr="00F82C8D">
        <w:t xml:space="preserve">feguard mechanism, the facility operator </w:t>
      </w:r>
      <w:r w:rsidRPr="00F82C8D">
        <w:t>reported total greenhouse gas emissions of 700,000 t CO</w:t>
      </w:r>
      <w:r w:rsidRPr="00F82C8D">
        <w:rPr>
          <w:vertAlign w:val="subscript"/>
        </w:rPr>
        <w:t>2</w:t>
      </w:r>
      <w:r w:rsidRPr="00F82C8D">
        <w:t>-e. However, the model used to estimate emissions showed that the new waste received by the facility in 2016</w:t>
      </w:r>
      <w:r w:rsidRPr="00F82C8D">
        <w:noBreakHyphen/>
        <w:t xml:space="preserve">17 had not yet begun to generate emissions, and therefore covered emissions from 2016-17 were recorded as zero. The next financial year in 2017-18, the facility </w:t>
      </w:r>
      <w:r w:rsidR="00256952" w:rsidRPr="00F82C8D">
        <w:t xml:space="preserve">operator </w:t>
      </w:r>
      <w:r w:rsidRPr="00F82C8D">
        <w:t>reported total emissions of 850,000 t CO</w:t>
      </w:r>
      <w:r w:rsidRPr="00F82C8D">
        <w:rPr>
          <w:vertAlign w:val="subscript"/>
        </w:rPr>
        <w:t>2</w:t>
      </w:r>
      <w:r w:rsidRPr="00F82C8D">
        <w:t xml:space="preserve">-e, 150,000 of which were covered emissions attributed to waste received after 1 July 2016. </w:t>
      </w:r>
    </w:p>
    <w:p w:rsidR="00374AB0" w:rsidRPr="00F82C8D" w:rsidRDefault="00374AB0" w:rsidP="00374AB0">
      <w:pPr>
        <w:pStyle w:val="Quote"/>
      </w:pPr>
      <w:r w:rsidRPr="00F82C8D">
        <w:t>In 2016-17, the facility had no covered emissions so the landfill operator had no obligations under the safeguard mechanism in that year. In 2017-18, with emissions from waste deposited after 1 July 2016 reported as 150,000 t CO</w:t>
      </w:r>
      <w:r w:rsidRPr="00F82C8D">
        <w:rPr>
          <w:vertAlign w:val="subscript"/>
        </w:rPr>
        <w:t>2</w:t>
      </w:r>
      <w:r w:rsidRPr="00F82C8D">
        <w:t>-e, the facility was covered by the safeguard mechanism.</w:t>
      </w:r>
    </w:p>
    <w:p w:rsidR="007073B3" w:rsidRPr="00F82C8D" w:rsidRDefault="0065595C" w:rsidP="007073B3">
      <w:pPr>
        <w:pStyle w:val="Heading2"/>
      </w:pPr>
      <w:bookmarkStart w:id="82" w:name="_Toc426382208"/>
      <w:bookmarkStart w:id="83" w:name="_Toc431975846"/>
      <w:bookmarkStart w:id="84" w:name="_Ref426358724"/>
      <w:r w:rsidRPr="00F82C8D">
        <w:t>Subdivision 2—</w:t>
      </w:r>
      <w:r w:rsidR="007073B3" w:rsidRPr="00F82C8D">
        <w:t xml:space="preserve">Reported-emissions </w:t>
      </w:r>
      <w:bookmarkStart w:id="85" w:name="_Toc426280919"/>
      <w:r w:rsidR="007073B3" w:rsidRPr="00F82C8D">
        <w:t>baseline determinations</w:t>
      </w:r>
      <w:bookmarkEnd w:id="82"/>
      <w:bookmarkEnd w:id="83"/>
      <w:bookmarkEnd w:id="85"/>
    </w:p>
    <w:p w:rsidR="007073B3" w:rsidRPr="00F82C8D" w:rsidRDefault="007073B3" w:rsidP="00625D31">
      <w:pPr>
        <w:pStyle w:val="ListParagraph"/>
        <w:rPr>
          <w:i/>
          <w:lang w:val="en-AU"/>
        </w:rPr>
      </w:pPr>
      <w:r w:rsidRPr="00F82C8D">
        <w:rPr>
          <w:lang w:val="en-AU"/>
        </w:rPr>
        <w:t xml:space="preserve">A reported-emissions baseline determination has a baseline emissions number that is ascertained from the covered emissions emitted from a facility in a financial year between 2009-10 and 2013-14. </w:t>
      </w:r>
      <w:r w:rsidRPr="00F82C8D">
        <w:rPr>
          <w:i/>
          <w:lang w:val="en-AU"/>
        </w:rPr>
        <w:t>[</w:t>
      </w:r>
      <w:r w:rsidRPr="00F82C8D">
        <w:rPr>
          <w:b/>
          <w:i/>
          <w:sz w:val="20"/>
          <w:lang w:val="en-AU"/>
        </w:rPr>
        <w:t>subsections 14(1)</w:t>
      </w:r>
      <w:r w:rsidRPr="00F82C8D">
        <w:rPr>
          <w:i/>
          <w:lang w:val="en-AU"/>
        </w:rPr>
        <w:t>]</w:t>
      </w:r>
    </w:p>
    <w:p w:rsidR="00D36EA6" w:rsidRPr="00F82C8D" w:rsidRDefault="00680B38" w:rsidP="00625D31">
      <w:pPr>
        <w:pStyle w:val="ListParagraph"/>
      </w:pPr>
      <w:r w:rsidRPr="00F82C8D">
        <w:rPr>
          <w:lang w:val="en-AU"/>
        </w:rPr>
        <w:t xml:space="preserve">This type of baseline determination </w:t>
      </w:r>
      <w:r w:rsidR="00AA22E2" w:rsidRPr="00F82C8D">
        <w:rPr>
          <w:lang w:val="en-AU"/>
        </w:rPr>
        <w:t xml:space="preserve">applies to existing facilities. </w:t>
      </w:r>
      <w:r w:rsidR="00893FB8" w:rsidRPr="00F82C8D">
        <w:rPr>
          <w:lang w:val="en-AU"/>
        </w:rPr>
        <w:t xml:space="preserve">A facility with a reported-emissions baseline determination would </w:t>
      </w:r>
      <w:r w:rsidR="00893FB8" w:rsidRPr="00F82C8D">
        <w:t>have emissions reported under the Act for at least one of the financial</w:t>
      </w:r>
      <w:r w:rsidR="00893FB8" w:rsidRPr="00F82C8D">
        <w:rPr>
          <w:lang w:val="en-AU"/>
        </w:rPr>
        <w:t xml:space="preserve"> years from 2009-10 to 2013</w:t>
      </w:r>
      <w:r w:rsidR="00893FB8" w:rsidRPr="00F82C8D">
        <w:rPr>
          <w:lang w:val="en-AU"/>
        </w:rPr>
        <w:noBreakHyphen/>
        <w:t>14.</w:t>
      </w:r>
      <w:r w:rsidR="000A7B10" w:rsidRPr="00F82C8D">
        <w:rPr>
          <w:lang w:val="en-AU"/>
        </w:rPr>
        <w:t xml:space="preserve"> </w:t>
      </w:r>
      <w:r w:rsidR="00B66A94" w:rsidRPr="00F82C8D">
        <w:rPr>
          <w:lang w:val="en-AU"/>
        </w:rPr>
        <w:t>A reported-emissions baseline determination is</w:t>
      </w:r>
      <w:r w:rsidR="003D4477" w:rsidRPr="00F82C8D">
        <w:rPr>
          <w:lang w:val="en-AU"/>
        </w:rPr>
        <w:t xml:space="preserve"> generally</w:t>
      </w:r>
      <w:r w:rsidR="00B66A94" w:rsidRPr="00F82C8D">
        <w:rPr>
          <w:lang w:val="en-AU"/>
        </w:rPr>
        <w:t xml:space="preserve"> made by the Regulator </w:t>
      </w:r>
      <w:r w:rsidR="002D213E" w:rsidRPr="00F82C8D">
        <w:rPr>
          <w:lang w:val="en-AU"/>
        </w:rPr>
        <w:t xml:space="preserve">with no need for the responsible emitter to make an application, </w:t>
      </w:r>
      <w:r w:rsidR="00B66A94" w:rsidRPr="00F82C8D">
        <w:rPr>
          <w:lang w:val="en-AU"/>
        </w:rPr>
        <w:t xml:space="preserve">and does not </w:t>
      </w:r>
      <w:r w:rsidR="00893FB8" w:rsidRPr="00F82C8D">
        <w:rPr>
          <w:lang w:val="en-AU"/>
        </w:rPr>
        <w:t>expire</w:t>
      </w:r>
      <w:r w:rsidR="00B66A94" w:rsidRPr="00F82C8D">
        <w:rPr>
          <w:lang w:val="en-AU"/>
        </w:rPr>
        <w:t>, meaning that it will continue to apply unless replaced by another baseline determination.</w:t>
      </w:r>
    </w:p>
    <w:p w:rsidR="006903B0" w:rsidRPr="00F82C8D" w:rsidRDefault="00436726">
      <w:pPr>
        <w:pStyle w:val="Heading3"/>
      </w:pPr>
      <w:bookmarkStart w:id="86" w:name="_Ref427660562"/>
      <w:r w:rsidRPr="00F82C8D">
        <w:t>Section 14: Reported-emissions baseline determination</w:t>
      </w:r>
      <w:bookmarkEnd w:id="86"/>
    </w:p>
    <w:p w:rsidR="007073B3" w:rsidRPr="00F82C8D" w:rsidRDefault="007073B3" w:rsidP="00625D31">
      <w:pPr>
        <w:pStyle w:val="ListParagraph"/>
        <w:rPr>
          <w:lang w:val="en-AU"/>
        </w:rPr>
      </w:pPr>
      <w:bookmarkStart w:id="87" w:name="_Ref426467157"/>
      <w:r w:rsidRPr="00F82C8D">
        <w:rPr>
          <w:lang w:val="en-AU"/>
        </w:rPr>
        <w:t>The Regulator must make a reported-emissions baseline determination for a facility in each of the following three circumstances:</w:t>
      </w:r>
      <w:bookmarkEnd w:id="87"/>
    </w:p>
    <w:p w:rsidR="007073B3" w:rsidRPr="00F82C8D" w:rsidRDefault="007073B3" w:rsidP="002E625A">
      <w:pPr>
        <w:pStyle w:val="ListBullet"/>
      </w:pPr>
      <w:r w:rsidRPr="00F82C8D">
        <w:t>A facility</w:t>
      </w:r>
      <w:r w:rsidR="00256952" w:rsidRPr="00F82C8D">
        <w:t xml:space="preserve"> operator</w:t>
      </w:r>
      <w:r w:rsidRPr="00F82C8D">
        <w:t xml:space="preserve"> reported its emissions under the Act in each of the five financial years from 2009</w:t>
      </w:r>
      <w:r w:rsidRPr="00F82C8D">
        <w:noBreakHyphen/>
        <w:t xml:space="preserve">10 </w:t>
      </w:r>
      <w:r w:rsidR="00021AAE" w:rsidRPr="00F82C8D">
        <w:t>to</w:t>
      </w:r>
      <w:r w:rsidRPr="00F82C8D">
        <w:t xml:space="preserve"> 2013</w:t>
      </w:r>
      <w:r w:rsidRPr="00F82C8D">
        <w:noBreakHyphen/>
        <w:t xml:space="preserve">14 and the covered </w:t>
      </w:r>
      <w:r w:rsidR="002D213E" w:rsidRPr="00F82C8D">
        <w:t xml:space="preserve">emissions </w:t>
      </w:r>
      <w:r w:rsidRPr="00F82C8D">
        <w:t xml:space="preserve">in one or more of these years </w:t>
      </w:r>
      <w:r w:rsidR="00021AAE" w:rsidRPr="00F82C8D">
        <w:t>were</w:t>
      </w:r>
      <w:r w:rsidRPr="00F82C8D">
        <w:t xml:space="preserve"> more than 100,000 t CO</w:t>
      </w:r>
      <w:r w:rsidR="00E073C6" w:rsidRPr="00F82C8D">
        <w:rPr>
          <w:vertAlign w:val="subscript"/>
        </w:rPr>
        <w:t>2</w:t>
      </w:r>
      <w:r w:rsidR="00E073C6" w:rsidRPr="00F82C8D">
        <w:t>-</w:t>
      </w:r>
      <w:r w:rsidRPr="00F82C8D">
        <w:t>e.</w:t>
      </w:r>
      <w:r w:rsidR="000A7B10" w:rsidRPr="00F82C8D">
        <w:t xml:space="preserve"> </w:t>
      </w:r>
      <w:r w:rsidRPr="00F82C8D">
        <w:t>The baseline emissions number for such a facility is the highest amount of covered emissions emitted in a financial year within this period (2009</w:t>
      </w:r>
      <w:r w:rsidRPr="00F82C8D">
        <w:noBreakHyphen/>
        <w:t>10 to 2013</w:t>
      </w:r>
      <w:r w:rsidRPr="00F82C8D">
        <w:noBreakHyphen/>
        <w:t xml:space="preserve">14). </w:t>
      </w:r>
      <w:r w:rsidRPr="00F82C8D">
        <w:rPr>
          <w:b/>
          <w:i/>
          <w:sz w:val="20"/>
        </w:rPr>
        <w:t xml:space="preserve">[paragraph 14(1)(a) </w:t>
      </w:r>
      <w:r w:rsidR="007329DC" w:rsidRPr="00F82C8D">
        <w:rPr>
          <w:rStyle w:val="Emphasis"/>
        </w:rPr>
        <w:t>and</w:t>
      </w:r>
      <w:r w:rsidRPr="00F82C8D">
        <w:t xml:space="preserve"> </w:t>
      </w:r>
      <w:r w:rsidRPr="00F82C8D">
        <w:rPr>
          <w:b/>
          <w:i/>
          <w:sz w:val="20"/>
        </w:rPr>
        <w:t>subsection 17(1)]</w:t>
      </w:r>
    </w:p>
    <w:p w:rsidR="007073B3" w:rsidRPr="00F82C8D" w:rsidRDefault="00893FB8" w:rsidP="0051382B">
      <w:pPr>
        <w:pStyle w:val="Quote"/>
      </w:pPr>
      <w:r w:rsidRPr="00F82C8D">
        <w:t xml:space="preserve">For example, a facility’s covered </w:t>
      </w:r>
      <w:r w:rsidR="002D213E" w:rsidRPr="00F82C8D">
        <w:t xml:space="preserve">emissions </w:t>
      </w:r>
      <w:r w:rsidRPr="00F82C8D">
        <w:t>were 200,000 t CO</w:t>
      </w:r>
      <w:r w:rsidR="00E073C6" w:rsidRPr="00F82C8D">
        <w:rPr>
          <w:vertAlign w:val="subscript"/>
        </w:rPr>
        <w:t>2</w:t>
      </w:r>
      <w:r w:rsidR="00E073C6" w:rsidRPr="00F82C8D">
        <w:t>-</w:t>
      </w:r>
      <w:r w:rsidRPr="00F82C8D">
        <w:t>e in 2009</w:t>
      </w:r>
      <w:r w:rsidRPr="00F82C8D">
        <w:noBreakHyphen/>
        <w:t>10 and 220,000, 210,000, 190,000 and 205,000 t CO</w:t>
      </w:r>
      <w:r w:rsidR="00E073C6" w:rsidRPr="00F82C8D">
        <w:rPr>
          <w:vertAlign w:val="subscript"/>
        </w:rPr>
        <w:t>2</w:t>
      </w:r>
      <w:r w:rsidR="00E073C6" w:rsidRPr="00F82C8D">
        <w:t>-</w:t>
      </w:r>
      <w:r w:rsidRPr="00F82C8D">
        <w:t xml:space="preserve">e in the </w:t>
      </w:r>
      <w:r w:rsidR="00256952" w:rsidRPr="00F82C8D">
        <w:t>following years</w:t>
      </w:r>
      <w:r w:rsidRPr="00F82C8D">
        <w:t xml:space="preserve">. </w:t>
      </w:r>
      <w:r w:rsidR="007073B3" w:rsidRPr="00F82C8D">
        <w:t>The baseline emissions number for the facility is the highest of these values, equalling 220,000 t CO</w:t>
      </w:r>
      <w:r w:rsidR="00E073C6" w:rsidRPr="00F82C8D">
        <w:rPr>
          <w:vertAlign w:val="subscript"/>
        </w:rPr>
        <w:t>2</w:t>
      </w:r>
      <w:r w:rsidR="00E073C6" w:rsidRPr="00F82C8D">
        <w:t>-</w:t>
      </w:r>
      <w:r w:rsidR="007073B3" w:rsidRPr="00F82C8D">
        <w:t>e.</w:t>
      </w:r>
    </w:p>
    <w:p w:rsidR="007073B3" w:rsidRPr="00F82C8D" w:rsidRDefault="007073B3" w:rsidP="002E625A">
      <w:pPr>
        <w:pStyle w:val="ListBullet"/>
      </w:pPr>
      <w:r w:rsidRPr="00F82C8D">
        <w:t xml:space="preserve">A facility </w:t>
      </w:r>
      <w:r w:rsidR="00256952" w:rsidRPr="00F82C8D">
        <w:t xml:space="preserve">operator </w:t>
      </w:r>
      <w:r w:rsidRPr="00F82C8D">
        <w:t>reported its emissions under the Act in at least three of the five financial years from 2009</w:t>
      </w:r>
      <w:r w:rsidRPr="00F82C8D">
        <w:noBreakHyphen/>
        <w:t xml:space="preserve">10 </w:t>
      </w:r>
      <w:r w:rsidR="00BF5045" w:rsidRPr="00F82C8D">
        <w:t>to</w:t>
      </w:r>
      <w:r w:rsidRPr="00F82C8D">
        <w:t xml:space="preserve"> 2013</w:t>
      </w:r>
      <w:r w:rsidRPr="00F82C8D">
        <w:noBreakHyphen/>
        <w:t xml:space="preserve">14 and the covered </w:t>
      </w:r>
      <w:r w:rsidR="002D213E" w:rsidRPr="00F82C8D">
        <w:t xml:space="preserve">emissions </w:t>
      </w:r>
      <w:r w:rsidR="003D4477" w:rsidRPr="00F82C8D">
        <w:t>in all</w:t>
      </w:r>
      <w:r w:rsidRPr="00F82C8D">
        <w:t xml:space="preserve"> three of these years </w:t>
      </w:r>
      <w:r w:rsidR="00BF5045" w:rsidRPr="00F82C8D">
        <w:t>were</w:t>
      </w:r>
      <w:r w:rsidRPr="00F82C8D">
        <w:t xml:space="preserve"> more than 100,000 t CO</w:t>
      </w:r>
      <w:r w:rsidR="00E073C6" w:rsidRPr="00F82C8D">
        <w:rPr>
          <w:vertAlign w:val="subscript"/>
        </w:rPr>
        <w:t>2</w:t>
      </w:r>
      <w:r w:rsidR="00E073C6" w:rsidRPr="00F82C8D">
        <w:t>-</w:t>
      </w:r>
      <w:r w:rsidRPr="00F82C8D">
        <w:t>e.</w:t>
      </w:r>
      <w:r w:rsidR="000A7B10" w:rsidRPr="00F82C8D">
        <w:t xml:space="preserve"> </w:t>
      </w:r>
      <w:r w:rsidRPr="00F82C8D">
        <w:t>The baseline emissions number for such a facility is the highest amount of covered emissions emitted in a financial year within this period (2009</w:t>
      </w:r>
      <w:r w:rsidRPr="00F82C8D">
        <w:noBreakHyphen/>
        <w:t>10 to 2013</w:t>
      </w:r>
      <w:r w:rsidRPr="00F82C8D">
        <w:noBreakHyphen/>
        <w:t xml:space="preserve">14). </w:t>
      </w:r>
      <w:r w:rsidRPr="00F82C8D">
        <w:rPr>
          <w:b/>
          <w:i/>
          <w:sz w:val="20"/>
        </w:rPr>
        <w:t xml:space="preserve">[paragraph 14(1)(b) </w:t>
      </w:r>
      <w:r w:rsidR="007329DC" w:rsidRPr="00F82C8D">
        <w:rPr>
          <w:rStyle w:val="Emphasis"/>
        </w:rPr>
        <w:t>and</w:t>
      </w:r>
      <w:r w:rsidRPr="00F82C8D">
        <w:t xml:space="preserve"> </w:t>
      </w:r>
      <w:r w:rsidRPr="00F82C8D">
        <w:rPr>
          <w:b/>
          <w:i/>
          <w:sz w:val="20"/>
        </w:rPr>
        <w:t>subsection 17(1)]</w:t>
      </w:r>
    </w:p>
    <w:p w:rsidR="007073B3" w:rsidRPr="00F82C8D" w:rsidRDefault="007073B3" w:rsidP="0051382B">
      <w:pPr>
        <w:pStyle w:val="Quote"/>
      </w:pPr>
      <w:r w:rsidRPr="00F82C8D">
        <w:t>For example, a facility’s covered emissions were 80,000 t CO</w:t>
      </w:r>
      <w:r w:rsidR="00E073C6" w:rsidRPr="00F82C8D">
        <w:rPr>
          <w:vertAlign w:val="subscript"/>
        </w:rPr>
        <w:t>2</w:t>
      </w:r>
      <w:r w:rsidR="00E073C6" w:rsidRPr="00F82C8D">
        <w:t>-</w:t>
      </w:r>
      <w:r w:rsidRPr="00F82C8D">
        <w:t>e in 2010-11, 120,000 t CO</w:t>
      </w:r>
      <w:r w:rsidR="00E073C6" w:rsidRPr="00F82C8D">
        <w:rPr>
          <w:vertAlign w:val="subscript"/>
        </w:rPr>
        <w:t>2</w:t>
      </w:r>
      <w:r w:rsidR="00E073C6" w:rsidRPr="00F82C8D">
        <w:t>-</w:t>
      </w:r>
      <w:r w:rsidRPr="00F82C8D">
        <w:t>e in 2011-12, 140,000 t CO</w:t>
      </w:r>
      <w:r w:rsidR="00E073C6" w:rsidRPr="00F82C8D">
        <w:rPr>
          <w:vertAlign w:val="subscript"/>
        </w:rPr>
        <w:t>2</w:t>
      </w:r>
      <w:r w:rsidR="00E073C6" w:rsidRPr="00F82C8D">
        <w:t>-</w:t>
      </w:r>
      <w:r w:rsidRPr="00F82C8D">
        <w:t>e in 2012-13 and 130,000 t CO</w:t>
      </w:r>
      <w:r w:rsidR="00E073C6" w:rsidRPr="00F82C8D">
        <w:rPr>
          <w:vertAlign w:val="subscript"/>
        </w:rPr>
        <w:t>2</w:t>
      </w:r>
      <w:r w:rsidR="00E073C6" w:rsidRPr="00F82C8D">
        <w:t>-</w:t>
      </w:r>
      <w:r w:rsidRPr="00F82C8D">
        <w:t>e in 2013-14. The facility was not required to report its emissions under the Act in 2009-10. The baseline emissions number for the facility is the highest of these values, equalling 140,000 t CO</w:t>
      </w:r>
      <w:r w:rsidR="00E073C6" w:rsidRPr="00F82C8D">
        <w:rPr>
          <w:vertAlign w:val="subscript"/>
        </w:rPr>
        <w:t>2</w:t>
      </w:r>
      <w:r w:rsidR="00E073C6" w:rsidRPr="00F82C8D">
        <w:t>-</w:t>
      </w:r>
      <w:r w:rsidRPr="00F82C8D">
        <w:t>e.</w:t>
      </w:r>
    </w:p>
    <w:p w:rsidR="007073B3" w:rsidRPr="00F82C8D" w:rsidRDefault="007073B3" w:rsidP="002E625A">
      <w:pPr>
        <w:pStyle w:val="ListBullet"/>
      </w:pPr>
      <w:r w:rsidRPr="00F82C8D">
        <w:t xml:space="preserve">A facility </w:t>
      </w:r>
      <w:r w:rsidR="00256952" w:rsidRPr="00F82C8D">
        <w:t xml:space="preserve">operator </w:t>
      </w:r>
      <w:r w:rsidRPr="00F82C8D">
        <w:t>reported its emissions under the Act in at least one of the five financial years from 2009</w:t>
      </w:r>
      <w:r w:rsidRPr="00F82C8D">
        <w:noBreakHyphen/>
        <w:t xml:space="preserve">10 </w:t>
      </w:r>
      <w:r w:rsidR="00021AAE" w:rsidRPr="00F82C8D">
        <w:t>to</w:t>
      </w:r>
      <w:r w:rsidRPr="00F82C8D">
        <w:t xml:space="preserve"> 2013</w:t>
      </w:r>
      <w:r w:rsidRPr="00F82C8D">
        <w:noBreakHyphen/>
        <w:t xml:space="preserve">14, the covered emissions in </w:t>
      </w:r>
      <w:r w:rsidR="003D4477" w:rsidRPr="00F82C8D">
        <w:t xml:space="preserve">one of those </w:t>
      </w:r>
      <w:r w:rsidRPr="00F82C8D">
        <w:t>was more than 100,000 t CO</w:t>
      </w:r>
      <w:r w:rsidR="00E073C6" w:rsidRPr="00F82C8D">
        <w:rPr>
          <w:vertAlign w:val="subscript"/>
        </w:rPr>
        <w:t>2</w:t>
      </w:r>
      <w:r w:rsidR="00E073C6" w:rsidRPr="00F82C8D">
        <w:t>-</w:t>
      </w:r>
      <w:r w:rsidRPr="00F82C8D">
        <w:t>e and the responsible emitter has notified the Regulator prio</w:t>
      </w:r>
      <w:r w:rsidR="00BF5045" w:rsidRPr="00F82C8D">
        <w:t>r to 1 August 2016 that it wanted</w:t>
      </w:r>
      <w:r w:rsidRPr="00F82C8D">
        <w:t xml:space="preserve"> a reported-emissions baseline determination.</w:t>
      </w:r>
      <w:r w:rsidR="000A7B10" w:rsidRPr="00F82C8D">
        <w:t xml:space="preserve"> </w:t>
      </w:r>
      <w:r w:rsidRPr="00F82C8D">
        <w:t>The baseline emissions number for such a facility is the highest amount of covered emissions emitted in a financial year within this period (2009</w:t>
      </w:r>
      <w:r w:rsidRPr="00F82C8D">
        <w:noBreakHyphen/>
        <w:t>10 to 2013</w:t>
      </w:r>
      <w:r w:rsidRPr="00F82C8D">
        <w:noBreakHyphen/>
        <w:t xml:space="preserve">14). </w:t>
      </w:r>
      <w:r w:rsidRPr="00F82C8D">
        <w:rPr>
          <w:b/>
          <w:i/>
          <w:sz w:val="20"/>
        </w:rPr>
        <w:t xml:space="preserve">[paragraph 14(1)(c) </w:t>
      </w:r>
      <w:r w:rsidR="007329DC" w:rsidRPr="00F82C8D">
        <w:rPr>
          <w:rStyle w:val="Emphasis"/>
        </w:rPr>
        <w:t>and</w:t>
      </w:r>
      <w:r w:rsidRPr="00F82C8D">
        <w:t xml:space="preserve"> </w:t>
      </w:r>
      <w:r w:rsidRPr="00F82C8D">
        <w:rPr>
          <w:b/>
          <w:i/>
          <w:sz w:val="20"/>
        </w:rPr>
        <w:t>subsection 17(1)]</w:t>
      </w:r>
      <w:r w:rsidR="00505F58" w:rsidRPr="00F82C8D">
        <w:t xml:space="preserve"> This allows a facility to choose to use its high point in reported emissions even with few historic data points.</w:t>
      </w:r>
    </w:p>
    <w:p w:rsidR="007073B3" w:rsidRPr="00F82C8D" w:rsidRDefault="007073B3" w:rsidP="0051382B">
      <w:pPr>
        <w:pStyle w:val="Quote"/>
      </w:pPr>
      <w:r w:rsidRPr="00F82C8D">
        <w:t xml:space="preserve">For example, a facility’s covered </w:t>
      </w:r>
      <w:r w:rsidR="00893FB8" w:rsidRPr="00F82C8D">
        <w:t>emissions were</w:t>
      </w:r>
      <w:r w:rsidRPr="00F82C8D">
        <w:t xml:space="preserve"> 80,000 t CO</w:t>
      </w:r>
      <w:r w:rsidR="00E073C6" w:rsidRPr="00F82C8D">
        <w:rPr>
          <w:vertAlign w:val="subscript"/>
        </w:rPr>
        <w:t>2</w:t>
      </w:r>
      <w:r w:rsidR="00E073C6" w:rsidRPr="00F82C8D">
        <w:t>-</w:t>
      </w:r>
      <w:r w:rsidRPr="00F82C8D">
        <w:t>e in 2012-13 and 120,000 t CO</w:t>
      </w:r>
      <w:r w:rsidR="00E073C6" w:rsidRPr="00F82C8D">
        <w:rPr>
          <w:vertAlign w:val="subscript"/>
        </w:rPr>
        <w:t>2</w:t>
      </w:r>
      <w:r w:rsidR="00E073C6" w:rsidRPr="00F82C8D">
        <w:t>-</w:t>
      </w:r>
      <w:r w:rsidRPr="00F82C8D">
        <w:t>e in 2013-14. The facility was not required to report its emissions under the Act prior to 2012-13. The responsible emitter for the facility notified the Regulator in writing prior to August 2016 that it wants a reported-emissions baseline determination.</w:t>
      </w:r>
      <w:r w:rsidR="000A7B10" w:rsidRPr="00F82C8D">
        <w:t xml:space="preserve"> </w:t>
      </w:r>
      <w:r w:rsidRPr="00F82C8D">
        <w:t>The baseline emissions number for the facility is the highest of these values, equalling 120,000 t CO</w:t>
      </w:r>
      <w:r w:rsidR="00E073C6" w:rsidRPr="00F82C8D">
        <w:rPr>
          <w:vertAlign w:val="subscript"/>
        </w:rPr>
        <w:t>2</w:t>
      </w:r>
      <w:r w:rsidR="00E073C6" w:rsidRPr="00F82C8D">
        <w:t>-</w:t>
      </w:r>
      <w:r w:rsidRPr="00F82C8D">
        <w:t>e.</w:t>
      </w:r>
    </w:p>
    <w:p w:rsidR="007073B3" w:rsidRPr="00F82C8D" w:rsidRDefault="007073B3" w:rsidP="007073B3">
      <w:pPr>
        <w:pStyle w:val="Heading4"/>
        <w:rPr>
          <w:lang w:val="en-AU"/>
        </w:rPr>
      </w:pPr>
      <w:bookmarkStart w:id="88" w:name="_Ref426988941"/>
      <w:r w:rsidRPr="00F82C8D">
        <w:rPr>
          <w:lang w:val="en-AU"/>
        </w:rPr>
        <w:t>Global warming potential</w:t>
      </w:r>
      <w:bookmarkEnd w:id="88"/>
    </w:p>
    <w:p w:rsidR="007073B3" w:rsidRPr="00F82C8D" w:rsidRDefault="00893FB8" w:rsidP="00625D31">
      <w:pPr>
        <w:pStyle w:val="ListParagraph"/>
        <w:rPr>
          <w:lang w:val="en-AU"/>
        </w:rPr>
      </w:pPr>
      <w:bookmarkStart w:id="89" w:name="_Ref426467126"/>
      <w:r w:rsidRPr="00F82C8D">
        <w:rPr>
          <w:lang w:val="en-AU"/>
        </w:rPr>
        <w:t xml:space="preserve">When determining a facility’s covered emissions </w:t>
      </w:r>
      <w:r w:rsidRPr="00F82C8D">
        <w:t xml:space="preserve">in the financial years </w:t>
      </w:r>
      <w:r w:rsidR="00021AAE" w:rsidRPr="00F82C8D">
        <w:t>from</w:t>
      </w:r>
      <w:r w:rsidRPr="00F82C8D">
        <w:t xml:space="preserve"> 2009</w:t>
      </w:r>
      <w:r w:rsidRPr="00F82C8D">
        <w:noBreakHyphen/>
        <w:t xml:space="preserve">10 </w:t>
      </w:r>
      <w:r w:rsidR="00021AAE" w:rsidRPr="00F82C8D">
        <w:t>to</w:t>
      </w:r>
      <w:r w:rsidRPr="00F82C8D">
        <w:t xml:space="preserve"> 2013</w:t>
      </w:r>
      <w:r w:rsidRPr="00F82C8D">
        <w:noBreakHyphen/>
        <w:t xml:space="preserve">14, where possible the Regulator will use the </w:t>
      </w:r>
      <w:r w:rsidR="00BF5045" w:rsidRPr="00F82C8D">
        <w:t>global warming potential values</w:t>
      </w:r>
      <w:r w:rsidRPr="00F82C8D">
        <w:t xml:space="preserve"> specified</w:t>
      </w:r>
      <w:r w:rsidRPr="00F82C8D">
        <w:rPr>
          <w:lang w:val="en-AU"/>
        </w:rPr>
        <w:t xml:space="preserve"> under the NGER Regulations at the time when the determination is made. </w:t>
      </w:r>
      <w:r w:rsidR="00436726" w:rsidRPr="00F82C8D">
        <w:rPr>
          <w:lang w:val="en-AU"/>
        </w:rPr>
        <w:t>These value</w:t>
      </w:r>
      <w:r w:rsidR="001468BD" w:rsidRPr="00F82C8D">
        <w:rPr>
          <w:lang w:val="en-AU"/>
        </w:rPr>
        <w:t>s were updated from 1 July </w:t>
      </w:r>
      <w:r w:rsidR="00436726" w:rsidRPr="00F82C8D">
        <w:rPr>
          <w:lang w:val="en-AU"/>
        </w:rPr>
        <w:t>2015.</w:t>
      </w:r>
      <w:r w:rsidR="007073B3" w:rsidRPr="00F82C8D">
        <w:rPr>
          <w:lang w:val="en-AU"/>
        </w:rPr>
        <w:t xml:space="preserve"> </w:t>
      </w:r>
      <w:r w:rsidR="00436726" w:rsidRPr="00F82C8D">
        <w:rPr>
          <w:lang w:val="en-AU"/>
        </w:rPr>
        <w:t>In particular, carbon dioxide, methane, nitrous oxide and perflu</w:t>
      </w:r>
      <w:r w:rsidR="002E68A4" w:rsidRPr="00F82C8D">
        <w:rPr>
          <w:lang w:val="en-AU"/>
        </w:rPr>
        <w:t>o</w:t>
      </w:r>
      <w:r w:rsidR="00436726" w:rsidRPr="00F82C8D">
        <w:rPr>
          <w:lang w:val="en-AU"/>
        </w:rPr>
        <w:t xml:space="preserve">rocarbon emissions attributable to aluminium production will also use the current </w:t>
      </w:r>
      <w:r w:rsidR="00BF5045" w:rsidRPr="00F82C8D">
        <w:rPr>
          <w:lang w:val="en-AU"/>
        </w:rPr>
        <w:t>global warming potential</w:t>
      </w:r>
      <w:r w:rsidR="00436726" w:rsidRPr="00F82C8D">
        <w:rPr>
          <w:lang w:val="en-AU"/>
        </w:rPr>
        <w:t xml:space="preserve"> values. Other</w:t>
      </w:r>
      <w:r w:rsidR="007073B3" w:rsidRPr="00F82C8D">
        <w:rPr>
          <w:lang w:val="en-AU"/>
        </w:rPr>
        <w:t xml:space="preserve"> </w:t>
      </w:r>
      <w:r w:rsidR="00BF5045" w:rsidRPr="00F82C8D">
        <w:rPr>
          <w:lang w:val="en-AU"/>
        </w:rPr>
        <w:t>global warming potential</w:t>
      </w:r>
      <w:r w:rsidR="007073B3" w:rsidRPr="00F82C8D">
        <w:rPr>
          <w:lang w:val="en-AU"/>
        </w:rPr>
        <w:t xml:space="preserve"> </w:t>
      </w:r>
      <w:r w:rsidR="00436726" w:rsidRPr="00F82C8D">
        <w:rPr>
          <w:lang w:val="en-AU"/>
        </w:rPr>
        <w:t>values are</w:t>
      </w:r>
      <w:r w:rsidR="007073B3" w:rsidRPr="00F82C8D">
        <w:rPr>
          <w:lang w:val="en-AU"/>
        </w:rPr>
        <w:t xml:space="preserve"> taken to be the value used in the report</w:t>
      </w:r>
      <w:r w:rsidR="002E68A4" w:rsidRPr="00F82C8D">
        <w:rPr>
          <w:lang w:val="en-AU"/>
        </w:rPr>
        <w:t xml:space="preserve"> at the time it was</w:t>
      </w:r>
      <w:r w:rsidR="007073B3" w:rsidRPr="00F82C8D">
        <w:rPr>
          <w:lang w:val="en-AU"/>
        </w:rPr>
        <w:t xml:space="preserve"> submitted under the Act</w:t>
      </w:r>
      <w:r w:rsidR="00436726" w:rsidRPr="00F82C8D">
        <w:rPr>
          <w:lang w:val="en-AU"/>
        </w:rPr>
        <w:t xml:space="preserve"> for the purpose of whether to make a reported-emissions baseline determination</w:t>
      </w:r>
      <w:r w:rsidR="007073B3" w:rsidRPr="00F82C8D">
        <w:rPr>
          <w:lang w:val="en-AU"/>
        </w:rPr>
        <w:t xml:space="preserve">. </w:t>
      </w:r>
      <w:r w:rsidR="007073B3" w:rsidRPr="00F82C8D">
        <w:rPr>
          <w:b/>
          <w:i/>
          <w:sz w:val="20"/>
          <w:lang w:val="en-AU"/>
        </w:rPr>
        <w:t>[paragraph 14(3)</w:t>
      </w:r>
      <w:r w:rsidR="000377D1" w:rsidRPr="00F82C8D">
        <w:rPr>
          <w:b/>
          <w:i/>
          <w:sz w:val="20"/>
          <w:lang w:val="en-AU"/>
        </w:rPr>
        <w:t xml:space="preserve">] </w:t>
      </w:r>
      <w:r w:rsidR="001D71A7" w:rsidRPr="00F82C8D">
        <w:rPr>
          <w:lang w:val="en-AU"/>
        </w:rPr>
        <w:t>However,</w:t>
      </w:r>
      <w:r w:rsidR="000377D1" w:rsidRPr="00F82C8D">
        <w:rPr>
          <w:lang w:val="en-AU"/>
        </w:rPr>
        <w:t xml:space="preserve"> in setting the baseline emissions number the responsible emitter may provide information about other greenhouse gases to </w:t>
      </w:r>
      <w:r w:rsidR="006E7E7D" w:rsidRPr="00F82C8D">
        <w:rPr>
          <w:lang w:val="en-AU"/>
        </w:rPr>
        <w:t xml:space="preserve">potentially </w:t>
      </w:r>
      <w:r w:rsidR="000377D1" w:rsidRPr="00F82C8D">
        <w:rPr>
          <w:lang w:val="en-AU"/>
        </w:rPr>
        <w:t xml:space="preserve">enable the current </w:t>
      </w:r>
      <w:r w:rsidR="00BF5045" w:rsidRPr="00F82C8D">
        <w:rPr>
          <w:lang w:val="en-AU"/>
        </w:rPr>
        <w:t>global warming potential</w:t>
      </w:r>
      <w:r w:rsidR="000377D1" w:rsidRPr="00F82C8D">
        <w:rPr>
          <w:lang w:val="en-AU"/>
        </w:rPr>
        <w:t xml:space="preserve"> values to be used instead of those previously reported under the Act.</w:t>
      </w:r>
      <w:r w:rsidR="000A7B10" w:rsidRPr="00F82C8D">
        <w:rPr>
          <w:b/>
          <w:i/>
          <w:sz w:val="20"/>
          <w:lang w:val="en-AU"/>
        </w:rPr>
        <w:t xml:space="preserve"> </w:t>
      </w:r>
      <w:r w:rsidR="000377D1" w:rsidRPr="00F82C8D">
        <w:rPr>
          <w:b/>
          <w:i/>
          <w:sz w:val="20"/>
          <w:lang w:val="en-AU"/>
        </w:rPr>
        <w:t>[</w:t>
      </w:r>
      <w:r w:rsidR="002E68A4" w:rsidRPr="00F82C8D">
        <w:rPr>
          <w:b/>
          <w:i/>
          <w:sz w:val="20"/>
          <w:lang w:val="en-AU"/>
        </w:rPr>
        <w:t>subsection </w:t>
      </w:r>
      <w:r w:rsidR="007073B3" w:rsidRPr="00F82C8D">
        <w:rPr>
          <w:b/>
          <w:i/>
          <w:sz w:val="20"/>
          <w:lang w:val="en-AU"/>
        </w:rPr>
        <w:t>17(6)]</w:t>
      </w:r>
      <w:bookmarkEnd w:id="89"/>
    </w:p>
    <w:p w:rsidR="007073B3" w:rsidRPr="00F82C8D" w:rsidRDefault="007073B3" w:rsidP="0051382B">
      <w:pPr>
        <w:pStyle w:val="Quote"/>
      </w:pPr>
      <w:r w:rsidRPr="00F82C8D">
        <w:t xml:space="preserve">For example, if emissions from three different types of </w:t>
      </w:r>
      <w:r w:rsidR="00893FB8" w:rsidRPr="00F82C8D">
        <w:t>hydrofluorocarbon</w:t>
      </w:r>
      <w:r w:rsidRPr="00F82C8D">
        <w:t xml:space="preserve"> greenhouse gases were reported in tonnes of carbon dioxide equivalence in reports submitted under the Act in the financial years </w:t>
      </w:r>
      <w:r w:rsidR="002E68A4" w:rsidRPr="00F82C8D">
        <w:t xml:space="preserve">from </w:t>
      </w:r>
      <w:r w:rsidRPr="00F82C8D">
        <w:t>2009-10 to 2013-14, and the responsible emitter has not provided</w:t>
      </w:r>
      <w:r w:rsidR="006E7E7D" w:rsidRPr="00F82C8D">
        <w:t xml:space="preserve"> sufficient</w:t>
      </w:r>
      <w:r w:rsidRPr="00F82C8D">
        <w:t xml:space="preserve"> disaggregated emissions data from those three gases, then the </w:t>
      </w:r>
      <w:r w:rsidR="00BF5045" w:rsidRPr="00F82C8D">
        <w:t>global warming potential</w:t>
      </w:r>
      <w:r w:rsidRPr="00F82C8D">
        <w:t xml:space="preserve"> of those three gases is assumed to be what it was when reported.</w:t>
      </w:r>
    </w:p>
    <w:p w:rsidR="007073B3" w:rsidRPr="00F82C8D" w:rsidRDefault="007073B3" w:rsidP="007073B3">
      <w:pPr>
        <w:pStyle w:val="Heading4"/>
      </w:pPr>
      <w:r w:rsidRPr="00F82C8D">
        <w:t>Inter-state transport facilities</w:t>
      </w:r>
    </w:p>
    <w:p w:rsidR="001E5495" w:rsidRPr="00F82C8D" w:rsidRDefault="001E5495" w:rsidP="00A35CF7">
      <w:pPr>
        <w:pStyle w:val="ListParagraph"/>
      </w:pPr>
      <w:r w:rsidRPr="00F82C8D">
        <w:rPr>
          <w:lang w:val="en-AU"/>
        </w:rPr>
        <w:t xml:space="preserve">Inter-state transport facilities, which under the </w:t>
      </w:r>
      <w:r w:rsidR="002E68A4" w:rsidRPr="00F82C8D">
        <w:rPr>
          <w:lang w:val="en-AU"/>
        </w:rPr>
        <w:t>NGER Regulations</w:t>
      </w:r>
      <w:r w:rsidRPr="00F82C8D">
        <w:rPr>
          <w:lang w:val="en-AU"/>
        </w:rPr>
        <w:t xml:space="preserve"> are treated as separate state-based facilities, have the option of nominating to report </w:t>
      </w:r>
      <w:r w:rsidR="000246C3" w:rsidRPr="00F82C8D">
        <w:rPr>
          <w:lang w:val="en-AU"/>
        </w:rPr>
        <w:t>its</w:t>
      </w:r>
      <w:r w:rsidRPr="00F82C8D">
        <w:rPr>
          <w:lang w:val="en-AU"/>
        </w:rPr>
        <w:t xml:space="preserve"> emissions as a national facility for the purposes of reporting and for </w:t>
      </w:r>
      <w:r w:rsidR="00505F58" w:rsidRPr="00F82C8D">
        <w:rPr>
          <w:lang w:val="en-AU"/>
        </w:rPr>
        <w:t>managing its obligations</w:t>
      </w:r>
      <w:r w:rsidRPr="00F82C8D">
        <w:rPr>
          <w:lang w:val="en-AU"/>
        </w:rPr>
        <w:t xml:space="preserve"> under the safeguard mechanism. This option is </w:t>
      </w:r>
      <w:r w:rsidRPr="00F82C8D">
        <w:t xml:space="preserve">possible under amendments to the </w:t>
      </w:r>
      <w:r w:rsidR="005D1A60" w:rsidRPr="00F82C8D">
        <w:t xml:space="preserve">NGER Regulations to be made by the </w:t>
      </w:r>
      <w:r w:rsidRPr="00F82C8D">
        <w:rPr>
          <w:i/>
        </w:rPr>
        <w:t>National Greenhouse and Energy Reporting Amendment (2015 Measures No.2) Regulation 2015</w:t>
      </w:r>
      <w:r w:rsidRPr="00F82C8D">
        <w:t xml:space="preserve"> (refer to the</w:t>
      </w:r>
      <w:r w:rsidR="00F37DA6" w:rsidRPr="00F82C8D">
        <w:t xml:space="preserve"> </w:t>
      </w:r>
      <w:r w:rsidR="004C00A9" w:rsidRPr="00F82C8D">
        <w:t>Explanatory Statement</w:t>
      </w:r>
      <w:r w:rsidRPr="00F82C8D">
        <w:t xml:space="preserve"> for this regulation amendment for further information).</w:t>
      </w:r>
    </w:p>
    <w:p w:rsidR="007073B3" w:rsidRPr="00F82C8D" w:rsidRDefault="007073B3" w:rsidP="00625D31">
      <w:pPr>
        <w:pStyle w:val="ListParagraph"/>
      </w:pPr>
      <w:r w:rsidRPr="00F82C8D">
        <w:t xml:space="preserve">Where a nomination to this effect has been made under regulation 2.19A of the amended </w:t>
      </w:r>
      <w:r w:rsidR="001E5495" w:rsidRPr="00F82C8D">
        <w:t xml:space="preserve">NGER </w:t>
      </w:r>
      <w:r w:rsidRPr="00F82C8D">
        <w:t xml:space="preserve">Regulations, then the covered emissions for the national facility in the </w:t>
      </w:r>
      <w:r w:rsidR="009675EE" w:rsidRPr="00F82C8D">
        <w:t xml:space="preserve">baseline </w:t>
      </w:r>
      <w:r w:rsidRPr="00F82C8D">
        <w:t>period</w:t>
      </w:r>
      <w:r w:rsidR="009675EE" w:rsidRPr="00F82C8D">
        <w:t>, the financial years from</w:t>
      </w:r>
      <w:r w:rsidRPr="00F82C8D">
        <w:t xml:space="preserve"> 2009-10 to 2013-14</w:t>
      </w:r>
      <w:r w:rsidR="009675EE" w:rsidRPr="00F82C8D">
        <w:t>,</w:t>
      </w:r>
      <w:r w:rsidRPr="00F82C8D">
        <w:t xml:space="preserve"> will be determined as if the national facility definition had been in place during that period. </w:t>
      </w:r>
      <w:r w:rsidRPr="00F82C8D">
        <w:rPr>
          <w:b/>
          <w:i/>
          <w:sz w:val="20"/>
        </w:rPr>
        <w:t>[subsection 14(2)]</w:t>
      </w:r>
      <w:r w:rsidRPr="00F82C8D">
        <w:t xml:space="preserve"> Depending on </w:t>
      </w:r>
      <w:r w:rsidR="009675EE" w:rsidRPr="00F82C8D">
        <w:t>if the</w:t>
      </w:r>
      <w:r w:rsidRPr="00F82C8D">
        <w:t xml:space="preserve"> covered emissions </w:t>
      </w:r>
      <w:r w:rsidR="009675EE" w:rsidRPr="00F82C8D">
        <w:t xml:space="preserve">for the national facility is </w:t>
      </w:r>
      <w:r w:rsidRPr="00F82C8D">
        <w:t>above 100,000 t CO</w:t>
      </w:r>
      <w:r w:rsidR="00E073C6" w:rsidRPr="00F82C8D">
        <w:rPr>
          <w:vertAlign w:val="subscript"/>
        </w:rPr>
        <w:t>2</w:t>
      </w:r>
      <w:r w:rsidR="00E073C6" w:rsidRPr="00F82C8D">
        <w:t>-</w:t>
      </w:r>
      <w:r w:rsidRPr="00F82C8D">
        <w:t>e, a reported-emissions baseline determination may be made in accordance with subsection 14(1)</w:t>
      </w:r>
      <w:r w:rsidR="000C2F53" w:rsidRPr="00F82C8D">
        <w:t xml:space="preserve"> of the </w:t>
      </w:r>
      <w:r w:rsidR="00D360AB" w:rsidRPr="00F82C8D">
        <w:t>safeguard rule</w:t>
      </w:r>
      <w:r w:rsidRPr="00F82C8D">
        <w:t xml:space="preserve">. </w:t>
      </w:r>
    </w:p>
    <w:p w:rsidR="007073B3" w:rsidRPr="00F82C8D" w:rsidRDefault="000C2F53" w:rsidP="00625D31">
      <w:pPr>
        <w:pStyle w:val="ListParagraph"/>
      </w:pPr>
      <w:r w:rsidRPr="00F82C8D">
        <w:t xml:space="preserve">If under paragraph 14(1)(c), </w:t>
      </w:r>
      <w:r w:rsidR="007073B3" w:rsidRPr="00F82C8D">
        <w:t>the making of the reported-emission</w:t>
      </w:r>
      <w:r w:rsidR="005D4E2F" w:rsidRPr="00F82C8D">
        <w:t>s</w:t>
      </w:r>
      <w:r w:rsidR="007073B3" w:rsidRPr="00F82C8D">
        <w:t xml:space="preserve"> baseline determination requires the responsible emitter to notify the</w:t>
      </w:r>
      <w:r w:rsidR="00E36720" w:rsidRPr="00F82C8D">
        <w:t xml:space="preserve"> Regulator that it wants such a</w:t>
      </w:r>
      <w:r w:rsidR="007073B3" w:rsidRPr="00F82C8D">
        <w:t xml:space="preserve"> baseline determination, then this notification must be made by 1</w:t>
      </w:r>
      <w:r w:rsidR="00A91FB3" w:rsidRPr="00F82C8D">
        <w:t> </w:t>
      </w:r>
      <w:r w:rsidR="007073B3" w:rsidRPr="00F82C8D">
        <w:t>August in the financial year that the national facility definition</w:t>
      </w:r>
      <w:r w:rsidR="00505F58" w:rsidRPr="00F82C8D">
        <w:t xml:space="preserve"> is to first apply</w:t>
      </w:r>
      <w:r w:rsidR="00394E74" w:rsidRPr="00F82C8D">
        <w:t xml:space="preserve"> </w:t>
      </w:r>
      <w:r w:rsidR="007073B3" w:rsidRPr="00F82C8D">
        <w:t xml:space="preserve">to the </w:t>
      </w:r>
      <w:r w:rsidR="00E36720" w:rsidRPr="00F82C8D">
        <w:t xml:space="preserve">transport </w:t>
      </w:r>
      <w:r w:rsidR="007073B3" w:rsidRPr="00F82C8D">
        <w:t xml:space="preserve">facility. </w:t>
      </w:r>
      <w:r w:rsidR="007073B3" w:rsidRPr="00F82C8D">
        <w:rPr>
          <w:b/>
          <w:i/>
          <w:sz w:val="20"/>
        </w:rPr>
        <w:t>[subparagraph 14(2)(b)(ii)]</w:t>
      </w:r>
      <w:r w:rsidR="007073B3" w:rsidRPr="00F82C8D">
        <w:t xml:space="preserve"> </w:t>
      </w:r>
    </w:p>
    <w:p w:rsidR="007073B3" w:rsidRPr="00F82C8D" w:rsidRDefault="007073B3" w:rsidP="00625D31">
      <w:pPr>
        <w:pStyle w:val="ListParagraph"/>
      </w:pPr>
      <w:r w:rsidRPr="00F82C8D">
        <w:t xml:space="preserve">A reported-emissions baseline determination made for a national facility will commence </w:t>
      </w:r>
      <w:r w:rsidR="00505F58" w:rsidRPr="00F82C8D">
        <w:t>at the start</w:t>
      </w:r>
      <w:r w:rsidRPr="00F82C8D">
        <w:t xml:space="preserve"> of the financial year that the national facility definition first applied to the </w:t>
      </w:r>
      <w:r w:rsidR="00E36720" w:rsidRPr="00F82C8D">
        <w:t xml:space="preserve">transport </w:t>
      </w:r>
      <w:r w:rsidRPr="00F82C8D">
        <w:t>facility</w:t>
      </w:r>
      <w:r w:rsidR="000C2F53" w:rsidRPr="00F82C8D">
        <w:t>, unless a calculated-emissions baseline determination has been made to commence at the same time</w:t>
      </w:r>
      <w:r w:rsidRPr="00F82C8D">
        <w:t xml:space="preserve">. </w:t>
      </w:r>
      <w:r w:rsidRPr="00F82C8D">
        <w:rPr>
          <w:b/>
          <w:i/>
          <w:sz w:val="20"/>
        </w:rPr>
        <w:t>[subsection 18(2)]</w:t>
      </w:r>
    </w:p>
    <w:p w:rsidR="00642964" w:rsidRPr="00F82C8D" w:rsidRDefault="00642964" w:rsidP="00625D31">
      <w:pPr>
        <w:pStyle w:val="ListParagraph"/>
      </w:pPr>
      <w:r w:rsidRPr="00F82C8D">
        <w:t>The rules provide for calculated-emissions</w:t>
      </w:r>
      <w:r w:rsidR="00A4507C" w:rsidRPr="00F82C8D">
        <w:t>, benchmark-emissions or production-adjusted</w:t>
      </w:r>
      <w:r w:rsidRPr="00F82C8D">
        <w:t xml:space="preserve"> baseline determinations made in relation to state-based facilities to be incorporated into the reported-emissions baseline determination. </w:t>
      </w:r>
      <w:r w:rsidRPr="00F82C8D">
        <w:rPr>
          <w:b/>
          <w:i/>
          <w:sz w:val="20"/>
        </w:rPr>
        <w:t>[subsection 17(5)]</w:t>
      </w:r>
      <w:r w:rsidR="00CB6B11" w:rsidRPr="00F82C8D">
        <w:rPr>
          <w:b/>
          <w:sz w:val="20"/>
        </w:rPr>
        <w:t xml:space="preserve"> </w:t>
      </w:r>
      <w:r w:rsidR="00CB6B11" w:rsidRPr="00F82C8D">
        <w:t>This is done by aggregating together the baselines in force for any state based transport</w:t>
      </w:r>
      <w:r w:rsidR="00FC017B" w:rsidRPr="00F82C8D">
        <w:t xml:space="preserve"> facility</w:t>
      </w:r>
      <w:r w:rsidR="00CB6B11" w:rsidRPr="00F82C8D">
        <w:t xml:space="preserve"> in place of historic data on the emissions performance of the facility. See the section headed </w:t>
      </w:r>
      <w:fldSimple w:instr=" REF _Ref427929081 \h  \* MERGEFORMAT ">
        <w:r w:rsidR="00F16B1F" w:rsidRPr="00F16B1F">
          <w:rPr>
            <w:i/>
          </w:rPr>
          <w:t>Section 20: Variation of transport reported-emissions baseline determination where calculated-emissions baseline determination or</w:t>
        </w:r>
        <w:r w:rsidR="00F16B1F" w:rsidRPr="00F82C8D">
          <w:t xml:space="preserve"> benchmark-emissions baseline determination incorporated</w:t>
        </w:r>
      </w:fldSimple>
      <w:r w:rsidR="00FC017B" w:rsidRPr="00F82C8D">
        <w:rPr>
          <w:i/>
        </w:rPr>
        <w:t xml:space="preserve"> </w:t>
      </w:r>
      <w:r w:rsidR="00FC017B" w:rsidRPr="00F82C8D">
        <w:t xml:space="preserve">on page </w:t>
      </w:r>
      <w:r w:rsidR="00744D5E" w:rsidRPr="00F82C8D">
        <w:fldChar w:fldCharType="begin"/>
      </w:r>
      <w:r w:rsidR="00CB6B11" w:rsidRPr="00F82C8D">
        <w:instrText xml:space="preserve"> PAGEREF _Ref427929081 \h </w:instrText>
      </w:r>
      <w:r w:rsidR="00744D5E" w:rsidRPr="00F82C8D">
        <w:fldChar w:fldCharType="separate"/>
      </w:r>
      <w:r w:rsidR="00F16B1F">
        <w:rPr>
          <w:noProof/>
        </w:rPr>
        <w:t>46</w:t>
      </w:r>
      <w:r w:rsidR="00744D5E" w:rsidRPr="00F82C8D">
        <w:fldChar w:fldCharType="end"/>
      </w:r>
      <w:r w:rsidR="00FC017B" w:rsidRPr="00F82C8D">
        <w:t xml:space="preserve"> of the </w:t>
      </w:r>
      <w:r w:rsidR="00D360AB" w:rsidRPr="00F82C8D">
        <w:t>Exp</w:t>
      </w:r>
      <w:r w:rsidR="00FC017B" w:rsidRPr="00F82C8D">
        <w:t>lanatory Statement for further information.</w:t>
      </w:r>
    </w:p>
    <w:p w:rsidR="007073B3" w:rsidRPr="00F82C8D" w:rsidRDefault="0065595C" w:rsidP="007073B3">
      <w:pPr>
        <w:pStyle w:val="Heading3"/>
      </w:pPr>
      <w:r w:rsidRPr="00F82C8D">
        <w:t xml:space="preserve">Section 15: </w:t>
      </w:r>
      <w:r w:rsidR="007073B3" w:rsidRPr="00F82C8D">
        <w:t>Further information</w:t>
      </w:r>
    </w:p>
    <w:p w:rsidR="007073B3" w:rsidRPr="00F82C8D" w:rsidRDefault="007073B3" w:rsidP="00625D31">
      <w:pPr>
        <w:pStyle w:val="ListParagraph"/>
        <w:rPr>
          <w:b/>
        </w:rPr>
      </w:pPr>
      <w:r w:rsidRPr="00F82C8D">
        <w:t xml:space="preserve">The Regulator may require the responsible emitter to provide further information in connection with the making of the reported-emissions baseline determination. Such a request is made in writing and will specify a due date for the applicant to provide the required information. </w:t>
      </w:r>
      <w:r w:rsidRPr="00F82C8D">
        <w:rPr>
          <w:b/>
          <w:i/>
          <w:sz w:val="20"/>
        </w:rPr>
        <w:t>[subsection 15(1)]</w:t>
      </w:r>
      <w:r w:rsidRPr="00F82C8D">
        <w:t xml:space="preserve"> </w:t>
      </w:r>
    </w:p>
    <w:p w:rsidR="007073B3" w:rsidRPr="00F82C8D" w:rsidRDefault="007073B3" w:rsidP="00625D31">
      <w:pPr>
        <w:pStyle w:val="ListParagraph"/>
      </w:pPr>
      <w:r w:rsidRPr="00F82C8D">
        <w:t xml:space="preserve">The consequence of the responsible emitter not giving the Regulator the required information by the due date is that the Regulator may </w:t>
      </w:r>
      <w:r w:rsidR="00436726" w:rsidRPr="00F82C8D">
        <w:t>delay</w:t>
      </w:r>
      <w:r w:rsidRPr="00F82C8D">
        <w:t xml:space="preserve"> mak</w:t>
      </w:r>
      <w:r w:rsidR="00436726" w:rsidRPr="00F82C8D">
        <w:t>ing</w:t>
      </w:r>
      <w:r w:rsidRPr="00F82C8D">
        <w:t xml:space="preserve"> the reported-emissions baseline determination until the information is provided. Alternatively, the Regulator may make assumptions about the information that was not provided.</w:t>
      </w:r>
      <w:r w:rsidR="000A7B10" w:rsidRPr="00F82C8D">
        <w:t xml:space="preserve"> </w:t>
      </w:r>
      <w:r w:rsidRPr="00F82C8D">
        <w:rPr>
          <w:b/>
          <w:i/>
          <w:sz w:val="20"/>
        </w:rPr>
        <w:t>[subsection 15(2)]</w:t>
      </w:r>
    </w:p>
    <w:p w:rsidR="007073B3" w:rsidRPr="00F82C8D" w:rsidRDefault="0065595C" w:rsidP="007073B3">
      <w:pPr>
        <w:pStyle w:val="Heading3"/>
      </w:pPr>
      <w:r w:rsidRPr="00F82C8D">
        <w:t xml:space="preserve">Section 16: </w:t>
      </w:r>
      <w:r w:rsidR="007073B3" w:rsidRPr="00F82C8D">
        <w:t xml:space="preserve">Process for making </w:t>
      </w:r>
      <w:r w:rsidR="000C2F53" w:rsidRPr="00F82C8D">
        <w:t xml:space="preserve">a reported-emissions </w:t>
      </w:r>
      <w:r w:rsidR="007073B3" w:rsidRPr="00F82C8D">
        <w:t>baseline determination</w:t>
      </w:r>
    </w:p>
    <w:p w:rsidR="007073B3" w:rsidRPr="00F82C8D" w:rsidRDefault="00C7181C" w:rsidP="00625D31">
      <w:pPr>
        <w:pStyle w:val="ListParagraph"/>
        <w:rPr>
          <w:lang w:val="en-AU"/>
        </w:rPr>
      </w:pPr>
      <w:r w:rsidRPr="00F82C8D">
        <w:t>T</w:t>
      </w:r>
      <w:r w:rsidR="007073B3" w:rsidRPr="00F82C8D">
        <w:t xml:space="preserve">he Regulator </w:t>
      </w:r>
      <w:r w:rsidR="0051284B" w:rsidRPr="00F82C8D">
        <w:t>may</w:t>
      </w:r>
      <w:r w:rsidR="007073B3" w:rsidRPr="00F82C8D">
        <w:t xml:space="preserve"> make the determination if one of the circumstances in subsection14(1) is met. Unlike other types of baseline determinations, the Regulator’s decision is not based on an application from a responsible emitter.</w:t>
      </w:r>
    </w:p>
    <w:p w:rsidR="007073B3" w:rsidRPr="00F82C8D" w:rsidRDefault="007073B3" w:rsidP="00625D31">
      <w:pPr>
        <w:pStyle w:val="ListParagraph"/>
        <w:rPr>
          <w:lang w:val="en-AU"/>
        </w:rPr>
      </w:pPr>
      <w:r w:rsidRPr="00F82C8D">
        <w:rPr>
          <w:lang w:val="en-AU"/>
        </w:rPr>
        <w:t>Before making a reported-emissions baseline determination, the Regulator must notify the responsible emitter that it intends to make a determination and the proposed baseline emissions number.</w:t>
      </w:r>
      <w:r w:rsidR="000A7B10" w:rsidRPr="00F82C8D">
        <w:rPr>
          <w:lang w:val="en-AU"/>
        </w:rPr>
        <w:t xml:space="preserve"> </w:t>
      </w:r>
      <w:r w:rsidRPr="00F82C8D">
        <w:rPr>
          <w:b/>
          <w:i/>
          <w:sz w:val="20"/>
          <w:lang w:val="en-AU"/>
        </w:rPr>
        <w:t>[subsection 16(1)]</w:t>
      </w:r>
      <w:r w:rsidRPr="00F82C8D">
        <w:rPr>
          <w:lang w:val="en-AU"/>
        </w:rPr>
        <w:t xml:space="preserve"> </w:t>
      </w:r>
    </w:p>
    <w:p w:rsidR="007073B3" w:rsidRPr="00F82C8D" w:rsidRDefault="007073B3" w:rsidP="00625D31">
      <w:pPr>
        <w:pStyle w:val="ListParagraph"/>
        <w:rPr>
          <w:lang w:val="en-AU"/>
        </w:rPr>
      </w:pPr>
      <w:r w:rsidRPr="00F82C8D">
        <w:rPr>
          <w:lang w:val="en-AU"/>
        </w:rPr>
        <w:t xml:space="preserve">The Regulator must seek any comments from the responsible emitter by a date specified in the written notice. </w:t>
      </w:r>
      <w:r w:rsidRPr="00F82C8D">
        <w:rPr>
          <w:b/>
          <w:i/>
          <w:sz w:val="20"/>
          <w:lang w:val="en-AU"/>
        </w:rPr>
        <w:t xml:space="preserve">[paragraph 16(1)(d)] </w:t>
      </w:r>
      <w:r w:rsidRPr="00F82C8D">
        <w:rPr>
          <w:lang w:val="en-AU"/>
        </w:rPr>
        <w:t>The Regulator must then consider any comments received by the due date and use all reasonable endeavours to make the determination by the later of the following:</w:t>
      </w:r>
    </w:p>
    <w:p w:rsidR="007073B3" w:rsidRPr="00F82C8D" w:rsidRDefault="007073B3" w:rsidP="002E625A">
      <w:pPr>
        <w:pStyle w:val="ListBullet"/>
      </w:pPr>
      <w:r w:rsidRPr="00F82C8D">
        <w:t xml:space="preserve">30 days </w:t>
      </w:r>
      <w:r w:rsidR="00B26AD9" w:rsidRPr="00F82C8D">
        <w:t>after</w:t>
      </w:r>
      <w:r w:rsidRPr="00F82C8D">
        <w:t xml:space="preserve"> either </w:t>
      </w:r>
      <w:r w:rsidR="00F06176" w:rsidRPr="00F82C8D">
        <w:t>the receipt of</w:t>
      </w:r>
      <w:r w:rsidRPr="00F82C8D">
        <w:t xml:space="preserve"> required information or </w:t>
      </w:r>
      <w:r w:rsidR="00B26AD9" w:rsidRPr="00F82C8D">
        <w:t xml:space="preserve">the due date for </w:t>
      </w:r>
      <w:r w:rsidRPr="00F82C8D">
        <w:t>comments</w:t>
      </w:r>
    </w:p>
    <w:p w:rsidR="00DB293E" w:rsidRPr="00F82C8D" w:rsidRDefault="007073B3">
      <w:pPr>
        <w:pStyle w:val="ListBullet"/>
      </w:pPr>
      <w:r w:rsidRPr="00F82C8D">
        <w:t xml:space="preserve">1 </w:t>
      </w:r>
      <w:r w:rsidR="00D8763A" w:rsidRPr="00F82C8D">
        <w:t>September</w:t>
      </w:r>
      <w:r w:rsidRPr="00F82C8D">
        <w:t xml:space="preserve"> after the baseline is proposed to commence. </w:t>
      </w:r>
      <w:r w:rsidRPr="00F82C8D">
        <w:rPr>
          <w:b/>
          <w:i/>
          <w:sz w:val="20"/>
        </w:rPr>
        <w:t>[subsection 16(2)]</w:t>
      </w:r>
    </w:p>
    <w:p w:rsidR="007073B3" w:rsidRPr="00F82C8D" w:rsidRDefault="007073B3" w:rsidP="00625D31">
      <w:pPr>
        <w:pStyle w:val="ListParagraph"/>
        <w:rPr>
          <w:lang w:val="en-AU"/>
        </w:rPr>
      </w:pPr>
      <w:r w:rsidRPr="00F82C8D">
        <w:rPr>
          <w:lang w:val="en-AU"/>
        </w:rPr>
        <w:t xml:space="preserve">As soon as practicable after making the determination, the Regulator must notify the facility operator of the baseline emissions number and publish the details of the determination on its website. </w:t>
      </w:r>
      <w:r w:rsidRPr="00F82C8D">
        <w:rPr>
          <w:b/>
          <w:i/>
          <w:sz w:val="20"/>
          <w:lang w:val="en-AU"/>
        </w:rPr>
        <w:t>[subsection 16(3)]</w:t>
      </w:r>
      <w:r w:rsidR="007F3D58" w:rsidRPr="00F82C8D">
        <w:rPr>
          <w:b/>
          <w:i/>
          <w:sz w:val="20"/>
          <w:lang w:val="en-AU"/>
        </w:rPr>
        <w:t xml:space="preserve"> </w:t>
      </w:r>
      <w:r w:rsidR="007F3D58" w:rsidRPr="00F82C8D">
        <w:rPr>
          <w:lang w:val="en-AU"/>
        </w:rPr>
        <w:t xml:space="preserve">The type of details are listed in section 4 of the safeguard rule, and include the start date of the determination and </w:t>
      </w:r>
      <w:r w:rsidR="00083A27" w:rsidRPr="00F82C8D">
        <w:rPr>
          <w:lang w:val="en-AU"/>
        </w:rPr>
        <w:t>the relevant</w:t>
      </w:r>
      <w:r w:rsidR="007F3D58" w:rsidRPr="00F82C8D">
        <w:rPr>
          <w:lang w:val="en-AU"/>
        </w:rPr>
        <w:t xml:space="preserve"> facility.</w:t>
      </w:r>
    </w:p>
    <w:p w:rsidR="007073B3" w:rsidRPr="00F82C8D" w:rsidRDefault="007073B3" w:rsidP="00625D31">
      <w:pPr>
        <w:pStyle w:val="ListParagraph"/>
        <w:rPr>
          <w:lang w:val="en-AU"/>
        </w:rPr>
      </w:pPr>
      <w:r w:rsidRPr="00F82C8D">
        <w:rPr>
          <w:lang w:val="en-AU"/>
        </w:rPr>
        <w:t xml:space="preserve">It is intended that the Regulator </w:t>
      </w:r>
      <w:r w:rsidR="00825373" w:rsidRPr="00F82C8D">
        <w:rPr>
          <w:lang w:val="en-AU"/>
        </w:rPr>
        <w:t>may</w:t>
      </w:r>
      <w:r w:rsidR="00E36720" w:rsidRPr="00F82C8D">
        <w:rPr>
          <w:lang w:val="en-AU"/>
        </w:rPr>
        <w:t xml:space="preserve"> begin</w:t>
      </w:r>
      <w:r w:rsidRPr="00F82C8D">
        <w:rPr>
          <w:lang w:val="en-AU"/>
        </w:rPr>
        <w:t xml:space="preserve"> the work to make reported-emissions baseline determinations in anticipation of the commencement of the safeguard rule. Accordingly, the Regulator may begin the process for making a determination, including issuing written notice about this to responsible emitters, before the safeguard rule commences. </w:t>
      </w:r>
      <w:r w:rsidRPr="00F82C8D">
        <w:rPr>
          <w:b/>
          <w:i/>
          <w:sz w:val="20"/>
          <w:lang w:val="en-AU"/>
        </w:rPr>
        <w:t>[subsection 16(4)]</w:t>
      </w:r>
      <w:r w:rsidR="00D8763A" w:rsidRPr="00F82C8D">
        <w:rPr>
          <w:b/>
          <w:i/>
          <w:sz w:val="20"/>
          <w:lang w:val="en-AU"/>
        </w:rPr>
        <w:t xml:space="preserve"> </w:t>
      </w:r>
      <w:r w:rsidR="00D8763A" w:rsidRPr="00F82C8D">
        <w:rPr>
          <w:lang w:val="en-AU"/>
        </w:rPr>
        <w:t xml:space="preserve">The written notice may specify a due date for comments that is prior to the commencement of the safeguard rule, </w:t>
      </w:r>
      <w:r w:rsidR="008C69DD" w:rsidRPr="00F82C8D">
        <w:rPr>
          <w:lang w:val="en-AU"/>
        </w:rPr>
        <w:t>however</w:t>
      </w:r>
      <w:r w:rsidR="00D8763A" w:rsidRPr="00F82C8D">
        <w:rPr>
          <w:lang w:val="en-AU"/>
        </w:rPr>
        <w:t xml:space="preserve"> the Regulator’s decision to make the reported-emissions baseline determination can only be made after the rule commences.</w:t>
      </w:r>
    </w:p>
    <w:p w:rsidR="00642964" w:rsidRPr="00F82C8D" w:rsidRDefault="00642964" w:rsidP="00642964">
      <w:pPr>
        <w:pStyle w:val="Heading3"/>
      </w:pPr>
      <w:r w:rsidRPr="00F82C8D">
        <w:t>Section 17: Determining the baseline emissions number</w:t>
      </w:r>
    </w:p>
    <w:p w:rsidR="006903B0" w:rsidRPr="00F82C8D" w:rsidRDefault="00642964" w:rsidP="00625D31">
      <w:pPr>
        <w:pStyle w:val="ListParagraph"/>
        <w:rPr>
          <w:lang w:val="en-AU"/>
        </w:rPr>
      </w:pPr>
      <w:r w:rsidRPr="00F82C8D">
        <w:t xml:space="preserve">The baseline emissions number is generally the highest reported scope 1 emissions </w:t>
      </w:r>
      <w:r w:rsidR="00A5345C" w:rsidRPr="00F82C8D">
        <w:t xml:space="preserve">value </w:t>
      </w:r>
      <w:r w:rsidR="00B31789" w:rsidRPr="00F82C8D">
        <w:t xml:space="preserve">in the financial years </w:t>
      </w:r>
      <w:r w:rsidR="00A5345C" w:rsidRPr="00F82C8D">
        <w:t xml:space="preserve">from </w:t>
      </w:r>
      <w:r w:rsidR="00B31789" w:rsidRPr="00F82C8D">
        <w:t>2009</w:t>
      </w:r>
      <w:r w:rsidR="00B31789" w:rsidRPr="00F82C8D">
        <w:noBreakHyphen/>
        <w:t>10 to 2013</w:t>
      </w:r>
      <w:r w:rsidR="00B31789" w:rsidRPr="00F82C8D">
        <w:noBreakHyphen/>
        <w:t>14</w:t>
      </w:r>
      <w:r w:rsidRPr="00F82C8D">
        <w:t>.</w:t>
      </w:r>
      <w:r w:rsidR="00B31789" w:rsidRPr="00F82C8D">
        <w:t xml:space="preserve"> As well as updating </w:t>
      </w:r>
      <w:r w:rsidR="00BF5045" w:rsidRPr="00F82C8D">
        <w:t>global warming potential</w:t>
      </w:r>
      <w:r w:rsidR="00B31789" w:rsidRPr="00F82C8D">
        <w:t xml:space="preserve"> values, there are a number of potential adjustments</w:t>
      </w:r>
      <w:r w:rsidR="00A5345C" w:rsidRPr="00F82C8D">
        <w:t xml:space="preserve"> that may be made</w:t>
      </w:r>
      <w:r w:rsidR="00B31789" w:rsidRPr="00F82C8D">
        <w:t xml:space="preserve"> to these </w:t>
      </w:r>
      <w:r w:rsidR="00A5345C" w:rsidRPr="00F82C8D">
        <w:t>emissions values</w:t>
      </w:r>
      <w:r w:rsidR="00B31789" w:rsidRPr="00F82C8D">
        <w:t xml:space="preserve"> to ensure that the baseline emissions number reflects the activities currently conducted at each facility.</w:t>
      </w:r>
    </w:p>
    <w:p w:rsidR="00DB293E" w:rsidRPr="00F82C8D" w:rsidRDefault="007073B3">
      <w:pPr>
        <w:pStyle w:val="Heading4"/>
        <w:rPr>
          <w:i w:val="0"/>
          <w:lang w:val="en-AU"/>
        </w:rPr>
      </w:pPr>
      <w:r w:rsidRPr="00F82C8D">
        <w:rPr>
          <w:lang w:val="en-AU"/>
        </w:rPr>
        <w:t xml:space="preserve"> Vertically integrated production processes</w:t>
      </w:r>
    </w:p>
    <w:p w:rsidR="007073B3" w:rsidRPr="00F82C8D" w:rsidRDefault="007073B3" w:rsidP="00625D31">
      <w:pPr>
        <w:pStyle w:val="ListParagraph"/>
        <w:rPr>
          <w:lang w:val="en-AU"/>
        </w:rPr>
      </w:pPr>
      <w:r w:rsidRPr="00F82C8D">
        <w:rPr>
          <w:lang w:val="en-AU"/>
        </w:rPr>
        <w:t xml:space="preserve">Before 2013, when the NGER Regulations were amended by the </w:t>
      </w:r>
      <w:r w:rsidRPr="00F82C8D">
        <w:rPr>
          <w:i/>
          <w:lang w:val="en-AU"/>
        </w:rPr>
        <w:t>National Greenhouse and Energy Reporting Amendment (Streamlining Reporting) Regulation 2013</w:t>
      </w:r>
      <w:r w:rsidRPr="00F82C8D">
        <w:rPr>
          <w:lang w:val="en-AU"/>
        </w:rPr>
        <w:t xml:space="preserve">, a responsible emitter may have had the option of reporting emissions from its facilities as emissions from a single vertically integrated production process. </w:t>
      </w:r>
    </w:p>
    <w:p w:rsidR="007073B3" w:rsidRPr="00F82C8D" w:rsidRDefault="007073B3" w:rsidP="0051382B">
      <w:pPr>
        <w:pStyle w:val="Quote"/>
      </w:pPr>
      <w:r w:rsidRPr="00F82C8D">
        <w:t>For example, a steel manufacturer may have been an example of vertical integration if the operator of the steel mill also operated the mine the raw product was sourced from, the transport network used to transport raw material to the steel mill or to customers (for example: a rail network or truck fleet), or any intermediate processing plants or export facilities.</w:t>
      </w:r>
    </w:p>
    <w:p w:rsidR="007073B3" w:rsidRPr="00F82C8D" w:rsidRDefault="007073B3" w:rsidP="00625D31">
      <w:pPr>
        <w:pStyle w:val="ListParagraph"/>
        <w:rPr>
          <w:i/>
          <w:lang w:val="en-AU"/>
        </w:rPr>
      </w:pPr>
      <w:r w:rsidRPr="00F82C8D">
        <w:rPr>
          <w:lang w:val="en-AU"/>
        </w:rPr>
        <w:t xml:space="preserve">Reported-emissions baseline determinations are made for individual </w:t>
      </w:r>
      <w:r w:rsidR="00D037A0" w:rsidRPr="00F82C8D">
        <w:rPr>
          <w:lang w:val="en-AU"/>
        </w:rPr>
        <w:t>designated large facilit</w:t>
      </w:r>
      <w:r w:rsidRPr="00F82C8D">
        <w:rPr>
          <w:lang w:val="en-AU"/>
        </w:rPr>
        <w:t xml:space="preserve">ies, not vertically integrated production processes. If a </w:t>
      </w:r>
      <w:r w:rsidR="00D037A0" w:rsidRPr="00F82C8D">
        <w:rPr>
          <w:lang w:val="en-AU"/>
        </w:rPr>
        <w:t>designated large facilit</w:t>
      </w:r>
      <w:r w:rsidRPr="00F82C8D">
        <w:rPr>
          <w:lang w:val="en-AU"/>
        </w:rPr>
        <w:t xml:space="preserve">y’s emissions were formerly reported as part of a vertically integrated production process, only emissions attributable to the operation of the facility are taken into account. </w:t>
      </w:r>
      <w:r w:rsidRPr="00F82C8D">
        <w:rPr>
          <w:b/>
          <w:i/>
          <w:sz w:val="20"/>
          <w:lang w:val="en-AU"/>
        </w:rPr>
        <w:t>[subsection 17(2)]</w:t>
      </w:r>
      <w:r w:rsidRPr="00F82C8D">
        <w:rPr>
          <w:lang w:val="en-AU"/>
        </w:rPr>
        <w:t xml:space="preserve"> The Regulator may disaggregate data previously provided as a vertically integrated production process to meet this requirement. The responsible emitter must be notified about this at the time it is notified about the Regulator’s intention to make the reported-emissions baseline determination. </w:t>
      </w:r>
      <w:r w:rsidRPr="00F82C8D">
        <w:rPr>
          <w:b/>
          <w:i/>
          <w:sz w:val="20"/>
          <w:lang w:val="en-AU"/>
        </w:rPr>
        <w:t>[subparagraph</w:t>
      </w:r>
      <w:r w:rsidR="00A5345C" w:rsidRPr="00F82C8D">
        <w:rPr>
          <w:b/>
          <w:i/>
          <w:sz w:val="20"/>
          <w:lang w:val="en-AU"/>
        </w:rPr>
        <w:t> 16(1)(c)(</w:t>
      </w:r>
      <w:r w:rsidRPr="00F82C8D">
        <w:rPr>
          <w:b/>
          <w:i/>
          <w:sz w:val="20"/>
          <w:lang w:val="en-AU"/>
        </w:rPr>
        <w:t>i)]</w:t>
      </w:r>
    </w:p>
    <w:p w:rsidR="007073B3" w:rsidRPr="00F82C8D" w:rsidRDefault="007073B3" w:rsidP="007073B3">
      <w:pPr>
        <w:pStyle w:val="Heading4"/>
      </w:pPr>
      <w:r w:rsidRPr="00F82C8D">
        <w:t>Correct attribution of emissions</w:t>
      </w:r>
    </w:p>
    <w:p w:rsidR="00DA7342" w:rsidRPr="00F82C8D" w:rsidRDefault="007073B3" w:rsidP="00DA7342">
      <w:pPr>
        <w:pStyle w:val="ListParagraph"/>
        <w:rPr>
          <w:i/>
          <w:lang w:val="en-AU"/>
        </w:rPr>
      </w:pPr>
      <w:r w:rsidRPr="00F82C8D">
        <w:rPr>
          <w:lang w:val="en-AU"/>
        </w:rPr>
        <w:t xml:space="preserve">To ensure that the Regulator makes a reported-emissions baseline determination appropriate to a facility’s present circumstances, the Regulator may disregard or include covered emissions in the baseline emissions number if they are significant. </w:t>
      </w:r>
      <w:r w:rsidR="00893FB8" w:rsidRPr="00F82C8D">
        <w:rPr>
          <w:lang w:val="en-AU"/>
        </w:rPr>
        <w:t xml:space="preserve">Significant means that the emissions </w:t>
      </w:r>
      <w:r w:rsidR="003D77CC" w:rsidRPr="00F82C8D">
        <w:rPr>
          <w:lang w:val="en-AU"/>
        </w:rPr>
        <w:t>would exceed</w:t>
      </w:r>
      <w:r w:rsidR="00893FB8" w:rsidRPr="00F82C8D">
        <w:rPr>
          <w:lang w:val="en-AU"/>
        </w:rPr>
        <w:t xml:space="preserve"> the baseline emissions number by more than five per cent. </w:t>
      </w:r>
      <w:r w:rsidRPr="00F82C8D">
        <w:rPr>
          <w:b/>
          <w:i/>
          <w:sz w:val="20"/>
          <w:lang w:val="en-AU"/>
        </w:rPr>
        <w:t>[subsection 17(7)]</w:t>
      </w:r>
    </w:p>
    <w:p w:rsidR="00AA0837" w:rsidRPr="00F82C8D" w:rsidRDefault="007073B3" w:rsidP="00F23941">
      <w:pPr>
        <w:pStyle w:val="ListParagraph"/>
        <w:keepNext/>
        <w:rPr>
          <w:i/>
          <w:lang w:val="en-AU"/>
        </w:rPr>
      </w:pPr>
      <w:r w:rsidRPr="00F82C8D">
        <w:rPr>
          <w:lang w:val="en-AU"/>
        </w:rPr>
        <w:t xml:space="preserve">The Regulator </w:t>
      </w:r>
      <w:r w:rsidR="008C69DD" w:rsidRPr="00F82C8D">
        <w:rPr>
          <w:lang w:val="en-AU"/>
        </w:rPr>
        <w:t>must</w:t>
      </w:r>
      <w:r w:rsidRPr="00F82C8D">
        <w:rPr>
          <w:lang w:val="en-AU"/>
        </w:rPr>
        <w:t xml:space="preserve"> disregard significant </w:t>
      </w:r>
      <w:r w:rsidR="008C69DD" w:rsidRPr="00F82C8D">
        <w:rPr>
          <w:lang w:val="en-AU"/>
        </w:rPr>
        <w:t xml:space="preserve">covered </w:t>
      </w:r>
      <w:r w:rsidRPr="00F82C8D">
        <w:rPr>
          <w:lang w:val="en-AU"/>
        </w:rPr>
        <w:t>emissions if</w:t>
      </w:r>
      <w:r w:rsidR="00942D59" w:rsidRPr="00F82C8D">
        <w:rPr>
          <w:lang w:val="en-AU"/>
        </w:rPr>
        <w:t xml:space="preserve"> </w:t>
      </w:r>
      <w:r w:rsidR="00AA0837" w:rsidRPr="00F82C8D">
        <w:rPr>
          <w:lang w:val="en-AU"/>
        </w:rPr>
        <w:t>either:</w:t>
      </w:r>
    </w:p>
    <w:p w:rsidR="00DB293E" w:rsidRPr="00F82C8D" w:rsidRDefault="00AA0837">
      <w:pPr>
        <w:pStyle w:val="ListBullet"/>
        <w:rPr>
          <w:i/>
        </w:rPr>
      </w:pPr>
      <w:r w:rsidRPr="00F82C8D">
        <w:t>they</w:t>
      </w:r>
      <w:r w:rsidR="007073B3" w:rsidRPr="00F82C8D">
        <w:t xml:space="preserve"> are attributable to activities no longer being conducted at the facility</w:t>
      </w:r>
      <w:r w:rsidR="00DA7342" w:rsidRPr="00F82C8D">
        <w:t xml:space="preserve">, provided that activities of the same kind as these previous activities are </w:t>
      </w:r>
      <w:r w:rsidRPr="00F82C8D">
        <w:t xml:space="preserve">also </w:t>
      </w:r>
      <w:r w:rsidR="00DA7342" w:rsidRPr="00F82C8D">
        <w:t>no long conducted</w:t>
      </w:r>
      <w:r w:rsidRPr="00F82C8D">
        <w:t xml:space="preserve"> and not likely to be conducted for at least three years</w:t>
      </w:r>
      <w:r w:rsidR="00DA7342" w:rsidRPr="00F82C8D">
        <w:t>,</w:t>
      </w:r>
      <w:r w:rsidR="007073B3" w:rsidRPr="00F82C8D">
        <w:t xml:space="preserve"> or </w:t>
      </w:r>
    </w:p>
    <w:p w:rsidR="00DB293E" w:rsidRPr="00F82C8D" w:rsidRDefault="00DA7342">
      <w:pPr>
        <w:pStyle w:val="ListBullet"/>
        <w:rPr>
          <w:i/>
        </w:rPr>
      </w:pPr>
      <w:r w:rsidRPr="00F82C8D">
        <w:t>the emissions from these previous activities are</w:t>
      </w:r>
      <w:r w:rsidR="007073B3" w:rsidRPr="00F82C8D">
        <w:t xml:space="preserve"> now reported under the Act as part of another facility. </w:t>
      </w:r>
      <w:r w:rsidR="007073B3" w:rsidRPr="00F82C8D">
        <w:rPr>
          <w:b/>
          <w:i/>
          <w:sz w:val="20"/>
        </w:rPr>
        <w:t>[subsection 17(3)]</w:t>
      </w:r>
      <w:r w:rsidR="00F62F50" w:rsidRPr="00F82C8D">
        <w:rPr>
          <w:b/>
          <w:i/>
          <w:sz w:val="20"/>
        </w:rPr>
        <w:t xml:space="preserve"> </w:t>
      </w:r>
    </w:p>
    <w:p w:rsidR="00DB293E" w:rsidRPr="00F82C8D" w:rsidRDefault="00F62F50">
      <w:pPr>
        <w:pStyle w:val="ListBullet"/>
        <w:numPr>
          <w:ilvl w:val="0"/>
          <w:numId w:val="0"/>
        </w:numPr>
        <w:ind w:left="1304"/>
        <w:rPr>
          <w:i/>
        </w:rPr>
      </w:pPr>
      <w:r w:rsidRPr="00F82C8D">
        <w:t xml:space="preserve">A change that warrants the Regulator to disregard significant </w:t>
      </w:r>
      <w:r w:rsidR="008C69DD" w:rsidRPr="00F82C8D">
        <w:t xml:space="preserve">covered </w:t>
      </w:r>
      <w:r w:rsidRPr="00F82C8D">
        <w:t xml:space="preserve">emissions would therefore relate to a change in the scope or </w:t>
      </w:r>
      <w:r w:rsidR="00DA7342" w:rsidRPr="00F82C8D">
        <w:t>kind</w:t>
      </w:r>
      <w:r w:rsidRPr="00F82C8D">
        <w:t xml:space="preserve"> of activities conducted at a facility, rathe</w:t>
      </w:r>
      <w:r w:rsidR="00E76130" w:rsidRPr="00F82C8D">
        <w:t xml:space="preserve">r than the scale of activities. </w:t>
      </w:r>
    </w:p>
    <w:p w:rsidR="007073B3" w:rsidRPr="00F82C8D" w:rsidRDefault="00E76130" w:rsidP="00E76130">
      <w:pPr>
        <w:pStyle w:val="Quote"/>
        <w:rPr>
          <w:i/>
        </w:rPr>
      </w:pPr>
      <w:r w:rsidRPr="00F82C8D">
        <w:t xml:space="preserve">For example if the significant </w:t>
      </w:r>
      <w:r w:rsidR="008C69DD" w:rsidRPr="00F82C8D">
        <w:t xml:space="preserve">covered </w:t>
      </w:r>
      <w:r w:rsidRPr="00F82C8D">
        <w:t>emissions relate to a decrease in</w:t>
      </w:r>
      <w:r w:rsidR="00F62F50" w:rsidRPr="00F82C8D">
        <w:t xml:space="preserve"> production volumes or changes in the equipment conducting the same type o</w:t>
      </w:r>
      <w:r w:rsidRPr="00F82C8D">
        <w:t xml:space="preserve">f activity, then the significant </w:t>
      </w:r>
      <w:r w:rsidR="008C69DD" w:rsidRPr="00F82C8D">
        <w:t xml:space="preserve">covered </w:t>
      </w:r>
      <w:r w:rsidRPr="00F82C8D">
        <w:t xml:space="preserve">emissions should not be disregarded when determining the baseline emissions number. </w:t>
      </w:r>
    </w:p>
    <w:p w:rsidR="007073B3" w:rsidRPr="00F82C8D" w:rsidRDefault="007073B3" w:rsidP="00625D31">
      <w:pPr>
        <w:pStyle w:val="ListParagraph"/>
        <w:rPr>
          <w:lang w:val="en-AU"/>
        </w:rPr>
      </w:pPr>
      <w:r w:rsidRPr="00F82C8D">
        <w:rPr>
          <w:lang w:val="en-AU"/>
        </w:rPr>
        <w:t xml:space="preserve">Similarly, the Regulator </w:t>
      </w:r>
      <w:r w:rsidR="00A07CE3" w:rsidRPr="00F82C8D">
        <w:rPr>
          <w:lang w:val="en-AU"/>
        </w:rPr>
        <w:t>is to</w:t>
      </w:r>
      <w:r w:rsidRPr="00F82C8D">
        <w:rPr>
          <w:lang w:val="en-AU"/>
        </w:rPr>
        <w:t xml:space="preserve"> include significant </w:t>
      </w:r>
      <w:r w:rsidR="008C69DD" w:rsidRPr="00F82C8D">
        <w:rPr>
          <w:lang w:val="en-AU"/>
        </w:rPr>
        <w:t xml:space="preserve">covered </w:t>
      </w:r>
      <w:r w:rsidRPr="00F82C8D">
        <w:rPr>
          <w:lang w:val="en-AU"/>
        </w:rPr>
        <w:t>emissions</w:t>
      </w:r>
      <w:r w:rsidR="00A5345C" w:rsidRPr="00F82C8D">
        <w:rPr>
          <w:lang w:val="en-AU"/>
        </w:rPr>
        <w:t xml:space="preserve"> resulting from a change in the facility boundary</w:t>
      </w:r>
      <w:r w:rsidR="008C69DD" w:rsidRPr="00F82C8D">
        <w:rPr>
          <w:lang w:val="en-AU"/>
        </w:rPr>
        <w:t xml:space="preserve"> or scope of activities</w:t>
      </w:r>
      <w:r w:rsidR="00A5345C" w:rsidRPr="00F82C8D">
        <w:rPr>
          <w:lang w:val="en-AU"/>
        </w:rPr>
        <w:t>, meaning that</w:t>
      </w:r>
      <w:r w:rsidR="006E1B5E" w:rsidRPr="00F82C8D">
        <w:rPr>
          <w:lang w:val="en-AU"/>
        </w:rPr>
        <w:t xml:space="preserve"> covered</w:t>
      </w:r>
      <w:r w:rsidR="00551199" w:rsidRPr="00F82C8D">
        <w:rPr>
          <w:lang w:val="en-AU"/>
        </w:rPr>
        <w:t xml:space="preserve"> emissions from</w:t>
      </w:r>
      <w:r w:rsidRPr="00F82C8D">
        <w:rPr>
          <w:lang w:val="en-AU"/>
        </w:rPr>
        <w:t xml:space="preserve"> activities now undertaken at the facility </w:t>
      </w:r>
      <w:r w:rsidR="00551199" w:rsidRPr="00F82C8D">
        <w:rPr>
          <w:lang w:val="en-AU"/>
        </w:rPr>
        <w:t>had been previously</w:t>
      </w:r>
      <w:r w:rsidRPr="00F82C8D">
        <w:rPr>
          <w:lang w:val="en-AU"/>
        </w:rPr>
        <w:t xml:space="preserve"> reported as coming from another facility. </w:t>
      </w:r>
      <w:r w:rsidR="00491A60" w:rsidRPr="00F82C8D">
        <w:rPr>
          <w:lang w:val="en-AU"/>
        </w:rPr>
        <w:t>That is, a change in facility boundary</w:t>
      </w:r>
      <w:r w:rsidR="008C69DD" w:rsidRPr="00F82C8D">
        <w:rPr>
          <w:lang w:val="en-AU"/>
        </w:rPr>
        <w:t xml:space="preserve"> or scope of activities</w:t>
      </w:r>
      <w:r w:rsidR="00491A60" w:rsidRPr="00F82C8D">
        <w:rPr>
          <w:lang w:val="en-AU"/>
        </w:rPr>
        <w:t xml:space="preserve"> has occurred to include another—or part of another—facility. </w:t>
      </w:r>
      <w:r w:rsidRPr="00F82C8D">
        <w:rPr>
          <w:b/>
          <w:i/>
          <w:sz w:val="20"/>
          <w:lang w:val="en-AU"/>
        </w:rPr>
        <w:t>[</w:t>
      </w:r>
      <w:r w:rsidR="00551199" w:rsidRPr="00F82C8D">
        <w:rPr>
          <w:b/>
          <w:i/>
          <w:sz w:val="20"/>
          <w:lang w:val="en-AU"/>
        </w:rPr>
        <w:t>subsection 17(4)</w:t>
      </w:r>
      <w:r w:rsidRPr="00F82C8D">
        <w:rPr>
          <w:b/>
          <w:i/>
          <w:sz w:val="20"/>
          <w:lang w:val="en-AU"/>
        </w:rPr>
        <w:t>]</w:t>
      </w:r>
      <w:r w:rsidR="00491A60" w:rsidRPr="00F82C8D">
        <w:rPr>
          <w:lang w:val="en-AU"/>
        </w:rPr>
        <w:t xml:space="preserve"> A change in facility boundary</w:t>
      </w:r>
      <w:r w:rsidRPr="00F82C8D">
        <w:rPr>
          <w:lang w:val="en-AU"/>
        </w:rPr>
        <w:t xml:space="preserve"> </w:t>
      </w:r>
      <w:r w:rsidR="008C69DD" w:rsidRPr="00F82C8D">
        <w:rPr>
          <w:lang w:val="en-AU"/>
        </w:rPr>
        <w:t xml:space="preserve">or scope of activities </w:t>
      </w:r>
      <w:r w:rsidRPr="00F82C8D">
        <w:rPr>
          <w:lang w:val="en-AU"/>
        </w:rPr>
        <w:t xml:space="preserve">does not include the expansion of activities already undertaken at the facility. </w:t>
      </w:r>
    </w:p>
    <w:p w:rsidR="002E30E9" w:rsidRPr="00F82C8D" w:rsidRDefault="002E30E9" w:rsidP="002E30E9">
      <w:pPr>
        <w:pStyle w:val="Quote"/>
      </w:pPr>
      <w:r w:rsidRPr="00F82C8D">
        <w:t xml:space="preserve">An example of a boundary change </w:t>
      </w:r>
      <w:r w:rsidR="00E36720" w:rsidRPr="00F82C8D">
        <w:t>is</w:t>
      </w:r>
      <w:r w:rsidRPr="00F82C8D">
        <w:t xml:space="preserve"> where a facility (Facility A) begins to produce electricity where it previously purchased electricity from a separate facility (Facility B). The scope 1 emissions associated with the electricity used at Facility A is required to be repor</w:t>
      </w:r>
      <w:r w:rsidR="00704F69" w:rsidRPr="00F82C8D">
        <w:t>ted by the operator of Facility </w:t>
      </w:r>
      <w:r w:rsidRPr="00F82C8D">
        <w:t>A</w:t>
      </w:r>
      <w:r w:rsidR="00394E74" w:rsidRPr="00F82C8D">
        <w:t xml:space="preserve"> </w:t>
      </w:r>
      <w:r w:rsidR="00704F69" w:rsidRPr="00F82C8D">
        <w:rPr>
          <w:rStyle w:val="Emphasis"/>
        </w:rPr>
        <w:t>[paragraph </w:t>
      </w:r>
      <w:r w:rsidRPr="00F82C8D">
        <w:rPr>
          <w:rStyle w:val="Emphasis"/>
        </w:rPr>
        <w:t>17(4)(b)]</w:t>
      </w:r>
      <w:r w:rsidRPr="00F82C8D">
        <w:t xml:space="preserve"> and must have previously been reported as occurring at a separate facility (e.g. Facility B)</w:t>
      </w:r>
      <w:r w:rsidR="00704F69" w:rsidRPr="00F82C8D">
        <w:t>.</w:t>
      </w:r>
      <w:r w:rsidRPr="00F82C8D">
        <w:t xml:space="preserve"> </w:t>
      </w:r>
      <w:r w:rsidR="00551199" w:rsidRPr="00F82C8D">
        <w:rPr>
          <w:rStyle w:val="Emphasis"/>
        </w:rPr>
        <w:t>[paragraph 17(4)(c</w:t>
      </w:r>
      <w:r w:rsidRPr="00F82C8D">
        <w:rPr>
          <w:rStyle w:val="Emphasis"/>
        </w:rPr>
        <w:t xml:space="preserve">)] </w:t>
      </w:r>
      <w:r w:rsidRPr="00F82C8D">
        <w:t>The emis</w:t>
      </w:r>
      <w:r w:rsidR="00551199" w:rsidRPr="00F82C8D">
        <w:t>sions must be covered emissions.</w:t>
      </w:r>
    </w:p>
    <w:p w:rsidR="00704F69" w:rsidRPr="00F82C8D" w:rsidRDefault="009054E3" w:rsidP="001F7D80">
      <w:pPr>
        <w:pStyle w:val="ListParagraph"/>
        <w:rPr>
          <w:lang w:val="en-AU"/>
        </w:rPr>
      </w:pPr>
      <w:r w:rsidRPr="00F82C8D">
        <w:t xml:space="preserve">When disregarding or including </w:t>
      </w:r>
      <w:r w:rsidR="00EF0775" w:rsidRPr="00F82C8D">
        <w:t xml:space="preserve">significant covered </w:t>
      </w:r>
      <w:r w:rsidRPr="00F82C8D">
        <w:t>emissions for a facility under section 17</w:t>
      </w:r>
      <w:r w:rsidR="00491A60" w:rsidRPr="00F82C8D">
        <w:t xml:space="preserve"> of the </w:t>
      </w:r>
      <w:r w:rsidR="00D360AB" w:rsidRPr="00F82C8D">
        <w:t>safeguard rule</w:t>
      </w:r>
      <w:r w:rsidRPr="00F82C8D">
        <w:t>, the</w:t>
      </w:r>
      <w:r w:rsidR="001F7D80" w:rsidRPr="00F82C8D">
        <w:rPr>
          <w:lang w:val="en-AU"/>
        </w:rPr>
        <w:t xml:space="preserve"> Regulator </w:t>
      </w:r>
      <w:r w:rsidRPr="00F82C8D">
        <w:rPr>
          <w:lang w:val="en-AU"/>
        </w:rPr>
        <w:t>may</w:t>
      </w:r>
      <w:r w:rsidR="00F6689F" w:rsidRPr="00F82C8D">
        <w:rPr>
          <w:lang w:val="en-AU"/>
        </w:rPr>
        <w:t xml:space="preserve"> </w:t>
      </w:r>
      <w:r w:rsidR="00F6689F" w:rsidRPr="00F82C8D">
        <w:rPr>
          <w:rStyle w:val="Emphasis"/>
        </w:rPr>
        <w:t>[subsection 17(8)]</w:t>
      </w:r>
      <w:r w:rsidRPr="00F82C8D">
        <w:rPr>
          <w:lang w:val="en-AU"/>
        </w:rPr>
        <w:t>:</w:t>
      </w:r>
    </w:p>
    <w:p w:rsidR="00DB293E" w:rsidRPr="00F82C8D" w:rsidRDefault="00F6689F">
      <w:pPr>
        <w:pStyle w:val="ListBullet"/>
      </w:pPr>
      <w:r w:rsidRPr="00F82C8D">
        <w:t>t</w:t>
      </w:r>
      <w:r w:rsidR="009054E3" w:rsidRPr="00F82C8D">
        <w:t>ake into account information provided by the responsible emitter and any audit reports associated with information</w:t>
      </w:r>
    </w:p>
    <w:p w:rsidR="00DB293E" w:rsidRPr="00F82C8D" w:rsidRDefault="00B562B6">
      <w:pPr>
        <w:pStyle w:val="ListBullet"/>
      </w:pPr>
      <w:r w:rsidRPr="00F82C8D">
        <w:t>include or</w:t>
      </w:r>
      <w:r w:rsidR="00F6689F" w:rsidRPr="00F82C8D">
        <w:t xml:space="preserve"> disregard emissions on a pro rata basis using information shown in one or more reports under the Act</w:t>
      </w:r>
    </w:p>
    <w:p w:rsidR="00DB293E" w:rsidRPr="00F82C8D" w:rsidRDefault="00F6689F">
      <w:pPr>
        <w:pStyle w:val="ListBullet"/>
      </w:pPr>
      <w:r w:rsidRPr="00F82C8D">
        <w:t xml:space="preserve">make a decision to include or disregard emissions if an audit </w:t>
      </w:r>
      <w:r w:rsidR="00E76130" w:rsidRPr="00F82C8D">
        <w:t>of the emissions</w:t>
      </w:r>
      <w:r w:rsidRPr="00F82C8D">
        <w:t xml:space="preserve"> was requested with regards to the facility’s emissions information, and this </w:t>
      </w:r>
      <w:r w:rsidR="00E76130" w:rsidRPr="00F82C8D">
        <w:t xml:space="preserve">audit report was not provided </w:t>
      </w:r>
      <w:r w:rsidR="00B043BB">
        <w:t>or did not meet</w:t>
      </w:r>
      <w:r w:rsidR="00E76130" w:rsidRPr="00F82C8D">
        <w:t xml:space="preserve"> </w:t>
      </w:r>
      <w:r w:rsidR="00B043BB">
        <w:t>the</w:t>
      </w:r>
      <w:r w:rsidR="00E76130" w:rsidRPr="00F82C8D">
        <w:t xml:space="preserve"> requirements notified in writing by the Regulator to the responsible emitter for the facility.</w:t>
      </w:r>
    </w:p>
    <w:p w:rsidR="00B4398E" w:rsidRPr="00F82C8D" w:rsidRDefault="00EF0775" w:rsidP="00EF0775">
      <w:pPr>
        <w:pStyle w:val="ListParagraph"/>
      </w:pPr>
      <w:r w:rsidRPr="00F82C8D">
        <w:t xml:space="preserve">Although it is not a mandatory requirement for the responsible emitter to provide the audit report referred to above, failure of the Regulator to have access to such information may impact its decision </w:t>
      </w:r>
      <w:r w:rsidR="00AA0837" w:rsidRPr="00F82C8D">
        <w:t>to include</w:t>
      </w:r>
      <w:r w:rsidRPr="00F82C8D">
        <w:t xml:space="preserve"> or exclude emissions.</w:t>
      </w:r>
    </w:p>
    <w:p w:rsidR="00A35CF7" w:rsidRPr="00F82C8D" w:rsidRDefault="00A35CF7" w:rsidP="00A35CF7">
      <w:pPr>
        <w:pStyle w:val="ListParagraph"/>
        <w:rPr>
          <w:lang w:val="en-AU"/>
        </w:rPr>
      </w:pPr>
      <w:r w:rsidRPr="00F82C8D">
        <w:rPr>
          <w:lang w:val="en-AU"/>
        </w:rPr>
        <w:t xml:space="preserve">Please see </w:t>
      </w:r>
      <w:r w:rsidR="00B26AD9" w:rsidRPr="00F82C8D">
        <w:rPr>
          <w:lang w:val="en-AU"/>
        </w:rPr>
        <w:t xml:space="preserve">the section headed </w:t>
      </w:r>
      <w:fldSimple w:instr=" REF _Ref426988941 \h  \* MERGEFORMAT ">
        <w:r w:rsidR="00F16B1F" w:rsidRPr="00F16B1F">
          <w:rPr>
            <w:i/>
            <w:lang w:val="en-AU"/>
          </w:rPr>
          <w:t>Global warming potential</w:t>
        </w:r>
      </w:fldSimple>
      <w:r w:rsidRPr="00F82C8D">
        <w:rPr>
          <w:lang w:val="en-AU"/>
        </w:rPr>
        <w:t xml:space="preserve"> on page </w:t>
      </w:r>
      <w:r w:rsidR="00744D5E" w:rsidRPr="00F82C8D">
        <w:rPr>
          <w:lang w:val="en-AU"/>
        </w:rPr>
        <w:fldChar w:fldCharType="begin"/>
      </w:r>
      <w:r w:rsidRPr="00F82C8D">
        <w:rPr>
          <w:lang w:val="en-AU"/>
        </w:rPr>
        <w:instrText xml:space="preserve"> PAGEREF _Ref426988941 \h </w:instrText>
      </w:r>
      <w:r w:rsidR="00744D5E" w:rsidRPr="00F82C8D">
        <w:rPr>
          <w:lang w:val="en-AU"/>
        </w:rPr>
      </w:r>
      <w:r w:rsidR="00744D5E" w:rsidRPr="00F82C8D">
        <w:rPr>
          <w:lang w:val="en-AU"/>
        </w:rPr>
        <w:fldChar w:fldCharType="separate"/>
      </w:r>
      <w:r w:rsidR="00F16B1F">
        <w:rPr>
          <w:noProof/>
          <w:lang w:val="en-AU"/>
        </w:rPr>
        <w:t>40</w:t>
      </w:r>
      <w:r w:rsidR="00744D5E" w:rsidRPr="00F82C8D">
        <w:rPr>
          <w:lang w:val="en-AU"/>
        </w:rPr>
        <w:fldChar w:fldCharType="end"/>
      </w:r>
      <w:r w:rsidRPr="00F82C8D">
        <w:rPr>
          <w:lang w:val="en-AU"/>
        </w:rPr>
        <w:t xml:space="preserve"> of</w:t>
      </w:r>
      <w:r w:rsidR="004C00A9" w:rsidRPr="00F82C8D">
        <w:rPr>
          <w:lang w:val="en-AU"/>
        </w:rPr>
        <w:t xml:space="preserve"> the</w:t>
      </w:r>
      <w:r w:rsidR="00F37DA6" w:rsidRPr="00F82C8D">
        <w:rPr>
          <w:lang w:val="en-AU"/>
        </w:rPr>
        <w:t xml:space="preserve"> </w:t>
      </w:r>
      <w:r w:rsidR="00D360AB" w:rsidRPr="00F82C8D">
        <w:rPr>
          <w:lang w:val="en-AU"/>
        </w:rPr>
        <w:t>Exp</w:t>
      </w:r>
      <w:r w:rsidR="004C00A9" w:rsidRPr="00F82C8D">
        <w:rPr>
          <w:lang w:val="en-AU"/>
        </w:rPr>
        <w:t xml:space="preserve">lanatory </w:t>
      </w:r>
      <w:r w:rsidR="002E30E9" w:rsidRPr="00F82C8D">
        <w:rPr>
          <w:lang w:val="en-AU"/>
        </w:rPr>
        <w:t>Statement for an</w:t>
      </w:r>
      <w:r w:rsidRPr="00F82C8D">
        <w:rPr>
          <w:lang w:val="en-AU"/>
        </w:rPr>
        <w:t xml:space="preserve"> explanation of t</w:t>
      </w:r>
      <w:r w:rsidR="00B26AD9" w:rsidRPr="00F82C8D">
        <w:rPr>
          <w:lang w:val="en-AU"/>
        </w:rPr>
        <w:t>he provisions in subsection 17(6</w:t>
      </w:r>
      <w:r w:rsidRPr="00F82C8D">
        <w:rPr>
          <w:lang w:val="en-AU"/>
        </w:rPr>
        <w:t>)</w:t>
      </w:r>
      <w:r w:rsidR="00491A60" w:rsidRPr="00F82C8D">
        <w:rPr>
          <w:lang w:val="en-AU"/>
        </w:rPr>
        <w:t xml:space="preserve"> of the </w:t>
      </w:r>
      <w:r w:rsidR="00D360AB" w:rsidRPr="00F82C8D">
        <w:rPr>
          <w:lang w:val="en-AU"/>
        </w:rPr>
        <w:t>safeguard rule</w:t>
      </w:r>
      <w:r w:rsidRPr="00F82C8D">
        <w:rPr>
          <w:lang w:val="en-AU"/>
        </w:rPr>
        <w:t>.</w:t>
      </w:r>
    </w:p>
    <w:p w:rsidR="007073B3" w:rsidRPr="00F82C8D" w:rsidRDefault="0065595C" w:rsidP="007073B3">
      <w:pPr>
        <w:pStyle w:val="Heading3"/>
      </w:pPr>
      <w:r w:rsidRPr="00F82C8D">
        <w:t xml:space="preserve">Section 18: </w:t>
      </w:r>
      <w:r w:rsidR="007073B3" w:rsidRPr="00F82C8D">
        <w:t>Duration of reported-emissions baseline determinations</w:t>
      </w:r>
    </w:p>
    <w:p w:rsidR="007073B3" w:rsidRPr="00F82C8D" w:rsidRDefault="006E1B5E" w:rsidP="00625D31">
      <w:pPr>
        <w:pStyle w:val="ListParagraph"/>
        <w:rPr>
          <w:lang w:val="en-AU"/>
        </w:rPr>
      </w:pPr>
      <w:r w:rsidRPr="00F82C8D">
        <w:rPr>
          <w:lang w:val="en-AU"/>
        </w:rPr>
        <w:t>Consistent</w:t>
      </w:r>
      <w:r w:rsidR="007073B3" w:rsidRPr="00F82C8D">
        <w:rPr>
          <w:lang w:val="en-AU"/>
        </w:rPr>
        <w:t xml:space="preserve"> with section 22XQ of the Act, a reported-emissions baseline determination made by the Regulator commences on 1 July 2016, unless a calculated-emissions baseline determination with the same start date is made </w:t>
      </w:r>
      <w:r w:rsidR="007073B3" w:rsidRPr="00F82C8D">
        <w:rPr>
          <w:b/>
          <w:i/>
          <w:sz w:val="20"/>
          <w:lang w:val="en-AU"/>
        </w:rPr>
        <w:t>[subsection 18(1)].</w:t>
      </w:r>
    </w:p>
    <w:p w:rsidR="007073B3" w:rsidRPr="00F82C8D" w:rsidRDefault="007073B3" w:rsidP="00625D31">
      <w:pPr>
        <w:pStyle w:val="ListParagraph"/>
        <w:rPr>
          <w:lang w:val="en-AU"/>
        </w:rPr>
      </w:pPr>
      <w:r w:rsidRPr="00F82C8D">
        <w:rPr>
          <w:lang w:val="en-AU"/>
        </w:rPr>
        <w:t xml:space="preserve">A reported-emissions baseline determination ceases to be in force from the date that any other baseline determination applies. </w:t>
      </w:r>
      <w:r w:rsidRPr="00F82C8D">
        <w:rPr>
          <w:b/>
          <w:i/>
          <w:sz w:val="20"/>
          <w:lang w:val="en-AU"/>
        </w:rPr>
        <w:t>[paragraph 18(3)(a)]</w:t>
      </w:r>
      <w:r w:rsidRPr="00F82C8D">
        <w:rPr>
          <w:lang w:val="en-AU"/>
        </w:rPr>
        <w:t xml:space="preserve"> If this determination or a subsequent determination expires, then the reported-emissions baseline determination comes back into force. </w:t>
      </w:r>
      <w:r w:rsidRPr="00F82C8D">
        <w:rPr>
          <w:b/>
          <w:i/>
          <w:sz w:val="20"/>
          <w:lang w:val="en-AU"/>
        </w:rPr>
        <w:t>[paragraph 18(3)(b)]</w:t>
      </w:r>
    </w:p>
    <w:p w:rsidR="000B05C3" w:rsidRPr="00F82C8D" w:rsidRDefault="007073B3" w:rsidP="00F6689F">
      <w:pPr>
        <w:pStyle w:val="Quote"/>
      </w:pPr>
      <w:r w:rsidRPr="00F82C8D">
        <w:t>For example, the Regulator makes a reported-emissions baseline determinatio</w:t>
      </w:r>
      <w:r w:rsidR="002B539C" w:rsidRPr="00F82C8D">
        <w:t xml:space="preserve">n for a facility that commences </w:t>
      </w:r>
      <w:r w:rsidRPr="00F82C8D">
        <w:t>on 1 July 2016. The Regulator then makes a calculated-emissions baseline determination that commences</w:t>
      </w:r>
      <w:r w:rsidR="000B05C3" w:rsidRPr="00F82C8D">
        <w:t xml:space="preserve"> on1 </w:t>
      </w:r>
      <w:r w:rsidRPr="00F82C8D">
        <w:t>July 2017. When the calculated-emissions baseline determination expires on 30 June 2020, the reported-emissions baseline determination recommences.</w:t>
      </w:r>
      <w:r w:rsidR="003F1492" w:rsidRPr="00F82C8D">
        <w:t xml:space="preserve"> It could then be replaced with a production-adjusted baseline det</w:t>
      </w:r>
      <w:r w:rsidR="000B05C3" w:rsidRPr="00F82C8D">
        <w:t>ermination or remain in force if</w:t>
      </w:r>
      <w:r w:rsidR="003F1492" w:rsidRPr="00F82C8D">
        <w:t xml:space="preserve"> a production-adjusted baseline determination is not made.</w:t>
      </w:r>
    </w:p>
    <w:p w:rsidR="007073B3" w:rsidRPr="00F82C8D" w:rsidRDefault="0065595C" w:rsidP="007073B3">
      <w:pPr>
        <w:pStyle w:val="Heading3"/>
      </w:pPr>
      <w:r w:rsidRPr="00F82C8D">
        <w:t xml:space="preserve">Section 19: </w:t>
      </w:r>
      <w:r w:rsidR="007073B3" w:rsidRPr="00F82C8D">
        <w:t>Variation of reported-emissions baseline determination because of reporting error or changes in activities</w:t>
      </w:r>
    </w:p>
    <w:p w:rsidR="007073B3" w:rsidRPr="00F82C8D" w:rsidRDefault="007073B3" w:rsidP="00625D31">
      <w:pPr>
        <w:pStyle w:val="ListParagraph"/>
      </w:pPr>
      <w:r w:rsidRPr="00F82C8D">
        <w:t xml:space="preserve">To ensure that </w:t>
      </w:r>
      <w:r w:rsidR="007C2047" w:rsidRPr="00F82C8D">
        <w:t>reported-emissions baseline determination</w:t>
      </w:r>
      <w:r w:rsidRPr="00F82C8D">
        <w:t xml:space="preserve">s remain appropriate to facilities, the Regulator may vary the baseline emissions number for a facility if the reporting on which the baseline is based proves to have been inaccurate, or if there is a change in the facility’s activities. </w:t>
      </w:r>
      <w:r w:rsidRPr="00F82C8D">
        <w:rPr>
          <w:b/>
          <w:i/>
          <w:sz w:val="20"/>
        </w:rPr>
        <w:t>[subsection 19(1)]</w:t>
      </w:r>
    </w:p>
    <w:p w:rsidR="007073B3" w:rsidRPr="00F82C8D" w:rsidRDefault="007073B3" w:rsidP="00625D31">
      <w:pPr>
        <w:pStyle w:val="ListParagraph"/>
      </w:pPr>
      <w:r w:rsidRPr="00F82C8D">
        <w:t xml:space="preserve">If the report </w:t>
      </w:r>
      <w:r w:rsidR="006E1B5E" w:rsidRPr="00F82C8D">
        <w:t>submitted under the Act, from</w:t>
      </w:r>
      <w:r w:rsidRPr="00F82C8D">
        <w:t xml:space="preserve"> which the baseline is based is resubmitted after the reported-emissions baseline determination is made, the Regulator may vary the baseline emissions number. </w:t>
      </w:r>
      <w:r w:rsidRPr="00F82C8D">
        <w:rPr>
          <w:b/>
          <w:i/>
          <w:sz w:val="20"/>
        </w:rPr>
        <w:t>[paragraph 19(1)(a)]</w:t>
      </w:r>
      <w:r w:rsidR="00942D59" w:rsidRPr="00F82C8D">
        <w:t xml:space="preserve"> </w:t>
      </w:r>
      <w:r w:rsidR="00F06176" w:rsidRPr="00F82C8D">
        <w:t>It is noted that the resubmission of</w:t>
      </w:r>
      <w:r w:rsidR="003D77CC" w:rsidRPr="00F82C8D">
        <w:t xml:space="preserve"> a report is not at the discretion of the reporter.</w:t>
      </w:r>
    </w:p>
    <w:p w:rsidR="00CB1BD0" w:rsidRPr="00F82C8D" w:rsidRDefault="00CB1BD0" w:rsidP="00CB1BD0">
      <w:pPr>
        <w:pStyle w:val="Quote"/>
      </w:pPr>
      <w:r w:rsidRPr="00F82C8D">
        <w:t>For example, a facility has a baseline emissions number of 200,000 t CO</w:t>
      </w:r>
      <w:r w:rsidRPr="00F82C8D">
        <w:rPr>
          <w:vertAlign w:val="subscript"/>
        </w:rPr>
        <w:t>2</w:t>
      </w:r>
      <w:r w:rsidRPr="00F82C8D">
        <w:t>-e based on the covered emissions reported for 2012-13. The report under the Act for 2012-13 was resubmitted, resulting in the covered emissions being revised down to 190,000 t CO</w:t>
      </w:r>
      <w:r w:rsidRPr="00F82C8D">
        <w:rPr>
          <w:vertAlign w:val="subscript"/>
        </w:rPr>
        <w:t>2</w:t>
      </w:r>
      <w:r w:rsidRPr="00F82C8D">
        <w:t>-e.</w:t>
      </w:r>
      <w:r w:rsidR="00942D59" w:rsidRPr="00F82C8D">
        <w:t xml:space="preserve"> </w:t>
      </w:r>
      <w:r w:rsidRPr="00F82C8D">
        <w:t>The Regulator may vary the baseline emissions number from 200,000 to 190,000 t CO</w:t>
      </w:r>
      <w:r w:rsidRPr="00F82C8D">
        <w:rPr>
          <w:vertAlign w:val="subscript"/>
        </w:rPr>
        <w:t>2</w:t>
      </w:r>
      <w:r w:rsidRPr="00F82C8D">
        <w:t>-e, provided that the revised covered emissions reported in 2012-13 remains the high point in repor</w:t>
      </w:r>
      <w:r w:rsidR="007C0A10" w:rsidRPr="00F82C8D">
        <w:t>ted covered remissions from 2009-10</w:t>
      </w:r>
      <w:r w:rsidRPr="00F82C8D">
        <w:t xml:space="preserve"> to 2013-14. If the covered emissions reported under the Act for the facility in 2013-14 were 195,000 t CO</w:t>
      </w:r>
      <w:r w:rsidRPr="00F82C8D">
        <w:rPr>
          <w:vertAlign w:val="subscript"/>
        </w:rPr>
        <w:t>2</w:t>
      </w:r>
      <w:r w:rsidRPr="00F82C8D">
        <w:t>-e, which is now the high point in reported covered emissions, then the Regulator may instead vary the baseline emissions number from 200,000 to 195,000 t CO</w:t>
      </w:r>
      <w:r w:rsidRPr="00F82C8D">
        <w:rPr>
          <w:vertAlign w:val="subscript"/>
        </w:rPr>
        <w:t>2</w:t>
      </w:r>
      <w:r w:rsidRPr="00F82C8D">
        <w:t>-e.</w:t>
      </w:r>
    </w:p>
    <w:p w:rsidR="007073B3" w:rsidRPr="00F82C8D" w:rsidRDefault="007073B3" w:rsidP="00625D31">
      <w:pPr>
        <w:pStyle w:val="ListParagraph"/>
      </w:pPr>
      <w:r w:rsidRPr="00F82C8D">
        <w:t>If the Regulator has reasonable evidence</w:t>
      </w:r>
      <w:r w:rsidR="003D77CC" w:rsidRPr="00F82C8D">
        <w:t xml:space="preserve"> (for instance, evidence supporting a reasonable belief) </w:t>
      </w:r>
      <w:r w:rsidRPr="00F82C8D">
        <w:t>to consider that the report submitted under the Act</w:t>
      </w:r>
      <w:r w:rsidR="006E1B5E" w:rsidRPr="00F82C8D">
        <w:t xml:space="preserve"> (</w:t>
      </w:r>
      <w:r w:rsidRPr="00F82C8D">
        <w:t>which the baseline emissions number is derived from</w:t>
      </w:r>
      <w:r w:rsidR="006E1B5E" w:rsidRPr="00F82C8D">
        <w:t>)</w:t>
      </w:r>
      <w:r w:rsidRPr="00F82C8D">
        <w:t xml:space="preserve"> is incorrect, then the Regulator may vary the baseline emissions number. </w:t>
      </w:r>
      <w:r w:rsidRPr="00F82C8D">
        <w:rPr>
          <w:b/>
          <w:i/>
          <w:sz w:val="20"/>
        </w:rPr>
        <w:t>[paragraph 19(1)(b)]</w:t>
      </w:r>
      <w:r w:rsidR="006E1B5E" w:rsidRPr="00F82C8D">
        <w:t xml:space="preserve"> This</w:t>
      </w:r>
      <w:r w:rsidRPr="00F82C8D">
        <w:t xml:space="preserve"> enables the Regulator to vary the facility’s baseline emissions number to address a numerical error in the report.</w:t>
      </w:r>
    </w:p>
    <w:p w:rsidR="0027300C" w:rsidRPr="00F82C8D" w:rsidRDefault="007073B3" w:rsidP="00625D31">
      <w:pPr>
        <w:pStyle w:val="ListParagraph"/>
      </w:pPr>
      <w:r w:rsidRPr="00F82C8D">
        <w:t>If the report from which the baseline is set includes</w:t>
      </w:r>
      <w:r w:rsidR="00C82646" w:rsidRPr="00F82C8D">
        <w:t xml:space="preserve"> </w:t>
      </w:r>
      <w:r w:rsidR="00382BCD" w:rsidRPr="00F82C8D">
        <w:t xml:space="preserve">significant </w:t>
      </w:r>
      <w:r w:rsidR="008C69DD" w:rsidRPr="00F82C8D">
        <w:t xml:space="preserve">covered </w:t>
      </w:r>
      <w:r w:rsidR="00C82646" w:rsidRPr="00F82C8D">
        <w:t>emissions from</w:t>
      </w:r>
      <w:r w:rsidRPr="00F82C8D">
        <w:t xml:space="preserve"> activities</w:t>
      </w:r>
      <w:r w:rsidR="00382BCD" w:rsidRPr="00F82C8D">
        <w:t xml:space="preserve">, termed </w:t>
      </w:r>
      <w:r w:rsidR="00382BCD" w:rsidRPr="00F82C8D">
        <w:rPr>
          <w:b/>
          <w:i/>
        </w:rPr>
        <w:t>original activities</w:t>
      </w:r>
      <w:r w:rsidR="00382BCD" w:rsidRPr="00F82C8D">
        <w:t xml:space="preserve">, </w:t>
      </w:r>
      <w:r w:rsidR="0001544B" w:rsidRPr="00F82C8D">
        <w:t>and these</w:t>
      </w:r>
      <w:r w:rsidR="00382BCD" w:rsidRPr="00F82C8D">
        <w:t xml:space="preserve"> </w:t>
      </w:r>
      <w:r w:rsidR="0001544B" w:rsidRPr="00F82C8D">
        <w:t xml:space="preserve">were not </w:t>
      </w:r>
      <w:r w:rsidR="00382BCD" w:rsidRPr="00F82C8D">
        <w:t xml:space="preserve">conducted at the facility, then </w:t>
      </w:r>
      <w:r w:rsidRPr="00F82C8D">
        <w:t>the Regulator may vary the baseline emissions number.</w:t>
      </w:r>
      <w:r w:rsidR="00382BCD" w:rsidRPr="00F82C8D">
        <w:t xml:space="preserve"> The Regulator will consider</w:t>
      </w:r>
      <w:r w:rsidR="0001544B" w:rsidRPr="00F82C8D">
        <w:t xml:space="preserve"> the activities to be no longer </w:t>
      </w:r>
      <w:r w:rsidR="00382BCD" w:rsidRPr="00F82C8D">
        <w:t>conducted if they are unlikely to be conducted for at least the next three years</w:t>
      </w:r>
      <w:r w:rsidRPr="00F82C8D">
        <w:t xml:space="preserve"> </w:t>
      </w:r>
      <w:r w:rsidR="00C82646" w:rsidRPr="00F82C8D">
        <w:rPr>
          <w:b/>
          <w:i/>
          <w:sz w:val="20"/>
        </w:rPr>
        <w:t>[paragraph </w:t>
      </w:r>
      <w:r w:rsidRPr="00F82C8D">
        <w:rPr>
          <w:b/>
          <w:i/>
          <w:sz w:val="20"/>
        </w:rPr>
        <w:t>19(1)(c)]</w:t>
      </w:r>
      <w:r w:rsidR="00942D59" w:rsidRPr="00F82C8D">
        <w:t xml:space="preserve"> </w:t>
      </w:r>
      <w:r w:rsidR="00EF0752" w:rsidRPr="00F82C8D">
        <w:t xml:space="preserve">This provision in only enabled if the kind of activity has ceased, and </w:t>
      </w:r>
      <w:r w:rsidR="00110CCC" w:rsidRPr="00F82C8D">
        <w:t xml:space="preserve">has </w:t>
      </w:r>
      <w:r w:rsidR="00EF0752" w:rsidRPr="00F82C8D">
        <w:t xml:space="preserve">not for </w:t>
      </w:r>
      <w:r w:rsidR="00110CCC" w:rsidRPr="00F82C8D">
        <w:t xml:space="preserve">example </w:t>
      </w:r>
      <w:r w:rsidR="003F1624" w:rsidRPr="00F82C8D">
        <w:t>been</w:t>
      </w:r>
      <w:r w:rsidR="00110CCC" w:rsidRPr="00F82C8D">
        <w:t xml:space="preserve"> scaled down, and the kind of activity which ceased is not expected to begin</w:t>
      </w:r>
      <w:r w:rsidR="00EF0752" w:rsidRPr="00F82C8D">
        <w:t xml:space="preserve"> </w:t>
      </w:r>
      <w:r w:rsidR="00110CCC" w:rsidRPr="00F82C8D">
        <w:t>again</w:t>
      </w:r>
      <w:r w:rsidR="00EF0752" w:rsidRPr="00F82C8D">
        <w:t xml:space="preserve"> for at least a three year period.</w:t>
      </w:r>
    </w:p>
    <w:p w:rsidR="007073B3" w:rsidRPr="00F82C8D" w:rsidRDefault="007073B3" w:rsidP="0027300C">
      <w:pPr>
        <w:pStyle w:val="Quote"/>
      </w:pPr>
      <w:r w:rsidRPr="00F82C8D">
        <w:t>For example, if the baselin</w:t>
      </w:r>
      <w:r w:rsidR="0027300C" w:rsidRPr="00F82C8D">
        <w:t>e is based on the emissions reported under the Act in 2012</w:t>
      </w:r>
      <w:r w:rsidR="0027300C" w:rsidRPr="00F82C8D">
        <w:noBreakHyphen/>
      </w:r>
      <w:r w:rsidRPr="00F82C8D">
        <w:t>13, and the report included significant</w:t>
      </w:r>
      <w:r w:rsidR="008C69DD" w:rsidRPr="00F82C8D">
        <w:t xml:space="preserve"> covered</w:t>
      </w:r>
      <w:r w:rsidRPr="00F82C8D">
        <w:t xml:space="preserve"> emissions from electricity generation that is no longer conducted at the facility, then the Regulator may vary the facility’s baseline emissions number. Significant </w:t>
      </w:r>
      <w:r w:rsidR="008C69DD" w:rsidRPr="00F82C8D">
        <w:t xml:space="preserve">covered </w:t>
      </w:r>
      <w:r w:rsidRPr="00F82C8D">
        <w:t xml:space="preserve">emissions </w:t>
      </w:r>
      <w:r w:rsidR="006E1B5E" w:rsidRPr="00F82C8D">
        <w:t>are defined in subsection 17</w:t>
      </w:r>
      <w:r w:rsidR="00587FFB" w:rsidRPr="00F82C8D">
        <w:t xml:space="preserve">(7) of the </w:t>
      </w:r>
      <w:r w:rsidR="00D360AB" w:rsidRPr="00F82C8D">
        <w:t>safeguard rule</w:t>
      </w:r>
      <w:r w:rsidR="00587FFB" w:rsidRPr="00F82C8D">
        <w:t>.</w:t>
      </w:r>
    </w:p>
    <w:p w:rsidR="007073B3" w:rsidRPr="00F82C8D" w:rsidRDefault="007073B3" w:rsidP="00625D31">
      <w:pPr>
        <w:pStyle w:val="ListParagraph"/>
      </w:pPr>
      <w:r w:rsidRPr="00F82C8D">
        <w:t xml:space="preserve">Before the Regulator varies a baseline determination, it must notify the responsible emitter that it intends to vary the determination, setting out what the new baseline emissions number would be and seeking any comments by a date specified in the notice. </w:t>
      </w:r>
      <w:r w:rsidRPr="00F82C8D">
        <w:rPr>
          <w:b/>
          <w:i/>
          <w:sz w:val="20"/>
        </w:rPr>
        <w:t>[subsection 19(2)]</w:t>
      </w:r>
      <w:r w:rsidRPr="00F82C8D">
        <w:t xml:space="preserve"> This provision provides the responsible emitter with an opportunity to comment on the matters that caused the Regulator to seek to vary the baseline determination.</w:t>
      </w:r>
    </w:p>
    <w:p w:rsidR="007073B3" w:rsidRPr="00F82C8D" w:rsidRDefault="007073B3" w:rsidP="00625D31">
      <w:pPr>
        <w:pStyle w:val="ListParagraph"/>
      </w:pPr>
      <w:r w:rsidRPr="00F82C8D">
        <w:t xml:space="preserve">The Regulator must use all reasonable </w:t>
      </w:r>
      <w:r w:rsidR="00893FB8" w:rsidRPr="00F82C8D">
        <w:t>endeavors</w:t>
      </w:r>
      <w:r w:rsidRPr="00F82C8D">
        <w:t xml:space="preserve"> to vary the determination </w:t>
      </w:r>
      <w:r w:rsidR="00FA4306" w:rsidRPr="00F82C8D">
        <w:t xml:space="preserve">by the later of </w:t>
      </w:r>
      <w:r w:rsidRPr="00F82C8D">
        <w:t xml:space="preserve">30 days </w:t>
      </w:r>
      <w:r w:rsidR="00FA4306" w:rsidRPr="00F82C8D">
        <w:t xml:space="preserve">after </w:t>
      </w:r>
      <w:r w:rsidRPr="00F82C8D">
        <w:t>the date specified in the notice</w:t>
      </w:r>
      <w:r w:rsidR="00FA4306" w:rsidRPr="00F82C8D">
        <w:t xml:space="preserve"> or 30 days after further information requested to be provided to the Regulator</w:t>
      </w:r>
      <w:r w:rsidR="00F06176" w:rsidRPr="00F82C8D">
        <w:t xml:space="preserve"> is provided</w:t>
      </w:r>
      <w:r w:rsidRPr="00F82C8D">
        <w:t xml:space="preserve">. </w:t>
      </w:r>
      <w:r w:rsidRPr="00F82C8D">
        <w:rPr>
          <w:b/>
          <w:i/>
          <w:sz w:val="20"/>
        </w:rPr>
        <w:t>[subsection 19(3)]</w:t>
      </w:r>
    </w:p>
    <w:p w:rsidR="007073B3" w:rsidRPr="00F82C8D" w:rsidRDefault="007073B3" w:rsidP="00625D31">
      <w:pPr>
        <w:pStyle w:val="ListParagraph"/>
      </w:pPr>
      <w:r w:rsidRPr="00F82C8D">
        <w:t xml:space="preserve">As soon as practicable after varying the determination, the Regulator must provide written notice of the variation to the responsible emitter and publish the details of the varied determination on its website. </w:t>
      </w:r>
      <w:r w:rsidRPr="00F82C8D">
        <w:rPr>
          <w:b/>
          <w:i/>
          <w:sz w:val="20"/>
        </w:rPr>
        <w:t>[subsection 19(4)]</w:t>
      </w:r>
      <w:r w:rsidR="00083A27" w:rsidRPr="00F82C8D">
        <w:rPr>
          <w:lang w:val="en-AU"/>
        </w:rPr>
        <w:t xml:space="preserve"> The type of details are listed in section 4 of the safeguard rule, and include the start and end date of the varied determination and the relevant facility.</w:t>
      </w:r>
    </w:p>
    <w:p w:rsidR="007073B3" w:rsidRPr="00F82C8D" w:rsidRDefault="007073B3" w:rsidP="00625D31">
      <w:pPr>
        <w:pStyle w:val="ListParagraph"/>
      </w:pPr>
      <w:r w:rsidRPr="00F82C8D">
        <w:t xml:space="preserve">A determination varied by the Regulator under section 19 takes effect at the beginning of the financial year in which the Regulator makes the decision to vary the determination. </w:t>
      </w:r>
      <w:r w:rsidRPr="00F82C8D">
        <w:rPr>
          <w:b/>
          <w:i/>
          <w:sz w:val="20"/>
        </w:rPr>
        <w:t>[subsection 19(1)]</w:t>
      </w:r>
    </w:p>
    <w:p w:rsidR="007073B3" w:rsidRPr="00F82C8D" w:rsidRDefault="007073B3" w:rsidP="00625D31">
      <w:pPr>
        <w:pStyle w:val="ListParagraph"/>
      </w:pPr>
      <w:r w:rsidRPr="00F82C8D">
        <w:t xml:space="preserve">If the Regulator makes, or considers making, a variation of a reported-emissions baseline determination because of a reporting error or changes in the facility’s activities, the Regulator may require further information in relation to the variation from the facility operator. </w:t>
      </w:r>
      <w:r w:rsidRPr="00F82C8D">
        <w:rPr>
          <w:b/>
          <w:i/>
          <w:sz w:val="20"/>
        </w:rPr>
        <w:t>[section 21]</w:t>
      </w:r>
      <w:r w:rsidRPr="00F82C8D">
        <w:t xml:space="preserve"> The request must be in writing and specify a day by which the</w:t>
      </w:r>
      <w:r w:rsidR="00CA66B2" w:rsidRPr="00F82C8D">
        <w:t xml:space="preserve"> required</w:t>
      </w:r>
      <w:r w:rsidRPr="00F82C8D">
        <w:t xml:space="preserve"> information must be provided.</w:t>
      </w:r>
    </w:p>
    <w:p w:rsidR="007073B3" w:rsidRPr="00F82C8D" w:rsidRDefault="0065595C" w:rsidP="007073B3">
      <w:pPr>
        <w:pStyle w:val="Heading3"/>
      </w:pPr>
      <w:bookmarkStart w:id="90" w:name="_Ref427929081"/>
      <w:r w:rsidRPr="00F82C8D">
        <w:t xml:space="preserve">Section 20: </w:t>
      </w:r>
      <w:r w:rsidR="007073B3" w:rsidRPr="00F82C8D">
        <w:t xml:space="preserve">Variation of transport reported-emissions baseline determination </w:t>
      </w:r>
      <w:r w:rsidR="003F1492" w:rsidRPr="00F82C8D">
        <w:t>where calculated-emissions baseline determination</w:t>
      </w:r>
      <w:r w:rsidR="00CA66B2" w:rsidRPr="00F82C8D">
        <w:t xml:space="preserve"> or benchmark-emissions baseline determination</w:t>
      </w:r>
      <w:r w:rsidR="003F1492" w:rsidRPr="00F82C8D">
        <w:t xml:space="preserve"> incorporated</w:t>
      </w:r>
      <w:bookmarkEnd w:id="90"/>
    </w:p>
    <w:p w:rsidR="007073B3" w:rsidRPr="00F82C8D" w:rsidRDefault="007073B3" w:rsidP="00625D31">
      <w:pPr>
        <w:pStyle w:val="ListParagraph"/>
      </w:pPr>
      <w:r w:rsidRPr="00F82C8D">
        <w:t xml:space="preserve">For a transport facility which has made a nomination to be defined as a national facility under new regulation 2.19A of the amended Regulations, any baseline adjustment process that is in progress at any of the state </w:t>
      </w:r>
      <w:r w:rsidR="00683BAB" w:rsidRPr="00F82C8D">
        <w:t xml:space="preserve">or territory </w:t>
      </w:r>
      <w:r w:rsidRPr="00F82C8D">
        <w:t>based facilities, will be superseded in favour of the new national facility baseline</w:t>
      </w:r>
      <w:r w:rsidRPr="00F82C8D">
        <w:rPr>
          <w:sz w:val="20"/>
          <w:szCs w:val="20"/>
        </w:rPr>
        <w:t xml:space="preserve">. </w:t>
      </w:r>
      <w:r w:rsidRPr="00F82C8D">
        <w:rPr>
          <w:b/>
          <w:i/>
          <w:sz w:val="20"/>
          <w:szCs w:val="20"/>
        </w:rPr>
        <w:t xml:space="preserve">[subsection 18(4)] </w:t>
      </w:r>
    </w:p>
    <w:p w:rsidR="007073B3" w:rsidRPr="00F82C8D" w:rsidRDefault="00A70FE5" w:rsidP="00625D31">
      <w:pPr>
        <w:pStyle w:val="ListParagraph"/>
      </w:pPr>
      <w:r w:rsidRPr="00F82C8D">
        <w:t>Any</w:t>
      </w:r>
      <w:r w:rsidR="007073B3" w:rsidRPr="00F82C8D">
        <w:t xml:space="preserve"> previous baseline determinations will cease and a new </w:t>
      </w:r>
      <w:r w:rsidRPr="00F82C8D">
        <w:t xml:space="preserve">reported-emissions baseline </w:t>
      </w:r>
      <w:r w:rsidR="007073B3" w:rsidRPr="00F82C8D">
        <w:t xml:space="preserve">determination will be set </w:t>
      </w:r>
      <w:r w:rsidR="00473A28" w:rsidRPr="00F82C8D">
        <w:t>based on</w:t>
      </w:r>
      <w:r w:rsidR="007073B3" w:rsidRPr="00F82C8D">
        <w:t xml:space="preserve"> the national facility definition.</w:t>
      </w:r>
      <w:r w:rsidR="007073B3" w:rsidRPr="00F82C8D">
        <w:rPr>
          <w:b/>
          <w:i/>
        </w:rPr>
        <w:t xml:space="preserve"> </w:t>
      </w:r>
      <w:r w:rsidRPr="00F82C8D">
        <w:t>This is</w:t>
      </w:r>
      <w:r w:rsidR="001A53B3" w:rsidRPr="00F82C8D">
        <w:t xml:space="preserve"> generally</w:t>
      </w:r>
      <w:r w:rsidRPr="00F82C8D">
        <w:t xml:space="preserve"> achieved by aggregating the covered </w:t>
      </w:r>
      <w:r w:rsidR="00E16219" w:rsidRPr="00F82C8D">
        <w:t xml:space="preserve">emissions </w:t>
      </w:r>
      <w:r w:rsidRPr="00F82C8D">
        <w:t xml:space="preserve">reported under the Act by each of the state and territory facilities covered by the national facility </w:t>
      </w:r>
      <w:r w:rsidR="00D648BB" w:rsidRPr="00F82C8D">
        <w:t>for</w:t>
      </w:r>
      <w:r w:rsidR="007C0A10" w:rsidRPr="00F82C8D">
        <w:t xml:space="preserve"> the years 2009-10</w:t>
      </w:r>
      <w:r w:rsidRPr="00F82C8D">
        <w:t xml:space="preserve"> to 2013-14</w:t>
      </w:r>
      <w:r w:rsidR="001A53B3" w:rsidRPr="00F82C8D">
        <w:t xml:space="preserve"> and identifying the high-point in</w:t>
      </w:r>
      <w:r w:rsidR="00D648BB" w:rsidRPr="00F82C8D">
        <w:t xml:space="preserve"> these aggregated</w:t>
      </w:r>
      <w:r w:rsidR="001A53B3" w:rsidRPr="00F82C8D">
        <w:t xml:space="preserve"> emissions </w:t>
      </w:r>
      <w:r w:rsidR="001A53B3" w:rsidRPr="00F82C8D">
        <w:rPr>
          <w:b/>
          <w:i/>
          <w:sz w:val="20"/>
          <w:szCs w:val="20"/>
        </w:rPr>
        <w:t>[subsections 14(1) and 14(2)]</w:t>
      </w:r>
      <w:r w:rsidRPr="00F82C8D">
        <w:t xml:space="preserve">. </w:t>
      </w:r>
      <w:r w:rsidR="001A53B3" w:rsidRPr="00F82C8D">
        <w:t xml:space="preserve">However, if any of the state or territory facilities are covered by a </w:t>
      </w:r>
      <w:r w:rsidR="007073B3" w:rsidRPr="00F82C8D">
        <w:t>calculated-emissions</w:t>
      </w:r>
      <w:r w:rsidR="001A53B3" w:rsidRPr="00F82C8D">
        <w:t>, benchmark-emissions o</w:t>
      </w:r>
      <w:r w:rsidR="001121F7" w:rsidRPr="00F82C8D">
        <w:t xml:space="preserve">r production-adjusted </w:t>
      </w:r>
      <w:r w:rsidR="007073B3" w:rsidRPr="00F82C8D">
        <w:t>baseline determinations</w:t>
      </w:r>
      <w:r w:rsidR="001A53B3" w:rsidRPr="00F82C8D">
        <w:t xml:space="preserve">, then the baseline emissions </w:t>
      </w:r>
      <w:r w:rsidR="00D648BB" w:rsidRPr="00F82C8D">
        <w:t>number from</w:t>
      </w:r>
      <w:r w:rsidR="001A53B3" w:rsidRPr="00F82C8D">
        <w:t xml:space="preserve"> t</w:t>
      </w:r>
      <w:r w:rsidR="00D648BB" w:rsidRPr="00F82C8D">
        <w:t>his determination is part of this</w:t>
      </w:r>
      <w:r w:rsidR="001A53B3" w:rsidRPr="00F82C8D">
        <w:t xml:space="preserve"> aggregation</w:t>
      </w:r>
      <w:r w:rsidR="00D648BB" w:rsidRPr="00F82C8D">
        <w:t xml:space="preserve"> calculation</w:t>
      </w:r>
      <w:r w:rsidR="001A53B3" w:rsidRPr="00F82C8D">
        <w:t>, not the facility’s emissions reported under the Act</w:t>
      </w:r>
      <w:r w:rsidR="007C0A10" w:rsidRPr="00F82C8D">
        <w:t xml:space="preserve"> for the years 2009-10</w:t>
      </w:r>
      <w:r w:rsidR="00473A28" w:rsidRPr="00F82C8D">
        <w:t xml:space="preserve"> to 2013-14</w:t>
      </w:r>
      <w:r w:rsidR="00D648BB" w:rsidRPr="00F82C8D">
        <w:t xml:space="preserve">. </w:t>
      </w:r>
      <w:r w:rsidR="00D648BB" w:rsidRPr="00F82C8D">
        <w:rPr>
          <w:b/>
          <w:i/>
          <w:sz w:val="20"/>
          <w:szCs w:val="20"/>
        </w:rPr>
        <w:t>[subsection 17(5)]</w:t>
      </w:r>
    </w:p>
    <w:p w:rsidR="0017045B" w:rsidRPr="00F82C8D" w:rsidRDefault="0017045B" w:rsidP="00625D31">
      <w:pPr>
        <w:pStyle w:val="ListParagraph"/>
      </w:pPr>
      <w:r w:rsidRPr="00F82C8D">
        <w:t>If</w:t>
      </w:r>
      <w:r w:rsidR="001121F7" w:rsidRPr="00F82C8D">
        <w:t xml:space="preserve"> a</w:t>
      </w:r>
      <w:r w:rsidR="007073B3" w:rsidRPr="00F82C8D">
        <w:t xml:space="preserve"> calculated-emissions</w:t>
      </w:r>
      <w:r w:rsidR="00D648BB" w:rsidRPr="00F82C8D">
        <w:t xml:space="preserve"> or a </w:t>
      </w:r>
      <w:r w:rsidRPr="00F82C8D">
        <w:t>benchmark-emissions</w:t>
      </w:r>
      <w:r w:rsidR="007073B3" w:rsidRPr="00F82C8D">
        <w:t xml:space="preserve"> baseline </w:t>
      </w:r>
      <w:r w:rsidR="00D648BB" w:rsidRPr="00F82C8D">
        <w:t>determination was used to make a baseline determination</w:t>
      </w:r>
      <w:r w:rsidRPr="00F82C8D">
        <w:t xml:space="preserve"> for a national facility</w:t>
      </w:r>
      <w:r w:rsidR="00D648BB" w:rsidRPr="00F82C8D">
        <w:t xml:space="preserve">, </w:t>
      </w:r>
      <w:r w:rsidRPr="00F82C8D">
        <w:t xml:space="preserve">then </w:t>
      </w:r>
      <w:r w:rsidR="00303C65" w:rsidRPr="00F82C8D">
        <w:t>following</w:t>
      </w:r>
      <w:r w:rsidRPr="00F82C8D">
        <w:t xml:space="preserve"> the time this baseline determination would have expired (had the national facility definition not applied), the baseline determination for the national facility </w:t>
      </w:r>
      <w:r w:rsidR="00473A28" w:rsidRPr="00F82C8D">
        <w:t>may</w:t>
      </w:r>
      <w:r w:rsidRPr="00F82C8D">
        <w:t xml:space="preserve"> be varied by the Regulator. </w:t>
      </w:r>
      <w:r w:rsidR="00473A28" w:rsidRPr="00F82C8D">
        <w:rPr>
          <w:b/>
          <w:i/>
          <w:sz w:val="20"/>
          <w:szCs w:val="20"/>
        </w:rPr>
        <w:t xml:space="preserve">[subsection 20(1)] </w:t>
      </w:r>
      <w:r w:rsidR="004B7896" w:rsidRPr="00F82C8D">
        <w:t>This is done by the Regulator replacing the baseline emissions number from the expired calculated-emissions or benchmark emissions baseline determination, which is part of the aggregated calculation for the baseline emissions number for the national definition</w:t>
      </w:r>
      <w:r w:rsidR="00224177" w:rsidRPr="00F82C8D">
        <w:t xml:space="preserve"> facility, </w:t>
      </w:r>
      <w:r w:rsidR="004B7896" w:rsidRPr="00F82C8D">
        <w:t>with either</w:t>
      </w:r>
      <w:r w:rsidRPr="00F82C8D">
        <w:t>:</w:t>
      </w:r>
    </w:p>
    <w:p w:rsidR="0017045B" w:rsidRPr="00F82C8D" w:rsidRDefault="004B7896" w:rsidP="002E625A">
      <w:pPr>
        <w:pStyle w:val="ListBullet"/>
      </w:pPr>
      <w:r w:rsidRPr="00F82C8D">
        <w:t>T</w:t>
      </w:r>
      <w:r w:rsidR="00C07586" w:rsidRPr="00F82C8D">
        <w:t>he baseline emissions number had a production-adjusted baseline determination been made</w:t>
      </w:r>
      <w:r w:rsidRPr="00F82C8D">
        <w:t xml:space="preserve"> for the state or territory transport facility, assuming</w:t>
      </w:r>
      <w:r w:rsidR="00303C65" w:rsidRPr="00F82C8D">
        <w:t xml:space="preserve"> that the national facility definition</w:t>
      </w:r>
      <w:r w:rsidRPr="00F82C8D">
        <w:t xml:space="preserve"> had not applied. The </w:t>
      </w:r>
      <w:r w:rsidR="0017045B" w:rsidRPr="00F82C8D">
        <w:t xml:space="preserve">responsible emitter </w:t>
      </w:r>
      <w:r w:rsidRPr="00F82C8D">
        <w:t>must provide</w:t>
      </w:r>
      <w:r w:rsidR="00C07586" w:rsidRPr="00F82C8D">
        <w:t xml:space="preserve"> the Regulator</w:t>
      </w:r>
      <w:r w:rsidR="00303C65" w:rsidRPr="00F82C8D">
        <w:t xml:space="preserve"> </w:t>
      </w:r>
      <w:r w:rsidRPr="00F82C8D">
        <w:t xml:space="preserve">with </w:t>
      </w:r>
      <w:r w:rsidR="0017045B" w:rsidRPr="00F82C8D">
        <w:t xml:space="preserve">the information and audit report that </w:t>
      </w:r>
      <w:r w:rsidR="00E36720" w:rsidRPr="00F82C8D">
        <w:t>is</w:t>
      </w:r>
      <w:r w:rsidRPr="00F82C8D">
        <w:t xml:space="preserve"> </w:t>
      </w:r>
      <w:r w:rsidR="00C07586" w:rsidRPr="00F82C8D">
        <w:t>necessary to</w:t>
      </w:r>
      <w:r w:rsidR="0017045B" w:rsidRPr="00F82C8D">
        <w:t xml:space="preserve"> make a production-a</w:t>
      </w:r>
      <w:r w:rsidRPr="00F82C8D">
        <w:t xml:space="preserve">djusted baseline determination, </w:t>
      </w:r>
      <w:r w:rsidR="00C07586" w:rsidRPr="00F82C8D">
        <w:t xml:space="preserve">by 31 October after the expiry of the calculated-emissions or benchmark-emissions baseline </w:t>
      </w:r>
      <w:r w:rsidRPr="00F82C8D">
        <w:t xml:space="preserve">determination. </w:t>
      </w:r>
    </w:p>
    <w:p w:rsidR="00DB293E" w:rsidRPr="00F82C8D" w:rsidRDefault="004B7896">
      <w:pPr>
        <w:pStyle w:val="ListBullet"/>
      </w:pPr>
      <w:r w:rsidRPr="00F82C8D">
        <w:t xml:space="preserve">The baseline emissions number for the state or territory transport facility had the </w:t>
      </w:r>
      <w:r w:rsidR="00224177" w:rsidRPr="00F82C8D">
        <w:t xml:space="preserve">calculated-emissions or benchmark-emissions baseline determination never been made. </w:t>
      </w:r>
      <w:r w:rsidR="00841CBD" w:rsidRPr="00F82C8D">
        <w:rPr>
          <w:rStyle w:val="Emphasis"/>
        </w:rPr>
        <w:t>[s</w:t>
      </w:r>
      <w:r w:rsidR="00224177" w:rsidRPr="00F82C8D">
        <w:rPr>
          <w:rStyle w:val="Emphasis"/>
        </w:rPr>
        <w:t>ubsection 20(2)]</w:t>
      </w:r>
      <w:r w:rsidR="00CD675A" w:rsidRPr="00F82C8D">
        <w:rPr>
          <w:rStyle w:val="Emphasis"/>
        </w:rPr>
        <w:t xml:space="preserve"> </w:t>
      </w:r>
    </w:p>
    <w:p w:rsidR="007073B3" w:rsidRPr="00F82C8D" w:rsidRDefault="003B1558" w:rsidP="0051382B">
      <w:pPr>
        <w:pStyle w:val="Quote"/>
      </w:pPr>
      <w:r w:rsidRPr="00F82C8D">
        <w:t xml:space="preserve">For example, a transport </w:t>
      </w:r>
      <w:r w:rsidR="007073B3" w:rsidRPr="00F82C8D">
        <w:t xml:space="preserve">entity consists of a </w:t>
      </w:r>
      <w:r w:rsidR="0027300C" w:rsidRPr="00F82C8D">
        <w:t>New South Wales</w:t>
      </w:r>
      <w:r w:rsidR="007073B3" w:rsidRPr="00F82C8D">
        <w:t xml:space="preserve"> facility and a Queensland facility and wishes to move to a national facility definition. </w:t>
      </w:r>
      <w:r w:rsidR="0027300C" w:rsidRPr="00F82C8D">
        <w:t>The New South Wales</w:t>
      </w:r>
      <w:r w:rsidR="007073B3" w:rsidRPr="00F82C8D">
        <w:t xml:space="preserve"> </w:t>
      </w:r>
      <w:r w:rsidR="0027300C" w:rsidRPr="00F82C8D">
        <w:t>facility</w:t>
      </w:r>
      <w:r w:rsidR="007073B3" w:rsidRPr="00F82C8D">
        <w:t xml:space="preserve"> </w:t>
      </w:r>
      <w:r w:rsidR="0027300C" w:rsidRPr="00F82C8D">
        <w:t xml:space="preserve">is covered by a </w:t>
      </w:r>
      <w:r w:rsidR="00642964" w:rsidRPr="00F82C8D">
        <w:t xml:space="preserve">calculated-emissions baseline determination </w:t>
      </w:r>
      <w:r w:rsidR="007073B3" w:rsidRPr="00F82C8D">
        <w:t xml:space="preserve">(with a baseline </w:t>
      </w:r>
      <w:r w:rsidR="002C6D14" w:rsidRPr="00F82C8D">
        <w:t xml:space="preserve">emissions number </w:t>
      </w:r>
      <w:r w:rsidR="007073B3" w:rsidRPr="00F82C8D">
        <w:t>of 110,000</w:t>
      </w:r>
      <w:r w:rsidR="0027300C" w:rsidRPr="00F82C8D">
        <w:t xml:space="preserve"> t CO</w:t>
      </w:r>
      <w:r w:rsidR="00E073C6" w:rsidRPr="00F82C8D">
        <w:rPr>
          <w:vertAlign w:val="subscript"/>
        </w:rPr>
        <w:t>2</w:t>
      </w:r>
      <w:r w:rsidR="00E073C6" w:rsidRPr="00F82C8D">
        <w:t>-</w:t>
      </w:r>
      <w:r w:rsidR="0027300C" w:rsidRPr="00F82C8D">
        <w:t>e). A production-adjusted baseline determination</w:t>
      </w:r>
      <w:r w:rsidR="007073B3" w:rsidRPr="00F82C8D">
        <w:t xml:space="preserve"> </w:t>
      </w:r>
      <w:r w:rsidR="0027300C" w:rsidRPr="00F82C8D">
        <w:t xml:space="preserve">is </w:t>
      </w:r>
      <w:r w:rsidR="007073B3" w:rsidRPr="00F82C8D">
        <w:t xml:space="preserve">expected </w:t>
      </w:r>
      <w:r w:rsidR="0027300C" w:rsidRPr="00F82C8D">
        <w:t>to commence</w:t>
      </w:r>
      <w:r w:rsidR="00224177" w:rsidRPr="00F82C8D">
        <w:t xml:space="preserve"> 1 July </w:t>
      </w:r>
      <w:r w:rsidR="007073B3" w:rsidRPr="00F82C8D">
        <w:t>2019</w:t>
      </w:r>
      <w:r w:rsidR="0027300C" w:rsidRPr="00F82C8D">
        <w:t xml:space="preserve"> after the expiry of this calculated-emissions baseline determination</w:t>
      </w:r>
      <w:r w:rsidR="007073B3" w:rsidRPr="00F82C8D">
        <w:t xml:space="preserve">. The Queensland facility has </w:t>
      </w:r>
      <w:r w:rsidR="00683BAB" w:rsidRPr="00F82C8D">
        <w:t>a reported-emis</w:t>
      </w:r>
      <w:r w:rsidR="002C6D14" w:rsidRPr="00F82C8D">
        <w:t xml:space="preserve">sions baseline determination </w:t>
      </w:r>
      <w:r w:rsidR="007073B3" w:rsidRPr="00F82C8D">
        <w:t>of 120,000</w:t>
      </w:r>
      <w:r w:rsidR="0027300C" w:rsidRPr="00F82C8D">
        <w:t xml:space="preserve"> t CO</w:t>
      </w:r>
      <w:r w:rsidR="00E073C6" w:rsidRPr="00F82C8D">
        <w:rPr>
          <w:vertAlign w:val="subscript"/>
        </w:rPr>
        <w:t>2</w:t>
      </w:r>
      <w:r w:rsidR="00E073C6" w:rsidRPr="00F82C8D">
        <w:t>-</w:t>
      </w:r>
      <w:r w:rsidR="0027300C" w:rsidRPr="00F82C8D">
        <w:t>e</w:t>
      </w:r>
      <w:r w:rsidR="007073B3" w:rsidRPr="00F82C8D">
        <w:t xml:space="preserve"> per year.</w:t>
      </w:r>
    </w:p>
    <w:p w:rsidR="007073B3" w:rsidRPr="00F82C8D" w:rsidRDefault="007073B3" w:rsidP="0051382B">
      <w:pPr>
        <w:pStyle w:val="Quote"/>
      </w:pPr>
      <w:r w:rsidRPr="00F82C8D">
        <w:t xml:space="preserve">The interim baseline for the national facility </w:t>
      </w:r>
      <w:r w:rsidR="00563381" w:rsidRPr="00F82C8D">
        <w:t>is the addition</w:t>
      </w:r>
      <w:r w:rsidR="002C6D14" w:rsidRPr="00F82C8D">
        <w:t xml:space="preserve"> of the baseline </w:t>
      </w:r>
      <w:r w:rsidR="0087664A" w:rsidRPr="00F82C8D">
        <w:t>emissions number</w:t>
      </w:r>
      <w:r w:rsidR="00563381" w:rsidRPr="00F82C8D">
        <w:t xml:space="preserve">s </w:t>
      </w:r>
      <w:r w:rsidRPr="00F82C8D">
        <w:t xml:space="preserve">in place </w:t>
      </w:r>
      <w:r w:rsidR="00563381" w:rsidRPr="00F82C8D">
        <w:t xml:space="preserve">for the two facilities </w:t>
      </w:r>
      <w:r w:rsidRPr="00F82C8D">
        <w:t>at the time the national facility definition commenced (i.e. 120,000</w:t>
      </w:r>
      <w:r w:rsidR="002C6D14" w:rsidRPr="00F82C8D">
        <w:t xml:space="preserve"> t CO</w:t>
      </w:r>
      <w:r w:rsidR="00E073C6" w:rsidRPr="00F82C8D">
        <w:rPr>
          <w:vertAlign w:val="subscript"/>
        </w:rPr>
        <w:t>2</w:t>
      </w:r>
      <w:r w:rsidR="00E073C6" w:rsidRPr="00F82C8D">
        <w:t>-</w:t>
      </w:r>
      <w:r w:rsidR="002C6D14" w:rsidRPr="00F82C8D">
        <w:t>e</w:t>
      </w:r>
      <w:r w:rsidRPr="00F82C8D">
        <w:t xml:space="preserve"> + 110,000</w:t>
      </w:r>
      <w:r w:rsidR="002C6D14" w:rsidRPr="00F82C8D">
        <w:t xml:space="preserve"> t CO</w:t>
      </w:r>
      <w:r w:rsidR="00E073C6" w:rsidRPr="00F82C8D">
        <w:rPr>
          <w:vertAlign w:val="subscript"/>
        </w:rPr>
        <w:t>2</w:t>
      </w:r>
      <w:r w:rsidR="00E073C6" w:rsidRPr="00F82C8D">
        <w:t>-</w:t>
      </w:r>
      <w:r w:rsidR="002C6D14" w:rsidRPr="00F82C8D">
        <w:t>e</w:t>
      </w:r>
      <w:r w:rsidRPr="00F82C8D">
        <w:t xml:space="preserve"> = 230,000</w:t>
      </w:r>
      <w:r w:rsidR="002C6D14" w:rsidRPr="00F82C8D">
        <w:t xml:space="preserve"> t CO</w:t>
      </w:r>
      <w:r w:rsidR="00E073C6" w:rsidRPr="00F82C8D">
        <w:rPr>
          <w:vertAlign w:val="subscript"/>
        </w:rPr>
        <w:t>2</w:t>
      </w:r>
      <w:r w:rsidR="00E073C6" w:rsidRPr="00F82C8D">
        <w:t>-</w:t>
      </w:r>
      <w:r w:rsidR="002C6D14" w:rsidRPr="00F82C8D">
        <w:t>e</w:t>
      </w:r>
      <w:r w:rsidRPr="00F82C8D">
        <w:t>).</w:t>
      </w:r>
    </w:p>
    <w:p w:rsidR="007073B3" w:rsidRPr="00F82C8D" w:rsidRDefault="002C6D14" w:rsidP="0051382B">
      <w:pPr>
        <w:pStyle w:val="Quote"/>
      </w:pPr>
      <w:r w:rsidRPr="00F82C8D">
        <w:t>U</w:t>
      </w:r>
      <w:r w:rsidR="007073B3" w:rsidRPr="00F82C8D">
        <w:t xml:space="preserve">pon expiry of the NSW </w:t>
      </w:r>
      <w:r w:rsidRPr="00F82C8D">
        <w:t xml:space="preserve">facility’s </w:t>
      </w:r>
      <w:r w:rsidR="007073B3" w:rsidRPr="00F82C8D">
        <w:t>calculated-emissions baseline</w:t>
      </w:r>
      <w:r w:rsidRPr="00F82C8D">
        <w:t xml:space="preserve"> determination</w:t>
      </w:r>
      <w:r w:rsidR="007073B3" w:rsidRPr="00F82C8D">
        <w:t xml:space="preserve">, </w:t>
      </w:r>
      <w:r w:rsidR="00563381" w:rsidRPr="00F82C8D">
        <w:t xml:space="preserve">the </w:t>
      </w:r>
      <w:r w:rsidR="00224177" w:rsidRPr="00F82C8D">
        <w:t>responsible emitter provides the Regulator with the information and audit report need to make a</w:t>
      </w:r>
      <w:r w:rsidR="007073B3" w:rsidRPr="00F82C8D">
        <w:t xml:space="preserve"> production-adjusted baseline </w:t>
      </w:r>
      <w:r w:rsidR="00563381" w:rsidRPr="00F82C8D">
        <w:t xml:space="preserve">determination </w:t>
      </w:r>
      <w:r w:rsidR="00224177" w:rsidRPr="00F82C8D">
        <w:t>for the NSW facility</w:t>
      </w:r>
      <w:r w:rsidR="00563381" w:rsidRPr="00F82C8D">
        <w:t>, which would have had a</w:t>
      </w:r>
      <w:r w:rsidR="007073B3" w:rsidRPr="00F82C8D">
        <w:t xml:space="preserve"> baseline </w:t>
      </w:r>
      <w:r w:rsidR="0087664A" w:rsidRPr="00F82C8D">
        <w:t>emissions number</w:t>
      </w:r>
      <w:r w:rsidR="00563381" w:rsidRPr="00F82C8D">
        <w:t xml:space="preserve"> of</w:t>
      </w:r>
      <w:r w:rsidR="007073B3" w:rsidRPr="00F82C8D">
        <w:t xml:space="preserve"> 150,000</w:t>
      </w:r>
      <w:r w:rsidR="00563381" w:rsidRPr="00F82C8D">
        <w:t xml:space="preserve"> t CO</w:t>
      </w:r>
      <w:r w:rsidR="00E073C6" w:rsidRPr="00F82C8D">
        <w:rPr>
          <w:vertAlign w:val="subscript"/>
        </w:rPr>
        <w:t>2</w:t>
      </w:r>
      <w:r w:rsidR="00E073C6" w:rsidRPr="00F82C8D">
        <w:t>-</w:t>
      </w:r>
      <w:r w:rsidR="00563381" w:rsidRPr="00F82C8D">
        <w:t>e</w:t>
      </w:r>
      <w:r w:rsidR="00224177" w:rsidRPr="00F82C8D">
        <w:t>. T</w:t>
      </w:r>
      <w:r w:rsidR="007073B3" w:rsidRPr="00F82C8D">
        <w:t xml:space="preserve">he baseline </w:t>
      </w:r>
      <w:r w:rsidR="00563381" w:rsidRPr="00F82C8D">
        <w:t>for the national facility is</w:t>
      </w:r>
      <w:r w:rsidR="007073B3" w:rsidRPr="00F82C8D">
        <w:t xml:space="preserve"> </w:t>
      </w:r>
      <w:r w:rsidR="00224177" w:rsidRPr="00F82C8D">
        <w:t>varied</w:t>
      </w:r>
      <w:r w:rsidR="007073B3" w:rsidRPr="00F82C8D">
        <w:t xml:space="preserve"> </w:t>
      </w:r>
      <w:r w:rsidR="00E36720" w:rsidRPr="00F82C8D">
        <w:t>to be</w:t>
      </w:r>
      <w:r w:rsidR="00563381" w:rsidRPr="00F82C8D">
        <w:t xml:space="preserve"> </w:t>
      </w:r>
      <w:r w:rsidR="007073B3" w:rsidRPr="00F82C8D">
        <w:t xml:space="preserve">120,000 </w:t>
      </w:r>
      <w:r w:rsidR="00563381" w:rsidRPr="00F82C8D">
        <w:t>t CO</w:t>
      </w:r>
      <w:r w:rsidR="00E073C6" w:rsidRPr="00F82C8D">
        <w:rPr>
          <w:vertAlign w:val="subscript"/>
        </w:rPr>
        <w:t>2</w:t>
      </w:r>
      <w:r w:rsidR="00E073C6" w:rsidRPr="00F82C8D">
        <w:t>-</w:t>
      </w:r>
      <w:r w:rsidR="00563381" w:rsidRPr="00F82C8D">
        <w:t xml:space="preserve">e </w:t>
      </w:r>
      <w:r w:rsidR="007073B3" w:rsidRPr="00F82C8D">
        <w:t>+ 150,000</w:t>
      </w:r>
      <w:r w:rsidR="00563381" w:rsidRPr="00F82C8D">
        <w:t xml:space="preserve"> t CO</w:t>
      </w:r>
      <w:r w:rsidR="00E073C6" w:rsidRPr="00F82C8D">
        <w:rPr>
          <w:vertAlign w:val="subscript"/>
        </w:rPr>
        <w:t>2</w:t>
      </w:r>
      <w:r w:rsidR="00E073C6" w:rsidRPr="00F82C8D">
        <w:t>-</w:t>
      </w:r>
      <w:r w:rsidR="00563381" w:rsidRPr="00F82C8D">
        <w:t>e</w:t>
      </w:r>
      <w:r w:rsidR="007073B3" w:rsidRPr="00F82C8D">
        <w:t xml:space="preserve"> = 270,000</w:t>
      </w:r>
      <w:r w:rsidR="00563381" w:rsidRPr="00F82C8D">
        <w:t xml:space="preserve"> t CO</w:t>
      </w:r>
      <w:r w:rsidR="00E073C6" w:rsidRPr="00F82C8D">
        <w:rPr>
          <w:vertAlign w:val="subscript"/>
        </w:rPr>
        <w:t>2</w:t>
      </w:r>
      <w:r w:rsidR="00E073C6" w:rsidRPr="00F82C8D">
        <w:t>-</w:t>
      </w:r>
      <w:r w:rsidR="00563381" w:rsidRPr="00F82C8D">
        <w:t>e</w:t>
      </w:r>
      <w:r w:rsidR="007073B3" w:rsidRPr="00F82C8D">
        <w:t>.</w:t>
      </w:r>
    </w:p>
    <w:p w:rsidR="007073B3" w:rsidRPr="00F82C8D" w:rsidRDefault="007073B3" w:rsidP="00625D31">
      <w:pPr>
        <w:pStyle w:val="ListParagraph"/>
      </w:pPr>
      <w:r w:rsidRPr="00F82C8D">
        <w:t xml:space="preserve">Before the Regulator varies a baseline determination, it must notify the responsible emitter that it intends to vary the determination, setting out what the new baseline emissions number would be and seeking any comments by a date specified in the notice. </w:t>
      </w:r>
      <w:r w:rsidRPr="00F82C8D">
        <w:rPr>
          <w:b/>
          <w:i/>
          <w:sz w:val="20"/>
        </w:rPr>
        <w:t>[subsection 20(3)]</w:t>
      </w:r>
      <w:r w:rsidRPr="00F82C8D">
        <w:t xml:space="preserve"> This provision provides the responsible emitter with an opportunity to comment on the matters that caused the Regulator to seek to vary the baseline determination.</w:t>
      </w:r>
    </w:p>
    <w:p w:rsidR="007073B3" w:rsidRPr="00F82C8D" w:rsidRDefault="007073B3" w:rsidP="00625D31">
      <w:pPr>
        <w:pStyle w:val="ListParagraph"/>
      </w:pPr>
      <w:r w:rsidRPr="00F82C8D">
        <w:t xml:space="preserve">The Regulator must use all reasonable </w:t>
      </w:r>
      <w:r w:rsidR="00893FB8" w:rsidRPr="00F82C8D">
        <w:t>endeavors</w:t>
      </w:r>
      <w:r w:rsidRPr="00F82C8D">
        <w:t xml:space="preserve"> to vary the determination </w:t>
      </w:r>
      <w:r w:rsidR="00FA4306" w:rsidRPr="00F82C8D">
        <w:t>by the later of 30 days after the date specified in the notice or 30 days after further information requested to be provided to the Regulator</w:t>
      </w:r>
      <w:r w:rsidR="00691236" w:rsidRPr="00F82C8D">
        <w:t xml:space="preserve"> is provided</w:t>
      </w:r>
      <w:r w:rsidRPr="00F82C8D">
        <w:t xml:space="preserve">. </w:t>
      </w:r>
      <w:r w:rsidRPr="00F82C8D">
        <w:rPr>
          <w:b/>
          <w:i/>
          <w:sz w:val="20"/>
        </w:rPr>
        <w:t>[subsection 20(4)]</w:t>
      </w:r>
    </w:p>
    <w:p w:rsidR="007073B3" w:rsidRPr="00F82C8D" w:rsidRDefault="007073B3" w:rsidP="00625D31">
      <w:pPr>
        <w:pStyle w:val="ListParagraph"/>
      </w:pPr>
      <w:r w:rsidRPr="00F82C8D">
        <w:t xml:space="preserve">As soon as practicable after varying the determination, the Regulator must provide written notice of the variation to the responsible emitter and publish the details of the varied determination on its website. </w:t>
      </w:r>
      <w:r w:rsidRPr="00F82C8D">
        <w:rPr>
          <w:b/>
          <w:i/>
          <w:sz w:val="20"/>
        </w:rPr>
        <w:t>[subsection 20(5)]</w:t>
      </w:r>
      <w:r w:rsidR="00083A27" w:rsidRPr="00F82C8D">
        <w:rPr>
          <w:b/>
          <w:i/>
          <w:sz w:val="20"/>
        </w:rPr>
        <w:t xml:space="preserve"> </w:t>
      </w:r>
      <w:r w:rsidR="00083A27" w:rsidRPr="00F82C8D">
        <w:rPr>
          <w:lang w:val="en-AU"/>
        </w:rPr>
        <w:t>The type of details are listed in section 4 of the safeguard rule, and include the start and end date of the determination and the relevant facility.</w:t>
      </w:r>
    </w:p>
    <w:p w:rsidR="007073B3" w:rsidRPr="00F82C8D" w:rsidRDefault="007073B3" w:rsidP="00625D31">
      <w:pPr>
        <w:pStyle w:val="ListParagraph"/>
        <w:rPr>
          <w:lang w:val="en-AU"/>
        </w:rPr>
      </w:pPr>
      <w:r w:rsidRPr="00F82C8D">
        <w:t xml:space="preserve">For entities which nominate to report on the basis of a national transport facility definition for which neither existing baselines, nor </w:t>
      </w:r>
      <w:r w:rsidR="00491A60" w:rsidRPr="00F82C8D">
        <w:t>adequate</w:t>
      </w:r>
      <w:r w:rsidRPr="00F82C8D">
        <w:t xml:space="preserve"> historical data is available, a calculated-emissions baseline determination will be made for the entire national facility, in accordanc</w:t>
      </w:r>
      <w:r w:rsidR="00CD675A" w:rsidRPr="00F82C8D">
        <w:t xml:space="preserve">e with the new facility criteria (see the section headed </w:t>
      </w:r>
      <w:fldSimple w:instr=" REF _Ref426364242 \h  \* MERGEFORMAT ">
        <w:r w:rsidR="00F16B1F" w:rsidRPr="00F16B1F">
          <w:rPr>
            <w:i/>
          </w:rPr>
          <w:t>Section 23: New facility criteria</w:t>
        </w:r>
      </w:fldSimple>
      <w:r w:rsidR="00CD675A" w:rsidRPr="00F82C8D">
        <w:t xml:space="preserve"> on page </w:t>
      </w:r>
      <w:r w:rsidR="00744D5E" w:rsidRPr="00F82C8D">
        <w:fldChar w:fldCharType="begin"/>
      </w:r>
      <w:r w:rsidR="00CD675A" w:rsidRPr="00F82C8D">
        <w:instrText xml:space="preserve"> PAGEREF _Ref426364242 \h </w:instrText>
      </w:r>
      <w:r w:rsidR="00744D5E" w:rsidRPr="00F82C8D">
        <w:fldChar w:fldCharType="separate"/>
      </w:r>
      <w:r w:rsidR="00F16B1F">
        <w:rPr>
          <w:noProof/>
        </w:rPr>
        <w:t>48</w:t>
      </w:r>
      <w:r w:rsidR="00744D5E" w:rsidRPr="00F82C8D">
        <w:fldChar w:fldCharType="end"/>
      </w:r>
      <w:r w:rsidR="00AA634E" w:rsidRPr="00F82C8D">
        <w:t xml:space="preserve"> of the </w:t>
      </w:r>
      <w:r w:rsidR="00D360AB" w:rsidRPr="00F82C8D">
        <w:t>Exp</w:t>
      </w:r>
      <w:r w:rsidR="00AA634E" w:rsidRPr="00F82C8D">
        <w:t>lanatory S</w:t>
      </w:r>
      <w:r w:rsidR="00CD675A" w:rsidRPr="00F82C8D">
        <w:t>tatement</w:t>
      </w:r>
      <w:r w:rsidR="00AA634E" w:rsidRPr="00F82C8D">
        <w:t>)</w:t>
      </w:r>
      <w:r w:rsidR="00CD675A" w:rsidRPr="00F82C8D">
        <w:t>.</w:t>
      </w:r>
    </w:p>
    <w:p w:rsidR="006C17D8" w:rsidRPr="00F82C8D" w:rsidRDefault="00CD675A" w:rsidP="006C17D8">
      <w:pPr>
        <w:pStyle w:val="Heading2"/>
        <w:rPr>
          <w:lang w:val="en-AU"/>
        </w:rPr>
      </w:pPr>
      <w:bookmarkStart w:id="91" w:name="_Ref426634023"/>
      <w:bookmarkStart w:id="92" w:name="_Ref426634034"/>
      <w:bookmarkStart w:id="93" w:name="_Toc431975847"/>
      <w:bookmarkStart w:id="94" w:name="_Toc426382210"/>
      <w:bookmarkEnd w:id="84"/>
      <w:r w:rsidRPr="00F82C8D">
        <w:rPr>
          <w:lang w:val="en-AU"/>
        </w:rPr>
        <w:t>Subdivision</w:t>
      </w:r>
      <w:r w:rsidR="0065595C" w:rsidRPr="00F82C8D">
        <w:rPr>
          <w:lang w:val="en-AU"/>
        </w:rPr>
        <w:t xml:space="preserve"> 3</w:t>
      </w:r>
      <w:r w:rsidR="0065595C" w:rsidRPr="00F82C8D">
        <w:t>—</w:t>
      </w:r>
      <w:r w:rsidR="00491A60" w:rsidRPr="00F82C8D">
        <w:rPr>
          <w:lang w:val="en-AU"/>
        </w:rPr>
        <w:t>Calculated-emissions baseline</w:t>
      </w:r>
      <w:r w:rsidR="006C17D8" w:rsidRPr="00F82C8D">
        <w:rPr>
          <w:lang w:val="en-AU"/>
        </w:rPr>
        <w:t xml:space="preserve"> determination</w:t>
      </w:r>
      <w:bookmarkEnd w:id="91"/>
      <w:bookmarkEnd w:id="92"/>
      <w:bookmarkEnd w:id="93"/>
    </w:p>
    <w:p w:rsidR="005D4E2F" w:rsidRPr="00F82C8D" w:rsidRDefault="005D4E2F" w:rsidP="004D77FE">
      <w:pPr>
        <w:pStyle w:val="ListParagraph"/>
        <w:rPr>
          <w:lang w:val="en-AU"/>
        </w:rPr>
      </w:pPr>
      <w:r w:rsidRPr="00F82C8D">
        <w:t>Calculated-emissions baseline determinations are intended for facilities that do not have sufficient historical emissions data to make a reported-emissions baseline determination or for which historical emissions may be a poor indicator of future emissions, because either the facility has significantly expanded or is subject to the inherent emissions variability associated with the extraction of natural resources.</w:t>
      </w:r>
    </w:p>
    <w:p w:rsidR="005D4E2F" w:rsidRPr="00F82C8D" w:rsidRDefault="00491A60" w:rsidP="004D77FE">
      <w:pPr>
        <w:pStyle w:val="ListParagraph"/>
        <w:rPr>
          <w:lang w:val="en-AU"/>
        </w:rPr>
      </w:pPr>
      <w:r w:rsidRPr="00F82C8D">
        <w:rPr>
          <w:lang w:val="en-AU"/>
        </w:rPr>
        <w:t>A</w:t>
      </w:r>
      <w:r w:rsidR="005D4E2F" w:rsidRPr="00F82C8D">
        <w:rPr>
          <w:lang w:val="en-AU"/>
        </w:rPr>
        <w:t xml:space="preserve"> calculated-emissions baseline determination is based on estimates of production at a facility. This means that the baseline determination is temporary and will expire at a time that actual production data </w:t>
      </w:r>
      <w:r w:rsidR="00B66A94" w:rsidRPr="00F82C8D">
        <w:rPr>
          <w:lang w:val="en-AU"/>
        </w:rPr>
        <w:t>should be</w:t>
      </w:r>
      <w:r w:rsidR="005D4E2F" w:rsidRPr="00F82C8D">
        <w:rPr>
          <w:lang w:val="en-AU"/>
        </w:rPr>
        <w:t xml:space="preserve"> available. Once it expires, a facility may be eligible to apply for a production-adjusted baseline determination </w:t>
      </w:r>
      <w:r w:rsidR="005D4E2F" w:rsidRPr="00F82C8D">
        <w:t>(see</w:t>
      </w:r>
      <w:r w:rsidR="00743DAD" w:rsidRPr="00F82C8D">
        <w:t xml:space="preserve"> the section headed</w:t>
      </w:r>
      <w:r w:rsidR="005D4E2F" w:rsidRPr="00F82C8D">
        <w:t xml:space="preserve"> </w:t>
      </w:r>
      <w:fldSimple w:instr=" REF _Ref426634113 \h  \* MERGEFORMAT ">
        <w:r w:rsidR="00F16B1F" w:rsidRPr="00F16B1F">
          <w:rPr>
            <w:i/>
            <w:lang w:val="en-AU"/>
          </w:rPr>
          <w:t>Subdivision 5</w:t>
        </w:r>
        <w:r w:rsidR="00F16B1F" w:rsidRPr="00F16B1F">
          <w:rPr>
            <w:i/>
          </w:rPr>
          <w:t>—</w:t>
        </w:r>
        <w:r w:rsidR="00F16B1F" w:rsidRPr="00F16B1F">
          <w:rPr>
            <w:i/>
            <w:lang w:val="en-AU"/>
          </w:rPr>
          <w:t>Production-adjusted baseline determination</w:t>
        </w:r>
      </w:fldSimple>
      <w:r w:rsidR="005D4E2F" w:rsidRPr="00F82C8D">
        <w:t xml:space="preserve"> on page </w:t>
      </w:r>
      <w:r w:rsidR="00744D5E" w:rsidRPr="00F82C8D">
        <w:fldChar w:fldCharType="begin"/>
      </w:r>
      <w:r w:rsidR="005D4E2F" w:rsidRPr="00F82C8D">
        <w:instrText xml:space="preserve"> PAGEREF _Ref426634109 \h </w:instrText>
      </w:r>
      <w:r w:rsidR="00744D5E" w:rsidRPr="00F82C8D">
        <w:fldChar w:fldCharType="separate"/>
      </w:r>
      <w:r w:rsidR="00F16B1F">
        <w:rPr>
          <w:noProof/>
        </w:rPr>
        <w:t>71</w:t>
      </w:r>
      <w:r w:rsidR="00744D5E" w:rsidRPr="00F82C8D">
        <w:fldChar w:fldCharType="end"/>
      </w:r>
      <w:r w:rsidR="005D4E2F" w:rsidRPr="00F82C8D">
        <w:t xml:space="preserve"> of</w:t>
      </w:r>
      <w:r w:rsidR="004C00A9" w:rsidRPr="00F82C8D">
        <w:t xml:space="preserve"> the</w:t>
      </w:r>
      <w:r w:rsidR="00F37DA6" w:rsidRPr="00F82C8D">
        <w:t xml:space="preserve"> </w:t>
      </w:r>
      <w:r w:rsidR="00D360AB" w:rsidRPr="00F82C8D">
        <w:t>Exp</w:t>
      </w:r>
      <w:r w:rsidR="001E5FAA" w:rsidRPr="00F82C8D">
        <w:t>lanatory Statement</w:t>
      </w:r>
      <w:r w:rsidR="005D4E2F" w:rsidRPr="00F82C8D">
        <w:t>).</w:t>
      </w:r>
    </w:p>
    <w:p w:rsidR="006C17D8" w:rsidRPr="00F82C8D" w:rsidRDefault="0065595C" w:rsidP="006C17D8">
      <w:pPr>
        <w:pStyle w:val="Heading3"/>
      </w:pPr>
      <w:r w:rsidRPr="00F82C8D">
        <w:t xml:space="preserve">Section 22: </w:t>
      </w:r>
      <w:r w:rsidR="006C17D8" w:rsidRPr="00F82C8D">
        <w:t>Application</w:t>
      </w:r>
    </w:p>
    <w:p w:rsidR="006C17D8" w:rsidRPr="00F82C8D" w:rsidRDefault="006C17D8" w:rsidP="00625D31">
      <w:pPr>
        <w:pStyle w:val="ListParagraph"/>
        <w:rPr>
          <w:b/>
        </w:rPr>
      </w:pPr>
      <w:r w:rsidRPr="00F82C8D">
        <w:t xml:space="preserve">Facility operators may apply to the Regulator for a calculated-emissions baseline determination if their facility meets the new facility criteria, the significant expansion criteria, the inherent emissions variability criteria or the initial calculated baseline criteria. </w:t>
      </w:r>
      <w:r w:rsidRPr="00F82C8D">
        <w:rPr>
          <w:sz w:val="20"/>
          <w:szCs w:val="20"/>
        </w:rPr>
        <w:t>[</w:t>
      </w:r>
      <w:r w:rsidRPr="00F82C8D">
        <w:rPr>
          <w:b/>
          <w:i/>
          <w:sz w:val="20"/>
          <w:szCs w:val="20"/>
        </w:rPr>
        <w:t>subsection 22(1)</w:t>
      </w:r>
      <w:r w:rsidRPr="00F82C8D">
        <w:rPr>
          <w:sz w:val="20"/>
          <w:szCs w:val="20"/>
        </w:rPr>
        <w:t>]</w:t>
      </w:r>
    </w:p>
    <w:p w:rsidR="006C17D8" w:rsidRPr="00F82C8D" w:rsidRDefault="006C17D8" w:rsidP="00625D31">
      <w:pPr>
        <w:pStyle w:val="ListParagraph"/>
        <w:rPr>
          <w:b/>
          <w:lang w:val="en-AU"/>
        </w:rPr>
      </w:pPr>
      <w:r w:rsidRPr="00F82C8D">
        <w:rPr>
          <w:lang w:val="en-AU"/>
        </w:rPr>
        <w:t>Applications must be given in writing in a manner and form approved by the Regulator, and must specify the start date for the calculated-emissi</w:t>
      </w:r>
      <w:r w:rsidR="00610223" w:rsidRPr="00F82C8D">
        <w:rPr>
          <w:lang w:val="en-AU"/>
        </w:rPr>
        <w:t xml:space="preserve">ons baseline determination as </w:t>
      </w:r>
      <w:r w:rsidRPr="00F82C8D">
        <w:rPr>
          <w:lang w:val="en-AU"/>
        </w:rPr>
        <w:t xml:space="preserve">1 July of a particular year. </w:t>
      </w:r>
      <w:r w:rsidRPr="00F82C8D">
        <w:rPr>
          <w:rStyle w:val="Emphasis"/>
        </w:rPr>
        <w:t xml:space="preserve">[paragraphs 22(2)(a) and (b)] </w:t>
      </w:r>
      <w:r w:rsidRPr="00F82C8D">
        <w:rPr>
          <w:lang w:val="en-AU"/>
        </w:rPr>
        <w:t>That is, the period to be covered by the calculated-emissions baseline determination for a facility is determined by the timing and content of the application rather than, for example, the year in which the facility</w:t>
      </w:r>
      <w:r w:rsidR="00374C27" w:rsidRPr="00F82C8D">
        <w:rPr>
          <w:lang w:val="en-AU"/>
        </w:rPr>
        <w:t>’</w:t>
      </w:r>
      <w:r w:rsidRPr="00F82C8D">
        <w:rPr>
          <w:lang w:val="en-AU"/>
        </w:rPr>
        <w:t>s covered emissions exceeded 100,000 t CO</w:t>
      </w:r>
      <w:r w:rsidR="00E073C6" w:rsidRPr="00F82C8D">
        <w:rPr>
          <w:vertAlign w:val="subscript"/>
          <w:lang w:val="en-AU"/>
        </w:rPr>
        <w:t>2</w:t>
      </w:r>
      <w:r w:rsidR="00E073C6" w:rsidRPr="00F82C8D">
        <w:rPr>
          <w:lang w:val="en-AU"/>
        </w:rPr>
        <w:t>-</w:t>
      </w:r>
      <w:r w:rsidRPr="00F82C8D">
        <w:rPr>
          <w:lang w:val="en-AU"/>
        </w:rPr>
        <w:t>e.</w:t>
      </w:r>
    </w:p>
    <w:p w:rsidR="006C17D8" w:rsidRPr="00F82C8D" w:rsidRDefault="006C17D8" w:rsidP="00625D31">
      <w:pPr>
        <w:pStyle w:val="ListParagraph"/>
        <w:rPr>
          <w:b/>
          <w:lang w:val="en-AU"/>
        </w:rPr>
      </w:pPr>
      <w:r w:rsidRPr="00F82C8D">
        <w:rPr>
          <w:lang w:val="en-AU"/>
        </w:rPr>
        <w:t xml:space="preserve">Applications </w:t>
      </w:r>
      <w:r w:rsidRPr="00F82C8D">
        <w:t>must</w:t>
      </w:r>
      <w:r w:rsidRPr="00F82C8D">
        <w:rPr>
          <w:lang w:val="en-AU"/>
        </w:rPr>
        <w:t xml:space="preserve"> include the information required by section 27 and include an audit report that complies with section 28. </w:t>
      </w:r>
      <w:r w:rsidRPr="00F82C8D">
        <w:rPr>
          <w:rStyle w:val="Emphasis"/>
        </w:rPr>
        <w:t>[paragraphs 22(2)(c) and (d)]</w:t>
      </w:r>
    </w:p>
    <w:p w:rsidR="006C17D8" w:rsidRPr="00F82C8D" w:rsidRDefault="006C17D8" w:rsidP="00625D31">
      <w:pPr>
        <w:pStyle w:val="ListParagraph"/>
        <w:rPr>
          <w:rFonts w:eastAsiaTheme="majorEastAsia"/>
          <w:b/>
          <w:bCs/>
          <w:lang w:val="en-AU"/>
        </w:rPr>
      </w:pPr>
      <w:r w:rsidRPr="00F82C8D">
        <w:rPr>
          <w:lang w:val="en-AU"/>
        </w:rPr>
        <w:t xml:space="preserve">Generally, an application for a calculated-emissions baseline determination may be given to the </w:t>
      </w:r>
      <w:r w:rsidRPr="00F82C8D">
        <w:t>Regulator</w:t>
      </w:r>
      <w:r w:rsidRPr="00F82C8D">
        <w:rPr>
          <w:lang w:val="en-AU"/>
        </w:rPr>
        <w:t xml:space="preserve"> in the period between one year before the start of the determination applied for and the 31 October after the end of the first year covered by the determination. </w:t>
      </w:r>
      <w:r w:rsidRPr="00F82C8D">
        <w:rPr>
          <w:rStyle w:val="Emphasis"/>
        </w:rPr>
        <w:t>[subsection 22(3)]</w:t>
      </w:r>
      <w:r w:rsidRPr="00F82C8D">
        <w:rPr>
          <w:lang w:val="en-AU"/>
        </w:rPr>
        <w:t xml:space="preserve"> </w:t>
      </w:r>
    </w:p>
    <w:p w:rsidR="00AA634E" w:rsidRPr="00F82C8D" w:rsidRDefault="006C17D8" w:rsidP="006C17D8">
      <w:pPr>
        <w:pStyle w:val="Quote"/>
      </w:pPr>
      <w:r w:rsidRPr="00F82C8D">
        <w:t>For example, if the application is for a determination covering the period from 1</w:t>
      </w:r>
      <w:r w:rsidR="00374C27" w:rsidRPr="00F82C8D">
        <w:t> </w:t>
      </w:r>
      <w:r w:rsidRPr="00F82C8D">
        <w:t xml:space="preserve">July 2018 to 30 June 2021, the application may be given to the Regulator between 1 July 2017 and 31 October 2019. </w:t>
      </w:r>
    </w:p>
    <w:p w:rsidR="006C17D8" w:rsidRPr="00F82C8D" w:rsidRDefault="00AA634E" w:rsidP="00AA634E">
      <w:pPr>
        <w:pStyle w:val="ListParagraph"/>
        <w:rPr>
          <w:rFonts w:eastAsiaTheme="majorEastAsia"/>
          <w:b/>
        </w:rPr>
      </w:pPr>
      <w:r w:rsidRPr="00F82C8D">
        <w:t>If</w:t>
      </w:r>
      <w:r w:rsidR="006C17D8" w:rsidRPr="00F82C8D">
        <w:rPr>
          <w:rFonts w:eastAsiaTheme="majorEastAsia"/>
        </w:rPr>
        <w:t xml:space="preserve"> the Regulator has refused to make a determination applied for in a properly made application, the Regulator may accept a new application no later than the 1 February after the 31 October deadline. </w:t>
      </w:r>
      <w:r w:rsidR="006C17D8" w:rsidRPr="00F82C8D">
        <w:rPr>
          <w:rStyle w:val="Emphasis"/>
        </w:rPr>
        <w:t xml:space="preserve">[subsection 22(5)] </w:t>
      </w:r>
      <w:r w:rsidR="006C17D8" w:rsidRPr="00F82C8D">
        <w:rPr>
          <w:rFonts w:eastAsiaTheme="majorEastAsia"/>
        </w:rPr>
        <w:t>This provision allows applicants to address the matters that caused the Regulator to refuse to make the determination applied for</w:t>
      </w:r>
      <w:r w:rsidR="00374C27" w:rsidRPr="00F82C8D">
        <w:rPr>
          <w:rFonts w:eastAsiaTheme="majorEastAsia"/>
        </w:rPr>
        <w:t xml:space="preserve"> within the general application window</w:t>
      </w:r>
      <w:r w:rsidR="006C17D8" w:rsidRPr="00F82C8D">
        <w:rPr>
          <w:rFonts w:eastAsiaTheme="majorEastAsia"/>
        </w:rPr>
        <w:t>.</w:t>
      </w:r>
    </w:p>
    <w:p w:rsidR="006C17D8" w:rsidRPr="00F82C8D" w:rsidRDefault="006C17D8" w:rsidP="00625D31">
      <w:pPr>
        <w:pStyle w:val="ListParagraph"/>
        <w:rPr>
          <w:rFonts w:eastAsiaTheme="majorEastAsia"/>
          <w:b/>
          <w:lang w:val="en-AU"/>
        </w:rPr>
      </w:pPr>
      <w:bookmarkStart w:id="95" w:name="_Ref426988015"/>
      <w:r w:rsidRPr="00F82C8D">
        <w:rPr>
          <w:rFonts w:eastAsiaTheme="majorEastAsia"/>
          <w:lang w:val="en-AU"/>
        </w:rPr>
        <w:t xml:space="preserve">The applicant may withdraw the application at any time before the Regulator has made the determination </w:t>
      </w:r>
      <w:r w:rsidR="00374C27" w:rsidRPr="00F82C8D">
        <w:rPr>
          <w:rFonts w:eastAsiaTheme="majorEastAsia"/>
          <w:lang w:val="en-AU"/>
        </w:rPr>
        <w:t>the subject of the application</w:t>
      </w:r>
      <w:r w:rsidRPr="00F82C8D">
        <w:rPr>
          <w:rFonts w:eastAsiaTheme="majorEastAsia"/>
          <w:lang w:val="en-AU"/>
        </w:rPr>
        <w:t xml:space="preserve">. </w:t>
      </w:r>
      <w:r w:rsidRPr="00F82C8D">
        <w:rPr>
          <w:rStyle w:val="Emphasis"/>
        </w:rPr>
        <w:t>[subsection 22(4)]</w:t>
      </w:r>
      <w:bookmarkEnd w:id="95"/>
    </w:p>
    <w:p w:rsidR="006C17D8" w:rsidRPr="00F82C8D" w:rsidRDefault="0097406B" w:rsidP="006C17D8">
      <w:pPr>
        <w:pStyle w:val="Heading3"/>
      </w:pPr>
      <w:bookmarkStart w:id="96" w:name="_Ref426364242"/>
      <w:r w:rsidRPr="00F82C8D">
        <w:t xml:space="preserve">Section 23: </w:t>
      </w:r>
      <w:r w:rsidR="006C17D8" w:rsidRPr="00F82C8D">
        <w:t>New facility criteria</w:t>
      </w:r>
      <w:bookmarkEnd w:id="96"/>
    </w:p>
    <w:p w:rsidR="006C17D8" w:rsidRPr="00F82C8D" w:rsidRDefault="006C17D8" w:rsidP="00625D31">
      <w:pPr>
        <w:pStyle w:val="ListParagraph"/>
        <w:rPr>
          <w:lang w:val="en-AU"/>
        </w:rPr>
      </w:pPr>
      <w:r w:rsidRPr="00F82C8D">
        <w:rPr>
          <w:lang w:val="en-AU"/>
        </w:rPr>
        <w:t xml:space="preserve">New facilities may apply for a calculated-emissions baseline determination </w:t>
      </w:r>
      <w:r w:rsidR="00610223" w:rsidRPr="00F82C8D">
        <w:rPr>
          <w:lang w:val="en-AU"/>
        </w:rPr>
        <w:t>where there is not sufficient</w:t>
      </w:r>
      <w:r w:rsidRPr="00F82C8D">
        <w:rPr>
          <w:lang w:val="en-AU"/>
        </w:rPr>
        <w:t xml:space="preserve"> historical </w:t>
      </w:r>
      <w:r w:rsidRPr="00F82C8D">
        <w:t>data</w:t>
      </w:r>
      <w:r w:rsidR="00610223" w:rsidRPr="00F82C8D">
        <w:t xml:space="preserve"> for the Regulator</w:t>
      </w:r>
      <w:r w:rsidRPr="00F82C8D">
        <w:rPr>
          <w:lang w:val="en-AU"/>
        </w:rPr>
        <w:t xml:space="preserve"> to make a reported-emissions</w:t>
      </w:r>
      <w:r w:rsidR="00610223" w:rsidRPr="00F82C8D">
        <w:rPr>
          <w:lang w:val="en-AU"/>
        </w:rPr>
        <w:t xml:space="preserve"> baseline determination</w:t>
      </w:r>
      <w:r w:rsidRPr="00F82C8D">
        <w:rPr>
          <w:lang w:val="en-AU"/>
        </w:rPr>
        <w:t>. Facilities that lack sufficient historical data are likely to be new facilities that are still ramping up production. During the ramp-up phase of these facilities, historical emissions data is a poor guide to future emissions.</w:t>
      </w:r>
    </w:p>
    <w:p w:rsidR="006C17D8" w:rsidRPr="00F82C8D" w:rsidRDefault="006C17D8" w:rsidP="00625D31">
      <w:pPr>
        <w:pStyle w:val="ListParagraph"/>
        <w:rPr>
          <w:lang w:val="en-AU"/>
        </w:rPr>
      </w:pPr>
      <w:r w:rsidRPr="00F82C8D">
        <w:rPr>
          <w:lang w:val="en-AU"/>
        </w:rPr>
        <w:t xml:space="preserve">To meet the criteria for a new facility, the facility must not meet the criteria for a reported-emissions baseline determination set out in subsections 14(1) and (2). </w:t>
      </w:r>
      <w:r w:rsidRPr="00F82C8D">
        <w:rPr>
          <w:rStyle w:val="Emphasis"/>
        </w:rPr>
        <w:t>[subsection 23(2)]</w:t>
      </w:r>
      <w:r w:rsidR="00942D59" w:rsidRPr="00F82C8D">
        <w:rPr>
          <w:lang w:val="en-AU"/>
        </w:rPr>
        <w:t xml:space="preserve"> </w:t>
      </w:r>
      <w:r w:rsidR="00A07CE3" w:rsidRPr="00F82C8D">
        <w:rPr>
          <w:lang w:val="en-AU"/>
        </w:rPr>
        <w:t>This includes that a facility</w:t>
      </w:r>
      <w:r w:rsidR="007D0B66" w:rsidRPr="00F82C8D">
        <w:rPr>
          <w:lang w:val="en-AU"/>
        </w:rPr>
        <w:t xml:space="preserve"> had submitted reports under the Act for at least one, but not all of </w:t>
      </w:r>
      <w:r w:rsidR="001C2489" w:rsidRPr="00F82C8D">
        <w:rPr>
          <w:lang w:val="en-AU"/>
        </w:rPr>
        <w:t xml:space="preserve">the </w:t>
      </w:r>
      <w:r w:rsidR="007D0B66" w:rsidRPr="00F82C8D">
        <w:rPr>
          <w:lang w:val="en-AU"/>
        </w:rPr>
        <w:t>five fin</w:t>
      </w:r>
      <w:r w:rsidR="001C2489" w:rsidRPr="00F82C8D">
        <w:rPr>
          <w:lang w:val="en-AU"/>
        </w:rPr>
        <w:t>ancial years beginning 2009-10 (meeting</w:t>
      </w:r>
      <w:r w:rsidR="00A07CE3" w:rsidRPr="00F82C8D">
        <w:rPr>
          <w:lang w:val="en-AU"/>
        </w:rPr>
        <w:t xml:space="preserve"> the requirements in subparagraphs 14(1)(c)(i) and 4(1)(c)(ii)</w:t>
      </w:r>
      <w:r w:rsidR="001C2489" w:rsidRPr="00F82C8D">
        <w:rPr>
          <w:lang w:val="en-AU"/>
        </w:rPr>
        <w:t>)</w:t>
      </w:r>
      <w:r w:rsidR="00A07CE3" w:rsidRPr="00F82C8D">
        <w:rPr>
          <w:lang w:val="en-AU"/>
        </w:rPr>
        <w:t xml:space="preserve">, but did not notify the Regulator </w:t>
      </w:r>
      <w:r w:rsidR="007D0B66" w:rsidRPr="00F82C8D">
        <w:rPr>
          <w:lang w:val="en-AU"/>
        </w:rPr>
        <w:t>that it wanted a reported-emissions baseline un</w:t>
      </w:r>
      <w:r w:rsidR="001C2489" w:rsidRPr="00F82C8D">
        <w:rPr>
          <w:lang w:val="en-AU"/>
        </w:rPr>
        <w:t>der subparagraph 4(1)(c)(iii).</w:t>
      </w:r>
      <w:r w:rsidRPr="00F82C8D">
        <w:rPr>
          <w:lang w:val="en-AU"/>
        </w:rPr>
        <w:t xml:space="preserve">This provision ensures that facilities eligible for </w:t>
      </w:r>
      <w:r w:rsidRPr="00F82C8D">
        <w:t>a reported-emissions baseline</w:t>
      </w:r>
      <w:r w:rsidR="007D0B66" w:rsidRPr="00F82C8D">
        <w:t xml:space="preserve"> are given such a</w:t>
      </w:r>
      <w:r w:rsidR="007D0B66" w:rsidRPr="00F82C8D">
        <w:rPr>
          <w:lang w:val="en-AU"/>
        </w:rPr>
        <w:t xml:space="preserve"> baseline, </w:t>
      </w:r>
      <w:r w:rsidR="007D0B66" w:rsidRPr="00F82C8D">
        <w:t>including those who wanted such a baseline under paragraph 14(1)(c)</w:t>
      </w:r>
      <w:r w:rsidRPr="00F82C8D">
        <w:t xml:space="preserve"> </w:t>
      </w:r>
      <w:r w:rsidR="007D0B66" w:rsidRPr="00F82C8D">
        <w:t xml:space="preserve">of the safeguard rule. </w:t>
      </w:r>
    </w:p>
    <w:p w:rsidR="006C17D8" w:rsidRPr="00F82C8D" w:rsidRDefault="006C17D8" w:rsidP="00625D31">
      <w:pPr>
        <w:pStyle w:val="ListParagraph"/>
      </w:pPr>
      <w:r w:rsidRPr="00F82C8D">
        <w:t xml:space="preserve">The facility must not have reported emissions in each of the five years from 1 July 2009. </w:t>
      </w:r>
      <w:r w:rsidRPr="00F82C8D">
        <w:rPr>
          <w:rStyle w:val="Emphasis"/>
        </w:rPr>
        <w:t>[subsection 23(3)]</w:t>
      </w:r>
      <w:r w:rsidRPr="00F82C8D">
        <w:t xml:space="preserve"> Facilities that did report in each of these years </w:t>
      </w:r>
      <w:r w:rsidR="00610223" w:rsidRPr="00F82C8D">
        <w:t>are likely to</w:t>
      </w:r>
      <w:r w:rsidRPr="00F82C8D">
        <w:t xml:space="preserve"> have completed their ramp-up phases and are not new.</w:t>
      </w:r>
      <w:r w:rsidR="00610223" w:rsidRPr="00F82C8D">
        <w:t xml:space="preserve"> The 100,000 t </w:t>
      </w:r>
      <w:r w:rsidR="00085986" w:rsidRPr="00F82C8D">
        <w:t>CO</w:t>
      </w:r>
      <w:r w:rsidR="00E073C6" w:rsidRPr="00F82C8D">
        <w:rPr>
          <w:vertAlign w:val="subscript"/>
        </w:rPr>
        <w:t>2</w:t>
      </w:r>
      <w:r w:rsidR="00E073C6" w:rsidRPr="00F82C8D">
        <w:t>-</w:t>
      </w:r>
      <w:r w:rsidR="00085986" w:rsidRPr="00F82C8D">
        <w:t xml:space="preserve">e baseline in paragraph 10(b) </w:t>
      </w:r>
      <w:r w:rsidR="00AA634E" w:rsidRPr="00F82C8D">
        <w:t xml:space="preserve">of the </w:t>
      </w:r>
      <w:r w:rsidR="00D360AB" w:rsidRPr="00F82C8D">
        <w:t>safeguard rule</w:t>
      </w:r>
      <w:r w:rsidR="00AA634E" w:rsidRPr="00F82C8D">
        <w:t xml:space="preserve"> </w:t>
      </w:r>
      <w:r w:rsidR="00E36720" w:rsidRPr="00F82C8D">
        <w:t>will</w:t>
      </w:r>
      <w:r w:rsidR="00085986" w:rsidRPr="00F82C8D">
        <w:t xml:space="preserve"> apply to such a facility until they are eligible for another kind of baseline determination, such as a determination based on a significant expansion. </w:t>
      </w:r>
    </w:p>
    <w:p w:rsidR="006C17D8" w:rsidRPr="00F82C8D" w:rsidRDefault="006C17D8" w:rsidP="00625D31">
      <w:pPr>
        <w:pStyle w:val="ListParagraph"/>
        <w:rPr>
          <w:rStyle w:val="Emphasis"/>
          <w:b w:val="0"/>
          <w:i w:val="0"/>
          <w:sz w:val="24"/>
        </w:rPr>
      </w:pPr>
      <w:r w:rsidRPr="00F82C8D">
        <w:t>The facility must have emitted, or be reasonably expected to emit, more than 100,000 t CO</w:t>
      </w:r>
      <w:r w:rsidR="00E073C6" w:rsidRPr="00F82C8D">
        <w:rPr>
          <w:vertAlign w:val="subscript"/>
        </w:rPr>
        <w:t>2</w:t>
      </w:r>
      <w:r w:rsidR="00E073C6" w:rsidRPr="00F82C8D">
        <w:t>-</w:t>
      </w:r>
      <w:r w:rsidRPr="00F82C8D">
        <w:t xml:space="preserve">e of covered emissions in the first year of the proposed calculated-emissions baseline determination. </w:t>
      </w:r>
      <w:r w:rsidRPr="00F82C8D">
        <w:rPr>
          <w:rStyle w:val="Emphasis"/>
        </w:rPr>
        <w:t xml:space="preserve">[subsection 23(4)] </w:t>
      </w:r>
      <w:r w:rsidRPr="00F82C8D">
        <w:t xml:space="preserve">This provision ensures that </w:t>
      </w:r>
      <w:r w:rsidR="00893FB8" w:rsidRPr="00F82C8D">
        <w:t>baseline determinations</w:t>
      </w:r>
      <w:r w:rsidRPr="00F82C8D">
        <w:t xml:space="preserve"> are only made for facilities if they are above the </w:t>
      </w:r>
      <w:r w:rsidR="00562E97" w:rsidRPr="00F82C8D">
        <w:rPr>
          <w:lang w:val="en-AU"/>
        </w:rPr>
        <w:t>designated large facility threshold</w:t>
      </w:r>
      <w:r w:rsidRPr="00F82C8D">
        <w:t>.</w:t>
      </w:r>
      <w:r w:rsidR="00A35CF7" w:rsidRPr="00F82C8D">
        <w:t xml:space="preserve"> </w:t>
      </w:r>
      <w:r w:rsidR="000246C3" w:rsidRPr="00F82C8D">
        <w:t>Facilities</w:t>
      </w:r>
      <w:r w:rsidR="00A35CF7" w:rsidRPr="00F82C8D">
        <w:t xml:space="preserve"> must not deliberately increase or intend to increase their covered emissions</w:t>
      </w:r>
      <w:r w:rsidR="00AA634E" w:rsidRPr="00F82C8D">
        <w:t xml:space="preserve"> reported</w:t>
      </w:r>
      <w:r w:rsidR="0001544B" w:rsidRPr="00F82C8D">
        <w:t xml:space="preserve"> or calculated</w:t>
      </w:r>
      <w:r w:rsidR="00AA634E" w:rsidRPr="00F82C8D">
        <w:t xml:space="preserve"> under the Act</w:t>
      </w:r>
      <w:r w:rsidR="00A35CF7" w:rsidRPr="00F82C8D">
        <w:t xml:space="preserve"> for the purpose of meeting this criterion. </w:t>
      </w:r>
      <w:r w:rsidR="00A35CF7" w:rsidRPr="00F82C8D">
        <w:rPr>
          <w:rStyle w:val="Emphasis"/>
        </w:rPr>
        <w:t>[subsections 23(5)]</w:t>
      </w:r>
    </w:p>
    <w:p w:rsidR="0001544B" w:rsidRPr="00F82C8D" w:rsidRDefault="0001544B" w:rsidP="0001544B">
      <w:pPr>
        <w:pStyle w:val="Quote"/>
      </w:pPr>
      <w:r w:rsidRPr="00F82C8D">
        <w:t>For example, emissions reported under the Act are worked out in accordance with the NG</w:t>
      </w:r>
      <w:r w:rsidR="00442549" w:rsidRPr="00F82C8D">
        <w:t xml:space="preserve">ER (Measurement) Determination, which often </w:t>
      </w:r>
      <w:r w:rsidRPr="00F82C8D">
        <w:t>give</w:t>
      </w:r>
      <w:r w:rsidR="00442549" w:rsidRPr="00F82C8D">
        <w:t>s</w:t>
      </w:r>
      <w:r w:rsidRPr="00F82C8D">
        <w:t xml:space="preserve"> options for how to </w:t>
      </w:r>
      <w:r w:rsidR="00A84F26" w:rsidRPr="00F82C8D">
        <w:t>do this</w:t>
      </w:r>
      <w:r w:rsidR="00442549" w:rsidRPr="00F82C8D">
        <w:t xml:space="preserve">. A facility operator </w:t>
      </w:r>
      <w:r w:rsidR="002356E4" w:rsidRPr="00F82C8D">
        <w:t xml:space="preserve">has traditionally estimated an </w:t>
      </w:r>
      <w:r w:rsidR="003F1ABC" w:rsidRPr="00F82C8D">
        <w:t xml:space="preserve">emissions </w:t>
      </w:r>
      <w:r w:rsidR="002356E4" w:rsidRPr="00F82C8D">
        <w:t>source at their facility using a method that requires</w:t>
      </w:r>
      <w:r w:rsidR="00B4398E" w:rsidRPr="00F82C8D">
        <w:t xml:space="preserve"> direct measurement of emissions</w:t>
      </w:r>
      <w:r w:rsidR="002356E4" w:rsidRPr="00F82C8D">
        <w:t xml:space="preserve">. In one year, they select to instead estimate this emissions source using a default factor that tends to conservatively over-estimate the emissions source. The reason the facility operator changed its reporting method </w:t>
      </w:r>
      <w:r w:rsidR="00B4398E" w:rsidRPr="00F82C8D">
        <w:t>was to</w:t>
      </w:r>
      <w:r w:rsidR="002356E4" w:rsidRPr="00F82C8D">
        <w:t xml:space="preserve"> increase the scope 1 emissions reported </w:t>
      </w:r>
      <w:r w:rsidR="003F1ABC" w:rsidRPr="00F82C8D">
        <w:t>to</w:t>
      </w:r>
      <w:r w:rsidR="002356E4" w:rsidRPr="00F82C8D">
        <w:t xml:space="preserve"> qualify for a calculated-emissions baseline determination under the new facility criteria. If they had not changed the way </w:t>
      </w:r>
      <w:r w:rsidR="003F1ABC" w:rsidRPr="00F82C8D">
        <w:t>emissions were</w:t>
      </w:r>
      <w:r w:rsidR="002356E4" w:rsidRPr="00F82C8D">
        <w:t xml:space="preserve"> calculated, then they would not have been eligible for such a baseline. </w:t>
      </w:r>
    </w:p>
    <w:p w:rsidR="006C17D8" w:rsidRPr="00F82C8D" w:rsidRDefault="006C17D8" w:rsidP="00625D31">
      <w:pPr>
        <w:pStyle w:val="ListParagraph"/>
      </w:pPr>
      <w:r w:rsidRPr="00F82C8D">
        <w:t xml:space="preserve">The facility must never have had a calculated-emissions baseline determination. </w:t>
      </w:r>
      <w:r w:rsidR="00A35CF7" w:rsidRPr="00F82C8D">
        <w:rPr>
          <w:rStyle w:val="Emphasis"/>
        </w:rPr>
        <w:t>[subsection 23(6</w:t>
      </w:r>
      <w:r w:rsidRPr="00F82C8D">
        <w:rPr>
          <w:rStyle w:val="Emphasis"/>
        </w:rPr>
        <w:t>)]</w:t>
      </w:r>
      <w:r w:rsidRPr="00F82C8D">
        <w:t xml:space="preserve"> If a facility has had a calculated-emissions baseline determination then it will no longer be new. </w:t>
      </w:r>
      <w:r w:rsidR="00374C27" w:rsidRPr="00F82C8D">
        <w:t>This also ensures that calculated-emissions baseline determinations cannot overlap or be replaced by another calculated-emissions baseline determination during the term of the original determination.</w:t>
      </w:r>
    </w:p>
    <w:p w:rsidR="006C17D8" w:rsidRPr="00F82C8D" w:rsidRDefault="005050C8" w:rsidP="00625D31">
      <w:pPr>
        <w:pStyle w:val="ListParagraph"/>
      </w:pPr>
      <w:r w:rsidRPr="00F82C8D">
        <w:t>A</w:t>
      </w:r>
      <w:r w:rsidR="006C17D8" w:rsidRPr="00F82C8D">
        <w:t xml:space="preserve"> calculated-emissions baseline determination</w:t>
      </w:r>
      <w:r w:rsidRPr="00F82C8D">
        <w:t xml:space="preserve"> made for a new facility</w:t>
      </w:r>
      <w:r w:rsidR="006C17D8" w:rsidRPr="00F82C8D">
        <w:t xml:space="preserve"> must commence on 1 July in 2016, 2017, 2018 or 2019. </w:t>
      </w:r>
      <w:r w:rsidR="00A35CF7" w:rsidRPr="00F82C8D">
        <w:rPr>
          <w:rStyle w:val="Emphasis"/>
        </w:rPr>
        <w:t>[subsection 23(7</w:t>
      </w:r>
      <w:r w:rsidR="006C17D8" w:rsidRPr="00F82C8D">
        <w:rPr>
          <w:rStyle w:val="Emphasis"/>
        </w:rPr>
        <w:t xml:space="preserve">)] </w:t>
      </w:r>
      <w:r w:rsidR="006C17D8" w:rsidRPr="00F82C8D">
        <w:t>Benchmark-emissions baseline determinations will apply to new facilities that exceed the 100,000 t CO</w:t>
      </w:r>
      <w:r w:rsidR="00E073C6" w:rsidRPr="00F82C8D">
        <w:rPr>
          <w:vertAlign w:val="subscript"/>
        </w:rPr>
        <w:t>2</w:t>
      </w:r>
      <w:r w:rsidR="00E073C6" w:rsidRPr="00F82C8D">
        <w:t>-</w:t>
      </w:r>
      <w:r w:rsidR="006C17D8" w:rsidRPr="00F82C8D">
        <w:t xml:space="preserve">e </w:t>
      </w:r>
      <w:r w:rsidR="00562E97" w:rsidRPr="00F82C8D">
        <w:rPr>
          <w:lang w:val="en-AU"/>
        </w:rPr>
        <w:t>designated large facility threshold</w:t>
      </w:r>
      <w:r w:rsidR="00562E97" w:rsidRPr="00F82C8D">
        <w:t xml:space="preserve"> </w:t>
      </w:r>
      <w:r w:rsidR="006C17D8" w:rsidRPr="00F82C8D">
        <w:t>after 1 July 2020 (see</w:t>
      </w:r>
      <w:r w:rsidRPr="00F82C8D">
        <w:t xml:space="preserve"> the section headed </w:t>
      </w:r>
      <w:fldSimple w:instr=" REF _Ref427935120 \h  \* MERGEFORMAT ">
        <w:r w:rsidR="00F16B1F" w:rsidRPr="00F16B1F">
          <w:rPr>
            <w:rFonts w:eastAsiaTheme="minorHAnsi"/>
            <w:i/>
          </w:rPr>
          <w:t>Section 33: New facility criteria</w:t>
        </w:r>
      </w:fldSimple>
      <w:r w:rsidRPr="00F82C8D">
        <w:t xml:space="preserve"> on page </w:t>
      </w:r>
      <w:r w:rsidR="00744D5E" w:rsidRPr="00F82C8D">
        <w:fldChar w:fldCharType="begin"/>
      </w:r>
      <w:r w:rsidRPr="00F82C8D">
        <w:instrText xml:space="preserve"> PAGEREF _Ref427935120 \h </w:instrText>
      </w:r>
      <w:r w:rsidR="00744D5E" w:rsidRPr="00F82C8D">
        <w:fldChar w:fldCharType="separate"/>
      </w:r>
      <w:r w:rsidR="00F16B1F">
        <w:rPr>
          <w:noProof/>
        </w:rPr>
        <w:t>62</w:t>
      </w:r>
      <w:r w:rsidR="00744D5E" w:rsidRPr="00F82C8D">
        <w:fldChar w:fldCharType="end"/>
      </w:r>
      <w:r w:rsidR="006C17D8" w:rsidRPr="00F82C8D">
        <w:t xml:space="preserve"> </w:t>
      </w:r>
      <w:r w:rsidRPr="00F82C8D">
        <w:t xml:space="preserve">of the </w:t>
      </w:r>
      <w:r w:rsidR="00D360AB" w:rsidRPr="00F82C8D">
        <w:t>Exp</w:t>
      </w:r>
      <w:r w:rsidRPr="00F82C8D">
        <w:t>lanatory Statement</w:t>
      </w:r>
      <w:r w:rsidR="006C17D8" w:rsidRPr="00F82C8D">
        <w:t>).</w:t>
      </w:r>
    </w:p>
    <w:p w:rsidR="006C17D8" w:rsidRPr="00F82C8D" w:rsidRDefault="0097406B" w:rsidP="006C17D8">
      <w:pPr>
        <w:pStyle w:val="Heading3"/>
      </w:pPr>
      <w:r w:rsidRPr="00F82C8D">
        <w:t xml:space="preserve">Section 24: </w:t>
      </w:r>
      <w:r w:rsidR="006C17D8" w:rsidRPr="00F82C8D">
        <w:t>Significant expansion criteria</w:t>
      </w:r>
    </w:p>
    <w:p w:rsidR="006C17D8" w:rsidRPr="00F82C8D" w:rsidRDefault="006C17D8" w:rsidP="00625D31">
      <w:pPr>
        <w:pStyle w:val="ListParagraph"/>
      </w:pPr>
      <w:r w:rsidRPr="00F82C8D">
        <w:t>Facilities that meet the significant expansion criteria may apply to the Regulator for a calculated-emissions baseline determination.</w:t>
      </w:r>
      <w:r w:rsidR="00AA634E" w:rsidRPr="00F82C8D">
        <w:rPr>
          <w:rStyle w:val="Emphasis"/>
        </w:rPr>
        <w:t xml:space="preserve"> [subsection 24(1</w:t>
      </w:r>
      <w:r w:rsidR="00316DB6" w:rsidRPr="00F82C8D">
        <w:rPr>
          <w:rStyle w:val="Emphasis"/>
        </w:rPr>
        <w:t xml:space="preserve"> </w:t>
      </w:r>
      <w:r w:rsidR="00AA634E" w:rsidRPr="00F82C8D">
        <w:rPr>
          <w:rStyle w:val="Emphasis"/>
        </w:rPr>
        <w:t>)]</w:t>
      </w:r>
      <w:r w:rsidR="00942D59" w:rsidRPr="00F82C8D">
        <w:rPr>
          <w:rStyle w:val="Emphasis"/>
        </w:rPr>
        <w:t xml:space="preserve"> </w:t>
      </w:r>
      <w:r w:rsidRPr="00F82C8D">
        <w:t>This is because emissions caused by significant expansions cannot have been taken into account when making a reported-emissions baseline determination for facilities.</w:t>
      </w:r>
    </w:p>
    <w:p w:rsidR="006C17D8" w:rsidRPr="00F82C8D" w:rsidRDefault="006C17D8" w:rsidP="00625D31">
      <w:pPr>
        <w:pStyle w:val="ListParagraph"/>
      </w:pPr>
      <w:r w:rsidRPr="00F82C8D">
        <w:t>The facility must have previously emitted more than 100,000 t CO</w:t>
      </w:r>
      <w:r w:rsidR="00E073C6" w:rsidRPr="00F82C8D">
        <w:rPr>
          <w:vertAlign w:val="subscript"/>
        </w:rPr>
        <w:t>2</w:t>
      </w:r>
      <w:r w:rsidR="00E073C6" w:rsidRPr="00F82C8D">
        <w:t>-</w:t>
      </w:r>
      <w:r w:rsidRPr="00F82C8D">
        <w:t>e or be reasonably expect to emit more than 100,000 t CO</w:t>
      </w:r>
      <w:r w:rsidR="00E073C6" w:rsidRPr="00F82C8D">
        <w:rPr>
          <w:vertAlign w:val="subscript"/>
        </w:rPr>
        <w:t>2</w:t>
      </w:r>
      <w:r w:rsidR="00E073C6" w:rsidRPr="00F82C8D">
        <w:t>-</w:t>
      </w:r>
      <w:r w:rsidRPr="00F82C8D">
        <w:t xml:space="preserve">e in a year covered by the calculated-emissions baseline determination. </w:t>
      </w:r>
      <w:r w:rsidRPr="00F82C8D">
        <w:rPr>
          <w:rStyle w:val="Emphasis"/>
        </w:rPr>
        <w:t xml:space="preserve">[subsection 24(7)] </w:t>
      </w:r>
      <w:r w:rsidRPr="00F82C8D">
        <w:t xml:space="preserve">This provision ensures that a calculated-emissions baseline for a significant expansion is not made in advance of </w:t>
      </w:r>
      <w:r w:rsidR="00DA1489" w:rsidRPr="00F82C8D">
        <w:t xml:space="preserve">a facility </w:t>
      </w:r>
      <w:r w:rsidRPr="00F82C8D">
        <w:t>being covered</w:t>
      </w:r>
      <w:r w:rsidR="00DA1489" w:rsidRPr="00F82C8D">
        <w:t xml:space="preserve"> by the safeguard mechanism</w:t>
      </w:r>
      <w:r w:rsidRPr="00F82C8D">
        <w:t>.</w:t>
      </w:r>
    </w:p>
    <w:p w:rsidR="006C17D8" w:rsidRPr="00F82C8D" w:rsidRDefault="006C17D8" w:rsidP="00625D31">
      <w:pPr>
        <w:pStyle w:val="ListParagraph"/>
      </w:pPr>
      <w:r w:rsidRPr="00F82C8D">
        <w:t xml:space="preserve">The facility must have exceeded its baseline or be reasonably expected to exceed its baseline in at least one year of the three-year period covered by the calculated-emissions baseline determination. </w:t>
      </w:r>
      <w:r w:rsidRPr="00F82C8D">
        <w:rPr>
          <w:rStyle w:val="Emphasis"/>
        </w:rPr>
        <w:t>[subsection 24(8)]</w:t>
      </w:r>
      <w:r w:rsidRPr="00F82C8D">
        <w:t xml:space="preserve"> This rule ensures that calculated-emissions baseline determinations are only available for facilities whose significant expansions cause them to exceed their baseline. If the facility does not exceed its baseline in spite of significantly expanding, there is no reason for a new baseline determination to be made. </w:t>
      </w:r>
    </w:p>
    <w:p w:rsidR="006C17D8" w:rsidRPr="00F82C8D" w:rsidRDefault="006C17D8" w:rsidP="006C17D8">
      <w:pPr>
        <w:pStyle w:val="Quote"/>
      </w:pPr>
      <w:r w:rsidRPr="00F82C8D">
        <w:t>For example, a facility with a baseline emissions number of 400,000 t CO</w:t>
      </w:r>
      <w:r w:rsidR="00E073C6" w:rsidRPr="00F82C8D">
        <w:rPr>
          <w:vertAlign w:val="subscript"/>
        </w:rPr>
        <w:t>2</w:t>
      </w:r>
      <w:r w:rsidR="00E073C6" w:rsidRPr="00F82C8D">
        <w:t>-</w:t>
      </w:r>
      <w:r w:rsidRPr="00F82C8D">
        <w:t>e may apply for a calculated-emissions baseline determination commencing on 1</w:t>
      </w:r>
      <w:r w:rsidR="00085986" w:rsidRPr="00F82C8D">
        <w:t> </w:t>
      </w:r>
      <w:r w:rsidRPr="00F82C8D">
        <w:t>July</w:t>
      </w:r>
      <w:r w:rsidR="00085986" w:rsidRPr="00F82C8D">
        <w:t> </w:t>
      </w:r>
      <w:r w:rsidRPr="00F82C8D">
        <w:t xml:space="preserve">2018 if its annual </w:t>
      </w:r>
      <w:r w:rsidR="0058565C" w:rsidRPr="00F82C8D">
        <w:t xml:space="preserve">covered </w:t>
      </w:r>
      <w:r w:rsidRPr="00F82C8D">
        <w:t>emissions are reasonab</w:t>
      </w:r>
      <w:r w:rsidR="00DA1489" w:rsidRPr="00F82C8D">
        <w:t>ly expected to exceed 400,000 t </w:t>
      </w:r>
      <w:r w:rsidRPr="00F82C8D">
        <w:t>CO</w:t>
      </w:r>
      <w:r w:rsidR="00E073C6" w:rsidRPr="00F82C8D">
        <w:rPr>
          <w:vertAlign w:val="subscript"/>
        </w:rPr>
        <w:t>2</w:t>
      </w:r>
      <w:r w:rsidR="00E073C6" w:rsidRPr="00F82C8D">
        <w:t>-</w:t>
      </w:r>
      <w:r w:rsidRPr="00F82C8D">
        <w:t>e between 1 July 2018 and 30 June 2021.</w:t>
      </w:r>
    </w:p>
    <w:p w:rsidR="00A41753" w:rsidRPr="00F82C8D" w:rsidRDefault="000204AB" w:rsidP="0058565C">
      <w:pPr>
        <w:pStyle w:val="ListParagraph"/>
      </w:pPr>
      <w:bookmarkStart w:id="97" w:name="_Ref428285291"/>
      <w:r w:rsidRPr="00F82C8D">
        <w:t>The significant</w:t>
      </w:r>
      <w:r w:rsidR="00A41753" w:rsidRPr="00F82C8D">
        <w:t xml:space="preserve"> expansion must have occurred in a relevant expansion period. </w:t>
      </w:r>
      <w:r w:rsidR="00A41753" w:rsidRPr="00F82C8D">
        <w:rPr>
          <w:rStyle w:val="Emphasis"/>
        </w:rPr>
        <w:t>[subsection 24(2)]</w:t>
      </w:r>
      <w:r w:rsidR="00942D59" w:rsidRPr="00F82C8D">
        <w:t xml:space="preserve"> </w:t>
      </w:r>
      <w:r w:rsidR="00A41753" w:rsidRPr="00F82C8D">
        <w:t xml:space="preserve">A relevant expansion period is a period of up to three-years that must </w:t>
      </w:r>
      <w:r w:rsidRPr="00F82C8D">
        <w:t>end</w:t>
      </w:r>
      <w:r w:rsidR="00A41753" w:rsidRPr="00F82C8D">
        <w:t xml:space="preserve"> either:</w:t>
      </w:r>
    </w:p>
    <w:p w:rsidR="00A41753" w:rsidRPr="00F82C8D" w:rsidRDefault="00A41753" w:rsidP="002E625A">
      <w:pPr>
        <w:pStyle w:val="ListBullet"/>
      </w:pPr>
      <w:r w:rsidRPr="00F82C8D">
        <w:t xml:space="preserve">immediately before the three-year period </w:t>
      </w:r>
      <w:r w:rsidR="0058565C" w:rsidRPr="00F82C8D">
        <w:t xml:space="preserve">to be </w:t>
      </w:r>
      <w:r w:rsidRPr="00F82C8D">
        <w:t>covered by the calculated-emissions baseline determin</w:t>
      </w:r>
      <w:r w:rsidR="00532841" w:rsidRPr="00F82C8D">
        <w:t>ation, or</w:t>
      </w:r>
    </w:p>
    <w:p w:rsidR="00DB293E" w:rsidRPr="00F82C8D" w:rsidRDefault="00A41753">
      <w:pPr>
        <w:pStyle w:val="ListBullet"/>
      </w:pPr>
      <w:r w:rsidRPr="00F82C8D">
        <w:t xml:space="preserve">immediately before the end of the first year </w:t>
      </w:r>
      <w:r w:rsidR="0058565C" w:rsidRPr="00F82C8D">
        <w:t xml:space="preserve">to be </w:t>
      </w:r>
      <w:r w:rsidRPr="00F82C8D">
        <w:t xml:space="preserve">covered by the calculated-emissions baseline determination </w:t>
      </w:r>
      <w:r w:rsidR="000204AB" w:rsidRPr="00F82C8D">
        <w:t xml:space="preserve">. </w:t>
      </w:r>
      <w:r w:rsidR="000204AB" w:rsidRPr="00F82C8D">
        <w:rPr>
          <w:rStyle w:val="Emphasis"/>
        </w:rPr>
        <w:t>[paragraphs 24(5)(a) and (b)]</w:t>
      </w:r>
      <w:r w:rsidR="000204AB" w:rsidRPr="00F82C8D">
        <w:t xml:space="preserve"> </w:t>
      </w:r>
    </w:p>
    <w:p w:rsidR="00DB293E" w:rsidRPr="00F82C8D" w:rsidRDefault="000204AB">
      <w:pPr>
        <w:pStyle w:val="ListBullet"/>
      </w:pPr>
      <w:r w:rsidRPr="00F82C8D">
        <w:t>This ensures that calculated-emissions baseline determinations are only available for facilities whose significant expansions cause them to exceed their baseline. If the baseline is exceeded years after the significant expansion occurs, it is unlikely that the significant expansion is the primary cause of the exceedance.</w:t>
      </w:r>
    </w:p>
    <w:bookmarkEnd w:id="97"/>
    <w:p w:rsidR="006C17D8" w:rsidRPr="00F82C8D" w:rsidRDefault="006C17D8" w:rsidP="00610223">
      <w:pPr>
        <w:pStyle w:val="Quote"/>
      </w:pPr>
      <w:r w:rsidRPr="00F82C8D">
        <w:t>For example, a facility may apply for a calculated-emissions baseline determination covering the period from 1 July 2017 to 30 June 2020 on the basis of a significant expansion that occurred between 1 July 2015 and 30 June 2018. The application must be submitted after the significant expansion has been completed and before 31 October 2018.</w:t>
      </w:r>
    </w:p>
    <w:p w:rsidR="000204AB" w:rsidRPr="00F82C8D" w:rsidRDefault="000204AB" w:rsidP="00625D31">
      <w:pPr>
        <w:pStyle w:val="ListParagraph"/>
      </w:pPr>
      <w:r w:rsidRPr="00F82C8D">
        <w:t>The start of the relevant expansion period is defined so that the period is no longer than three years</w:t>
      </w:r>
      <w:r w:rsidR="00272C43" w:rsidRPr="00F82C8D">
        <w:t>, is not</w:t>
      </w:r>
      <w:r w:rsidRPr="00F82C8D">
        <w:t xml:space="preserve"> </w:t>
      </w:r>
      <w:r w:rsidR="00272C43" w:rsidRPr="00F82C8D">
        <w:t>before 1 July 2014</w:t>
      </w:r>
      <w:r w:rsidRPr="00F82C8D">
        <w:t>and overlap</w:t>
      </w:r>
      <w:r w:rsidR="00272C43" w:rsidRPr="00F82C8D">
        <w:t>s at most</w:t>
      </w:r>
      <w:r w:rsidRPr="00F82C8D">
        <w:t xml:space="preserve"> with </w:t>
      </w:r>
      <w:r w:rsidR="00272C43" w:rsidRPr="00F82C8D">
        <w:t>the last year</w:t>
      </w:r>
      <w:r w:rsidRPr="00F82C8D">
        <w:t xml:space="preserve"> that a calculated-emissions baseline</w:t>
      </w:r>
      <w:r w:rsidR="00764F09" w:rsidRPr="00F82C8D">
        <w:t xml:space="preserve"> applies</w:t>
      </w:r>
      <w:r w:rsidR="00272C43" w:rsidRPr="00F82C8D">
        <w:rPr>
          <w:rStyle w:val="Emphasis"/>
          <w:b w:val="0"/>
        </w:rPr>
        <w:t>.</w:t>
      </w:r>
      <w:r w:rsidR="00272C43" w:rsidRPr="00F82C8D">
        <w:rPr>
          <w:rStyle w:val="Emphasis"/>
        </w:rPr>
        <w:t xml:space="preserve"> [paragraphs 24(5)(c) and 24(5)(d)]</w:t>
      </w:r>
      <w:r w:rsidR="00272C43" w:rsidRPr="00F82C8D">
        <w:t xml:space="preserve"> </w:t>
      </w:r>
      <w:r w:rsidR="007C0353" w:rsidRPr="00F82C8D">
        <w:t>This is because, had the significant expansion started earlier in the period covered by the previous calculated-emissions baseline determination, emissions attributable to the expansion would have been at least partly captured by the facility’s calculated-emissions baseline and the subsequent production-adjusted baseline determination (if applied for).</w:t>
      </w:r>
    </w:p>
    <w:p w:rsidR="006C17D8" w:rsidRPr="00F82C8D" w:rsidRDefault="001C2489" w:rsidP="00625D31">
      <w:pPr>
        <w:pStyle w:val="ListParagraph"/>
      </w:pPr>
      <w:r w:rsidRPr="00F82C8D">
        <w:t>If the</w:t>
      </w:r>
      <w:r w:rsidR="00676E67" w:rsidRPr="00F82C8D">
        <w:t xml:space="preserve"> facility</w:t>
      </w:r>
      <w:r w:rsidRPr="00F82C8D">
        <w:t xml:space="preserve"> has a previous calculated-emissions baseline, then this</w:t>
      </w:r>
      <w:r w:rsidR="00676E67" w:rsidRPr="00F82C8D">
        <w:t xml:space="preserve"> cannot </w:t>
      </w:r>
      <w:r w:rsidR="007C0353" w:rsidRPr="00F82C8D">
        <w:t>overlap with a calculated-emissions baseline made by meeting the significant expansion criteria</w:t>
      </w:r>
      <w:r w:rsidR="00676E67" w:rsidRPr="00F82C8D">
        <w:t>.</w:t>
      </w:r>
      <w:r w:rsidR="00676E67" w:rsidRPr="00F82C8D">
        <w:rPr>
          <w:rStyle w:val="Emphasis"/>
        </w:rPr>
        <w:t xml:space="preserve"> [subsection 24(9)]</w:t>
      </w:r>
      <w:r w:rsidR="00676E67" w:rsidRPr="00F82C8D">
        <w:t xml:space="preserve">  </w:t>
      </w:r>
    </w:p>
    <w:p w:rsidR="006F701F" w:rsidRPr="00F82C8D" w:rsidRDefault="006F701F" w:rsidP="006F701F">
      <w:pPr>
        <w:pStyle w:val="Quote"/>
        <w:keepNext/>
        <w:spacing w:after="0"/>
      </w:pPr>
      <w:r w:rsidRPr="00F82C8D">
        <w:t>For example, a facility could have two back to back calculated-emissions baseline determinations in these circumstances:</w:t>
      </w:r>
    </w:p>
    <w:p w:rsidR="006F701F" w:rsidRPr="00F82C8D" w:rsidRDefault="006F701F" w:rsidP="006F701F">
      <w:pPr>
        <w:pStyle w:val="Quote"/>
        <w:keepNext/>
        <w:numPr>
          <w:ilvl w:val="0"/>
          <w:numId w:val="46"/>
        </w:numPr>
        <w:spacing w:after="0"/>
      </w:pPr>
      <w:r w:rsidRPr="00F82C8D">
        <w:t>the first calculated-emissions baseline could be made by meeting the new facility, significant expansion, inherent emissions variability or initial calculated baseline criteria</w:t>
      </w:r>
    </w:p>
    <w:p w:rsidR="006F701F" w:rsidRPr="00F82C8D" w:rsidRDefault="006F701F" w:rsidP="006F701F">
      <w:pPr>
        <w:pStyle w:val="Quote"/>
        <w:numPr>
          <w:ilvl w:val="0"/>
          <w:numId w:val="46"/>
        </w:numPr>
        <w:spacing w:after="0"/>
      </w:pPr>
      <w:r w:rsidRPr="00F82C8D">
        <w:t>the second calculated-emissions baseline following the first, could be made by meeting the significant expansion or</w:t>
      </w:r>
      <w:r w:rsidR="00942D59" w:rsidRPr="00F82C8D">
        <w:t xml:space="preserve"> </w:t>
      </w:r>
      <w:r w:rsidRPr="00F82C8D">
        <w:t>inherent emissions variability criteria.</w:t>
      </w:r>
    </w:p>
    <w:p w:rsidR="00DB293E" w:rsidRPr="00F82C8D" w:rsidRDefault="00532841">
      <w:pPr>
        <w:pStyle w:val="ListParagraph"/>
        <w:spacing w:after="0"/>
      </w:pPr>
      <w:r w:rsidRPr="00F82C8D">
        <w:t xml:space="preserve">For other facilities, </w:t>
      </w:r>
      <w:r w:rsidR="001C2489" w:rsidRPr="00F82C8D">
        <w:t xml:space="preserve">that have not had a previous calculated-emissions baseline determination, </w:t>
      </w:r>
      <w:r w:rsidRPr="00F82C8D">
        <w:t>the relevant expansion period must begin on the later of 1 July 2014 or three years before the end of the relevant expansion period</w:t>
      </w:r>
      <w:r w:rsidR="007D404B" w:rsidRPr="00F82C8D">
        <w:rPr>
          <w:rStyle w:val="Emphasis"/>
          <w:b w:val="0"/>
        </w:rPr>
        <w:t>.</w:t>
      </w:r>
      <w:r w:rsidR="007329DC" w:rsidRPr="00F82C8D">
        <w:rPr>
          <w:rStyle w:val="Emphasis"/>
          <w:b w:val="0"/>
        </w:rPr>
        <w:t xml:space="preserve"> </w:t>
      </w:r>
      <w:r w:rsidR="001C2489" w:rsidRPr="00F82C8D">
        <w:rPr>
          <w:rStyle w:val="Emphasis"/>
        </w:rPr>
        <w:t>[paragraph </w:t>
      </w:r>
      <w:r w:rsidRPr="00F82C8D">
        <w:rPr>
          <w:rStyle w:val="Emphasis"/>
        </w:rPr>
        <w:t>24(5)(d)]</w:t>
      </w:r>
      <w:r w:rsidR="00942D59" w:rsidRPr="00F82C8D">
        <w:t xml:space="preserve"> </w:t>
      </w:r>
      <w:r w:rsidR="00372436" w:rsidRPr="00F82C8D">
        <w:t>This is because, had the signif</w:t>
      </w:r>
      <w:r w:rsidRPr="00F82C8D">
        <w:t>icant expansion started earlier and the facility had a reported-emissions baseline determination, then the</w:t>
      </w:r>
      <w:r w:rsidR="00372436" w:rsidRPr="00F82C8D">
        <w:t xml:space="preserve"> emissions attributable to it will be at least partly captured by the facility’s reported-emissions baseline determination, which is based on the emissions reported under the Act from 2009-10 to 2013</w:t>
      </w:r>
      <w:r w:rsidR="00372436" w:rsidRPr="00F82C8D">
        <w:noBreakHyphen/>
        <w:t xml:space="preserve">14. </w:t>
      </w:r>
    </w:p>
    <w:p w:rsidR="007D404B" w:rsidRPr="00F82C8D" w:rsidRDefault="007D404B" w:rsidP="00E70F94">
      <w:pPr>
        <w:pStyle w:val="Quote"/>
      </w:pPr>
      <w:r w:rsidRPr="00F82C8D">
        <w:t>For example, if a responsible emitter has requested a calculated-emissions baseline starts on 1 July 2019 based on meeting the significant expansion facility, then the new equipment that make</w:t>
      </w:r>
      <w:r w:rsidR="00E70F94" w:rsidRPr="00F82C8D">
        <w:t xml:space="preserve">s up the significant expansion </w:t>
      </w:r>
      <w:r w:rsidRPr="00F82C8D">
        <w:t>must have been installed in the relevant expansion period that is within either the period 1 July 2016 to 30 June 2019 or the period 1 July 2017 to 30 June 2020</w:t>
      </w:r>
      <w:r w:rsidR="00E70F94" w:rsidRPr="00F82C8D">
        <w:t>. However, if</w:t>
      </w:r>
      <w:r w:rsidR="00942D59" w:rsidRPr="00F82C8D">
        <w:t xml:space="preserve"> </w:t>
      </w:r>
      <w:r w:rsidR="00E70F94" w:rsidRPr="00F82C8D">
        <w:t>this facility had a previous calculated-</w:t>
      </w:r>
      <w:r w:rsidR="003F1ABC" w:rsidRPr="00F82C8D">
        <w:t xml:space="preserve">emissions </w:t>
      </w:r>
      <w:r w:rsidR="00E70F94" w:rsidRPr="00F82C8D">
        <w:t>baseline that ended on 30 June 2019, then the relevant expansion period can only be 1 July 2019 to 30 June 2020.</w:t>
      </w:r>
    </w:p>
    <w:p w:rsidR="006C17D8" w:rsidRPr="00F82C8D" w:rsidRDefault="006C17D8" w:rsidP="00625D31">
      <w:pPr>
        <w:pStyle w:val="ListParagraph"/>
      </w:pPr>
      <w:r w:rsidRPr="00F82C8D">
        <w:t xml:space="preserve">The calculated-emissions baseline determination must commence on 1 July in 2016, 2017, 2018 or 2019. </w:t>
      </w:r>
      <w:r w:rsidRPr="00F82C8D">
        <w:rPr>
          <w:rStyle w:val="Emphasis"/>
        </w:rPr>
        <w:t>[subsection 24(10)]</w:t>
      </w:r>
      <w:r w:rsidRPr="00F82C8D">
        <w:t xml:space="preserve"> Baseline determinations that commence 1 July 2020 or later are benchmark-emissions baseline determinations (see page </w:t>
      </w:r>
      <w:r w:rsidR="00744D5E" w:rsidRPr="00F82C8D">
        <w:fldChar w:fldCharType="begin"/>
      </w:r>
      <w:r w:rsidRPr="00F82C8D">
        <w:instrText xml:space="preserve"> PAGEREF _Ref426359292 \h </w:instrText>
      </w:r>
      <w:r w:rsidR="00744D5E" w:rsidRPr="00F82C8D">
        <w:fldChar w:fldCharType="separate"/>
      </w:r>
      <w:r w:rsidR="00F16B1F">
        <w:rPr>
          <w:noProof/>
        </w:rPr>
        <w:t>63</w:t>
      </w:r>
      <w:r w:rsidR="00744D5E" w:rsidRPr="00F82C8D">
        <w:fldChar w:fldCharType="end"/>
      </w:r>
      <w:r w:rsidR="00676E67" w:rsidRPr="00F82C8D">
        <w:t xml:space="preserve"> of the </w:t>
      </w:r>
      <w:r w:rsidR="00D360AB" w:rsidRPr="00F82C8D">
        <w:t>Exp</w:t>
      </w:r>
      <w:r w:rsidR="00676E67" w:rsidRPr="00F82C8D">
        <w:t>lanatory Statement</w:t>
      </w:r>
      <w:r w:rsidRPr="00F82C8D">
        <w:t>).</w:t>
      </w:r>
    </w:p>
    <w:p w:rsidR="006C17D8" w:rsidRPr="00F82C8D" w:rsidRDefault="006C17D8" w:rsidP="00625D31">
      <w:pPr>
        <w:pStyle w:val="ListParagraph"/>
      </w:pPr>
      <w:r w:rsidRPr="00F82C8D">
        <w:t xml:space="preserve">For a landfill facility, </w:t>
      </w:r>
      <w:r w:rsidR="00586D41" w:rsidRPr="00F82C8D">
        <w:t xml:space="preserve">a significant expansion is </w:t>
      </w:r>
      <w:r w:rsidR="00676E67" w:rsidRPr="00F82C8D">
        <w:t xml:space="preserve">defined as </w:t>
      </w:r>
      <w:r w:rsidR="00586D41" w:rsidRPr="00F82C8D">
        <w:t>a 20 per cent</w:t>
      </w:r>
      <w:r w:rsidRPr="00F82C8D">
        <w:t xml:space="preserve"> increase in the facility’s licensed capacity</w:t>
      </w:r>
      <w:r w:rsidR="008C6AE1" w:rsidRPr="00F82C8D">
        <w:t xml:space="preserve"> which must have occurred within a relevant expansion produce</w:t>
      </w:r>
      <w:r w:rsidRPr="00F82C8D">
        <w:t xml:space="preserve">. </w:t>
      </w:r>
      <w:r w:rsidRPr="00F82C8D">
        <w:rPr>
          <w:rStyle w:val="Emphasis"/>
        </w:rPr>
        <w:t>[subsection 24(4)]</w:t>
      </w:r>
      <w:r w:rsidRPr="00F82C8D">
        <w:t xml:space="preserve"> Licensed capacity is the metric because landfills do not</w:t>
      </w:r>
      <w:r w:rsidR="008C6AE1" w:rsidRPr="00F82C8D">
        <w:t xml:space="preserve"> produce products in the typical sense</w:t>
      </w:r>
      <w:r w:rsidR="009F6566" w:rsidRPr="00F82C8D">
        <w:t xml:space="preserve"> of other facility types </w:t>
      </w:r>
      <w:r w:rsidRPr="00F82C8D">
        <w:t xml:space="preserve">. </w:t>
      </w:r>
    </w:p>
    <w:p w:rsidR="006C17D8" w:rsidRPr="00F82C8D" w:rsidRDefault="006C17D8" w:rsidP="00625D31">
      <w:pPr>
        <w:pStyle w:val="ListParagraph"/>
      </w:pPr>
      <w:r w:rsidRPr="00F82C8D">
        <w:t xml:space="preserve">For facilities other than landfill facilities, a significant expansion must involve the installation and use of new equipment at the facility. </w:t>
      </w:r>
      <w:r w:rsidRPr="00F82C8D">
        <w:rPr>
          <w:rStyle w:val="Emphasis"/>
        </w:rPr>
        <w:t xml:space="preserve">[paragraph 24(2)(a)] </w:t>
      </w:r>
      <w:r w:rsidRPr="00F82C8D">
        <w:t>The equipment must be used to produce or process a production variable. A facility’s production variables are identified in accordance with section 5</w:t>
      </w:r>
      <w:r w:rsidR="009F6566" w:rsidRPr="00F82C8D">
        <w:t xml:space="preserve"> of the </w:t>
      </w:r>
      <w:r w:rsidR="00D360AB" w:rsidRPr="00F82C8D">
        <w:t>safeguard rule</w:t>
      </w:r>
      <w:r w:rsidRPr="00F82C8D">
        <w:t xml:space="preserve">. The installation and use of the equipment must have occurred within </w:t>
      </w:r>
      <w:r w:rsidR="009F6566" w:rsidRPr="00F82C8D">
        <w:t xml:space="preserve">a relevant expansion period. </w:t>
      </w:r>
    </w:p>
    <w:p w:rsidR="009F6566" w:rsidRPr="00F82C8D" w:rsidRDefault="006C17D8" w:rsidP="00625D31">
      <w:pPr>
        <w:pStyle w:val="ListParagraph"/>
      </w:pPr>
      <w:r w:rsidRPr="00F82C8D">
        <w:t xml:space="preserve">For facilities other than landfill facilities, the installation of the equipment at the facility must result in </w:t>
      </w:r>
      <w:r w:rsidR="009F6566" w:rsidRPr="00F82C8D">
        <w:t>either:</w:t>
      </w:r>
    </w:p>
    <w:p w:rsidR="00DB293E" w:rsidRPr="00F82C8D" w:rsidRDefault="007556AC">
      <w:pPr>
        <w:pStyle w:val="ListBullet"/>
      </w:pPr>
      <w:r w:rsidRPr="00F82C8D">
        <w:t>the production of a new production variable that was not produced previously at the facility</w:t>
      </w:r>
      <w:r w:rsidR="00B20FE0" w:rsidRPr="00F82C8D">
        <w:t xml:space="preserve"> nor replaces a previous production variable</w:t>
      </w:r>
      <w:r w:rsidR="00BA03A0" w:rsidRPr="00F82C8D">
        <w:t xml:space="preserve"> </w:t>
      </w:r>
      <w:r w:rsidR="00BA03A0" w:rsidRPr="00F82C8D">
        <w:rPr>
          <w:rStyle w:val="Emphasis"/>
        </w:rPr>
        <w:t>[subparagraph 24(2)(b</w:t>
      </w:r>
      <w:r w:rsidR="00764F09" w:rsidRPr="00F82C8D">
        <w:rPr>
          <w:rStyle w:val="Emphasis"/>
        </w:rPr>
        <w:t>)</w:t>
      </w:r>
      <w:r w:rsidR="00BA03A0" w:rsidRPr="00F82C8D">
        <w:rPr>
          <w:rStyle w:val="Emphasis"/>
        </w:rPr>
        <w:t>(ii))]</w:t>
      </w:r>
      <w:r w:rsidR="00942D59" w:rsidRPr="00F82C8D">
        <w:rPr>
          <w:rStyle w:val="Emphasis"/>
        </w:rPr>
        <w:t xml:space="preserve"> </w:t>
      </w:r>
      <w:r w:rsidR="000D2D31" w:rsidRPr="00F82C8D">
        <w:t>(if the new production variable is an input, then for the purpose of the significant expansion criteria it is considered to be “produced” as long as it produces the outputs of a facility</w:t>
      </w:r>
      <w:r w:rsidR="00A84F26" w:rsidRPr="00F82C8D">
        <w:t xml:space="preserve"> </w:t>
      </w:r>
      <w:r w:rsidR="00A84F26" w:rsidRPr="00F82C8D">
        <w:rPr>
          <w:rStyle w:val="Emphasis"/>
        </w:rPr>
        <w:t>[paragraph 24(3)(b)]</w:t>
      </w:r>
      <w:r w:rsidR="000D2D31" w:rsidRPr="00F82C8D">
        <w:t>)</w:t>
      </w:r>
      <w:r w:rsidR="00B20FE0" w:rsidRPr="00F82C8D">
        <w:t xml:space="preserve">, </w:t>
      </w:r>
      <w:r w:rsidRPr="00F82C8D">
        <w:t>or</w:t>
      </w:r>
    </w:p>
    <w:p w:rsidR="00DB293E" w:rsidRPr="00F82C8D" w:rsidRDefault="006C17D8">
      <w:pPr>
        <w:pStyle w:val="ListBullet"/>
      </w:pPr>
      <w:r w:rsidRPr="00F82C8D">
        <w:t>a</w:t>
      </w:r>
      <w:r w:rsidR="009F6566" w:rsidRPr="00F82C8D">
        <w:t xml:space="preserve">t least a </w:t>
      </w:r>
      <w:r w:rsidRPr="00F82C8D">
        <w:t>20</w:t>
      </w:r>
      <w:r w:rsidR="00586D41" w:rsidRPr="00F82C8D">
        <w:t xml:space="preserve"> per cent</w:t>
      </w:r>
      <w:r w:rsidRPr="00F82C8D">
        <w:t xml:space="preserve"> increase of the maximum productive capacity of </w:t>
      </w:r>
      <w:r w:rsidR="009F6566" w:rsidRPr="00F82C8D">
        <w:t>a</w:t>
      </w:r>
      <w:r w:rsidRPr="00F82C8D">
        <w:t xml:space="preserve"> production variable </w:t>
      </w:r>
      <w:r w:rsidR="009F6566" w:rsidRPr="00F82C8D">
        <w:t xml:space="preserve">that is already </w:t>
      </w:r>
      <w:r w:rsidR="007556AC" w:rsidRPr="00F82C8D">
        <w:t>produced</w:t>
      </w:r>
      <w:r w:rsidR="009F6566" w:rsidRPr="00F82C8D">
        <w:t xml:space="preserve"> </w:t>
      </w:r>
      <w:r w:rsidRPr="00F82C8D">
        <w:t>at the facility. The 20</w:t>
      </w:r>
      <w:r w:rsidR="00586D41" w:rsidRPr="00F82C8D">
        <w:t xml:space="preserve"> per cent</w:t>
      </w:r>
      <w:r w:rsidRPr="00F82C8D">
        <w:t xml:space="preserve"> increase must take into account the decommissioning of any equipment previously used to produce the production variable.</w:t>
      </w:r>
      <w:r w:rsidR="00764F09" w:rsidRPr="00F82C8D">
        <w:t xml:space="preserve"> It relates to</w:t>
      </w:r>
      <w:r w:rsidR="002E6B9C" w:rsidRPr="00F82C8D">
        <w:t xml:space="preserve"> comparing</w:t>
      </w:r>
      <w:r w:rsidR="00764F09" w:rsidRPr="00F82C8D">
        <w:t xml:space="preserve"> the</w:t>
      </w:r>
      <w:r w:rsidR="002E6B9C" w:rsidRPr="00F82C8D">
        <w:t xml:space="preserve"> effective maximum productive capacity</w:t>
      </w:r>
      <w:r w:rsidR="00764F09" w:rsidRPr="00F82C8D">
        <w:t xml:space="preserve"> equipment in place immediately before the</w:t>
      </w:r>
      <w:r w:rsidR="002E6B9C" w:rsidRPr="00F82C8D">
        <w:t xml:space="preserve"> installation with the effective maximum productive capacity in place after the installation and any decommissioning.</w:t>
      </w:r>
      <w:r w:rsidR="00942D59" w:rsidRPr="00F82C8D">
        <w:t xml:space="preserve"> </w:t>
      </w:r>
      <w:r w:rsidRPr="00F82C8D">
        <w:rPr>
          <w:rStyle w:val="Emphasis"/>
        </w:rPr>
        <w:t>[</w:t>
      </w:r>
      <w:r w:rsidR="00BA03A0" w:rsidRPr="00F82C8D">
        <w:rPr>
          <w:rStyle w:val="Emphasis"/>
        </w:rPr>
        <w:t>sub</w:t>
      </w:r>
      <w:r w:rsidRPr="00F82C8D">
        <w:rPr>
          <w:rStyle w:val="Emphasis"/>
        </w:rPr>
        <w:t>paragraph 24(2)(b)</w:t>
      </w:r>
      <w:r w:rsidR="00BA03A0" w:rsidRPr="00F82C8D">
        <w:rPr>
          <w:rStyle w:val="Emphasis"/>
        </w:rPr>
        <w:t>(i)</w:t>
      </w:r>
      <w:r w:rsidRPr="00F82C8D">
        <w:rPr>
          <w:rStyle w:val="Emphasis"/>
        </w:rPr>
        <w:t>]</w:t>
      </w:r>
      <w:r w:rsidR="000A7B10" w:rsidRPr="00F82C8D">
        <w:rPr>
          <w:rStyle w:val="Emphasis"/>
        </w:rPr>
        <w:t xml:space="preserve"> </w:t>
      </w:r>
    </w:p>
    <w:p w:rsidR="004651D0" w:rsidRPr="00F82C8D" w:rsidRDefault="006C17D8" w:rsidP="00625D31">
      <w:pPr>
        <w:pStyle w:val="ListParagraph"/>
        <w:rPr>
          <w:rStyle w:val="Emphasis"/>
          <w:b w:val="0"/>
          <w:bCs w:val="0"/>
          <w:i w:val="0"/>
          <w:iCs/>
          <w:sz w:val="24"/>
        </w:rPr>
      </w:pPr>
      <w:r w:rsidRPr="00F82C8D">
        <w:t xml:space="preserve">The production variable that is produced by the new plant or equipment must be significant to the operation of the facility. </w:t>
      </w:r>
      <w:r w:rsidRPr="00F82C8D">
        <w:rPr>
          <w:rStyle w:val="Emphasis"/>
        </w:rPr>
        <w:t>[paragraph 24(2)(c)]</w:t>
      </w:r>
      <w:r w:rsidRPr="00F82C8D">
        <w:t xml:space="preserve"> Whether a production variable is ‘significant’ is determined with regard to whether the production variable is the facility’s primary production variable </w:t>
      </w:r>
      <w:r w:rsidR="007556AC" w:rsidRPr="00F82C8D">
        <w:t xml:space="preserve">(defined in section 4 of the </w:t>
      </w:r>
      <w:r w:rsidR="00D360AB" w:rsidRPr="00F82C8D">
        <w:t>safeguard rule</w:t>
      </w:r>
      <w:r w:rsidR="007556AC" w:rsidRPr="00F82C8D">
        <w:t xml:space="preserve">) </w:t>
      </w:r>
      <w:r w:rsidRPr="00F82C8D">
        <w:rPr>
          <w:rStyle w:val="Emphasis"/>
        </w:rPr>
        <w:t>[subpa</w:t>
      </w:r>
      <w:r w:rsidR="007556AC" w:rsidRPr="00F82C8D">
        <w:rPr>
          <w:rStyle w:val="Emphasis"/>
        </w:rPr>
        <w:t>ragraph </w:t>
      </w:r>
      <w:r w:rsidRPr="00F82C8D">
        <w:rPr>
          <w:rStyle w:val="Emphasis"/>
        </w:rPr>
        <w:t xml:space="preserve">24(2)(c)(i)], </w:t>
      </w:r>
      <w:r w:rsidR="004651D0" w:rsidRPr="00F82C8D">
        <w:t>or if it is not the primary production variable, then</w:t>
      </w:r>
      <w:r w:rsidRPr="00F82C8D">
        <w:t xml:space="preserve"> whether </w:t>
      </w:r>
      <w:r w:rsidR="007556AC" w:rsidRPr="00F82C8D">
        <w:t xml:space="preserve">the production variable contributes </w:t>
      </w:r>
      <w:r w:rsidRPr="00F82C8D">
        <w:t>more than 20</w:t>
      </w:r>
      <w:r w:rsidR="00586D41" w:rsidRPr="00F82C8D">
        <w:t xml:space="preserve"> per cent</w:t>
      </w:r>
      <w:r w:rsidRPr="00F82C8D">
        <w:t xml:space="preserve"> of the </w:t>
      </w:r>
      <w:r w:rsidR="007556AC" w:rsidRPr="00F82C8D">
        <w:t xml:space="preserve">total revenue expected </w:t>
      </w:r>
      <w:r w:rsidRPr="00F82C8D">
        <w:t xml:space="preserve">in the year in the emissions forecast period with the highest expected production </w:t>
      </w:r>
      <w:r w:rsidR="004651D0" w:rsidRPr="00F82C8D">
        <w:t>of the primary</w:t>
      </w:r>
      <w:r w:rsidRPr="00F82C8D">
        <w:t xml:space="preserve"> production variable. </w:t>
      </w:r>
      <w:r w:rsidRPr="00F82C8D">
        <w:rPr>
          <w:rStyle w:val="Emphasis"/>
        </w:rPr>
        <w:t xml:space="preserve">[subparagraph 24(2)(c)(ii)] </w:t>
      </w:r>
      <w:r w:rsidR="007556AC" w:rsidRPr="00F82C8D">
        <w:t xml:space="preserve">The calculation of expected revenue must be based on prices at the time of the application. </w:t>
      </w:r>
      <w:r w:rsidR="007556AC" w:rsidRPr="00F82C8D">
        <w:rPr>
          <w:rStyle w:val="Emphasis"/>
        </w:rPr>
        <w:t>[subsection 24(6)]</w:t>
      </w:r>
    </w:p>
    <w:p w:rsidR="006C17D8" w:rsidRPr="00F82C8D" w:rsidRDefault="006C17D8" w:rsidP="004651D0">
      <w:pPr>
        <w:pStyle w:val="Quote"/>
      </w:pPr>
      <w:r w:rsidRPr="00F82C8D">
        <w:t>For example, if the production variable produced by the new plant or equipment is zinc</w:t>
      </w:r>
      <w:r w:rsidR="004651D0" w:rsidRPr="00F82C8D">
        <w:t>, but the primary production variable for the facility is silver</w:t>
      </w:r>
      <w:r w:rsidRPr="00F82C8D">
        <w:t xml:space="preserve">, then zinc </w:t>
      </w:r>
      <w:r w:rsidR="004651D0" w:rsidRPr="00F82C8D">
        <w:t>must</w:t>
      </w:r>
      <w:r w:rsidRPr="00F82C8D">
        <w:t xml:space="preserve"> account for at least 20</w:t>
      </w:r>
      <w:r w:rsidR="00586D41" w:rsidRPr="00F82C8D">
        <w:t xml:space="preserve"> per cent</w:t>
      </w:r>
      <w:r w:rsidRPr="00F82C8D">
        <w:t xml:space="preserve"> of forecast revenue in the year of the three-year emissions forecast period with the highest forecast production </w:t>
      </w:r>
      <w:r w:rsidR="004651D0" w:rsidRPr="00F82C8D">
        <w:t>of silver (even if this is not the year with the highest zinc production).</w:t>
      </w:r>
      <w:r w:rsidR="00394E74" w:rsidRPr="00F82C8D">
        <w:t xml:space="preserve"> </w:t>
      </w:r>
    </w:p>
    <w:p w:rsidR="006C17D8" w:rsidRPr="00F82C8D" w:rsidRDefault="006C17D8" w:rsidP="00625D31">
      <w:pPr>
        <w:pStyle w:val="ListParagraph"/>
      </w:pPr>
      <w:r w:rsidRPr="00F82C8D">
        <w:t xml:space="preserve">If the production variable is onsite electricity generation, </w:t>
      </w:r>
      <w:r w:rsidR="007556AC" w:rsidRPr="00F82C8D">
        <w:t xml:space="preserve">then it is considered significant to the operation of the facility if the </w:t>
      </w:r>
      <w:r w:rsidRPr="00F82C8D">
        <w:t>electricity generation</w:t>
      </w:r>
      <w:r w:rsidR="007556AC" w:rsidRPr="00F82C8D">
        <w:t xml:space="preserve"> is expected to</w:t>
      </w:r>
      <w:r w:rsidRPr="00F82C8D">
        <w:t xml:space="preserve"> </w:t>
      </w:r>
      <w:r w:rsidR="007556AC" w:rsidRPr="00F82C8D">
        <w:t>supply</w:t>
      </w:r>
      <w:r w:rsidRPr="00F82C8D">
        <w:t xml:space="preserve"> over 30</w:t>
      </w:r>
      <w:r w:rsidR="00586D41" w:rsidRPr="00F82C8D">
        <w:t xml:space="preserve"> per cent</w:t>
      </w:r>
      <w:r w:rsidRPr="00F82C8D">
        <w:t xml:space="preserve"> of the facility’s electricity </w:t>
      </w:r>
      <w:r w:rsidR="006D0660" w:rsidRPr="00F82C8D">
        <w:t xml:space="preserve">needs </w:t>
      </w:r>
      <w:r w:rsidRPr="00F82C8D">
        <w:t xml:space="preserve">over the three-year forecast period. </w:t>
      </w:r>
      <w:r w:rsidRPr="00F82C8D">
        <w:rPr>
          <w:rStyle w:val="Emphasis"/>
        </w:rPr>
        <w:t>[subparagraph 24(2)</w:t>
      </w:r>
      <w:r w:rsidR="00ED5814" w:rsidRPr="00F82C8D">
        <w:rPr>
          <w:rStyle w:val="Emphasis"/>
        </w:rPr>
        <w:t>(c)</w:t>
      </w:r>
      <w:r w:rsidRPr="00F82C8D">
        <w:rPr>
          <w:rStyle w:val="Emphasis"/>
        </w:rPr>
        <w:t>(iii)]</w:t>
      </w:r>
    </w:p>
    <w:p w:rsidR="006C17D8" w:rsidRPr="00F82C8D" w:rsidRDefault="00A4507C" w:rsidP="00A4507C">
      <w:pPr>
        <w:pStyle w:val="ListParagraph"/>
        <w:rPr>
          <w:rStyle w:val="Emphasis"/>
          <w:b w:val="0"/>
          <w:bCs w:val="0"/>
          <w:i w:val="0"/>
          <w:iCs/>
          <w:sz w:val="24"/>
        </w:rPr>
      </w:pPr>
      <w:r w:rsidRPr="00F82C8D">
        <w:t xml:space="preserve">The installation of new equipment at a transport facility </w:t>
      </w:r>
      <w:r w:rsidR="00E55F99" w:rsidRPr="00F82C8D">
        <w:t>includes</w:t>
      </w:r>
      <w:r w:rsidRPr="00F82C8D">
        <w:t xml:space="preserve"> the acquisition of equipment to undertake the transport activity, such as planes, trucks or trains, which may not necessarily be new. The requirement is unlikely to be met by construction of new airport infrastructure, roads or rail tracks unassociated with additional transport capacity</w:t>
      </w:r>
      <w:r w:rsidR="006C17D8" w:rsidRPr="00F82C8D">
        <w:t xml:space="preserve">. </w:t>
      </w:r>
      <w:r w:rsidR="006C17D8" w:rsidRPr="00F82C8D">
        <w:rPr>
          <w:rStyle w:val="Emphasis"/>
        </w:rPr>
        <w:t>[</w:t>
      </w:r>
      <w:r w:rsidR="00B20FE0" w:rsidRPr="00F82C8D">
        <w:rPr>
          <w:rStyle w:val="Emphasis"/>
        </w:rPr>
        <w:t>paragraph</w:t>
      </w:r>
      <w:r w:rsidR="006C17D8" w:rsidRPr="00F82C8D">
        <w:rPr>
          <w:rStyle w:val="Emphasis"/>
        </w:rPr>
        <w:t xml:space="preserve"> 24(3)</w:t>
      </w:r>
      <w:r w:rsidR="00B20FE0" w:rsidRPr="00F82C8D">
        <w:rPr>
          <w:rStyle w:val="Emphasis"/>
        </w:rPr>
        <w:t>(a)</w:t>
      </w:r>
      <w:r w:rsidR="006C17D8" w:rsidRPr="00F82C8D">
        <w:rPr>
          <w:rStyle w:val="Emphasis"/>
        </w:rPr>
        <w:t>]</w:t>
      </w:r>
    </w:p>
    <w:p w:rsidR="00552B33" w:rsidRPr="00F82C8D" w:rsidRDefault="00BA03A0">
      <w:pPr>
        <w:pStyle w:val="ListParagraph"/>
        <w:rPr>
          <w:rStyle w:val="Emphasis"/>
          <w:b w:val="0"/>
          <w:bCs w:val="0"/>
          <w:i w:val="0"/>
          <w:iCs/>
          <w:sz w:val="24"/>
        </w:rPr>
      </w:pPr>
      <w:r w:rsidRPr="00F82C8D">
        <w:t>The production variables</w:t>
      </w:r>
      <w:r w:rsidR="00590553" w:rsidRPr="00F82C8D">
        <w:t xml:space="preserve"> identified</w:t>
      </w:r>
      <w:r w:rsidRPr="00F82C8D">
        <w:t xml:space="preserve"> for meeting the significant</w:t>
      </w:r>
      <w:r w:rsidR="00590553" w:rsidRPr="00F82C8D">
        <w:t xml:space="preserve"> expansion criteria do not have to necessarily match the production variables identified for the emissions intensity test </w:t>
      </w:r>
      <w:r w:rsidR="00764F09" w:rsidRPr="00F82C8D">
        <w:t>or for determining the baseline emissions number for the period of the calculated-emissions baseline</w:t>
      </w:r>
      <w:r w:rsidR="00590553" w:rsidRPr="00F82C8D">
        <w:t xml:space="preserve"> </w:t>
      </w:r>
      <w:r w:rsidRPr="00F82C8D">
        <w:rPr>
          <w:rStyle w:val="Emphasis"/>
        </w:rPr>
        <w:t>[paragraph 24(3)</w:t>
      </w:r>
      <w:r w:rsidR="00590553" w:rsidRPr="00F82C8D">
        <w:rPr>
          <w:rStyle w:val="Emphasis"/>
        </w:rPr>
        <w:t>(c</w:t>
      </w:r>
      <w:r w:rsidRPr="00F82C8D">
        <w:rPr>
          <w:rStyle w:val="Emphasis"/>
        </w:rPr>
        <w:t>)]</w:t>
      </w:r>
    </w:p>
    <w:p w:rsidR="002E6B9C" w:rsidRPr="00F82C8D" w:rsidRDefault="002E6B9C">
      <w:pPr>
        <w:pStyle w:val="ListParagraph"/>
      </w:pPr>
      <w:r w:rsidRPr="00F82C8D">
        <w:t>The concept of a replacement product is intended to be interpreted broadly to include changed products which, in substance, replace an earlier product that was produced. This includes an output with a higher purity and different composition to an output previously produced at the facility. This focuses the provision on genuinely new production variables, rather than modifications to existing products.</w:t>
      </w:r>
    </w:p>
    <w:p w:rsidR="006C17D8" w:rsidRPr="00F82C8D" w:rsidRDefault="0097406B" w:rsidP="006C17D8">
      <w:pPr>
        <w:pStyle w:val="Heading3"/>
      </w:pPr>
      <w:bookmarkStart w:id="98" w:name="_Ref427585396"/>
      <w:r w:rsidRPr="00F82C8D">
        <w:t xml:space="preserve">Section 25: </w:t>
      </w:r>
      <w:r w:rsidR="006C17D8" w:rsidRPr="00F82C8D">
        <w:t>Inherent emissions variability criteria</w:t>
      </w:r>
      <w:bookmarkEnd w:id="98"/>
    </w:p>
    <w:p w:rsidR="006C17D8" w:rsidRPr="00F82C8D" w:rsidRDefault="006C17D8" w:rsidP="00625D31">
      <w:pPr>
        <w:pStyle w:val="ListParagraph"/>
      </w:pPr>
      <w:r w:rsidRPr="00F82C8D">
        <w:t xml:space="preserve">Facilities that meet the inherent emissions variability criteria may apply to the Regulator for a calculated-emissions baseline determination. </w:t>
      </w:r>
      <w:r w:rsidR="007556AC" w:rsidRPr="00F82C8D">
        <w:rPr>
          <w:rStyle w:val="Emphasis"/>
        </w:rPr>
        <w:t>[subsection 25(1)]</w:t>
      </w:r>
      <w:r w:rsidR="0061392F" w:rsidRPr="00F82C8D">
        <w:rPr>
          <w:rStyle w:val="Emphasis"/>
        </w:rPr>
        <w:t xml:space="preserve"> </w:t>
      </w:r>
      <w:r w:rsidRPr="00F82C8D">
        <w:t>This is because historical emissions from facilities that meet the criteria may be a poor predictor of future emissions.</w:t>
      </w:r>
    </w:p>
    <w:p w:rsidR="006C17D8" w:rsidRPr="00F82C8D" w:rsidRDefault="006C17D8" w:rsidP="00625D31">
      <w:pPr>
        <w:pStyle w:val="ListParagraph"/>
      </w:pPr>
      <w:r w:rsidRPr="00F82C8D">
        <w:t>The facility must have</w:t>
      </w:r>
      <w:r w:rsidR="007C2047" w:rsidRPr="00F82C8D">
        <w:t xml:space="preserve"> </w:t>
      </w:r>
      <w:r w:rsidR="00645410" w:rsidRPr="00F82C8D">
        <w:t xml:space="preserve">of have had </w:t>
      </w:r>
      <w:r w:rsidR="007C2047" w:rsidRPr="00F82C8D">
        <w:t>either</w:t>
      </w:r>
      <w:r w:rsidRPr="00F82C8D">
        <w:t xml:space="preserve"> a </w:t>
      </w:r>
      <w:r w:rsidR="007C2047" w:rsidRPr="00F82C8D">
        <w:t>reported-emissions baseline determination</w:t>
      </w:r>
      <w:r w:rsidRPr="00F82C8D">
        <w:t xml:space="preserve"> or a calculated-emissions baseline determination. </w:t>
      </w:r>
      <w:r w:rsidRPr="00F82C8D">
        <w:rPr>
          <w:rStyle w:val="Emphasis"/>
        </w:rPr>
        <w:t xml:space="preserve">[subsection 25(2)] </w:t>
      </w:r>
      <w:r w:rsidRPr="00F82C8D">
        <w:t>Facilities that do not have one of these baseline</w:t>
      </w:r>
      <w:r w:rsidR="007C2047" w:rsidRPr="00F82C8D">
        <w:t xml:space="preserve"> determination</w:t>
      </w:r>
      <w:r w:rsidRPr="00F82C8D">
        <w:t>s may be able to apply for a calculated-emissions baseline determination if they satisfy the new facility criteria</w:t>
      </w:r>
      <w:r w:rsidR="00BC634F" w:rsidRPr="00F82C8D">
        <w:t xml:space="preserve"> or the initial calculated baseline criteria</w:t>
      </w:r>
      <w:r w:rsidRPr="00F82C8D">
        <w:t xml:space="preserve"> (see </w:t>
      </w:r>
      <w:r w:rsidR="00BC634F" w:rsidRPr="00F82C8D">
        <w:t xml:space="preserve">the sections headed </w:t>
      </w:r>
      <w:fldSimple w:instr=" REF _Ref426364242 \h  \* MERGEFORMAT ">
        <w:r w:rsidR="00F16B1F" w:rsidRPr="00F16B1F">
          <w:rPr>
            <w:i/>
          </w:rPr>
          <w:t>Section 23: New facility criteria</w:t>
        </w:r>
      </w:fldSimple>
      <w:r w:rsidR="00BC634F" w:rsidRPr="00F82C8D">
        <w:t xml:space="preserve"> on </w:t>
      </w:r>
      <w:r w:rsidRPr="00F82C8D">
        <w:t xml:space="preserve">page </w:t>
      </w:r>
      <w:r w:rsidR="00744D5E" w:rsidRPr="00F82C8D">
        <w:fldChar w:fldCharType="begin"/>
      </w:r>
      <w:r w:rsidRPr="00F82C8D">
        <w:instrText xml:space="preserve"> PAGEREF _Ref426364242 \h </w:instrText>
      </w:r>
      <w:r w:rsidR="00744D5E" w:rsidRPr="00F82C8D">
        <w:fldChar w:fldCharType="separate"/>
      </w:r>
      <w:r w:rsidR="00F16B1F">
        <w:rPr>
          <w:noProof/>
        </w:rPr>
        <w:t>48</w:t>
      </w:r>
      <w:r w:rsidR="00744D5E" w:rsidRPr="00F82C8D">
        <w:fldChar w:fldCharType="end"/>
      </w:r>
      <w:r w:rsidR="007C2047" w:rsidRPr="00F82C8D">
        <w:t xml:space="preserve"> </w:t>
      </w:r>
      <w:r w:rsidR="00BC634F" w:rsidRPr="00F82C8D">
        <w:t xml:space="preserve">or the section headed </w:t>
      </w:r>
      <w:fldSimple w:instr=" REF _Ref427585396 \h  \* MERGEFORMAT ">
        <w:r w:rsidR="00F16B1F" w:rsidRPr="00F16B1F">
          <w:rPr>
            <w:i/>
          </w:rPr>
          <w:t>Section 25: Inherent emissions variability criteria</w:t>
        </w:r>
      </w:fldSimple>
      <w:r w:rsidR="00BC634F" w:rsidRPr="00F82C8D">
        <w:rPr>
          <w:i/>
        </w:rPr>
        <w:t xml:space="preserve"> </w:t>
      </w:r>
      <w:r w:rsidR="00BC634F" w:rsidRPr="00F82C8D">
        <w:t xml:space="preserve">on page </w:t>
      </w:r>
      <w:r w:rsidR="00744D5E" w:rsidRPr="00F82C8D">
        <w:fldChar w:fldCharType="begin"/>
      </w:r>
      <w:r w:rsidR="00BC634F" w:rsidRPr="00F82C8D">
        <w:instrText xml:space="preserve"> PAGEREF _Ref427585396 \h </w:instrText>
      </w:r>
      <w:r w:rsidR="00744D5E" w:rsidRPr="00F82C8D">
        <w:fldChar w:fldCharType="separate"/>
      </w:r>
      <w:r w:rsidR="00F16B1F">
        <w:rPr>
          <w:noProof/>
        </w:rPr>
        <w:t>53</w:t>
      </w:r>
      <w:r w:rsidR="00744D5E" w:rsidRPr="00F82C8D">
        <w:fldChar w:fldCharType="end"/>
      </w:r>
      <w:r w:rsidR="00BC634F" w:rsidRPr="00F82C8D">
        <w:t xml:space="preserve"> </w:t>
      </w:r>
      <w:r w:rsidR="007C2047" w:rsidRPr="00F82C8D">
        <w:t>of</w:t>
      </w:r>
      <w:r w:rsidR="004C00A9" w:rsidRPr="00F82C8D">
        <w:t xml:space="preserve"> the</w:t>
      </w:r>
      <w:r w:rsidR="00F37DA6" w:rsidRPr="00F82C8D">
        <w:t xml:space="preserve"> </w:t>
      </w:r>
      <w:r w:rsidR="00D360AB" w:rsidRPr="00F82C8D">
        <w:t>Exp</w:t>
      </w:r>
      <w:r w:rsidR="004C00A9" w:rsidRPr="00F82C8D">
        <w:t>lanatory Statement</w:t>
      </w:r>
      <w:r w:rsidRPr="00F82C8D">
        <w:t>).</w:t>
      </w:r>
    </w:p>
    <w:p w:rsidR="006C17D8" w:rsidRPr="00F82C8D" w:rsidRDefault="006C17D8" w:rsidP="00625D31">
      <w:pPr>
        <w:pStyle w:val="ListParagraph"/>
      </w:pPr>
      <w:r w:rsidRPr="00F82C8D">
        <w:t xml:space="preserve">The principal activity of the facility must be the extraction of a natural resource, or the facility must be a natural gas processing or liquefaction facility involved in the extraction of natural gas from a natural gas reserve. </w:t>
      </w:r>
      <w:r w:rsidRPr="00F82C8D">
        <w:rPr>
          <w:rStyle w:val="Emphasis"/>
        </w:rPr>
        <w:t>[paragraph 25(3)(a)]</w:t>
      </w:r>
      <w:r w:rsidRPr="00F82C8D">
        <w:t xml:space="preserve"> If a facility’s principal activity is, for example, the processing of a natural resource, the facility does not meet the criteria.</w:t>
      </w:r>
      <w:r w:rsidR="002E6B9C" w:rsidRPr="00F82C8D">
        <w:t xml:space="preserve"> It is intended that the association of a natural gas processing or liquefaction facility with one or more natural gas reserves may be through a pipeline network which is not part of the natural gas processing or liquefaction facility.</w:t>
      </w:r>
    </w:p>
    <w:p w:rsidR="006C17D8" w:rsidRPr="00F82C8D" w:rsidRDefault="006C17D8" w:rsidP="004D0F7D">
      <w:pPr>
        <w:pStyle w:val="ListParagraph"/>
      </w:pPr>
      <w:r w:rsidRPr="00F82C8D">
        <w:t xml:space="preserve">The properties of the resource or natural gas reserve must have a direct effect on the emissions or </w:t>
      </w:r>
      <w:r w:rsidR="00BB7C53" w:rsidRPr="00F82C8D">
        <w:t>emissions intens</w:t>
      </w:r>
      <w:r w:rsidRPr="00F82C8D">
        <w:t xml:space="preserve">ity of the facility. </w:t>
      </w:r>
      <w:r w:rsidRPr="00F82C8D">
        <w:rPr>
          <w:rStyle w:val="Emphasis"/>
        </w:rPr>
        <w:t>[paragraph 25(3)(b)]</w:t>
      </w:r>
      <w:r w:rsidRPr="00F82C8D">
        <w:t xml:space="preserve"> </w:t>
      </w:r>
      <w:r w:rsidR="006C076D" w:rsidRPr="00F82C8D">
        <w:t>The properties can be a combination of different aspects</w:t>
      </w:r>
      <w:r w:rsidR="007C0353" w:rsidRPr="00F82C8D">
        <w:t>, including</w:t>
      </w:r>
      <w:r w:rsidR="006C076D" w:rsidRPr="00F82C8D">
        <w:t xml:space="preserve"> grade, depth, distance from a processing plant, greenhouse gas content or other properties</w:t>
      </w:r>
      <w:r w:rsidR="004D0F7D" w:rsidRPr="00F82C8D">
        <w:t xml:space="preserve">. </w:t>
      </w:r>
      <w:r w:rsidR="007C0353" w:rsidRPr="00F82C8D">
        <w:rPr>
          <w:rStyle w:val="Emphasis"/>
        </w:rPr>
        <w:t>[subsection 25(10)]</w:t>
      </w:r>
      <w:r w:rsidR="00BC634F" w:rsidRPr="00F82C8D">
        <w:t xml:space="preserve">This criterion is intended to include facilities whose emissions rise because extraction </w:t>
      </w:r>
      <w:r w:rsidR="006C076D" w:rsidRPr="00F82C8D">
        <w:t>practices change in response to</w:t>
      </w:r>
      <w:r w:rsidR="00BC634F" w:rsidRPr="00F82C8D">
        <w:t xml:space="preserve"> properties of the resource.</w:t>
      </w:r>
      <w:r w:rsidR="006C076D" w:rsidRPr="00F82C8D">
        <w:rPr>
          <w:rStyle w:val="Emphasis"/>
        </w:rPr>
        <w:t xml:space="preserve"> </w:t>
      </w:r>
    </w:p>
    <w:p w:rsidR="006C17D8" w:rsidRPr="00F82C8D" w:rsidRDefault="006C17D8" w:rsidP="006C17D8">
      <w:pPr>
        <w:pStyle w:val="Quote"/>
      </w:pPr>
      <w:r w:rsidRPr="00F82C8D">
        <w:t>For example, the carbon dioxide content of a natural gas reserve may have a direct ef</w:t>
      </w:r>
      <w:r w:rsidR="00BC634F" w:rsidRPr="00F82C8D">
        <w:t xml:space="preserve">fect on a facility’s emissions or </w:t>
      </w:r>
      <w:r w:rsidRPr="00F82C8D">
        <w:t xml:space="preserve">the emissions from a coal mine may increase because of the additional energy required to mine deeper seams. The ‘other </w:t>
      </w:r>
      <w:r w:rsidR="0015485F" w:rsidRPr="00F82C8D">
        <w:t xml:space="preserve">similar </w:t>
      </w:r>
      <w:r w:rsidRPr="00F82C8D">
        <w:t xml:space="preserve">properties’ of a resource are intended to refer to properties similar to grade and depth. Accordingly, ‘other </w:t>
      </w:r>
      <w:r w:rsidR="0015485F" w:rsidRPr="00F82C8D">
        <w:t xml:space="preserve">similar </w:t>
      </w:r>
      <w:r w:rsidRPr="00F82C8D">
        <w:t>properties’ does not include ‘properties’ such as the market value or scarcity of the resource. However, distance from, for example, a transport terminal—a similar property to depth (distance from the surface)—is intended to be a relevant ‘other property’.</w:t>
      </w:r>
    </w:p>
    <w:p w:rsidR="006C17D8" w:rsidRPr="00F82C8D" w:rsidRDefault="006C17D8" w:rsidP="00625D31">
      <w:pPr>
        <w:pStyle w:val="ListParagraph"/>
      </w:pPr>
      <w:r w:rsidRPr="00F82C8D">
        <w:t xml:space="preserve">The facility must have a limited </w:t>
      </w:r>
      <w:r w:rsidR="006C076D" w:rsidRPr="00F82C8D">
        <w:t xml:space="preserve">cost-effective </w:t>
      </w:r>
      <w:r w:rsidRPr="00F82C8D">
        <w:t>ability to control for the</w:t>
      </w:r>
      <w:r w:rsidR="00201F84" w:rsidRPr="00F82C8D">
        <w:t xml:space="preserve"> covered</w:t>
      </w:r>
      <w:r w:rsidRPr="00F82C8D">
        <w:t xml:space="preserve"> emissions related to the natural resource or natural gas reserve. </w:t>
      </w:r>
      <w:r w:rsidR="00645410" w:rsidRPr="00F82C8D">
        <w:rPr>
          <w:rStyle w:val="Emphasis"/>
        </w:rPr>
        <w:t>[paragraph </w:t>
      </w:r>
      <w:r w:rsidRPr="00F82C8D">
        <w:rPr>
          <w:rStyle w:val="Emphasis"/>
        </w:rPr>
        <w:t>25(3)(c)]</w:t>
      </w:r>
    </w:p>
    <w:p w:rsidR="006C17D8" w:rsidRPr="00F82C8D" w:rsidRDefault="0010296F" w:rsidP="00625D31">
      <w:pPr>
        <w:pStyle w:val="ListParagraph"/>
      </w:pPr>
      <w:r w:rsidRPr="00F82C8D">
        <w:t>In the first year of the period to be covered by the proposed calculated</w:t>
      </w:r>
      <w:r w:rsidRPr="00F82C8D">
        <w:noBreakHyphen/>
        <w:t>emissions baseline determination t</w:t>
      </w:r>
      <w:r w:rsidR="006C17D8" w:rsidRPr="00F82C8D">
        <w:t xml:space="preserve">he facility must exceed, or be reasonably expected to exceed, </w:t>
      </w:r>
      <w:r w:rsidRPr="00F82C8D">
        <w:t>the</w:t>
      </w:r>
      <w:r w:rsidR="003D5910" w:rsidRPr="00F82C8D">
        <w:t xml:space="preserve"> baseline </w:t>
      </w:r>
      <w:r w:rsidRPr="00F82C8D">
        <w:t>that currently applies to the facility</w:t>
      </w:r>
      <w:r w:rsidR="006C17D8" w:rsidRPr="00F82C8D">
        <w:t xml:space="preserve">. </w:t>
      </w:r>
      <w:r w:rsidR="006C17D8" w:rsidRPr="00F82C8D">
        <w:rPr>
          <w:rStyle w:val="Emphasis"/>
        </w:rPr>
        <w:t>[subsection 25(4)]</w:t>
      </w:r>
    </w:p>
    <w:p w:rsidR="006C17D8" w:rsidRPr="00F82C8D" w:rsidRDefault="006C17D8" w:rsidP="00625D31">
      <w:pPr>
        <w:pStyle w:val="ListParagraph"/>
      </w:pPr>
      <w:r w:rsidRPr="00F82C8D">
        <w:t xml:space="preserve">The natural resource grade, depth or other properties must be the primary reason for the facility exceeding its baseline. </w:t>
      </w:r>
      <w:r w:rsidRPr="00F82C8D">
        <w:rPr>
          <w:rStyle w:val="Emphasis"/>
        </w:rPr>
        <w:t xml:space="preserve">[subsection 25(5)] </w:t>
      </w:r>
      <w:r w:rsidRPr="00F82C8D">
        <w:t>Other possible reasons for exceedance</w:t>
      </w:r>
      <w:r w:rsidR="0018362C" w:rsidRPr="00F82C8D">
        <w:t xml:space="preserve"> would not</w:t>
      </w:r>
      <w:r w:rsidRPr="00F82C8D">
        <w:t xml:space="preserve"> </w:t>
      </w:r>
      <w:r w:rsidR="0018362C" w:rsidRPr="00F82C8D">
        <w:t xml:space="preserve">meet the inherent emissions variability criteria such as </w:t>
      </w:r>
      <w:r w:rsidRPr="00F82C8D">
        <w:t xml:space="preserve">increases in production or the cessation of a mitigation activity such as methane flaring. </w:t>
      </w:r>
    </w:p>
    <w:p w:rsidR="006C17D8" w:rsidRPr="00F82C8D" w:rsidRDefault="006C17D8" w:rsidP="00625D31">
      <w:pPr>
        <w:pStyle w:val="ListParagraph"/>
      </w:pPr>
      <w:r w:rsidRPr="00F82C8D">
        <w:t xml:space="preserve">No more than one calculated-emissions baseline determination </w:t>
      </w:r>
      <w:r w:rsidR="00201F84" w:rsidRPr="00F82C8D">
        <w:t>may</w:t>
      </w:r>
      <w:r w:rsidRPr="00F82C8D">
        <w:t xml:space="preserve"> have been </w:t>
      </w:r>
      <w:r w:rsidR="0018362C" w:rsidRPr="00F82C8D">
        <w:t xml:space="preserve">already </w:t>
      </w:r>
      <w:r w:rsidRPr="00F82C8D">
        <w:t xml:space="preserve">made for the facility. </w:t>
      </w:r>
      <w:r w:rsidRPr="00F82C8D">
        <w:rPr>
          <w:rStyle w:val="Emphasis"/>
        </w:rPr>
        <w:t>[subsection 25(6)]</w:t>
      </w:r>
      <w:r w:rsidRPr="00F82C8D">
        <w:t xml:space="preserve"> That is, a maximum of two calculated-emissions baseline determinations can be made for</w:t>
      </w:r>
      <w:r w:rsidR="00201F84" w:rsidRPr="00F82C8D">
        <w:t xml:space="preserve"> a facility</w:t>
      </w:r>
      <w:r w:rsidRPr="00F82C8D">
        <w:t>.</w:t>
      </w:r>
    </w:p>
    <w:p w:rsidR="006C17D8" w:rsidRPr="00F82C8D" w:rsidRDefault="006C17D8" w:rsidP="00625D31">
      <w:pPr>
        <w:pStyle w:val="ListParagraph"/>
      </w:pPr>
      <w:r w:rsidRPr="00F82C8D">
        <w:t xml:space="preserve">A benchmark-emissions baseline must never have been made in relation to the facility. </w:t>
      </w:r>
      <w:r w:rsidRPr="00F82C8D">
        <w:rPr>
          <w:rStyle w:val="Emphasis"/>
        </w:rPr>
        <w:t>[subsection 25(7)]</w:t>
      </w:r>
      <w:r w:rsidRPr="00F82C8D">
        <w:t xml:space="preserve"> That is, a facility cannot opt out of a benchmark-emissions baseline determination, even if it applies for calculated-emissions baseline determination</w:t>
      </w:r>
      <w:r w:rsidR="00201F84" w:rsidRPr="00F82C8D">
        <w:t xml:space="preserve"> meeting the inherent emissions variability criteria after 1 </w:t>
      </w:r>
      <w:r w:rsidRPr="00F82C8D">
        <w:t>July 2020.</w:t>
      </w:r>
    </w:p>
    <w:p w:rsidR="006C17D8" w:rsidRPr="00F82C8D" w:rsidRDefault="006C17D8" w:rsidP="00625D31">
      <w:pPr>
        <w:pStyle w:val="ListParagraph"/>
      </w:pPr>
      <w:r w:rsidRPr="00F82C8D">
        <w:t xml:space="preserve">The facility must not be a grid-connected electricity generator. </w:t>
      </w:r>
      <w:r w:rsidRPr="00F82C8D">
        <w:rPr>
          <w:rStyle w:val="Emphasis"/>
        </w:rPr>
        <w:t>[subsection 25(8)]</w:t>
      </w:r>
      <w:r w:rsidRPr="00F82C8D">
        <w:t xml:space="preserve">. These facilities are treated separately under the safeguard mechanism (see </w:t>
      </w:r>
      <w:r w:rsidR="004E28AF" w:rsidRPr="00F82C8D">
        <w:t xml:space="preserve">the section headed </w:t>
      </w:r>
      <w:fldSimple w:instr=" REF _Ref427686612 \h  \* MERGEFORMAT ">
        <w:r w:rsidR="00F16B1F" w:rsidRPr="00F16B1F">
          <w:rPr>
            <w:i/>
          </w:rPr>
          <w:t>Section 7: Covered emissions</w:t>
        </w:r>
      </w:fldSimple>
      <w:r w:rsidR="004E28AF" w:rsidRPr="00F82C8D">
        <w:t xml:space="preserve"> on </w:t>
      </w:r>
      <w:r w:rsidRPr="00F82C8D">
        <w:t>page</w:t>
      </w:r>
      <w:r w:rsidR="009D646B" w:rsidRPr="00F82C8D">
        <w:t> </w:t>
      </w:r>
      <w:r w:rsidR="00744D5E" w:rsidRPr="00F82C8D">
        <w:fldChar w:fldCharType="begin"/>
      </w:r>
      <w:r w:rsidRPr="00F82C8D">
        <w:instrText xml:space="preserve"> PAGEREF _Ref426366368 \h </w:instrText>
      </w:r>
      <w:r w:rsidR="00744D5E" w:rsidRPr="00F82C8D">
        <w:fldChar w:fldCharType="separate"/>
      </w:r>
      <w:r w:rsidR="00F16B1F">
        <w:rPr>
          <w:noProof/>
        </w:rPr>
        <w:t>33</w:t>
      </w:r>
      <w:r w:rsidR="00744D5E" w:rsidRPr="00F82C8D">
        <w:fldChar w:fldCharType="end"/>
      </w:r>
      <w:r w:rsidR="004E28AF" w:rsidRPr="00F82C8D">
        <w:t xml:space="preserve"> of the </w:t>
      </w:r>
      <w:r w:rsidR="00D360AB" w:rsidRPr="00F82C8D">
        <w:t>Exp</w:t>
      </w:r>
      <w:r w:rsidR="004E28AF" w:rsidRPr="00F82C8D">
        <w:t>lanatory Statement</w:t>
      </w:r>
      <w:r w:rsidRPr="00F82C8D">
        <w:t>).</w:t>
      </w:r>
    </w:p>
    <w:p w:rsidR="006C17D8" w:rsidRPr="00F82C8D" w:rsidRDefault="006C17D8" w:rsidP="00625D31">
      <w:pPr>
        <w:pStyle w:val="ListParagraph"/>
      </w:pPr>
      <w:r w:rsidRPr="00F82C8D">
        <w:t xml:space="preserve">The calculated-emissions baseline determination the subject of the application must commence on a 1 July </w:t>
      </w:r>
      <w:r w:rsidR="00201F84" w:rsidRPr="00F82C8D">
        <w:t>of</w:t>
      </w:r>
      <w:r w:rsidRPr="00F82C8D">
        <w:t xml:space="preserve"> a year between 2016 and 2024. </w:t>
      </w:r>
      <w:r w:rsidRPr="00F82C8D">
        <w:rPr>
          <w:rStyle w:val="Emphasis"/>
        </w:rPr>
        <w:t>[subsection 25(9)]</w:t>
      </w:r>
    </w:p>
    <w:p w:rsidR="006C17D8" w:rsidRPr="00F82C8D" w:rsidRDefault="0094490F" w:rsidP="006C17D8">
      <w:pPr>
        <w:pStyle w:val="Heading4"/>
      </w:pPr>
      <w:r w:rsidRPr="00F82C8D">
        <w:rPr>
          <w:b/>
        </w:rPr>
        <w:t>Section 26: I</w:t>
      </w:r>
      <w:r w:rsidR="006C17D8" w:rsidRPr="00F82C8D">
        <w:rPr>
          <w:b/>
        </w:rPr>
        <w:t>nitial calculated baseline criteria</w:t>
      </w:r>
    </w:p>
    <w:p w:rsidR="006C17D8" w:rsidRPr="00F82C8D" w:rsidRDefault="006C17D8" w:rsidP="00625D31">
      <w:pPr>
        <w:pStyle w:val="ListParagraph"/>
        <w:rPr>
          <w:b/>
          <w:lang w:val="en-AU"/>
        </w:rPr>
      </w:pPr>
      <w:r w:rsidRPr="00F82C8D">
        <w:t>Facilities that meet the initial calculated baseline criteria may apply to the Regulator for a calculated-emissions baseline determination.</w:t>
      </w:r>
      <w:r w:rsidR="000A7B10" w:rsidRPr="00F82C8D">
        <w:t xml:space="preserve"> </w:t>
      </w:r>
      <w:r w:rsidR="001B0747" w:rsidRPr="00F82C8D">
        <w:rPr>
          <w:rStyle w:val="Emphasis"/>
        </w:rPr>
        <w:t>[subsection</w:t>
      </w:r>
      <w:r w:rsidR="008634B7" w:rsidRPr="00F82C8D">
        <w:rPr>
          <w:rStyle w:val="Emphasis"/>
        </w:rPr>
        <w:t xml:space="preserve"> 26(1)] </w:t>
      </w:r>
      <w:r w:rsidRPr="00F82C8D">
        <w:t>This is because historical emissions from facilities that meet the criteria may be a poor predictor of future emissions.</w:t>
      </w:r>
    </w:p>
    <w:p w:rsidR="007D35D1" w:rsidRPr="00F82C8D" w:rsidRDefault="007D35D1" w:rsidP="008634B7">
      <w:pPr>
        <w:pStyle w:val="ListParagraph"/>
        <w:spacing w:before="0"/>
        <w:rPr>
          <w:b/>
        </w:rPr>
      </w:pPr>
      <w:r w:rsidRPr="00F82C8D">
        <w:t xml:space="preserve">One criterion </w:t>
      </w:r>
      <w:r w:rsidR="0018362C" w:rsidRPr="00F82C8D">
        <w:t xml:space="preserve">is </w:t>
      </w:r>
      <w:r w:rsidR="00545AF7" w:rsidRPr="00F82C8D">
        <w:t>for the facility to</w:t>
      </w:r>
      <w:r w:rsidR="0018362C" w:rsidRPr="00F82C8D">
        <w:t xml:space="preserve"> </w:t>
      </w:r>
      <w:r w:rsidR="00A10E33" w:rsidRPr="00F82C8D">
        <w:t>either</w:t>
      </w:r>
      <w:r w:rsidR="0018362C" w:rsidRPr="00F82C8D">
        <w:t xml:space="preserve"> have</w:t>
      </w:r>
      <w:r w:rsidR="00A10E33" w:rsidRPr="00F82C8D">
        <w:t xml:space="preserve"> </w:t>
      </w:r>
      <w:r w:rsidR="006C17D8" w:rsidRPr="00F82C8D">
        <w:t xml:space="preserve">a reported-emissions baseline determination </w:t>
      </w:r>
      <w:r w:rsidR="00A10E33" w:rsidRPr="00F82C8D">
        <w:t xml:space="preserve">or </w:t>
      </w:r>
      <w:r w:rsidR="00545AF7" w:rsidRPr="00F82C8D">
        <w:t>to have submitted</w:t>
      </w:r>
      <w:r w:rsidR="00A10E33" w:rsidRPr="00F82C8D">
        <w:t xml:space="preserve"> emissions reports under the Act for the five years sta</w:t>
      </w:r>
      <w:r w:rsidR="00545AF7" w:rsidRPr="00F82C8D">
        <w:t>r</w:t>
      </w:r>
      <w:r w:rsidR="00A10E33" w:rsidRPr="00F82C8D">
        <w:t>ting on 1 July 2009</w:t>
      </w:r>
      <w:r w:rsidR="0018362C" w:rsidRPr="00F82C8D">
        <w:t>.</w:t>
      </w:r>
      <w:r w:rsidRPr="00F82C8D">
        <w:t xml:space="preserve"> </w:t>
      </w:r>
      <w:r w:rsidR="001B0747" w:rsidRPr="00F82C8D">
        <w:rPr>
          <w:rStyle w:val="Emphasis"/>
        </w:rPr>
        <w:t>[subsection</w:t>
      </w:r>
      <w:r w:rsidR="00942D59" w:rsidRPr="00F82C8D">
        <w:rPr>
          <w:rStyle w:val="Emphasis"/>
        </w:rPr>
        <w:t xml:space="preserve"> </w:t>
      </w:r>
      <w:r w:rsidRPr="00F82C8D">
        <w:rPr>
          <w:rStyle w:val="Emphasis"/>
        </w:rPr>
        <w:t>26(2)]</w:t>
      </w:r>
    </w:p>
    <w:p w:rsidR="007D35D1" w:rsidRPr="00F82C8D" w:rsidRDefault="007D35D1" w:rsidP="007D35D1">
      <w:pPr>
        <w:pStyle w:val="ListParagraph"/>
        <w:spacing w:before="0"/>
        <w:rPr>
          <w:b/>
        </w:rPr>
      </w:pPr>
      <w:r w:rsidRPr="00F82C8D">
        <w:t>An additional criterion is that</w:t>
      </w:r>
      <w:r w:rsidR="00A10E33" w:rsidRPr="00F82C8D">
        <w:t xml:space="preserve"> </w:t>
      </w:r>
      <w:r w:rsidR="006C17D8" w:rsidRPr="00F82C8D">
        <w:t xml:space="preserve">the facility has exceeded or expects to exceed </w:t>
      </w:r>
      <w:r w:rsidR="007C2047" w:rsidRPr="00F82C8D">
        <w:t>its baseline emissions number in 2016</w:t>
      </w:r>
      <w:r w:rsidR="007C2047" w:rsidRPr="00F82C8D">
        <w:noBreakHyphen/>
      </w:r>
      <w:r w:rsidR="006C17D8" w:rsidRPr="00F82C8D">
        <w:t>17.</w:t>
      </w:r>
      <w:r w:rsidR="001B0747" w:rsidRPr="00F82C8D">
        <w:rPr>
          <w:rStyle w:val="Emphasis"/>
        </w:rPr>
        <w:t xml:space="preserve"> [subsection </w:t>
      </w:r>
      <w:r w:rsidR="00A10E33" w:rsidRPr="00F82C8D">
        <w:rPr>
          <w:rStyle w:val="Emphasis"/>
        </w:rPr>
        <w:t>26</w:t>
      </w:r>
      <w:r w:rsidR="006C17D8" w:rsidRPr="00F82C8D">
        <w:rPr>
          <w:rStyle w:val="Emphasis"/>
        </w:rPr>
        <w:t>(3)]</w:t>
      </w:r>
      <w:r w:rsidR="00A10E33" w:rsidRPr="00F82C8D">
        <w:rPr>
          <w:rStyle w:val="Emphasis"/>
        </w:rPr>
        <w:t xml:space="preserve"> </w:t>
      </w:r>
      <w:r w:rsidR="00545AF7" w:rsidRPr="00F82C8D">
        <w:t>Facilities</w:t>
      </w:r>
      <w:r w:rsidRPr="00F82C8D">
        <w:t xml:space="preserve"> must not deliberately increase or intend to increase their covered emissions for the pu</w:t>
      </w:r>
      <w:r w:rsidR="001B0747" w:rsidRPr="00F82C8D">
        <w:t>rpose of meeting this criterion. This could be done by changing how emissions are reported or calculated or causing scope 1 emissions.</w:t>
      </w:r>
      <w:r w:rsidRPr="00F82C8D">
        <w:t xml:space="preserve"> </w:t>
      </w:r>
      <w:r w:rsidR="001B0747" w:rsidRPr="00F82C8D">
        <w:rPr>
          <w:rStyle w:val="Emphasis"/>
        </w:rPr>
        <w:t>[subsection </w:t>
      </w:r>
      <w:r w:rsidRPr="00F82C8D">
        <w:rPr>
          <w:rStyle w:val="Emphasis"/>
        </w:rPr>
        <w:t xml:space="preserve">26(4)] </w:t>
      </w:r>
    </w:p>
    <w:p w:rsidR="006C17D8" w:rsidRPr="00F82C8D" w:rsidRDefault="006C17D8" w:rsidP="00625D31">
      <w:pPr>
        <w:pStyle w:val="ListParagraph"/>
        <w:rPr>
          <w:b/>
          <w:lang w:val="en-AU"/>
        </w:rPr>
      </w:pPr>
      <w:r w:rsidRPr="00F82C8D">
        <w:t xml:space="preserve">Grid-connected electricity generators are not eligible for a calculated-emissions baseline determination on the basis of meeting the initial calculated baseline criteria. </w:t>
      </w:r>
      <w:r w:rsidR="008634B7" w:rsidRPr="00F82C8D">
        <w:rPr>
          <w:rStyle w:val="Emphasis"/>
        </w:rPr>
        <w:t>[subsection 26(5</w:t>
      </w:r>
      <w:r w:rsidRPr="00F82C8D">
        <w:rPr>
          <w:rStyle w:val="Emphasis"/>
        </w:rPr>
        <w:t>)]</w:t>
      </w:r>
      <w:r w:rsidRPr="00F82C8D">
        <w:t xml:space="preserve"> This is because </w:t>
      </w:r>
      <w:r w:rsidR="00B562B6" w:rsidRPr="00F82C8D">
        <w:t>these generators are included under the sectoral approach. In addition,</w:t>
      </w:r>
      <w:r w:rsidR="00D37CAA" w:rsidRPr="00F82C8D">
        <w:t xml:space="preserve"> </w:t>
      </w:r>
      <w:r w:rsidRPr="00F82C8D">
        <w:t xml:space="preserve">entities in control of multiple generators could exceed the </w:t>
      </w:r>
      <w:r w:rsidR="007C2047" w:rsidRPr="00F82C8D">
        <w:t>baseline emissions number</w:t>
      </w:r>
      <w:r w:rsidRPr="00F82C8D">
        <w:t xml:space="preserve"> of some generators—and thereby satisfy the initial calculated baseline criteria—simply by shifting production to other generators.</w:t>
      </w:r>
    </w:p>
    <w:p w:rsidR="006C17D8" w:rsidRPr="00F82C8D" w:rsidRDefault="006C17D8" w:rsidP="00625D31">
      <w:pPr>
        <w:pStyle w:val="ListParagraph"/>
        <w:rPr>
          <w:b/>
          <w:lang w:val="en-AU"/>
        </w:rPr>
      </w:pPr>
      <w:r w:rsidRPr="00F82C8D">
        <w:t>Calculated-emissions baseline determinations for facilities that satisfy the initial calculated baseline criteria commence on 1 July 2016.</w:t>
      </w:r>
      <w:r w:rsidR="008634B7" w:rsidRPr="00F82C8D">
        <w:rPr>
          <w:rStyle w:val="Emphasis"/>
        </w:rPr>
        <w:t xml:space="preserve"> [subsection 26(6</w:t>
      </w:r>
      <w:r w:rsidRPr="00F82C8D">
        <w:rPr>
          <w:rStyle w:val="Emphasis"/>
        </w:rPr>
        <w:t>)]</w:t>
      </w:r>
    </w:p>
    <w:p w:rsidR="006C17D8" w:rsidRPr="00F82C8D" w:rsidRDefault="004304A4" w:rsidP="006C17D8">
      <w:pPr>
        <w:pStyle w:val="Heading3"/>
        <w:rPr>
          <w:iCs/>
        </w:rPr>
      </w:pPr>
      <w:r w:rsidRPr="00F82C8D">
        <w:t xml:space="preserve">Section 27: </w:t>
      </w:r>
      <w:r w:rsidR="00201F84" w:rsidRPr="00F82C8D">
        <w:t>Information required in applications</w:t>
      </w:r>
    </w:p>
    <w:p w:rsidR="006C17D8" w:rsidRPr="00F82C8D" w:rsidRDefault="006C17D8" w:rsidP="00625D31">
      <w:pPr>
        <w:pStyle w:val="ListParagraph"/>
      </w:pPr>
      <w:r w:rsidRPr="00F82C8D">
        <w:t xml:space="preserve">Applications for calculated-emissions baseline determinations must include the information specified in section 27. </w:t>
      </w:r>
      <w:r w:rsidRPr="00F82C8D">
        <w:rPr>
          <w:rStyle w:val="Emphasis"/>
        </w:rPr>
        <w:t>[subsection 27(1)]</w:t>
      </w:r>
    </w:p>
    <w:p w:rsidR="006C17D8" w:rsidRPr="00F82C8D" w:rsidRDefault="006C17D8" w:rsidP="00625D31">
      <w:pPr>
        <w:pStyle w:val="ListParagraph"/>
      </w:pPr>
      <w:r w:rsidRPr="00F82C8D">
        <w:t>The application must explain</w:t>
      </w:r>
      <w:r w:rsidR="00493304" w:rsidRPr="00F82C8D">
        <w:t xml:space="preserve"> and</w:t>
      </w:r>
      <w:r w:rsidR="00942D59" w:rsidRPr="00F82C8D">
        <w:t xml:space="preserve"> </w:t>
      </w:r>
      <w:r w:rsidR="00493304" w:rsidRPr="00F82C8D">
        <w:t>include supporting evidence substantiating</w:t>
      </w:r>
      <w:r w:rsidRPr="00F82C8D">
        <w:t xml:space="preserve"> how the facility meets the relevant eligibility criteria. </w:t>
      </w:r>
      <w:r w:rsidRPr="00F82C8D">
        <w:rPr>
          <w:rStyle w:val="Emphasis"/>
        </w:rPr>
        <w:t>[paragraph 27(1)(a)]</w:t>
      </w:r>
    </w:p>
    <w:p w:rsidR="006C17D8" w:rsidRPr="00F82C8D" w:rsidRDefault="006C17D8" w:rsidP="00625D31">
      <w:pPr>
        <w:pStyle w:val="ListParagraph"/>
      </w:pPr>
      <w:r w:rsidRPr="00F82C8D">
        <w:t xml:space="preserve">The application must include an outline of the measures to </w:t>
      </w:r>
      <w:r w:rsidR="00D47362" w:rsidRPr="00F82C8D">
        <w:t>reduce greenhouse gas emissions intensity</w:t>
      </w:r>
      <w:r w:rsidR="00745A5B" w:rsidRPr="00F82C8D">
        <w:t xml:space="preserve"> </w:t>
      </w:r>
      <w:r w:rsidRPr="00F82C8D">
        <w:t xml:space="preserve">at the facility. </w:t>
      </w:r>
      <w:r w:rsidRPr="00F82C8D">
        <w:rPr>
          <w:rStyle w:val="Emphasis"/>
        </w:rPr>
        <w:t>[paragraph 27(1)(b)]</w:t>
      </w:r>
      <w:r w:rsidRPr="00F82C8D">
        <w:t xml:space="preserve"> </w:t>
      </w:r>
    </w:p>
    <w:p w:rsidR="006C17D8" w:rsidRPr="00F82C8D" w:rsidRDefault="006C17D8" w:rsidP="00625D31">
      <w:pPr>
        <w:pStyle w:val="ListParagraph"/>
      </w:pPr>
      <w:bookmarkStart w:id="99" w:name="_Ref426467230"/>
      <w:r w:rsidRPr="00F82C8D">
        <w:t>Facilities must select the appropriate year in the period covered by the calculated-emissions baseline determination from which to set their baseline. Generally, this year will be the year with the highest production level. However, the years the applicant can choose from are limited by the timing of the application. The year must be selected in accordance with the following rules</w:t>
      </w:r>
      <w:r w:rsidR="00201F84" w:rsidRPr="00F82C8D">
        <w:t xml:space="preserve"> and the </w:t>
      </w:r>
      <w:r w:rsidR="0061392F" w:rsidRPr="00F82C8D">
        <w:t>quantity</w:t>
      </w:r>
      <w:r w:rsidR="00201F84" w:rsidRPr="00F82C8D">
        <w:t xml:space="preserve"> of prod</w:t>
      </w:r>
      <w:r w:rsidR="0061392F" w:rsidRPr="00F82C8D">
        <w:t>uction variables</w:t>
      </w:r>
      <w:r w:rsidR="00AB6C61" w:rsidRPr="00F82C8D">
        <w:t xml:space="preserve"> estimated for</w:t>
      </w:r>
      <w:r w:rsidR="0061392F" w:rsidRPr="00F82C8D">
        <w:t xml:space="preserve"> that year</w:t>
      </w:r>
      <w:r w:rsidRPr="00F82C8D">
        <w:t>:</w:t>
      </w:r>
      <w:bookmarkEnd w:id="99"/>
    </w:p>
    <w:p w:rsidR="006C17D8" w:rsidRPr="00F82C8D" w:rsidRDefault="006C17D8" w:rsidP="002E625A">
      <w:pPr>
        <w:pStyle w:val="ListBullet"/>
      </w:pPr>
      <w:r w:rsidRPr="00F82C8D">
        <w:t xml:space="preserve">If the application is received by the Regulator before the first 31 July after the proposed commencement of the calculated-emissions baseline determination—the year is the </w:t>
      </w:r>
      <w:r w:rsidR="004304A4" w:rsidRPr="00F82C8D">
        <w:t xml:space="preserve">financial </w:t>
      </w:r>
      <w:r w:rsidRPr="00F82C8D">
        <w:t>year with the highest expected production of the primary production variable over the three period to be covered by the determination</w:t>
      </w:r>
      <w:r w:rsidR="0061392F" w:rsidRPr="00F82C8D">
        <w:t xml:space="preserve"> (or five year</w:t>
      </w:r>
      <w:r w:rsidR="00E11FB8" w:rsidRPr="00F82C8D">
        <w:t>s</w:t>
      </w:r>
      <w:r w:rsidR="0061392F" w:rsidRPr="00F82C8D">
        <w:t xml:space="preserve"> </w:t>
      </w:r>
      <w:r w:rsidR="00AB6C61" w:rsidRPr="00F82C8D">
        <w:t>if it is a large new facility</w:t>
      </w:r>
      <w:r w:rsidR="0061392F" w:rsidRPr="00F82C8D">
        <w:t>)</w:t>
      </w:r>
      <w:r w:rsidRPr="00F82C8D">
        <w:t xml:space="preserve">. </w:t>
      </w:r>
      <w:r w:rsidRPr="00F82C8D">
        <w:rPr>
          <w:rStyle w:val="Emphasis"/>
        </w:rPr>
        <w:t>[subparagraph 27(1)(c)(i)]</w:t>
      </w:r>
    </w:p>
    <w:p w:rsidR="00DB293E" w:rsidRPr="00F82C8D" w:rsidRDefault="006C17D8">
      <w:pPr>
        <w:pStyle w:val="ListBullet"/>
      </w:pPr>
      <w:r w:rsidRPr="00F82C8D">
        <w:t xml:space="preserve">If the application is received by the Regulator before the second 31 July after the proposed commencement of the calculated-emissions baseline determination—the year is the </w:t>
      </w:r>
      <w:r w:rsidR="004304A4" w:rsidRPr="00F82C8D">
        <w:t xml:space="preserve">financial </w:t>
      </w:r>
      <w:r w:rsidRPr="00F82C8D">
        <w:t>year with the highest expected production of the primary production variable of the last two years to be covered by the determination</w:t>
      </w:r>
      <w:r w:rsidR="004304A4" w:rsidRPr="00F82C8D">
        <w:t xml:space="preserve"> (or </w:t>
      </w:r>
      <w:r w:rsidR="00AB6C61" w:rsidRPr="00F82C8D">
        <w:t xml:space="preserve">last </w:t>
      </w:r>
      <w:r w:rsidR="00876987" w:rsidRPr="00F82C8D">
        <w:t>four</w:t>
      </w:r>
      <w:r w:rsidR="004304A4" w:rsidRPr="00F82C8D">
        <w:t xml:space="preserve"> years if it is a large new facility)</w:t>
      </w:r>
      <w:r w:rsidRPr="00F82C8D">
        <w:t xml:space="preserve">. </w:t>
      </w:r>
      <w:r w:rsidRPr="00F82C8D">
        <w:rPr>
          <w:rStyle w:val="Emphasis"/>
        </w:rPr>
        <w:t>[subparagraph 27(1)(c)(ii)]</w:t>
      </w:r>
    </w:p>
    <w:p w:rsidR="00DB293E" w:rsidRPr="00F82C8D" w:rsidRDefault="006C17D8">
      <w:pPr>
        <w:pStyle w:val="ListBullet"/>
      </w:pPr>
      <w:r w:rsidRPr="00F82C8D">
        <w:t xml:space="preserve">If the application is received by the Regulator after the second 31 July after the proposed commencement of the calculated-emissions baseline determination—the last </w:t>
      </w:r>
      <w:r w:rsidR="004304A4" w:rsidRPr="00F82C8D">
        <w:t>financial</w:t>
      </w:r>
      <w:r w:rsidRPr="00F82C8D">
        <w:t xml:space="preserve"> year of the three year period to be covered by the determination</w:t>
      </w:r>
      <w:r w:rsidR="004304A4" w:rsidRPr="00F82C8D">
        <w:t xml:space="preserve"> (or last three years if it is a large new facility)</w:t>
      </w:r>
      <w:r w:rsidRPr="00F82C8D">
        <w:t xml:space="preserve">. </w:t>
      </w:r>
      <w:r w:rsidRPr="00F82C8D">
        <w:rPr>
          <w:rStyle w:val="Emphasis"/>
        </w:rPr>
        <w:t>[subparagraph 27(1)(c)(iii)]</w:t>
      </w:r>
    </w:p>
    <w:p w:rsidR="00AB6C61" w:rsidRPr="00F82C8D" w:rsidRDefault="00AB6C61" w:rsidP="00AB6C61">
      <w:pPr>
        <w:pStyle w:val="ListParagraph"/>
      </w:pPr>
      <w:r w:rsidRPr="00F82C8D">
        <w:t xml:space="preserve">Requiring that the year for setting the baseline is in the future of submitting the applications means that the quantity and </w:t>
      </w:r>
      <w:r w:rsidR="00E16219" w:rsidRPr="00F82C8D">
        <w:t xml:space="preserve">emissions </w:t>
      </w:r>
      <w:r w:rsidRPr="00F82C8D">
        <w:t xml:space="preserve">intensity of production variables must be estimated (not sourced from historical records). The purpose of this provision is to prevent the risk that emissions and emission-intensity are deliberately increased in a year and that year then selected as the year to set the baseline. If it were possible to include historical data in the calculation, then a facility could increase its emissions intensity in a year, then apply for a calculated-emissions baseline covering that year, knowing that under the </w:t>
      </w:r>
      <w:r w:rsidR="00D360AB" w:rsidRPr="00F82C8D">
        <w:t>safeguard rule</w:t>
      </w:r>
      <w:r w:rsidRPr="00F82C8D">
        <w:t xml:space="preserve"> the baseline could not be lower than the emissions from that year.</w:t>
      </w:r>
    </w:p>
    <w:p w:rsidR="006C17D8" w:rsidRPr="00F82C8D" w:rsidRDefault="006C17D8" w:rsidP="00625D31">
      <w:pPr>
        <w:pStyle w:val="ListParagraph"/>
      </w:pPr>
      <w:r w:rsidRPr="00F82C8D">
        <w:t>A facility’s production variables are identified in accordance with section 5</w:t>
      </w:r>
      <w:r w:rsidR="00AB6C61" w:rsidRPr="00F82C8D">
        <w:t xml:space="preserve"> of the </w:t>
      </w:r>
      <w:r w:rsidR="00D360AB" w:rsidRPr="00F82C8D">
        <w:t>safeguard rule</w:t>
      </w:r>
      <w:r w:rsidRPr="00F82C8D">
        <w:t>.</w:t>
      </w:r>
      <w:r w:rsidR="00AB6C61" w:rsidRPr="00F82C8D">
        <w:t xml:space="preserve"> The quantity of the production variable must be estimated on the basis that the variable will be measured at a time that is as close as possible to when the variable enters, or leaves, the production or processing process or landfill facility. This requirement does not apply to production variables that are service units. </w:t>
      </w:r>
      <w:r w:rsidR="00AB6C61" w:rsidRPr="00F82C8D">
        <w:rPr>
          <w:rStyle w:val="Emphasis"/>
        </w:rPr>
        <w:t>[subsection 27(3)]</w:t>
      </w:r>
    </w:p>
    <w:p w:rsidR="006C17D8" w:rsidRPr="00F82C8D" w:rsidRDefault="006C17D8" w:rsidP="00625D31">
      <w:pPr>
        <w:pStyle w:val="ListParagraph"/>
      </w:pPr>
      <w:r w:rsidRPr="00F82C8D">
        <w:t xml:space="preserve">A facility’s primary production variable is the production variable that is most significant for the operation of the facility having primary regard to the share of revenue </w:t>
      </w:r>
      <w:r w:rsidR="00EA257F" w:rsidRPr="00F82C8D">
        <w:t xml:space="preserve">and covered emissions </w:t>
      </w:r>
      <w:r w:rsidRPr="00F82C8D">
        <w:t xml:space="preserve">attributable to that production variable. If a facility has only one production variable, that production variable is the facility’s primary production variable (see </w:t>
      </w:r>
      <w:r w:rsidR="00AB6C61" w:rsidRPr="00F82C8D">
        <w:t xml:space="preserve">the </w:t>
      </w:r>
      <w:r w:rsidRPr="00F82C8D">
        <w:t>definition of primary production variable in section 4</w:t>
      </w:r>
      <w:r w:rsidR="00AB6C61" w:rsidRPr="00F82C8D">
        <w:t xml:space="preserve"> of the </w:t>
      </w:r>
      <w:r w:rsidR="00D360AB" w:rsidRPr="00F82C8D">
        <w:t>safeguard rule</w:t>
      </w:r>
      <w:r w:rsidRPr="00F82C8D">
        <w:t>).</w:t>
      </w:r>
    </w:p>
    <w:p w:rsidR="006C17D8" w:rsidRPr="00F82C8D" w:rsidRDefault="006C17D8" w:rsidP="00625D31">
      <w:pPr>
        <w:pStyle w:val="ListParagraph"/>
      </w:pPr>
      <w:r w:rsidRPr="00F82C8D">
        <w:t xml:space="preserve">The application must set out the </w:t>
      </w:r>
      <w:r w:rsidR="00BB7C53" w:rsidRPr="00F82C8D">
        <w:t>emissions intens</w:t>
      </w:r>
      <w:r w:rsidRPr="00F82C8D">
        <w:t xml:space="preserve">ity for each production variable at the facility in the </w:t>
      </w:r>
      <w:bookmarkStart w:id="100" w:name="OLE_LINK2"/>
      <w:r w:rsidRPr="00F82C8D">
        <w:t>year select</w:t>
      </w:r>
      <w:r w:rsidR="009D646B" w:rsidRPr="00F82C8D">
        <w:t>ed in accordance with paragraph </w:t>
      </w:r>
      <w:r w:rsidRPr="00F82C8D">
        <w:t xml:space="preserve">27(1)(c). </w:t>
      </w:r>
      <w:bookmarkEnd w:id="100"/>
      <w:r w:rsidRPr="00F82C8D">
        <w:rPr>
          <w:rStyle w:val="Emphasis"/>
        </w:rPr>
        <w:t>[paragraph 27(1)(d)]</w:t>
      </w:r>
      <w:r w:rsidR="00AB6C61" w:rsidRPr="00F82C8D">
        <w:t xml:space="preserve"> The emissions-</w:t>
      </w:r>
      <w:r w:rsidRPr="00F82C8D">
        <w:t xml:space="preserve">intensity </w:t>
      </w:r>
      <w:r w:rsidR="00AB6C61" w:rsidRPr="00F82C8D">
        <w:t xml:space="preserve">calculation </w:t>
      </w:r>
      <w:r w:rsidRPr="00F82C8D">
        <w:t>criteria are set out in section 6.</w:t>
      </w:r>
    </w:p>
    <w:p w:rsidR="006C17D8" w:rsidRPr="00F82C8D" w:rsidRDefault="006C17D8" w:rsidP="00625D31">
      <w:pPr>
        <w:pStyle w:val="ListParagraph"/>
      </w:pPr>
      <w:r w:rsidRPr="00F82C8D">
        <w:t xml:space="preserve">The application must set out the expected covered emissions from the facility by multiplying—for each production variable—the amount each of the facility’s production variables in the year selected in accordance with paragraph 27(1)(c) by the emissions intensity of that production variable and summing the results. </w:t>
      </w:r>
      <w:r w:rsidRPr="00F82C8D">
        <w:rPr>
          <w:rStyle w:val="Emphasis"/>
        </w:rPr>
        <w:t>[paragraph 27(1)(e)]</w:t>
      </w:r>
    </w:p>
    <w:p w:rsidR="006C17D8" w:rsidRPr="00F82C8D" w:rsidRDefault="006C17D8" w:rsidP="00625D31">
      <w:pPr>
        <w:pStyle w:val="ListParagraph"/>
      </w:pPr>
      <w:r w:rsidRPr="00F82C8D">
        <w:t xml:space="preserve">The application must include copies of the most recent environmental impact assessments </w:t>
      </w:r>
      <w:r w:rsidR="001B0747" w:rsidRPr="00F82C8D">
        <w:t xml:space="preserve">(if any) </w:t>
      </w:r>
      <w:r w:rsidRPr="00F82C8D">
        <w:t xml:space="preserve">relating to activities at the facility that result in significant </w:t>
      </w:r>
      <w:r w:rsidR="008C69DD" w:rsidRPr="00F82C8D">
        <w:t xml:space="preserve">covered </w:t>
      </w:r>
      <w:r w:rsidRPr="00F82C8D">
        <w:t>emissions.</w:t>
      </w:r>
      <w:r w:rsidR="000A7B10" w:rsidRPr="00F82C8D">
        <w:t xml:space="preserve"> </w:t>
      </w:r>
      <w:r w:rsidRPr="00F82C8D">
        <w:rPr>
          <w:rStyle w:val="Emphasis"/>
        </w:rPr>
        <w:t>[paragraph 27(1)(f)]</w:t>
      </w:r>
    </w:p>
    <w:p w:rsidR="006C17D8" w:rsidRPr="00F82C8D" w:rsidRDefault="006C17D8" w:rsidP="00625D31">
      <w:pPr>
        <w:pStyle w:val="ListParagraph"/>
      </w:pPr>
      <w:r w:rsidRPr="00F82C8D">
        <w:t xml:space="preserve">The application must include any relevant earlier estimates of the information required by paragraphs 27(1)(c), (d) and (e). </w:t>
      </w:r>
      <w:r w:rsidRPr="00F82C8D">
        <w:rPr>
          <w:rStyle w:val="Emphasis"/>
        </w:rPr>
        <w:t>[paragraph 27(1)(g)]</w:t>
      </w:r>
      <w:r w:rsidRPr="00F82C8D">
        <w:t xml:space="preserve"> </w:t>
      </w:r>
      <w:r w:rsidR="007C323B" w:rsidRPr="00F82C8D">
        <w:t xml:space="preserve">What is meant by </w:t>
      </w:r>
      <w:r w:rsidR="007C323B" w:rsidRPr="00F82C8D">
        <w:rPr>
          <w:b/>
          <w:i/>
        </w:rPr>
        <w:t>relevant earlier estimate</w:t>
      </w:r>
      <w:r w:rsidR="00291EB7" w:rsidRPr="00F82C8D">
        <w:rPr>
          <w:b/>
          <w:i/>
        </w:rPr>
        <w:t>s</w:t>
      </w:r>
      <w:r w:rsidR="007C323B" w:rsidRPr="00F82C8D">
        <w:t xml:space="preserve"> is defined in section 4. Essentially, the estimates should have been made by</w:t>
      </w:r>
      <w:r w:rsidRPr="00F82C8D">
        <w:t xml:space="preserve"> the applicant</w:t>
      </w:r>
      <w:r w:rsidR="007C323B" w:rsidRPr="00F82C8D">
        <w:t xml:space="preserve"> or someone associated with the applicant, and not estimates by a third party, unendorsed by the responsible emitter.</w:t>
      </w:r>
      <w:r w:rsidR="00394E74" w:rsidRPr="00F82C8D">
        <w:t xml:space="preserve"> </w:t>
      </w:r>
    </w:p>
    <w:p w:rsidR="006C17D8" w:rsidRPr="00F82C8D" w:rsidRDefault="006C17D8" w:rsidP="00625D31">
      <w:pPr>
        <w:pStyle w:val="ListParagraph"/>
      </w:pPr>
      <w:r w:rsidRPr="00F82C8D">
        <w:t xml:space="preserve">If the expected production, emissions or emissions intensity in the application are different from </w:t>
      </w:r>
      <w:r w:rsidR="00E133C5" w:rsidRPr="00F82C8D">
        <w:t>relevant earlier estimates</w:t>
      </w:r>
      <w:r w:rsidRPr="00F82C8D">
        <w:t xml:space="preserve">, the application must explain why this is the case. </w:t>
      </w:r>
      <w:r w:rsidRPr="00F82C8D">
        <w:rPr>
          <w:rStyle w:val="Emphasis"/>
        </w:rPr>
        <w:t>[paragraph 27(1)(h)]</w:t>
      </w:r>
      <w:r w:rsidRPr="00F82C8D">
        <w:t xml:space="preserve"> </w:t>
      </w:r>
      <w:r w:rsidR="00E133C5" w:rsidRPr="00F82C8D">
        <w:t xml:space="preserve">The Regulator may only make the baseline determination if satisfied that the explanation is reasonable. </w:t>
      </w:r>
      <w:r w:rsidR="00E133C5" w:rsidRPr="00F82C8D">
        <w:rPr>
          <w:rStyle w:val="Emphasis"/>
        </w:rPr>
        <w:t>[paragraph 30(2)(d)]</w:t>
      </w:r>
    </w:p>
    <w:p w:rsidR="006C17D8" w:rsidRPr="00F82C8D" w:rsidRDefault="006C17D8" w:rsidP="00625D31">
      <w:pPr>
        <w:pStyle w:val="ListParagraph"/>
      </w:pPr>
      <w:r w:rsidRPr="00F82C8D">
        <w:t xml:space="preserve">The application must include historical emissions and production data that supports the estimates made under paragraphs 27(1)(c) and (d). </w:t>
      </w:r>
      <w:r w:rsidR="009D646B" w:rsidRPr="00F82C8D">
        <w:rPr>
          <w:rStyle w:val="Emphasis"/>
        </w:rPr>
        <w:t>[paragraph </w:t>
      </w:r>
      <w:r w:rsidRPr="00F82C8D">
        <w:rPr>
          <w:rStyle w:val="Emphasis"/>
        </w:rPr>
        <w:t xml:space="preserve">27(1)(i)] </w:t>
      </w:r>
      <w:r w:rsidRPr="00F82C8D">
        <w:t>This requirement helps the Regulator assess the estimates of emissions and emissions intensity put forward in the application.</w:t>
      </w:r>
    </w:p>
    <w:p w:rsidR="00B16281" w:rsidRPr="00F82C8D" w:rsidRDefault="006C17D8" w:rsidP="00625D31">
      <w:pPr>
        <w:pStyle w:val="ListParagraph"/>
        <w:rPr>
          <w:b/>
          <w:bCs/>
          <w:i/>
          <w:iCs w:val="0"/>
          <w:sz w:val="20"/>
        </w:rPr>
      </w:pPr>
      <w:r w:rsidRPr="00F82C8D">
        <w:t>If the application relates to a significant expansion, and the facility is not a landfill facility, the application must include evidence of</w:t>
      </w:r>
      <w:r w:rsidR="00B16281" w:rsidRPr="00F82C8D">
        <w:t>:</w:t>
      </w:r>
    </w:p>
    <w:p w:rsidR="00DB293E" w:rsidRPr="00F82C8D" w:rsidRDefault="00B16281" w:rsidP="00F23941">
      <w:pPr>
        <w:pStyle w:val="ListBullet"/>
        <w:rPr>
          <w:rStyle w:val="Emphasis"/>
        </w:rPr>
      </w:pPr>
      <w:r w:rsidRPr="00F82C8D">
        <w:t xml:space="preserve">the </w:t>
      </w:r>
      <w:r w:rsidR="006C17D8" w:rsidRPr="00F82C8D">
        <w:t xml:space="preserve">maximum productive capacity of the equipment used to produce a production variable before and after the significant expansion. </w:t>
      </w:r>
      <w:r w:rsidR="00F23941" w:rsidRPr="00F82C8D">
        <w:rPr>
          <w:rStyle w:val="Emphasis"/>
        </w:rPr>
        <w:t>[paragraph </w:t>
      </w:r>
      <w:r w:rsidR="006C17D8" w:rsidRPr="00F82C8D">
        <w:rPr>
          <w:rStyle w:val="Emphasis"/>
        </w:rPr>
        <w:t>27(2)(a)]</w:t>
      </w:r>
    </w:p>
    <w:p w:rsidR="00B16281" w:rsidRPr="00F82C8D" w:rsidRDefault="00B16281" w:rsidP="00F23941">
      <w:pPr>
        <w:pStyle w:val="ListBullet"/>
        <w:rPr>
          <w:rStyle w:val="Emphasis"/>
        </w:rPr>
      </w:pPr>
      <w:r w:rsidRPr="00F82C8D">
        <w:t>that the new production variable was not produced before the relevant expansion period and is not a replacement production variable.</w:t>
      </w:r>
      <w:r w:rsidRPr="00F82C8D">
        <w:rPr>
          <w:color w:val="0000FF"/>
        </w:rPr>
        <w:t xml:space="preserve"> </w:t>
      </w:r>
      <w:r w:rsidR="00F23941" w:rsidRPr="00F82C8D">
        <w:rPr>
          <w:rStyle w:val="Emphasis"/>
        </w:rPr>
        <w:t>[paragraph </w:t>
      </w:r>
      <w:r w:rsidRPr="00F82C8D">
        <w:rPr>
          <w:rStyle w:val="Emphasis"/>
        </w:rPr>
        <w:t>27(2)(b)]</w:t>
      </w:r>
    </w:p>
    <w:p w:rsidR="006C17D8" w:rsidRPr="00F82C8D" w:rsidRDefault="006C17D8" w:rsidP="00625D31">
      <w:pPr>
        <w:pStyle w:val="ListParagraph"/>
      </w:pPr>
      <w:r w:rsidRPr="00F82C8D">
        <w:t xml:space="preserve">If the application relates to a significant expansion and the facility is a landfill facility, the application must include evidence of the landfill’s licensed capacity before and after the significant expansion. </w:t>
      </w:r>
      <w:r w:rsidR="00B16281" w:rsidRPr="00F82C8D">
        <w:rPr>
          <w:rStyle w:val="Emphasis"/>
        </w:rPr>
        <w:t>[paragraph 27(2)(c</w:t>
      </w:r>
      <w:r w:rsidRPr="00F82C8D">
        <w:rPr>
          <w:rStyle w:val="Emphasis"/>
        </w:rPr>
        <w:t>)]</w:t>
      </w:r>
    </w:p>
    <w:p w:rsidR="006C17D8" w:rsidRPr="00F82C8D" w:rsidRDefault="006D4912" w:rsidP="006C17D8">
      <w:pPr>
        <w:pStyle w:val="Heading3"/>
        <w:rPr>
          <w:iCs/>
        </w:rPr>
      </w:pPr>
      <w:r w:rsidRPr="00F82C8D">
        <w:t xml:space="preserve">Section 28: </w:t>
      </w:r>
      <w:r w:rsidR="006C17D8" w:rsidRPr="00F82C8D">
        <w:t>Audit reports</w:t>
      </w:r>
    </w:p>
    <w:p w:rsidR="006C17D8" w:rsidRPr="00F82C8D" w:rsidRDefault="006C17D8" w:rsidP="00625D31">
      <w:pPr>
        <w:pStyle w:val="ListParagraph"/>
      </w:pPr>
      <w:r w:rsidRPr="00F82C8D">
        <w:t xml:space="preserve">Each application for a calculated-emissions baseline determination must be accompanied by an audit report. </w:t>
      </w:r>
      <w:r w:rsidRPr="00F82C8D">
        <w:rPr>
          <w:rStyle w:val="Emphasis"/>
        </w:rPr>
        <w:t>[subsection 28(1)]</w:t>
      </w:r>
      <w:r w:rsidRPr="00F82C8D">
        <w:t xml:space="preserve"> This requirement is intended to provide confidence about the data, estimates and projections put forward in applications.</w:t>
      </w:r>
    </w:p>
    <w:p w:rsidR="006C17D8" w:rsidRPr="00F82C8D" w:rsidRDefault="006C17D8" w:rsidP="00625D31">
      <w:pPr>
        <w:pStyle w:val="ListParagraph"/>
      </w:pPr>
      <w:r w:rsidRPr="00F82C8D">
        <w:t xml:space="preserve">The audits must be undertaken by </w:t>
      </w:r>
      <w:r w:rsidR="00942D59" w:rsidRPr="00F82C8D">
        <w:t>national greenhouse and e</w:t>
      </w:r>
      <w:r w:rsidR="00F02C24" w:rsidRPr="00F82C8D">
        <w:t>nergy</w:t>
      </w:r>
      <w:r w:rsidRPr="00F82C8D">
        <w:t xml:space="preserve"> auditors,</w:t>
      </w:r>
      <w:r w:rsidR="00422166" w:rsidRPr="00F82C8D">
        <w:t xml:space="preserve"> meaning they are registered under the NGER Regulations, </w:t>
      </w:r>
      <w:r w:rsidRPr="00F82C8D">
        <w:t>who have the experience and expertise to undertake audits in relation to greenhouse gas emissions. The team leader of the audit must be registered as a Category 2 auditor</w:t>
      </w:r>
      <w:r w:rsidR="00422166" w:rsidRPr="00F82C8D">
        <w:t xml:space="preserve">. </w:t>
      </w:r>
      <w:r w:rsidRPr="00F82C8D">
        <w:rPr>
          <w:rStyle w:val="Emphasis"/>
        </w:rPr>
        <w:t xml:space="preserve">[paragraph 28(5)(b)] </w:t>
      </w:r>
      <w:r w:rsidRPr="00F82C8D">
        <w:t xml:space="preserve">A Category 2 auditor has experience leading greenhouse audits. In addition, the audits must be conducted in accordance with the relevant requirements for limited and reasonable assurance engagements under the </w:t>
      </w:r>
      <w:r w:rsidRPr="00F82C8D">
        <w:rPr>
          <w:i/>
        </w:rPr>
        <w:t>National Greenhouse and Energy Reporting (Audit) Determination 2009</w:t>
      </w:r>
      <w:r w:rsidRPr="00F82C8D">
        <w:t xml:space="preserve"> </w:t>
      </w:r>
      <w:r w:rsidRPr="00F82C8D">
        <w:rPr>
          <w:rStyle w:val="Emphasis"/>
        </w:rPr>
        <w:t>[paragraph 28(5)(a)]</w:t>
      </w:r>
      <w:r w:rsidRPr="00F82C8D">
        <w:t xml:space="preserve"> and with the requirements of subsection 7</w:t>
      </w:r>
      <w:r w:rsidR="00EF0775" w:rsidRPr="00F82C8D">
        <w:t>4</w:t>
      </w:r>
      <w:r w:rsidRPr="00F82C8D">
        <w:t xml:space="preserve">(1) of the Act, which provides that the Minister may determine requirements to be met by </w:t>
      </w:r>
      <w:r w:rsidR="00942D59" w:rsidRPr="00F82C8D">
        <w:t>national greenhouse and e</w:t>
      </w:r>
      <w:r w:rsidR="00F02C24" w:rsidRPr="00F82C8D">
        <w:t>nergy</w:t>
      </w:r>
      <w:r w:rsidRPr="00F82C8D">
        <w:t xml:space="preserve"> auditors. </w:t>
      </w:r>
      <w:r w:rsidR="009D646B" w:rsidRPr="00F82C8D">
        <w:rPr>
          <w:rStyle w:val="Emphasis"/>
        </w:rPr>
        <w:t>[paragraph </w:t>
      </w:r>
      <w:r w:rsidRPr="00F82C8D">
        <w:rPr>
          <w:rStyle w:val="Emphasis"/>
        </w:rPr>
        <w:t>28(5)(c)]</w:t>
      </w:r>
    </w:p>
    <w:p w:rsidR="006C17D8" w:rsidRPr="00F82C8D" w:rsidRDefault="006C17D8" w:rsidP="006C17D8">
      <w:pPr>
        <w:pStyle w:val="Heading4"/>
      </w:pPr>
      <w:r w:rsidRPr="00F82C8D">
        <w:t>Reasonable assurance matters</w:t>
      </w:r>
    </w:p>
    <w:p w:rsidR="006C17D8" w:rsidRPr="00F82C8D" w:rsidRDefault="006C17D8" w:rsidP="00625D31">
      <w:pPr>
        <w:pStyle w:val="ListParagraph"/>
      </w:pPr>
      <w:r w:rsidRPr="00F82C8D">
        <w:t>In relation to the matters listed in paragraphs 28(2)(a) and (b), the audit report must make one of the following conclusions:</w:t>
      </w:r>
    </w:p>
    <w:p w:rsidR="00DB293E" w:rsidRPr="00F82C8D" w:rsidRDefault="006C17D8">
      <w:pPr>
        <w:pStyle w:val="ListBullet"/>
      </w:pPr>
      <w:r w:rsidRPr="00F82C8D">
        <w:t>a reasonable assurance conclusion</w:t>
      </w:r>
    </w:p>
    <w:p w:rsidR="00DB293E" w:rsidRPr="00F82C8D" w:rsidRDefault="006C17D8">
      <w:pPr>
        <w:pStyle w:val="ListBullet"/>
      </w:pPr>
      <w:r w:rsidRPr="00F82C8D">
        <w:t>a qualified reasonable assurance conclusion</w:t>
      </w:r>
    </w:p>
    <w:p w:rsidR="00DB293E" w:rsidRPr="00F82C8D" w:rsidRDefault="006C17D8">
      <w:pPr>
        <w:pStyle w:val="ListBullet"/>
      </w:pPr>
      <w:r w:rsidRPr="00F82C8D">
        <w:t>an adverse conclusion</w:t>
      </w:r>
    </w:p>
    <w:p w:rsidR="00DB293E" w:rsidRPr="00F82C8D" w:rsidRDefault="006C17D8">
      <w:pPr>
        <w:pStyle w:val="ListBullet"/>
      </w:pPr>
      <w:r w:rsidRPr="00F82C8D">
        <w:t xml:space="preserve">a conclusion that the assurance provider is unable to form an opinion about the matter being audited. </w:t>
      </w:r>
      <w:r w:rsidRPr="00F82C8D">
        <w:rPr>
          <w:rStyle w:val="Emphasis"/>
        </w:rPr>
        <w:t>[subsection 28(3)]</w:t>
      </w:r>
    </w:p>
    <w:p w:rsidR="00394E74" w:rsidRPr="00F82C8D" w:rsidRDefault="00394E74" w:rsidP="00394E74">
      <w:pPr>
        <w:pStyle w:val="ListParagraph"/>
      </w:pPr>
      <w:r w:rsidRPr="00F82C8D">
        <w:t xml:space="preserve">The audit report must make a conclusion as to whether the new facility criteria, significant expansion criteria, inherent emissions variability criteria or initial calculated baseline criteria relied on by the applicant have been met in all material respects. </w:t>
      </w:r>
      <w:r w:rsidRPr="00F82C8D">
        <w:rPr>
          <w:rStyle w:val="Emphasis"/>
        </w:rPr>
        <w:t>[paragraph 28(2)(a)]</w:t>
      </w:r>
      <w:r w:rsidRPr="00F82C8D">
        <w:t xml:space="preserve"> The applicant is required to substantiate how the criteria have been met, so it is assumed that the auditor will have access to the applicant’s explanation. </w:t>
      </w:r>
    </w:p>
    <w:p w:rsidR="006C17D8" w:rsidRPr="00F82C8D" w:rsidRDefault="006C17D8" w:rsidP="00625D31">
      <w:pPr>
        <w:pStyle w:val="ListParagraph"/>
      </w:pPr>
      <w:r w:rsidRPr="00F82C8D">
        <w:t xml:space="preserve">The audit report must contain a conclusion as to whether the application has met the application requirements. </w:t>
      </w:r>
      <w:r w:rsidRPr="00F82C8D">
        <w:rPr>
          <w:rStyle w:val="Emphasis"/>
        </w:rPr>
        <w:t>[subparagraph 28(2)(b)(i)]</w:t>
      </w:r>
    </w:p>
    <w:p w:rsidR="006C17D8" w:rsidRPr="00F82C8D" w:rsidRDefault="006C17D8" w:rsidP="00625D31">
      <w:pPr>
        <w:pStyle w:val="ListParagraph"/>
      </w:pPr>
      <w:r w:rsidRPr="00F82C8D">
        <w:t xml:space="preserve">The audit report must contain a conclusion as to whether the application has been presented fairly. </w:t>
      </w:r>
      <w:r w:rsidRPr="00F82C8D">
        <w:rPr>
          <w:rStyle w:val="Emphasis"/>
        </w:rPr>
        <w:t xml:space="preserve">[subparagraph 28(2)(b)(ii)] </w:t>
      </w:r>
      <w:r w:rsidRPr="00F82C8D">
        <w:t xml:space="preserve">A fairly presented application is, among other things, comprehensive, does not withhold important information and presents data in a consistent and transparent manner. </w:t>
      </w:r>
    </w:p>
    <w:p w:rsidR="006C17D8" w:rsidRPr="00F82C8D" w:rsidRDefault="006C17D8" w:rsidP="006C17D8">
      <w:pPr>
        <w:pStyle w:val="Heading4"/>
      </w:pPr>
      <w:r w:rsidRPr="00F82C8D">
        <w:t>Limited assurance matters</w:t>
      </w:r>
    </w:p>
    <w:p w:rsidR="006C17D8" w:rsidRPr="00F82C8D" w:rsidRDefault="006C17D8" w:rsidP="00625D31">
      <w:pPr>
        <w:pStyle w:val="ListParagraph"/>
      </w:pPr>
      <w:r w:rsidRPr="00F82C8D">
        <w:t>In relation to the</w:t>
      </w:r>
      <w:r w:rsidR="00422166" w:rsidRPr="00F82C8D">
        <w:t xml:space="preserve"> estimates of quantities and emissions intensities of production variables, the </w:t>
      </w:r>
      <w:r w:rsidRPr="00F82C8D">
        <w:t>audit report must make one of the following conclusions:</w:t>
      </w:r>
    </w:p>
    <w:p w:rsidR="006C17D8" w:rsidRPr="00F82C8D" w:rsidRDefault="006C17D8" w:rsidP="002E625A">
      <w:pPr>
        <w:pStyle w:val="ListBullet"/>
      </w:pPr>
      <w:r w:rsidRPr="00F82C8D">
        <w:t>a limited assurance conclusion</w:t>
      </w:r>
    </w:p>
    <w:p w:rsidR="00DB293E" w:rsidRPr="00F82C8D" w:rsidRDefault="006C17D8">
      <w:pPr>
        <w:pStyle w:val="ListBullet"/>
      </w:pPr>
      <w:r w:rsidRPr="00F82C8D">
        <w:t xml:space="preserve">a </w:t>
      </w:r>
      <w:r w:rsidR="00644B15" w:rsidRPr="00F82C8D">
        <w:t xml:space="preserve">qualified </w:t>
      </w:r>
      <w:r w:rsidRPr="00F82C8D">
        <w:t>limited assurance conclusion</w:t>
      </w:r>
    </w:p>
    <w:p w:rsidR="00DB293E" w:rsidRPr="00F82C8D" w:rsidRDefault="006C17D8">
      <w:pPr>
        <w:pStyle w:val="ListBullet"/>
      </w:pPr>
      <w:r w:rsidRPr="00F82C8D">
        <w:t>an adverse conclusion</w:t>
      </w:r>
    </w:p>
    <w:p w:rsidR="00DB293E" w:rsidRPr="00F82C8D" w:rsidRDefault="006C17D8">
      <w:pPr>
        <w:pStyle w:val="ListBullet"/>
      </w:pPr>
      <w:r w:rsidRPr="00F82C8D">
        <w:t xml:space="preserve">a conclusion that the assurance provider is unable to form an opinion about the matter being audited. </w:t>
      </w:r>
      <w:r w:rsidRPr="00F82C8D">
        <w:rPr>
          <w:rStyle w:val="Emphasis"/>
        </w:rPr>
        <w:t>[subsection 28(4)]</w:t>
      </w:r>
    </w:p>
    <w:p w:rsidR="006C17D8" w:rsidRPr="00F82C8D" w:rsidRDefault="006C17D8" w:rsidP="00625D31">
      <w:pPr>
        <w:pStyle w:val="ListParagraph"/>
      </w:pPr>
      <w:r w:rsidRPr="00F82C8D">
        <w:t>In relation to the</w:t>
      </w:r>
      <w:r w:rsidR="00422166" w:rsidRPr="00F82C8D">
        <w:t>se limited assurance matters</w:t>
      </w:r>
      <w:r w:rsidRPr="00F82C8D">
        <w:t>, only a limited assurance conclusion can be made because the matters involve estimates and projections.</w:t>
      </w:r>
    </w:p>
    <w:p w:rsidR="006C17D8" w:rsidRPr="00F82C8D" w:rsidRDefault="006C17D8" w:rsidP="00625D31">
      <w:pPr>
        <w:pStyle w:val="ListParagraph"/>
      </w:pPr>
      <w:r w:rsidRPr="00F82C8D">
        <w:t>There are no restrictions around the matters the audit report must address. However, the report must have regard to whether the applicant’s assumptions provide a reasonable basis for the estimates,</w:t>
      </w:r>
      <w:r w:rsidR="00F327E1" w:rsidRPr="00F82C8D">
        <w:t xml:space="preserve"> whether </w:t>
      </w:r>
      <w:r w:rsidR="00AB6C61" w:rsidRPr="00F82C8D">
        <w:t>the estimates</w:t>
      </w:r>
      <w:r w:rsidR="00F327E1" w:rsidRPr="00F82C8D">
        <w:t xml:space="preserve"> are reasonable</w:t>
      </w:r>
      <w:r w:rsidRPr="00F82C8D">
        <w:t xml:space="preserve"> and whether the estimates are supported by any relevant historical data</w:t>
      </w:r>
      <w:r w:rsidR="00394E74" w:rsidRPr="00F82C8D">
        <w:t xml:space="preserve"> that is fairly stated</w:t>
      </w:r>
      <w:r w:rsidRPr="00F82C8D">
        <w:t xml:space="preserve">. </w:t>
      </w:r>
      <w:r w:rsidRPr="00F82C8D">
        <w:rPr>
          <w:rStyle w:val="Emphasis"/>
        </w:rPr>
        <w:t>[paragraph 28(2)(c)]</w:t>
      </w:r>
    </w:p>
    <w:p w:rsidR="006C17D8" w:rsidRPr="00F82C8D" w:rsidRDefault="006D4912" w:rsidP="006C17D8">
      <w:pPr>
        <w:pStyle w:val="Heading3"/>
      </w:pPr>
      <w:r w:rsidRPr="00F82C8D">
        <w:t xml:space="preserve">Section 29: </w:t>
      </w:r>
      <w:r w:rsidR="006C17D8" w:rsidRPr="00F82C8D">
        <w:t>Further information</w:t>
      </w:r>
    </w:p>
    <w:p w:rsidR="006C17D8" w:rsidRPr="00F82C8D" w:rsidRDefault="006C17D8" w:rsidP="00625D31">
      <w:pPr>
        <w:pStyle w:val="ListParagraph"/>
      </w:pPr>
      <w:r w:rsidRPr="00F82C8D">
        <w:t>The Regulator may require the applicant to provide further information in connection with the application.</w:t>
      </w:r>
      <w:r w:rsidRPr="00F82C8D">
        <w:rPr>
          <w:rStyle w:val="Emphasis"/>
        </w:rPr>
        <w:t xml:space="preserve"> [subsection 29(1)]</w:t>
      </w:r>
      <w:r w:rsidRPr="00F82C8D">
        <w:t xml:space="preserve"> For example, the Regulator may require an applicant to provide further information to support estimates of production in the period to be covered by the calculated-emissions baseline determination.</w:t>
      </w:r>
    </w:p>
    <w:p w:rsidR="006C17D8" w:rsidRPr="00F82C8D" w:rsidRDefault="006C17D8" w:rsidP="00625D31">
      <w:pPr>
        <w:pStyle w:val="ListParagraph"/>
      </w:pPr>
      <w:r w:rsidRPr="00F82C8D">
        <w:t xml:space="preserve">If the applicant does not comply with the Regulator’s request for further information, the Regulator may refuse to consider the application or refuse to take any further action in relation to the application. </w:t>
      </w:r>
      <w:r w:rsidRPr="00F82C8D">
        <w:rPr>
          <w:rStyle w:val="Emphasis"/>
        </w:rPr>
        <w:t>[subsection 29(2)]</w:t>
      </w:r>
    </w:p>
    <w:p w:rsidR="006C17D8" w:rsidRPr="00F82C8D" w:rsidRDefault="006D4912" w:rsidP="006C17D8">
      <w:pPr>
        <w:pStyle w:val="Heading3"/>
      </w:pPr>
      <w:r w:rsidRPr="00F82C8D">
        <w:t xml:space="preserve">Section 30: </w:t>
      </w:r>
      <w:r w:rsidR="00F327E1" w:rsidRPr="00F82C8D">
        <w:t xml:space="preserve">Making of </w:t>
      </w:r>
      <w:r w:rsidR="006C17D8" w:rsidRPr="00F82C8D">
        <w:t xml:space="preserve">calculated-emissions baseline determination </w:t>
      </w:r>
    </w:p>
    <w:p w:rsidR="00CA6CA5" w:rsidRPr="00F82C8D" w:rsidRDefault="006C17D8" w:rsidP="00625D31">
      <w:pPr>
        <w:pStyle w:val="ListParagraph"/>
      </w:pPr>
      <w:r w:rsidRPr="00F82C8D">
        <w:t xml:space="preserve">The Regulator makes </w:t>
      </w:r>
      <w:r w:rsidR="006D4912" w:rsidRPr="00F82C8D">
        <w:t>or refuses to make</w:t>
      </w:r>
      <w:r w:rsidRPr="00F82C8D">
        <w:t xml:space="preserve"> calculated-emissions baseline determinations </w:t>
      </w:r>
      <w:r w:rsidR="006D4912" w:rsidRPr="00F82C8D">
        <w:t>based upon its assessment of the application, audit report and other relevant material</w:t>
      </w:r>
      <w:r w:rsidRPr="00F82C8D">
        <w:t xml:space="preserve">. </w:t>
      </w:r>
      <w:r w:rsidRPr="00F82C8D">
        <w:rPr>
          <w:rStyle w:val="Emphasis"/>
        </w:rPr>
        <w:t>[subsection 30(2)]</w:t>
      </w:r>
      <w:r w:rsidRPr="00F82C8D">
        <w:t xml:space="preserve"> </w:t>
      </w:r>
      <w:r w:rsidR="006D4912" w:rsidRPr="00F82C8D">
        <w:t>In this process it is not intended that the</w:t>
      </w:r>
      <w:r w:rsidR="000A7B10" w:rsidRPr="00F82C8D">
        <w:t xml:space="preserve"> </w:t>
      </w:r>
      <w:r w:rsidRPr="00F82C8D">
        <w:t xml:space="preserve">Regulator </w:t>
      </w:r>
      <w:r w:rsidR="006D4912" w:rsidRPr="00F82C8D">
        <w:t xml:space="preserve">will </w:t>
      </w:r>
      <w:r w:rsidRPr="00F82C8D">
        <w:t>adjust the baseline emissions number put forward in the application</w:t>
      </w:r>
      <w:r w:rsidR="006D4912" w:rsidRPr="00F82C8D">
        <w:t xml:space="preserve">, but </w:t>
      </w:r>
      <w:r w:rsidR="00825373" w:rsidRPr="00F82C8D">
        <w:t>may</w:t>
      </w:r>
      <w:r w:rsidR="006D4912" w:rsidRPr="00F82C8D">
        <w:t xml:space="preserve"> essentially accept or reject the </w:t>
      </w:r>
      <w:r w:rsidR="00F327E1" w:rsidRPr="00F82C8D">
        <w:t>information in the application</w:t>
      </w:r>
      <w:r w:rsidR="006D4912" w:rsidRPr="00F82C8D">
        <w:t xml:space="preserve"> </w:t>
      </w:r>
      <w:r w:rsidR="00CA6CA5" w:rsidRPr="00F82C8D">
        <w:t xml:space="preserve">and baseline emissions number </w:t>
      </w:r>
      <w:r w:rsidR="006D4912" w:rsidRPr="00F82C8D">
        <w:t>put forward by the responsible emitter</w:t>
      </w:r>
      <w:r w:rsidRPr="00F82C8D">
        <w:t xml:space="preserve">. </w:t>
      </w:r>
      <w:r w:rsidR="00F327E1" w:rsidRPr="00F82C8D">
        <w:t>If rejected, the</w:t>
      </w:r>
      <w:r w:rsidR="00CA6CA5" w:rsidRPr="00F82C8D">
        <w:t xml:space="preserve"> responsible emitter would then have the opportunity to resubmit a new application to address any issues identified by the Regulator (providing application timelines are met).</w:t>
      </w:r>
    </w:p>
    <w:p w:rsidR="006C17D8" w:rsidRPr="00F82C8D" w:rsidRDefault="006C17D8" w:rsidP="00625D31">
      <w:pPr>
        <w:pStyle w:val="ListParagraph"/>
        <w:rPr>
          <w:rStyle w:val="Emphasis"/>
          <w:b w:val="0"/>
          <w:bCs w:val="0"/>
          <w:i w:val="0"/>
          <w:iCs/>
          <w:sz w:val="24"/>
        </w:rPr>
      </w:pPr>
      <w:r w:rsidRPr="00F82C8D">
        <w:t xml:space="preserve">The baseline emissions number is the number calculated </w:t>
      </w:r>
      <w:r w:rsidR="00F327E1" w:rsidRPr="00F82C8D">
        <w:t xml:space="preserve">in the application </w:t>
      </w:r>
      <w:r w:rsidRPr="00F82C8D">
        <w:t>under</w:t>
      </w:r>
      <w:r w:rsidR="0045596D" w:rsidRPr="00F82C8D">
        <w:t xml:space="preserve"> paragraph </w:t>
      </w:r>
      <w:r w:rsidRPr="00F82C8D">
        <w:t xml:space="preserve">27(1)(e). </w:t>
      </w:r>
      <w:r w:rsidRPr="00F82C8D">
        <w:rPr>
          <w:rStyle w:val="Emphasis"/>
        </w:rPr>
        <w:t>[subsection 30(3)]</w:t>
      </w:r>
      <w:r w:rsidRPr="00F82C8D">
        <w:t xml:space="preserve"> The baseline emissions number must be rounded up or down to the nearest whole number, with numbers ending in ‘.5’ being rounded up. </w:t>
      </w:r>
      <w:r w:rsidRPr="00F82C8D">
        <w:rPr>
          <w:rStyle w:val="Emphasis"/>
        </w:rPr>
        <w:t>[subsection 30(7)]</w:t>
      </w:r>
      <w:r w:rsidR="00F306D8" w:rsidRPr="00F82C8D">
        <w:rPr>
          <w:rStyle w:val="Emphasis"/>
        </w:rPr>
        <w:t xml:space="preserve"> </w:t>
      </w:r>
    </w:p>
    <w:p w:rsidR="00BD0B4E" w:rsidRPr="00F82C8D" w:rsidRDefault="00F306D8" w:rsidP="0045596D">
      <w:pPr>
        <w:pStyle w:val="Quote"/>
      </w:pPr>
      <w:r w:rsidRPr="00F82C8D">
        <w:t xml:space="preserve">For example, </w:t>
      </w:r>
      <w:r w:rsidR="00F327E1" w:rsidRPr="00F82C8D">
        <w:t>the production variables of a facility</w:t>
      </w:r>
      <w:r w:rsidRPr="00F82C8D">
        <w:t xml:space="preserve"> w</w:t>
      </w:r>
      <w:r w:rsidR="00E5545C" w:rsidRPr="00F82C8D">
        <w:t>ere</w:t>
      </w:r>
      <w:r w:rsidRPr="00F82C8D">
        <w:t xml:space="preserve"> </w:t>
      </w:r>
      <w:r w:rsidR="000A102C" w:rsidRPr="00F82C8D">
        <w:t xml:space="preserve">estimated as </w:t>
      </w:r>
      <w:r w:rsidR="00E5545C" w:rsidRPr="00F82C8D">
        <w:t xml:space="preserve">30,000 </w:t>
      </w:r>
      <w:r w:rsidRPr="00F82C8D">
        <w:t xml:space="preserve">tonnes of </w:t>
      </w:r>
      <w:r w:rsidR="00E5545C" w:rsidRPr="00F82C8D">
        <w:t>ammonia and 40,000 tonnes of am</w:t>
      </w:r>
      <w:r w:rsidR="00F327E1" w:rsidRPr="00F82C8D">
        <w:t>monium nitrate in 2017-18 with</w:t>
      </w:r>
      <w:r w:rsidR="00E5545C" w:rsidRPr="00F82C8D">
        <w:t xml:space="preserve"> respective </w:t>
      </w:r>
      <w:r w:rsidR="00BB7C53" w:rsidRPr="00F82C8D">
        <w:t>emissions intens</w:t>
      </w:r>
      <w:r w:rsidR="00F327E1" w:rsidRPr="00F82C8D">
        <w:t>ities</w:t>
      </w:r>
      <w:r w:rsidR="00E5545C" w:rsidRPr="00F82C8D">
        <w:t xml:space="preserve"> of 1.5 and 2 t CO</w:t>
      </w:r>
      <w:r w:rsidR="00E073C6" w:rsidRPr="00F82C8D">
        <w:rPr>
          <w:vertAlign w:val="subscript"/>
        </w:rPr>
        <w:t>2</w:t>
      </w:r>
      <w:r w:rsidR="00E073C6" w:rsidRPr="00F82C8D">
        <w:t>-</w:t>
      </w:r>
      <w:r w:rsidR="00E5545C" w:rsidRPr="00F82C8D">
        <w:t>e per tonne of product</w:t>
      </w:r>
      <w:r w:rsidRPr="00F82C8D">
        <w:t>.</w:t>
      </w:r>
      <w:r w:rsidR="00E5545C" w:rsidRPr="00F82C8D">
        <w:t xml:space="preserve"> The baseline emissions number would be 30,000 </w:t>
      </w:r>
      <w:r w:rsidR="00F327E1" w:rsidRPr="00F82C8D">
        <w:t xml:space="preserve">t ammonia </w:t>
      </w:r>
      <w:r w:rsidR="00E5545C" w:rsidRPr="00F82C8D">
        <w:t xml:space="preserve">× 1.5 </w:t>
      </w:r>
      <w:r w:rsidR="00F327E1" w:rsidRPr="00F82C8D">
        <w:t>t CO</w:t>
      </w:r>
      <w:r w:rsidR="00F327E1" w:rsidRPr="00F82C8D">
        <w:rPr>
          <w:vertAlign w:val="subscript"/>
        </w:rPr>
        <w:t>2</w:t>
      </w:r>
      <w:r w:rsidR="00F327E1" w:rsidRPr="00F82C8D">
        <w:t xml:space="preserve">-e per tonne of product </w:t>
      </w:r>
      <w:r w:rsidR="00E5545C" w:rsidRPr="00F82C8D">
        <w:t>+ 40,000</w:t>
      </w:r>
      <w:r w:rsidR="00F327E1" w:rsidRPr="00F82C8D">
        <w:t xml:space="preserve"> t ammonium nitrate</w:t>
      </w:r>
      <w:r w:rsidR="00E5545C" w:rsidRPr="00F82C8D">
        <w:t xml:space="preserve"> × 2 </w:t>
      </w:r>
      <w:r w:rsidR="00F327E1" w:rsidRPr="00F82C8D">
        <w:t>t CO</w:t>
      </w:r>
      <w:r w:rsidR="00F327E1" w:rsidRPr="00F82C8D">
        <w:rPr>
          <w:vertAlign w:val="subscript"/>
        </w:rPr>
        <w:t>2</w:t>
      </w:r>
      <w:r w:rsidR="00F327E1" w:rsidRPr="00F82C8D">
        <w:t xml:space="preserve">-e per tonne of product </w:t>
      </w:r>
      <w:r w:rsidR="00E5545C" w:rsidRPr="00F82C8D">
        <w:t>= 125,000</w:t>
      </w:r>
      <w:r w:rsidR="00F327E1" w:rsidRPr="00F82C8D">
        <w:t> t CO</w:t>
      </w:r>
      <w:r w:rsidR="00F327E1" w:rsidRPr="00F82C8D">
        <w:rPr>
          <w:vertAlign w:val="subscript"/>
        </w:rPr>
        <w:t>2</w:t>
      </w:r>
      <w:r w:rsidR="00F327E1" w:rsidRPr="00F82C8D">
        <w:t>-e</w:t>
      </w:r>
      <w:r w:rsidR="00E5545C" w:rsidRPr="00F82C8D">
        <w:t>.</w:t>
      </w:r>
    </w:p>
    <w:p w:rsidR="006C17D8" w:rsidRPr="00F82C8D" w:rsidRDefault="006C17D8" w:rsidP="00625D31">
      <w:pPr>
        <w:pStyle w:val="ListParagraph"/>
      </w:pPr>
      <w:r w:rsidRPr="00F82C8D">
        <w:t>If an application has been made that meets the application requirements in section 22, the Regulator may make the calculated-emissions baseline determination applied for if satisfied that:</w:t>
      </w:r>
    </w:p>
    <w:p w:rsidR="006C17D8" w:rsidRPr="00F82C8D" w:rsidRDefault="006C17D8" w:rsidP="002E625A">
      <w:pPr>
        <w:pStyle w:val="ListBullet"/>
        <w:rPr>
          <w:iCs/>
        </w:rPr>
      </w:pPr>
      <w:r w:rsidRPr="00F82C8D">
        <w:t xml:space="preserve">the audit report accompanying the application contains the relevant reasonable and limited assurance conclusions required under section 28, </w:t>
      </w:r>
      <w:r w:rsidRPr="00F82C8D">
        <w:rPr>
          <w:rStyle w:val="Emphasis"/>
        </w:rPr>
        <w:t xml:space="preserve">[paragraphs 30(2)(a) and (b)] </w:t>
      </w:r>
    </w:p>
    <w:p w:rsidR="00DB293E" w:rsidRPr="00F82C8D" w:rsidRDefault="006C17D8">
      <w:pPr>
        <w:pStyle w:val="ListBullet"/>
      </w:pPr>
      <w:r w:rsidRPr="00F82C8D">
        <w:t xml:space="preserve">the new facility, inherent emissions variability, significant expansion or initial calculated baseline criteria have been met. </w:t>
      </w:r>
      <w:r w:rsidR="000D6A91" w:rsidRPr="00F82C8D">
        <w:rPr>
          <w:rStyle w:val="Emphasis"/>
        </w:rPr>
        <w:t>[paragraph 30</w:t>
      </w:r>
      <w:r w:rsidRPr="00F82C8D">
        <w:rPr>
          <w:rStyle w:val="Emphasis"/>
        </w:rPr>
        <w:t>(2)(c)]</w:t>
      </w:r>
    </w:p>
    <w:p w:rsidR="006C17D8" w:rsidRPr="00F82C8D" w:rsidRDefault="006C17D8" w:rsidP="00625D31">
      <w:pPr>
        <w:pStyle w:val="ListParagraph"/>
      </w:pPr>
      <w:r w:rsidRPr="00F82C8D">
        <w:t xml:space="preserve">If previously published estimates of emissions or </w:t>
      </w:r>
      <w:r w:rsidR="00BB7C53" w:rsidRPr="00F82C8D">
        <w:t>emissions intens</w:t>
      </w:r>
      <w:r w:rsidRPr="00F82C8D">
        <w:t xml:space="preserve">ity differ from estimates in the application, the Regulator must be satisfied </w:t>
      </w:r>
      <w:r w:rsidR="000D6A91" w:rsidRPr="00F82C8D">
        <w:t>that</w:t>
      </w:r>
      <w:r w:rsidRPr="00F82C8D">
        <w:t xml:space="preserve"> the applicant’s</w:t>
      </w:r>
      <w:r w:rsidR="000D6A91" w:rsidRPr="00F82C8D">
        <w:t xml:space="preserve"> explanation of the difference is reasonable</w:t>
      </w:r>
      <w:r w:rsidRPr="00F82C8D">
        <w:t xml:space="preserve"> before making a determination. </w:t>
      </w:r>
      <w:r w:rsidRPr="00F82C8D">
        <w:rPr>
          <w:rStyle w:val="Emphasis"/>
        </w:rPr>
        <w:t>[paragraph 30(2)(d)]</w:t>
      </w:r>
    </w:p>
    <w:p w:rsidR="006C17D8" w:rsidRPr="00F82C8D" w:rsidRDefault="006C17D8" w:rsidP="00625D31">
      <w:pPr>
        <w:pStyle w:val="ListParagraph"/>
      </w:pPr>
      <w:r w:rsidRPr="00F82C8D">
        <w:t xml:space="preserve">The Regulator must take all reasonable steps to make a decision on the application within 60 days of the application being made, unless the Regulator requested additional information in relation to the application, in which case the Regulator has until 60 days after the information is received. </w:t>
      </w:r>
      <w:r w:rsidRPr="00F82C8D">
        <w:rPr>
          <w:rStyle w:val="Emphasis"/>
        </w:rPr>
        <w:t>[subsection 30(4)]</w:t>
      </w:r>
    </w:p>
    <w:p w:rsidR="006C17D8" w:rsidRPr="00F82C8D" w:rsidRDefault="006C17D8" w:rsidP="00625D31">
      <w:pPr>
        <w:pStyle w:val="ListParagraph"/>
      </w:pPr>
      <w:r w:rsidRPr="00F82C8D">
        <w:t xml:space="preserve">If the Regulator refuses to make the calculated-emissions baseline determination applied for, the Regulator must notify the applicant of this decision in writing. </w:t>
      </w:r>
      <w:r w:rsidRPr="00F82C8D">
        <w:rPr>
          <w:rStyle w:val="Emphasis"/>
        </w:rPr>
        <w:t>[subsection 30(6)]</w:t>
      </w:r>
    </w:p>
    <w:p w:rsidR="006C17D8" w:rsidRPr="00F82C8D" w:rsidRDefault="006C17D8" w:rsidP="00625D31">
      <w:pPr>
        <w:pStyle w:val="ListParagraph"/>
      </w:pPr>
      <w:r w:rsidRPr="00F82C8D">
        <w:t xml:space="preserve">As soon as practicable after making a determination, the Regulator must notify the applicant of the determination, and publish details of the determination on its website. </w:t>
      </w:r>
      <w:r w:rsidR="000D6A91" w:rsidRPr="00F82C8D">
        <w:rPr>
          <w:rStyle w:val="Emphasis"/>
        </w:rPr>
        <w:t>[subsection 30</w:t>
      </w:r>
      <w:r w:rsidRPr="00F82C8D">
        <w:rPr>
          <w:rStyle w:val="Emphasis"/>
        </w:rPr>
        <w:t>(5)]</w:t>
      </w:r>
      <w:r w:rsidRPr="00F82C8D">
        <w:t xml:space="preserve"> </w:t>
      </w:r>
      <w:r w:rsidR="00BE2991" w:rsidRPr="00F82C8D">
        <w:t xml:space="preserve">Determination details are defined in section 4 of the safeguard rule. </w:t>
      </w:r>
      <w:r w:rsidRPr="00F82C8D">
        <w:t>The publication requirement promotes public transparency in relation to the safeguard mechanism. In addition, the Regulator must publish the details of the application p</w:t>
      </w:r>
      <w:r w:rsidR="00BE2991" w:rsidRPr="00F82C8D">
        <w:t>rovided under paragraphs 27(1)(b), which relates to the measures to reduce greenhouse gas emissions at the facility.</w:t>
      </w:r>
      <w:r w:rsidR="00FF636C" w:rsidRPr="00F82C8D">
        <w:t xml:space="preserve"> </w:t>
      </w:r>
    </w:p>
    <w:p w:rsidR="006C17D8" w:rsidRPr="00F82C8D" w:rsidRDefault="006A32FC" w:rsidP="006C17D8">
      <w:pPr>
        <w:pStyle w:val="Heading3"/>
        <w:rPr>
          <w:iCs/>
        </w:rPr>
      </w:pPr>
      <w:r w:rsidRPr="00F82C8D">
        <w:t xml:space="preserve">Section 31: </w:t>
      </w:r>
      <w:r w:rsidR="006C17D8" w:rsidRPr="00F82C8D">
        <w:t>Duration of calculated-emissions baseline determinations</w:t>
      </w:r>
    </w:p>
    <w:p w:rsidR="006C17D8" w:rsidRPr="00F82C8D" w:rsidRDefault="006C17D8" w:rsidP="00625D31">
      <w:pPr>
        <w:pStyle w:val="ListParagraph"/>
      </w:pPr>
      <w:r w:rsidRPr="00F82C8D">
        <w:t xml:space="preserve">Under subsection 22XQ(2) of the Act, a determination that increases a facility’s baseline can apply from the start of the financial year before the financial year in which the determination is made. Accordingly, if a calculated-emissions baseline determination is made </w:t>
      </w:r>
      <w:r w:rsidR="00871376" w:rsidRPr="00F82C8D">
        <w:t>within two years of the</w:t>
      </w:r>
      <w:r w:rsidRPr="00F82C8D">
        <w:t xml:space="preserve"> start date requested in the </w:t>
      </w:r>
      <w:r w:rsidR="00871376" w:rsidRPr="00F82C8D">
        <w:t>application</w:t>
      </w:r>
      <w:r w:rsidRPr="00F82C8D">
        <w:t>,</w:t>
      </w:r>
      <w:r w:rsidR="00871376" w:rsidRPr="00F82C8D">
        <w:t xml:space="preserve"> then</w:t>
      </w:r>
      <w:r w:rsidRPr="00F82C8D">
        <w:t xml:space="preserve"> it commences on the 1 July requested in the application. </w:t>
      </w:r>
      <w:r w:rsidRPr="00F82C8D">
        <w:rPr>
          <w:rStyle w:val="Emphasis"/>
        </w:rPr>
        <w:t>[subsection 31(1)]</w:t>
      </w:r>
    </w:p>
    <w:p w:rsidR="00B7008F" w:rsidRPr="00F82C8D" w:rsidRDefault="006C17D8" w:rsidP="00625D31">
      <w:pPr>
        <w:pStyle w:val="ListParagraph"/>
      </w:pPr>
      <w:r w:rsidRPr="00F82C8D">
        <w:t xml:space="preserve">If a calculated-emissions baseline determination is made </w:t>
      </w:r>
      <w:r w:rsidR="00871376" w:rsidRPr="00F82C8D">
        <w:t>more than two years after</w:t>
      </w:r>
      <w:r w:rsidRPr="00F82C8D">
        <w:t xml:space="preserve"> the 1 July start date requested in the determination, </w:t>
      </w:r>
      <w:r w:rsidR="00871376" w:rsidRPr="00F82C8D">
        <w:t xml:space="preserve">then </w:t>
      </w:r>
      <w:r w:rsidRPr="00F82C8D">
        <w:t xml:space="preserve">it commences on the first 1 July permitted by subsection 22XQ(2). </w:t>
      </w:r>
      <w:r w:rsidRPr="00F82C8D">
        <w:rPr>
          <w:rStyle w:val="Emphasis"/>
        </w:rPr>
        <w:t>[</w:t>
      </w:r>
      <w:r w:rsidR="009D646B" w:rsidRPr="00F82C8D">
        <w:rPr>
          <w:rStyle w:val="Emphasis"/>
        </w:rPr>
        <w:t>subsection </w:t>
      </w:r>
      <w:r w:rsidRPr="00F82C8D">
        <w:rPr>
          <w:rStyle w:val="Emphasis"/>
        </w:rPr>
        <w:t>31(2)]</w:t>
      </w:r>
      <w:r w:rsidRPr="00F82C8D">
        <w:t xml:space="preserve"> </w:t>
      </w:r>
    </w:p>
    <w:p w:rsidR="006C17D8" w:rsidRPr="00F82C8D" w:rsidRDefault="006C17D8" w:rsidP="00B7008F">
      <w:pPr>
        <w:pStyle w:val="Quote"/>
      </w:pPr>
      <w:r w:rsidRPr="00F82C8D">
        <w:t xml:space="preserve">For example, if the application requests a 1 July 2017 start date, but the determination is </w:t>
      </w:r>
      <w:r w:rsidR="00545AF7" w:rsidRPr="00F82C8D">
        <w:t xml:space="preserve">not </w:t>
      </w:r>
      <w:r w:rsidRPr="00F82C8D">
        <w:t xml:space="preserve">made </w:t>
      </w:r>
      <w:r w:rsidR="00545AF7" w:rsidRPr="00F82C8D">
        <w:t>until</w:t>
      </w:r>
      <w:r w:rsidRPr="00F82C8D">
        <w:t xml:space="preserve"> 30 </w:t>
      </w:r>
      <w:r w:rsidR="00871376" w:rsidRPr="00F82C8D">
        <w:t>August 2019</w:t>
      </w:r>
      <w:r w:rsidRPr="00F82C8D">
        <w:t xml:space="preserve">, </w:t>
      </w:r>
      <w:r w:rsidR="00A969BF" w:rsidRPr="00F82C8D">
        <w:t xml:space="preserve">then </w:t>
      </w:r>
      <w:r w:rsidRPr="00F82C8D">
        <w:t>the determination commences on 1 July 2018.</w:t>
      </w:r>
    </w:p>
    <w:p w:rsidR="006C17D8" w:rsidRPr="00F82C8D" w:rsidRDefault="006C17D8" w:rsidP="00625D31">
      <w:pPr>
        <w:pStyle w:val="ListParagraph"/>
      </w:pPr>
      <w:r w:rsidRPr="00F82C8D">
        <w:t>Normally, calculated-emissions baseline determinations expire three years after the start date requested in the application</w:t>
      </w:r>
      <w:r w:rsidRPr="00F82C8D">
        <w:rPr>
          <w:rStyle w:val="Emphasis"/>
        </w:rPr>
        <w:t>. [paragraph 31(3)(b)]</w:t>
      </w:r>
      <w:r w:rsidRPr="00F82C8D">
        <w:t xml:space="preserve"> However, if the facility is a large new facility, the determination expires five years after the start date requested in the application. </w:t>
      </w:r>
      <w:r w:rsidRPr="00F82C8D">
        <w:rPr>
          <w:rStyle w:val="Emphasis"/>
        </w:rPr>
        <w:t xml:space="preserve">[paragraph 31(3)(a)] </w:t>
      </w:r>
      <w:r w:rsidRPr="00F82C8D">
        <w:t>A large new facility is a facility that meets the new facility criteria</w:t>
      </w:r>
      <w:r w:rsidR="006A32FC" w:rsidRPr="00F82C8D">
        <w:t>,</w:t>
      </w:r>
      <w:r w:rsidR="00A969BF" w:rsidRPr="00F82C8D">
        <w:t xml:space="preserve"> </w:t>
      </w:r>
      <w:r w:rsidR="00EA257F" w:rsidRPr="00F82C8D">
        <w:t xml:space="preserve">has or is likely </w:t>
      </w:r>
      <w:r w:rsidR="00A969BF" w:rsidRPr="00F82C8D">
        <w:t>to emit more than two</w:t>
      </w:r>
      <w:r w:rsidRPr="00F82C8D">
        <w:t xml:space="preserve"> million t CO</w:t>
      </w:r>
      <w:r w:rsidR="00E073C6" w:rsidRPr="00F82C8D">
        <w:rPr>
          <w:vertAlign w:val="subscript"/>
        </w:rPr>
        <w:t>2</w:t>
      </w:r>
      <w:r w:rsidR="00E073C6" w:rsidRPr="00F82C8D">
        <w:t>-</w:t>
      </w:r>
      <w:r w:rsidR="00A969BF" w:rsidRPr="00F82C8D">
        <w:t xml:space="preserve">e in </w:t>
      </w:r>
      <w:r w:rsidR="00EA257F" w:rsidRPr="00F82C8D">
        <w:t>one of the five</w:t>
      </w:r>
      <w:r w:rsidR="00A969BF" w:rsidRPr="00F82C8D">
        <w:t xml:space="preserve"> year</w:t>
      </w:r>
      <w:r w:rsidR="00EA257F" w:rsidRPr="00F82C8D">
        <w:t>s</w:t>
      </w:r>
      <w:r w:rsidR="00A969BF" w:rsidRPr="00F82C8D">
        <w:t xml:space="preserve"> </w:t>
      </w:r>
      <w:r w:rsidR="00EA257F" w:rsidRPr="00F82C8D">
        <w:t>beginning from</w:t>
      </w:r>
      <w:r w:rsidRPr="00F82C8D">
        <w:t xml:space="preserve"> the determination’s requested start date</w:t>
      </w:r>
      <w:r w:rsidR="006A32FC" w:rsidRPr="00F82C8D">
        <w:t xml:space="preserve"> and is not a grid-connected electricity generator</w:t>
      </w:r>
      <w:r w:rsidRPr="00F82C8D">
        <w:t xml:space="preserve">. Calculated-emissions baseline determinations last longer for large new facilities because they typically take longer to ramp up production. </w:t>
      </w:r>
    </w:p>
    <w:p w:rsidR="006C17D8" w:rsidRPr="00F82C8D" w:rsidRDefault="006C17D8" w:rsidP="00625D31">
      <w:pPr>
        <w:pStyle w:val="ListParagraph"/>
      </w:pPr>
      <w:r w:rsidRPr="00F82C8D">
        <w:t xml:space="preserve">Determinations end three or five years after the requested start date and not the actual start date of the determination. This is because applications do not contain production or </w:t>
      </w:r>
      <w:r w:rsidR="00BB7C53" w:rsidRPr="00F82C8D">
        <w:t>emissions intens</w:t>
      </w:r>
      <w:r w:rsidRPr="00F82C8D">
        <w:t>ity for years beyond the three or five year period applied for. The three or five year period is not ‘rolled forward’.</w:t>
      </w:r>
    </w:p>
    <w:p w:rsidR="006C17D8" w:rsidRPr="00F82C8D" w:rsidRDefault="006C17D8" w:rsidP="00625D31">
      <w:pPr>
        <w:pStyle w:val="ListParagraph"/>
      </w:pPr>
      <w:r w:rsidRPr="00F82C8D">
        <w:t xml:space="preserve">Facilities that meet the inherent emissions variability criteria may apply for calculated-emissions baseline determinations twice. If the two determinations overlap, the first determination expires as soon as the second determination commences. </w:t>
      </w:r>
      <w:r w:rsidRPr="00F82C8D">
        <w:rPr>
          <w:rStyle w:val="Emphasis"/>
        </w:rPr>
        <w:t>[subsection 31(4)]</w:t>
      </w:r>
    </w:p>
    <w:p w:rsidR="000D6A91" w:rsidRPr="00F82C8D" w:rsidRDefault="006C17D8" w:rsidP="00625D31">
      <w:pPr>
        <w:pStyle w:val="ListParagraph"/>
      </w:pPr>
      <w:r w:rsidRPr="00F82C8D">
        <w:t xml:space="preserve">If a determination is made for a facility that meets the new facility criteria, and the facility does not exceed the </w:t>
      </w:r>
      <w:r w:rsidR="00562E97" w:rsidRPr="00F82C8D">
        <w:rPr>
          <w:lang w:val="en-AU"/>
        </w:rPr>
        <w:t>designated large facility threshold</w:t>
      </w:r>
      <w:r w:rsidR="00562E97" w:rsidRPr="00F82C8D">
        <w:t xml:space="preserve"> </w:t>
      </w:r>
      <w:r w:rsidRPr="00F82C8D">
        <w:t xml:space="preserve">in any of the financial years before 1 July 2020, the determination expires on 1 July 2020. </w:t>
      </w:r>
      <w:r w:rsidRPr="00F82C8D">
        <w:rPr>
          <w:rStyle w:val="Emphasis"/>
        </w:rPr>
        <w:t>[subsection 31(5)]</w:t>
      </w:r>
      <w:r w:rsidRPr="00F82C8D">
        <w:t xml:space="preserve"> </w:t>
      </w:r>
    </w:p>
    <w:p w:rsidR="006C17D8" w:rsidRPr="00F82C8D" w:rsidRDefault="006C17D8" w:rsidP="000D6A91">
      <w:pPr>
        <w:pStyle w:val="Quote"/>
      </w:pPr>
      <w:r w:rsidRPr="00F82C8D">
        <w:t xml:space="preserve">For example, if a determination is made commencing on 1 July 2019, but the facility does not exceed the threshold in the 2019-20 financial year, the determination expires on 1 July 2020. This rule ensures that facilities that first exceed the </w:t>
      </w:r>
      <w:r w:rsidR="00562E97" w:rsidRPr="00F82C8D">
        <w:t xml:space="preserve">designated large facility threshold </w:t>
      </w:r>
      <w:r w:rsidRPr="00F82C8D">
        <w:t xml:space="preserve">after 1 July 2020 receive benchmark-emissions baseline determinations. </w:t>
      </w:r>
    </w:p>
    <w:p w:rsidR="00AE6DBE" w:rsidRPr="00F82C8D" w:rsidRDefault="00394E74" w:rsidP="00AE6DBE">
      <w:pPr>
        <w:pStyle w:val="Heading2"/>
        <w:rPr>
          <w:lang w:val="en-AU"/>
        </w:rPr>
      </w:pPr>
      <w:bookmarkStart w:id="101" w:name="_Ref426634046"/>
      <w:bookmarkStart w:id="102" w:name="_Ref426634049"/>
      <w:bookmarkStart w:id="103" w:name="_Toc431975848"/>
      <w:r w:rsidRPr="00F82C8D">
        <w:rPr>
          <w:lang w:val="en-AU"/>
        </w:rPr>
        <w:t>Subdivision</w:t>
      </w:r>
      <w:r w:rsidR="0094490F" w:rsidRPr="00F82C8D">
        <w:rPr>
          <w:lang w:val="en-AU"/>
        </w:rPr>
        <w:t xml:space="preserve"> 4</w:t>
      </w:r>
      <w:r w:rsidR="0094490F" w:rsidRPr="00F82C8D">
        <w:t>—</w:t>
      </w:r>
      <w:r w:rsidR="00AE6DBE" w:rsidRPr="00F82C8D">
        <w:rPr>
          <w:lang w:val="en-AU"/>
        </w:rPr>
        <w:t>Benchmark-emissions baselines determination</w:t>
      </w:r>
      <w:bookmarkEnd w:id="94"/>
      <w:bookmarkEnd w:id="101"/>
      <w:bookmarkEnd w:id="102"/>
      <w:bookmarkEnd w:id="103"/>
    </w:p>
    <w:p w:rsidR="000642F6" w:rsidRPr="00F82C8D" w:rsidRDefault="000642F6" w:rsidP="004D77FE">
      <w:pPr>
        <w:pStyle w:val="ListParagraph"/>
      </w:pPr>
      <w:r w:rsidRPr="00F82C8D">
        <w:t xml:space="preserve">Benchmark-emissions baseline determinations </w:t>
      </w:r>
      <w:r w:rsidR="00DB3333" w:rsidRPr="00F82C8D">
        <w:t>commence no earlier than</w:t>
      </w:r>
      <w:r w:rsidR="00EE23D8" w:rsidRPr="00F82C8D">
        <w:t xml:space="preserve"> 1 July </w:t>
      </w:r>
      <w:r w:rsidR="00DB3333" w:rsidRPr="00F82C8D">
        <w:t xml:space="preserve">2020 and </w:t>
      </w:r>
      <w:r w:rsidRPr="00F82C8D">
        <w:t>are</w:t>
      </w:r>
      <w:r w:rsidR="007F0186" w:rsidRPr="00F82C8D">
        <w:t xml:space="preserve"> broadly</w:t>
      </w:r>
      <w:r w:rsidRPr="00F82C8D">
        <w:t xml:space="preserve"> for</w:t>
      </w:r>
      <w:r w:rsidR="007F0186" w:rsidRPr="00F82C8D">
        <w:t xml:space="preserve"> new facilities</w:t>
      </w:r>
      <w:r w:rsidRPr="00F82C8D">
        <w:t xml:space="preserve"> and significant expansions</w:t>
      </w:r>
      <w:r w:rsidR="00DB3333" w:rsidRPr="00F82C8D">
        <w:t>, which no longer have access to calculated-emissions baseline determinations</w:t>
      </w:r>
    </w:p>
    <w:p w:rsidR="000642F6" w:rsidRPr="00F82C8D" w:rsidRDefault="000642F6" w:rsidP="004D77FE">
      <w:pPr>
        <w:pStyle w:val="ListParagraph"/>
        <w:rPr>
          <w:lang w:val="en-AU"/>
        </w:rPr>
      </w:pPr>
      <w:r w:rsidRPr="00F82C8D">
        <w:rPr>
          <w:lang w:val="en-AU"/>
        </w:rPr>
        <w:t>Similar to a calculated-emissions baseline determination, a benchmark-emissions baseline determination is based on estimates of production at a facility. This means that the baseline determination is temporary and will expire at a time that actual production data should be available</w:t>
      </w:r>
      <w:r w:rsidR="007F0186" w:rsidRPr="00F82C8D">
        <w:rPr>
          <w:lang w:val="en-AU"/>
        </w:rPr>
        <w:t xml:space="preserve"> to replace the estimates. Once the baseline</w:t>
      </w:r>
      <w:r w:rsidRPr="00F82C8D">
        <w:rPr>
          <w:lang w:val="en-AU"/>
        </w:rPr>
        <w:t xml:space="preserve"> expires, a facility may be eligible to apply for a production-adjusted baseline determination </w:t>
      </w:r>
      <w:r w:rsidRPr="00F82C8D">
        <w:t xml:space="preserve">(see </w:t>
      </w:r>
      <w:r w:rsidR="007F0186" w:rsidRPr="00F82C8D">
        <w:t xml:space="preserve">section headed </w:t>
      </w:r>
      <w:fldSimple w:instr=" REF _Ref426634113 \h  \* MERGEFORMAT ">
        <w:r w:rsidR="00F16B1F" w:rsidRPr="00F16B1F">
          <w:rPr>
            <w:i/>
            <w:lang w:val="en-AU"/>
          </w:rPr>
          <w:t>Subdivision 5</w:t>
        </w:r>
        <w:r w:rsidR="00F16B1F" w:rsidRPr="00F16B1F">
          <w:rPr>
            <w:i/>
          </w:rPr>
          <w:t>—</w:t>
        </w:r>
        <w:r w:rsidR="00F16B1F" w:rsidRPr="00F16B1F">
          <w:rPr>
            <w:i/>
            <w:lang w:val="en-AU"/>
          </w:rPr>
          <w:t>Production-adjusted baseline determination</w:t>
        </w:r>
      </w:fldSimple>
      <w:r w:rsidRPr="00F82C8D">
        <w:t xml:space="preserve"> on page </w:t>
      </w:r>
      <w:r w:rsidR="00744D5E" w:rsidRPr="00F82C8D">
        <w:fldChar w:fldCharType="begin"/>
      </w:r>
      <w:r w:rsidRPr="00F82C8D">
        <w:instrText xml:space="preserve"> PAGEREF _Ref426634109 \h </w:instrText>
      </w:r>
      <w:r w:rsidR="00744D5E" w:rsidRPr="00F82C8D">
        <w:fldChar w:fldCharType="separate"/>
      </w:r>
      <w:r w:rsidR="00F16B1F">
        <w:rPr>
          <w:noProof/>
        </w:rPr>
        <w:t>71</w:t>
      </w:r>
      <w:r w:rsidR="00744D5E" w:rsidRPr="00F82C8D">
        <w:fldChar w:fldCharType="end"/>
      </w:r>
      <w:r w:rsidRPr="00F82C8D">
        <w:t xml:space="preserve"> of</w:t>
      </w:r>
      <w:r w:rsidR="004C00A9" w:rsidRPr="00F82C8D">
        <w:t xml:space="preserve"> the</w:t>
      </w:r>
      <w:r w:rsidR="007F0186" w:rsidRPr="00F82C8D">
        <w:t xml:space="preserve"> </w:t>
      </w:r>
      <w:r w:rsidR="00D360AB" w:rsidRPr="00F82C8D">
        <w:t>Exp</w:t>
      </w:r>
      <w:r w:rsidR="004C00A9" w:rsidRPr="00F82C8D">
        <w:t>lanatory Statement</w:t>
      </w:r>
      <w:r w:rsidRPr="00F82C8D">
        <w:t>).</w:t>
      </w:r>
    </w:p>
    <w:p w:rsidR="00CF5390" w:rsidRPr="00F82C8D" w:rsidRDefault="00DB3333" w:rsidP="004D77FE">
      <w:pPr>
        <w:pStyle w:val="ListParagraph"/>
        <w:rPr>
          <w:lang w:val="en-AU"/>
        </w:rPr>
      </w:pPr>
      <w:r w:rsidRPr="00F82C8D">
        <w:t xml:space="preserve">Unlike a </w:t>
      </w:r>
      <w:r w:rsidRPr="00F82C8D">
        <w:rPr>
          <w:lang w:val="en-AU"/>
        </w:rPr>
        <w:t>calculated-emissions baseline, which is made using the responsible emitter’s estimates of emissions intensities of production variables,</w:t>
      </w:r>
      <w:r w:rsidR="00394E74" w:rsidRPr="00F82C8D">
        <w:rPr>
          <w:lang w:val="en-AU"/>
        </w:rPr>
        <w:t xml:space="preserve"> </w:t>
      </w:r>
      <w:r w:rsidRPr="00F82C8D">
        <w:rPr>
          <w:lang w:val="en-AU"/>
        </w:rPr>
        <w:t xml:space="preserve">a benchmark-emissions baseline determination is made using emissions intensities sourced from the </w:t>
      </w:r>
      <w:r w:rsidRPr="00F82C8D">
        <w:t xml:space="preserve">the Benchmark Emissions-Intensity Index in </w:t>
      </w:r>
      <w:r w:rsidR="00BF3FA1" w:rsidRPr="00F82C8D">
        <w:t>Schedule 1</w:t>
      </w:r>
      <w:r w:rsidR="00CF5390" w:rsidRPr="00F82C8D">
        <w:t xml:space="preserve">. </w:t>
      </w:r>
    </w:p>
    <w:p w:rsidR="00DB3333" w:rsidRPr="00F82C8D" w:rsidRDefault="00CF5390" w:rsidP="004D77FE">
      <w:pPr>
        <w:pStyle w:val="ListParagraph"/>
        <w:rPr>
          <w:lang w:val="en-AU"/>
        </w:rPr>
      </w:pPr>
      <w:r w:rsidRPr="00F82C8D">
        <w:t>Landfill facilities are not eligible for a benchmark-emissions base</w:t>
      </w:r>
      <w:r w:rsidR="00EA0ADD" w:rsidRPr="00F82C8D">
        <w:t xml:space="preserve">line determination because their baseline determination is made in a separate way </w:t>
      </w:r>
      <w:r w:rsidRPr="00F82C8D">
        <w:t xml:space="preserve">after 1 July 2020 (see the section headed </w:t>
      </w:r>
      <w:fldSimple w:instr=" REF _Ref426551185 \h  \* MERGEFORMAT ">
        <w:r w:rsidR="00F16B1F" w:rsidRPr="00F16B1F">
          <w:rPr>
            <w:i/>
            <w:lang w:val="en-AU"/>
          </w:rPr>
          <w:t>Landfill-benchmark baseline determination</w:t>
        </w:r>
      </w:fldSimple>
      <w:r w:rsidRPr="00F82C8D">
        <w:t xml:space="preserve"> on page </w:t>
      </w:r>
      <w:r w:rsidR="00744D5E" w:rsidRPr="00F82C8D">
        <w:fldChar w:fldCharType="begin"/>
      </w:r>
      <w:r w:rsidRPr="00F82C8D">
        <w:instrText xml:space="preserve"> PAGEREF _Ref426551177 \h </w:instrText>
      </w:r>
      <w:r w:rsidR="00744D5E" w:rsidRPr="00F82C8D">
        <w:fldChar w:fldCharType="separate"/>
      </w:r>
      <w:r w:rsidR="00F16B1F">
        <w:rPr>
          <w:noProof/>
        </w:rPr>
        <w:t>86</w:t>
      </w:r>
      <w:r w:rsidR="00744D5E" w:rsidRPr="00F82C8D">
        <w:fldChar w:fldCharType="end"/>
      </w:r>
      <w:r w:rsidRPr="00F82C8D">
        <w:t xml:space="preserve"> of the </w:t>
      </w:r>
      <w:r w:rsidR="00D360AB" w:rsidRPr="00F82C8D">
        <w:t>Exp</w:t>
      </w:r>
      <w:r w:rsidRPr="00F82C8D">
        <w:t>lanatory Statement).</w:t>
      </w:r>
      <w:r w:rsidR="00E71BCA" w:rsidRPr="00F82C8D">
        <w:rPr>
          <w:b/>
          <w:i/>
          <w:sz w:val="20"/>
        </w:rPr>
        <w:t xml:space="preserve"> [subsection 32(1)]</w:t>
      </w:r>
    </w:p>
    <w:p w:rsidR="00077CB4" w:rsidRPr="00F82C8D" w:rsidRDefault="0094490F" w:rsidP="00891B83">
      <w:pPr>
        <w:pStyle w:val="Heading3"/>
      </w:pPr>
      <w:r w:rsidRPr="00F82C8D">
        <w:t xml:space="preserve">Section 32: </w:t>
      </w:r>
      <w:r w:rsidR="00077CB4" w:rsidRPr="00F82C8D">
        <w:t>Application</w:t>
      </w:r>
    </w:p>
    <w:p w:rsidR="000A102C" w:rsidRPr="00F82C8D" w:rsidRDefault="000A102C" w:rsidP="00625D31">
      <w:pPr>
        <w:pStyle w:val="ListParagraph"/>
      </w:pPr>
      <w:r w:rsidRPr="00F82C8D">
        <w:t xml:space="preserve">Application requirements are similar to a calculated-emissions baseline determination, but the key difference is that </w:t>
      </w:r>
      <w:r w:rsidR="00EA0ADD" w:rsidRPr="00F82C8D">
        <w:t xml:space="preserve">the identification of production variables and estimates of </w:t>
      </w:r>
      <w:r w:rsidR="00BB7C53" w:rsidRPr="00F82C8D">
        <w:t>emissions intens</w:t>
      </w:r>
      <w:r w:rsidR="00EA0ADD" w:rsidRPr="00F82C8D">
        <w:t>ities</w:t>
      </w:r>
      <w:r w:rsidR="00CF5390" w:rsidRPr="00F82C8D">
        <w:t xml:space="preserve"> </w:t>
      </w:r>
      <w:r w:rsidR="00EA0ADD" w:rsidRPr="00F82C8D">
        <w:t>are</w:t>
      </w:r>
      <w:r w:rsidRPr="00F82C8D">
        <w:t xml:space="preserve"> taken from the </w:t>
      </w:r>
      <w:r w:rsidR="00C61DFD" w:rsidRPr="00F82C8D">
        <w:t>Benchmark Emissions-Intensity Index</w:t>
      </w:r>
      <w:r w:rsidR="00EA0ADD" w:rsidRPr="00F82C8D">
        <w:t xml:space="preserve"> in </w:t>
      </w:r>
      <w:r w:rsidR="00BF3FA1" w:rsidRPr="00F82C8D">
        <w:t>Schedule 1</w:t>
      </w:r>
      <w:r w:rsidRPr="00F82C8D">
        <w:t xml:space="preserve"> and </w:t>
      </w:r>
      <w:r w:rsidR="00822FF7" w:rsidRPr="00F82C8D">
        <w:t xml:space="preserve">not </w:t>
      </w:r>
      <w:r w:rsidR="00DE5E11" w:rsidRPr="00F82C8D">
        <w:t xml:space="preserve">identified or </w:t>
      </w:r>
      <w:r w:rsidR="00822FF7" w:rsidRPr="00F82C8D">
        <w:t>estimated by the applicant</w:t>
      </w:r>
      <w:r w:rsidRPr="00F82C8D">
        <w:t xml:space="preserve">. This means that these applications </w:t>
      </w:r>
      <w:r w:rsidR="00822FF7" w:rsidRPr="00F82C8D">
        <w:t>focus</w:t>
      </w:r>
      <w:r w:rsidRPr="00F82C8D">
        <w:t xml:space="preserve"> on the quantity of production and applicability of the benchmarks in that index rather than the future emissions performance of the facility.</w:t>
      </w:r>
    </w:p>
    <w:p w:rsidR="002B1F33" w:rsidRPr="00F82C8D" w:rsidRDefault="002B1F33" w:rsidP="00625D31">
      <w:pPr>
        <w:pStyle w:val="ListParagraph"/>
      </w:pPr>
      <w:r w:rsidRPr="00F82C8D">
        <w:t xml:space="preserve">There must be at least one benchmark </w:t>
      </w:r>
      <w:r w:rsidR="00BB7C53" w:rsidRPr="00F82C8D">
        <w:t>emissions intens</w:t>
      </w:r>
      <w:r w:rsidRPr="00F82C8D">
        <w:t xml:space="preserve">ity applicable to a facility for the responsible emitter to apply to the Regulator for a </w:t>
      </w:r>
      <w:r w:rsidR="00AE6DBE" w:rsidRPr="00F82C8D">
        <w:t>benchmark-emissions</w:t>
      </w:r>
      <w:r w:rsidRPr="00F82C8D">
        <w:t xml:space="preserve"> baseline determination. As well as this the facility must meet either the new facility criteria or the significant expansion criteria. </w:t>
      </w:r>
      <w:r w:rsidR="0092078A" w:rsidRPr="00F82C8D">
        <w:rPr>
          <w:b/>
          <w:i/>
          <w:sz w:val="20"/>
        </w:rPr>
        <w:t>[</w:t>
      </w:r>
      <w:r w:rsidRPr="00F82C8D">
        <w:rPr>
          <w:b/>
          <w:i/>
          <w:sz w:val="20"/>
        </w:rPr>
        <w:t>subsection 32(1)</w:t>
      </w:r>
      <w:r w:rsidR="0092078A" w:rsidRPr="00F82C8D">
        <w:rPr>
          <w:b/>
          <w:i/>
          <w:sz w:val="20"/>
        </w:rPr>
        <w:t>]</w:t>
      </w:r>
      <w:r w:rsidRPr="00F82C8D">
        <w:t xml:space="preserve"> The new facility criteria and significant expansion criteria are set out in sections 33 and 34</w:t>
      </w:r>
      <w:r w:rsidR="00DE5E11" w:rsidRPr="00F82C8D">
        <w:t xml:space="preserve"> of the </w:t>
      </w:r>
      <w:r w:rsidR="00D360AB" w:rsidRPr="00F82C8D">
        <w:t>safeguard rule</w:t>
      </w:r>
      <w:r w:rsidRPr="00F82C8D">
        <w:t xml:space="preserve"> respectively and benchmark </w:t>
      </w:r>
      <w:r w:rsidR="00BB7C53" w:rsidRPr="00F82C8D">
        <w:t>emissions intens</w:t>
      </w:r>
      <w:r w:rsidRPr="00F82C8D">
        <w:t xml:space="preserve">ities </w:t>
      </w:r>
      <w:r w:rsidR="0094490F" w:rsidRPr="00F82C8D">
        <w:t xml:space="preserve">are </w:t>
      </w:r>
      <w:r w:rsidR="00BB0271" w:rsidRPr="00F82C8D">
        <w:t xml:space="preserve">listed in the </w:t>
      </w:r>
      <w:r w:rsidR="00C61DFD" w:rsidRPr="00F82C8D">
        <w:t>Benchmark Emissions-Intensity Index</w:t>
      </w:r>
      <w:r w:rsidR="00BB0271" w:rsidRPr="00F82C8D">
        <w:t xml:space="preserve"> in </w:t>
      </w:r>
      <w:r w:rsidR="00BF3FA1" w:rsidRPr="00F82C8D">
        <w:t>Schedule 1</w:t>
      </w:r>
      <w:r w:rsidRPr="00F82C8D">
        <w:t>.</w:t>
      </w:r>
      <w:r w:rsidR="0094490F" w:rsidRPr="00F82C8D">
        <w:t xml:space="preserve"> </w:t>
      </w:r>
    </w:p>
    <w:p w:rsidR="002B1F33" w:rsidRPr="00F82C8D" w:rsidRDefault="002B1F33" w:rsidP="007F0186">
      <w:pPr>
        <w:pStyle w:val="ListParagraph"/>
      </w:pPr>
      <w:r w:rsidRPr="00F82C8D">
        <w:t xml:space="preserve">The application must be submitted in a form provided by the Regulator. It needs to specify the responsible emitter’s requested </w:t>
      </w:r>
      <w:r w:rsidR="00F802CD" w:rsidRPr="00F82C8D">
        <w:t>start date</w:t>
      </w:r>
      <w:r w:rsidRPr="00F82C8D">
        <w:t xml:space="preserve"> of the </w:t>
      </w:r>
      <w:r w:rsidR="00AE6DBE" w:rsidRPr="00F82C8D">
        <w:t>benchmark-emissions</w:t>
      </w:r>
      <w:r w:rsidRPr="00F82C8D">
        <w:t xml:space="preserve"> baseline determination as 1 July of a particular year</w:t>
      </w:r>
      <w:r w:rsidR="00E71BCA" w:rsidRPr="00F82C8D">
        <w:t>, on or after 2020</w:t>
      </w:r>
      <w:r w:rsidRPr="00F82C8D">
        <w:t xml:space="preserve">. Other necessary information to include in the application is set out in section 35 and an audit report that complies with section 36 must also accompany the application. </w:t>
      </w:r>
      <w:r w:rsidR="0092078A" w:rsidRPr="00F82C8D">
        <w:rPr>
          <w:b/>
          <w:i/>
          <w:sz w:val="20"/>
        </w:rPr>
        <w:t>[</w:t>
      </w:r>
      <w:r w:rsidRPr="00F82C8D">
        <w:rPr>
          <w:b/>
          <w:i/>
          <w:sz w:val="20"/>
        </w:rPr>
        <w:t>subsection 32(2)</w:t>
      </w:r>
      <w:r w:rsidR="00E71BCA" w:rsidRPr="00F82C8D">
        <w:rPr>
          <w:b/>
          <w:i/>
          <w:sz w:val="20"/>
        </w:rPr>
        <w:t xml:space="preserve"> and subsection 33(6)</w:t>
      </w:r>
      <w:r w:rsidR="0092078A" w:rsidRPr="00F82C8D">
        <w:rPr>
          <w:b/>
          <w:i/>
          <w:sz w:val="20"/>
        </w:rPr>
        <w:t>]</w:t>
      </w:r>
    </w:p>
    <w:p w:rsidR="002B1F33" w:rsidRPr="00F82C8D" w:rsidRDefault="002B1F33" w:rsidP="00625D31">
      <w:pPr>
        <w:pStyle w:val="ListParagraph"/>
        <w:rPr>
          <w:szCs w:val="20"/>
        </w:rPr>
      </w:pPr>
      <w:r w:rsidRPr="00F82C8D">
        <w:t xml:space="preserve">There are restrictions on when the application can be submitted that relate to the requested start date. </w:t>
      </w:r>
      <w:r w:rsidR="00E71BCA" w:rsidRPr="00F82C8D">
        <w:t>The earliest it can be submitted is one year before the requested start date. The latest it can be submitted is the second 31 October after the requested start date, u</w:t>
      </w:r>
      <w:r w:rsidRPr="00F82C8D">
        <w:t>nless the Regulator has granted an exten</w:t>
      </w:r>
      <w:r w:rsidR="00E71BCA" w:rsidRPr="00F82C8D">
        <w:t>sion under subsection 32(5)</w:t>
      </w:r>
      <w:r w:rsidRPr="00F82C8D">
        <w:t xml:space="preserve">. </w:t>
      </w:r>
      <w:r w:rsidR="0092078A" w:rsidRPr="00F82C8D">
        <w:rPr>
          <w:b/>
          <w:i/>
          <w:sz w:val="20"/>
        </w:rPr>
        <w:t>[</w:t>
      </w:r>
      <w:r w:rsidRPr="00F82C8D">
        <w:rPr>
          <w:b/>
          <w:i/>
          <w:sz w:val="20"/>
        </w:rPr>
        <w:t>subsection 32(3)</w:t>
      </w:r>
      <w:r w:rsidR="0092078A" w:rsidRPr="00F82C8D">
        <w:rPr>
          <w:b/>
          <w:i/>
          <w:sz w:val="20"/>
        </w:rPr>
        <w:t>]</w:t>
      </w:r>
    </w:p>
    <w:p w:rsidR="002B1F33" w:rsidRPr="00F82C8D" w:rsidRDefault="002B1F33" w:rsidP="00625D31">
      <w:pPr>
        <w:pStyle w:val="ListParagraph"/>
        <w:rPr>
          <w:szCs w:val="20"/>
        </w:rPr>
      </w:pPr>
      <w:r w:rsidRPr="00F82C8D">
        <w:t xml:space="preserve">The Regulator may extend the deadline </w:t>
      </w:r>
      <w:r w:rsidR="005C117A" w:rsidRPr="00F82C8D">
        <w:t xml:space="preserve">for submitting the application </w:t>
      </w:r>
      <w:r w:rsidRPr="00F82C8D">
        <w:t>to the second 1 February after the requested start date if all the following conditions are met:</w:t>
      </w:r>
    </w:p>
    <w:p w:rsidR="002B1F33" w:rsidRPr="00F82C8D" w:rsidRDefault="002B1F33" w:rsidP="002E625A">
      <w:pPr>
        <w:pStyle w:val="ListBullet"/>
      </w:pPr>
      <w:r w:rsidRPr="00F82C8D">
        <w:t xml:space="preserve">an application was submitted that met the requirements set out in subsections 32(2) and 32(3) </w:t>
      </w:r>
      <w:r w:rsidR="0092078A" w:rsidRPr="00F82C8D">
        <w:rPr>
          <w:b/>
          <w:i/>
          <w:sz w:val="20"/>
        </w:rPr>
        <w:t>[</w:t>
      </w:r>
      <w:r w:rsidRPr="00F82C8D">
        <w:rPr>
          <w:b/>
          <w:i/>
          <w:sz w:val="20"/>
        </w:rPr>
        <w:t>paragraph 32(5)(a)</w:t>
      </w:r>
      <w:r w:rsidR="0092078A" w:rsidRPr="00F82C8D">
        <w:rPr>
          <w:b/>
          <w:i/>
          <w:sz w:val="20"/>
        </w:rPr>
        <w:t>]</w:t>
      </w:r>
    </w:p>
    <w:p w:rsidR="00DB293E" w:rsidRPr="00F82C8D" w:rsidRDefault="002B1F33">
      <w:pPr>
        <w:pStyle w:val="ListBullet"/>
      </w:pPr>
      <w:r w:rsidRPr="00F82C8D">
        <w:t xml:space="preserve">the Regulator refused to make the baseline determination requested in the application </w:t>
      </w:r>
      <w:r w:rsidR="0092078A" w:rsidRPr="00F82C8D">
        <w:rPr>
          <w:b/>
          <w:i/>
          <w:sz w:val="20"/>
        </w:rPr>
        <w:t>[</w:t>
      </w:r>
      <w:r w:rsidRPr="00F82C8D">
        <w:rPr>
          <w:b/>
          <w:i/>
          <w:sz w:val="20"/>
        </w:rPr>
        <w:t>paragraph 32(5)(b)</w:t>
      </w:r>
      <w:r w:rsidR="0092078A" w:rsidRPr="00F82C8D">
        <w:rPr>
          <w:b/>
          <w:i/>
          <w:sz w:val="20"/>
        </w:rPr>
        <w:t>]</w:t>
      </w:r>
    </w:p>
    <w:p w:rsidR="00DB293E" w:rsidRPr="00F82C8D" w:rsidRDefault="002B1F33">
      <w:pPr>
        <w:pStyle w:val="ListBullet"/>
      </w:pPr>
      <w:r w:rsidRPr="00F82C8D">
        <w:t>a new application submitted fol</w:t>
      </w:r>
      <w:r w:rsidR="0092078A" w:rsidRPr="00F82C8D">
        <w:t>lowing the Regulator’s refusal</w:t>
      </w:r>
      <w:r w:rsidRPr="00F82C8D">
        <w:t xml:space="preserve"> would not meet the deadline set out in paragraph 32(3)(b). </w:t>
      </w:r>
      <w:r w:rsidR="0092078A" w:rsidRPr="00F82C8D">
        <w:rPr>
          <w:b/>
          <w:i/>
          <w:sz w:val="20"/>
        </w:rPr>
        <w:t>[</w:t>
      </w:r>
      <w:r w:rsidRPr="00F82C8D">
        <w:rPr>
          <w:b/>
          <w:i/>
          <w:sz w:val="20"/>
        </w:rPr>
        <w:t>paragraph 32(5)(c)</w:t>
      </w:r>
      <w:r w:rsidR="0092078A" w:rsidRPr="00F82C8D">
        <w:rPr>
          <w:b/>
          <w:i/>
          <w:sz w:val="20"/>
        </w:rPr>
        <w:t>]</w:t>
      </w:r>
    </w:p>
    <w:p w:rsidR="00DB293E" w:rsidRPr="00F82C8D" w:rsidRDefault="007F0186" w:rsidP="00745A5B">
      <w:pPr>
        <w:pStyle w:val="ListParagraph"/>
      </w:pPr>
      <w:r w:rsidRPr="00F82C8D">
        <w:t xml:space="preserve">This allows extra time for </w:t>
      </w:r>
      <w:r w:rsidR="002E3F8D" w:rsidRPr="00F82C8D">
        <w:t>the submission of a subsequent application in the event that the previous application to have a b</w:t>
      </w:r>
      <w:r w:rsidR="005C117A" w:rsidRPr="00F82C8D">
        <w:t>aseline made was not successful, but had met the requirements for what to include in the application and was submitted on time.</w:t>
      </w:r>
    </w:p>
    <w:p w:rsidR="00E71BCA" w:rsidRPr="00F82C8D" w:rsidRDefault="00E71BCA" w:rsidP="00E71BCA">
      <w:pPr>
        <w:pStyle w:val="ListParagraph"/>
        <w:rPr>
          <w:szCs w:val="20"/>
        </w:rPr>
      </w:pPr>
      <w:r w:rsidRPr="00F82C8D">
        <w:rPr>
          <w:rFonts w:eastAsia="Calibri"/>
          <w:lang w:bidi="ar-SA"/>
        </w:rPr>
        <w:t xml:space="preserve">A responsible emitter may withdraw an application at any time before the Regulator makes a decision on the application. This needs to be done by written notice to the Regulator. </w:t>
      </w:r>
      <w:r w:rsidRPr="00F82C8D">
        <w:rPr>
          <w:rFonts w:eastAsia="Calibri"/>
          <w:b/>
          <w:i/>
          <w:sz w:val="20"/>
          <w:lang w:bidi="ar-SA"/>
        </w:rPr>
        <w:t>[subsection 32(4)]</w:t>
      </w:r>
    </w:p>
    <w:p w:rsidR="002B1F33" w:rsidRPr="00F82C8D" w:rsidRDefault="0094490F" w:rsidP="00891B83">
      <w:pPr>
        <w:pStyle w:val="Heading3"/>
        <w:rPr>
          <w:rFonts w:eastAsiaTheme="minorHAnsi"/>
        </w:rPr>
      </w:pPr>
      <w:bookmarkStart w:id="104" w:name="_Ref427935120"/>
      <w:r w:rsidRPr="00F82C8D">
        <w:rPr>
          <w:rFonts w:eastAsiaTheme="minorHAnsi"/>
        </w:rPr>
        <w:t xml:space="preserve">Section 33: </w:t>
      </w:r>
      <w:r w:rsidR="002B1F33" w:rsidRPr="00F82C8D">
        <w:rPr>
          <w:rFonts w:eastAsiaTheme="minorHAnsi"/>
        </w:rPr>
        <w:t>New facility criteria</w:t>
      </w:r>
      <w:bookmarkEnd w:id="104"/>
      <w:r w:rsidR="002B1F33" w:rsidRPr="00F82C8D">
        <w:rPr>
          <w:rFonts w:eastAsiaTheme="minorHAnsi"/>
        </w:rPr>
        <w:t xml:space="preserve"> </w:t>
      </w:r>
    </w:p>
    <w:p w:rsidR="002B1F33" w:rsidRPr="00F82C8D" w:rsidRDefault="002B1F33" w:rsidP="00625D31">
      <w:pPr>
        <w:pStyle w:val="ListParagraph"/>
        <w:rPr>
          <w:b/>
        </w:rPr>
      </w:pPr>
      <w:r w:rsidRPr="00F82C8D">
        <w:rPr>
          <w:rFonts w:eastAsiaTheme="minorHAnsi"/>
        </w:rPr>
        <w:t xml:space="preserve">This section sets out the </w:t>
      </w:r>
      <w:r w:rsidR="002E3F8D" w:rsidRPr="00F82C8D">
        <w:rPr>
          <w:rFonts w:eastAsiaTheme="minorHAnsi"/>
        </w:rPr>
        <w:t>criteria that a facility must meet to qualify</w:t>
      </w:r>
      <w:r w:rsidRPr="00F82C8D">
        <w:rPr>
          <w:rFonts w:eastAsiaTheme="minorHAnsi"/>
        </w:rPr>
        <w:t xml:space="preserve"> for a </w:t>
      </w:r>
      <w:r w:rsidR="00AE6DBE" w:rsidRPr="00F82C8D">
        <w:rPr>
          <w:rFonts w:eastAsiaTheme="minorHAnsi"/>
        </w:rPr>
        <w:t>benchmark-emissions</w:t>
      </w:r>
      <w:r w:rsidRPr="00F82C8D">
        <w:rPr>
          <w:rFonts w:eastAsiaTheme="minorHAnsi"/>
        </w:rPr>
        <w:t xml:space="preserve"> baseline determination</w:t>
      </w:r>
      <w:r w:rsidR="00FE25E5" w:rsidRPr="00F82C8D">
        <w:rPr>
          <w:rFonts w:eastAsiaTheme="minorHAnsi"/>
        </w:rPr>
        <w:t xml:space="preserve">. </w:t>
      </w:r>
      <w:r w:rsidR="0092078A" w:rsidRPr="00F82C8D">
        <w:rPr>
          <w:rFonts w:eastAsiaTheme="minorHAnsi"/>
          <w:b/>
          <w:i/>
          <w:sz w:val="20"/>
        </w:rPr>
        <w:t>[</w:t>
      </w:r>
      <w:r w:rsidRPr="00F82C8D">
        <w:rPr>
          <w:rFonts w:eastAsiaTheme="minorHAnsi"/>
          <w:b/>
          <w:i/>
          <w:sz w:val="20"/>
        </w:rPr>
        <w:t>section 33</w:t>
      </w:r>
      <w:r w:rsidR="0092078A" w:rsidRPr="00F82C8D">
        <w:rPr>
          <w:rFonts w:eastAsiaTheme="minorHAnsi"/>
          <w:b/>
          <w:i/>
          <w:sz w:val="20"/>
        </w:rPr>
        <w:t>]</w:t>
      </w:r>
      <w:r w:rsidR="0094490F" w:rsidRPr="00F82C8D">
        <w:rPr>
          <w:rFonts w:eastAsiaTheme="minorHAnsi"/>
          <w:b/>
          <w:i/>
          <w:sz w:val="20"/>
        </w:rPr>
        <w:t xml:space="preserve"> </w:t>
      </w:r>
      <w:r w:rsidR="002E3F8D" w:rsidRPr="00F82C8D">
        <w:rPr>
          <w:rFonts w:eastAsiaTheme="minorHAnsi"/>
        </w:rPr>
        <w:t>These criteria are based on demonstrating the facility is a new f</w:t>
      </w:r>
      <w:r w:rsidR="00FE6673" w:rsidRPr="00F82C8D">
        <w:rPr>
          <w:rFonts w:eastAsiaTheme="minorHAnsi"/>
        </w:rPr>
        <w:t>acility and</w:t>
      </w:r>
      <w:r w:rsidR="005C117A" w:rsidRPr="00F82C8D">
        <w:rPr>
          <w:rFonts w:eastAsiaTheme="minorHAnsi"/>
        </w:rPr>
        <w:t xml:space="preserve"> are</w:t>
      </w:r>
      <w:r w:rsidR="00FE6673" w:rsidRPr="00F82C8D">
        <w:rPr>
          <w:rFonts w:eastAsiaTheme="minorHAnsi"/>
        </w:rPr>
        <w:t xml:space="preserve"> similar</w:t>
      </w:r>
      <w:r w:rsidR="0094490F" w:rsidRPr="00F82C8D">
        <w:rPr>
          <w:rFonts w:eastAsiaTheme="minorHAnsi"/>
        </w:rPr>
        <w:t xml:space="preserve"> to the new facility </w:t>
      </w:r>
      <w:r w:rsidR="00893FB8" w:rsidRPr="00F82C8D">
        <w:rPr>
          <w:rFonts w:eastAsiaTheme="minorHAnsi"/>
        </w:rPr>
        <w:t>criteria</w:t>
      </w:r>
      <w:r w:rsidR="0094490F" w:rsidRPr="00F82C8D">
        <w:rPr>
          <w:rFonts w:eastAsiaTheme="minorHAnsi"/>
        </w:rPr>
        <w:t xml:space="preserve"> for calculated-emissions baseline determinations.</w:t>
      </w:r>
      <w:r w:rsidR="00FE6673" w:rsidRPr="00F82C8D">
        <w:rPr>
          <w:rFonts w:eastAsiaTheme="minorHAnsi"/>
        </w:rPr>
        <w:t xml:space="preserve"> </w:t>
      </w:r>
    </w:p>
    <w:p w:rsidR="002B1F33" w:rsidRPr="00F82C8D" w:rsidRDefault="002B1F33" w:rsidP="00625D31">
      <w:pPr>
        <w:pStyle w:val="ListParagraph"/>
      </w:pPr>
      <w:r w:rsidRPr="00F82C8D">
        <w:rPr>
          <w:rFonts w:eastAsiaTheme="minorHAnsi"/>
        </w:rPr>
        <w:t xml:space="preserve">A new facility </w:t>
      </w:r>
      <w:r w:rsidR="00C65925" w:rsidRPr="00F82C8D">
        <w:rPr>
          <w:rFonts w:eastAsiaTheme="minorHAnsi"/>
        </w:rPr>
        <w:t>must</w:t>
      </w:r>
      <w:r w:rsidRPr="00F82C8D">
        <w:rPr>
          <w:rFonts w:eastAsiaTheme="minorHAnsi"/>
        </w:rPr>
        <w:t xml:space="preserve"> not </w:t>
      </w:r>
      <w:r w:rsidR="0092078A" w:rsidRPr="00F82C8D">
        <w:rPr>
          <w:rFonts w:eastAsiaTheme="minorHAnsi"/>
        </w:rPr>
        <w:t xml:space="preserve">already </w:t>
      </w:r>
      <w:r w:rsidR="00FE6673" w:rsidRPr="00F82C8D">
        <w:rPr>
          <w:rFonts w:eastAsiaTheme="minorHAnsi"/>
        </w:rPr>
        <w:t>be covered by</w:t>
      </w:r>
      <w:r w:rsidRPr="00F82C8D">
        <w:rPr>
          <w:rFonts w:eastAsiaTheme="minorHAnsi"/>
        </w:rPr>
        <w:t xml:space="preserve"> a baseline determination</w:t>
      </w:r>
      <w:r w:rsidR="0092078A" w:rsidRPr="00F82C8D">
        <w:rPr>
          <w:rFonts w:eastAsiaTheme="minorHAnsi"/>
        </w:rPr>
        <w:t xml:space="preserve">. The one exception to this is </w:t>
      </w:r>
      <w:r w:rsidR="00744E76" w:rsidRPr="00F82C8D">
        <w:rPr>
          <w:rFonts w:eastAsiaTheme="minorHAnsi"/>
        </w:rPr>
        <w:t xml:space="preserve">if the </w:t>
      </w:r>
      <w:r w:rsidRPr="00F82C8D">
        <w:rPr>
          <w:rFonts w:eastAsiaTheme="minorHAnsi"/>
        </w:rPr>
        <w:t xml:space="preserve">baseline determination </w:t>
      </w:r>
      <w:r w:rsidR="00744E76" w:rsidRPr="00F82C8D">
        <w:rPr>
          <w:rFonts w:eastAsiaTheme="minorHAnsi"/>
        </w:rPr>
        <w:t xml:space="preserve">that covers the facility </w:t>
      </w:r>
      <w:r w:rsidRPr="00F82C8D">
        <w:rPr>
          <w:rFonts w:eastAsiaTheme="minorHAnsi"/>
        </w:rPr>
        <w:t xml:space="preserve">does not account for a new </w:t>
      </w:r>
      <w:r w:rsidRPr="00F82C8D">
        <w:t xml:space="preserve">benchmark </w:t>
      </w:r>
      <w:r w:rsidR="00BB7C53" w:rsidRPr="00F82C8D">
        <w:t>emissions intens</w:t>
      </w:r>
      <w:r w:rsidRPr="00F82C8D">
        <w:t>ity applicable to the facility</w:t>
      </w:r>
      <w:r w:rsidR="0092078A" w:rsidRPr="00F82C8D">
        <w:t xml:space="preserve">, as set out in </w:t>
      </w:r>
      <w:r w:rsidR="00BF3FA1" w:rsidRPr="00F82C8D">
        <w:t>Schedule 1</w:t>
      </w:r>
      <w:r w:rsidR="0092078A" w:rsidRPr="00F82C8D">
        <w:t>.</w:t>
      </w:r>
      <w:r w:rsidRPr="00F82C8D">
        <w:rPr>
          <w:rFonts w:eastAsiaTheme="minorHAnsi"/>
        </w:rPr>
        <w:t xml:space="preserve"> </w:t>
      </w:r>
      <w:r w:rsidR="0092078A" w:rsidRPr="00F82C8D">
        <w:rPr>
          <w:rFonts w:eastAsiaTheme="minorHAnsi"/>
          <w:b/>
          <w:i/>
          <w:sz w:val="20"/>
        </w:rPr>
        <w:t>[</w:t>
      </w:r>
      <w:r w:rsidR="00822FF7" w:rsidRPr="00F82C8D">
        <w:rPr>
          <w:rFonts w:eastAsiaTheme="minorHAnsi"/>
          <w:b/>
          <w:i/>
          <w:sz w:val="20"/>
        </w:rPr>
        <w:t>subsections</w:t>
      </w:r>
      <w:r w:rsidRPr="00F82C8D">
        <w:rPr>
          <w:rFonts w:eastAsiaTheme="minorHAnsi"/>
          <w:b/>
          <w:i/>
          <w:sz w:val="20"/>
        </w:rPr>
        <w:t xml:space="preserve"> 33</w:t>
      </w:r>
      <w:r w:rsidRPr="00F82C8D">
        <w:rPr>
          <w:b/>
          <w:i/>
          <w:sz w:val="20"/>
        </w:rPr>
        <w:t>(2)</w:t>
      </w:r>
      <w:r w:rsidR="00822FF7" w:rsidRPr="00F82C8D">
        <w:rPr>
          <w:b/>
          <w:i/>
          <w:sz w:val="20"/>
        </w:rPr>
        <w:t xml:space="preserve"> and </w:t>
      </w:r>
      <w:r w:rsidRPr="00F82C8D">
        <w:rPr>
          <w:b/>
          <w:i/>
          <w:sz w:val="20"/>
        </w:rPr>
        <w:t>33(</w:t>
      </w:r>
      <w:r w:rsidR="0097521C" w:rsidRPr="00F82C8D">
        <w:rPr>
          <w:b/>
          <w:i/>
          <w:sz w:val="20"/>
        </w:rPr>
        <w:t>7</w:t>
      </w:r>
      <w:r w:rsidRPr="00F82C8D">
        <w:rPr>
          <w:b/>
          <w:i/>
          <w:sz w:val="20"/>
        </w:rPr>
        <w:t>)</w:t>
      </w:r>
      <w:r w:rsidR="0092078A" w:rsidRPr="00F82C8D">
        <w:rPr>
          <w:b/>
          <w:i/>
          <w:sz w:val="20"/>
        </w:rPr>
        <w:t>]</w:t>
      </w:r>
      <w:r w:rsidR="00FE6673" w:rsidRPr="00F82C8D">
        <w:rPr>
          <w:rFonts w:eastAsiaTheme="minorHAnsi"/>
        </w:rPr>
        <w:t xml:space="preserve"> In this situation, the facility </w:t>
      </w:r>
      <w:r w:rsidR="00474481" w:rsidRPr="00F82C8D">
        <w:rPr>
          <w:rFonts w:eastAsiaTheme="minorHAnsi"/>
        </w:rPr>
        <w:t>may</w:t>
      </w:r>
      <w:r w:rsidR="00FE6673" w:rsidRPr="00F82C8D">
        <w:rPr>
          <w:rFonts w:eastAsiaTheme="minorHAnsi"/>
        </w:rPr>
        <w:t xml:space="preserve"> apply to have a baseline determination</w:t>
      </w:r>
      <w:r w:rsidR="00474481" w:rsidRPr="00F82C8D">
        <w:rPr>
          <w:rFonts w:eastAsiaTheme="minorHAnsi"/>
        </w:rPr>
        <w:t xml:space="preserve"> made</w:t>
      </w:r>
      <w:r w:rsidR="00DE5E11" w:rsidRPr="00F82C8D">
        <w:rPr>
          <w:rFonts w:eastAsiaTheme="minorHAnsi"/>
        </w:rPr>
        <w:t xml:space="preserve"> meeting the new facility criteria, which would replace the existing baseline</w:t>
      </w:r>
      <w:r w:rsidR="00474481" w:rsidRPr="00F82C8D">
        <w:rPr>
          <w:rFonts w:eastAsiaTheme="minorHAnsi"/>
        </w:rPr>
        <w:t xml:space="preserve"> that </w:t>
      </w:r>
      <w:r w:rsidR="00DE5E11" w:rsidRPr="00F82C8D">
        <w:rPr>
          <w:rFonts w:eastAsiaTheme="minorHAnsi"/>
        </w:rPr>
        <w:t xml:space="preserve">no longer </w:t>
      </w:r>
      <w:r w:rsidR="00474481" w:rsidRPr="00F82C8D">
        <w:rPr>
          <w:rFonts w:eastAsiaTheme="minorHAnsi"/>
        </w:rPr>
        <w:t xml:space="preserve">accounts for all the benchmark </w:t>
      </w:r>
      <w:r w:rsidR="00BB7C53" w:rsidRPr="00F82C8D">
        <w:rPr>
          <w:rFonts w:eastAsiaTheme="minorHAnsi"/>
        </w:rPr>
        <w:t>emissions intens</w:t>
      </w:r>
      <w:r w:rsidR="00E71BCA" w:rsidRPr="00F82C8D">
        <w:rPr>
          <w:rFonts w:eastAsiaTheme="minorHAnsi"/>
        </w:rPr>
        <w:t xml:space="preserve">ities </w:t>
      </w:r>
      <w:r w:rsidR="00474481" w:rsidRPr="00F82C8D">
        <w:rPr>
          <w:rFonts w:eastAsiaTheme="minorHAnsi"/>
        </w:rPr>
        <w:t>that are relevant to the facility</w:t>
      </w:r>
      <w:r w:rsidR="00FE6673" w:rsidRPr="00F82C8D">
        <w:rPr>
          <w:rFonts w:eastAsiaTheme="minorHAnsi"/>
        </w:rPr>
        <w:t xml:space="preserve">. </w:t>
      </w:r>
    </w:p>
    <w:p w:rsidR="005C117A" w:rsidRPr="00F82C8D" w:rsidRDefault="005C117A" w:rsidP="005C117A">
      <w:pPr>
        <w:pStyle w:val="ListParagraph"/>
      </w:pPr>
      <w:r w:rsidRPr="00F82C8D">
        <w:rPr>
          <w:rFonts w:eastAsiaTheme="minorHAnsi"/>
        </w:rPr>
        <w:t xml:space="preserve">A new facility will also not have an expired calculated-emissions baseline determination, unless the reason it expired was that the facility </w:t>
      </w:r>
      <w:r w:rsidRPr="00F82C8D">
        <w:t>had not emitted more than 100,000 t CO</w:t>
      </w:r>
      <w:r w:rsidRPr="00F82C8D">
        <w:rPr>
          <w:vertAlign w:val="subscript"/>
        </w:rPr>
        <w:t>2</w:t>
      </w:r>
      <w:r w:rsidRPr="00F82C8D">
        <w:t>-e of covered emissio</w:t>
      </w:r>
      <w:r w:rsidR="00DE5E11" w:rsidRPr="00F82C8D">
        <w:t>ns in a financial year before 1 </w:t>
      </w:r>
      <w:r w:rsidRPr="00F82C8D">
        <w:t xml:space="preserve">July 2020. </w:t>
      </w:r>
      <w:r w:rsidRPr="00F82C8D">
        <w:rPr>
          <w:rFonts w:eastAsiaTheme="minorHAnsi"/>
          <w:b/>
          <w:i/>
          <w:sz w:val="20"/>
        </w:rPr>
        <w:t>[subsection 33(5)]</w:t>
      </w:r>
    </w:p>
    <w:p w:rsidR="002B1F33" w:rsidRPr="00F82C8D" w:rsidRDefault="002B1F33" w:rsidP="00625D31">
      <w:pPr>
        <w:pStyle w:val="ListParagraph"/>
      </w:pPr>
      <w:r w:rsidRPr="00F82C8D">
        <w:t xml:space="preserve">A new facility </w:t>
      </w:r>
      <w:r w:rsidR="00C65925" w:rsidRPr="00F82C8D">
        <w:t>must have</w:t>
      </w:r>
      <w:r w:rsidR="0092078A" w:rsidRPr="00F82C8D">
        <w:t xml:space="preserve"> not</w:t>
      </w:r>
      <w:r w:rsidR="00400D95" w:rsidRPr="00F82C8D">
        <w:t xml:space="preserve"> been required to report its s</w:t>
      </w:r>
      <w:r w:rsidRPr="00F82C8D">
        <w:t xml:space="preserve">cope 1 emissions under the Act for five of more years before the requested start date of the baseline determination. </w:t>
      </w:r>
      <w:r w:rsidR="0092078A" w:rsidRPr="00F82C8D">
        <w:rPr>
          <w:rFonts w:eastAsiaTheme="minorHAnsi"/>
          <w:b/>
          <w:i/>
          <w:sz w:val="20"/>
        </w:rPr>
        <w:t>[</w:t>
      </w:r>
      <w:r w:rsidR="00822FF7" w:rsidRPr="00F82C8D">
        <w:rPr>
          <w:rFonts w:eastAsiaTheme="minorHAnsi"/>
          <w:b/>
          <w:i/>
          <w:sz w:val="20"/>
        </w:rPr>
        <w:t>subsection</w:t>
      </w:r>
      <w:r w:rsidRPr="00F82C8D">
        <w:rPr>
          <w:rFonts w:eastAsiaTheme="minorHAnsi"/>
          <w:b/>
          <w:i/>
          <w:sz w:val="20"/>
        </w:rPr>
        <w:t xml:space="preserve"> 33</w:t>
      </w:r>
      <w:r w:rsidRPr="00F82C8D">
        <w:rPr>
          <w:b/>
          <w:i/>
          <w:sz w:val="20"/>
        </w:rPr>
        <w:t>(</w:t>
      </w:r>
      <w:r w:rsidR="0097521C" w:rsidRPr="00F82C8D">
        <w:rPr>
          <w:b/>
          <w:i/>
          <w:sz w:val="20"/>
        </w:rPr>
        <w:t>3</w:t>
      </w:r>
      <w:r w:rsidRPr="00F82C8D">
        <w:rPr>
          <w:b/>
          <w:i/>
          <w:sz w:val="20"/>
        </w:rPr>
        <w:t>)</w:t>
      </w:r>
      <w:r w:rsidR="0092078A" w:rsidRPr="00F82C8D">
        <w:rPr>
          <w:b/>
          <w:i/>
          <w:sz w:val="20"/>
        </w:rPr>
        <w:t>]</w:t>
      </w:r>
      <w:r w:rsidR="001169E2" w:rsidRPr="00F82C8D">
        <w:rPr>
          <w:b/>
          <w:i/>
          <w:sz w:val="20"/>
        </w:rPr>
        <w:t xml:space="preserve"> </w:t>
      </w:r>
      <w:r w:rsidR="001169E2" w:rsidRPr="00F82C8D">
        <w:t xml:space="preserve">Facilities that have been required </w:t>
      </w:r>
      <w:r w:rsidR="00893FB8" w:rsidRPr="00F82C8D">
        <w:t>to report</w:t>
      </w:r>
      <w:r w:rsidR="001169E2" w:rsidRPr="00F82C8D">
        <w:t xml:space="preserve"> under the Act </w:t>
      </w:r>
      <w:r w:rsidR="00C65925" w:rsidRPr="00F82C8D">
        <w:t xml:space="preserve">for </w:t>
      </w:r>
      <w:r w:rsidR="00AF4E28" w:rsidRPr="00F82C8D">
        <w:t xml:space="preserve">five </w:t>
      </w:r>
      <w:r w:rsidR="00C65925" w:rsidRPr="00F82C8D">
        <w:t>or more years</w:t>
      </w:r>
      <w:r w:rsidR="001169E2" w:rsidRPr="00F82C8D">
        <w:t xml:space="preserve"> will have completed their ramp-up phases and are not new.</w:t>
      </w:r>
    </w:p>
    <w:p w:rsidR="002B1F33" w:rsidRPr="00F82C8D" w:rsidRDefault="002B1F33" w:rsidP="00625D31">
      <w:pPr>
        <w:pStyle w:val="ListParagraph"/>
      </w:pPr>
      <w:r w:rsidRPr="00F82C8D">
        <w:t xml:space="preserve">A new facility </w:t>
      </w:r>
      <w:r w:rsidR="00C65925" w:rsidRPr="00F82C8D">
        <w:t>must have</w:t>
      </w:r>
      <w:r w:rsidRPr="00F82C8D">
        <w:t xml:space="preserve"> already emitted</w:t>
      </w:r>
      <w:r w:rsidR="00AD209C" w:rsidRPr="00F82C8D">
        <w:t xml:space="preserve"> more than</w:t>
      </w:r>
      <w:r w:rsidRPr="00F82C8D">
        <w:t xml:space="preserve"> 100,000 t CO</w:t>
      </w:r>
      <w:r w:rsidR="00E073C6" w:rsidRPr="00F82C8D">
        <w:rPr>
          <w:vertAlign w:val="subscript"/>
        </w:rPr>
        <w:t>2</w:t>
      </w:r>
      <w:r w:rsidR="00E073C6" w:rsidRPr="00F82C8D">
        <w:t>-</w:t>
      </w:r>
      <w:r w:rsidRPr="00F82C8D">
        <w:t>e of covered emissions in a financial year or is reasonably expected to emit more than 100,000 t CO</w:t>
      </w:r>
      <w:r w:rsidR="00E073C6" w:rsidRPr="00F82C8D">
        <w:rPr>
          <w:vertAlign w:val="subscript"/>
        </w:rPr>
        <w:t>2</w:t>
      </w:r>
      <w:r w:rsidR="00E073C6" w:rsidRPr="00F82C8D">
        <w:t>-</w:t>
      </w:r>
      <w:r w:rsidRPr="00F82C8D">
        <w:t>e of covered emissions</w:t>
      </w:r>
      <w:r w:rsidR="00744E76" w:rsidRPr="00F82C8D">
        <w:t xml:space="preserve"> in the</w:t>
      </w:r>
      <w:r w:rsidRPr="00F82C8D">
        <w:t xml:space="preserve"> first year of the proposed </w:t>
      </w:r>
      <w:r w:rsidR="00AE6DBE" w:rsidRPr="00F82C8D">
        <w:t>benchmark-emissions</w:t>
      </w:r>
      <w:r w:rsidRPr="00F82C8D">
        <w:t xml:space="preserve"> baseline determination</w:t>
      </w:r>
      <w:r w:rsidR="00744E76" w:rsidRPr="00F82C8D">
        <w:t>.</w:t>
      </w:r>
      <w:r w:rsidRPr="00F82C8D">
        <w:rPr>
          <w:rFonts w:eastAsiaTheme="minorHAnsi"/>
        </w:rPr>
        <w:t xml:space="preserve"> </w:t>
      </w:r>
      <w:r w:rsidR="0092078A" w:rsidRPr="00F82C8D">
        <w:rPr>
          <w:rFonts w:eastAsiaTheme="minorHAnsi"/>
          <w:b/>
          <w:i/>
          <w:sz w:val="20"/>
        </w:rPr>
        <w:t>[</w:t>
      </w:r>
      <w:r w:rsidRPr="00F82C8D">
        <w:rPr>
          <w:rFonts w:eastAsiaTheme="minorHAnsi"/>
          <w:b/>
          <w:i/>
          <w:sz w:val="20"/>
        </w:rPr>
        <w:t>subsection 33(</w:t>
      </w:r>
      <w:r w:rsidR="0097521C" w:rsidRPr="00F82C8D">
        <w:rPr>
          <w:rFonts w:eastAsiaTheme="minorHAnsi"/>
          <w:b/>
          <w:i/>
          <w:sz w:val="20"/>
        </w:rPr>
        <w:t>4</w:t>
      </w:r>
      <w:r w:rsidRPr="00F82C8D">
        <w:rPr>
          <w:rFonts w:eastAsiaTheme="minorHAnsi"/>
          <w:b/>
          <w:i/>
          <w:sz w:val="20"/>
        </w:rPr>
        <w:t>)</w:t>
      </w:r>
      <w:r w:rsidR="00744E76" w:rsidRPr="00F82C8D">
        <w:rPr>
          <w:rFonts w:eastAsiaTheme="minorHAnsi"/>
          <w:b/>
          <w:i/>
          <w:sz w:val="20"/>
        </w:rPr>
        <w:t>]</w:t>
      </w:r>
      <w:r w:rsidR="001169E2" w:rsidRPr="00F82C8D">
        <w:rPr>
          <w:rFonts w:eastAsiaTheme="minorHAnsi"/>
          <w:b/>
          <w:i/>
          <w:sz w:val="20"/>
        </w:rPr>
        <w:t xml:space="preserve"> </w:t>
      </w:r>
      <w:r w:rsidR="001169E2" w:rsidRPr="00F82C8D">
        <w:t xml:space="preserve">This provision ensures that baseline determinations are only made for facilities if they are </w:t>
      </w:r>
      <w:r w:rsidR="00FE25E5" w:rsidRPr="00F82C8D">
        <w:t>likely to be covered by the safeguard mechanism</w:t>
      </w:r>
      <w:r w:rsidR="001169E2" w:rsidRPr="00F82C8D">
        <w:t>.</w:t>
      </w:r>
    </w:p>
    <w:p w:rsidR="002B1F33" w:rsidRPr="00F82C8D" w:rsidRDefault="00744E76" w:rsidP="00625D31">
      <w:pPr>
        <w:pStyle w:val="ListParagraph"/>
      </w:pPr>
      <w:r w:rsidRPr="00F82C8D">
        <w:t xml:space="preserve">1 July 2020 is the </w:t>
      </w:r>
      <w:r w:rsidR="002B1F33" w:rsidRPr="00F82C8D">
        <w:t xml:space="preserve">earliest </w:t>
      </w:r>
      <w:r w:rsidR="00F802CD" w:rsidRPr="00F82C8D">
        <w:t>start date</w:t>
      </w:r>
      <w:r w:rsidR="002B1F33" w:rsidRPr="00F82C8D">
        <w:t xml:space="preserve"> of a </w:t>
      </w:r>
      <w:r w:rsidR="00AE6DBE" w:rsidRPr="00F82C8D">
        <w:t>benchmark-emissions</w:t>
      </w:r>
      <w:r w:rsidR="002B1F33" w:rsidRPr="00F82C8D">
        <w:t xml:space="preserve"> baseline determination that a responsible emitter of a new facility can request</w:t>
      </w:r>
      <w:r w:rsidRPr="00F82C8D">
        <w:t>.</w:t>
      </w:r>
      <w:r w:rsidR="002B1F33" w:rsidRPr="00F82C8D">
        <w:rPr>
          <w:rFonts w:eastAsiaTheme="minorHAnsi"/>
        </w:rPr>
        <w:t xml:space="preserve"> </w:t>
      </w:r>
      <w:r w:rsidR="0092078A" w:rsidRPr="00F82C8D">
        <w:rPr>
          <w:rFonts w:eastAsiaTheme="minorHAnsi"/>
          <w:b/>
          <w:i/>
          <w:sz w:val="20"/>
        </w:rPr>
        <w:t>[</w:t>
      </w:r>
      <w:r w:rsidR="000E5315" w:rsidRPr="00F82C8D">
        <w:rPr>
          <w:rFonts w:eastAsiaTheme="minorHAnsi"/>
          <w:b/>
          <w:i/>
          <w:sz w:val="20"/>
        </w:rPr>
        <w:t>subsection </w:t>
      </w:r>
      <w:r w:rsidR="002B1F33" w:rsidRPr="00F82C8D">
        <w:rPr>
          <w:rFonts w:eastAsiaTheme="minorHAnsi"/>
          <w:b/>
          <w:i/>
          <w:sz w:val="20"/>
        </w:rPr>
        <w:t>33(</w:t>
      </w:r>
      <w:r w:rsidR="0097521C" w:rsidRPr="00F82C8D">
        <w:rPr>
          <w:rFonts w:eastAsiaTheme="minorHAnsi"/>
          <w:b/>
          <w:i/>
          <w:sz w:val="20"/>
        </w:rPr>
        <w:t>6</w:t>
      </w:r>
      <w:r w:rsidR="002B1F33" w:rsidRPr="00F82C8D">
        <w:rPr>
          <w:rFonts w:eastAsiaTheme="minorHAnsi"/>
          <w:b/>
          <w:i/>
          <w:sz w:val="20"/>
        </w:rPr>
        <w:t>)</w:t>
      </w:r>
      <w:r w:rsidRPr="00F82C8D">
        <w:rPr>
          <w:rFonts w:eastAsiaTheme="minorHAnsi"/>
          <w:b/>
          <w:i/>
          <w:sz w:val="20"/>
        </w:rPr>
        <w:t>]</w:t>
      </w:r>
    </w:p>
    <w:p w:rsidR="002B1F33" w:rsidRPr="00F82C8D" w:rsidRDefault="00C65925" w:rsidP="00891B83">
      <w:pPr>
        <w:pStyle w:val="Heading3"/>
      </w:pPr>
      <w:bookmarkStart w:id="105" w:name="_Ref426359292"/>
      <w:r w:rsidRPr="00F82C8D">
        <w:t xml:space="preserve">Section 34: </w:t>
      </w:r>
      <w:r w:rsidR="002B1F33" w:rsidRPr="00F82C8D">
        <w:t>Significant expansion criteria</w:t>
      </w:r>
      <w:bookmarkEnd w:id="105"/>
    </w:p>
    <w:p w:rsidR="002B1F33" w:rsidRPr="00F82C8D" w:rsidRDefault="002B1F33" w:rsidP="00625D31">
      <w:pPr>
        <w:pStyle w:val="ListParagraph"/>
        <w:rPr>
          <w:b/>
        </w:rPr>
      </w:pPr>
      <w:r w:rsidRPr="00F82C8D">
        <w:rPr>
          <w:rFonts w:eastAsiaTheme="minorHAnsi"/>
        </w:rPr>
        <w:t xml:space="preserve">This section of the </w:t>
      </w:r>
      <w:r w:rsidR="00D360AB" w:rsidRPr="00F82C8D">
        <w:rPr>
          <w:rFonts w:eastAsiaTheme="minorHAnsi"/>
        </w:rPr>
        <w:t>safeguard rule</w:t>
      </w:r>
      <w:r w:rsidRPr="00F82C8D">
        <w:rPr>
          <w:rFonts w:eastAsiaTheme="minorHAnsi"/>
        </w:rPr>
        <w:t xml:space="preserve"> sets out the criteria for </w:t>
      </w:r>
      <w:r w:rsidR="00FE25E5" w:rsidRPr="00F82C8D">
        <w:rPr>
          <w:rFonts w:eastAsiaTheme="minorHAnsi"/>
        </w:rPr>
        <w:t>demonstrating that a facility has undergone a significant expansion and therefore qualifies</w:t>
      </w:r>
      <w:r w:rsidRPr="00F82C8D">
        <w:rPr>
          <w:rFonts w:eastAsiaTheme="minorHAnsi"/>
        </w:rPr>
        <w:t xml:space="preserve"> for a </w:t>
      </w:r>
      <w:r w:rsidR="00AE6DBE" w:rsidRPr="00F82C8D">
        <w:rPr>
          <w:rFonts w:eastAsiaTheme="minorHAnsi"/>
        </w:rPr>
        <w:t>benchmark-emissions</w:t>
      </w:r>
      <w:r w:rsidRPr="00F82C8D">
        <w:rPr>
          <w:rFonts w:eastAsiaTheme="minorHAnsi"/>
        </w:rPr>
        <w:t xml:space="preserve"> baseline determination</w:t>
      </w:r>
      <w:r w:rsidR="00FE25E5" w:rsidRPr="00F82C8D">
        <w:rPr>
          <w:rFonts w:eastAsiaTheme="minorHAnsi"/>
        </w:rPr>
        <w:t xml:space="preserve"> (referred to as a significant expansion facility)</w:t>
      </w:r>
      <w:r w:rsidR="00744E76" w:rsidRPr="00F82C8D">
        <w:rPr>
          <w:rFonts w:eastAsiaTheme="minorHAnsi"/>
        </w:rPr>
        <w:t>.</w:t>
      </w:r>
      <w:r w:rsidRPr="00F82C8D">
        <w:rPr>
          <w:rFonts w:eastAsiaTheme="minorHAnsi"/>
        </w:rPr>
        <w:t xml:space="preserve"> </w:t>
      </w:r>
      <w:r w:rsidR="0092078A" w:rsidRPr="00F82C8D">
        <w:rPr>
          <w:rFonts w:eastAsiaTheme="minorHAnsi"/>
          <w:b/>
          <w:i/>
          <w:sz w:val="20"/>
        </w:rPr>
        <w:t>[</w:t>
      </w:r>
      <w:r w:rsidRPr="00F82C8D">
        <w:rPr>
          <w:rFonts w:eastAsiaTheme="minorHAnsi"/>
          <w:b/>
          <w:i/>
          <w:sz w:val="20"/>
        </w:rPr>
        <w:t>section 34</w:t>
      </w:r>
      <w:r w:rsidR="00744E76" w:rsidRPr="00F82C8D">
        <w:rPr>
          <w:rFonts w:eastAsiaTheme="minorHAnsi"/>
          <w:b/>
          <w:i/>
          <w:sz w:val="20"/>
        </w:rPr>
        <w:t>]</w:t>
      </w:r>
      <w:r w:rsidR="00FE25E5" w:rsidRPr="00F82C8D">
        <w:rPr>
          <w:rFonts w:eastAsiaTheme="minorHAnsi"/>
          <w:b/>
          <w:i/>
          <w:sz w:val="20"/>
        </w:rPr>
        <w:t xml:space="preserve"> </w:t>
      </w:r>
      <w:r w:rsidR="00FE25E5" w:rsidRPr="00F82C8D">
        <w:rPr>
          <w:rFonts w:eastAsiaTheme="minorHAnsi"/>
        </w:rPr>
        <w:t>A facility’s existing baseline emissions number may no longer be appropriate for a facility if it has undergone a significant expansion.</w:t>
      </w:r>
      <w:r w:rsidR="00394E74" w:rsidRPr="00F82C8D">
        <w:rPr>
          <w:rFonts w:eastAsiaTheme="minorHAnsi"/>
        </w:rPr>
        <w:t xml:space="preserve"> </w:t>
      </w:r>
      <w:r w:rsidR="00FE25E5" w:rsidRPr="00F82C8D">
        <w:rPr>
          <w:rFonts w:eastAsiaTheme="minorHAnsi"/>
        </w:rPr>
        <w:t>The criteria are similar to the significant expansion criteria for calculated-emissions baseline determinations.</w:t>
      </w:r>
    </w:p>
    <w:p w:rsidR="002B1F33" w:rsidRPr="00F82C8D" w:rsidRDefault="009020BD" w:rsidP="00625D31">
      <w:pPr>
        <w:pStyle w:val="ListParagraph"/>
      </w:pPr>
      <w:r w:rsidRPr="00F82C8D">
        <w:t>A</w:t>
      </w:r>
      <w:r w:rsidR="009509A3" w:rsidRPr="00F82C8D">
        <w:t xml:space="preserve"> significant expansion</w:t>
      </w:r>
      <w:r w:rsidR="002B1F33" w:rsidRPr="00F82C8D">
        <w:t xml:space="preserve"> facility must have previously emitted more than 100,000 </w:t>
      </w:r>
      <w:r w:rsidR="00053244" w:rsidRPr="00F82C8D">
        <w:t>t</w:t>
      </w:r>
      <w:r w:rsidR="002B1F33" w:rsidRPr="00F82C8D">
        <w:t xml:space="preserve"> CO</w:t>
      </w:r>
      <w:r w:rsidR="00E073C6" w:rsidRPr="00F82C8D">
        <w:rPr>
          <w:vertAlign w:val="subscript"/>
        </w:rPr>
        <w:t>2</w:t>
      </w:r>
      <w:r w:rsidR="00E073C6" w:rsidRPr="00F82C8D">
        <w:t>-</w:t>
      </w:r>
      <w:r w:rsidR="002614A0" w:rsidRPr="00F82C8D">
        <w:t>e</w:t>
      </w:r>
      <w:r w:rsidR="002B1F33" w:rsidRPr="00F82C8D">
        <w:t xml:space="preserve"> </w:t>
      </w:r>
      <w:r w:rsidR="009509A3" w:rsidRPr="00F82C8D">
        <w:t xml:space="preserve">of covered emissions </w:t>
      </w:r>
      <w:r w:rsidR="002B1F33" w:rsidRPr="00F82C8D">
        <w:t>or reasonably expect</w:t>
      </w:r>
      <w:r w:rsidR="009509A3" w:rsidRPr="00F82C8D">
        <w:t xml:space="preserve"> to emit more than this amount</w:t>
      </w:r>
      <w:r w:rsidR="002B1F33" w:rsidRPr="00F82C8D">
        <w:t xml:space="preserve"> in a year covered by the </w:t>
      </w:r>
      <w:r w:rsidR="00AE6DBE" w:rsidRPr="00F82C8D">
        <w:t>benchmark-emissions</w:t>
      </w:r>
      <w:r w:rsidR="002B1F33" w:rsidRPr="00F82C8D">
        <w:t xml:space="preserve"> baseline determination</w:t>
      </w:r>
      <w:r w:rsidR="00744E76" w:rsidRPr="00F82C8D">
        <w:t>.</w:t>
      </w:r>
      <w:r w:rsidR="002B1F33" w:rsidRPr="00F82C8D">
        <w:t xml:space="preserve"> </w:t>
      </w:r>
      <w:r w:rsidR="0092078A" w:rsidRPr="00F82C8D">
        <w:rPr>
          <w:b/>
          <w:i/>
          <w:sz w:val="20"/>
        </w:rPr>
        <w:t>[</w:t>
      </w:r>
      <w:r w:rsidR="002B1F33" w:rsidRPr="00F82C8D">
        <w:rPr>
          <w:b/>
          <w:i/>
          <w:sz w:val="20"/>
        </w:rPr>
        <w:t>subsection 34(6)</w:t>
      </w:r>
      <w:r w:rsidR="00744E76" w:rsidRPr="00F82C8D">
        <w:rPr>
          <w:b/>
          <w:i/>
          <w:sz w:val="20"/>
        </w:rPr>
        <w:t>]</w:t>
      </w:r>
      <w:r w:rsidR="002B1F33" w:rsidRPr="00F82C8D">
        <w:t xml:space="preserve"> </w:t>
      </w:r>
    </w:p>
    <w:p w:rsidR="004233AF" w:rsidRPr="00F82C8D" w:rsidRDefault="009020BD" w:rsidP="00625D31">
      <w:pPr>
        <w:pStyle w:val="ListParagraph"/>
      </w:pPr>
      <w:r w:rsidRPr="00F82C8D">
        <w:t xml:space="preserve">A </w:t>
      </w:r>
      <w:r w:rsidR="009509A3" w:rsidRPr="00F82C8D">
        <w:t xml:space="preserve">significant expansion </w:t>
      </w:r>
      <w:r w:rsidR="002B1F33" w:rsidRPr="00F82C8D">
        <w:t xml:space="preserve">facility must have </w:t>
      </w:r>
      <w:r w:rsidR="009509A3" w:rsidRPr="00F82C8D">
        <w:t xml:space="preserve">already </w:t>
      </w:r>
      <w:r w:rsidR="002B1F33" w:rsidRPr="00F82C8D">
        <w:t xml:space="preserve">exceeded its </w:t>
      </w:r>
      <w:r w:rsidR="009509A3" w:rsidRPr="00F82C8D">
        <w:t xml:space="preserve">existing </w:t>
      </w:r>
      <w:r w:rsidR="002B1F33" w:rsidRPr="00F82C8D">
        <w:t>baseline</w:t>
      </w:r>
      <w:r w:rsidR="009509A3" w:rsidRPr="00F82C8D">
        <w:t xml:space="preserve"> emissions number</w:t>
      </w:r>
      <w:r w:rsidR="002B1F33" w:rsidRPr="00F82C8D">
        <w:t xml:space="preserve"> or </w:t>
      </w:r>
      <w:r w:rsidR="009509A3" w:rsidRPr="00F82C8D">
        <w:t>reasonably expect</w:t>
      </w:r>
      <w:r w:rsidR="002B1F33" w:rsidRPr="00F82C8D">
        <w:t xml:space="preserve"> to exceed </w:t>
      </w:r>
      <w:r w:rsidR="004233AF" w:rsidRPr="00F82C8D">
        <w:t>this</w:t>
      </w:r>
      <w:r w:rsidR="002B1F33" w:rsidRPr="00F82C8D">
        <w:t xml:space="preserve"> </w:t>
      </w:r>
      <w:r w:rsidR="0087664A" w:rsidRPr="00F82C8D">
        <w:t>baseline emissions number</w:t>
      </w:r>
      <w:r w:rsidR="002B1F33" w:rsidRPr="00F82C8D">
        <w:t xml:space="preserve"> in at least one of the </w:t>
      </w:r>
      <w:r w:rsidR="004233AF" w:rsidRPr="00F82C8D">
        <w:t>years</w:t>
      </w:r>
      <w:r w:rsidR="002B1F33" w:rsidRPr="00F82C8D">
        <w:t xml:space="preserve"> that would be covered by the </w:t>
      </w:r>
      <w:r w:rsidR="00AE6DBE" w:rsidRPr="00F82C8D">
        <w:t>benchmark-emissions</w:t>
      </w:r>
      <w:r w:rsidR="002B1F33" w:rsidRPr="00F82C8D">
        <w:t xml:space="preserve"> baseline determination</w:t>
      </w:r>
      <w:r w:rsidR="009509A3" w:rsidRPr="00F82C8D">
        <w:t>.</w:t>
      </w:r>
      <w:r w:rsidR="002B1F33" w:rsidRPr="00F82C8D">
        <w:t xml:space="preserve"> </w:t>
      </w:r>
      <w:r w:rsidR="0092078A" w:rsidRPr="00F82C8D">
        <w:rPr>
          <w:b/>
          <w:i/>
          <w:sz w:val="20"/>
        </w:rPr>
        <w:t>[</w:t>
      </w:r>
      <w:r w:rsidR="00684593" w:rsidRPr="00F82C8D">
        <w:rPr>
          <w:b/>
          <w:i/>
          <w:sz w:val="20"/>
        </w:rPr>
        <w:t>subsection </w:t>
      </w:r>
      <w:r w:rsidR="002B1F33" w:rsidRPr="00F82C8D">
        <w:rPr>
          <w:b/>
          <w:i/>
          <w:sz w:val="20"/>
        </w:rPr>
        <w:t>34(7)</w:t>
      </w:r>
      <w:r w:rsidR="00744E76" w:rsidRPr="00F82C8D">
        <w:rPr>
          <w:b/>
          <w:i/>
          <w:sz w:val="20"/>
        </w:rPr>
        <w:t>]</w:t>
      </w:r>
      <w:r w:rsidR="002B1F33" w:rsidRPr="00F82C8D">
        <w:t xml:space="preserve"> </w:t>
      </w:r>
    </w:p>
    <w:p w:rsidR="002B1F33" w:rsidRPr="00F82C8D" w:rsidRDefault="002B1F33" w:rsidP="0051382B">
      <w:pPr>
        <w:pStyle w:val="Quote"/>
      </w:pPr>
      <w:r w:rsidRPr="00F82C8D">
        <w:t xml:space="preserve">For example, a facility with a baseline emissions number of 400,000 </w:t>
      </w:r>
      <w:r w:rsidR="005C117A" w:rsidRPr="00F82C8D">
        <w:t>t CO</w:t>
      </w:r>
      <w:r w:rsidR="005C117A" w:rsidRPr="00F82C8D">
        <w:rPr>
          <w:vertAlign w:val="subscript"/>
        </w:rPr>
        <w:t>2</w:t>
      </w:r>
      <w:r w:rsidR="005C117A" w:rsidRPr="00F82C8D">
        <w:t xml:space="preserve">-e </w:t>
      </w:r>
      <w:r w:rsidRPr="00F82C8D">
        <w:t xml:space="preserve">may apply for a </w:t>
      </w:r>
      <w:r w:rsidR="00AE6DBE" w:rsidRPr="00F82C8D">
        <w:t>benchmark-emissions</w:t>
      </w:r>
      <w:r w:rsidRPr="00F82C8D">
        <w:t xml:space="preserve"> baseline determination starting on 1 July 2020 if its covered emissions are reason</w:t>
      </w:r>
      <w:r w:rsidR="00B73494" w:rsidRPr="00F82C8D">
        <w:t>ably expected to exceed 400,000 t CO</w:t>
      </w:r>
      <w:r w:rsidR="00B73494" w:rsidRPr="00F82C8D">
        <w:rPr>
          <w:vertAlign w:val="subscript"/>
        </w:rPr>
        <w:t>2</w:t>
      </w:r>
      <w:r w:rsidR="00B73494" w:rsidRPr="00F82C8D">
        <w:noBreakHyphen/>
        <w:t>e</w:t>
      </w:r>
      <w:r w:rsidRPr="00F82C8D">
        <w:t xml:space="preserve"> in a financial year between 1 July 2020 and 30 June 2023.</w:t>
      </w:r>
    </w:p>
    <w:p w:rsidR="00FC5903" w:rsidRPr="00F82C8D" w:rsidRDefault="009020BD" w:rsidP="00625D31">
      <w:pPr>
        <w:pStyle w:val="ListParagraph"/>
      </w:pPr>
      <w:r w:rsidRPr="00F82C8D">
        <w:t>A</w:t>
      </w:r>
      <w:r w:rsidR="002B1F33" w:rsidRPr="00F82C8D">
        <w:t xml:space="preserve"> significant expansion must have occurred </w:t>
      </w:r>
      <w:r w:rsidRPr="00F82C8D">
        <w:t>within a time</w:t>
      </w:r>
      <w:r w:rsidR="002B1F33" w:rsidRPr="00F82C8D">
        <w:t xml:space="preserve"> </w:t>
      </w:r>
      <w:r w:rsidR="001169E2" w:rsidRPr="00F82C8D">
        <w:t xml:space="preserve">frame </w:t>
      </w:r>
      <w:r w:rsidR="002B1F33" w:rsidRPr="00F82C8D">
        <w:t xml:space="preserve">termed the relevant expansion period. This period ends immediately before </w:t>
      </w:r>
      <w:r w:rsidRPr="00F82C8D">
        <w:t xml:space="preserve">either </w:t>
      </w:r>
      <w:r w:rsidR="002B1F33" w:rsidRPr="00F82C8D">
        <w:t xml:space="preserve">the requested </w:t>
      </w:r>
      <w:r w:rsidR="00F802CD" w:rsidRPr="00F82C8D">
        <w:t>start date</w:t>
      </w:r>
      <w:r w:rsidR="002B1F33" w:rsidRPr="00F82C8D">
        <w:t xml:space="preserve"> of the </w:t>
      </w:r>
      <w:r w:rsidR="00AE6DBE" w:rsidRPr="00F82C8D">
        <w:t>benchmark-emissions</w:t>
      </w:r>
      <w:r w:rsidR="002B1F33" w:rsidRPr="00F82C8D">
        <w:t xml:space="preserve"> baseline determination or before the end of the first year that </w:t>
      </w:r>
      <w:r w:rsidR="00FC5903" w:rsidRPr="00F82C8D">
        <w:t>the determination</w:t>
      </w:r>
      <w:r w:rsidR="002B1F33" w:rsidRPr="00F82C8D">
        <w:t xml:space="preserve"> would apply</w:t>
      </w:r>
      <w:r w:rsidR="00FC5903" w:rsidRPr="00F82C8D">
        <w:t>.</w:t>
      </w:r>
      <w:r w:rsidR="002B1F33" w:rsidRPr="00F82C8D">
        <w:t xml:space="preserve"> </w:t>
      </w:r>
      <w:r w:rsidR="0092078A" w:rsidRPr="00F82C8D">
        <w:rPr>
          <w:b/>
          <w:i/>
          <w:sz w:val="20"/>
        </w:rPr>
        <w:t>[</w:t>
      </w:r>
      <w:r w:rsidR="00377A72" w:rsidRPr="00F82C8D">
        <w:rPr>
          <w:b/>
          <w:i/>
          <w:sz w:val="20"/>
        </w:rPr>
        <w:t>paragraphs </w:t>
      </w:r>
      <w:r w:rsidR="002B1F33" w:rsidRPr="00F82C8D">
        <w:rPr>
          <w:b/>
          <w:i/>
          <w:sz w:val="20"/>
        </w:rPr>
        <w:t xml:space="preserve">34(4)(a) and </w:t>
      </w:r>
      <w:r w:rsidR="00DE5E11" w:rsidRPr="00F82C8D">
        <w:rPr>
          <w:b/>
          <w:i/>
          <w:sz w:val="20"/>
        </w:rPr>
        <w:t>34(4)</w:t>
      </w:r>
      <w:r w:rsidR="002B1F33" w:rsidRPr="00F82C8D">
        <w:rPr>
          <w:b/>
          <w:i/>
          <w:sz w:val="20"/>
        </w:rPr>
        <w:t>(b)</w:t>
      </w:r>
      <w:r w:rsidR="00744E76" w:rsidRPr="00F82C8D">
        <w:rPr>
          <w:b/>
          <w:i/>
          <w:sz w:val="20"/>
        </w:rPr>
        <w:t>]</w:t>
      </w:r>
      <w:r w:rsidR="002B1F33" w:rsidRPr="00F82C8D">
        <w:t xml:space="preserve"> The length of </w:t>
      </w:r>
      <w:r w:rsidR="00DE5E11" w:rsidRPr="00F82C8D">
        <w:t>the relevant expansion period may be up to</w:t>
      </w:r>
      <w:r w:rsidR="002B1F33" w:rsidRPr="00F82C8D">
        <w:t xml:space="preserve"> three years, but </w:t>
      </w:r>
      <w:r w:rsidR="00FC5903" w:rsidRPr="00F82C8D">
        <w:t xml:space="preserve">will be </w:t>
      </w:r>
      <w:r w:rsidR="00DE5E11" w:rsidRPr="00F82C8D">
        <w:t>shortened</w:t>
      </w:r>
      <w:r w:rsidR="00ED5814" w:rsidRPr="00F82C8D">
        <w:t xml:space="preserve"> </w:t>
      </w:r>
      <w:r w:rsidR="002B1F33" w:rsidRPr="00F82C8D">
        <w:t>to avoid overlap</w:t>
      </w:r>
      <w:r w:rsidR="007B19CB" w:rsidRPr="00F82C8D">
        <w:t>ping</w:t>
      </w:r>
      <w:r w:rsidR="002B1F33" w:rsidRPr="00F82C8D">
        <w:t xml:space="preserve"> with</w:t>
      </w:r>
      <w:r w:rsidR="007B19CB" w:rsidRPr="00F82C8D">
        <w:t xml:space="preserve"> more than one year of</w:t>
      </w:r>
      <w:r w:rsidR="002B1F33" w:rsidRPr="00F82C8D">
        <w:t xml:space="preserve"> the period that a</w:t>
      </w:r>
      <w:r w:rsidR="005C117A" w:rsidRPr="00F82C8D">
        <w:t xml:space="preserve"> </w:t>
      </w:r>
      <w:r w:rsidR="00AE6DBE" w:rsidRPr="00F82C8D">
        <w:t>benchmark-emissions</w:t>
      </w:r>
      <w:r w:rsidR="002B1F33" w:rsidRPr="00F82C8D">
        <w:t xml:space="preserve"> or </w:t>
      </w:r>
      <w:r w:rsidR="005839C5" w:rsidRPr="00F82C8D">
        <w:t>calculated-emissions</w:t>
      </w:r>
      <w:r w:rsidR="002B1F33" w:rsidRPr="00F82C8D">
        <w:t xml:space="preserve"> baseline determination applie</w:t>
      </w:r>
      <w:r w:rsidR="005C117A" w:rsidRPr="00F82C8D">
        <w:t>d to the facility</w:t>
      </w:r>
      <w:r w:rsidR="001169E2" w:rsidRPr="00F82C8D">
        <w:t>.</w:t>
      </w:r>
      <w:r w:rsidR="002B1F33" w:rsidRPr="00F82C8D">
        <w:rPr>
          <w:rFonts w:eastAsiaTheme="minorHAnsi"/>
        </w:rPr>
        <w:t xml:space="preserve"> </w:t>
      </w:r>
      <w:r w:rsidR="0092078A" w:rsidRPr="00F82C8D">
        <w:rPr>
          <w:b/>
          <w:i/>
          <w:sz w:val="20"/>
        </w:rPr>
        <w:t>[</w:t>
      </w:r>
      <w:r w:rsidR="002B1F33" w:rsidRPr="00F82C8D">
        <w:rPr>
          <w:b/>
          <w:i/>
          <w:sz w:val="20"/>
        </w:rPr>
        <w:t xml:space="preserve">paragraphs 34(4)(c) and </w:t>
      </w:r>
      <w:r w:rsidR="00FC5903" w:rsidRPr="00F82C8D">
        <w:rPr>
          <w:b/>
          <w:i/>
          <w:sz w:val="20"/>
        </w:rPr>
        <w:t>34(4)</w:t>
      </w:r>
      <w:r w:rsidR="002B1F33" w:rsidRPr="00F82C8D">
        <w:rPr>
          <w:b/>
          <w:i/>
          <w:sz w:val="20"/>
        </w:rPr>
        <w:t>(d)</w:t>
      </w:r>
      <w:r w:rsidR="00744E76" w:rsidRPr="00F82C8D">
        <w:rPr>
          <w:b/>
          <w:i/>
          <w:sz w:val="20"/>
        </w:rPr>
        <w:t>]</w:t>
      </w:r>
      <w:r w:rsidR="001169E2" w:rsidRPr="00F82C8D">
        <w:rPr>
          <w:b/>
          <w:i/>
          <w:sz w:val="20"/>
        </w:rPr>
        <w:t xml:space="preserve"> </w:t>
      </w:r>
      <w:r w:rsidR="001169E2" w:rsidRPr="00F82C8D">
        <w:t>This is because, had the significant expansion started earlier, emissions attributable to it would have been at least partly captured by the facility’s previous baseline determination.</w:t>
      </w:r>
    </w:p>
    <w:p w:rsidR="002B1F33" w:rsidRPr="00F82C8D" w:rsidRDefault="002B1F33" w:rsidP="0051382B">
      <w:pPr>
        <w:pStyle w:val="Quote"/>
      </w:pPr>
      <w:r w:rsidRPr="00F82C8D">
        <w:t xml:space="preserve">For example, </w:t>
      </w:r>
      <w:r w:rsidR="006B5BAD" w:rsidRPr="00F82C8D">
        <w:t>F</w:t>
      </w:r>
      <w:r w:rsidR="004E28AF" w:rsidRPr="00F82C8D">
        <w:t xml:space="preserve">acility </w:t>
      </w:r>
      <w:r w:rsidR="006B5BAD" w:rsidRPr="00F82C8D">
        <w:t xml:space="preserve">A had a calculated-emissions baseline determination for the period from 2016-17 to 2018-19, which was then replaced with a production-adjusted baseline determination. It </w:t>
      </w:r>
      <w:r w:rsidR="004E28AF" w:rsidRPr="00F82C8D">
        <w:t xml:space="preserve">undertook a significant expansion in the year 2019-20. The significant expansion did not cause facility A’s </w:t>
      </w:r>
      <w:r w:rsidR="006B5BAD" w:rsidRPr="00F82C8D">
        <w:t xml:space="preserve">production-adjusted </w:t>
      </w:r>
      <w:r w:rsidR="004E28AF" w:rsidRPr="00F82C8D">
        <w:t xml:space="preserve">baseline to be exceeded in 2019-20, but the responsible emitter had a reasonable expectation that it would be </w:t>
      </w:r>
      <w:r w:rsidR="006B5BAD" w:rsidRPr="00F82C8D">
        <w:t>exceeded</w:t>
      </w:r>
      <w:r w:rsidR="004E28AF" w:rsidRPr="00F82C8D">
        <w:t xml:space="preserve"> in </w:t>
      </w:r>
      <w:r w:rsidR="006B5BAD" w:rsidRPr="00F82C8D">
        <w:t>2020-21 and so applied for a benchmark-emissions baseline determination with a start date of 1 July 2020. The relevant expansion period for the application, ends on</w:t>
      </w:r>
      <w:r w:rsidR="00102AC8" w:rsidRPr="00F82C8D">
        <w:t xml:space="preserve"> either</w:t>
      </w:r>
      <w:r w:rsidR="006B5BAD" w:rsidRPr="00F82C8D">
        <w:t xml:space="preserve"> 30 June 2020 </w:t>
      </w:r>
      <w:r w:rsidR="00102AC8" w:rsidRPr="00F82C8D">
        <w:t xml:space="preserve">or 30 June 2021 and must not start </w:t>
      </w:r>
      <w:r w:rsidR="007B19CB" w:rsidRPr="00F82C8D">
        <w:t>more than one year before</w:t>
      </w:r>
      <w:r w:rsidR="006B5BAD" w:rsidRPr="00F82C8D">
        <w:t xml:space="preserve"> the calculated-emissions</w:t>
      </w:r>
      <w:r w:rsidR="00102AC8" w:rsidRPr="00F82C8D">
        <w:t xml:space="preserve"> baseline determination expired – 1 July 201</w:t>
      </w:r>
      <w:r w:rsidR="007B19CB" w:rsidRPr="00F82C8D">
        <w:t>8</w:t>
      </w:r>
      <w:r w:rsidR="00102AC8" w:rsidRPr="00F82C8D">
        <w:t>. The responsible emitter states the relevant expansion period is the financial year</w:t>
      </w:r>
      <w:r w:rsidR="007B19CB" w:rsidRPr="00F82C8D">
        <w:t>s 2018-19 and</w:t>
      </w:r>
      <w:r w:rsidR="00102AC8" w:rsidRPr="00F82C8D">
        <w:t xml:space="preserve"> 2019-20, which also meets the requirement of being three years or less.</w:t>
      </w:r>
      <w:r w:rsidR="00394E74" w:rsidRPr="00F82C8D">
        <w:t xml:space="preserve"> </w:t>
      </w:r>
    </w:p>
    <w:p w:rsidR="00DB293E" w:rsidRPr="00F82C8D" w:rsidRDefault="00FC5903" w:rsidP="00745A5B">
      <w:pPr>
        <w:pStyle w:val="ListParagraph"/>
      </w:pPr>
      <w:r w:rsidRPr="00F82C8D">
        <w:t>A</w:t>
      </w:r>
      <w:r w:rsidR="002B1F33" w:rsidRPr="00F82C8D">
        <w:t xml:space="preserve"> significant expansion must involve the installation and use of new equipment at the facility that produces or processes a production variable. </w:t>
      </w:r>
      <w:r w:rsidR="0092078A" w:rsidRPr="00F82C8D">
        <w:rPr>
          <w:b/>
          <w:i/>
          <w:sz w:val="20"/>
        </w:rPr>
        <w:t>[</w:t>
      </w:r>
      <w:r w:rsidR="001169E2" w:rsidRPr="00F82C8D">
        <w:rPr>
          <w:b/>
          <w:i/>
          <w:sz w:val="20"/>
        </w:rPr>
        <w:t>paragraph </w:t>
      </w:r>
      <w:r w:rsidR="002B1F33" w:rsidRPr="00F82C8D">
        <w:rPr>
          <w:b/>
          <w:i/>
          <w:sz w:val="20"/>
        </w:rPr>
        <w:t>34(2)(a)</w:t>
      </w:r>
      <w:r w:rsidR="00744E76" w:rsidRPr="00F82C8D">
        <w:rPr>
          <w:b/>
          <w:i/>
          <w:sz w:val="20"/>
        </w:rPr>
        <w:t>]</w:t>
      </w:r>
      <w:r w:rsidR="000A7B10" w:rsidRPr="00F82C8D">
        <w:t xml:space="preserve"> </w:t>
      </w:r>
      <w:r w:rsidR="0051382B" w:rsidRPr="00F82C8D">
        <w:t>The production variable may be cur</w:t>
      </w:r>
      <w:r w:rsidR="00DE5E11" w:rsidRPr="00F82C8D">
        <w:t>rently produced at the facility, prior to the significant expansion, or</w:t>
      </w:r>
      <w:r w:rsidR="0051382B" w:rsidRPr="00F82C8D">
        <w:t xml:space="preserve"> </w:t>
      </w:r>
      <w:r w:rsidR="00DE5E11" w:rsidRPr="00F82C8D">
        <w:t>a new production variable not previously produced by the facility</w:t>
      </w:r>
      <w:r w:rsidR="00D868D9" w:rsidRPr="00F82C8D">
        <w:t xml:space="preserve"> nor replacing a previous production variable. </w:t>
      </w:r>
      <w:r w:rsidR="00D868D9" w:rsidRPr="00F82C8D">
        <w:rPr>
          <w:b/>
          <w:i/>
          <w:sz w:val="20"/>
        </w:rPr>
        <w:t>[paragraph 34(2)(b)]</w:t>
      </w:r>
      <w:r w:rsidR="00942D59" w:rsidRPr="00F82C8D">
        <w:t xml:space="preserve"> </w:t>
      </w:r>
      <w:r w:rsidR="00D868D9" w:rsidRPr="00F82C8D">
        <w:t xml:space="preserve">If the new production variable is an input, then for the purpose of the significant expansion criteria it is considered to be “produced” as long as it produces the outputs of a facility. </w:t>
      </w:r>
      <w:r w:rsidR="00D868D9" w:rsidRPr="00F82C8D">
        <w:rPr>
          <w:rStyle w:val="Emphasis"/>
        </w:rPr>
        <w:t>[paragraph 34(3)(b)]</w:t>
      </w:r>
      <w:r w:rsidR="003C4304" w:rsidRPr="00F82C8D">
        <w:rPr>
          <w:rStyle w:val="Emphasis"/>
          <w:i w:val="0"/>
        </w:rPr>
        <w:t xml:space="preserve"> </w:t>
      </w:r>
      <w:r w:rsidR="007329DC" w:rsidRPr="00F82C8D">
        <w:t>For</w:t>
      </w:r>
      <w:r w:rsidR="003C4304" w:rsidRPr="00F82C8D">
        <w:t xml:space="preserve"> this purpose, the production variables are as defined in the Benchmark Emissions-Intensity Index and not as determined by the responsible emitter.</w:t>
      </w:r>
      <w:r w:rsidR="003C4304" w:rsidRPr="00F82C8D">
        <w:rPr>
          <w:rStyle w:val="Emphasis"/>
          <w:i w:val="0"/>
        </w:rPr>
        <w:t xml:space="preserve">  </w:t>
      </w:r>
    </w:p>
    <w:p w:rsidR="003C4304" w:rsidRPr="00F82C8D" w:rsidRDefault="00FC5903" w:rsidP="003C4304">
      <w:pPr>
        <w:pStyle w:val="ListParagraph"/>
      </w:pPr>
      <w:r w:rsidRPr="00F82C8D">
        <w:t>If t</w:t>
      </w:r>
      <w:r w:rsidR="002B1F33" w:rsidRPr="00F82C8D">
        <w:t xml:space="preserve">he installation of the </w:t>
      </w:r>
      <w:r w:rsidRPr="00F82C8D">
        <w:t xml:space="preserve">new </w:t>
      </w:r>
      <w:r w:rsidR="002B1F33" w:rsidRPr="00F82C8D">
        <w:t xml:space="preserve">equipment at the facility </w:t>
      </w:r>
      <w:r w:rsidRPr="00F82C8D">
        <w:t>is to increase the production of a production variable that is already produced at the facility, then it must</w:t>
      </w:r>
      <w:r w:rsidR="002B1F33" w:rsidRPr="00F82C8D">
        <w:t xml:space="preserve"> result in a 20</w:t>
      </w:r>
      <w:r w:rsidR="00586D41" w:rsidRPr="00F82C8D">
        <w:t xml:space="preserve"> per cent</w:t>
      </w:r>
      <w:r w:rsidR="002B1F33" w:rsidRPr="00F82C8D">
        <w:t xml:space="preserve"> increase of the </w:t>
      </w:r>
      <w:r w:rsidRPr="00F82C8D">
        <w:t>maximum productive capacity of this</w:t>
      </w:r>
      <w:r w:rsidR="002B1F33" w:rsidRPr="00F82C8D">
        <w:t xml:space="preserve"> production variable. The 20</w:t>
      </w:r>
      <w:r w:rsidR="00586D41" w:rsidRPr="00F82C8D">
        <w:t xml:space="preserve"> per cent</w:t>
      </w:r>
      <w:r w:rsidR="002B1F33" w:rsidRPr="00F82C8D">
        <w:t xml:space="preserve"> increase in maximum productive capacity is measured after taking into account the decommissioning of any equipment previously used to produce the production variable</w:t>
      </w:r>
      <w:r w:rsidR="006D190E" w:rsidRPr="00F82C8D">
        <w:t>. Accordingly, it relates to comparing the effective maximum productive capacity equipment in place immediately before the installation with the effective maximum productive capacity in place after the installation and any decommissioning.</w:t>
      </w:r>
      <w:r w:rsidR="002B1F33" w:rsidRPr="00F82C8D">
        <w:t xml:space="preserve"> </w:t>
      </w:r>
      <w:r w:rsidR="0092078A" w:rsidRPr="00F82C8D">
        <w:rPr>
          <w:b/>
          <w:i/>
          <w:sz w:val="20"/>
        </w:rPr>
        <w:t>[</w:t>
      </w:r>
      <w:r w:rsidR="002B1F33" w:rsidRPr="00F82C8D">
        <w:rPr>
          <w:b/>
          <w:i/>
          <w:sz w:val="20"/>
        </w:rPr>
        <w:t>paragraph 34(2)(b)</w:t>
      </w:r>
      <w:r w:rsidR="00744E76" w:rsidRPr="00F82C8D">
        <w:rPr>
          <w:b/>
          <w:i/>
          <w:sz w:val="20"/>
        </w:rPr>
        <w:t>]</w:t>
      </w:r>
      <w:r w:rsidRPr="00F82C8D">
        <w:t xml:space="preserve"> This requirement does not apply if the </w:t>
      </w:r>
      <w:r w:rsidR="0051382B" w:rsidRPr="00F82C8D">
        <w:t>result of the significant expansion</w:t>
      </w:r>
      <w:r w:rsidRPr="00F82C8D">
        <w:t xml:space="preserve"> is to begin production of a new production </w:t>
      </w:r>
      <w:r w:rsidR="00B63B20" w:rsidRPr="00F82C8D">
        <w:t>variable, which</w:t>
      </w:r>
      <w:r w:rsidR="0051382B" w:rsidRPr="00F82C8D">
        <w:t xml:space="preserve"> was</w:t>
      </w:r>
      <w:r w:rsidRPr="00F82C8D">
        <w:t xml:space="preserve"> not already produced at the facility</w:t>
      </w:r>
      <w:r w:rsidR="0051382B" w:rsidRPr="00F82C8D">
        <w:t>.</w:t>
      </w:r>
      <w:r w:rsidR="003C4304" w:rsidRPr="00F82C8D">
        <w:t xml:space="preserve"> </w:t>
      </w:r>
      <w:r w:rsidR="006D190E" w:rsidRPr="00F82C8D">
        <w:t xml:space="preserve"> </w:t>
      </w:r>
    </w:p>
    <w:p w:rsidR="003C4304" w:rsidRPr="00F82C8D" w:rsidRDefault="003C4304" w:rsidP="003C4304">
      <w:pPr>
        <w:pStyle w:val="ListParagraph"/>
      </w:pPr>
      <w:r w:rsidRPr="00F82C8D">
        <w:t>The concept of a replacement product is intended to be interpreted broadly to include changed products which, in substance, replace an earlier product that was produced. This includes an output with a higher purity and different composition to an output previously produced at the facility. This focuses the provision on genuinely new production variables, rather than modifications to existing products.</w:t>
      </w:r>
    </w:p>
    <w:p w:rsidR="002B1F33" w:rsidRPr="00F82C8D" w:rsidRDefault="002B1F33" w:rsidP="00625D31">
      <w:pPr>
        <w:pStyle w:val="ListParagraph"/>
      </w:pPr>
      <w:r w:rsidRPr="00F82C8D">
        <w:t xml:space="preserve">The production variable that is produced by the new equipment must be significant to the operation of the facility </w:t>
      </w:r>
      <w:r w:rsidR="0092078A" w:rsidRPr="00F82C8D">
        <w:rPr>
          <w:b/>
          <w:i/>
          <w:sz w:val="20"/>
        </w:rPr>
        <w:t>[</w:t>
      </w:r>
      <w:r w:rsidRPr="00F82C8D">
        <w:rPr>
          <w:b/>
          <w:i/>
          <w:sz w:val="20"/>
        </w:rPr>
        <w:t>paragraph 34(2)(c)</w:t>
      </w:r>
      <w:r w:rsidR="00744E76" w:rsidRPr="00F82C8D">
        <w:rPr>
          <w:b/>
          <w:i/>
          <w:sz w:val="20"/>
        </w:rPr>
        <w:t>]</w:t>
      </w:r>
      <w:r w:rsidRPr="00F82C8D">
        <w:t xml:space="preserve"> There are three ways that a production vari</w:t>
      </w:r>
      <w:r w:rsidR="00FC5903" w:rsidRPr="00F82C8D">
        <w:t xml:space="preserve">able </w:t>
      </w:r>
      <w:r w:rsidR="00FE25E5" w:rsidRPr="00F82C8D">
        <w:t>can be</w:t>
      </w:r>
      <w:r w:rsidR="00FC5903" w:rsidRPr="00F82C8D">
        <w:t xml:space="preserve"> considered significant:</w:t>
      </w:r>
    </w:p>
    <w:p w:rsidR="00DB293E" w:rsidRPr="00F82C8D" w:rsidRDefault="00FC5903">
      <w:pPr>
        <w:pStyle w:val="ListBullet"/>
      </w:pPr>
      <w:r w:rsidRPr="00F82C8D">
        <w:t>The</w:t>
      </w:r>
      <w:r w:rsidR="002B1F33" w:rsidRPr="00F82C8D">
        <w:t xml:space="preserve"> production variable is the facility’s primary production variable </w:t>
      </w:r>
      <w:r w:rsidR="00E16219" w:rsidRPr="00F82C8D">
        <w:t xml:space="preserve">(see definition in section 4 of the </w:t>
      </w:r>
      <w:r w:rsidR="00D360AB" w:rsidRPr="00F82C8D">
        <w:t>safeguard rule</w:t>
      </w:r>
      <w:r w:rsidR="00E16219" w:rsidRPr="00F82C8D">
        <w:t xml:space="preserve">). </w:t>
      </w:r>
      <w:r w:rsidR="007329DC" w:rsidRPr="00F82C8D">
        <w:rPr>
          <w:rFonts w:eastAsiaTheme="minorEastAsia"/>
          <w:b/>
          <w:i/>
          <w:iCs/>
          <w:sz w:val="20"/>
          <w:lang w:val="en-US" w:bidi="en-US"/>
        </w:rPr>
        <w:t>[subparagraph 34(2)(c)(i)]</w:t>
      </w:r>
      <w:r w:rsidR="002B1F33" w:rsidRPr="00F82C8D">
        <w:t xml:space="preserve"> </w:t>
      </w:r>
    </w:p>
    <w:p w:rsidR="00DB293E" w:rsidRPr="00F82C8D" w:rsidRDefault="00FC5903">
      <w:pPr>
        <w:pStyle w:val="ListBullet"/>
      </w:pPr>
      <w:r w:rsidRPr="00F82C8D">
        <w:t>If the production variable is onsite electricity generation, then the amount forecasted to be supplied is more than 30</w:t>
      </w:r>
      <w:r w:rsidR="00586D41" w:rsidRPr="00F82C8D">
        <w:t xml:space="preserve"> per cent</w:t>
      </w:r>
      <w:r w:rsidRPr="00F82C8D">
        <w:t xml:space="preserve"> of the facility’s forecasted electricity needs over the period that the </w:t>
      </w:r>
      <w:r w:rsidR="00AE6DBE" w:rsidRPr="00F82C8D">
        <w:t>benchmark-emissions</w:t>
      </w:r>
      <w:r w:rsidRPr="00F82C8D">
        <w:t xml:space="preserve"> baseline determination applies </w:t>
      </w:r>
      <w:r w:rsidR="007329DC" w:rsidRPr="00F82C8D">
        <w:rPr>
          <w:rFonts w:eastAsiaTheme="minorEastAsia"/>
          <w:b/>
          <w:i/>
          <w:iCs/>
          <w:sz w:val="20"/>
          <w:lang w:val="en-US" w:bidi="en-US"/>
        </w:rPr>
        <w:t>[subparagraph 34(2)(c)(iii)]</w:t>
      </w:r>
    </w:p>
    <w:p w:rsidR="00DB293E" w:rsidRPr="00F82C8D" w:rsidRDefault="002B1F33">
      <w:pPr>
        <w:pStyle w:val="ListBullet"/>
      </w:pPr>
      <w:r w:rsidRPr="00F82C8D">
        <w:t xml:space="preserve">If </w:t>
      </w:r>
      <w:r w:rsidR="001E337B" w:rsidRPr="00F82C8D">
        <w:t>the production variable</w:t>
      </w:r>
      <w:r w:rsidRPr="00F82C8D">
        <w:t xml:space="preserve"> is not the primary production variable</w:t>
      </w:r>
      <w:r w:rsidR="001E337B" w:rsidRPr="00F82C8D">
        <w:t xml:space="preserve"> or on-site electricity generation</w:t>
      </w:r>
      <w:r w:rsidRPr="00F82C8D">
        <w:t xml:space="preserve">, then </w:t>
      </w:r>
      <w:r w:rsidR="001E337B" w:rsidRPr="00F82C8D">
        <w:t>it must</w:t>
      </w:r>
      <w:r w:rsidRPr="00F82C8D">
        <w:t xml:space="preserve"> </w:t>
      </w:r>
      <w:r w:rsidR="001E337B" w:rsidRPr="00F82C8D">
        <w:t>contribute</w:t>
      </w:r>
      <w:r w:rsidRPr="00F82C8D">
        <w:t xml:space="preserve"> more than 20</w:t>
      </w:r>
      <w:r w:rsidR="00586D41" w:rsidRPr="00F82C8D">
        <w:t xml:space="preserve"> per cent</w:t>
      </w:r>
      <w:r w:rsidRPr="00F82C8D">
        <w:t xml:space="preserve"> of the revenue expected from the facility</w:t>
      </w:r>
      <w:r w:rsidR="001E337B" w:rsidRPr="00F82C8D">
        <w:t>. The year for assessing this is</w:t>
      </w:r>
      <w:r w:rsidRPr="00F82C8D">
        <w:t xml:space="preserve"> the year with the highest expected production of the primary production variable over the period to be covered by the </w:t>
      </w:r>
      <w:r w:rsidR="00AE6DBE" w:rsidRPr="00F82C8D">
        <w:t>benchmark-emissions</w:t>
      </w:r>
      <w:r w:rsidRPr="00F82C8D">
        <w:t xml:space="preserve"> baseline determination</w:t>
      </w:r>
      <w:r w:rsidR="001E337B" w:rsidRPr="00F82C8D">
        <w:t>.</w:t>
      </w:r>
      <w:r w:rsidRPr="00F82C8D">
        <w:t xml:space="preserve"> </w:t>
      </w:r>
      <w:r w:rsidR="007329DC" w:rsidRPr="00F82C8D">
        <w:rPr>
          <w:rFonts w:eastAsiaTheme="minorEastAsia"/>
          <w:b/>
          <w:i/>
          <w:iCs/>
          <w:sz w:val="20"/>
          <w:lang w:val="en-US" w:bidi="en-US"/>
        </w:rPr>
        <w:t>[subparagraph 34(2)(c)(ii)]</w:t>
      </w:r>
      <w:r w:rsidRPr="00F82C8D">
        <w:t xml:space="preserve"> </w:t>
      </w:r>
      <w:r w:rsidR="001E337B" w:rsidRPr="00F82C8D">
        <w:t xml:space="preserve">The calculation of expected revenue must be based on prices at the time of the application </w:t>
      </w:r>
      <w:r w:rsidR="007329DC" w:rsidRPr="00F82C8D">
        <w:rPr>
          <w:rFonts w:eastAsiaTheme="minorEastAsia"/>
          <w:b/>
          <w:i/>
          <w:iCs/>
          <w:sz w:val="20"/>
          <w:lang w:val="en-US" w:bidi="en-US"/>
        </w:rPr>
        <w:t>[subsection 34(5)]</w:t>
      </w:r>
    </w:p>
    <w:p w:rsidR="002B1F33" w:rsidRPr="00F82C8D" w:rsidRDefault="002B1F33" w:rsidP="0051382B">
      <w:pPr>
        <w:pStyle w:val="Quote"/>
      </w:pPr>
      <w:r w:rsidRPr="00F82C8D">
        <w:t>For example, if the production variable produced by the new equipment is zinc and the facility’s primary product</w:t>
      </w:r>
      <w:r w:rsidR="001E337B" w:rsidRPr="00F82C8D">
        <w:t>ion variable</w:t>
      </w:r>
      <w:r w:rsidRPr="00F82C8D">
        <w:t xml:space="preserve"> is silver, then zinc should account for at least 20</w:t>
      </w:r>
      <w:r w:rsidR="00586D41" w:rsidRPr="00F82C8D">
        <w:t xml:space="preserve"> per cent</w:t>
      </w:r>
      <w:r w:rsidRPr="00F82C8D">
        <w:t xml:space="preserve"> of the revenue forecasted in the year of the highest forecasted silver production in the period that the </w:t>
      </w:r>
      <w:r w:rsidR="00AE6DBE" w:rsidRPr="00F82C8D">
        <w:t>benchmark-emissions</w:t>
      </w:r>
      <w:r w:rsidRPr="00F82C8D">
        <w:t xml:space="preserve"> baseline determination applies. </w:t>
      </w:r>
    </w:p>
    <w:p w:rsidR="002B1F33" w:rsidRPr="00F82C8D" w:rsidRDefault="002B1F33" w:rsidP="00625D31">
      <w:pPr>
        <w:pStyle w:val="ListParagraph"/>
      </w:pPr>
      <w:r w:rsidRPr="00F82C8D">
        <w:t xml:space="preserve">The installation of new equipment at a transport facility means </w:t>
      </w:r>
      <w:r w:rsidR="00A4507C" w:rsidRPr="00F82C8D">
        <w:t xml:space="preserve">the acquisition of </w:t>
      </w:r>
      <w:r w:rsidR="0015485F" w:rsidRPr="00F82C8D">
        <w:t xml:space="preserve">new or used </w:t>
      </w:r>
      <w:r w:rsidRPr="00F82C8D">
        <w:t>equipment to undertake the transport activity, such as planes, trucks or trains</w:t>
      </w:r>
      <w:r w:rsidR="00A4507C" w:rsidRPr="00F82C8D">
        <w:t>, which may not necessarily be new</w:t>
      </w:r>
      <w:r w:rsidRPr="00F82C8D">
        <w:t xml:space="preserve">. The requirement </w:t>
      </w:r>
      <w:r w:rsidR="00A91A7C" w:rsidRPr="00F82C8D">
        <w:t>is unlikely to</w:t>
      </w:r>
      <w:r w:rsidRPr="00F82C8D">
        <w:t xml:space="preserve"> be met by construction of new airport infrastructure, roads or rail tracks</w:t>
      </w:r>
      <w:r w:rsidR="00A91A7C" w:rsidRPr="00F82C8D">
        <w:t xml:space="preserve"> unassociated with additional transport capacity</w:t>
      </w:r>
      <w:r w:rsidR="001E337B" w:rsidRPr="00F82C8D">
        <w:t>.</w:t>
      </w:r>
      <w:r w:rsidRPr="00F82C8D">
        <w:t xml:space="preserve"> </w:t>
      </w:r>
      <w:r w:rsidR="0092078A" w:rsidRPr="00F82C8D">
        <w:rPr>
          <w:b/>
          <w:i/>
          <w:sz w:val="20"/>
        </w:rPr>
        <w:t>[</w:t>
      </w:r>
      <w:r w:rsidR="00AF4E28" w:rsidRPr="00F82C8D">
        <w:rPr>
          <w:b/>
          <w:i/>
          <w:sz w:val="20"/>
        </w:rPr>
        <w:t>subsection </w:t>
      </w:r>
      <w:r w:rsidRPr="00F82C8D">
        <w:rPr>
          <w:b/>
          <w:i/>
          <w:sz w:val="20"/>
        </w:rPr>
        <w:t>34(3)</w:t>
      </w:r>
      <w:r w:rsidR="00744E76" w:rsidRPr="00F82C8D">
        <w:rPr>
          <w:b/>
          <w:i/>
          <w:sz w:val="20"/>
        </w:rPr>
        <w:t>]</w:t>
      </w:r>
    </w:p>
    <w:p w:rsidR="002B1F33" w:rsidRPr="00F82C8D" w:rsidRDefault="001E337B" w:rsidP="00625D31">
      <w:pPr>
        <w:pStyle w:val="ListParagraph"/>
      </w:pPr>
      <w:r w:rsidRPr="00F82C8D">
        <w:t>1 July 2020</w:t>
      </w:r>
      <w:r w:rsidRPr="00F82C8D">
        <w:rPr>
          <w:rFonts w:eastAsiaTheme="minorHAnsi"/>
        </w:rPr>
        <w:t xml:space="preserve"> is the </w:t>
      </w:r>
      <w:r w:rsidR="002B1F33" w:rsidRPr="00F82C8D">
        <w:t xml:space="preserve">earliest </w:t>
      </w:r>
      <w:r w:rsidR="00F802CD" w:rsidRPr="00F82C8D">
        <w:t>start date</w:t>
      </w:r>
      <w:r w:rsidR="002B1F33" w:rsidRPr="00F82C8D">
        <w:t xml:space="preserve"> of a </w:t>
      </w:r>
      <w:r w:rsidR="00AE6DBE" w:rsidRPr="00F82C8D">
        <w:t>benchmark-emissions</w:t>
      </w:r>
      <w:r w:rsidR="002B1F33" w:rsidRPr="00F82C8D">
        <w:t xml:space="preserve"> baseline determination that a responsible emitter of a </w:t>
      </w:r>
      <w:r w:rsidRPr="00F82C8D">
        <w:t xml:space="preserve">significant expansion facility can request. </w:t>
      </w:r>
      <w:r w:rsidR="0092078A" w:rsidRPr="00F82C8D">
        <w:rPr>
          <w:rFonts w:eastAsiaTheme="minorHAnsi"/>
          <w:b/>
          <w:i/>
          <w:sz w:val="20"/>
        </w:rPr>
        <w:t>[</w:t>
      </w:r>
      <w:r w:rsidR="002B1F33" w:rsidRPr="00F82C8D">
        <w:rPr>
          <w:rFonts w:eastAsiaTheme="minorHAnsi"/>
          <w:b/>
          <w:i/>
          <w:sz w:val="20"/>
        </w:rPr>
        <w:t>subsection 34(9)</w:t>
      </w:r>
      <w:r w:rsidR="00744E76" w:rsidRPr="00F82C8D">
        <w:rPr>
          <w:rFonts w:eastAsiaTheme="minorHAnsi"/>
          <w:b/>
          <w:i/>
          <w:sz w:val="20"/>
        </w:rPr>
        <w:t>]</w:t>
      </w:r>
    </w:p>
    <w:p w:rsidR="002B1F33" w:rsidRPr="00F82C8D" w:rsidRDefault="00A91A7C" w:rsidP="00891B83">
      <w:pPr>
        <w:pStyle w:val="Heading3"/>
      </w:pPr>
      <w:r w:rsidRPr="00F82C8D">
        <w:t xml:space="preserve">Section 35: </w:t>
      </w:r>
      <w:r w:rsidR="002B1F33" w:rsidRPr="00F82C8D">
        <w:t>Information required in applications</w:t>
      </w:r>
    </w:p>
    <w:p w:rsidR="002B1F33" w:rsidRPr="00F82C8D" w:rsidRDefault="002B1F33" w:rsidP="00625D31">
      <w:pPr>
        <w:pStyle w:val="ListParagraph"/>
        <w:rPr>
          <w:b/>
        </w:rPr>
      </w:pPr>
      <w:r w:rsidRPr="00F82C8D">
        <w:t xml:space="preserve">Section 35 sets out the </w:t>
      </w:r>
      <w:r w:rsidR="001E337B" w:rsidRPr="00F82C8D">
        <w:t xml:space="preserve">information that must be included in </w:t>
      </w:r>
      <w:r w:rsidRPr="00F82C8D">
        <w:t>a</w:t>
      </w:r>
      <w:r w:rsidR="00FE25E5" w:rsidRPr="00F82C8D">
        <w:t xml:space="preserve">n application </w:t>
      </w:r>
      <w:r w:rsidR="00E16219" w:rsidRPr="00F82C8D">
        <w:t xml:space="preserve">for a benchmark-emissions baseline determination. The information requirements are distinguished for those facilities applying under the </w:t>
      </w:r>
      <w:r w:rsidR="00394E74" w:rsidRPr="00F82C8D">
        <w:t>new facility</w:t>
      </w:r>
      <w:r w:rsidR="00FE25E5" w:rsidRPr="00F82C8D">
        <w:t xml:space="preserve"> criteria (referred to a new facility application) </w:t>
      </w:r>
      <w:r w:rsidR="0092078A" w:rsidRPr="00F82C8D">
        <w:rPr>
          <w:b/>
          <w:i/>
          <w:sz w:val="20"/>
        </w:rPr>
        <w:t>[</w:t>
      </w:r>
      <w:r w:rsidRPr="00F82C8D">
        <w:rPr>
          <w:b/>
          <w:i/>
          <w:sz w:val="20"/>
        </w:rPr>
        <w:t>subsection 35(1)</w:t>
      </w:r>
      <w:r w:rsidR="0092078A" w:rsidRPr="00F82C8D">
        <w:rPr>
          <w:b/>
          <w:i/>
          <w:sz w:val="20"/>
        </w:rPr>
        <w:t>]</w:t>
      </w:r>
      <w:r w:rsidRPr="00F82C8D">
        <w:t xml:space="preserve"> or </w:t>
      </w:r>
      <w:r w:rsidR="00FE25E5" w:rsidRPr="00F82C8D">
        <w:t xml:space="preserve">the </w:t>
      </w:r>
      <w:r w:rsidRPr="00F82C8D">
        <w:t>significant expansion</w:t>
      </w:r>
      <w:r w:rsidR="00394E74" w:rsidRPr="00F82C8D">
        <w:t xml:space="preserve"> </w:t>
      </w:r>
      <w:r w:rsidR="00FE25E5" w:rsidRPr="00F82C8D">
        <w:t xml:space="preserve">criteria (referred to as a significant expansion </w:t>
      </w:r>
      <w:r w:rsidRPr="00F82C8D">
        <w:t>application</w:t>
      </w:r>
      <w:r w:rsidR="00FE25E5" w:rsidRPr="00F82C8D">
        <w:t>)</w:t>
      </w:r>
      <w:r w:rsidR="00E16219" w:rsidRPr="00F82C8D">
        <w:t>.</w:t>
      </w:r>
      <w:r w:rsidRPr="00F82C8D">
        <w:t xml:space="preserve"> </w:t>
      </w:r>
      <w:r w:rsidR="0092078A" w:rsidRPr="00F82C8D">
        <w:rPr>
          <w:b/>
          <w:i/>
          <w:sz w:val="20"/>
        </w:rPr>
        <w:t>[</w:t>
      </w:r>
      <w:r w:rsidR="00E16219" w:rsidRPr="00F82C8D">
        <w:rPr>
          <w:b/>
          <w:i/>
          <w:sz w:val="20"/>
        </w:rPr>
        <w:t>subsection </w:t>
      </w:r>
      <w:r w:rsidRPr="00F82C8D">
        <w:rPr>
          <w:b/>
          <w:i/>
          <w:sz w:val="20"/>
        </w:rPr>
        <w:t>35(2)</w:t>
      </w:r>
      <w:r w:rsidR="00744E76" w:rsidRPr="00F82C8D">
        <w:rPr>
          <w:b/>
          <w:i/>
          <w:sz w:val="20"/>
        </w:rPr>
        <w:t>]</w:t>
      </w:r>
      <w:r w:rsidR="00394E74" w:rsidRPr="00F82C8D">
        <w:t xml:space="preserve"> </w:t>
      </w:r>
    </w:p>
    <w:p w:rsidR="001E337B" w:rsidRPr="00F82C8D" w:rsidRDefault="001E337B" w:rsidP="001E337B">
      <w:pPr>
        <w:pStyle w:val="Heading4"/>
      </w:pPr>
      <w:r w:rsidRPr="00F82C8D">
        <w:t>New facility applications</w:t>
      </w:r>
    </w:p>
    <w:p w:rsidR="002B1F33" w:rsidRPr="00F82C8D" w:rsidRDefault="002B1F33" w:rsidP="00625D31">
      <w:pPr>
        <w:pStyle w:val="ListParagraph"/>
      </w:pPr>
      <w:r w:rsidRPr="00F82C8D">
        <w:t>The information required in a new facility application is:</w:t>
      </w:r>
    </w:p>
    <w:p w:rsidR="002B1F33" w:rsidRPr="00F82C8D" w:rsidRDefault="002B1F33" w:rsidP="002E625A">
      <w:pPr>
        <w:pStyle w:val="ListBullet"/>
        <w:rPr>
          <w:b/>
          <w:lang w:eastAsia="en-AU"/>
        </w:rPr>
      </w:pPr>
      <w:r w:rsidRPr="00F82C8D">
        <w:t xml:space="preserve">A statement </w:t>
      </w:r>
      <w:r w:rsidR="00493304" w:rsidRPr="00F82C8D">
        <w:t xml:space="preserve">with supporting evidence </w:t>
      </w:r>
      <w:r w:rsidRPr="00F82C8D">
        <w:t xml:space="preserve">explaining how the facility has met the new facility criteria. </w:t>
      </w:r>
      <w:r w:rsidR="0092078A" w:rsidRPr="00F82C8D">
        <w:rPr>
          <w:b/>
          <w:i/>
          <w:sz w:val="20"/>
        </w:rPr>
        <w:t>[</w:t>
      </w:r>
      <w:r w:rsidR="00D04EA8" w:rsidRPr="00F82C8D">
        <w:rPr>
          <w:b/>
          <w:i/>
          <w:sz w:val="20"/>
        </w:rPr>
        <w:t>paragraph 35</w:t>
      </w:r>
      <w:r w:rsidRPr="00F82C8D">
        <w:rPr>
          <w:b/>
          <w:i/>
          <w:sz w:val="20"/>
        </w:rPr>
        <w:t>(1)(a)</w:t>
      </w:r>
      <w:r w:rsidR="0092078A" w:rsidRPr="00F82C8D">
        <w:rPr>
          <w:b/>
          <w:i/>
          <w:sz w:val="20"/>
        </w:rPr>
        <w:t>]</w:t>
      </w:r>
    </w:p>
    <w:p w:rsidR="00DB293E" w:rsidRPr="00F82C8D" w:rsidRDefault="002B1F33">
      <w:pPr>
        <w:pStyle w:val="ListBullet"/>
        <w:rPr>
          <w:b/>
          <w:lang w:eastAsia="en-AU"/>
        </w:rPr>
      </w:pPr>
      <w:r w:rsidRPr="00F82C8D">
        <w:t xml:space="preserve">The quantity of all production variables that are likely to be produced by the facility in the financial year with the highest expected production level of the primary production variable over the period that will be covered by the determination. The units of these quantities </w:t>
      </w:r>
      <w:r w:rsidR="00E16219" w:rsidRPr="00F82C8D">
        <w:t xml:space="preserve">and how the quantity is estimated must meet any relevant requirements of the Benchmark Emissions-Intensity Index that correspond </w:t>
      </w:r>
      <w:r w:rsidRPr="00F82C8D">
        <w:t>to the production variable.</w:t>
      </w:r>
      <w:r w:rsidR="000A7B10" w:rsidRPr="00F82C8D">
        <w:t xml:space="preserve"> </w:t>
      </w:r>
      <w:r w:rsidR="0092078A" w:rsidRPr="00F82C8D">
        <w:rPr>
          <w:b/>
          <w:i/>
          <w:sz w:val="20"/>
        </w:rPr>
        <w:t>[</w:t>
      </w:r>
      <w:r w:rsidR="00D04EA8" w:rsidRPr="00F82C8D">
        <w:rPr>
          <w:b/>
          <w:i/>
          <w:sz w:val="20"/>
        </w:rPr>
        <w:t>paragraph 35</w:t>
      </w:r>
      <w:r w:rsidRPr="00F82C8D">
        <w:rPr>
          <w:b/>
          <w:i/>
          <w:sz w:val="20"/>
        </w:rPr>
        <w:t>(1)(b)</w:t>
      </w:r>
      <w:r w:rsidR="00E16219" w:rsidRPr="00F82C8D">
        <w:rPr>
          <w:b/>
          <w:i/>
          <w:sz w:val="20"/>
        </w:rPr>
        <w:t xml:space="preserve"> and subsection 35(3)</w:t>
      </w:r>
      <w:r w:rsidR="0092078A" w:rsidRPr="00F82C8D">
        <w:rPr>
          <w:b/>
          <w:i/>
          <w:sz w:val="20"/>
        </w:rPr>
        <w:t>]</w:t>
      </w:r>
    </w:p>
    <w:p w:rsidR="00DB293E" w:rsidRPr="00F82C8D" w:rsidRDefault="002B1F33">
      <w:pPr>
        <w:pStyle w:val="ListBullet"/>
        <w:rPr>
          <w:b/>
          <w:lang w:eastAsia="en-AU"/>
        </w:rPr>
      </w:pPr>
      <w:r w:rsidRPr="00F82C8D">
        <w:t xml:space="preserve">The </w:t>
      </w:r>
      <w:r w:rsidR="001E337B" w:rsidRPr="00F82C8D">
        <w:t>benchmark</w:t>
      </w:r>
      <w:r w:rsidR="006A5570" w:rsidRPr="00F82C8D">
        <w:t xml:space="preserve"> </w:t>
      </w:r>
      <w:r w:rsidR="00BB7C53" w:rsidRPr="00F82C8D">
        <w:t>emissions intens</w:t>
      </w:r>
      <w:r w:rsidR="00B63B20" w:rsidRPr="00F82C8D">
        <w:t>ities</w:t>
      </w:r>
      <w:r w:rsidRPr="00F82C8D">
        <w:t xml:space="preserve"> </w:t>
      </w:r>
      <w:r w:rsidR="006A5570" w:rsidRPr="00F82C8D">
        <w:t>that correspond to</w:t>
      </w:r>
      <w:r w:rsidRPr="00F82C8D">
        <w:t xml:space="preserve"> each production variable identified </w:t>
      </w:r>
      <w:r w:rsidR="006A5570" w:rsidRPr="00F82C8D">
        <w:t xml:space="preserve">in the application. These </w:t>
      </w:r>
      <w:r w:rsidR="001E337B" w:rsidRPr="00F82C8D">
        <w:t xml:space="preserve">are </w:t>
      </w:r>
      <w:r w:rsidRPr="00F82C8D">
        <w:t xml:space="preserve">sourced from the </w:t>
      </w:r>
      <w:r w:rsidR="00C61DFD" w:rsidRPr="00F82C8D">
        <w:t>Benchmark Emissions-Intensity Index</w:t>
      </w:r>
      <w:r w:rsidRPr="00F82C8D">
        <w:t xml:space="preserve"> </w:t>
      </w:r>
      <w:r w:rsidR="001E337B" w:rsidRPr="00F82C8D">
        <w:t xml:space="preserve">in </w:t>
      </w:r>
      <w:r w:rsidR="00BF3FA1" w:rsidRPr="00F82C8D">
        <w:t>Schedule 1</w:t>
      </w:r>
      <w:r w:rsidR="001E337B" w:rsidRPr="00F82C8D">
        <w:t xml:space="preserve">. </w:t>
      </w:r>
      <w:r w:rsidR="0092078A" w:rsidRPr="00F82C8D">
        <w:rPr>
          <w:b/>
          <w:i/>
          <w:sz w:val="20"/>
        </w:rPr>
        <w:t>[</w:t>
      </w:r>
      <w:r w:rsidRPr="00F82C8D">
        <w:rPr>
          <w:b/>
          <w:i/>
          <w:sz w:val="20"/>
        </w:rPr>
        <w:t>paragraph 35 (1)(c)</w:t>
      </w:r>
      <w:r w:rsidR="0092078A" w:rsidRPr="00F82C8D">
        <w:rPr>
          <w:b/>
          <w:i/>
          <w:sz w:val="20"/>
        </w:rPr>
        <w:t>]</w:t>
      </w:r>
    </w:p>
    <w:p w:rsidR="00DB293E" w:rsidRPr="00F82C8D" w:rsidRDefault="002B1F33">
      <w:pPr>
        <w:pStyle w:val="ListBullet"/>
        <w:rPr>
          <w:b/>
          <w:lang w:eastAsia="en-AU"/>
        </w:rPr>
      </w:pPr>
      <w:r w:rsidRPr="00F82C8D">
        <w:t xml:space="preserve">The expected covered emissions from the facility, which </w:t>
      </w:r>
      <w:r w:rsidR="00424FBE" w:rsidRPr="00F82C8D">
        <w:t>are</w:t>
      </w:r>
      <w:r w:rsidRPr="00F82C8D">
        <w:t xml:space="preserve"> calculated by multiplying the </w:t>
      </w:r>
      <w:r w:rsidR="00E16219" w:rsidRPr="00F82C8D">
        <w:t xml:space="preserve">estimated </w:t>
      </w:r>
      <w:r w:rsidR="001E337B" w:rsidRPr="00F82C8D">
        <w:t>quantity</w:t>
      </w:r>
      <w:r w:rsidRPr="00F82C8D">
        <w:t xml:space="preserve"> of each of the production variables </w:t>
      </w:r>
      <w:r w:rsidR="001E337B" w:rsidRPr="00F82C8D">
        <w:t xml:space="preserve">identified in the application </w:t>
      </w:r>
      <w:r w:rsidRPr="00F82C8D">
        <w:t xml:space="preserve">with the </w:t>
      </w:r>
      <w:r w:rsidR="006A5570" w:rsidRPr="00F82C8D">
        <w:t>corresponding benchmark</w:t>
      </w:r>
      <w:r w:rsidRPr="00F82C8D">
        <w:t xml:space="preserve"> </w:t>
      </w:r>
      <w:r w:rsidR="00BB7C53" w:rsidRPr="00F82C8D">
        <w:t>emissions intens</w:t>
      </w:r>
      <w:r w:rsidRPr="00F82C8D">
        <w:t xml:space="preserve">ity </w:t>
      </w:r>
      <w:r w:rsidR="00A62556" w:rsidRPr="00F82C8D">
        <w:t xml:space="preserve">and then </w:t>
      </w:r>
      <w:r w:rsidRPr="00F82C8D">
        <w:t xml:space="preserve">summing the results if there is more than one production variable. </w:t>
      </w:r>
      <w:r w:rsidR="0092078A" w:rsidRPr="00F82C8D">
        <w:rPr>
          <w:b/>
          <w:i/>
          <w:sz w:val="20"/>
        </w:rPr>
        <w:t>[</w:t>
      </w:r>
      <w:r w:rsidR="00D04EA8" w:rsidRPr="00F82C8D">
        <w:rPr>
          <w:b/>
          <w:i/>
          <w:sz w:val="20"/>
        </w:rPr>
        <w:t>paragraph 35</w:t>
      </w:r>
      <w:r w:rsidRPr="00F82C8D">
        <w:rPr>
          <w:b/>
          <w:i/>
          <w:sz w:val="20"/>
        </w:rPr>
        <w:t>(1)(d)</w:t>
      </w:r>
      <w:r w:rsidR="0092078A" w:rsidRPr="00F82C8D">
        <w:rPr>
          <w:b/>
          <w:i/>
          <w:sz w:val="20"/>
        </w:rPr>
        <w:t>]</w:t>
      </w:r>
    </w:p>
    <w:p w:rsidR="00DB293E" w:rsidRPr="00F82C8D" w:rsidRDefault="002B1F33">
      <w:pPr>
        <w:pStyle w:val="ListBullet"/>
        <w:rPr>
          <w:b/>
          <w:lang w:eastAsia="en-AU"/>
        </w:rPr>
      </w:pPr>
      <w:r w:rsidRPr="00F82C8D">
        <w:t>Any relevant earlier estimates of the quantities of the identified production variables that have been made by the applicant or part of their business. It does not mean, for example, estimates made by parties unrelated to the applicant and not endorsed by the applicant</w:t>
      </w:r>
      <w:r w:rsidR="00A62556" w:rsidRPr="00F82C8D">
        <w:t>.</w:t>
      </w:r>
      <w:r w:rsidRPr="00F82C8D">
        <w:t xml:space="preserve"> </w:t>
      </w:r>
      <w:r w:rsidR="0092078A" w:rsidRPr="00F82C8D">
        <w:rPr>
          <w:b/>
          <w:i/>
          <w:sz w:val="20"/>
        </w:rPr>
        <w:t>[</w:t>
      </w:r>
      <w:r w:rsidR="00D04EA8" w:rsidRPr="00F82C8D">
        <w:rPr>
          <w:b/>
          <w:i/>
          <w:sz w:val="20"/>
        </w:rPr>
        <w:t>paragraph 35</w:t>
      </w:r>
      <w:r w:rsidRPr="00F82C8D">
        <w:rPr>
          <w:b/>
          <w:i/>
          <w:sz w:val="20"/>
        </w:rPr>
        <w:t>(1)(e)</w:t>
      </w:r>
      <w:r w:rsidR="0092078A" w:rsidRPr="00F82C8D">
        <w:rPr>
          <w:b/>
          <w:i/>
          <w:sz w:val="20"/>
        </w:rPr>
        <w:t>]</w:t>
      </w:r>
      <w:r w:rsidR="00291EB7" w:rsidRPr="00F82C8D">
        <w:rPr>
          <w:b/>
          <w:i/>
          <w:sz w:val="20"/>
        </w:rPr>
        <w:t xml:space="preserve"> </w:t>
      </w:r>
      <w:r w:rsidR="00291EB7" w:rsidRPr="00F82C8D">
        <w:t xml:space="preserve">What is meant by </w:t>
      </w:r>
      <w:r w:rsidR="00291EB7" w:rsidRPr="00F82C8D">
        <w:rPr>
          <w:b/>
          <w:i/>
        </w:rPr>
        <w:t>relevant earlier estimates</w:t>
      </w:r>
      <w:r w:rsidR="00E16219" w:rsidRPr="00F82C8D">
        <w:t xml:space="preserve"> is defined in section 4 of the </w:t>
      </w:r>
      <w:r w:rsidR="00D360AB" w:rsidRPr="00F82C8D">
        <w:t>safeguard rule</w:t>
      </w:r>
      <w:r w:rsidR="00E16219" w:rsidRPr="00F82C8D">
        <w:t>.</w:t>
      </w:r>
    </w:p>
    <w:p w:rsidR="00DB293E" w:rsidRPr="00F82C8D" w:rsidRDefault="00A62556">
      <w:pPr>
        <w:pStyle w:val="ListBullet"/>
        <w:rPr>
          <w:b/>
          <w:lang w:eastAsia="en-AU"/>
        </w:rPr>
      </w:pPr>
      <w:r w:rsidRPr="00F82C8D">
        <w:t>If applicable, a</w:t>
      </w:r>
      <w:r w:rsidR="002B1F33" w:rsidRPr="00F82C8D">
        <w:t xml:space="preserve">n explanation </w:t>
      </w:r>
      <w:r w:rsidRPr="00F82C8D">
        <w:t>of</w:t>
      </w:r>
      <w:r w:rsidR="002B1F33" w:rsidRPr="00F82C8D">
        <w:t xml:space="preserve"> why the</w:t>
      </w:r>
      <w:r w:rsidRPr="00F82C8D">
        <w:t xml:space="preserve"> </w:t>
      </w:r>
      <w:r w:rsidR="00B63B20" w:rsidRPr="00F82C8D">
        <w:t>quantity</w:t>
      </w:r>
      <w:r w:rsidRPr="00F82C8D">
        <w:t xml:space="preserve"> of</w:t>
      </w:r>
      <w:r w:rsidR="002B1F33" w:rsidRPr="00F82C8D">
        <w:t xml:space="preserve"> production variable</w:t>
      </w:r>
      <w:r w:rsidR="00424FBE" w:rsidRPr="00F82C8D">
        <w:t>s</w:t>
      </w:r>
      <w:r w:rsidR="002B1F33" w:rsidRPr="00F82C8D">
        <w:t xml:space="preserve"> </w:t>
      </w:r>
      <w:r w:rsidRPr="00F82C8D">
        <w:t>given in the application is</w:t>
      </w:r>
      <w:r w:rsidR="002B1F33" w:rsidRPr="00F82C8D">
        <w:t xml:space="preserve"> different to</w:t>
      </w:r>
      <w:r w:rsidRPr="00F82C8D">
        <w:t xml:space="preserve"> relevant</w:t>
      </w:r>
      <w:r w:rsidR="002B1F33" w:rsidRPr="00F82C8D">
        <w:t xml:space="preserve"> earlier estimates</w:t>
      </w:r>
      <w:r w:rsidRPr="00F82C8D">
        <w:t xml:space="preserve">. </w:t>
      </w:r>
      <w:r w:rsidR="0092078A" w:rsidRPr="00F82C8D">
        <w:rPr>
          <w:b/>
          <w:i/>
          <w:sz w:val="20"/>
        </w:rPr>
        <w:t>[</w:t>
      </w:r>
      <w:r w:rsidR="00377A72" w:rsidRPr="00F82C8D">
        <w:rPr>
          <w:b/>
          <w:i/>
          <w:sz w:val="20"/>
        </w:rPr>
        <w:t>paragraph </w:t>
      </w:r>
      <w:r w:rsidR="00D04EA8" w:rsidRPr="00F82C8D">
        <w:rPr>
          <w:b/>
          <w:i/>
          <w:sz w:val="20"/>
        </w:rPr>
        <w:t>35</w:t>
      </w:r>
      <w:r w:rsidR="002B1F33" w:rsidRPr="00F82C8D">
        <w:rPr>
          <w:b/>
          <w:i/>
          <w:sz w:val="20"/>
        </w:rPr>
        <w:t>(1)(f)</w:t>
      </w:r>
      <w:r w:rsidR="00744E76" w:rsidRPr="00F82C8D">
        <w:rPr>
          <w:b/>
          <w:i/>
          <w:sz w:val="20"/>
        </w:rPr>
        <w:t>]</w:t>
      </w:r>
    </w:p>
    <w:p w:rsidR="001E337B" w:rsidRPr="00F82C8D" w:rsidRDefault="001E337B" w:rsidP="001E337B">
      <w:pPr>
        <w:pStyle w:val="Heading4"/>
      </w:pPr>
      <w:r w:rsidRPr="00F82C8D">
        <w:t>Significant expansion applications</w:t>
      </w:r>
    </w:p>
    <w:p w:rsidR="002B1F33" w:rsidRPr="00F82C8D" w:rsidRDefault="002B1F33" w:rsidP="00625D31">
      <w:pPr>
        <w:pStyle w:val="ListParagraph"/>
        <w:rPr>
          <w:lang w:eastAsia="en-AU"/>
        </w:rPr>
      </w:pPr>
      <w:r w:rsidRPr="00F82C8D">
        <w:rPr>
          <w:lang w:eastAsia="en-AU"/>
        </w:rPr>
        <w:t>The information required in a significant expansion application is:</w:t>
      </w:r>
    </w:p>
    <w:p w:rsidR="002B1F33" w:rsidRPr="00F82C8D" w:rsidRDefault="002B1F33" w:rsidP="002E625A">
      <w:pPr>
        <w:pStyle w:val="ListBullet"/>
        <w:rPr>
          <w:b/>
          <w:lang w:eastAsia="en-AU"/>
        </w:rPr>
      </w:pPr>
      <w:r w:rsidRPr="00F82C8D">
        <w:t xml:space="preserve">A statement </w:t>
      </w:r>
      <w:r w:rsidR="00493304" w:rsidRPr="00F82C8D">
        <w:t>explaining how</w:t>
      </w:r>
      <w:r w:rsidRPr="00F82C8D">
        <w:t xml:space="preserve"> the facility has met the</w:t>
      </w:r>
      <w:r w:rsidR="00A62556" w:rsidRPr="00F82C8D">
        <w:t xml:space="preserve"> </w:t>
      </w:r>
      <w:r w:rsidR="00B63B20" w:rsidRPr="00F82C8D">
        <w:t>significant</w:t>
      </w:r>
      <w:r w:rsidR="00A62556" w:rsidRPr="00F82C8D">
        <w:t xml:space="preserve"> expansion</w:t>
      </w:r>
      <w:r w:rsidRPr="00F82C8D">
        <w:t xml:space="preserve"> criteria</w:t>
      </w:r>
      <w:r w:rsidR="00493304" w:rsidRPr="00F82C8D">
        <w:t>, together with supporting evidence</w:t>
      </w:r>
      <w:r w:rsidR="00A62556" w:rsidRPr="00F82C8D">
        <w:t>.</w:t>
      </w:r>
      <w:r w:rsidRPr="00F82C8D">
        <w:t xml:space="preserve"> </w:t>
      </w:r>
      <w:r w:rsidR="0092078A" w:rsidRPr="00F82C8D">
        <w:rPr>
          <w:b/>
          <w:i/>
          <w:sz w:val="20"/>
        </w:rPr>
        <w:t>[</w:t>
      </w:r>
      <w:r w:rsidR="00D04EA8" w:rsidRPr="00F82C8D">
        <w:rPr>
          <w:b/>
          <w:i/>
          <w:sz w:val="20"/>
        </w:rPr>
        <w:t>paragraph 35</w:t>
      </w:r>
      <w:r w:rsidRPr="00F82C8D">
        <w:rPr>
          <w:b/>
          <w:i/>
          <w:sz w:val="20"/>
        </w:rPr>
        <w:t>(2)(a)</w:t>
      </w:r>
      <w:r w:rsidR="0092078A" w:rsidRPr="00F82C8D">
        <w:rPr>
          <w:b/>
          <w:i/>
          <w:sz w:val="20"/>
        </w:rPr>
        <w:t>]</w:t>
      </w:r>
    </w:p>
    <w:p w:rsidR="00DB293E" w:rsidRPr="00F82C8D" w:rsidRDefault="00A62556">
      <w:pPr>
        <w:pStyle w:val="ListBullet"/>
        <w:rPr>
          <w:b/>
          <w:lang w:eastAsia="en-AU"/>
        </w:rPr>
      </w:pPr>
      <w:bookmarkStart w:id="106" w:name="OLE_LINK3"/>
      <w:r w:rsidRPr="00F82C8D">
        <w:t xml:space="preserve">The quantity of all production variables that are likely to be produced by the facility in the financial year with the highest expected production level of the primary production variable over the period that will be covered by the determination. The units of these quantities must match the metric used for the benchmark </w:t>
      </w:r>
      <w:r w:rsidR="00BB7C53" w:rsidRPr="00F82C8D">
        <w:t>emissions intens</w:t>
      </w:r>
      <w:r w:rsidRPr="00F82C8D">
        <w:t xml:space="preserve">ity that corresponds to the production variable. </w:t>
      </w:r>
      <w:r w:rsidR="0092078A" w:rsidRPr="00F82C8D">
        <w:rPr>
          <w:b/>
          <w:i/>
          <w:sz w:val="20"/>
        </w:rPr>
        <w:t>[</w:t>
      </w:r>
      <w:r w:rsidR="00D04EA8" w:rsidRPr="00F82C8D">
        <w:rPr>
          <w:b/>
          <w:i/>
          <w:sz w:val="20"/>
        </w:rPr>
        <w:t>paragraph 35</w:t>
      </w:r>
      <w:r w:rsidR="002B1F33" w:rsidRPr="00F82C8D">
        <w:rPr>
          <w:b/>
          <w:i/>
          <w:sz w:val="20"/>
        </w:rPr>
        <w:t>(2)(b)</w:t>
      </w:r>
      <w:r w:rsidR="0092078A" w:rsidRPr="00F82C8D">
        <w:rPr>
          <w:b/>
          <w:i/>
          <w:sz w:val="20"/>
        </w:rPr>
        <w:t>]</w:t>
      </w:r>
      <w:bookmarkEnd w:id="106"/>
    </w:p>
    <w:p w:rsidR="00DB293E" w:rsidRPr="00F82C8D" w:rsidRDefault="002B1F33">
      <w:pPr>
        <w:pStyle w:val="ListBullet"/>
        <w:rPr>
          <w:b/>
          <w:i/>
          <w:sz w:val="20"/>
        </w:rPr>
      </w:pPr>
      <w:r w:rsidRPr="00F82C8D">
        <w:t xml:space="preserve">The quantity of all production variables that are likely to be produced by the facility in the financial year with the highest expected production level of the primary production variable out of the three financial years before the financial year during which the new equipment began to be installed at the facility. The units of these quantities must </w:t>
      </w:r>
      <w:r w:rsidR="00A62556" w:rsidRPr="00F82C8D">
        <w:t>match</w:t>
      </w:r>
      <w:r w:rsidRPr="00F82C8D">
        <w:t xml:space="preserve"> the metric used for the benchmark </w:t>
      </w:r>
      <w:r w:rsidR="00BB7C53" w:rsidRPr="00F82C8D">
        <w:t>emissions intens</w:t>
      </w:r>
      <w:r w:rsidRPr="00F82C8D">
        <w:t>ity that corresponds to the production variable.</w:t>
      </w:r>
      <w:r w:rsidR="000A7B10" w:rsidRPr="00F82C8D">
        <w:t xml:space="preserve"> </w:t>
      </w:r>
      <w:r w:rsidR="0092078A" w:rsidRPr="00F82C8D">
        <w:rPr>
          <w:b/>
          <w:i/>
          <w:sz w:val="20"/>
        </w:rPr>
        <w:t>[</w:t>
      </w:r>
      <w:r w:rsidR="00D04EA8" w:rsidRPr="00F82C8D">
        <w:rPr>
          <w:b/>
          <w:i/>
          <w:sz w:val="20"/>
        </w:rPr>
        <w:t>paragraph 35</w:t>
      </w:r>
      <w:r w:rsidRPr="00F82C8D">
        <w:rPr>
          <w:b/>
          <w:i/>
          <w:sz w:val="20"/>
        </w:rPr>
        <w:t>(2)(c)</w:t>
      </w:r>
      <w:r w:rsidR="0092078A" w:rsidRPr="00F82C8D">
        <w:rPr>
          <w:b/>
          <w:i/>
          <w:sz w:val="20"/>
        </w:rPr>
        <w:t>]</w:t>
      </w:r>
    </w:p>
    <w:p w:rsidR="00DB293E" w:rsidRPr="00F82C8D" w:rsidRDefault="002B1F33">
      <w:pPr>
        <w:pStyle w:val="ListBullet"/>
        <w:rPr>
          <w:lang w:eastAsia="en-AU"/>
        </w:rPr>
      </w:pPr>
      <w:r w:rsidRPr="00F82C8D">
        <w:rPr>
          <w:lang w:eastAsia="en-AU"/>
        </w:rPr>
        <w:t>The change in production for each production variable</w:t>
      </w:r>
      <w:r w:rsidR="00A62556" w:rsidRPr="00F82C8D">
        <w:rPr>
          <w:lang w:eastAsia="en-AU"/>
        </w:rPr>
        <w:t xml:space="preserve"> before and after the </w:t>
      </w:r>
      <w:r w:rsidR="00B63B20" w:rsidRPr="00F82C8D">
        <w:rPr>
          <w:lang w:eastAsia="en-AU"/>
        </w:rPr>
        <w:t>significant</w:t>
      </w:r>
      <w:r w:rsidR="00A62556" w:rsidRPr="00F82C8D">
        <w:rPr>
          <w:lang w:eastAsia="en-AU"/>
        </w:rPr>
        <w:t xml:space="preserve"> expansion. This is calculated</w:t>
      </w:r>
      <w:r w:rsidRPr="00F82C8D">
        <w:rPr>
          <w:lang w:eastAsia="en-AU"/>
        </w:rPr>
        <w:t xml:space="preserve"> by subtracting the quantity of each production variable identified under </w:t>
      </w:r>
      <w:r w:rsidRPr="00F82C8D">
        <w:t xml:space="preserve">paragraph 35(2)(b) </w:t>
      </w:r>
      <w:r w:rsidRPr="00F82C8D">
        <w:rPr>
          <w:lang w:eastAsia="en-AU"/>
        </w:rPr>
        <w:t xml:space="preserve">with the quantity of the production variable under </w:t>
      </w:r>
      <w:r w:rsidRPr="00F82C8D">
        <w:t xml:space="preserve">paragraph 35(2)(c). It is possible </w:t>
      </w:r>
      <w:r w:rsidR="00A62556" w:rsidRPr="00F82C8D">
        <w:t>that</w:t>
      </w:r>
      <w:r w:rsidRPr="00F82C8D">
        <w:t xml:space="preserve"> there </w:t>
      </w:r>
      <w:r w:rsidR="00A62556" w:rsidRPr="00F82C8D">
        <w:t>is</w:t>
      </w:r>
      <w:r w:rsidRPr="00F82C8D">
        <w:t xml:space="preserve"> a negative change, meaning that the significant expansion is expected to decrease the level of production </w:t>
      </w:r>
      <w:r w:rsidR="00A62556" w:rsidRPr="00F82C8D">
        <w:t>of</w:t>
      </w:r>
      <w:r w:rsidRPr="00F82C8D">
        <w:t xml:space="preserve"> a production variable</w:t>
      </w:r>
      <w:r w:rsidR="00A62556" w:rsidRPr="00F82C8D">
        <w:t>.</w:t>
      </w:r>
      <w:r w:rsidRPr="00F82C8D">
        <w:t xml:space="preserve"> </w:t>
      </w:r>
      <w:r w:rsidR="0092078A" w:rsidRPr="00F82C8D">
        <w:rPr>
          <w:b/>
          <w:i/>
          <w:sz w:val="20"/>
        </w:rPr>
        <w:t>[</w:t>
      </w:r>
      <w:r w:rsidR="00D04EA8" w:rsidRPr="00F82C8D">
        <w:rPr>
          <w:b/>
          <w:i/>
          <w:sz w:val="20"/>
        </w:rPr>
        <w:t>paragraph 35</w:t>
      </w:r>
      <w:r w:rsidRPr="00F82C8D">
        <w:rPr>
          <w:b/>
          <w:i/>
          <w:sz w:val="20"/>
        </w:rPr>
        <w:t>(2)(d)</w:t>
      </w:r>
      <w:r w:rsidR="0092078A" w:rsidRPr="00F82C8D">
        <w:rPr>
          <w:b/>
          <w:i/>
          <w:sz w:val="20"/>
        </w:rPr>
        <w:t>]</w:t>
      </w:r>
    </w:p>
    <w:p w:rsidR="00DB293E" w:rsidRPr="00F82C8D" w:rsidRDefault="00A62556">
      <w:pPr>
        <w:pStyle w:val="ListBullet"/>
        <w:rPr>
          <w:b/>
          <w:lang w:eastAsia="en-AU"/>
        </w:rPr>
      </w:pPr>
      <w:r w:rsidRPr="00F82C8D">
        <w:t xml:space="preserve">The benchmark </w:t>
      </w:r>
      <w:r w:rsidR="00BB7C53" w:rsidRPr="00F82C8D">
        <w:t>emissions intens</w:t>
      </w:r>
      <w:r w:rsidR="00B63B20" w:rsidRPr="00F82C8D">
        <w:t>ities</w:t>
      </w:r>
      <w:r w:rsidRPr="00F82C8D">
        <w:t xml:space="preserve"> that correspond to each production variable identified in the application. These are sourced from the </w:t>
      </w:r>
      <w:r w:rsidR="00C61DFD" w:rsidRPr="00F82C8D">
        <w:t>Benchmark Emissions-Intensity Index</w:t>
      </w:r>
      <w:r w:rsidRPr="00F82C8D">
        <w:t xml:space="preserve"> in </w:t>
      </w:r>
      <w:r w:rsidR="00BF3FA1" w:rsidRPr="00F82C8D">
        <w:t>Schedule 1</w:t>
      </w:r>
      <w:r w:rsidRPr="00F82C8D">
        <w:t>.</w:t>
      </w:r>
      <w:r w:rsidR="002B1F33" w:rsidRPr="00F82C8D">
        <w:t xml:space="preserve"> </w:t>
      </w:r>
      <w:r w:rsidR="0092078A" w:rsidRPr="00F82C8D">
        <w:rPr>
          <w:b/>
          <w:i/>
          <w:sz w:val="20"/>
        </w:rPr>
        <w:t>[</w:t>
      </w:r>
      <w:r w:rsidR="001535DA" w:rsidRPr="00F82C8D">
        <w:rPr>
          <w:b/>
          <w:i/>
          <w:sz w:val="20"/>
        </w:rPr>
        <w:t>paragraph 35</w:t>
      </w:r>
      <w:r w:rsidR="002B1F33" w:rsidRPr="00F82C8D">
        <w:rPr>
          <w:b/>
          <w:i/>
          <w:sz w:val="20"/>
        </w:rPr>
        <w:t>(2)(e)</w:t>
      </w:r>
      <w:r w:rsidR="0092078A" w:rsidRPr="00F82C8D">
        <w:rPr>
          <w:b/>
          <w:i/>
          <w:sz w:val="20"/>
        </w:rPr>
        <w:t>]</w:t>
      </w:r>
    </w:p>
    <w:p w:rsidR="00552B33" w:rsidRPr="00F82C8D" w:rsidRDefault="002B1F33">
      <w:pPr>
        <w:pStyle w:val="ListBullet"/>
        <w:rPr>
          <w:b/>
          <w:lang w:eastAsia="en-AU"/>
        </w:rPr>
      </w:pPr>
      <w:r w:rsidRPr="00F82C8D">
        <w:t>The expected additional covered emissions from the facility by multiplying the change in production for each product</w:t>
      </w:r>
      <w:r w:rsidR="00D04EA8" w:rsidRPr="00F82C8D">
        <w:t>ion variable under paragraph 34</w:t>
      </w:r>
      <w:r w:rsidRPr="00F82C8D">
        <w:t xml:space="preserve">(2)(d) with the </w:t>
      </w:r>
      <w:r w:rsidR="00A62556" w:rsidRPr="00F82C8D">
        <w:t xml:space="preserve">corresponding benchmark </w:t>
      </w:r>
      <w:r w:rsidR="00BB7C53" w:rsidRPr="00F82C8D">
        <w:t>emissions intens</w:t>
      </w:r>
      <w:r w:rsidRPr="00F82C8D">
        <w:t>ity u</w:t>
      </w:r>
      <w:r w:rsidR="00D04EA8" w:rsidRPr="00F82C8D">
        <w:t>nder paragraph 34</w:t>
      </w:r>
      <w:r w:rsidRPr="00F82C8D">
        <w:t>(2)(e), and summing the results</w:t>
      </w:r>
      <w:r w:rsidR="00A62556" w:rsidRPr="00F82C8D">
        <w:t xml:space="preserve"> if there is more than one production variable</w:t>
      </w:r>
      <w:r w:rsidRPr="00F82C8D">
        <w:t xml:space="preserve">. </w:t>
      </w:r>
      <w:r w:rsidR="0092078A" w:rsidRPr="00F82C8D">
        <w:rPr>
          <w:b/>
          <w:i/>
          <w:sz w:val="20"/>
        </w:rPr>
        <w:t>[</w:t>
      </w:r>
      <w:r w:rsidR="001535DA" w:rsidRPr="00F82C8D">
        <w:rPr>
          <w:b/>
          <w:i/>
          <w:sz w:val="20"/>
        </w:rPr>
        <w:t>paragraph 35</w:t>
      </w:r>
      <w:r w:rsidRPr="00F82C8D">
        <w:rPr>
          <w:b/>
          <w:i/>
          <w:sz w:val="20"/>
        </w:rPr>
        <w:t>(2)(f)</w:t>
      </w:r>
      <w:r w:rsidR="0092078A" w:rsidRPr="00F82C8D">
        <w:rPr>
          <w:b/>
          <w:i/>
          <w:sz w:val="20"/>
        </w:rPr>
        <w:t>]</w:t>
      </w:r>
    </w:p>
    <w:p w:rsidR="00552B33" w:rsidRPr="00F82C8D" w:rsidRDefault="00290824">
      <w:pPr>
        <w:pStyle w:val="ListBullet"/>
        <w:rPr>
          <w:b/>
          <w:lang w:eastAsia="en-AU"/>
        </w:rPr>
      </w:pPr>
      <w:r w:rsidRPr="00F82C8D">
        <w:t>If the application states that the</w:t>
      </w:r>
      <w:r w:rsidR="002B1F33" w:rsidRPr="00F82C8D">
        <w:t xml:space="preserve"> significant expansion increased the maximum productive capacity of an existing production variable by more than 20</w:t>
      </w:r>
      <w:r w:rsidR="00586D41" w:rsidRPr="00F82C8D">
        <w:t xml:space="preserve"> per cent</w:t>
      </w:r>
      <w:r w:rsidRPr="00F82C8D">
        <w:t xml:space="preserve">, </w:t>
      </w:r>
      <w:r w:rsidR="002B1F33" w:rsidRPr="00F82C8D">
        <w:t>then the application must include evidence of the maximum productive capacity of equipment at the facility before and after the significant expansion</w:t>
      </w:r>
      <w:r w:rsidRPr="00F82C8D">
        <w:t>.</w:t>
      </w:r>
      <w:r w:rsidR="002B1F33" w:rsidRPr="00F82C8D">
        <w:t xml:space="preserve"> </w:t>
      </w:r>
      <w:r w:rsidR="0092078A" w:rsidRPr="00F82C8D">
        <w:rPr>
          <w:b/>
          <w:i/>
          <w:sz w:val="20"/>
        </w:rPr>
        <w:t>[</w:t>
      </w:r>
      <w:r w:rsidRPr="00F82C8D">
        <w:rPr>
          <w:b/>
          <w:i/>
          <w:sz w:val="20"/>
        </w:rPr>
        <w:t>subparagraph 33(2)(b)(i)</w:t>
      </w:r>
      <w:r w:rsidRPr="00F82C8D">
        <w:t xml:space="preserve">, </w:t>
      </w:r>
      <w:r w:rsidR="001535DA" w:rsidRPr="00F82C8D">
        <w:rPr>
          <w:b/>
          <w:i/>
          <w:sz w:val="20"/>
        </w:rPr>
        <w:t>paragraph 35</w:t>
      </w:r>
      <w:r w:rsidR="002B1F33" w:rsidRPr="00F82C8D">
        <w:rPr>
          <w:b/>
          <w:i/>
          <w:sz w:val="20"/>
        </w:rPr>
        <w:t>(2)(g)</w:t>
      </w:r>
      <w:r w:rsidR="0092078A" w:rsidRPr="00F82C8D">
        <w:rPr>
          <w:b/>
          <w:i/>
          <w:sz w:val="20"/>
        </w:rPr>
        <w:t>]</w:t>
      </w:r>
    </w:p>
    <w:p w:rsidR="00552B33" w:rsidRPr="00F82C8D" w:rsidRDefault="002B1F33">
      <w:pPr>
        <w:pStyle w:val="ListBullet"/>
        <w:rPr>
          <w:b/>
          <w:lang w:eastAsia="en-AU"/>
        </w:rPr>
      </w:pPr>
      <w:r w:rsidRPr="00F82C8D">
        <w:rPr>
          <w:lang w:eastAsia="en-AU"/>
        </w:rPr>
        <w:t>If a facility has a baseline set</w:t>
      </w:r>
      <w:r w:rsidRPr="00F82C8D">
        <w:rPr>
          <w:snapToGrid w:val="0"/>
          <w:u w:color="000000"/>
          <w:lang w:eastAsia="en-AU"/>
        </w:rPr>
        <w:t xml:space="preserve"> under subsection 10(b), meaning that </w:t>
      </w:r>
      <w:r w:rsidR="00290824" w:rsidRPr="00F82C8D">
        <w:rPr>
          <w:snapToGrid w:val="0"/>
          <w:u w:color="000000"/>
          <w:lang w:eastAsia="en-AU"/>
        </w:rPr>
        <w:t>it</w:t>
      </w:r>
      <w:r w:rsidRPr="00F82C8D">
        <w:rPr>
          <w:snapToGrid w:val="0"/>
          <w:u w:color="000000"/>
          <w:lang w:eastAsia="en-AU"/>
        </w:rPr>
        <w:t xml:space="preserve"> </w:t>
      </w:r>
      <w:r w:rsidR="00290824" w:rsidRPr="00F82C8D">
        <w:rPr>
          <w:snapToGrid w:val="0"/>
          <w:u w:color="000000"/>
          <w:lang w:eastAsia="en-AU"/>
        </w:rPr>
        <w:t>has no</w:t>
      </w:r>
      <w:r w:rsidRPr="00F82C8D">
        <w:rPr>
          <w:snapToGrid w:val="0"/>
          <w:u w:color="000000"/>
          <w:lang w:eastAsia="en-AU"/>
        </w:rPr>
        <w:t xml:space="preserve"> baseline determination</w:t>
      </w:r>
      <w:r w:rsidR="00290824" w:rsidRPr="00F82C8D">
        <w:rPr>
          <w:snapToGrid w:val="0"/>
          <w:u w:color="000000"/>
          <w:lang w:eastAsia="en-AU"/>
        </w:rPr>
        <w:t xml:space="preserve">, </w:t>
      </w:r>
      <w:r w:rsidRPr="00F82C8D">
        <w:rPr>
          <w:snapToGrid w:val="0"/>
          <w:u w:color="000000"/>
          <w:lang w:eastAsia="en-AU"/>
        </w:rPr>
        <w:t xml:space="preserve">then the </w:t>
      </w:r>
      <w:r w:rsidR="00290824" w:rsidRPr="00F82C8D">
        <w:rPr>
          <w:snapToGrid w:val="0"/>
          <w:u w:color="000000"/>
          <w:lang w:eastAsia="en-AU"/>
        </w:rPr>
        <w:t xml:space="preserve">application must state the </w:t>
      </w:r>
      <w:r w:rsidRPr="00F82C8D">
        <w:rPr>
          <w:snapToGrid w:val="0"/>
          <w:u w:color="000000"/>
          <w:lang w:eastAsia="en-AU"/>
        </w:rPr>
        <w:t xml:space="preserve">covered emissions of the facility </w:t>
      </w:r>
      <w:r w:rsidRPr="00F82C8D">
        <w:t>in the financial year with the highest production level of the primary production variable out of the three financial years before new equipment began to be installed at the facility</w:t>
      </w:r>
      <w:r w:rsidR="00290824" w:rsidRPr="00F82C8D">
        <w:t>.</w:t>
      </w:r>
      <w:r w:rsidRPr="00F82C8D">
        <w:t xml:space="preserve"> </w:t>
      </w:r>
      <w:r w:rsidR="0092078A" w:rsidRPr="00F82C8D">
        <w:rPr>
          <w:b/>
          <w:i/>
          <w:sz w:val="20"/>
        </w:rPr>
        <w:t>[</w:t>
      </w:r>
      <w:r w:rsidR="00D04EA8" w:rsidRPr="00F82C8D">
        <w:rPr>
          <w:b/>
          <w:i/>
          <w:sz w:val="20"/>
        </w:rPr>
        <w:t>paragraph 35</w:t>
      </w:r>
      <w:r w:rsidRPr="00F82C8D">
        <w:rPr>
          <w:b/>
          <w:i/>
          <w:sz w:val="20"/>
        </w:rPr>
        <w:t>(2)(h)</w:t>
      </w:r>
      <w:r w:rsidR="0092078A" w:rsidRPr="00F82C8D">
        <w:rPr>
          <w:b/>
          <w:i/>
          <w:sz w:val="20"/>
        </w:rPr>
        <w:t>]</w:t>
      </w:r>
    </w:p>
    <w:p w:rsidR="00552B33" w:rsidRPr="00F82C8D" w:rsidRDefault="00290824">
      <w:pPr>
        <w:pStyle w:val="ListBullet"/>
        <w:rPr>
          <w:b/>
          <w:lang w:eastAsia="en-AU"/>
        </w:rPr>
      </w:pPr>
      <w:r w:rsidRPr="00F82C8D">
        <w:t xml:space="preserve">Any relevant earlier estimates of the quantities of the identified production variables that have been made by the applicant or part of their business. It does not mean, for example, estimates made by parties unrelated to the applicant and not endorsed by the applicant. </w:t>
      </w:r>
      <w:r w:rsidR="00D04EA8" w:rsidRPr="00F82C8D">
        <w:rPr>
          <w:b/>
          <w:i/>
          <w:sz w:val="20"/>
        </w:rPr>
        <w:t>[paragraph 35</w:t>
      </w:r>
      <w:r w:rsidRPr="00F82C8D">
        <w:rPr>
          <w:b/>
          <w:i/>
          <w:sz w:val="20"/>
        </w:rPr>
        <w:t>(2)(i)]</w:t>
      </w:r>
      <w:r w:rsidR="00291EB7" w:rsidRPr="00F82C8D">
        <w:rPr>
          <w:b/>
          <w:i/>
          <w:sz w:val="20"/>
        </w:rPr>
        <w:t xml:space="preserve"> </w:t>
      </w:r>
      <w:r w:rsidR="00291EB7" w:rsidRPr="00F82C8D">
        <w:t xml:space="preserve">What is meant by </w:t>
      </w:r>
      <w:r w:rsidR="00291EB7" w:rsidRPr="00F82C8D">
        <w:rPr>
          <w:b/>
          <w:i/>
        </w:rPr>
        <w:t>relevant earlier estimates</w:t>
      </w:r>
      <w:r w:rsidR="00291EB7" w:rsidRPr="00F82C8D">
        <w:t xml:space="preserve"> is defined in section 4.</w:t>
      </w:r>
    </w:p>
    <w:p w:rsidR="00552B33" w:rsidRPr="00F82C8D" w:rsidRDefault="00290824">
      <w:pPr>
        <w:pStyle w:val="ListBullet"/>
        <w:rPr>
          <w:b/>
          <w:lang w:eastAsia="en-AU"/>
        </w:rPr>
      </w:pPr>
      <w:r w:rsidRPr="00F82C8D">
        <w:t xml:space="preserve">If applicable, an explanation of why the </w:t>
      </w:r>
      <w:r w:rsidR="00B63B20" w:rsidRPr="00F82C8D">
        <w:t>quantity</w:t>
      </w:r>
      <w:r w:rsidRPr="00F82C8D">
        <w:t xml:space="preserve"> of production variable given in the application is different to relevant earlier estimates. </w:t>
      </w:r>
      <w:r w:rsidR="00377A72" w:rsidRPr="00F82C8D">
        <w:rPr>
          <w:b/>
          <w:i/>
          <w:sz w:val="20"/>
        </w:rPr>
        <w:t>[paragraph </w:t>
      </w:r>
      <w:r w:rsidR="001535DA" w:rsidRPr="00F82C8D">
        <w:rPr>
          <w:b/>
          <w:i/>
          <w:sz w:val="20"/>
        </w:rPr>
        <w:t>35</w:t>
      </w:r>
      <w:r w:rsidRPr="00F82C8D">
        <w:rPr>
          <w:b/>
          <w:i/>
          <w:sz w:val="20"/>
        </w:rPr>
        <w:t>(2)(j)]</w:t>
      </w:r>
    </w:p>
    <w:p w:rsidR="002B1F33" w:rsidRPr="00F82C8D" w:rsidRDefault="002B1F33" w:rsidP="00625D31">
      <w:pPr>
        <w:pStyle w:val="ListParagraph"/>
        <w:rPr>
          <w:lang w:eastAsia="en-AU"/>
        </w:rPr>
      </w:pPr>
      <w:r w:rsidRPr="00F82C8D">
        <w:rPr>
          <w:lang w:eastAsia="en-AU"/>
        </w:rPr>
        <w:t xml:space="preserve">The units used in the application for measuring and reporting quantities of </w:t>
      </w:r>
      <w:r w:rsidR="00290824" w:rsidRPr="00F82C8D">
        <w:rPr>
          <w:lang w:eastAsia="en-AU"/>
        </w:rPr>
        <w:t xml:space="preserve">production </w:t>
      </w:r>
      <w:r w:rsidRPr="00F82C8D">
        <w:rPr>
          <w:lang w:eastAsia="en-AU"/>
        </w:rPr>
        <w:t xml:space="preserve">variables must be consistent with the relevant </w:t>
      </w:r>
      <w:r w:rsidR="00290824" w:rsidRPr="00F82C8D">
        <w:rPr>
          <w:lang w:eastAsia="en-AU"/>
        </w:rPr>
        <w:t xml:space="preserve">benchmark </w:t>
      </w:r>
      <w:r w:rsidRPr="00F82C8D">
        <w:rPr>
          <w:lang w:eastAsia="en-AU"/>
        </w:rPr>
        <w:t xml:space="preserve">emissions intensity set out in the </w:t>
      </w:r>
      <w:r w:rsidR="00C61DFD" w:rsidRPr="00F82C8D">
        <w:rPr>
          <w:lang w:eastAsia="en-AU"/>
        </w:rPr>
        <w:t>Benchmark Emissions-Intensity Index</w:t>
      </w:r>
      <w:r w:rsidR="00290824" w:rsidRPr="00F82C8D">
        <w:rPr>
          <w:lang w:eastAsia="en-AU"/>
        </w:rPr>
        <w:t xml:space="preserve"> in </w:t>
      </w:r>
      <w:r w:rsidR="00BF3FA1" w:rsidRPr="00F82C8D">
        <w:rPr>
          <w:lang w:eastAsia="en-AU"/>
        </w:rPr>
        <w:t>Schedule 1</w:t>
      </w:r>
      <w:r w:rsidR="00290824" w:rsidRPr="00F82C8D">
        <w:rPr>
          <w:lang w:eastAsia="en-AU"/>
        </w:rPr>
        <w:t>.</w:t>
      </w:r>
      <w:r w:rsidRPr="00F82C8D">
        <w:rPr>
          <w:lang w:eastAsia="en-AU"/>
        </w:rPr>
        <w:t xml:space="preserve"> </w:t>
      </w:r>
      <w:r w:rsidR="0092078A" w:rsidRPr="00F82C8D">
        <w:rPr>
          <w:b/>
          <w:i/>
          <w:sz w:val="20"/>
          <w:lang w:eastAsia="en-AU"/>
        </w:rPr>
        <w:t>[</w:t>
      </w:r>
      <w:r w:rsidRPr="00F82C8D">
        <w:rPr>
          <w:b/>
          <w:i/>
          <w:sz w:val="20"/>
          <w:lang w:eastAsia="en-AU"/>
        </w:rPr>
        <w:t>paragraphs 34(3)(a) and 35(3)(b)</w:t>
      </w:r>
      <w:r w:rsidR="00744E76" w:rsidRPr="00F82C8D">
        <w:rPr>
          <w:b/>
          <w:i/>
          <w:sz w:val="20"/>
          <w:lang w:eastAsia="en-AU"/>
        </w:rPr>
        <w:t>]</w:t>
      </w:r>
    </w:p>
    <w:p w:rsidR="002B1F33" w:rsidRPr="00F82C8D" w:rsidRDefault="002B1F33" w:rsidP="00625D31">
      <w:pPr>
        <w:pStyle w:val="ListParagraph"/>
        <w:rPr>
          <w:lang w:eastAsia="en-AU"/>
        </w:rPr>
      </w:pPr>
      <w:r w:rsidRPr="00F82C8D">
        <w:rPr>
          <w:lang w:eastAsia="en-AU"/>
        </w:rPr>
        <w:t xml:space="preserve">The </w:t>
      </w:r>
      <w:r w:rsidR="00290824" w:rsidRPr="00F82C8D">
        <w:rPr>
          <w:lang w:eastAsia="en-AU"/>
        </w:rPr>
        <w:t xml:space="preserve">period to be covered by the determination is relevant for </w:t>
      </w:r>
      <w:r w:rsidR="00592BF6" w:rsidRPr="00F82C8D">
        <w:rPr>
          <w:lang w:eastAsia="en-AU"/>
        </w:rPr>
        <w:t xml:space="preserve">estimating the </w:t>
      </w:r>
      <w:r w:rsidR="00B63B20" w:rsidRPr="00F82C8D">
        <w:rPr>
          <w:lang w:eastAsia="en-AU"/>
        </w:rPr>
        <w:t>quantity</w:t>
      </w:r>
      <w:r w:rsidR="00592BF6" w:rsidRPr="00F82C8D">
        <w:rPr>
          <w:lang w:eastAsia="en-AU"/>
        </w:rPr>
        <w:t xml:space="preserve"> </w:t>
      </w:r>
      <w:r w:rsidR="00B63B20" w:rsidRPr="00F82C8D">
        <w:rPr>
          <w:lang w:eastAsia="en-AU"/>
        </w:rPr>
        <w:t>of production</w:t>
      </w:r>
      <w:r w:rsidR="00592BF6" w:rsidRPr="00F82C8D">
        <w:rPr>
          <w:lang w:eastAsia="en-AU"/>
        </w:rPr>
        <w:t xml:space="preserve"> variables produced after the significant expansion. </w:t>
      </w:r>
      <w:r w:rsidR="00290824" w:rsidRPr="00F82C8D">
        <w:rPr>
          <w:lang w:eastAsia="en-AU"/>
        </w:rPr>
        <w:t xml:space="preserve">This is termed the </w:t>
      </w:r>
      <w:r w:rsidRPr="00F82C8D">
        <w:rPr>
          <w:i/>
          <w:lang w:eastAsia="en-AU"/>
        </w:rPr>
        <w:t>production estimation period</w:t>
      </w:r>
      <w:r w:rsidRPr="00F82C8D">
        <w:rPr>
          <w:lang w:eastAsia="en-AU"/>
        </w:rPr>
        <w:t xml:space="preserve"> </w:t>
      </w:r>
      <w:r w:rsidR="00290824" w:rsidRPr="00F82C8D">
        <w:rPr>
          <w:lang w:eastAsia="en-AU"/>
        </w:rPr>
        <w:t xml:space="preserve">and </w:t>
      </w:r>
      <w:r w:rsidRPr="00F82C8D">
        <w:rPr>
          <w:lang w:eastAsia="en-AU"/>
        </w:rPr>
        <w:t xml:space="preserve">is either three or five financial years </w:t>
      </w:r>
      <w:r w:rsidR="00290824" w:rsidRPr="00F82C8D">
        <w:rPr>
          <w:lang w:eastAsia="en-AU"/>
        </w:rPr>
        <w:t>beginning from the earliest 1 July possible that the</w:t>
      </w:r>
      <w:r w:rsidRPr="00F82C8D">
        <w:rPr>
          <w:lang w:eastAsia="en-AU"/>
        </w:rPr>
        <w:t xml:space="preserve"> </w:t>
      </w:r>
      <w:r w:rsidR="00AE6DBE" w:rsidRPr="00F82C8D">
        <w:rPr>
          <w:lang w:eastAsia="en-AU"/>
        </w:rPr>
        <w:t>benchmark-emissions</w:t>
      </w:r>
      <w:r w:rsidRPr="00F82C8D">
        <w:rPr>
          <w:lang w:eastAsia="en-AU"/>
        </w:rPr>
        <w:t xml:space="preserve"> baseline determination </w:t>
      </w:r>
      <w:r w:rsidR="00290824" w:rsidRPr="00F82C8D">
        <w:rPr>
          <w:lang w:eastAsia="en-AU"/>
        </w:rPr>
        <w:t>could</w:t>
      </w:r>
      <w:r w:rsidRPr="00F82C8D">
        <w:rPr>
          <w:lang w:eastAsia="en-AU"/>
        </w:rPr>
        <w:t xml:space="preserve"> commence</w:t>
      </w:r>
      <w:r w:rsidR="00290824" w:rsidRPr="00F82C8D">
        <w:rPr>
          <w:lang w:eastAsia="en-AU"/>
        </w:rPr>
        <w:t>.</w:t>
      </w:r>
      <w:r w:rsidRPr="00F82C8D">
        <w:rPr>
          <w:lang w:eastAsia="en-AU"/>
        </w:rPr>
        <w:t xml:space="preserve"> </w:t>
      </w:r>
      <w:r w:rsidR="0092078A" w:rsidRPr="00F82C8D">
        <w:rPr>
          <w:b/>
          <w:i/>
          <w:sz w:val="20"/>
          <w:lang w:eastAsia="en-AU"/>
        </w:rPr>
        <w:t>[</w:t>
      </w:r>
      <w:r w:rsidRPr="00F82C8D">
        <w:rPr>
          <w:b/>
          <w:i/>
          <w:sz w:val="20"/>
          <w:lang w:eastAsia="en-AU"/>
        </w:rPr>
        <w:t>subsection 35(4)</w:t>
      </w:r>
      <w:r w:rsidR="00744E76" w:rsidRPr="00F82C8D">
        <w:rPr>
          <w:b/>
          <w:i/>
          <w:sz w:val="20"/>
          <w:lang w:eastAsia="en-AU"/>
        </w:rPr>
        <w:t>]</w:t>
      </w:r>
      <w:r w:rsidR="00D868D9" w:rsidRPr="00F82C8D">
        <w:rPr>
          <w:b/>
          <w:i/>
          <w:sz w:val="20"/>
          <w:lang w:eastAsia="en-AU"/>
        </w:rPr>
        <w:t xml:space="preserve"> </w:t>
      </w:r>
      <w:r w:rsidR="00D868D9" w:rsidRPr="00F82C8D">
        <w:rPr>
          <w:lang w:eastAsia="en-AU"/>
        </w:rPr>
        <w:t>The production estimation period does not necessar</w:t>
      </w:r>
      <w:r w:rsidR="00552B33" w:rsidRPr="00F82C8D">
        <w:rPr>
          <w:lang w:eastAsia="en-AU"/>
        </w:rPr>
        <w:t>il</w:t>
      </w:r>
      <w:r w:rsidR="00D868D9" w:rsidRPr="00F82C8D">
        <w:rPr>
          <w:lang w:eastAsia="en-AU"/>
        </w:rPr>
        <w:t xml:space="preserve">y match the </w:t>
      </w:r>
      <w:r w:rsidR="003E13D8" w:rsidRPr="00F82C8D">
        <w:rPr>
          <w:lang w:eastAsia="en-AU"/>
        </w:rPr>
        <w:t xml:space="preserve">time that </w:t>
      </w:r>
      <w:r w:rsidR="00D868D9" w:rsidRPr="00F82C8D">
        <w:rPr>
          <w:lang w:eastAsia="en-AU"/>
        </w:rPr>
        <w:t>the benchmark-emissions baseline det</w:t>
      </w:r>
      <w:r w:rsidR="001E2900" w:rsidRPr="00F82C8D">
        <w:rPr>
          <w:lang w:eastAsia="en-AU"/>
        </w:rPr>
        <w:t>ermination</w:t>
      </w:r>
      <w:r w:rsidR="003E13D8" w:rsidRPr="00F82C8D">
        <w:rPr>
          <w:lang w:eastAsia="en-AU"/>
        </w:rPr>
        <w:t xml:space="preserve"> applied to a facility, because the determination may have started after the earliest possible date.</w:t>
      </w:r>
      <w:r w:rsidR="001E2900" w:rsidRPr="00F82C8D">
        <w:rPr>
          <w:lang w:eastAsia="en-AU"/>
        </w:rPr>
        <w:t xml:space="preserve"> </w:t>
      </w:r>
    </w:p>
    <w:p w:rsidR="00592BF6" w:rsidRPr="00F82C8D" w:rsidRDefault="00592BF6" w:rsidP="00891B83">
      <w:pPr>
        <w:pStyle w:val="Heading3"/>
      </w:pPr>
      <w:r w:rsidRPr="00F82C8D">
        <w:t>Audit reports</w:t>
      </w:r>
    </w:p>
    <w:p w:rsidR="002B1F33" w:rsidRPr="00F82C8D" w:rsidRDefault="002B1F33" w:rsidP="00625D31">
      <w:pPr>
        <w:pStyle w:val="ListParagraph"/>
      </w:pPr>
      <w:r w:rsidRPr="00F82C8D">
        <w:t xml:space="preserve">Each application for a </w:t>
      </w:r>
      <w:r w:rsidR="00AE6DBE" w:rsidRPr="00F82C8D">
        <w:t>benchmark-emissions</w:t>
      </w:r>
      <w:r w:rsidRPr="00F82C8D">
        <w:t xml:space="preserve"> baseline determination must be accompanied by an audit report</w:t>
      </w:r>
      <w:r w:rsidR="00D2648B" w:rsidRPr="00F82C8D">
        <w:t>.</w:t>
      </w:r>
      <w:r w:rsidRPr="00F82C8D">
        <w:t xml:space="preserve"> </w:t>
      </w:r>
      <w:r w:rsidR="0092078A" w:rsidRPr="00F82C8D">
        <w:rPr>
          <w:b/>
          <w:i/>
          <w:sz w:val="20"/>
        </w:rPr>
        <w:t>[</w:t>
      </w:r>
      <w:r w:rsidRPr="00F82C8D">
        <w:rPr>
          <w:b/>
          <w:i/>
          <w:sz w:val="20"/>
        </w:rPr>
        <w:t>subsection 36(1)</w:t>
      </w:r>
      <w:r w:rsidR="00744E76" w:rsidRPr="00F82C8D">
        <w:rPr>
          <w:b/>
          <w:i/>
          <w:sz w:val="20"/>
        </w:rPr>
        <w:t>]</w:t>
      </w:r>
      <w:r w:rsidR="000A7B10" w:rsidRPr="00F82C8D">
        <w:t xml:space="preserve"> </w:t>
      </w:r>
      <w:r w:rsidRPr="00F82C8D">
        <w:t>The matters to be audited are distinguished as reasonable assurance matters or limited assurance matters</w:t>
      </w:r>
      <w:r w:rsidR="00D2648B" w:rsidRPr="00F82C8D">
        <w:t>.</w:t>
      </w:r>
      <w:r w:rsidRPr="00F82C8D">
        <w:t xml:space="preserve"> </w:t>
      </w:r>
      <w:r w:rsidR="0092078A" w:rsidRPr="00F82C8D">
        <w:rPr>
          <w:b/>
          <w:i/>
          <w:sz w:val="20"/>
        </w:rPr>
        <w:t>[</w:t>
      </w:r>
      <w:r w:rsidRPr="00F82C8D">
        <w:rPr>
          <w:b/>
          <w:i/>
          <w:sz w:val="20"/>
        </w:rPr>
        <w:t>subsection 36(2)</w:t>
      </w:r>
      <w:r w:rsidR="00744E76" w:rsidRPr="00F82C8D">
        <w:rPr>
          <w:b/>
          <w:i/>
          <w:sz w:val="20"/>
        </w:rPr>
        <w:t>]</w:t>
      </w:r>
      <w:r w:rsidR="000A7B10" w:rsidRPr="00F82C8D">
        <w:t xml:space="preserve"> </w:t>
      </w:r>
    </w:p>
    <w:p w:rsidR="002B1F33" w:rsidRPr="00F82C8D" w:rsidRDefault="00942D59" w:rsidP="00625D31">
      <w:pPr>
        <w:pStyle w:val="ListParagraph"/>
      </w:pPr>
      <w:r w:rsidRPr="00F82C8D">
        <w:t>A national g</w:t>
      </w:r>
      <w:r w:rsidR="00F02C24" w:rsidRPr="00F82C8D">
        <w:t xml:space="preserve">reenhouse and </w:t>
      </w:r>
      <w:r w:rsidRPr="00F82C8D">
        <w:t>e</w:t>
      </w:r>
      <w:r w:rsidR="00F02C24" w:rsidRPr="00F82C8D">
        <w:t xml:space="preserve">nergy </w:t>
      </w:r>
      <w:r w:rsidR="00D2648B" w:rsidRPr="00F82C8D">
        <w:t xml:space="preserve">auditor </w:t>
      </w:r>
      <w:r w:rsidR="002B1F33" w:rsidRPr="00F82C8D">
        <w:t xml:space="preserve">must </w:t>
      </w:r>
      <w:r w:rsidR="00D2648B" w:rsidRPr="00F82C8D">
        <w:t>do the audit</w:t>
      </w:r>
      <w:r w:rsidR="001535DA" w:rsidRPr="00F82C8D">
        <w:t>, meaning that they are registered under the NGER Regulations</w:t>
      </w:r>
      <w:r w:rsidR="002B1F33" w:rsidRPr="00F82C8D">
        <w:t xml:space="preserve">. The team leader of the audit must </w:t>
      </w:r>
      <w:r w:rsidR="001535DA" w:rsidRPr="00F82C8D">
        <w:t xml:space="preserve">in addition </w:t>
      </w:r>
      <w:r w:rsidR="002B1F33" w:rsidRPr="00F82C8D">
        <w:t>be registered as a Category 2 auditor</w:t>
      </w:r>
      <w:r w:rsidR="00D2648B" w:rsidRPr="00F82C8D">
        <w:rPr>
          <w:i/>
        </w:rPr>
        <w:t>.</w:t>
      </w:r>
      <w:r w:rsidR="002B1F33" w:rsidRPr="00F82C8D">
        <w:rPr>
          <w:i/>
        </w:rPr>
        <w:t xml:space="preserve"> </w:t>
      </w:r>
      <w:r w:rsidR="0092078A" w:rsidRPr="00F82C8D">
        <w:rPr>
          <w:b/>
          <w:i/>
          <w:sz w:val="20"/>
        </w:rPr>
        <w:t>[</w:t>
      </w:r>
      <w:r w:rsidR="00377A72" w:rsidRPr="00F82C8D">
        <w:rPr>
          <w:b/>
          <w:i/>
          <w:sz w:val="20"/>
        </w:rPr>
        <w:t>paragraph </w:t>
      </w:r>
      <w:r w:rsidR="002B1F33" w:rsidRPr="00F82C8D">
        <w:rPr>
          <w:b/>
          <w:i/>
          <w:sz w:val="20"/>
        </w:rPr>
        <w:t>36(5)(b)</w:t>
      </w:r>
      <w:r w:rsidR="00744E76" w:rsidRPr="00F82C8D">
        <w:rPr>
          <w:b/>
          <w:i/>
          <w:sz w:val="20"/>
        </w:rPr>
        <w:t>]</w:t>
      </w:r>
      <w:r w:rsidR="001535DA" w:rsidRPr="00F82C8D">
        <w:t xml:space="preserve"> A Category </w:t>
      </w:r>
      <w:r w:rsidR="002B1F33" w:rsidRPr="00F82C8D">
        <w:t xml:space="preserve">2 auditor has experience leading greenhouse audits. </w:t>
      </w:r>
      <w:r w:rsidR="00D2648B" w:rsidRPr="00F82C8D">
        <w:t>The audit</w:t>
      </w:r>
      <w:r w:rsidR="002B1F33" w:rsidRPr="00F82C8D">
        <w:t xml:space="preserve"> must </w:t>
      </w:r>
      <w:r w:rsidR="00D2648B" w:rsidRPr="00F82C8D">
        <w:t>meet</w:t>
      </w:r>
      <w:r w:rsidR="002B1F33" w:rsidRPr="00F82C8D">
        <w:t xml:space="preserve"> the relevant requirements for limit</w:t>
      </w:r>
      <w:r w:rsidR="00D2648B" w:rsidRPr="00F82C8D">
        <w:t>ed</w:t>
      </w:r>
      <w:r w:rsidR="002B1F33" w:rsidRPr="00F82C8D">
        <w:t xml:space="preserve"> and reasonable assurance engagements under the </w:t>
      </w:r>
      <w:r w:rsidR="002B1F33" w:rsidRPr="00F82C8D">
        <w:rPr>
          <w:i/>
        </w:rPr>
        <w:t>National Greenhouse and Energy Reporting (Audit) Determination 2009</w:t>
      </w:r>
      <w:r w:rsidR="002B1F33" w:rsidRPr="00F82C8D">
        <w:t xml:space="preserve"> </w:t>
      </w:r>
      <w:r w:rsidR="0092078A" w:rsidRPr="00F82C8D">
        <w:rPr>
          <w:b/>
          <w:i/>
          <w:sz w:val="20"/>
        </w:rPr>
        <w:t>[</w:t>
      </w:r>
      <w:r w:rsidR="002B1F33" w:rsidRPr="00F82C8D">
        <w:rPr>
          <w:b/>
          <w:i/>
          <w:sz w:val="20"/>
        </w:rPr>
        <w:t>paragraph 36(5)(a)</w:t>
      </w:r>
      <w:r w:rsidR="0092078A" w:rsidRPr="00F82C8D">
        <w:rPr>
          <w:b/>
          <w:i/>
          <w:sz w:val="20"/>
        </w:rPr>
        <w:t>]</w:t>
      </w:r>
      <w:r w:rsidR="002B1F33" w:rsidRPr="00F82C8D">
        <w:t xml:space="preserve"> </w:t>
      </w:r>
      <w:r w:rsidR="00D2648B" w:rsidRPr="00F82C8D">
        <w:t>as well as</w:t>
      </w:r>
      <w:r w:rsidR="001535DA" w:rsidRPr="00F82C8D">
        <w:t xml:space="preserve"> requirements of subsection </w:t>
      </w:r>
      <w:r w:rsidR="002B1F33" w:rsidRPr="00F82C8D">
        <w:t>7</w:t>
      </w:r>
      <w:r w:rsidR="00EF0775" w:rsidRPr="00F82C8D">
        <w:t>4</w:t>
      </w:r>
      <w:r w:rsidR="002B1F33" w:rsidRPr="00F82C8D">
        <w:t>(1) of the Act, which provides that the Minister may determine requirements to be m</w:t>
      </w:r>
      <w:r w:rsidR="00D2648B" w:rsidRPr="00F82C8D">
        <w:t xml:space="preserve">et by </w:t>
      </w:r>
      <w:r w:rsidRPr="00F82C8D">
        <w:t>national g</w:t>
      </w:r>
      <w:r w:rsidR="00F02C24" w:rsidRPr="00F82C8D">
        <w:t>reenhous</w:t>
      </w:r>
      <w:r w:rsidRPr="00F82C8D">
        <w:t>e and e</w:t>
      </w:r>
      <w:r w:rsidR="00F02C24" w:rsidRPr="00F82C8D">
        <w:t>nergy</w:t>
      </w:r>
      <w:r w:rsidR="00D2648B" w:rsidRPr="00F82C8D">
        <w:t xml:space="preserve"> auditors. </w:t>
      </w:r>
      <w:r w:rsidR="0092078A" w:rsidRPr="00F82C8D">
        <w:rPr>
          <w:b/>
          <w:i/>
          <w:sz w:val="20"/>
        </w:rPr>
        <w:t>[</w:t>
      </w:r>
      <w:r w:rsidR="001535DA" w:rsidRPr="00F82C8D">
        <w:rPr>
          <w:b/>
          <w:i/>
          <w:sz w:val="20"/>
        </w:rPr>
        <w:t>paragraph </w:t>
      </w:r>
      <w:r w:rsidR="002B1F33" w:rsidRPr="00F82C8D">
        <w:rPr>
          <w:b/>
          <w:i/>
          <w:sz w:val="20"/>
        </w:rPr>
        <w:t>36(5)(c)</w:t>
      </w:r>
      <w:r w:rsidR="00744E76" w:rsidRPr="00F82C8D">
        <w:rPr>
          <w:b/>
          <w:i/>
          <w:sz w:val="20"/>
        </w:rPr>
        <w:t>]</w:t>
      </w:r>
    </w:p>
    <w:p w:rsidR="002B1F33" w:rsidRPr="00F82C8D" w:rsidRDefault="002B1F33" w:rsidP="00D2648B">
      <w:pPr>
        <w:pStyle w:val="Heading4"/>
      </w:pPr>
      <w:r w:rsidRPr="00F82C8D">
        <w:t>Reasonable assurance matters</w:t>
      </w:r>
    </w:p>
    <w:p w:rsidR="002B1F33" w:rsidRPr="00F82C8D" w:rsidRDefault="002B1F33" w:rsidP="00625D31">
      <w:pPr>
        <w:pStyle w:val="ListParagraph"/>
      </w:pPr>
      <w:r w:rsidRPr="00F82C8D">
        <w:t xml:space="preserve">In relation to </w:t>
      </w:r>
      <w:r w:rsidR="001535DA" w:rsidRPr="00F82C8D">
        <w:t>reasonable assurance matters</w:t>
      </w:r>
      <w:r w:rsidR="0013151B" w:rsidRPr="00F82C8D">
        <w:t>, explained below,</w:t>
      </w:r>
      <w:r w:rsidR="001535DA" w:rsidRPr="00F82C8D">
        <w:t xml:space="preserve"> </w:t>
      </w:r>
      <w:r w:rsidRPr="00F82C8D">
        <w:t>the audit report must make one of the following conclusions:</w:t>
      </w:r>
    </w:p>
    <w:p w:rsidR="002B1F33" w:rsidRPr="00F82C8D" w:rsidRDefault="002B1F33" w:rsidP="002E625A">
      <w:pPr>
        <w:pStyle w:val="ListBullet"/>
      </w:pPr>
      <w:r w:rsidRPr="00F82C8D">
        <w:t xml:space="preserve">a </w:t>
      </w:r>
      <w:r w:rsidR="00D2648B" w:rsidRPr="00F82C8D">
        <w:t>reasonable assurance conclusion</w:t>
      </w:r>
    </w:p>
    <w:p w:rsidR="00552B33" w:rsidRPr="00F82C8D" w:rsidRDefault="002B1F33">
      <w:pPr>
        <w:pStyle w:val="ListBullet"/>
      </w:pPr>
      <w:r w:rsidRPr="00F82C8D">
        <w:t>a qualified reasonab</w:t>
      </w:r>
      <w:r w:rsidR="00D2648B" w:rsidRPr="00F82C8D">
        <w:t>le assurance conclusion</w:t>
      </w:r>
    </w:p>
    <w:p w:rsidR="00552B33" w:rsidRPr="00F82C8D" w:rsidRDefault="00D2648B">
      <w:pPr>
        <w:pStyle w:val="ListBullet"/>
      </w:pPr>
      <w:r w:rsidRPr="00F82C8D">
        <w:t>an adverse conclusion</w:t>
      </w:r>
    </w:p>
    <w:p w:rsidR="00552B33" w:rsidRPr="00F82C8D" w:rsidRDefault="002B1F33">
      <w:pPr>
        <w:pStyle w:val="ListBullet"/>
      </w:pPr>
      <w:r w:rsidRPr="00F82C8D">
        <w:t>a conclusion that the assurance provider is unable to form an opinion about the matter being audited</w:t>
      </w:r>
      <w:r w:rsidR="00D2648B" w:rsidRPr="00F82C8D">
        <w:t>.</w:t>
      </w:r>
      <w:r w:rsidRPr="00F82C8D">
        <w:t xml:space="preserve"> </w:t>
      </w:r>
      <w:r w:rsidR="0092078A" w:rsidRPr="00F82C8D">
        <w:rPr>
          <w:b/>
          <w:i/>
          <w:sz w:val="20"/>
        </w:rPr>
        <w:t>[</w:t>
      </w:r>
      <w:r w:rsidRPr="00F82C8D">
        <w:rPr>
          <w:b/>
          <w:i/>
          <w:sz w:val="20"/>
        </w:rPr>
        <w:t>subsection 36(3)</w:t>
      </w:r>
      <w:r w:rsidR="00744E76" w:rsidRPr="00F82C8D">
        <w:rPr>
          <w:b/>
          <w:i/>
          <w:sz w:val="20"/>
        </w:rPr>
        <w:t>]</w:t>
      </w:r>
    </w:p>
    <w:p w:rsidR="002B1F33" w:rsidRPr="00F82C8D" w:rsidRDefault="002B1F33" w:rsidP="00625D31">
      <w:pPr>
        <w:pStyle w:val="ListParagraph"/>
      </w:pPr>
      <w:r w:rsidRPr="00F82C8D">
        <w:t xml:space="preserve">If the application has been made on the basis that the facility has undergone a significant expansion, </w:t>
      </w:r>
      <w:r w:rsidR="00D2648B" w:rsidRPr="00F82C8D">
        <w:t xml:space="preserve">then </w:t>
      </w:r>
      <w:r w:rsidR="00587CB1" w:rsidRPr="00F82C8D">
        <w:t>a reasonable assurance matter is whether</w:t>
      </w:r>
      <w:r w:rsidRPr="00F82C8D">
        <w:t xml:space="preserve"> </w:t>
      </w:r>
      <w:r w:rsidR="00D2648B" w:rsidRPr="00F82C8D">
        <w:t>the significant expansion</w:t>
      </w:r>
      <w:r w:rsidRPr="00F82C8D">
        <w:t xml:space="preserve"> criteria have been met in all material respects</w:t>
      </w:r>
      <w:r w:rsidR="00D2648B" w:rsidRPr="00F82C8D">
        <w:t>.</w:t>
      </w:r>
      <w:r w:rsidRPr="00F82C8D">
        <w:t xml:space="preserve"> </w:t>
      </w:r>
      <w:r w:rsidR="0092078A" w:rsidRPr="00F82C8D">
        <w:rPr>
          <w:b/>
          <w:i/>
          <w:sz w:val="20"/>
        </w:rPr>
        <w:t>[</w:t>
      </w:r>
      <w:r w:rsidR="00377A72" w:rsidRPr="00F82C8D">
        <w:rPr>
          <w:b/>
          <w:i/>
          <w:sz w:val="20"/>
        </w:rPr>
        <w:t>paragraph </w:t>
      </w:r>
      <w:r w:rsidRPr="00F82C8D">
        <w:rPr>
          <w:b/>
          <w:i/>
          <w:sz w:val="20"/>
        </w:rPr>
        <w:t>36(2)(a)</w:t>
      </w:r>
      <w:r w:rsidR="00744E76" w:rsidRPr="00F82C8D">
        <w:rPr>
          <w:b/>
          <w:i/>
          <w:sz w:val="20"/>
        </w:rPr>
        <w:t>]</w:t>
      </w:r>
      <w:r w:rsidRPr="00F82C8D">
        <w:t xml:space="preserve"> The </w:t>
      </w:r>
      <w:r w:rsidR="00587CB1" w:rsidRPr="00F82C8D">
        <w:t>substantiation in the application that the criteria have been met and supporting evidence will be resources for the auditor</w:t>
      </w:r>
      <w:r w:rsidRPr="00F82C8D">
        <w:t xml:space="preserve">. </w:t>
      </w:r>
    </w:p>
    <w:p w:rsidR="002B1F33" w:rsidRPr="00F82C8D" w:rsidRDefault="00587CB1" w:rsidP="00625D31">
      <w:pPr>
        <w:pStyle w:val="ListParagraph"/>
      </w:pPr>
      <w:r w:rsidRPr="00F82C8D">
        <w:t>Another reasonable assurance matter, applying to both new facility and significant expansion applications, is</w:t>
      </w:r>
      <w:r w:rsidR="002B1F33" w:rsidRPr="00F82C8D">
        <w:t xml:space="preserve"> whether the application has met the application </w:t>
      </w:r>
      <w:r w:rsidRPr="00F82C8D">
        <w:t xml:space="preserve">information </w:t>
      </w:r>
      <w:r w:rsidR="002B1F33" w:rsidRPr="00F82C8D">
        <w:t>requirements set out in section 35</w:t>
      </w:r>
      <w:r w:rsidRPr="00F82C8D">
        <w:t>.</w:t>
      </w:r>
      <w:r w:rsidR="002B1F33" w:rsidRPr="00F82C8D">
        <w:t xml:space="preserve"> </w:t>
      </w:r>
      <w:r w:rsidR="0092078A" w:rsidRPr="00F82C8D">
        <w:rPr>
          <w:b/>
          <w:i/>
          <w:sz w:val="20"/>
        </w:rPr>
        <w:t>[</w:t>
      </w:r>
      <w:r w:rsidR="0013151B" w:rsidRPr="00F82C8D">
        <w:rPr>
          <w:b/>
          <w:i/>
          <w:sz w:val="20"/>
        </w:rPr>
        <w:t>subparagraph </w:t>
      </w:r>
      <w:r w:rsidR="00D2648B" w:rsidRPr="00F82C8D">
        <w:rPr>
          <w:b/>
          <w:i/>
          <w:sz w:val="20"/>
        </w:rPr>
        <w:t>36</w:t>
      </w:r>
      <w:r w:rsidR="002B1F33" w:rsidRPr="00F82C8D">
        <w:rPr>
          <w:b/>
          <w:i/>
          <w:sz w:val="20"/>
        </w:rPr>
        <w:t>(2)(b)(i)</w:t>
      </w:r>
      <w:r w:rsidR="00744E76" w:rsidRPr="00F82C8D">
        <w:rPr>
          <w:b/>
          <w:i/>
          <w:sz w:val="20"/>
        </w:rPr>
        <w:t>]</w:t>
      </w:r>
    </w:p>
    <w:p w:rsidR="002B1F33" w:rsidRPr="00F82C8D" w:rsidRDefault="002B1F33" w:rsidP="00625D31">
      <w:pPr>
        <w:pStyle w:val="ListParagraph"/>
      </w:pPr>
      <w:r w:rsidRPr="00F82C8D">
        <w:t xml:space="preserve">The </w:t>
      </w:r>
      <w:r w:rsidR="00587CB1" w:rsidRPr="00F82C8D">
        <w:t xml:space="preserve">final reasonable assurance matter is </w:t>
      </w:r>
      <w:r w:rsidRPr="00F82C8D">
        <w:t>whether the application has been presented fairly</w:t>
      </w:r>
      <w:r w:rsidR="00587CB1" w:rsidRPr="00F82C8D">
        <w:t>.</w:t>
      </w:r>
      <w:r w:rsidRPr="00F82C8D">
        <w:t xml:space="preserve"> </w:t>
      </w:r>
      <w:r w:rsidR="0092078A" w:rsidRPr="00F82C8D">
        <w:rPr>
          <w:b/>
          <w:i/>
          <w:sz w:val="20"/>
        </w:rPr>
        <w:t>[</w:t>
      </w:r>
      <w:r w:rsidR="0013151B" w:rsidRPr="00F82C8D">
        <w:rPr>
          <w:b/>
          <w:i/>
          <w:sz w:val="20"/>
        </w:rPr>
        <w:t>subparagraph 36</w:t>
      </w:r>
      <w:r w:rsidRPr="00F82C8D">
        <w:rPr>
          <w:b/>
          <w:i/>
          <w:sz w:val="20"/>
        </w:rPr>
        <w:t>(2)(b)(ii)</w:t>
      </w:r>
      <w:r w:rsidR="00744E76" w:rsidRPr="00F82C8D">
        <w:rPr>
          <w:b/>
          <w:i/>
          <w:sz w:val="20"/>
        </w:rPr>
        <w:t>]</w:t>
      </w:r>
      <w:r w:rsidRPr="00F82C8D">
        <w:t xml:space="preserve"> A fairly presented application is, among other things, comprehensive, does not withhold important information and presents data in a consistent and transparent manner. </w:t>
      </w:r>
    </w:p>
    <w:p w:rsidR="002B1F33" w:rsidRPr="00F82C8D" w:rsidRDefault="002B1F33" w:rsidP="00587CB1">
      <w:pPr>
        <w:pStyle w:val="Heading4"/>
      </w:pPr>
      <w:r w:rsidRPr="00F82C8D">
        <w:t>Limited assurance matters</w:t>
      </w:r>
    </w:p>
    <w:p w:rsidR="002B1F33" w:rsidRPr="00F82C8D" w:rsidRDefault="002B1F33" w:rsidP="00625D31">
      <w:pPr>
        <w:pStyle w:val="ListParagraph"/>
      </w:pPr>
      <w:r w:rsidRPr="00F82C8D">
        <w:t>In relation to the matters listed in paragraph 28(2)(c), the audit report must make one of the following conclusions:</w:t>
      </w:r>
    </w:p>
    <w:p w:rsidR="002B1F33" w:rsidRPr="00F82C8D" w:rsidRDefault="001B2098" w:rsidP="002E625A">
      <w:pPr>
        <w:pStyle w:val="ListBullet"/>
      </w:pPr>
      <w:r w:rsidRPr="00F82C8D">
        <w:t>a limited assurance conclusion</w:t>
      </w:r>
    </w:p>
    <w:p w:rsidR="00552B33" w:rsidRPr="00F82C8D" w:rsidRDefault="002B1F33">
      <w:pPr>
        <w:pStyle w:val="ListBullet"/>
      </w:pPr>
      <w:r w:rsidRPr="00F82C8D">
        <w:t xml:space="preserve">a </w:t>
      </w:r>
      <w:r w:rsidR="00644B15" w:rsidRPr="00F82C8D">
        <w:t xml:space="preserve">qualified </w:t>
      </w:r>
      <w:r w:rsidRPr="00F82C8D">
        <w:t xml:space="preserve">limited </w:t>
      </w:r>
      <w:r w:rsidR="001B2098" w:rsidRPr="00F82C8D">
        <w:t>assurance conclusion</w:t>
      </w:r>
    </w:p>
    <w:p w:rsidR="00552B33" w:rsidRPr="00F82C8D" w:rsidRDefault="001B2098">
      <w:pPr>
        <w:pStyle w:val="ListBullet"/>
      </w:pPr>
      <w:r w:rsidRPr="00F82C8D">
        <w:t>an adverse conclusion</w:t>
      </w:r>
    </w:p>
    <w:p w:rsidR="00552B33" w:rsidRPr="00F82C8D" w:rsidRDefault="002B1F33">
      <w:pPr>
        <w:pStyle w:val="ListBullet"/>
      </w:pPr>
      <w:r w:rsidRPr="00F82C8D">
        <w:t>a conclusion that the assurance provider is unable to form an opinion about the matter being audited</w:t>
      </w:r>
      <w:r w:rsidR="00B20776" w:rsidRPr="00F82C8D">
        <w:t>.</w:t>
      </w:r>
      <w:r w:rsidRPr="00F82C8D">
        <w:t xml:space="preserve"> </w:t>
      </w:r>
      <w:r w:rsidR="0092078A" w:rsidRPr="00F82C8D">
        <w:rPr>
          <w:b/>
          <w:i/>
          <w:sz w:val="20"/>
        </w:rPr>
        <w:t>[</w:t>
      </w:r>
      <w:r w:rsidRPr="00F82C8D">
        <w:rPr>
          <w:b/>
          <w:i/>
          <w:sz w:val="20"/>
        </w:rPr>
        <w:t>subsection 28(4)</w:t>
      </w:r>
      <w:r w:rsidR="00744E76" w:rsidRPr="00F82C8D">
        <w:rPr>
          <w:b/>
          <w:i/>
          <w:sz w:val="20"/>
        </w:rPr>
        <w:t>]</w:t>
      </w:r>
    </w:p>
    <w:p w:rsidR="002B1F33" w:rsidRPr="00F82C8D" w:rsidRDefault="00587CB1" w:rsidP="00625D31">
      <w:pPr>
        <w:pStyle w:val="ListParagraph"/>
      </w:pPr>
      <w:r w:rsidRPr="00F82C8D">
        <w:t>A</w:t>
      </w:r>
      <w:r w:rsidR="002B1F33" w:rsidRPr="00F82C8D">
        <w:t xml:space="preserve"> limited assurance conclusion</w:t>
      </w:r>
      <w:r w:rsidR="00B20776" w:rsidRPr="00F82C8D">
        <w:t xml:space="preserve"> applies only to </w:t>
      </w:r>
      <w:r w:rsidRPr="00F82C8D">
        <w:t>production estimates</w:t>
      </w:r>
      <w:r w:rsidR="00B20776" w:rsidRPr="00F82C8D">
        <w:t xml:space="preserve"> of the </w:t>
      </w:r>
      <w:r w:rsidR="00B63B20" w:rsidRPr="00F82C8D">
        <w:t>quantity</w:t>
      </w:r>
      <w:r w:rsidR="00B20776" w:rsidRPr="00F82C8D">
        <w:t xml:space="preserve"> of production variables. </w:t>
      </w:r>
      <w:r w:rsidR="002B1F33" w:rsidRPr="00F82C8D">
        <w:t>There are no restrictions around the matters</w:t>
      </w:r>
      <w:r w:rsidR="00B20776" w:rsidRPr="00F82C8D">
        <w:t xml:space="preserve"> the audit report addresses, but </w:t>
      </w:r>
      <w:r w:rsidR="002B1F33" w:rsidRPr="00F82C8D">
        <w:t xml:space="preserve">must </w:t>
      </w:r>
      <w:r w:rsidR="00B20776" w:rsidRPr="00F82C8D">
        <w:t>include</w:t>
      </w:r>
      <w:r w:rsidR="002B1F33" w:rsidRPr="00F82C8D">
        <w:t xml:space="preserve"> whether the applicant’s assumptions </w:t>
      </w:r>
      <w:r w:rsidR="00B20776" w:rsidRPr="00F82C8D">
        <w:t>are</w:t>
      </w:r>
      <w:r w:rsidR="002B1F33" w:rsidRPr="00F82C8D">
        <w:t xml:space="preserve"> a reasonable basis for the estimates, and whether the estimates are supported by any relevant historical data</w:t>
      </w:r>
      <w:r w:rsidR="00B20776" w:rsidRPr="00F82C8D">
        <w:t>.</w:t>
      </w:r>
      <w:r w:rsidR="002B1F33" w:rsidRPr="00F82C8D">
        <w:t xml:space="preserve"> </w:t>
      </w:r>
      <w:r w:rsidR="0092078A" w:rsidRPr="00F82C8D">
        <w:rPr>
          <w:b/>
          <w:i/>
          <w:sz w:val="20"/>
        </w:rPr>
        <w:t>[</w:t>
      </w:r>
      <w:r w:rsidR="00B20776" w:rsidRPr="00F82C8D">
        <w:rPr>
          <w:b/>
          <w:i/>
          <w:sz w:val="20"/>
        </w:rPr>
        <w:t>paragraph </w:t>
      </w:r>
      <w:r w:rsidR="002B1F33" w:rsidRPr="00F82C8D">
        <w:rPr>
          <w:b/>
          <w:i/>
          <w:sz w:val="20"/>
        </w:rPr>
        <w:t>36(2)(c)</w:t>
      </w:r>
      <w:r w:rsidR="00744E76" w:rsidRPr="00F82C8D">
        <w:rPr>
          <w:b/>
          <w:i/>
          <w:sz w:val="20"/>
        </w:rPr>
        <w:t>]</w:t>
      </w:r>
    </w:p>
    <w:p w:rsidR="002B1F33" w:rsidRPr="00F82C8D" w:rsidRDefault="00424FBE" w:rsidP="00891B83">
      <w:pPr>
        <w:pStyle w:val="Heading3"/>
      </w:pPr>
      <w:r w:rsidRPr="00F82C8D">
        <w:t xml:space="preserve">Section 37: </w:t>
      </w:r>
      <w:r w:rsidR="002B1F33" w:rsidRPr="00F82C8D">
        <w:t>Further information</w:t>
      </w:r>
    </w:p>
    <w:p w:rsidR="00275D4E" w:rsidRPr="00F82C8D" w:rsidRDefault="002B1F33" w:rsidP="00625D31">
      <w:pPr>
        <w:pStyle w:val="ListParagraph"/>
        <w:rPr>
          <w:b/>
        </w:rPr>
      </w:pPr>
      <w:r w:rsidRPr="00F82C8D">
        <w:t xml:space="preserve">The Regulator may </w:t>
      </w:r>
      <w:r w:rsidR="00DC68B8" w:rsidRPr="00F82C8D">
        <w:t>require</w:t>
      </w:r>
      <w:r w:rsidRPr="00F82C8D">
        <w:t xml:space="preserve"> the applicant to provide further information in connection with the application. </w:t>
      </w:r>
      <w:r w:rsidR="00275D4E" w:rsidRPr="00F82C8D">
        <w:t>Such a</w:t>
      </w:r>
      <w:r w:rsidRPr="00F82C8D">
        <w:t xml:space="preserve"> request </w:t>
      </w:r>
      <w:r w:rsidR="00275D4E" w:rsidRPr="00F82C8D">
        <w:t>is made</w:t>
      </w:r>
      <w:r w:rsidRPr="00F82C8D">
        <w:t xml:space="preserve"> in writing and </w:t>
      </w:r>
      <w:r w:rsidR="00275D4E" w:rsidRPr="00F82C8D">
        <w:t xml:space="preserve">will </w:t>
      </w:r>
      <w:r w:rsidRPr="00F82C8D">
        <w:t xml:space="preserve">specify a due date for the applicant to provide the </w:t>
      </w:r>
      <w:r w:rsidR="00DC68B8" w:rsidRPr="00F82C8D">
        <w:t>required</w:t>
      </w:r>
      <w:r w:rsidRPr="00F82C8D">
        <w:t xml:space="preserve"> information</w:t>
      </w:r>
      <w:r w:rsidR="00275D4E" w:rsidRPr="00F82C8D">
        <w:t>.</w:t>
      </w:r>
      <w:r w:rsidRPr="00F82C8D">
        <w:t xml:space="preserve"> </w:t>
      </w:r>
      <w:r w:rsidR="0092078A" w:rsidRPr="00F82C8D">
        <w:rPr>
          <w:b/>
          <w:i/>
          <w:sz w:val="20"/>
        </w:rPr>
        <w:t>[</w:t>
      </w:r>
      <w:r w:rsidRPr="00F82C8D">
        <w:rPr>
          <w:b/>
          <w:i/>
          <w:sz w:val="20"/>
        </w:rPr>
        <w:t>subsection 37(1)</w:t>
      </w:r>
      <w:r w:rsidR="00744E76" w:rsidRPr="00F82C8D">
        <w:rPr>
          <w:b/>
          <w:i/>
          <w:sz w:val="20"/>
        </w:rPr>
        <w:t>]</w:t>
      </w:r>
      <w:r w:rsidRPr="00F82C8D">
        <w:t xml:space="preserve"> </w:t>
      </w:r>
    </w:p>
    <w:p w:rsidR="002B1F33" w:rsidRPr="00F82C8D" w:rsidRDefault="002B1F33" w:rsidP="0051382B">
      <w:pPr>
        <w:pStyle w:val="Quote"/>
        <w:rPr>
          <w:b/>
        </w:rPr>
      </w:pPr>
      <w:r w:rsidRPr="00F82C8D">
        <w:t xml:space="preserve">For example, the Regulator may require an applicant to provide further </w:t>
      </w:r>
      <w:r w:rsidR="00275D4E" w:rsidRPr="00F82C8D">
        <w:t>information to support estimated quantities</w:t>
      </w:r>
      <w:r w:rsidRPr="00F82C8D">
        <w:t xml:space="preserve"> of production</w:t>
      </w:r>
      <w:r w:rsidR="00275D4E" w:rsidRPr="00F82C8D">
        <w:t xml:space="preserve"> given in the application</w:t>
      </w:r>
      <w:r w:rsidRPr="00F82C8D">
        <w:t>.</w:t>
      </w:r>
    </w:p>
    <w:p w:rsidR="002B1F33" w:rsidRPr="00F82C8D" w:rsidRDefault="002B1F33" w:rsidP="00625D31">
      <w:pPr>
        <w:pStyle w:val="ListParagraph"/>
      </w:pPr>
      <w:r w:rsidRPr="00F82C8D">
        <w:t xml:space="preserve">The consequence </w:t>
      </w:r>
      <w:r w:rsidR="00275D4E" w:rsidRPr="00F82C8D">
        <w:t xml:space="preserve">of the applicant not complying </w:t>
      </w:r>
      <w:r w:rsidRPr="00F82C8D">
        <w:t>with the Regulator’s request for further informati</w:t>
      </w:r>
      <w:r w:rsidR="00275D4E" w:rsidRPr="00F82C8D">
        <w:t>on</w:t>
      </w:r>
      <w:r w:rsidRPr="00F82C8D">
        <w:t xml:space="preserve"> is that the Regulator may refuse to consider the application or refuse to take any further action in relation to the application</w:t>
      </w:r>
      <w:r w:rsidR="00B276C7" w:rsidRPr="00F82C8D">
        <w:t>.</w:t>
      </w:r>
      <w:r w:rsidRPr="00F82C8D">
        <w:t xml:space="preserve"> </w:t>
      </w:r>
      <w:r w:rsidR="0092078A" w:rsidRPr="00F82C8D">
        <w:rPr>
          <w:b/>
          <w:i/>
          <w:sz w:val="20"/>
        </w:rPr>
        <w:t>[</w:t>
      </w:r>
      <w:r w:rsidRPr="00F82C8D">
        <w:rPr>
          <w:b/>
          <w:i/>
          <w:sz w:val="20"/>
        </w:rPr>
        <w:t>subsection 37(2)</w:t>
      </w:r>
      <w:r w:rsidR="00744E76" w:rsidRPr="00F82C8D">
        <w:rPr>
          <w:b/>
          <w:i/>
          <w:sz w:val="20"/>
        </w:rPr>
        <w:t>]</w:t>
      </w:r>
      <w:r w:rsidR="00B276C7" w:rsidRPr="00F82C8D">
        <w:t xml:space="preserve"> </w:t>
      </w:r>
      <w:r w:rsidRPr="00F82C8D">
        <w:t>This</w:t>
      </w:r>
      <w:r w:rsidRPr="00F82C8D">
        <w:rPr>
          <w:i/>
        </w:rPr>
        <w:t xml:space="preserve"> </w:t>
      </w:r>
      <w:r w:rsidRPr="00F82C8D">
        <w:t>does not prevent another application being submitted, provided they comply with the requirements set out in section 32.</w:t>
      </w:r>
    </w:p>
    <w:p w:rsidR="002B1F33" w:rsidRPr="00F82C8D" w:rsidRDefault="00424FBE" w:rsidP="00891B83">
      <w:pPr>
        <w:pStyle w:val="Heading3"/>
      </w:pPr>
      <w:r w:rsidRPr="00F82C8D">
        <w:t xml:space="preserve">Section 38: </w:t>
      </w:r>
      <w:r w:rsidR="002B1F33" w:rsidRPr="00F82C8D">
        <w:t xml:space="preserve">Making of </w:t>
      </w:r>
      <w:r w:rsidR="00AE6DBE" w:rsidRPr="00F82C8D">
        <w:t>benchmark-emissions</w:t>
      </w:r>
      <w:r w:rsidR="002B1F33" w:rsidRPr="00F82C8D">
        <w:t xml:space="preserve"> baseline determination</w:t>
      </w:r>
    </w:p>
    <w:p w:rsidR="00025B7F" w:rsidRPr="00F82C8D" w:rsidRDefault="00025B7F" w:rsidP="00025B7F">
      <w:pPr>
        <w:pStyle w:val="Heading4"/>
        <w:rPr>
          <w:lang w:val="en-AU"/>
        </w:rPr>
      </w:pPr>
      <w:r w:rsidRPr="00F82C8D">
        <w:rPr>
          <w:lang w:val="en-AU"/>
        </w:rPr>
        <w:t>Scope</w:t>
      </w:r>
    </w:p>
    <w:p w:rsidR="002B1F33" w:rsidRPr="00F82C8D" w:rsidRDefault="002B1F33" w:rsidP="00625D31">
      <w:pPr>
        <w:pStyle w:val="ListParagraph"/>
      </w:pPr>
      <w:r w:rsidRPr="00F82C8D">
        <w:t xml:space="preserve">The making of a </w:t>
      </w:r>
      <w:r w:rsidR="00AE6DBE" w:rsidRPr="00F82C8D">
        <w:t>benchmark-emissions</w:t>
      </w:r>
      <w:r w:rsidRPr="00F82C8D">
        <w:t xml:space="preserve"> baseline determination is in response </w:t>
      </w:r>
      <w:r w:rsidR="00B276C7" w:rsidRPr="00F82C8D">
        <w:t xml:space="preserve">to </w:t>
      </w:r>
      <w:r w:rsidRPr="00F82C8D">
        <w:t xml:space="preserve">a new facility application or a significant expansion application </w:t>
      </w:r>
      <w:r w:rsidR="00B276C7" w:rsidRPr="00F82C8D">
        <w:t xml:space="preserve">submitted to the Regulator. </w:t>
      </w:r>
      <w:r w:rsidR="0092078A" w:rsidRPr="00F82C8D">
        <w:rPr>
          <w:b/>
          <w:i/>
          <w:sz w:val="20"/>
        </w:rPr>
        <w:t>[</w:t>
      </w:r>
      <w:r w:rsidRPr="00F82C8D">
        <w:rPr>
          <w:b/>
          <w:i/>
          <w:sz w:val="20"/>
        </w:rPr>
        <w:t>subsection 38(1)</w:t>
      </w:r>
      <w:r w:rsidR="00744E76" w:rsidRPr="00F82C8D">
        <w:rPr>
          <w:b/>
          <w:i/>
          <w:sz w:val="20"/>
        </w:rPr>
        <w:t>]</w:t>
      </w:r>
    </w:p>
    <w:p w:rsidR="00025B7F" w:rsidRPr="00F82C8D" w:rsidRDefault="00025B7F" w:rsidP="00025B7F">
      <w:pPr>
        <w:pStyle w:val="Heading4"/>
      </w:pPr>
      <w:r w:rsidRPr="00F82C8D">
        <w:t>Determination</w:t>
      </w:r>
    </w:p>
    <w:p w:rsidR="002B1F33" w:rsidRPr="00F82C8D" w:rsidRDefault="00424FBE" w:rsidP="00625D31">
      <w:pPr>
        <w:pStyle w:val="ListParagraph"/>
      </w:pPr>
      <w:r w:rsidRPr="00F82C8D">
        <w:t>As with other baseline determinations, t</w:t>
      </w:r>
      <w:r w:rsidR="002B1F33" w:rsidRPr="00F82C8D">
        <w:t xml:space="preserve">he Regulator may make a </w:t>
      </w:r>
      <w:r w:rsidR="00AE6DBE" w:rsidRPr="00F82C8D">
        <w:t>benchmark-emissions</w:t>
      </w:r>
      <w:r w:rsidR="002B1F33" w:rsidRPr="00F82C8D">
        <w:t xml:space="preserve"> baseline determinations provided that is satisfied with a number of matters</w:t>
      </w:r>
      <w:r w:rsidR="00B276C7" w:rsidRPr="00F82C8D">
        <w:t>.</w:t>
      </w:r>
      <w:r w:rsidR="002B1F33" w:rsidRPr="00F82C8D">
        <w:t xml:space="preserve"> </w:t>
      </w:r>
      <w:r w:rsidR="0092078A" w:rsidRPr="00F82C8D">
        <w:rPr>
          <w:b/>
          <w:i/>
          <w:sz w:val="20"/>
        </w:rPr>
        <w:t>[</w:t>
      </w:r>
      <w:r w:rsidR="002B1F33" w:rsidRPr="00F82C8D">
        <w:rPr>
          <w:b/>
          <w:i/>
          <w:sz w:val="20"/>
        </w:rPr>
        <w:t>subsection 38(2)</w:t>
      </w:r>
      <w:r w:rsidR="00744E76" w:rsidRPr="00F82C8D">
        <w:rPr>
          <w:b/>
          <w:i/>
          <w:sz w:val="20"/>
        </w:rPr>
        <w:t>]</w:t>
      </w:r>
      <w:r w:rsidR="002B1F33" w:rsidRPr="00F82C8D">
        <w:t xml:space="preserve"> These matters are:</w:t>
      </w:r>
    </w:p>
    <w:p w:rsidR="002B1F33" w:rsidRPr="00F82C8D" w:rsidRDefault="002B1F33" w:rsidP="002E625A">
      <w:pPr>
        <w:pStyle w:val="ListBullet"/>
      </w:pPr>
      <w:r w:rsidRPr="00F82C8D">
        <w:t xml:space="preserve">the audit report accompanying the application contains the relevant reasonable and limited assurance conclusions required under subsection 36(2) </w:t>
      </w:r>
      <w:r w:rsidR="0092078A" w:rsidRPr="00F82C8D">
        <w:rPr>
          <w:b/>
          <w:i/>
          <w:sz w:val="20"/>
        </w:rPr>
        <w:t>[</w:t>
      </w:r>
      <w:r w:rsidRPr="00F82C8D">
        <w:rPr>
          <w:b/>
          <w:i/>
          <w:sz w:val="20"/>
        </w:rPr>
        <w:t>paragraphs 38(2)(a) and (b)</w:t>
      </w:r>
      <w:r w:rsidR="0092078A" w:rsidRPr="00F82C8D">
        <w:rPr>
          <w:b/>
          <w:i/>
          <w:sz w:val="20"/>
        </w:rPr>
        <w:t>]</w:t>
      </w:r>
    </w:p>
    <w:p w:rsidR="00552B33" w:rsidRPr="00F82C8D" w:rsidRDefault="002B1F33">
      <w:pPr>
        <w:pStyle w:val="ListBullet"/>
      </w:pPr>
      <w:r w:rsidRPr="00F82C8D">
        <w:t xml:space="preserve">the relevant new facility or significant expansion criteria have been met </w:t>
      </w:r>
      <w:r w:rsidR="0092078A" w:rsidRPr="00F82C8D">
        <w:rPr>
          <w:b/>
          <w:i/>
          <w:sz w:val="20"/>
        </w:rPr>
        <w:t>[</w:t>
      </w:r>
      <w:r w:rsidR="00B276C7" w:rsidRPr="00F82C8D">
        <w:rPr>
          <w:b/>
          <w:i/>
          <w:sz w:val="20"/>
        </w:rPr>
        <w:t>paragraph </w:t>
      </w:r>
      <w:r w:rsidRPr="00F82C8D">
        <w:rPr>
          <w:b/>
          <w:i/>
          <w:sz w:val="20"/>
        </w:rPr>
        <w:t>27(2)(c)</w:t>
      </w:r>
      <w:r w:rsidR="0092078A" w:rsidRPr="00F82C8D">
        <w:rPr>
          <w:b/>
          <w:i/>
          <w:sz w:val="20"/>
        </w:rPr>
        <w:t>]</w:t>
      </w:r>
    </w:p>
    <w:p w:rsidR="00552B33" w:rsidRPr="00F82C8D" w:rsidRDefault="002B1F33">
      <w:pPr>
        <w:pStyle w:val="ListBullet"/>
      </w:pPr>
      <w:r w:rsidRPr="00F82C8D">
        <w:t>the production variables used in the application are applicable to the facility and quantities are measur</w:t>
      </w:r>
      <w:r w:rsidR="00B276C7" w:rsidRPr="00F82C8D">
        <w:t xml:space="preserve">ed </w:t>
      </w:r>
      <w:r w:rsidRPr="00F82C8D">
        <w:t xml:space="preserve">in the units and way specified by the </w:t>
      </w:r>
      <w:r w:rsidR="00C61DFD" w:rsidRPr="00F82C8D">
        <w:t>Benchmark Emissions-Intensity Index</w:t>
      </w:r>
      <w:r w:rsidRPr="00F82C8D">
        <w:t xml:space="preserve"> </w:t>
      </w:r>
      <w:r w:rsidR="00B276C7" w:rsidRPr="00F82C8D">
        <w:t xml:space="preserve">in </w:t>
      </w:r>
      <w:r w:rsidR="00BF3FA1" w:rsidRPr="00F82C8D">
        <w:t>Schedule 1</w:t>
      </w:r>
      <w:r w:rsidR="00B276C7" w:rsidRPr="00F82C8D">
        <w:t xml:space="preserve"> </w:t>
      </w:r>
      <w:r w:rsidR="0092078A" w:rsidRPr="00F82C8D">
        <w:rPr>
          <w:b/>
          <w:i/>
          <w:sz w:val="20"/>
        </w:rPr>
        <w:t>[</w:t>
      </w:r>
      <w:r w:rsidRPr="00F82C8D">
        <w:rPr>
          <w:b/>
          <w:i/>
          <w:sz w:val="20"/>
        </w:rPr>
        <w:t>paragraph 38(2)(d)</w:t>
      </w:r>
      <w:r w:rsidR="0092078A" w:rsidRPr="00F82C8D">
        <w:rPr>
          <w:b/>
          <w:i/>
          <w:sz w:val="20"/>
        </w:rPr>
        <w:t>]</w:t>
      </w:r>
    </w:p>
    <w:p w:rsidR="00552B33" w:rsidRPr="00F82C8D" w:rsidRDefault="00B276C7">
      <w:pPr>
        <w:pStyle w:val="ListBullet"/>
      </w:pPr>
      <w:r w:rsidRPr="00F82C8D">
        <w:t>if</w:t>
      </w:r>
      <w:r w:rsidR="002B1F33" w:rsidRPr="00F82C8D">
        <w:t xml:space="preserve"> </w:t>
      </w:r>
      <w:r w:rsidRPr="00F82C8D">
        <w:t xml:space="preserve">relevant, the applicant’s explanation of the difference between </w:t>
      </w:r>
      <w:r w:rsidR="002B1F33" w:rsidRPr="00F82C8D">
        <w:t xml:space="preserve">previously published estimates of production </w:t>
      </w:r>
      <w:r w:rsidRPr="00F82C8D">
        <w:t xml:space="preserve">with the estimates in the application. </w:t>
      </w:r>
      <w:r w:rsidR="0092078A" w:rsidRPr="00F82C8D">
        <w:rPr>
          <w:b/>
          <w:i/>
          <w:sz w:val="20"/>
        </w:rPr>
        <w:t>[</w:t>
      </w:r>
      <w:r w:rsidR="002B1F33" w:rsidRPr="00F82C8D">
        <w:rPr>
          <w:b/>
          <w:i/>
          <w:sz w:val="20"/>
        </w:rPr>
        <w:t>paragraph 36(2)(d)</w:t>
      </w:r>
      <w:r w:rsidR="00744E76" w:rsidRPr="00F82C8D">
        <w:rPr>
          <w:b/>
          <w:i/>
          <w:sz w:val="20"/>
        </w:rPr>
        <w:t>]</w:t>
      </w:r>
    </w:p>
    <w:p w:rsidR="00025B7F" w:rsidRPr="00F82C8D" w:rsidRDefault="00025B7F" w:rsidP="00025B7F">
      <w:pPr>
        <w:pStyle w:val="Heading4"/>
      </w:pPr>
      <w:r w:rsidRPr="00F82C8D">
        <w:t>Baseline emissions number</w:t>
      </w:r>
    </w:p>
    <w:p w:rsidR="00B276C7" w:rsidRPr="00F82C8D" w:rsidRDefault="002B1F33" w:rsidP="00625D31">
      <w:pPr>
        <w:pStyle w:val="ListParagraph"/>
      </w:pPr>
      <w:r w:rsidRPr="00F82C8D">
        <w:t xml:space="preserve">If the new facility criteria have been met in the application, then the </w:t>
      </w:r>
      <w:r w:rsidR="00B276C7" w:rsidRPr="00F82C8D">
        <w:t xml:space="preserve">baseline emissions number that is specified in the baseline determination is the </w:t>
      </w:r>
      <w:r w:rsidR="00576351" w:rsidRPr="00F82C8D">
        <w:t xml:space="preserve">tonnes of carbon dioxide equivalence </w:t>
      </w:r>
      <w:r w:rsidRPr="00F82C8D">
        <w:t xml:space="preserve">calculated by multiplying the quantity of </w:t>
      </w:r>
      <w:r w:rsidR="00B276C7" w:rsidRPr="00F82C8D">
        <w:t>a production variable</w:t>
      </w:r>
      <w:r w:rsidRPr="00F82C8D">
        <w:t xml:space="preserve"> with </w:t>
      </w:r>
      <w:r w:rsidR="00B276C7" w:rsidRPr="00F82C8D">
        <w:t>its</w:t>
      </w:r>
      <w:r w:rsidRPr="00F82C8D">
        <w:t xml:space="preserve"> relevant benchmark </w:t>
      </w:r>
      <w:r w:rsidR="00BB7C53" w:rsidRPr="00F82C8D">
        <w:t>emissions intens</w:t>
      </w:r>
      <w:r w:rsidRPr="00F82C8D">
        <w:t>ity and summing the results</w:t>
      </w:r>
      <w:r w:rsidR="00B276C7" w:rsidRPr="00F82C8D">
        <w:t xml:space="preserve"> if there is more than one production variable.</w:t>
      </w:r>
      <w:r w:rsidRPr="00F82C8D">
        <w:t xml:space="preserve"> </w:t>
      </w:r>
      <w:r w:rsidR="0092078A" w:rsidRPr="00F82C8D">
        <w:rPr>
          <w:b/>
          <w:i/>
          <w:sz w:val="20"/>
        </w:rPr>
        <w:t>[</w:t>
      </w:r>
      <w:r w:rsidRPr="00F82C8D">
        <w:rPr>
          <w:b/>
          <w:i/>
          <w:sz w:val="20"/>
        </w:rPr>
        <w:t>paragraph 38(3)(a)</w:t>
      </w:r>
      <w:r w:rsidR="00744E76" w:rsidRPr="00F82C8D">
        <w:rPr>
          <w:b/>
          <w:i/>
          <w:sz w:val="20"/>
        </w:rPr>
        <w:t>]</w:t>
      </w:r>
      <w:r w:rsidRPr="00F82C8D">
        <w:t xml:space="preserve"> </w:t>
      </w:r>
    </w:p>
    <w:p w:rsidR="002B1F33" w:rsidRPr="00F82C8D" w:rsidRDefault="002B1F33" w:rsidP="00625D31">
      <w:pPr>
        <w:pStyle w:val="ListParagraph"/>
      </w:pPr>
      <w:r w:rsidRPr="00F82C8D">
        <w:t xml:space="preserve">If the significant </w:t>
      </w:r>
      <w:r w:rsidR="00EE6E59" w:rsidRPr="00F82C8D">
        <w:t xml:space="preserve">expansion </w:t>
      </w:r>
      <w:r w:rsidRPr="00F82C8D">
        <w:t>criteria have been met in the application, the</w:t>
      </w:r>
      <w:r w:rsidR="00B276C7" w:rsidRPr="00F82C8D">
        <w:t xml:space="preserve"> baseline emissions number </w:t>
      </w:r>
      <w:r w:rsidRPr="00F82C8D">
        <w:t xml:space="preserve">is the </w:t>
      </w:r>
      <w:r w:rsidR="00B276C7" w:rsidRPr="00F82C8D">
        <w:t>tonn</w:t>
      </w:r>
      <w:r w:rsidR="00576351" w:rsidRPr="00F82C8D">
        <w:t xml:space="preserve">es of carbon dioxide equivalence </w:t>
      </w:r>
      <w:r w:rsidR="00B276C7" w:rsidRPr="00F82C8D">
        <w:t xml:space="preserve">calculated by </w:t>
      </w:r>
    </w:p>
    <w:p w:rsidR="002B1F33" w:rsidRPr="00F82C8D" w:rsidRDefault="00025B7F" w:rsidP="002E625A">
      <w:pPr>
        <w:pStyle w:val="ListBullet"/>
      </w:pPr>
      <w:r w:rsidRPr="00F82C8D">
        <w:t xml:space="preserve">multiplying the quantity of change in production of a production variable with its relevant benchmark </w:t>
      </w:r>
      <w:r w:rsidR="00BB7C53" w:rsidRPr="00F82C8D">
        <w:t>emissions intens</w:t>
      </w:r>
      <w:r w:rsidRPr="00F82C8D">
        <w:t>ity and summing the results if there is more than one production variable</w:t>
      </w:r>
    </w:p>
    <w:p w:rsidR="00552B33" w:rsidRPr="00F82C8D" w:rsidRDefault="00053244">
      <w:pPr>
        <w:pStyle w:val="ListBullet"/>
      </w:pPr>
      <w:r w:rsidRPr="00F82C8D">
        <w:t>adding</w:t>
      </w:r>
      <w:r w:rsidR="00025B7F" w:rsidRPr="00F82C8D">
        <w:t xml:space="preserve"> this value to either</w:t>
      </w:r>
    </w:p>
    <w:p w:rsidR="00552B33" w:rsidRPr="00F82C8D" w:rsidRDefault="00025B7F">
      <w:pPr>
        <w:pStyle w:val="ListBullet"/>
      </w:pPr>
      <w:r w:rsidRPr="00F82C8D">
        <w:t>the baseline emissions number in</w:t>
      </w:r>
      <w:r w:rsidR="002B1F33" w:rsidRPr="00F82C8D">
        <w:t xml:space="preserve"> a </w:t>
      </w:r>
      <w:r w:rsidR="00D1543C" w:rsidRPr="00F82C8D">
        <w:t>reported-emissions</w:t>
      </w:r>
      <w:r w:rsidR="002B1F33" w:rsidRPr="00F82C8D">
        <w:t xml:space="preserve"> baseline determination or production-adjusted baseline determination </w:t>
      </w:r>
      <w:r w:rsidRPr="00F82C8D">
        <w:t xml:space="preserve">that </w:t>
      </w:r>
      <w:r w:rsidR="002B1F33" w:rsidRPr="00F82C8D">
        <w:t xml:space="preserve">would otherwise apply in the first year of the </w:t>
      </w:r>
      <w:r w:rsidR="00AE6DBE" w:rsidRPr="00F82C8D">
        <w:t>benchmark-emissions</w:t>
      </w:r>
      <w:r w:rsidRPr="00F82C8D">
        <w:t xml:space="preserve"> baseline determination, or</w:t>
      </w:r>
    </w:p>
    <w:p w:rsidR="00552B33" w:rsidRPr="00F82C8D" w:rsidRDefault="00025B7F">
      <w:pPr>
        <w:pStyle w:val="ListBullet"/>
      </w:pPr>
      <w:r w:rsidRPr="00F82C8D">
        <w:t>i</w:t>
      </w:r>
      <w:r w:rsidR="002B1F33" w:rsidRPr="00F82C8D">
        <w:t xml:space="preserve">f a baseline </w:t>
      </w:r>
      <w:r w:rsidR="0087664A" w:rsidRPr="00F82C8D">
        <w:t>emissions number</w:t>
      </w:r>
      <w:r w:rsidR="002B1F33" w:rsidRPr="00F82C8D">
        <w:t xml:space="preserve"> applies because of paragraph 10(b)—the lesser of</w:t>
      </w:r>
      <w:r w:rsidRPr="00F82C8D">
        <w:t xml:space="preserve"> </w:t>
      </w:r>
      <w:r w:rsidR="002B1F33" w:rsidRPr="00F82C8D">
        <w:t>100,000 t CO</w:t>
      </w:r>
      <w:r w:rsidR="00E073C6" w:rsidRPr="00F82C8D">
        <w:rPr>
          <w:vertAlign w:val="subscript"/>
        </w:rPr>
        <w:t>2</w:t>
      </w:r>
      <w:r w:rsidR="00E073C6" w:rsidRPr="00F82C8D">
        <w:t>-</w:t>
      </w:r>
      <w:r w:rsidRPr="00F82C8D">
        <w:t xml:space="preserve">e </w:t>
      </w:r>
      <w:r w:rsidR="002B1F33" w:rsidRPr="00F82C8D">
        <w:t>and</w:t>
      </w:r>
      <w:r w:rsidRPr="00F82C8D">
        <w:t xml:space="preserve"> </w:t>
      </w:r>
      <w:r w:rsidR="002B1F33" w:rsidRPr="00F82C8D">
        <w:t>the covered emissions of the facility in the financial year used in paragraph 35(2)(c)</w:t>
      </w:r>
      <w:r w:rsidRPr="00F82C8D">
        <w:t>.</w:t>
      </w:r>
      <w:r w:rsidR="002B1F33" w:rsidRPr="00F82C8D">
        <w:t xml:space="preserve"> </w:t>
      </w:r>
      <w:r w:rsidR="0092078A" w:rsidRPr="00F82C8D">
        <w:rPr>
          <w:b/>
          <w:i/>
          <w:sz w:val="20"/>
        </w:rPr>
        <w:t>[</w:t>
      </w:r>
      <w:r w:rsidR="002B1F33" w:rsidRPr="00F82C8D">
        <w:rPr>
          <w:b/>
          <w:i/>
          <w:sz w:val="20"/>
        </w:rPr>
        <w:t>paragraph 38(3)(b)</w:t>
      </w:r>
      <w:r w:rsidR="00744E76" w:rsidRPr="00F82C8D">
        <w:rPr>
          <w:b/>
          <w:i/>
          <w:sz w:val="20"/>
        </w:rPr>
        <w:t>]</w:t>
      </w:r>
    </w:p>
    <w:p w:rsidR="00BD0B4E" w:rsidRPr="00F82C8D" w:rsidRDefault="0097521C" w:rsidP="00822FF7">
      <w:pPr>
        <w:pStyle w:val="Quote"/>
      </w:pPr>
      <w:r w:rsidRPr="00F82C8D">
        <w:t xml:space="preserve">For example, a facility producing ammonia and ammonium nitrate has a baseline emissions number of 150,000 </w:t>
      </w:r>
      <w:r w:rsidR="00822FF7" w:rsidRPr="00F82C8D">
        <w:t>t CO</w:t>
      </w:r>
      <w:r w:rsidR="00E073C6" w:rsidRPr="00F82C8D">
        <w:rPr>
          <w:vertAlign w:val="subscript"/>
        </w:rPr>
        <w:t>2</w:t>
      </w:r>
      <w:r w:rsidR="00E073C6" w:rsidRPr="00F82C8D">
        <w:t>-</w:t>
      </w:r>
      <w:r w:rsidR="00822FF7" w:rsidRPr="00F82C8D">
        <w:t xml:space="preserve">e </w:t>
      </w:r>
      <w:r w:rsidRPr="00F82C8D">
        <w:t xml:space="preserve">from a reported-emissions baseline determination. It qualifies for a significant expansion with </w:t>
      </w:r>
      <w:r w:rsidR="0025271B" w:rsidRPr="00F82C8D">
        <w:t xml:space="preserve">the estimated </w:t>
      </w:r>
      <w:r w:rsidRPr="00F82C8D">
        <w:t>chan</w:t>
      </w:r>
      <w:r w:rsidR="00E64FF1" w:rsidRPr="00F82C8D">
        <w:t>ge in the production of ammonia</w:t>
      </w:r>
      <w:r w:rsidRPr="00F82C8D">
        <w:t xml:space="preserve"> an additional 15,000 tonnes, </w:t>
      </w:r>
      <w:r w:rsidR="0025271B" w:rsidRPr="00F82C8D">
        <w:t>and</w:t>
      </w:r>
      <w:r w:rsidRPr="00F82C8D">
        <w:t xml:space="preserve"> </w:t>
      </w:r>
      <w:r w:rsidR="0025271B" w:rsidRPr="00F82C8D">
        <w:t>a decrease in</w:t>
      </w:r>
      <w:r w:rsidRPr="00F82C8D">
        <w:t xml:space="preserve"> production of ammonium nitrate by 5,000 tonnes. If the benchmarks were</w:t>
      </w:r>
      <w:r w:rsidR="00822FF7" w:rsidRPr="00F82C8D">
        <w:t xml:space="preserve"> 1.5 t </w:t>
      </w:r>
      <w:r w:rsidRPr="00F82C8D">
        <w:t>CO</w:t>
      </w:r>
      <w:r w:rsidR="00E073C6" w:rsidRPr="00F82C8D">
        <w:rPr>
          <w:vertAlign w:val="subscript"/>
        </w:rPr>
        <w:t>2</w:t>
      </w:r>
      <w:r w:rsidR="00E073C6" w:rsidRPr="00F82C8D">
        <w:t>-</w:t>
      </w:r>
      <w:r w:rsidRPr="00F82C8D">
        <w:t>e per tonne of ammonia and 2 t CO</w:t>
      </w:r>
      <w:r w:rsidR="00E073C6" w:rsidRPr="00F82C8D">
        <w:rPr>
          <w:vertAlign w:val="subscript"/>
        </w:rPr>
        <w:t>2</w:t>
      </w:r>
      <w:r w:rsidR="00E073C6" w:rsidRPr="00F82C8D">
        <w:t>-</w:t>
      </w:r>
      <w:r w:rsidRPr="00F82C8D">
        <w:t xml:space="preserve">e per tonne of </w:t>
      </w:r>
      <w:r w:rsidR="00B63B20" w:rsidRPr="00F82C8D">
        <w:t>ammonia</w:t>
      </w:r>
      <w:r w:rsidRPr="00F82C8D">
        <w:t xml:space="preserve"> nitrate,</w:t>
      </w:r>
      <w:r w:rsidR="000A7B10" w:rsidRPr="00F82C8D">
        <w:t xml:space="preserve"> </w:t>
      </w:r>
      <w:r w:rsidRPr="00F82C8D">
        <w:t xml:space="preserve">the baseline emissions number </w:t>
      </w:r>
      <w:r w:rsidR="00822FF7" w:rsidRPr="00F82C8D">
        <w:t xml:space="preserve">in the benchmark-emissions baseline determination </w:t>
      </w:r>
      <w:r w:rsidR="0025271B" w:rsidRPr="00F82C8D">
        <w:t xml:space="preserve">would be (15,000 t ammonia </w:t>
      </w:r>
      <w:r w:rsidRPr="00F82C8D">
        <w:t>× 1.5</w:t>
      </w:r>
      <w:r w:rsidR="0025271B" w:rsidRPr="00F82C8D">
        <w:t xml:space="preserve"> t CO</w:t>
      </w:r>
      <w:r w:rsidR="0025271B" w:rsidRPr="00F82C8D">
        <w:rPr>
          <w:vertAlign w:val="subscript"/>
        </w:rPr>
        <w:t>2</w:t>
      </w:r>
      <w:r w:rsidR="0025271B" w:rsidRPr="00F82C8D">
        <w:t>-e/t ammonia</w:t>
      </w:r>
      <w:r w:rsidRPr="00F82C8D">
        <w:t>) + (-5,000</w:t>
      </w:r>
      <w:r w:rsidR="0025271B" w:rsidRPr="00F82C8D">
        <w:t xml:space="preserve"> t ammonium nitrate</w:t>
      </w:r>
      <w:r w:rsidRPr="00F82C8D">
        <w:t xml:space="preserve"> × 2</w:t>
      </w:r>
      <w:r w:rsidR="0025271B" w:rsidRPr="00F82C8D">
        <w:t xml:space="preserve"> t CO</w:t>
      </w:r>
      <w:r w:rsidR="0025271B" w:rsidRPr="00F82C8D">
        <w:rPr>
          <w:vertAlign w:val="subscript"/>
        </w:rPr>
        <w:t>2</w:t>
      </w:r>
      <w:r w:rsidR="0025271B" w:rsidRPr="00F82C8D">
        <w:t>-e/t ammonium nitrate</w:t>
      </w:r>
      <w:r w:rsidRPr="00F82C8D">
        <w:t>) + 150,000</w:t>
      </w:r>
      <w:r w:rsidR="0025271B" w:rsidRPr="00F82C8D">
        <w:t> t CO</w:t>
      </w:r>
      <w:r w:rsidR="0025271B" w:rsidRPr="00F82C8D">
        <w:rPr>
          <w:vertAlign w:val="subscript"/>
        </w:rPr>
        <w:t>2</w:t>
      </w:r>
      <w:r w:rsidR="0025271B" w:rsidRPr="00F82C8D">
        <w:t>-e</w:t>
      </w:r>
      <w:r w:rsidRPr="00F82C8D">
        <w:t xml:space="preserve"> = 1</w:t>
      </w:r>
      <w:r w:rsidR="00E64FF1" w:rsidRPr="00F82C8D">
        <w:t>62,5</w:t>
      </w:r>
      <w:r w:rsidR="0025271B" w:rsidRPr="00F82C8D">
        <w:t>00 t CO</w:t>
      </w:r>
      <w:r w:rsidR="0025271B" w:rsidRPr="00F82C8D">
        <w:rPr>
          <w:vertAlign w:val="subscript"/>
        </w:rPr>
        <w:t>2</w:t>
      </w:r>
      <w:r w:rsidR="0025271B" w:rsidRPr="00F82C8D">
        <w:t>-e</w:t>
      </w:r>
    </w:p>
    <w:p w:rsidR="002B1F33" w:rsidRPr="00F82C8D" w:rsidRDefault="002B1F33" w:rsidP="00025B7F">
      <w:pPr>
        <w:pStyle w:val="Heading4"/>
      </w:pPr>
      <w:r w:rsidRPr="00F82C8D">
        <w:t>Timing</w:t>
      </w:r>
    </w:p>
    <w:p w:rsidR="002B1F33" w:rsidRPr="00F82C8D" w:rsidRDefault="002B1F33" w:rsidP="00625D31">
      <w:pPr>
        <w:pStyle w:val="ListParagraph"/>
      </w:pPr>
      <w:r w:rsidRPr="00F82C8D">
        <w:t xml:space="preserve">The Regulator will take all reasonable steps to make the determination within 60 days </w:t>
      </w:r>
      <w:r w:rsidR="00025B7F" w:rsidRPr="00F82C8D">
        <w:t xml:space="preserve">of </w:t>
      </w:r>
      <w:r w:rsidRPr="00F82C8D">
        <w:t xml:space="preserve">receiving the application or </w:t>
      </w:r>
      <w:r w:rsidR="00025B7F" w:rsidRPr="00F82C8D">
        <w:t xml:space="preserve">if further information was </w:t>
      </w:r>
      <w:r w:rsidR="00DC68B8" w:rsidRPr="00F82C8D">
        <w:t>required</w:t>
      </w:r>
      <w:r w:rsidR="00025B7F" w:rsidRPr="00F82C8D">
        <w:t xml:space="preserve">, then within 60 days of </w:t>
      </w:r>
      <w:r w:rsidRPr="00F82C8D">
        <w:t xml:space="preserve">receiving </w:t>
      </w:r>
      <w:r w:rsidR="00025B7F" w:rsidRPr="00F82C8D">
        <w:t xml:space="preserve">the </w:t>
      </w:r>
      <w:r w:rsidR="00DC68B8" w:rsidRPr="00F82C8D">
        <w:t>required</w:t>
      </w:r>
      <w:r w:rsidR="00025B7F" w:rsidRPr="00F82C8D">
        <w:t xml:space="preserve"> information from the applicant. The 60 days is measured as calendar days.</w:t>
      </w:r>
      <w:r w:rsidRPr="00F82C8D">
        <w:t xml:space="preserve"> </w:t>
      </w:r>
      <w:r w:rsidR="0092078A" w:rsidRPr="00F82C8D">
        <w:rPr>
          <w:b/>
          <w:i/>
          <w:sz w:val="20"/>
        </w:rPr>
        <w:t>[</w:t>
      </w:r>
      <w:r w:rsidRPr="00F82C8D">
        <w:rPr>
          <w:b/>
          <w:i/>
          <w:sz w:val="20"/>
        </w:rPr>
        <w:t>subsection 38(4)</w:t>
      </w:r>
      <w:r w:rsidR="00744E76" w:rsidRPr="00F82C8D">
        <w:rPr>
          <w:b/>
          <w:i/>
          <w:sz w:val="20"/>
        </w:rPr>
        <w:t>]</w:t>
      </w:r>
    </w:p>
    <w:p w:rsidR="002B1F33" w:rsidRPr="00F82C8D" w:rsidRDefault="002B1F33" w:rsidP="00025B7F">
      <w:pPr>
        <w:pStyle w:val="Heading4"/>
      </w:pPr>
      <w:r w:rsidRPr="00F82C8D">
        <w:t>Notification and publication</w:t>
      </w:r>
    </w:p>
    <w:p w:rsidR="001E2900" w:rsidRPr="00F82C8D" w:rsidRDefault="00025B7F" w:rsidP="00625D31">
      <w:pPr>
        <w:pStyle w:val="ListParagraph"/>
      </w:pPr>
      <w:r w:rsidRPr="00F82C8D">
        <w:t xml:space="preserve">If the Regulator makes the </w:t>
      </w:r>
      <w:r w:rsidR="00AE6DBE" w:rsidRPr="00F82C8D">
        <w:t>benchmark-emissions</w:t>
      </w:r>
      <w:r w:rsidR="00E35283" w:rsidRPr="00F82C8D">
        <w:t xml:space="preserve"> baseline determination, the</w:t>
      </w:r>
      <w:r w:rsidRPr="00F82C8D">
        <w:t>n a</w:t>
      </w:r>
      <w:r w:rsidR="002B1F33" w:rsidRPr="00F82C8D">
        <w:t>s soon as practicable</w:t>
      </w:r>
      <w:r w:rsidR="00E35283" w:rsidRPr="00F82C8D">
        <w:t xml:space="preserve"> the Regulator</w:t>
      </w:r>
      <w:r w:rsidR="002B1F33" w:rsidRPr="00F82C8D">
        <w:t xml:space="preserve"> must notify the applicant</w:t>
      </w:r>
      <w:r w:rsidR="00E35283" w:rsidRPr="00F82C8D">
        <w:t xml:space="preserve"> in writing of the determination</w:t>
      </w:r>
      <w:r w:rsidR="002B1F33" w:rsidRPr="00F82C8D">
        <w:t xml:space="preserve"> and publish details of the determination on its website</w:t>
      </w:r>
      <w:r w:rsidR="00E35283" w:rsidRPr="00F82C8D">
        <w:t>.</w:t>
      </w:r>
      <w:r w:rsidR="002B1F33" w:rsidRPr="00F82C8D">
        <w:t xml:space="preserve"> </w:t>
      </w:r>
      <w:r w:rsidR="0092078A" w:rsidRPr="00F82C8D">
        <w:rPr>
          <w:b/>
          <w:i/>
          <w:sz w:val="20"/>
        </w:rPr>
        <w:t>[</w:t>
      </w:r>
      <w:r w:rsidR="00377A72" w:rsidRPr="00F82C8D">
        <w:rPr>
          <w:b/>
          <w:i/>
          <w:sz w:val="20"/>
        </w:rPr>
        <w:t>subsection </w:t>
      </w:r>
      <w:r w:rsidR="002B1F33" w:rsidRPr="00F82C8D">
        <w:rPr>
          <w:b/>
          <w:i/>
          <w:sz w:val="20"/>
        </w:rPr>
        <w:t>38(5)</w:t>
      </w:r>
      <w:r w:rsidR="00744E76" w:rsidRPr="00F82C8D">
        <w:rPr>
          <w:b/>
          <w:i/>
          <w:sz w:val="20"/>
        </w:rPr>
        <w:t>]</w:t>
      </w:r>
      <w:r w:rsidR="00942D59" w:rsidRPr="00F82C8D">
        <w:t xml:space="preserve"> </w:t>
      </w:r>
      <w:r w:rsidR="00C925EB" w:rsidRPr="00F82C8D">
        <w:t>Determination details are defined in section 4 of the safeguard rule.</w:t>
      </w:r>
    </w:p>
    <w:p w:rsidR="00E35283" w:rsidRPr="00F82C8D" w:rsidRDefault="00E35283" w:rsidP="00625D31">
      <w:pPr>
        <w:pStyle w:val="ListParagraph"/>
      </w:pPr>
      <w:r w:rsidRPr="00F82C8D">
        <w:t xml:space="preserve">If the Regulator refuses to make the </w:t>
      </w:r>
      <w:r w:rsidR="00AE6DBE" w:rsidRPr="00F82C8D">
        <w:t>benchmark-emissions</w:t>
      </w:r>
      <w:r w:rsidRPr="00F82C8D">
        <w:t xml:space="preserve"> baseline determination applied for, then the Regulator must notify the applicant of this decision in writing. </w:t>
      </w:r>
      <w:r w:rsidRPr="00F82C8D">
        <w:rPr>
          <w:b/>
          <w:i/>
          <w:sz w:val="20"/>
        </w:rPr>
        <w:t>[subsection 38(6)]</w:t>
      </w:r>
    </w:p>
    <w:p w:rsidR="002B1F33" w:rsidRPr="00F82C8D" w:rsidRDefault="00E35283" w:rsidP="00E35283">
      <w:pPr>
        <w:pStyle w:val="Heading4"/>
      </w:pPr>
      <w:r w:rsidRPr="00F82C8D">
        <w:t>Rounding</w:t>
      </w:r>
    </w:p>
    <w:p w:rsidR="002B1F33" w:rsidRPr="00F82C8D" w:rsidRDefault="002B1F33" w:rsidP="00625D31">
      <w:pPr>
        <w:pStyle w:val="ListParagraph"/>
      </w:pPr>
      <w:r w:rsidRPr="00F82C8D">
        <w:t xml:space="preserve">The baseline emissions number must be rounded up or down to the nearest whole number, with numbers ending in ‘.5’ being rounded up </w:t>
      </w:r>
      <w:r w:rsidR="0092078A" w:rsidRPr="00F82C8D">
        <w:rPr>
          <w:b/>
          <w:i/>
          <w:sz w:val="20"/>
        </w:rPr>
        <w:t>[</w:t>
      </w:r>
      <w:r w:rsidRPr="00F82C8D">
        <w:rPr>
          <w:b/>
          <w:i/>
          <w:sz w:val="20"/>
        </w:rPr>
        <w:t>subsection 38(7)</w:t>
      </w:r>
      <w:r w:rsidR="00744E76" w:rsidRPr="00F82C8D">
        <w:rPr>
          <w:b/>
          <w:i/>
          <w:sz w:val="20"/>
        </w:rPr>
        <w:t>]</w:t>
      </w:r>
      <w:r w:rsidRPr="00F82C8D">
        <w:t xml:space="preserve"> </w:t>
      </w:r>
    </w:p>
    <w:p w:rsidR="002B1F33" w:rsidRPr="00F82C8D" w:rsidRDefault="00267D8D" w:rsidP="00891B83">
      <w:pPr>
        <w:pStyle w:val="Heading3"/>
        <w:rPr>
          <w:lang w:eastAsia="en-AU"/>
        </w:rPr>
      </w:pPr>
      <w:r w:rsidRPr="00F82C8D">
        <w:rPr>
          <w:lang w:eastAsia="en-AU"/>
        </w:rPr>
        <w:t xml:space="preserve">Section 39: </w:t>
      </w:r>
      <w:r w:rsidR="002B1F33" w:rsidRPr="00F82C8D">
        <w:rPr>
          <w:lang w:eastAsia="en-AU"/>
        </w:rPr>
        <w:t xml:space="preserve">Duration of </w:t>
      </w:r>
      <w:r w:rsidR="00AE6DBE" w:rsidRPr="00F82C8D">
        <w:rPr>
          <w:lang w:eastAsia="en-AU"/>
        </w:rPr>
        <w:t>benchmark-emissions</w:t>
      </w:r>
      <w:r w:rsidR="002B1F33" w:rsidRPr="00F82C8D">
        <w:rPr>
          <w:lang w:eastAsia="en-AU"/>
        </w:rPr>
        <w:t xml:space="preserve"> baseline determination</w:t>
      </w:r>
    </w:p>
    <w:p w:rsidR="00E35283" w:rsidRPr="00F82C8D" w:rsidRDefault="00E35283" w:rsidP="00625D31">
      <w:pPr>
        <w:pStyle w:val="ListParagraph"/>
      </w:pPr>
      <w:r w:rsidRPr="00F82C8D">
        <w:t>If a baselin</w:t>
      </w:r>
      <w:r w:rsidR="00871376" w:rsidRPr="00F82C8D">
        <w:t xml:space="preserve">e determination is made within two years </w:t>
      </w:r>
      <w:r w:rsidRPr="00F82C8D">
        <w:t xml:space="preserve">of the requested start date, then it must come into force on the requested start date. </w:t>
      </w:r>
      <w:r w:rsidRPr="00F82C8D">
        <w:rPr>
          <w:b/>
          <w:i/>
          <w:sz w:val="20"/>
        </w:rPr>
        <w:t>[subsection 39(1)]</w:t>
      </w:r>
      <w:r w:rsidRPr="00F82C8D">
        <w:t xml:space="preserve"> A deter</w:t>
      </w:r>
      <w:r w:rsidR="00871376" w:rsidRPr="00F82C8D">
        <w:t xml:space="preserve">mination can be made more than two years </w:t>
      </w:r>
      <w:r w:rsidRPr="00F82C8D">
        <w:t xml:space="preserve">after the requested start date, however this determination would come into force from the earliest 1 July possible under subsection 22XQ(2) of the Act, rather than the requested start date. </w:t>
      </w:r>
      <w:r w:rsidRPr="00F82C8D">
        <w:rPr>
          <w:b/>
          <w:i/>
          <w:sz w:val="20"/>
        </w:rPr>
        <w:t>[subsection 39(2)]</w:t>
      </w:r>
      <w:r w:rsidR="00597914" w:rsidRPr="00F82C8D">
        <w:rPr>
          <w:b/>
          <w:sz w:val="20"/>
        </w:rPr>
        <w:t xml:space="preserve"> </w:t>
      </w:r>
    </w:p>
    <w:p w:rsidR="002B1F33" w:rsidRPr="00F82C8D" w:rsidRDefault="00E35283" w:rsidP="00625D31">
      <w:pPr>
        <w:pStyle w:val="ListParagraph"/>
        <w:rPr>
          <w:b/>
        </w:rPr>
      </w:pPr>
      <w:r w:rsidRPr="00F82C8D">
        <w:rPr>
          <w:lang w:eastAsia="en-AU"/>
        </w:rPr>
        <w:t xml:space="preserve">A </w:t>
      </w:r>
      <w:r w:rsidR="00AE6DBE" w:rsidRPr="00F82C8D">
        <w:rPr>
          <w:lang w:eastAsia="en-AU"/>
        </w:rPr>
        <w:t>benchmark-emissions</w:t>
      </w:r>
      <w:r w:rsidRPr="00F82C8D">
        <w:rPr>
          <w:lang w:eastAsia="en-AU"/>
        </w:rPr>
        <w:t xml:space="preserve"> </w:t>
      </w:r>
      <w:r w:rsidR="002B1F33" w:rsidRPr="00F82C8D">
        <w:rPr>
          <w:lang w:eastAsia="en-AU"/>
        </w:rPr>
        <w:t xml:space="preserve">baseline determination expires at a time that actual production data </w:t>
      </w:r>
      <w:r w:rsidRPr="00F82C8D">
        <w:rPr>
          <w:lang w:eastAsia="en-AU"/>
        </w:rPr>
        <w:t>should</w:t>
      </w:r>
      <w:r w:rsidR="002B1F33" w:rsidRPr="00F82C8D">
        <w:rPr>
          <w:lang w:eastAsia="en-AU"/>
        </w:rPr>
        <w:t xml:space="preserve"> be available to replace the estimates</w:t>
      </w:r>
      <w:r w:rsidRPr="00F82C8D">
        <w:rPr>
          <w:lang w:eastAsia="en-AU"/>
        </w:rPr>
        <w:t xml:space="preserve"> that were given in the application. </w:t>
      </w:r>
      <w:r w:rsidRPr="00F82C8D">
        <w:t>For</w:t>
      </w:r>
      <w:r w:rsidR="00081A1C" w:rsidRPr="00F82C8D">
        <w:t xml:space="preserve"> a</w:t>
      </w:r>
      <w:r w:rsidRPr="00F82C8D">
        <w:t xml:space="preserve"> new facility this is either three or five years </w:t>
      </w:r>
      <w:r w:rsidR="000246C3" w:rsidRPr="00F82C8D">
        <w:t>in the case</w:t>
      </w:r>
      <w:r w:rsidRPr="00F82C8D">
        <w:t xml:space="preserve"> of</w:t>
      </w:r>
      <w:r w:rsidR="00081A1C" w:rsidRPr="00F82C8D">
        <w:t xml:space="preserve"> a</w:t>
      </w:r>
      <w:r w:rsidRPr="00F82C8D">
        <w:t xml:space="preserve"> large new facilit</w:t>
      </w:r>
      <w:r w:rsidR="00081A1C" w:rsidRPr="00F82C8D">
        <w:t>y</w:t>
      </w:r>
      <w:r w:rsidRPr="00F82C8D">
        <w:t xml:space="preserve">, from the year that </w:t>
      </w:r>
      <w:r w:rsidR="00081A1C" w:rsidRPr="00F82C8D">
        <w:t>its</w:t>
      </w:r>
      <w:r w:rsidRPr="00F82C8D">
        <w:t xml:space="preserve"> covered emissions exceeded, or were expected to exceed, 100,000 t CO</w:t>
      </w:r>
      <w:r w:rsidR="00E073C6" w:rsidRPr="00F82C8D">
        <w:rPr>
          <w:vertAlign w:val="subscript"/>
        </w:rPr>
        <w:t>2</w:t>
      </w:r>
      <w:r w:rsidR="00E073C6" w:rsidRPr="00F82C8D">
        <w:t>-</w:t>
      </w:r>
      <w:r w:rsidRPr="00F82C8D">
        <w:t>e</w:t>
      </w:r>
      <w:r w:rsidR="00081A1C" w:rsidRPr="00F82C8D">
        <w:t xml:space="preserve">. For a significant expansion facility the </w:t>
      </w:r>
      <w:r w:rsidR="00AE6DBE" w:rsidRPr="00F82C8D">
        <w:t>benchmark-emissions</w:t>
      </w:r>
      <w:r w:rsidR="00081A1C" w:rsidRPr="00F82C8D">
        <w:t xml:space="preserve"> baseline determination expires after three years. </w:t>
      </w:r>
      <w:r w:rsidR="00081A1C" w:rsidRPr="00F82C8D">
        <w:rPr>
          <w:b/>
          <w:i/>
          <w:sz w:val="20"/>
        </w:rPr>
        <w:t>[subsection 39(3)]</w:t>
      </w:r>
    </w:p>
    <w:p w:rsidR="00081A1C" w:rsidRPr="00F82C8D" w:rsidRDefault="00EE7C5A" w:rsidP="00081A1C">
      <w:pPr>
        <w:pStyle w:val="Heading2"/>
        <w:rPr>
          <w:lang w:val="en-AU"/>
        </w:rPr>
      </w:pPr>
      <w:bookmarkStart w:id="107" w:name="_Toc426382211"/>
      <w:bookmarkStart w:id="108" w:name="_Ref426634109"/>
      <w:bookmarkStart w:id="109" w:name="_Ref426634113"/>
      <w:bookmarkStart w:id="110" w:name="_Toc431975849"/>
      <w:r w:rsidRPr="00F82C8D">
        <w:rPr>
          <w:lang w:val="en-AU"/>
        </w:rPr>
        <w:t>Subdivision</w:t>
      </w:r>
      <w:r w:rsidR="00C65925" w:rsidRPr="00F82C8D">
        <w:rPr>
          <w:lang w:val="en-AU"/>
        </w:rPr>
        <w:t xml:space="preserve"> </w:t>
      </w:r>
      <w:r w:rsidRPr="00F82C8D">
        <w:rPr>
          <w:lang w:val="en-AU"/>
        </w:rPr>
        <w:t>5</w:t>
      </w:r>
      <w:r w:rsidRPr="00F82C8D">
        <w:t>—</w:t>
      </w:r>
      <w:r w:rsidR="00081A1C" w:rsidRPr="00F82C8D">
        <w:rPr>
          <w:lang w:val="en-AU"/>
        </w:rPr>
        <w:t>Production-adjusted baseline determination</w:t>
      </w:r>
      <w:bookmarkEnd w:id="107"/>
      <w:bookmarkEnd w:id="108"/>
      <w:bookmarkEnd w:id="109"/>
      <w:bookmarkEnd w:id="110"/>
    </w:p>
    <w:p w:rsidR="002006A6" w:rsidRPr="00F82C8D" w:rsidRDefault="002006A6" w:rsidP="00625D31">
      <w:pPr>
        <w:pStyle w:val="ListParagraph"/>
        <w:rPr>
          <w:lang w:val="en-AU"/>
        </w:rPr>
      </w:pPr>
      <w:r w:rsidRPr="00F82C8D">
        <w:rPr>
          <w:lang w:val="en-AU"/>
        </w:rPr>
        <w:t>Whereas a calculated-emissions or benchmark-emissions baseline determination is b</w:t>
      </w:r>
      <w:r w:rsidR="00C06828" w:rsidRPr="00F82C8D">
        <w:rPr>
          <w:lang w:val="en-AU"/>
        </w:rPr>
        <w:t xml:space="preserve">ased on estimates of production </w:t>
      </w:r>
      <w:r w:rsidRPr="00F82C8D">
        <w:rPr>
          <w:lang w:val="en-AU"/>
        </w:rPr>
        <w:t>at a facility, a production-adjusted baseline determination is based on actual, historical production data. The typical making of a production-adjusted baseline de</w:t>
      </w:r>
      <w:r w:rsidR="00C06828" w:rsidRPr="00F82C8D">
        <w:rPr>
          <w:lang w:val="en-AU"/>
        </w:rPr>
        <w:t>termination will be after the expir</w:t>
      </w:r>
      <w:r w:rsidRPr="00F82C8D">
        <w:rPr>
          <w:lang w:val="en-AU"/>
        </w:rPr>
        <w:t>y of a calculated-emissions or benchmark-emissions baseline determination</w:t>
      </w:r>
      <w:r w:rsidR="00B66A94" w:rsidRPr="00F82C8D">
        <w:rPr>
          <w:lang w:val="en-AU"/>
        </w:rPr>
        <w:t xml:space="preserve">. The Regulator </w:t>
      </w:r>
      <w:r w:rsidR="00825373" w:rsidRPr="00F82C8D">
        <w:rPr>
          <w:lang w:val="en-AU"/>
        </w:rPr>
        <w:t>may</w:t>
      </w:r>
      <w:r w:rsidR="00B66A94" w:rsidRPr="00F82C8D">
        <w:rPr>
          <w:lang w:val="en-AU"/>
        </w:rPr>
        <w:t xml:space="preserve"> only make this determination in response to the responsible emitter submitting an application.</w:t>
      </w:r>
    </w:p>
    <w:p w:rsidR="0087664A" w:rsidRPr="00F82C8D" w:rsidRDefault="0087664A" w:rsidP="00625D31">
      <w:pPr>
        <w:pStyle w:val="ListParagraph"/>
        <w:rPr>
          <w:lang w:val="en-AU"/>
        </w:rPr>
      </w:pPr>
      <w:r w:rsidRPr="00F82C8D">
        <w:rPr>
          <w:lang w:val="en-AU"/>
        </w:rPr>
        <w:t>Unlike a calculated-emissions or benchmark-emissions baseline determination</w:t>
      </w:r>
      <w:r w:rsidR="005D4E2F" w:rsidRPr="00F82C8D">
        <w:rPr>
          <w:lang w:val="en-AU"/>
        </w:rPr>
        <w:t>, a</w:t>
      </w:r>
      <w:r w:rsidRPr="00F82C8D">
        <w:rPr>
          <w:lang w:val="en-AU"/>
        </w:rPr>
        <w:t xml:space="preserve"> production-adjusted baseline determination do</w:t>
      </w:r>
      <w:r w:rsidR="00B66A94" w:rsidRPr="00F82C8D">
        <w:rPr>
          <w:lang w:val="en-AU"/>
        </w:rPr>
        <w:t xml:space="preserve">es not expire at a certain time. It will </w:t>
      </w:r>
      <w:r w:rsidR="00893FB8" w:rsidRPr="00F82C8D">
        <w:rPr>
          <w:lang w:val="en-AU"/>
        </w:rPr>
        <w:t>continue</w:t>
      </w:r>
      <w:r w:rsidR="00B66A94" w:rsidRPr="00F82C8D">
        <w:rPr>
          <w:lang w:val="en-AU"/>
        </w:rPr>
        <w:t xml:space="preserve"> to cover a facility, unless it is replaced by a different baseline determination.</w:t>
      </w:r>
    </w:p>
    <w:p w:rsidR="002006A6" w:rsidRPr="00F82C8D" w:rsidRDefault="00EE7C5A" w:rsidP="002006A6">
      <w:pPr>
        <w:pStyle w:val="Heading3"/>
      </w:pPr>
      <w:r w:rsidRPr="00F82C8D">
        <w:t xml:space="preserve">Section 40: </w:t>
      </w:r>
      <w:r w:rsidR="00081A1C" w:rsidRPr="00F82C8D">
        <w:t>Application</w:t>
      </w:r>
    </w:p>
    <w:p w:rsidR="00906427" w:rsidRPr="00F82C8D" w:rsidRDefault="00E276C6" w:rsidP="00625D31">
      <w:pPr>
        <w:pStyle w:val="ListParagraph"/>
        <w:rPr>
          <w:lang w:val="en-AU"/>
        </w:rPr>
      </w:pPr>
      <w:r w:rsidRPr="00F82C8D">
        <w:t xml:space="preserve">A responsible emitter for a </w:t>
      </w:r>
      <w:r w:rsidR="00081A1C" w:rsidRPr="00F82C8D">
        <w:t xml:space="preserve">facility </w:t>
      </w:r>
      <w:r w:rsidRPr="00F82C8D">
        <w:t xml:space="preserve">may </w:t>
      </w:r>
      <w:r w:rsidR="00081A1C" w:rsidRPr="00F82C8D">
        <w:t>apply to the Regulator for a production-adjusted baseline determination</w:t>
      </w:r>
      <w:r w:rsidRPr="00F82C8D">
        <w:t xml:space="preserve"> if the facility meets one of two circumstances. </w:t>
      </w:r>
      <w:r w:rsidRPr="00F82C8D">
        <w:rPr>
          <w:b/>
          <w:i/>
          <w:sz w:val="20"/>
        </w:rPr>
        <w:t>[subsection </w:t>
      </w:r>
      <w:r w:rsidR="00906427" w:rsidRPr="00F82C8D">
        <w:rPr>
          <w:b/>
          <w:i/>
          <w:sz w:val="20"/>
        </w:rPr>
        <w:t>40</w:t>
      </w:r>
      <w:r w:rsidRPr="00F82C8D">
        <w:rPr>
          <w:b/>
          <w:i/>
          <w:sz w:val="20"/>
        </w:rPr>
        <w:t>(1)]</w:t>
      </w:r>
      <w:r w:rsidR="00081A1C" w:rsidRPr="00F82C8D">
        <w:t xml:space="preserve">. </w:t>
      </w:r>
      <w:r w:rsidRPr="00F82C8D">
        <w:t>The first is following</w:t>
      </w:r>
      <w:r w:rsidR="00081A1C" w:rsidRPr="00F82C8D">
        <w:t xml:space="preserve"> the expiry of a </w:t>
      </w:r>
      <w:r w:rsidR="005839C5" w:rsidRPr="00F82C8D">
        <w:t>calculated-emissions</w:t>
      </w:r>
      <w:r w:rsidR="00081A1C" w:rsidRPr="00F82C8D">
        <w:t xml:space="preserve"> baseline determination or </w:t>
      </w:r>
      <w:r w:rsidR="00AE6DBE" w:rsidRPr="00F82C8D">
        <w:t>benchmark-emissions</w:t>
      </w:r>
      <w:r w:rsidR="00081A1C" w:rsidRPr="00F82C8D">
        <w:t xml:space="preserve"> baseline determination</w:t>
      </w:r>
      <w:r w:rsidRPr="00F82C8D">
        <w:t xml:space="preserve"> </w:t>
      </w:r>
      <w:r w:rsidR="00906427" w:rsidRPr="00F82C8D">
        <w:t>provided that the facility’s covered emissions exceeded 100,000 t CO</w:t>
      </w:r>
      <w:r w:rsidR="00E073C6" w:rsidRPr="00F82C8D">
        <w:rPr>
          <w:vertAlign w:val="subscript"/>
        </w:rPr>
        <w:t>2</w:t>
      </w:r>
      <w:r w:rsidR="00E073C6" w:rsidRPr="00F82C8D">
        <w:t>-</w:t>
      </w:r>
      <w:r w:rsidR="00906427" w:rsidRPr="00F82C8D">
        <w:t>e in one of the financial years that were covered by the determination</w:t>
      </w:r>
      <w:r w:rsidR="00B86F17" w:rsidRPr="00F82C8D">
        <w:t xml:space="preserve"> and that there is no subsequent </w:t>
      </w:r>
      <w:r w:rsidR="005839C5" w:rsidRPr="00F82C8D">
        <w:t>calculated-emissions</w:t>
      </w:r>
      <w:r w:rsidR="00B86F17" w:rsidRPr="00F82C8D">
        <w:t xml:space="preserve"> or </w:t>
      </w:r>
      <w:r w:rsidR="00AE6DBE" w:rsidRPr="00F82C8D">
        <w:t>benchmark-emissions</w:t>
      </w:r>
      <w:r w:rsidR="00B86F17" w:rsidRPr="00F82C8D">
        <w:t xml:space="preserve"> baseline determination covering the facility.</w:t>
      </w:r>
      <w:r w:rsidR="00F42022" w:rsidRPr="00F82C8D">
        <w:t xml:space="preserve"> </w:t>
      </w:r>
      <w:r w:rsidR="00906427" w:rsidRPr="00F82C8D">
        <w:rPr>
          <w:b/>
          <w:i/>
          <w:sz w:val="20"/>
        </w:rPr>
        <w:t>[paragraph 40(1)(a)</w:t>
      </w:r>
      <w:r w:rsidR="00B86F17" w:rsidRPr="00F82C8D">
        <w:rPr>
          <w:b/>
          <w:i/>
          <w:sz w:val="20"/>
        </w:rPr>
        <w:t xml:space="preserve"> and subsection 40(6)</w:t>
      </w:r>
      <w:r w:rsidR="00906427" w:rsidRPr="00F82C8D">
        <w:rPr>
          <w:b/>
          <w:i/>
          <w:sz w:val="20"/>
        </w:rPr>
        <w:t>]</w:t>
      </w:r>
      <w:r w:rsidR="00906427" w:rsidRPr="00F82C8D">
        <w:rPr>
          <w:b/>
          <w:lang w:val="en-AU"/>
        </w:rPr>
        <w:t xml:space="preserve"> </w:t>
      </w:r>
      <w:r w:rsidR="00906427" w:rsidRPr="00F82C8D">
        <w:t>The second circumstance is that t</w:t>
      </w:r>
      <w:r w:rsidR="00081A1C" w:rsidRPr="00F82C8D">
        <w:t>he facility meets or would have met at an earlier point in time, the new fa</w:t>
      </w:r>
      <w:r w:rsidR="0051382B" w:rsidRPr="00F82C8D">
        <w:t xml:space="preserve">cility criteria for a benchmark </w:t>
      </w:r>
      <w:r w:rsidR="002614A0" w:rsidRPr="00F82C8D">
        <w:t>e</w:t>
      </w:r>
      <w:r w:rsidR="00081A1C" w:rsidRPr="00F82C8D">
        <w:t>missions baseline determination, but the determination was never made</w:t>
      </w:r>
      <w:r w:rsidR="00906427" w:rsidRPr="00F82C8D">
        <w:t xml:space="preserve">. In this case, the requested </w:t>
      </w:r>
      <w:r w:rsidR="00F802CD" w:rsidRPr="00F82C8D">
        <w:t>start date</w:t>
      </w:r>
      <w:r w:rsidR="00906427" w:rsidRPr="00F82C8D">
        <w:t xml:space="preserve"> of the production-adjusted baseline determination must be no earlier than </w:t>
      </w:r>
      <w:r w:rsidR="00EE6E59" w:rsidRPr="00F82C8D">
        <w:t>the beginning of the third</w:t>
      </w:r>
      <w:r w:rsidR="00906427" w:rsidRPr="00F82C8D">
        <w:t xml:space="preserve"> financial years after the facility’s covered emissions first exceeded 100,000 t CO</w:t>
      </w:r>
      <w:r w:rsidR="00E073C6" w:rsidRPr="00F82C8D">
        <w:rPr>
          <w:vertAlign w:val="subscript"/>
        </w:rPr>
        <w:t>2</w:t>
      </w:r>
      <w:r w:rsidR="00E073C6" w:rsidRPr="00F82C8D">
        <w:t>-</w:t>
      </w:r>
      <w:r w:rsidR="00906427" w:rsidRPr="00F82C8D">
        <w:t xml:space="preserve">e. </w:t>
      </w:r>
      <w:r w:rsidR="00906427" w:rsidRPr="00F82C8D">
        <w:rPr>
          <w:b/>
          <w:i/>
          <w:sz w:val="20"/>
        </w:rPr>
        <w:t>[paragraph 40(1)(b)]</w:t>
      </w:r>
      <w:r w:rsidR="0051382B" w:rsidRPr="00F82C8D">
        <w:rPr>
          <w:b/>
          <w:i/>
          <w:sz w:val="20"/>
        </w:rPr>
        <w:t xml:space="preserve"> </w:t>
      </w:r>
    </w:p>
    <w:p w:rsidR="00E70F94" w:rsidRPr="00F82C8D" w:rsidRDefault="00E70F94" w:rsidP="008B04DF">
      <w:pPr>
        <w:pStyle w:val="Quote"/>
      </w:pPr>
      <w:r w:rsidRPr="00F82C8D">
        <w:t xml:space="preserve">For example, a facility may have been </w:t>
      </w:r>
      <w:r w:rsidR="00A73200" w:rsidRPr="00F82C8D">
        <w:t>un</w:t>
      </w:r>
      <w:r w:rsidRPr="00F82C8D">
        <w:t>able to apply for a benchmark-emissions baseline</w:t>
      </w:r>
      <w:r w:rsidR="00A73200" w:rsidRPr="00F82C8D">
        <w:t xml:space="preserve"> determination</w:t>
      </w:r>
      <w:r w:rsidRPr="00F82C8D">
        <w:t xml:space="preserve"> because there was no benchmark emissions intensity listed in the Benchmark Emissions-Intensity Index th</w:t>
      </w:r>
      <w:r w:rsidR="008B04DF" w:rsidRPr="00F82C8D">
        <w:t>at was relevant to the facility (this is an eligibility requirement set out in paragraph 32(1)(b) of the safeguard rule).</w:t>
      </w:r>
      <w:r w:rsidR="00942D59" w:rsidRPr="00F82C8D">
        <w:t xml:space="preserve"> </w:t>
      </w:r>
      <w:r w:rsidR="00A73200" w:rsidRPr="00F82C8D">
        <w:t>A</w:t>
      </w:r>
      <w:r w:rsidRPr="00F82C8D">
        <w:t xml:space="preserve"> </w:t>
      </w:r>
      <w:r w:rsidR="008B04DF" w:rsidRPr="00F82C8D">
        <w:t xml:space="preserve">relevant </w:t>
      </w:r>
      <w:r w:rsidRPr="00F82C8D">
        <w:t xml:space="preserve">benchmark has </w:t>
      </w:r>
      <w:r w:rsidR="00A73200" w:rsidRPr="00F82C8D">
        <w:t>subsequently been</w:t>
      </w:r>
      <w:r w:rsidRPr="00F82C8D">
        <w:t xml:space="preserve"> </w:t>
      </w:r>
      <w:r w:rsidR="008B04DF" w:rsidRPr="00F82C8D">
        <w:t xml:space="preserve">added to the Index so that the facility </w:t>
      </w:r>
      <w:r w:rsidR="00A73200" w:rsidRPr="00F82C8D">
        <w:t>could now apply for a benchmark-emissions baseline by meeting the new facility criteria. If the application would be made more than three financial years after the facility’s covered emissions first exceeded 100,000 t CO</w:t>
      </w:r>
      <w:r w:rsidR="00A73200" w:rsidRPr="00F82C8D">
        <w:rPr>
          <w:vertAlign w:val="subscript"/>
        </w:rPr>
        <w:t>2</w:t>
      </w:r>
      <w:r w:rsidR="00A73200" w:rsidRPr="00F82C8D">
        <w:t xml:space="preserve">-e, then actual production </w:t>
      </w:r>
      <w:r w:rsidR="00C431DA" w:rsidRPr="00F82C8D">
        <w:t xml:space="preserve">data </w:t>
      </w:r>
      <w:r w:rsidR="00A73200" w:rsidRPr="00F82C8D">
        <w:t>should be known</w:t>
      </w:r>
      <w:r w:rsidR="00C431DA" w:rsidRPr="00F82C8D">
        <w:t xml:space="preserve"> for the period that the benchmark-emissions baseline could have applied.</w:t>
      </w:r>
      <w:r w:rsidR="00942D59" w:rsidRPr="00F82C8D">
        <w:t xml:space="preserve"> </w:t>
      </w:r>
      <w:r w:rsidR="00C431DA" w:rsidRPr="00F82C8D">
        <w:t>This means</w:t>
      </w:r>
      <w:r w:rsidR="00A73200" w:rsidRPr="00F82C8D">
        <w:t xml:space="preserve"> that it is possible to make a </w:t>
      </w:r>
      <w:r w:rsidR="008B04DF" w:rsidRPr="00F82C8D">
        <w:t>production-a</w:t>
      </w:r>
      <w:r w:rsidR="00C431DA" w:rsidRPr="00F82C8D">
        <w:t>djusted baseline determination instead of a benchmark-emissions baseline determination, which would be based on estimated production levels.</w:t>
      </w:r>
    </w:p>
    <w:p w:rsidR="00B86F17" w:rsidRPr="00F82C8D" w:rsidRDefault="00B86F17" w:rsidP="00625D31">
      <w:pPr>
        <w:pStyle w:val="ListParagraph"/>
      </w:pPr>
      <w:r w:rsidRPr="00F82C8D">
        <w:t xml:space="preserve">The application must be submitted in a form provided by the Regulator. It needs to specify the responsible emitter’s requested </w:t>
      </w:r>
      <w:r w:rsidR="00F802CD" w:rsidRPr="00F82C8D">
        <w:t>start date</w:t>
      </w:r>
      <w:r w:rsidRPr="00F82C8D">
        <w:t xml:space="preserve"> of the </w:t>
      </w:r>
      <w:r w:rsidR="00244568" w:rsidRPr="00F82C8D">
        <w:t>production</w:t>
      </w:r>
      <w:r w:rsidR="00AE6DBE" w:rsidRPr="00F82C8D">
        <w:t>-</w:t>
      </w:r>
      <w:r w:rsidR="00244568" w:rsidRPr="00F82C8D">
        <w:t>adjusted</w:t>
      </w:r>
      <w:r w:rsidRPr="00F82C8D">
        <w:t xml:space="preserve"> baseline determination as 1 July of a particular year. Other necessary information to include in the application is set out in section 41 and an audit report that complies with section 42 must also accompany the application. </w:t>
      </w:r>
      <w:r w:rsidRPr="00F82C8D">
        <w:rPr>
          <w:b/>
          <w:i/>
          <w:sz w:val="20"/>
        </w:rPr>
        <w:t>[subsection 40(2)]</w:t>
      </w:r>
    </w:p>
    <w:p w:rsidR="00B86F17" w:rsidRPr="00F82C8D" w:rsidRDefault="00B86F17" w:rsidP="00625D31">
      <w:pPr>
        <w:pStyle w:val="ListParagraph"/>
        <w:rPr>
          <w:szCs w:val="20"/>
        </w:rPr>
      </w:pPr>
      <w:r w:rsidRPr="00F82C8D">
        <w:t xml:space="preserve">Unless the Regulator has granted an extension under the provision given in subsection 32(5), then the latest the application can be submitted is by the second 31 October after the requested </w:t>
      </w:r>
      <w:r w:rsidR="00F802CD" w:rsidRPr="00F82C8D">
        <w:t>start date</w:t>
      </w:r>
      <w:r w:rsidRPr="00F82C8D">
        <w:t xml:space="preserve">. The earliest it can be submitted is the requested </w:t>
      </w:r>
      <w:r w:rsidR="00F802CD" w:rsidRPr="00F82C8D">
        <w:t>start date</w:t>
      </w:r>
      <w:r w:rsidRPr="00F82C8D">
        <w:t xml:space="preserve">. </w:t>
      </w:r>
      <w:r w:rsidRPr="00F82C8D">
        <w:rPr>
          <w:b/>
          <w:i/>
          <w:sz w:val="20"/>
        </w:rPr>
        <w:t>[subsection 40(3)]</w:t>
      </w:r>
    </w:p>
    <w:p w:rsidR="00B86F17" w:rsidRPr="00F82C8D" w:rsidRDefault="00B86F17" w:rsidP="00625D31">
      <w:pPr>
        <w:pStyle w:val="ListParagraph"/>
        <w:rPr>
          <w:szCs w:val="20"/>
        </w:rPr>
      </w:pPr>
      <w:r w:rsidRPr="00F82C8D">
        <w:rPr>
          <w:rFonts w:eastAsia="Calibri"/>
          <w:lang w:bidi="ar-SA"/>
        </w:rPr>
        <w:t>A responsible emitter may cho</w:t>
      </w:r>
      <w:r w:rsidR="00D74B0D" w:rsidRPr="00F82C8D">
        <w:rPr>
          <w:rFonts w:eastAsia="Calibri"/>
          <w:lang w:bidi="ar-SA"/>
        </w:rPr>
        <w:t>o</w:t>
      </w:r>
      <w:r w:rsidRPr="00F82C8D">
        <w:rPr>
          <w:rFonts w:eastAsia="Calibri"/>
          <w:lang w:bidi="ar-SA"/>
        </w:rPr>
        <w:t xml:space="preserve">se to withdraw an application at any time before the Regulator makes a decision on the application. This needs to be done by written notice to the Regulator. </w:t>
      </w:r>
      <w:r w:rsidRPr="00F82C8D">
        <w:rPr>
          <w:rFonts w:eastAsia="Calibri"/>
          <w:b/>
          <w:i/>
          <w:sz w:val="20"/>
          <w:lang w:bidi="ar-SA"/>
        </w:rPr>
        <w:t>[subsection 40(4)]</w:t>
      </w:r>
    </w:p>
    <w:p w:rsidR="00B86F17" w:rsidRPr="00F82C8D" w:rsidRDefault="00B86F17" w:rsidP="00625D31">
      <w:pPr>
        <w:pStyle w:val="ListParagraph"/>
        <w:rPr>
          <w:szCs w:val="20"/>
        </w:rPr>
      </w:pPr>
      <w:r w:rsidRPr="00F82C8D">
        <w:t>The Regulator may extend the deadline set out in subsection 40(3) to the second 1 February after the requested start date if all the following conditions are met:</w:t>
      </w:r>
    </w:p>
    <w:p w:rsidR="00B86F17" w:rsidRPr="00F82C8D" w:rsidRDefault="00B86F17" w:rsidP="002E625A">
      <w:pPr>
        <w:pStyle w:val="ListBullet"/>
      </w:pPr>
      <w:r w:rsidRPr="00F82C8D">
        <w:t xml:space="preserve">an application was submitted that met the requirements set out in subsections 40(2) and 40(3) </w:t>
      </w:r>
      <w:r w:rsidRPr="00F82C8D">
        <w:rPr>
          <w:b/>
          <w:i/>
          <w:sz w:val="20"/>
        </w:rPr>
        <w:t>[paragraph 40(5)(a)]</w:t>
      </w:r>
    </w:p>
    <w:p w:rsidR="00552B33" w:rsidRPr="00F82C8D" w:rsidRDefault="00B86F17">
      <w:pPr>
        <w:pStyle w:val="ListBullet"/>
      </w:pPr>
      <w:r w:rsidRPr="00F82C8D">
        <w:t xml:space="preserve">the Regulator refused to make the baseline determination requested in the application </w:t>
      </w:r>
      <w:r w:rsidRPr="00F82C8D">
        <w:rPr>
          <w:b/>
          <w:i/>
          <w:sz w:val="20"/>
        </w:rPr>
        <w:t>[paragraph 40(5)(b)]</w:t>
      </w:r>
    </w:p>
    <w:p w:rsidR="00552B33" w:rsidRPr="00F82C8D" w:rsidRDefault="00B86F17">
      <w:pPr>
        <w:pStyle w:val="ListBullet"/>
      </w:pPr>
      <w:r w:rsidRPr="00F82C8D">
        <w:t xml:space="preserve">a new application submitted following the Regulator’s refusal would not meet the deadline set out in paragraph 40(3)(b). </w:t>
      </w:r>
      <w:r w:rsidRPr="00F82C8D">
        <w:rPr>
          <w:b/>
          <w:i/>
          <w:sz w:val="20"/>
        </w:rPr>
        <w:t>[paragraph 40(5)(c)]</w:t>
      </w:r>
    </w:p>
    <w:p w:rsidR="00081A1C" w:rsidRPr="00F82C8D" w:rsidRDefault="00EE7C5A" w:rsidP="00891B83">
      <w:pPr>
        <w:pStyle w:val="Heading3"/>
      </w:pPr>
      <w:r w:rsidRPr="00F82C8D">
        <w:t xml:space="preserve">Section 41: </w:t>
      </w:r>
      <w:r w:rsidR="00081A1C" w:rsidRPr="00F82C8D">
        <w:t>Information required in applications</w:t>
      </w:r>
    </w:p>
    <w:p w:rsidR="00CD1EE7" w:rsidRPr="00F82C8D" w:rsidRDefault="00EE7C5A" w:rsidP="00625D31">
      <w:pPr>
        <w:pStyle w:val="ListParagraph"/>
        <w:rPr>
          <w:lang w:eastAsia="en-AU"/>
        </w:rPr>
      </w:pPr>
      <w:r w:rsidRPr="00F82C8D">
        <w:rPr>
          <w:lang w:eastAsia="en-AU"/>
        </w:rPr>
        <w:t xml:space="preserve">The application </w:t>
      </w:r>
      <w:r w:rsidR="005F5794" w:rsidRPr="00F82C8D">
        <w:rPr>
          <w:lang w:val="en-AU"/>
        </w:rPr>
        <w:t xml:space="preserve">for a </w:t>
      </w:r>
      <w:r w:rsidR="005F5794" w:rsidRPr="00F82C8D">
        <w:rPr>
          <w:lang w:eastAsia="en-AU"/>
        </w:rPr>
        <w:t xml:space="preserve">production-adjusted baseline determination </w:t>
      </w:r>
      <w:r w:rsidRPr="00F82C8D">
        <w:rPr>
          <w:lang w:eastAsia="en-AU"/>
        </w:rPr>
        <w:t>essentially updates the production estimates that were given in the application for the previous determination with actual production data.</w:t>
      </w:r>
      <w:r w:rsidRPr="00F82C8D">
        <w:rPr>
          <w:lang w:val="en-AU"/>
        </w:rPr>
        <w:t xml:space="preserve"> </w:t>
      </w:r>
      <w:r w:rsidR="00444E04" w:rsidRPr="00F82C8D">
        <w:rPr>
          <w:lang w:val="en-AU"/>
        </w:rPr>
        <w:t>The information required in a</w:t>
      </w:r>
      <w:r w:rsidR="005F5794" w:rsidRPr="00F82C8D">
        <w:rPr>
          <w:lang w:val="en-AU"/>
        </w:rPr>
        <w:t xml:space="preserve">n application </w:t>
      </w:r>
      <w:r w:rsidR="00444E04" w:rsidRPr="00F82C8D">
        <w:rPr>
          <w:lang w:eastAsia="en-AU"/>
        </w:rPr>
        <w:t>is distinguished for facilities whose previous baseline determination was made based on meeting the significant expansion criteria</w:t>
      </w:r>
      <w:r w:rsidR="00CD1EE7" w:rsidRPr="00F82C8D">
        <w:rPr>
          <w:lang w:eastAsia="en-AU"/>
        </w:rPr>
        <w:t xml:space="preserve"> for a </w:t>
      </w:r>
      <w:r w:rsidR="00AE6DBE" w:rsidRPr="00F82C8D">
        <w:rPr>
          <w:lang w:eastAsia="en-AU"/>
        </w:rPr>
        <w:t>benchmark-emissions</w:t>
      </w:r>
      <w:r w:rsidR="00CD1EE7" w:rsidRPr="00F82C8D">
        <w:rPr>
          <w:lang w:eastAsia="en-AU"/>
        </w:rPr>
        <w:t xml:space="preserve"> baseline determination</w:t>
      </w:r>
      <w:r w:rsidRPr="00F82C8D">
        <w:rPr>
          <w:lang w:eastAsia="en-AU"/>
        </w:rPr>
        <w:t xml:space="preserve"> and other applicants</w:t>
      </w:r>
      <w:r w:rsidR="00CD1EE7" w:rsidRPr="00F82C8D">
        <w:rPr>
          <w:lang w:eastAsia="en-AU"/>
        </w:rPr>
        <w:t xml:space="preserve">. </w:t>
      </w:r>
      <w:r w:rsidRPr="00F82C8D">
        <w:rPr>
          <w:lang w:eastAsia="en-AU"/>
        </w:rPr>
        <w:t>This is because</w:t>
      </w:r>
      <w:r w:rsidR="00B863D4" w:rsidRPr="00F82C8D">
        <w:rPr>
          <w:lang w:eastAsia="en-AU"/>
        </w:rPr>
        <w:t xml:space="preserve"> the</w:t>
      </w:r>
      <w:r w:rsidR="00CD1EE7" w:rsidRPr="00F82C8D">
        <w:rPr>
          <w:lang w:eastAsia="en-AU"/>
        </w:rPr>
        <w:t xml:space="preserve"> </w:t>
      </w:r>
      <w:r w:rsidRPr="00F82C8D">
        <w:rPr>
          <w:lang w:eastAsia="en-AU"/>
        </w:rPr>
        <w:t>significant expansion benchmark-emissions baseline determinations add the expanded production to an existing baseline, whereas other baseline determinations are calculated in relation to all of the production at a facility.</w:t>
      </w:r>
    </w:p>
    <w:p w:rsidR="00A765AA" w:rsidRPr="00F82C8D" w:rsidRDefault="00A765AA" w:rsidP="00625D31">
      <w:pPr>
        <w:pStyle w:val="ListParagraph"/>
        <w:rPr>
          <w:b/>
          <w:lang w:eastAsia="en-AU"/>
        </w:rPr>
      </w:pPr>
      <w:bookmarkStart w:id="111" w:name="_Ref426467515"/>
      <w:r w:rsidRPr="00F82C8D">
        <w:rPr>
          <w:lang w:eastAsia="en-AU"/>
        </w:rPr>
        <w:t xml:space="preserve">The application for facilities whose previous determination was not made based on meeting the significant expansion criteria for a </w:t>
      </w:r>
      <w:r w:rsidR="00AE6DBE" w:rsidRPr="00F82C8D">
        <w:rPr>
          <w:lang w:eastAsia="en-AU"/>
        </w:rPr>
        <w:t>benchmark-emissions</w:t>
      </w:r>
      <w:r w:rsidRPr="00F82C8D">
        <w:rPr>
          <w:lang w:eastAsia="en-AU"/>
        </w:rPr>
        <w:t xml:space="preserve"> baseline determination, must include:</w:t>
      </w:r>
      <w:bookmarkEnd w:id="111"/>
    </w:p>
    <w:p w:rsidR="00A765AA" w:rsidRPr="00F82C8D" w:rsidRDefault="00A765AA" w:rsidP="002E625A">
      <w:pPr>
        <w:pStyle w:val="ListBullet"/>
        <w:rPr>
          <w:b/>
          <w:lang w:eastAsia="en-AU"/>
        </w:rPr>
      </w:pPr>
      <w:r w:rsidRPr="00F82C8D">
        <w:rPr>
          <w:lang w:eastAsia="en-AU"/>
        </w:rPr>
        <w:t xml:space="preserve">The quantity of </w:t>
      </w:r>
      <w:r w:rsidR="00411092" w:rsidRPr="00F82C8D">
        <w:rPr>
          <w:lang w:eastAsia="en-AU"/>
        </w:rPr>
        <w:t>the</w:t>
      </w:r>
      <w:r w:rsidRPr="00F82C8D">
        <w:rPr>
          <w:lang w:eastAsia="en-AU"/>
        </w:rPr>
        <w:t xml:space="preserve"> production variables produced</w:t>
      </w:r>
      <w:r w:rsidR="00411092" w:rsidRPr="00F82C8D">
        <w:rPr>
          <w:lang w:eastAsia="en-AU"/>
        </w:rPr>
        <w:t xml:space="preserve"> in the</w:t>
      </w:r>
      <w:r w:rsidRPr="00F82C8D">
        <w:rPr>
          <w:lang w:eastAsia="en-AU"/>
        </w:rPr>
        <w:t xml:space="preserve"> </w:t>
      </w:r>
      <w:r w:rsidR="00411092" w:rsidRPr="00F82C8D">
        <w:rPr>
          <w:lang w:eastAsia="en-AU"/>
        </w:rPr>
        <w:t>financial year with the highest actual production level of the primary production variable over the production assessment period. This period is the same period for estimating production under the application for the previous baseline determination</w:t>
      </w:r>
      <w:r w:rsidR="005F5794" w:rsidRPr="00F82C8D">
        <w:rPr>
          <w:lang w:eastAsia="en-AU"/>
        </w:rPr>
        <w:t xml:space="preserve"> (termed the production estimation period, defined in section 5</w:t>
      </w:r>
      <w:r w:rsidR="00D74B0D" w:rsidRPr="00F82C8D">
        <w:rPr>
          <w:lang w:eastAsia="en-AU"/>
        </w:rPr>
        <w:t xml:space="preserve"> of the </w:t>
      </w:r>
      <w:r w:rsidR="00D360AB" w:rsidRPr="00F82C8D">
        <w:rPr>
          <w:lang w:eastAsia="en-AU"/>
        </w:rPr>
        <w:t>safeguard rule</w:t>
      </w:r>
      <w:r w:rsidR="005F5794" w:rsidRPr="00F82C8D">
        <w:rPr>
          <w:lang w:eastAsia="en-AU"/>
        </w:rPr>
        <w:t>)</w:t>
      </w:r>
      <w:r w:rsidR="00411092" w:rsidRPr="00F82C8D">
        <w:rPr>
          <w:lang w:eastAsia="en-AU"/>
        </w:rPr>
        <w:t xml:space="preserve">. If there was no previous determination, then it means the </w:t>
      </w:r>
      <w:r w:rsidR="00EE6E59" w:rsidRPr="00F82C8D">
        <w:rPr>
          <w:lang w:eastAsia="en-AU"/>
        </w:rPr>
        <w:t xml:space="preserve">year that </w:t>
      </w:r>
      <w:r w:rsidR="00411092" w:rsidRPr="00F82C8D">
        <w:rPr>
          <w:lang w:eastAsia="en-AU"/>
        </w:rPr>
        <w:t>the facility’s covered emi</w:t>
      </w:r>
      <w:r w:rsidR="005F5794" w:rsidRPr="00F82C8D">
        <w:rPr>
          <w:lang w:eastAsia="en-AU"/>
        </w:rPr>
        <w:t>ssions first exceeded 100,000 t </w:t>
      </w:r>
      <w:r w:rsidR="00411092" w:rsidRPr="00F82C8D">
        <w:rPr>
          <w:lang w:eastAsia="en-AU"/>
        </w:rPr>
        <w:t>CO</w:t>
      </w:r>
      <w:r w:rsidR="00E073C6" w:rsidRPr="00F82C8D">
        <w:rPr>
          <w:vertAlign w:val="subscript"/>
          <w:lang w:eastAsia="en-AU"/>
        </w:rPr>
        <w:t>2</w:t>
      </w:r>
      <w:r w:rsidR="00143D12" w:rsidRPr="00F82C8D">
        <w:rPr>
          <w:lang w:eastAsia="en-AU"/>
        </w:rPr>
        <w:noBreakHyphen/>
        <w:t>e</w:t>
      </w:r>
      <w:r w:rsidR="00EE6E59" w:rsidRPr="00F82C8D">
        <w:rPr>
          <w:lang w:eastAsia="en-AU"/>
        </w:rPr>
        <w:t xml:space="preserve"> and the two years</w:t>
      </w:r>
      <w:r w:rsidR="00143D12" w:rsidRPr="00F82C8D">
        <w:rPr>
          <w:lang w:eastAsia="en-AU"/>
        </w:rPr>
        <w:t xml:space="preserve"> following this year.</w:t>
      </w:r>
      <w:r w:rsidR="00B863D4" w:rsidRPr="00F82C8D">
        <w:rPr>
          <w:b/>
          <w:i/>
          <w:sz w:val="20"/>
        </w:rPr>
        <w:t xml:space="preserve"> [subparagraph 41(1)(a)(i)]</w:t>
      </w:r>
    </w:p>
    <w:p w:rsidR="00552B33" w:rsidRPr="00F82C8D" w:rsidRDefault="00F63C5E">
      <w:pPr>
        <w:pStyle w:val="ListBullet"/>
        <w:rPr>
          <w:b/>
          <w:lang w:eastAsia="en-AU"/>
        </w:rPr>
      </w:pPr>
      <w:r w:rsidRPr="00F82C8D">
        <w:rPr>
          <w:lang w:eastAsia="en-AU"/>
        </w:rPr>
        <w:t xml:space="preserve">If a facility’s previous determination was a </w:t>
      </w:r>
      <w:r w:rsidR="005839C5" w:rsidRPr="00F82C8D">
        <w:rPr>
          <w:lang w:eastAsia="en-AU"/>
        </w:rPr>
        <w:t>calculated-emissions</w:t>
      </w:r>
      <w:r w:rsidRPr="00F82C8D">
        <w:rPr>
          <w:lang w:eastAsia="en-AU"/>
        </w:rPr>
        <w:t xml:space="preserve"> baseline determination then the</w:t>
      </w:r>
      <w:r w:rsidR="00411092" w:rsidRPr="00F82C8D">
        <w:rPr>
          <w:lang w:eastAsia="en-AU"/>
        </w:rPr>
        <w:t xml:space="preserve"> type of production variables</w:t>
      </w:r>
      <w:r w:rsidR="00B863D4" w:rsidRPr="00F82C8D">
        <w:rPr>
          <w:lang w:eastAsia="en-AU"/>
        </w:rPr>
        <w:t xml:space="preserve"> put in the application</w:t>
      </w:r>
      <w:r w:rsidR="00411092" w:rsidRPr="00F82C8D">
        <w:rPr>
          <w:lang w:eastAsia="en-AU"/>
        </w:rPr>
        <w:t xml:space="preserve"> must match those </w:t>
      </w:r>
      <w:r w:rsidR="00B863D4" w:rsidRPr="00F82C8D">
        <w:rPr>
          <w:lang w:eastAsia="en-AU"/>
        </w:rPr>
        <w:t>put</w:t>
      </w:r>
      <w:r w:rsidR="00411092" w:rsidRPr="00F82C8D">
        <w:rPr>
          <w:lang w:eastAsia="en-AU"/>
        </w:rPr>
        <w:t xml:space="preserve"> in the application </w:t>
      </w:r>
      <w:r w:rsidRPr="00F82C8D">
        <w:rPr>
          <w:lang w:eastAsia="en-AU"/>
        </w:rPr>
        <w:t xml:space="preserve">for this </w:t>
      </w:r>
      <w:r w:rsidR="00411092" w:rsidRPr="00F82C8D">
        <w:rPr>
          <w:lang w:eastAsia="en-AU"/>
        </w:rPr>
        <w:t>previous determination.</w:t>
      </w:r>
      <w:r w:rsidR="00B863D4" w:rsidRPr="00F82C8D">
        <w:rPr>
          <w:lang w:eastAsia="en-AU"/>
        </w:rPr>
        <w:t xml:space="preserve"> </w:t>
      </w:r>
      <w:r w:rsidRPr="00F82C8D">
        <w:rPr>
          <w:lang w:eastAsia="en-AU"/>
        </w:rPr>
        <w:t xml:space="preserve">The production quantities must be measured as close as possible to when the production variable enters, or leaves the production or processing process. </w:t>
      </w:r>
      <w:r w:rsidR="00B863D4" w:rsidRPr="00F82C8D">
        <w:rPr>
          <w:b/>
          <w:i/>
          <w:sz w:val="20"/>
        </w:rPr>
        <w:t>[subparagraph 41(1)(a)(ii)</w:t>
      </w:r>
      <w:r w:rsidRPr="00F82C8D">
        <w:rPr>
          <w:b/>
          <w:i/>
          <w:sz w:val="20"/>
        </w:rPr>
        <w:t xml:space="preserve"> and paragraph 41(3)(a)]</w:t>
      </w:r>
      <w:r w:rsidR="00411092" w:rsidRPr="00F82C8D">
        <w:rPr>
          <w:lang w:eastAsia="en-AU"/>
        </w:rPr>
        <w:t xml:space="preserve"> Otherwise</w:t>
      </w:r>
      <w:r w:rsidR="00B863D4" w:rsidRPr="00F82C8D">
        <w:rPr>
          <w:lang w:eastAsia="en-AU"/>
        </w:rPr>
        <w:t>,</w:t>
      </w:r>
      <w:r w:rsidR="00411092" w:rsidRPr="00F82C8D">
        <w:rPr>
          <w:lang w:eastAsia="en-AU"/>
        </w:rPr>
        <w:t xml:space="preserve"> the production variables are those relevant to the facility </w:t>
      </w:r>
      <w:r w:rsidRPr="00F82C8D">
        <w:rPr>
          <w:lang w:eastAsia="en-AU"/>
        </w:rPr>
        <w:t>consistent with th</w:t>
      </w:r>
      <w:r w:rsidR="00411092" w:rsidRPr="00F82C8D">
        <w:rPr>
          <w:lang w:eastAsia="en-AU"/>
        </w:rPr>
        <w:t xml:space="preserve">e </w:t>
      </w:r>
      <w:r w:rsidR="00C61DFD" w:rsidRPr="00F82C8D">
        <w:rPr>
          <w:lang w:eastAsia="en-AU"/>
        </w:rPr>
        <w:t>Benchmark Emissions-Intensity Index</w:t>
      </w:r>
      <w:r w:rsidR="00411092" w:rsidRPr="00F82C8D">
        <w:rPr>
          <w:lang w:eastAsia="en-AU"/>
        </w:rPr>
        <w:t xml:space="preserve"> in </w:t>
      </w:r>
      <w:r w:rsidR="00BF3FA1" w:rsidRPr="00F82C8D">
        <w:rPr>
          <w:lang w:eastAsia="en-AU"/>
        </w:rPr>
        <w:t>Schedule 1</w:t>
      </w:r>
      <w:r w:rsidRPr="00F82C8D">
        <w:rPr>
          <w:lang w:eastAsia="en-AU"/>
        </w:rPr>
        <w:t xml:space="preserve"> and measured in accordance with any requirements set out in the schedule</w:t>
      </w:r>
      <w:r w:rsidR="00411092" w:rsidRPr="00F82C8D">
        <w:rPr>
          <w:lang w:eastAsia="en-AU"/>
        </w:rPr>
        <w:t>.</w:t>
      </w:r>
      <w:r w:rsidR="00A151D1" w:rsidRPr="00F82C8D">
        <w:rPr>
          <w:lang w:eastAsia="en-AU"/>
        </w:rPr>
        <w:t xml:space="preserve"> </w:t>
      </w:r>
      <w:r w:rsidR="00411092" w:rsidRPr="00F82C8D">
        <w:rPr>
          <w:b/>
          <w:i/>
          <w:sz w:val="20"/>
        </w:rPr>
        <w:t>[subparagraph 41(1)(a)(iii)</w:t>
      </w:r>
      <w:r w:rsidRPr="00F82C8D">
        <w:rPr>
          <w:b/>
          <w:i/>
          <w:sz w:val="20"/>
        </w:rPr>
        <w:t xml:space="preserve"> and paragraph 41(3)(b)</w:t>
      </w:r>
      <w:r w:rsidR="00411092" w:rsidRPr="00F82C8D">
        <w:rPr>
          <w:b/>
          <w:i/>
          <w:sz w:val="20"/>
        </w:rPr>
        <w:t>]</w:t>
      </w:r>
    </w:p>
    <w:p w:rsidR="00552B33" w:rsidRPr="00F82C8D" w:rsidRDefault="00B863D4">
      <w:pPr>
        <w:pStyle w:val="ListBullet"/>
      </w:pPr>
      <w:r w:rsidRPr="00F82C8D">
        <w:t xml:space="preserve">The </w:t>
      </w:r>
      <w:r w:rsidR="00BB7C53" w:rsidRPr="00F82C8D">
        <w:t>emissions intens</w:t>
      </w:r>
      <w:r w:rsidR="00893FB8" w:rsidRPr="00F82C8D">
        <w:t>ities</w:t>
      </w:r>
      <w:r w:rsidRPr="00F82C8D">
        <w:t xml:space="preserve"> that correspond to each production variable identified in the application. </w:t>
      </w:r>
      <w:r w:rsidR="005F5794" w:rsidRPr="00F82C8D">
        <w:rPr>
          <w:lang w:eastAsia="en-AU"/>
        </w:rPr>
        <w:t>If the previous baseline determination was a calculated-emissions baseline determination, then t</w:t>
      </w:r>
      <w:r w:rsidRPr="00F82C8D">
        <w:rPr>
          <w:lang w:eastAsia="en-AU"/>
        </w:rPr>
        <w:t xml:space="preserve">hese must be </w:t>
      </w:r>
      <w:r w:rsidR="00F63C5E" w:rsidRPr="00F82C8D">
        <w:rPr>
          <w:lang w:eastAsia="en-AU"/>
        </w:rPr>
        <w:t>the same as</w:t>
      </w:r>
      <w:r w:rsidRPr="00F82C8D">
        <w:rPr>
          <w:lang w:eastAsia="en-AU"/>
        </w:rPr>
        <w:t xml:space="preserve"> the </w:t>
      </w:r>
      <w:r w:rsidR="00BB7C53" w:rsidRPr="00F82C8D">
        <w:rPr>
          <w:lang w:eastAsia="en-AU"/>
        </w:rPr>
        <w:t>emissions intens</w:t>
      </w:r>
      <w:r w:rsidR="00F24E7E" w:rsidRPr="00F82C8D">
        <w:rPr>
          <w:lang w:eastAsia="en-AU"/>
        </w:rPr>
        <w:t>it</w:t>
      </w:r>
      <w:r w:rsidRPr="00F82C8D">
        <w:rPr>
          <w:lang w:eastAsia="en-AU"/>
        </w:rPr>
        <w:t xml:space="preserve">ies set out in the application </w:t>
      </w:r>
      <w:r w:rsidR="00BA47B8" w:rsidRPr="00F82C8D">
        <w:rPr>
          <w:lang w:eastAsia="en-AU"/>
        </w:rPr>
        <w:t>for that determination</w:t>
      </w:r>
      <w:r w:rsidRPr="00F82C8D">
        <w:rPr>
          <w:lang w:eastAsia="en-AU"/>
        </w:rPr>
        <w:t xml:space="preserve">. </w:t>
      </w:r>
      <w:r w:rsidRPr="00F82C8D">
        <w:rPr>
          <w:b/>
          <w:i/>
          <w:sz w:val="20"/>
        </w:rPr>
        <w:t>[subparagraph 41(1)(b)(i)]</w:t>
      </w:r>
      <w:r w:rsidRPr="00F82C8D">
        <w:rPr>
          <w:lang w:eastAsia="en-AU"/>
        </w:rPr>
        <w:t xml:space="preserve"> Otherwise, t</w:t>
      </w:r>
      <w:r w:rsidRPr="00F82C8D">
        <w:t xml:space="preserve">hese are sourced from the </w:t>
      </w:r>
      <w:r w:rsidR="00C61DFD" w:rsidRPr="00F82C8D">
        <w:t>Benchmark Emissions-Intensity Index</w:t>
      </w:r>
      <w:r w:rsidRPr="00F82C8D">
        <w:t xml:space="preserve"> in </w:t>
      </w:r>
      <w:r w:rsidR="00BF3FA1" w:rsidRPr="00F82C8D">
        <w:t>Schedule 1</w:t>
      </w:r>
      <w:r w:rsidR="00A151D1" w:rsidRPr="00F82C8D">
        <w:t xml:space="preserve">. If there was a previous baseline determination, then these </w:t>
      </w:r>
      <w:r w:rsidR="00BB7C53" w:rsidRPr="00F82C8D">
        <w:t>emissions intens</w:t>
      </w:r>
      <w:r w:rsidR="00F24E7E" w:rsidRPr="00F82C8D">
        <w:t>it</w:t>
      </w:r>
      <w:r w:rsidR="00A151D1" w:rsidRPr="00F82C8D">
        <w:t>ies may be different to those set out in the application for that determination</w:t>
      </w:r>
      <w:r w:rsidRPr="00F82C8D">
        <w:t xml:space="preserve">. </w:t>
      </w:r>
      <w:r w:rsidR="00C93C26" w:rsidRPr="00F82C8D">
        <w:rPr>
          <w:b/>
          <w:i/>
          <w:sz w:val="20"/>
        </w:rPr>
        <w:t>[subparagraph 41(1</w:t>
      </w:r>
      <w:r w:rsidRPr="00F82C8D">
        <w:rPr>
          <w:b/>
          <w:i/>
          <w:sz w:val="20"/>
        </w:rPr>
        <w:t>)(b)(ii)]</w:t>
      </w:r>
    </w:p>
    <w:p w:rsidR="00552B33" w:rsidRPr="00F82C8D" w:rsidRDefault="00B863D4">
      <w:pPr>
        <w:pStyle w:val="ListBullet"/>
        <w:rPr>
          <w:b/>
          <w:lang w:eastAsia="en-AU"/>
        </w:rPr>
      </w:pPr>
      <w:r w:rsidRPr="00F82C8D">
        <w:t xml:space="preserve">The </w:t>
      </w:r>
      <w:r w:rsidR="00A151D1" w:rsidRPr="00F82C8D">
        <w:t>production-</w:t>
      </w:r>
      <w:r w:rsidRPr="00F82C8D">
        <w:t xml:space="preserve">adjusted total covered emissions from the facility, which is calculated by multiplying the production quantity of each of the production variables identified in the application with the corresponding </w:t>
      </w:r>
      <w:r w:rsidR="00BB7C53" w:rsidRPr="00F82C8D">
        <w:t>emissions intens</w:t>
      </w:r>
      <w:r w:rsidRPr="00F82C8D">
        <w:t xml:space="preserve">ity and then summing the results if there is more than one production variable. </w:t>
      </w:r>
      <w:r w:rsidRPr="00F82C8D">
        <w:rPr>
          <w:b/>
          <w:i/>
          <w:sz w:val="20"/>
        </w:rPr>
        <w:t>[paragraph 41(1)(c)]</w:t>
      </w:r>
    </w:p>
    <w:p w:rsidR="00CD1EE7" w:rsidRPr="00F82C8D" w:rsidRDefault="00EE7C5A" w:rsidP="00625D31">
      <w:pPr>
        <w:pStyle w:val="ListParagraph"/>
        <w:rPr>
          <w:lang w:eastAsia="en-AU"/>
        </w:rPr>
      </w:pPr>
      <w:r w:rsidRPr="00F82C8D">
        <w:rPr>
          <w:lang w:eastAsia="en-AU"/>
        </w:rPr>
        <w:t>A</w:t>
      </w:r>
      <w:r w:rsidR="00CD1EE7" w:rsidRPr="00F82C8D">
        <w:rPr>
          <w:lang w:eastAsia="en-AU"/>
        </w:rPr>
        <w:t>pplication</w:t>
      </w:r>
      <w:r w:rsidRPr="00F82C8D">
        <w:rPr>
          <w:lang w:eastAsia="en-AU"/>
        </w:rPr>
        <w:t>s where the previous baseline determination was made based on meeting the significant expansion criteria for a benchmark-emissions baseline determination</w:t>
      </w:r>
      <w:r w:rsidR="00CD1EE7" w:rsidRPr="00F82C8D">
        <w:rPr>
          <w:lang w:eastAsia="en-AU"/>
        </w:rPr>
        <w:t xml:space="preserve"> must include</w:t>
      </w:r>
      <w:r w:rsidR="00B863D4" w:rsidRPr="00F82C8D">
        <w:rPr>
          <w:lang w:eastAsia="en-AU"/>
        </w:rPr>
        <w:t>:</w:t>
      </w:r>
    </w:p>
    <w:p w:rsidR="005F5794" w:rsidRPr="00F82C8D" w:rsidRDefault="005F5794" w:rsidP="002E625A">
      <w:pPr>
        <w:pStyle w:val="ListBullet"/>
      </w:pPr>
      <w:r w:rsidRPr="00F82C8D">
        <w:t xml:space="preserve">The quantity of all production variables that were produced by the facility in the financial year with the highest production level of the primary production variable over the period that was covered by the previous determination. The units of these quantities must match the metric used for the benchmark </w:t>
      </w:r>
      <w:r w:rsidR="00BB7C53" w:rsidRPr="00F82C8D">
        <w:t>emissions intens</w:t>
      </w:r>
      <w:r w:rsidRPr="00F82C8D">
        <w:t xml:space="preserve">ity that corresponds to the production variable. </w:t>
      </w:r>
      <w:r w:rsidRPr="00F82C8D">
        <w:rPr>
          <w:b/>
          <w:i/>
          <w:sz w:val="20"/>
        </w:rPr>
        <w:t>[paragraph 41(2)(a) and subsection 41(3)]</w:t>
      </w:r>
    </w:p>
    <w:p w:rsidR="00552B33" w:rsidRPr="00F82C8D" w:rsidRDefault="005F5794">
      <w:pPr>
        <w:pStyle w:val="ListBullet"/>
      </w:pPr>
      <w:r w:rsidRPr="00F82C8D">
        <w:t xml:space="preserve">The change in production for each production variable before and after the significant expansion. This is calculated by subtracting the quantity of each production variable produced after the significant expansion, identified under paragraph 41(2)(b) with the quantity of the production variable produced prior to the significant expansion, identified under paragraph 35(2)(c). It is possible that there is a negative change, meaning that the significant expansion has decreased the level of production of a production variable. </w:t>
      </w:r>
      <w:r w:rsidRPr="00F82C8D">
        <w:rPr>
          <w:b/>
          <w:i/>
          <w:sz w:val="20"/>
        </w:rPr>
        <w:t>[paragraph 41(2)(b)]</w:t>
      </w:r>
    </w:p>
    <w:p w:rsidR="00552B33" w:rsidRPr="00F82C8D" w:rsidRDefault="005F5794">
      <w:pPr>
        <w:pStyle w:val="ListBullet"/>
      </w:pPr>
      <w:r w:rsidRPr="00F82C8D">
        <w:t xml:space="preserve">The benchmark </w:t>
      </w:r>
      <w:r w:rsidR="00BB7C53" w:rsidRPr="00F82C8D">
        <w:t>emissions intens</w:t>
      </w:r>
      <w:r w:rsidR="00893FB8" w:rsidRPr="00F82C8D">
        <w:t>ities</w:t>
      </w:r>
      <w:r w:rsidRPr="00F82C8D">
        <w:t xml:space="preserve"> that correspond to each production variable identified in the application. These are sourced from the </w:t>
      </w:r>
      <w:r w:rsidR="00C61DFD" w:rsidRPr="00F82C8D">
        <w:t>Benchmark Emissions-Intensity Index</w:t>
      </w:r>
      <w:r w:rsidRPr="00F82C8D">
        <w:t xml:space="preserve"> in </w:t>
      </w:r>
      <w:r w:rsidR="00BF3FA1" w:rsidRPr="00F82C8D">
        <w:t>Schedule 1</w:t>
      </w:r>
      <w:r w:rsidRPr="00F82C8D">
        <w:t xml:space="preserve">. </w:t>
      </w:r>
      <w:r w:rsidRPr="00F82C8D">
        <w:rPr>
          <w:b/>
          <w:i/>
          <w:sz w:val="20"/>
        </w:rPr>
        <w:t>[paragraph 41(2)(c)]</w:t>
      </w:r>
    </w:p>
    <w:p w:rsidR="00552B33" w:rsidRPr="00F82C8D" w:rsidRDefault="005F5794">
      <w:pPr>
        <w:pStyle w:val="ListBullet"/>
        <w:rPr>
          <w:b/>
          <w:lang w:eastAsia="en-AU"/>
        </w:rPr>
      </w:pPr>
      <w:r w:rsidRPr="00F82C8D">
        <w:t xml:space="preserve">The expected additional covered emissions from the facility by multiplying the change in production for each production variable under paragraph 40(2)(b) with the corresponding benchmark </w:t>
      </w:r>
      <w:r w:rsidR="00BB7C53" w:rsidRPr="00F82C8D">
        <w:t>emissions intens</w:t>
      </w:r>
      <w:r w:rsidR="00C93C26" w:rsidRPr="00F82C8D">
        <w:t>ity under paragraph 40(2)(c)</w:t>
      </w:r>
      <w:r w:rsidRPr="00F82C8D">
        <w:t xml:space="preserve"> and summing the results if there is more than one production variable. </w:t>
      </w:r>
      <w:r w:rsidRPr="00F82C8D">
        <w:rPr>
          <w:b/>
          <w:i/>
          <w:sz w:val="20"/>
        </w:rPr>
        <w:t>[paragraph 41(2)(d)]</w:t>
      </w:r>
    </w:p>
    <w:p w:rsidR="00081A1C" w:rsidRPr="00F82C8D" w:rsidRDefault="00C538B1" w:rsidP="00891B83">
      <w:pPr>
        <w:pStyle w:val="Heading3"/>
      </w:pPr>
      <w:r w:rsidRPr="00F82C8D">
        <w:rPr>
          <w:lang w:eastAsia="en-AU"/>
        </w:rPr>
        <w:t xml:space="preserve">Section 42: </w:t>
      </w:r>
      <w:r w:rsidR="00081A1C" w:rsidRPr="00F82C8D">
        <w:t>Audit Reports</w:t>
      </w:r>
    </w:p>
    <w:p w:rsidR="00172E81" w:rsidRPr="00F82C8D" w:rsidRDefault="00172E81" w:rsidP="00625D31">
      <w:pPr>
        <w:pStyle w:val="ListParagraph"/>
      </w:pPr>
      <w:r w:rsidRPr="00F82C8D">
        <w:t xml:space="preserve">Each application for a </w:t>
      </w:r>
      <w:r w:rsidR="000776D0" w:rsidRPr="00F82C8D">
        <w:t>production-adjusted</w:t>
      </w:r>
      <w:r w:rsidRPr="00F82C8D">
        <w:t xml:space="preserve"> baseline determination must be accompanied by an audit report. </w:t>
      </w:r>
      <w:r w:rsidRPr="00F82C8D">
        <w:rPr>
          <w:b/>
          <w:i/>
          <w:sz w:val="20"/>
        </w:rPr>
        <w:t>[</w:t>
      </w:r>
      <w:r w:rsidR="000776D0" w:rsidRPr="00F82C8D">
        <w:rPr>
          <w:b/>
          <w:i/>
          <w:sz w:val="20"/>
        </w:rPr>
        <w:t>subsection 42</w:t>
      </w:r>
      <w:r w:rsidRPr="00F82C8D">
        <w:rPr>
          <w:b/>
          <w:i/>
          <w:sz w:val="20"/>
        </w:rPr>
        <w:t>(1)]</w:t>
      </w:r>
      <w:r w:rsidR="000A7B10" w:rsidRPr="00F82C8D">
        <w:t xml:space="preserve"> </w:t>
      </w:r>
      <w:r w:rsidR="006306FA" w:rsidRPr="00F82C8D">
        <w:t>All</w:t>
      </w:r>
      <w:r w:rsidRPr="00F82C8D">
        <w:t xml:space="preserve"> matters to be audited are </w:t>
      </w:r>
      <w:r w:rsidR="006306FA" w:rsidRPr="00F82C8D">
        <w:t>reasonable assurance matters, these are:</w:t>
      </w:r>
    </w:p>
    <w:p w:rsidR="006306FA" w:rsidRPr="00F82C8D" w:rsidRDefault="006306FA" w:rsidP="002E625A">
      <w:pPr>
        <w:pStyle w:val="ListBullet"/>
      </w:pPr>
      <w:r w:rsidRPr="00F82C8D">
        <w:t xml:space="preserve">Whether the application has met the application information requirements set out in section 41 and has been presented fairly. </w:t>
      </w:r>
      <w:r w:rsidR="009149CF" w:rsidRPr="00F82C8D">
        <w:rPr>
          <w:b/>
          <w:i/>
          <w:sz w:val="20"/>
        </w:rPr>
        <w:t>[paragraph 42(2)(b)(i)</w:t>
      </w:r>
      <w:r w:rsidRPr="00F82C8D">
        <w:rPr>
          <w:b/>
          <w:i/>
          <w:sz w:val="20"/>
        </w:rPr>
        <w:t>]</w:t>
      </w:r>
      <w:r w:rsidRPr="00F82C8D">
        <w:t xml:space="preserve"> A fairly presented application is, among other things, comprehensive, does not withhold important information and presents data in a consistent and transparent manner. </w:t>
      </w:r>
    </w:p>
    <w:p w:rsidR="00552B33" w:rsidRPr="00F82C8D" w:rsidRDefault="00BD39BF">
      <w:pPr>
        <w:pStyle w:val="ListBullet"/>
      </w:pPr>
      <w:r w:rsidRPr="00F82C8D">
        <w:t>Whether the</w:t>
      </w:r>
      <w:r w:rsidR="006306FA" w:rsidRPr="00F82C8D">
        <w:t xml:space="preserve"> estimates of the </w:t>
      </w:r>
      <w:r w:rsidR="00893FB8" w:rsidRPr="00F82C8D">
        <w:t>quantity</w:t>
      </w:r>
      <w:r w:rsidR="006306FA" w:rsidRPr="00F82C8D">
        <w:t xml:space="preserve"> of each production variables</w:t>
      </w:r>
      <w:r w:rsidRPr="00F82C8D">
        <w:t xml:space="preserve"> meet</w:t>
      </w:r>
      <w:r w:rsidR="006306FA" w:rsidRPr="00F82C8D">
        <w:t xml:space="preserve"> the requirements of section 41(3) and </w:t>
      </w:r>
      <w:r w:rsidRPr="00F82C8D">
        <w:t>are</w:t>
      </w:r>
      <w:r w:rsidR="00DF57B7" w:rsidRPr="00F82C8D">
        <w:t xml:space="preserve"> supported by historical data that is fairly stated. </w:t>
      </w:r>
      <w:r w:rsidR="006306FA" w:rsidRPr="00F82C8D">
        <w:rPr>
          <w:b/>
          <w:i/>
          <w:sz w:val="20"/>
        </w:rPr>
        <w:t>[paragraph 42(2)(c)]</w:t>
      </w:r>
    </w:p>
    <w:p w:rsidR="00552B33" w:rsidRPr="00F82C8D" w:rsidRDefault="000246C3">
      <w:pPr>
        <w:pStyle w:val="ListBullet"/>
      </w:pPr>
      <w:r w:rsidRPr="00F82C8D">
        <w:t>In the case</w:t>
      </w:r>
      <w:r w:rsidR="006306FA" w:rsidRPr="00F82C8D">
        <w:t xml:space="preserve"> that production variables are required to be selected consistently with the </w:t>
      </w:r>
      <w:r w:rsidR="00C61DFD" w:rsidRPr="00F82C8D">
        <w:t>Benchmark Emissions-Intensity Index</w:t>
      </w:r>
      <w:r w:rsidR="006306FA" w:rsidRPr="00F82C8D">
        <w:t xml:space="preserve">, </w:t>
      </w:r>
      <w:r w:rsidR="00BD39BF" w:rsidRPr="00F82C8D">
        <w:t>whether</w:t>
      </w:r>
      <w:r w:rsidR="006306FA" w:rsidRPr="00F82C8D">
        <w:t xml:space="preserve"> t</w:t>
      </w:r>
      <w:r w:rsidR="00BD39BF" w:rsidRPr="00F82C8D">
        <w:t>hey are</w:t>
      </w:r>
      <w:r w:rsidR="006306FA" w:rsidRPr="00F82C8D">
        <w:t xml:space="preserve"> applicable to the facility and the</w:t>
      </w:r>
      <w:r w:rsidR="00BD39BF" w:rsidRPr="00F82C8D">
        <w:t>ir</w:t>
      </w:r>
      <w:r w:rsidR="006306FA" w:rsidRPr="00F82C8D">
        <w:t xml:space="preserve"> selection is supported with historical data.</w:t>
      </w:r>
    </w:p>
    <w:p w:rsidR="006306FA" w:rsidRPr="00F82C8D" w:rsidRDefault="006306FA" w:rsidP="00625D31">
      <w:pPr>
        <w:pStyle w:val="ListParagraph"/>
      </w:pPr>
      <w:r w:rsidRPr="00F82C8D">
        <w:t>The audit report must make one of the following conclusions:</w:t>
      </w:r>
    </w:p>
    <w:p w:rsidR="006306FA" w:rsidRPr="00F82C8D" w:rsidRDefault="006306FA" w:rsidP="002E625A">
      <w:pPr>
        <w:pStyle w:val="ListBullet"/>
      </w:pPr>
      <w:r w:rsidRPr="00F82C8D">
        <w:t>a reasonable assurance conclusion</w:t>
      </w:r>
    </w:p>
    <w:p w:rsidR="00552B33" w:rsidRPr="00F82C8D" w:rsidRDefault="006306FA">
      <w:pPr>
        <w:pStyle w:val="ListBullet"/>
      </w:pPr>
      <w:r w:rsidRPr="00F82C8D">
        <w:t>a qualified reasonable assurance conclusion</w:t>
      </w:r>
    </w:p>
    <w:p w:rsidR="00552B33" w:rsidRPr="00F82C8D" w:rsidRDefault="006306FA">
      <w:pPr>
        <w:pStyle w:val="ListBullet"/>
      </w:pPr>
      <w:r w:rsidRPr="00F82C8D">
        <w:t>an adverse conclusion</w:t>
      </w:r>
    </w:p>
    <w:p w:rsidR="00552B33" w:rsidRPr="00F82C8D" w:rsidRDefault="006306FA">
      <w:pPr>
        <w:pStyle w:val="ListBullet"/>
      </w:pPr>
      <w:r w:rsidRPr="00F82C8D">
        <w:t xml:space="preserve">a conclusion that the assurance provider is unable to form an opinion about the matter being audited. </w:t>
      </w:r>
      <w:r w:rsidRPr="00F82C8D">
        <w:rPr>
          <w:b/>
          <w:i/>
          <w:sz w:val="20"/>
        </w:rPr>
        <w:t>[subsection 36(3)]</w:t>
      </w:r>
    </w:p>
    <w:p w:rsidR="00172E81" w:rsidRPr="00F82C8D" w:rsidRDefault="00F02C24" w:rsidP="00625D31">
      <w:pPr>
        <w:pStyle w:val="ListParagraph"/>
      </w:pPr>
      <w:r w:rsidRPr="00F82C8D">
        <w:t xml:space="preserve">The audit is conducted by a </w:t>
      </w:r>
      <w:r w:rsidR="00942D59" w:rsidRPr="00F82C8D">
        <w:t>national greenhouse and energy auditor</w:t>
      </w:r>
      <w:r w:rsidR="00172E81" w:rsidRPr="00F82C8D">
        <w:t xml:space="preserve">. The team leader of the audit must be registered as a Category 2 auditor under the </w:t>
      </w:r>
      <w:r w:rsidR="00336CE1" w:rsidRPr="00F82C8D">
        <w:t>NGER Regulations</w:t>
      </w:r>
      <w:r w:rsidR="00172E81" w:rsidRPr="00F82C8D">
        <w:t>.</w:t>
      </w:r>
      <w:r w:rsidR="00172E81" w:rsidRPr="00F82C8D">
        <w:rPr>
          <w:i/>
        </w:rPr>
        <w:t xml:space="preserve"> </w:t>
      </w:r>
      <w:r w:rsidR="00377A72" w:rsidRPr="00F82C8D">
        <w:rPr>
          <w:b/>
          <w:i/>
          <w:sz w:val="20"/>
        </w:rPr>
        <w:t>[paragraph </w:t>
      </w:r>
      <w:r w:rsidR="006306FA" w:rsidRPr="00F82C8D">
        <w:rPr>
          <w:b/>
          <w:i/>
          <w:sz w:val="20"/>
        </w:rPr>
        <w:t>42</w:t>
      </w:r>
      <w:r w:rsidR="00172E81" w:rsidRPr="00F82C8D">
        <w:rPr>
          <w:b/>
          <w:i/>
          <w:sz w:val="20"/>
        </w:rPr>
        <w:t>(</w:t>
      </w:r>
      <w:r w:rsidR="006306FA" w:rsidRPr="00F82C8D">
        <w:rPr>
          <w:b/>
          <w:i/>
          <w:sz w:val="20"/>
        </w:rPr>
        <w:t>4</w:t>
      </w:r>
      <w:r w:rsidR="00172E81" w:rsidRPr="00F82C8D">
        <w:rPr>
          <w:b/>
          <w:i/>
          <w:sz w:val="20"/>
        </w:rPr>
        <w:t>)(b)]</w:t>
      </w:r>
      <w:r w:rsidR="00172E81" w:rsidRPr="00F82C8D">
        <w:t xml:space="preserve"> A Category 2 auditor has experience leading greenhouse audits. The audit must meet the relevant requirements for limited and reasonable assurance engagements under the </w:t>
      </w:r>
      <w:r w:rsidR="00172E81" w:rsidRPr="00F82C8D">
        <w:rPr>
          <w:i/>
        </w:rPr>
        <w:t>National Greenhouse and Energy Reporting (Audit) Determination 2009</w:t>
      </w:r>
      <w:r w:rsidR="00172E81" w:rsidRPr="00F82C8D">
        <w:t xml:space="preserve"> </w:t>
      </w:r>
      <w:r w:rsidR="006306FA" w:rsidRPr="00F82C8D">
        <w:rPr>
          <w:b/>
          <w:i/>
          <w:sz w:val="20"/>
        </w:rPr>
        <w:t>[paragraph 42(4</w:t>
      </w:r>
      <w:r w:rsidR="00172E81" w:rsidRPr="00F82C8D">
        <w:rPr>
          <w:b/>
          <w:i/>
          <w:sz w:val="20"/>
        </w:rPr>
        <w:t>)(a)]</w:t>
      </w:r>
      <w:r w:rsidR="00172E81" w:rsidRPr="00F82C8D">
        <w:t xml:space="preserve"> as well as requirements of subsection 7</w:t>
      </w:r>
      <w:r w:rsidR="00EF0775" w:rsidRPr="00F82C8D">
        <w:t>4</w:t>
      </w:r>
      <w:r w:rsidR="00172E81" w:rsidRPr="00F82C8D">
        <w:t xml:space="preserve">(1) of the Act, which provides that the Minister may determine requirements to be met by </w:t>
      </w:r>
      <w:r w:rsidR="00942D59" w:rsidRPr="00F82C8D">
        <w:t>national greenhouse and energy auditor</w:t>
      </w:r>
      <w:r w:rsidR="00172E81" w:rsidRPr="00F82C8D">
        <w:t xml:space="preserve">s. </w:t>
      </w:r>
      <w:r w:rsidR="006306FA" w:rsidRPr="00F82C8D">
        <w:rPr>
          <w:b/>
          <w:i/>
          <w:sz w:val="20"/>
        </w:rPr>
        <w:t>[paragraph 42 (4</w:t>
      </w:r>
      <w:r w:rsidR="00172E81" w:rsidRPr="00F82C8D">
        <w:rPr>
          <w:b/>
          <w:i/>
          <w:sz w:val="20"/>
        </w:rPr>
        <w:t>)(c)]</w:t>
      </w:r>
    </w:p>
    <w:p w:rsidR="009149CF" w:rsidRPr="00F82C8D" w:rsidRDefault="00C538B1" w:rsidP="009149CF">
      <w:pPr>
        <w:pStyle w:val="Heading3"/>
      </w:pPr>
      <w:r w:rsidRPr="00F82C8D">
        <w:t xml:space="preserve">Section 43: </w:t>
      </w:r>
      <w:r w:rsidR="009149CF" w:rsidRPr="00F82C8D">
        <w:t>Further information</w:t>
      </w:r>
    </w:p>
    <w:p w:rsidR="009149CF" w:rsidRPr="00F82C8D" w:rsidRDefault="009149CF" w:rsidP="00625D31">
      <w:pPr>
        <w:pStyle w:val="ListParagraph"/>
        <w:rPr>
          <w:b/>
        </w:rPr>
      </w:pPr>
      <w:r w:rsidRPr="00F82C8D">
        <w:t xml:space="preserve">The Regulator may </w:t>
      </w:r>
      <w:r w:rsidR="00DC68B8" w:rsidRPr="00F82C8D">
        <w:t>require</w:t>
      </w:r>
      <w:r w:rsidRPr="00F82C8D">
        <w:t xml:space="preserve"> the applicant to provide further information in connection with the application. Such a request is made in writing and will specify a due date for the applicant to provide the </w:t>
      </w:r>
      <w:r w:rsidR="00DC68B8" w:rsidRPr="00F82C8D">
        <w:t>required</w:t>
      </w:r>
      <w:r w:rsidRPr="00F82C8D">
        <w:t xml:space="preserve"> information. </w:t>
      </w:r>
      <w:r w:rsidRPr="00F82C8D">
        <w:rPr>
          <w:b/>
          <w:i/>
          <w:sz w:val="20"/>
        </w:rPr>
        <w:t>[</w:t>
      </w:r>
      <w:r w:rsidR="00BD39BF" w:rsidRPr="00F82C8D">
        <w:rPr>
          <w:b/>
          <w:i/>
          <w:sz w:val="20"/>
        </w:rPr>
        <w:t>subsection 43</w:t>
      </w:r>
      <w:r w:rsidRPr="00F82C8D">
        <w:rPr>
          <w:b/>
          <w:i/>
          <w:sz w:val="20"/>
        </w:rPr>
        <w:t>(1)]</w:t>
      </w:r>
      <w:r w:rsidRPr="00F82C8D">
        <w:t xml:space="preserve"> </w:t>
      </w:r>
    </w:p>
    <w:p w:rsidR="009149CF" w:rsidRPr="00F82C8D" w:rsidRDefault="009149CF" w:rsidP="0051382B">
      <w:pPr>
        <w:pStyle w:val="Quote"/>
        <w:rPr>
          <w:b/>
        </w:rPr>
      </w:pPr>
      <w:r w:rsidRPr="00F82C8D">
        <w:t xml:space="preserve">For example, the Regulator may require an applicant to provide further information to support </w:t>
      </w:r>
      <w:r w:rsidR="00BD39BF" w:rsidRPr="00F82C8D">
        <w:t>the</w:t>
      </w:r>
      <w:r w:rsidRPr="00F82C8D">
        <w:t xml:space="preserve"> quantities of production </w:t>
      </w:r>
      <w:r w:rsidR="00BD39BF" w:rsidRPr="00F82C8D">
        <w:t xml:space="preserve">variables </w:t>
      </w:r>
      <w:r w:rsidRPr="00F82C8D">
        <w:t>given in the application.</w:t>
      </w:r>
    </w:p>
    <w:p w:rsidR="009149CF" w:rsidRPr="00F82C8D" w:rsidRDefault="009149CF" w:rsidP="00625D31">
      <w:pPr>
        <w:pStyle w:val="ListParagraph"/>
      </w:pPr>
      <w:r w:rsidRPr="00F82C8D">
        <w:t xml:space="preserve">The consequence of the applicant not complying with the Regulator’s request for further information is that the Regulator may refuse to consider the application or refuse to take any further action in relation to the application. </w:t>
      </w:r>
      <w:r w:rsidRPr="00F82C8D">
        <w:rPr>
          <w:b/>
          <w:i/>
          <w:sz w:val="20"/>
        </w:rPr>
        <w:t>[</w:t>
      </w:r>
      <w:r w:rsidR="00BD39BF" w:rsidRPr="00F82C8D">
        <w:rPr>
          <w:b/>
          <w:i/>
          <w:sz w:val="20"/>
        </w:rPr>
        <w:t>subsection 43</w:t>
      </w:r>
      <w:r w:rsidRPr="00F82C8D">
        <w:rPr>
          <w:b/>
          <w:i/>
          <w:sz w:val="20"/>
        </w:rPr>
        <w:t>(2)]</w:t>
      </w:r>
      <w:r w:rsidRPr="00F82C8D">
        <w:t xml:space="preserve"> This</w:t>
      </w:r>
      <w:r w:rsidRPr="00F82C8D">
        <w:rPr>
          <w:i/>
        </w:rPr>
        <w:t xml:space="preserve"> </w:t>
      </w:r>
      <w:r w:rsidRPr="00F82C8D">
        <w:t>does not prevent another application being submitted, provided they comply with the requirements set out in section</w:t>
      </w:r>
      <w:r w:rsidR="00BD39BF" w:rsidRPr="00F82C8D">
        <w:t xml:space="preserve"> 41</w:t>
      </w:r>
      <w:r w:rsidRPr="00F82C8D">
        <w:t>.</w:t>
      </w:r>
    </w:p>
    <w:p w:rsidR="009149CF" w:rsidRPr="00F82C8D" w:rsidRDefault="00C538B1" w:rsidP="009149CF">
      <w:pPr>
        <w:pStyle w:val="Heading3"/>
      </w:pPr>
      <w:r w:rsidRPr="00F82C8D">
        <w:t xml:space="preserve">Section 44: </w:t>
      </w:r>
      <w:r w:rsidR="009149CF" w:rsidRPr="00F82C8D">
        <w:t xml:space="preserve">Making of </w:t>
      </w:r>
      <w:r w:rsidR="00BD39BF" w:rsidRPr="00F82C8D">
        <w:t>production</w:t>
      </w:r>
      <w:r w:rsidR="009149CF" w:rsidRPr="00F82C8D">
        <w:t>-</w:t>
      </w:r>
      <w:r w:rsidR="00BD39BF" w:rsidRPr="00F82C8D">
        <w:t>adjusted</w:t>
      </w:r>
      <w:r w:rsidR="009149CF" w:rsidRPr="00F82C8D">
        <w:t xml:space="preserve"> baseline determination</w:t>
      </w:r>
    </w:p>
    <w:p w:rsidR="009149CF" w:rsidRPr="00F82C8D" w:rsidRDefault="009149CF" w:rsidP="009149CF">
      <w:pPr>
        <w:pStyle w:val="Heading4"/>
        <w:rPr>
          <w:lang w:val="en-AU"/>
        </w:rPr>
      </w:pPr>
      <w:r w:rsidRPr="00F82C8D">
        <w:rPr>
          <w:lang w:val="en-AU"/>
        </w:rPr>
        <w:t>Scope</w:t>
      </w:r>
    </w:p>
    <w:p w:rsidR="009149CF" w:rsidRPr="00F82C8D" w:rsidRDefault="009149CF" w:rsidP="00625D31">
      <w:pPr>
        <w:pStyle w:val="ListParagraph"/>
      </w:pPr>
      <w:r w:rsidRPr="00F82C8D">
        <w:t xml:space="preserve">The making of a </w:t>
      </w:r>
      <w:r w:rsidR="00D74B0D" w:rsidRPr="00F82C8D">
        <w:t>production-adjusted</w:t>
      </w:r>
      <w:r w:rsidRPr="00F82C8D">
        <w:t xml:space="preserve"> baseline de</w:t>
      </w:r>
      <w:r w:rsidR="00D74B0D" w:rsidRPr="00F82C8D">
        <w:t xml:space="preserve">termination is in response to an </w:t>
      </w:r>
      <w:r w:rsidRPr="00F82C8D">
        <w:t xml:space="preserve">application submitted to the Regulator. </w:t>
      </w:r>
      <w:r w:rsidR="00D74B0D" w:rsidRPr="00F82C8D">
        <w:rPr>
          <w:b/>
          <w:i/>
          <w:sz w:val="20"/>
        </w:rPr>
        <w:t>[subsection 44</w:t>
      </w:r>
      <w:r w:rsidRPr="00F82C8D">
        <w:rPr>
          <w:b/>
          <w:i/>
          <w:sz w:val="20"/>
        </w:rPr>
        <w:t>(1)]</w:t>
      </w:r>
    </w:p>
    <w:p w:rsidR="009149CF" w:rsidRPr="00F82C8D" w:rsidRDefault="009149CF" w:rsidP="009149CF">
      <w:pPr>
        <w:pStyle w:val="Heading4"/>
      </w:pPr>
      <w:r w:rsidRPr="00F82C8D">
        <w:t>Determination</w:t>
      </w:r>
    </w:p>
    <w:p w:rsidR="009149CF" w:rsidRPr="00F82C8D" w:rsidRDefault="00C538B1" w:rsidP="00625D31">
      <w:pPr>
        <w:pStyle w:val="ListParagraph"/>
      </w:pPr>
      <w:r w:rsidRPr="00F82C8D">
        <w:t xml:space="preserve">As with the making of </w:t>
      </w:r>
      <w:r w:rsidR="00143D12" w:rsidRPr="00F82C8D">
        <w:t xml:space="preserve">a </w:t>
      </w:r>
      <w:r w:rsidRPr="00F82C8D">
        <w:t>calculated-emissions baseline det</w:t>
      </w:r>
      <w:r w:rsidR="00143D12" w:rsidRPr="00F82C8D">
        <w:t>ermination</w:t>
      </w:r>
      <w:r w:rsidRPr="00F82C8D">
        <w:t xml:space="preserve"> and </w:t>
      </w:r>
      <w:r w:rsidR="00143D12" w:rsidRPr="00F82C8D">
        <w:t xml:space="preserve">a </w:t>
      </w:r>
      <w:r w:rsidRPr="00F82C8D">
        <w:t>benchmark-e</w:t>
      </w:r>
      <w:r w:rsidR="00143D12" w:rsidRPr="00F82C8D">
        <w:t>missions baseline determination</w:t>
      </w:r>
      <w:r w:rsidRPr="00F82C8D">
        <w:t>, t</w:t>
      </w:r>
      <w:r w:rsidR="009149CF" w:rsidRPr="00F82C8D">
        <w:t xml:space="preserve">he Regulator may make a </w:t>
      </w:r>
      <w:r w:rsidR="003F198C" w:rsidRPr="00F82C8D">
        <w:t xml:space="preserve">production-adjusted </w:t>
      </w:r>
      <w:r w:rsidR="00143D12" w:rsidRPr="00F82C8D">
        <w:t xml:space="preserve">baseline determination </w:t>
      </w:r>
      <w:r w:rsidR="009149CF" w:rsidRPr="00F82C8D">
        <w:t>provided that</w:t>
      </w:r>
      <w:r w:rsidR="00143D12" w:rsidRPr="00F82C8D">
        <w:t xml:space="preserve"> it</w:t>
      </w:r>
      <w:r w:rsidR="009149CF" w:rsidRPr="00F82C8D">
        <w:t xml:space="preserve"> is satisfied with a number of matters. </w:t>
      </w:r>
      <w:r w:rsidR="00D74B0D" w:rsidRPr="00F82C8D">
        <w:rPr>
          <w:b/>
          <w:i/>
          <w:sz w:val="20"/>
        </w:rPr>
        <w:t>[subsection 44</w:t>
      </w:r>
      <w:r w:rsidR="009149CF" w:rsidRPr="00F82C8D">
        <w:rPr>
          <w:b/>
          <w:i/>
          <w:sz w:val="20"/>
        </w:rPr>
        <w:t>(2)]</w:t>
      </w:r>
      <w:r w:rsidR="009149CF" w:rsidRPr="00F82C8D">
        <w:t xml:space="preserve"> These matters are:</w:t>
      </w:r>
    </w:p>
    <w:p w:rsidR="009149CF" w:rsidRPr="00F82C8D" w:rsidRDefault="009149CF" w:rsidP="002E625A">
      <w:pPr>
        <w:pStyle w:val="ListBullet"/>
      </w:pPr>
      <w:r w:rsidRPr="00F82C8D">
        <w:t>the audit report accompanyi</w:t>
      </w:r>
      <w:r w:rsidR="003F198C" w:rsidRPr="00F82C8D">
        <w:t xml:space="preserve">ng the application contains a </w:t>
      </w:r>
      <w:r w:rsidRPr="00F82C8D">
        <w:t xml:space="preserve">reasonable </w:t>
      </w:r>
      <w:r w:rsidR="003F198C" w:rsidRPr="00F82C8D">
        <w:t xml:space="preserve">assurance conclusion or a qualified reasonable assurance conclusion </w:t>
      </w:r>
      <w:r w:rsidRPr="00F82C8D">
        <w:rPr>
          <w:b/>
          <w:i/>
          <w:sz w:val="20"/>
        </w:rPr>
        <w:t>[</w:t>
      </w:r>
      <w:r w:rsidR="003F198C" w:rsidRPr="00F82C8D">
        <w:rPr>
          <w:b/>
          <w:i/>
          <w:sz w:val="20"/>
        </w:rPr>
        <w:t>paragraph 44(2)(a)</w:t>
      </w:r>
      <w:r w:rsidRPr="00F82C8D">
        <w:rPr>
          <w:b/>
          <w:i/>
          <w:sz w:val="20"/>
        </w:rPr>
        <w:t>]</w:t>
      </w:r>
    </w:p>
    <w:p w:rsidR="00552B33" w:rsidRPr="00F82C8D" w:rsidRDefault="003F198C">
      <w:pPr>
        <w:pStyle w:val="ListBullet"/>
      </w:pPr>
      <w:r w:rsidRPr="00F82C8D">
        <w:t xml:space="preserve">if relevant, the </w:t>
      </w:r>
      <w:r w:rsidR="009149CF" w:rsidRPr="00F82C8D">
        <w:t>criteria</w:t>
      </w:r>
      <w:r w:rsidRPr="00F82C8D">
        <w:t xml:space="preserve"> specified in paragraph 40(1)(b) have been met, which relate to a facility that has not had a baseline determination previously but meets or met in the past the new facility </w:t>
      </w:r>
      <w:r w:rsidR="00893FB8" w:rsidRPr="00F82C8D">
        <w:t>criteria</w:t>
      </w:r>
      <w:r w:rsidRPr="00F82C8D">
        <w:t xml:space="preserve"> for a </w:t>
      </w:r>
      <w:r w:rsidR="00AE6DBE" w:rsidRPr="00F82C8D">
        <w:t>benchmark-emissions</w:t>
      </w:r>
      <w:r w:rsidRPr="00F82C8D">
        <w:t xml:space="preserve"> baseline determination </w:t>
      </w:r>
      <w:r w:rsidR="009149CF" w:rsidRPr="00F82C8D">
        <w:rPr>
          <w:b/>
          <w:i/>
          <w:sz w:val="20"/>
        </w:rPr>
        <w:t>[paragraph </w:t>
      </w:r>
      <w:r w:rsidRPr="00F82C8D">
        <w:rPr>
          <w:b/>
          <w:i/>
          <w:sz w:val="20"/>
        </w:rPr>
        <w:t>44(2)(b</w:t>
      </w:r>
      <w:r w:rsidR="009149CF" w:rsidRPr="00F82C8D">
        <w:rPr>
          <w:b/>
          <w:i/>
          <w:sz w:val="20"/>
        </w:rPr>
        <w:t>)]</w:t>
      </w:r>
    </w:p>
    <w:p w:rsidR="00552B33" w:rsidRPr="00F82C8D" w:rsidRDefault="009149CF">
      <w:pPr>
        <w:pStyle w:val="ListBullet"/>
      </w:pPr>
      <w:r w:rsidRPr="00F82C8D">
        <w:t>the production variables used in the application are</w:t>
      </w:r>
      <w:r w:rsidR="00D74B0D" w:rsidRPr="00F82C8D">
        <w:t xml:space="preserve"> consistent with the previous calculated-emissions baseline determination or</w:t>
      </w:r>
      <w:r w:rsidRPr="00F82C8D">
        <w:t xml:space="preserve"> </w:t>
      </w:r>
      <w:r w:rsidR="00D74B0D" w:rsidRPr="00F82C8D">
        <w:t xml:space="preserve">otherwise relevant to the facility, </w:t>
      </w:r>
      <w:r w:rsidRPr="00F82C8D">
        <w:t>and quantities are measured in the</w:t>
      </w:r>
      <w:r w:rsidR="003F198C" w:rsidRPr="00F82C8D">
        <w:t xml:space="preserve"> required units and way</w:t>
      </w:r>
      <w:r w:rsidR="00D74B0D" w:rsidRPr="00F82C8D">
        <w:t>.</w:t>
      </w:r>
      <w:r w:rsidR="003F198C" w:rsidRPr="00F82C8D">
        <w:t xml:space="preserve"> </w:t>
      </w:r>
      <w:r w:rsidRPr="00F82C8D">
        <w:rPr>
          <w:b/>
          <w:i/>
          <w:sz w:val="20"/>
        </w:rPr>
        <w:t>[</w:t>
      </w:r>
      <w:r w:rsidR="003F198C" w:rsidRPr="00F82C8D">
        <w:rPr>
          <w:b/>
          <w:i/>
          <w:sz w:val="20"/>
        </w:rPr>
        <w:t>paragraph 44(2)(c</w:t>
      </w:r>
      <w:r w:rsidRPr="00F82C8D">
        <w:rPr>
          <w:b/>
          <w:i/>
          <w:sz w:val="20"/>
        </w:rPr>
        <w:t>)]</w:t>
      </w:r>
    </w:p>
    <w:p w:rsidR="009149CF" w:rsidRPr="00F82C8D" w:rsidRDefault="009149CF" w:rsidP="009149CF">
      <w:pPr>
        <w:pStyle w:val="Heading4"/>
      </w:pPr>
      <w:r w:rsidRPr="00F82C8D">
        <w:t>Baseline emissions number</w:t>
      </w:r>
    </w:p>
    <w:p w:rsidR="009149CF" w:rsidRPr="00F82C8D" w:rsidRDefault="009149CF" w:rsidP="00625D31">
      <w:pPr>
        <w:pStyle w:val="ListParagraph"/>
      </w:pPr>
      <w:r w:rsidRPr="00F82C8D">
        <w:t>If the application</w:t>
      </w:r>
      <w:r w:rsidR="003F198C" w:rsidRPr="00F82C8D">
        <w:t xml:space="preserve"> has been made following the expiry of a </w:t>
      </w:r>
      <w:r w:rsidR="005839C5" w:rsidRPr="00F82C8D">
        <w:t>calculated-emissions</w:t>
      </w:r>
      <w:r w:rsidR="003F198C" w:rsidRPr="00F82C8D">
        <w:t xml:space="preserve"> baseline determination</w:t>
      </w:r>
      <w:r w:rsidRPr="00F82C8D">
        <w:t xml:space="preserve">, then the baseline emissions number that is specified in the baseline determination is the </w:t>
      </w:r>
      <w:r w:rsidR="00576351" w:rsidRPr="00F82C8D">
        <w:t xml:space="preserve">tonnes of carbon dioxide equivalence </w:t>
      </w:r>
      <w:r w:rsidRPr="00F82C8D">
        <w:t xml:space="preserve">calculated by multiplying the quantity of a production variable with </w:t>
      </w:r>
      <w:r w:rsidR="003F198C" w:rsidRPr="00F82C8D">
        <w:t>the corresponding</w:t>
      </w:r>
      <w:r w:rsidRPr="00F82C8D">
        <w:t xml:space="preserve"> </w:t>
      </w:r>
      <w:r w:rsidR="00BB7C53" w:rsidRPr="00F82C8D">
        <w:t>emissions intens</w:t>
      </w:r>
      <w:r w:rsidRPr="00F82C8D">
        <w:t xml:space="preserve">ity </w:t>
      </w:r>
      <w:r w:rsidR="003F198C" w:rsidRPr="00F82C8D">
        <w:t xml:space="preserve">that was used for calculating the previous </w:t>
      </w:r>
      <w:r w:rsidR="0025271B" w:rsidRPr="00F82C8D">
        <w:t xml:space="preserve">calculated-emissions </w:t>
      </w:r>
      <w:r w:rsidR="003F198C" w:rsidRPr="00F82C8D">
        <w:t xml:space="preserve">baseline </w:t>
      </w:r>
      <w:r w:rsidRPr="00F82C8D">
        <w:t xml:space="preserve">and summing the results if there is more than one production variable. </w:t>
      </w:r>
      <w:r w:rsidRPr="00F82C8D">
        <w:rPr>
          <w:b/>
          <w:i/>
          <w:sz w:val="20"/>
        </w:rPr>
        <w:t>[</w:t>
      </w:r>
      <w:r w:rsidR="003F198C" w:rsidRPr="00F82C8D">
        <w:rPr>
          <w:b/>
          <w:i/>
          <w:sz w:val="20"/>
        </w:rPr>
        <w:t>paragraph 44</w:t>
      </w:r>
      <w:r w:rsidRPr="00F82C8D">
        <w:rPr>
          <w:b/>
          <w:i/>
          <w:sz w:val="20"/>
        </w:rPr>
        <w:t>(3)(a)]</w:t>
      </w:r>
      <w:r w:rsidRPr="00F82C8D">
        <w:t xml:space="preserve"> </w:t>
      </w:r>
      <w:r w:rsidR="0025271B" w:rsidRPr="00F82C8D">
        <w:t xml:space="preserve">The quantity of the production variables is determined for the financial year that had the highest production of the primary production variable over the production assessment period. </w:t>
      </w:r>
      <w:r w:rsidR="0025271B" w:rsidRPr="00F82C8D">
        <w:rPr>
          <w:b/>
          <w:i/>
          <w:sz w:val="20"/>
        </w:rPr>
        <w:t>[subparagraph 41(1)(a)(i)]</w:t>
      </w:r>
    </w:p>
    <w:p w:rsidR="003F198C" w:rsidRPr="00F82C8D" w:rsidRDefault="00893FB8" w:rsidP="00625D31">
      <w:pPr>
        <w:pStyle w:val="ListParagraph"/>
      </w:pPr>
      <w:r w:rsidRPr="00F82C8D">
        <w:t xml:space="preserve">If the application is submitted following the expiry of a benchmark-emissions baseline determination that was made based on the facility meeting the new facility criteria, or there was no previous determination but the facility meets or would have met the new facility criteria, then the baseline emissions number that is specified in the baseline determination is the </w:t>
      </w:r>
      <w:r w:rsidR="00576351" w:rsidRPr="00F82C8D">
        <w:t xml:space="preserve">tonnes of carbon dioxide equivalence </w:t>
      </w:r>
      <w:r w:rsidRPr="00F82C8D">
        <w:t xml:space="preserve">calculated by multiplying the quantity of a production variable with its relevant benchmark </w:t>
      </w:r>
      <w:r w:rsidR="00BB7C53" w:rsidRPr="00F82C8D">
        <w:t>emissions intens</w:t>
      </w:r>
      <w:r w:rsidRPr="00F82C8D">
        <w:t>ity and summing the results if there is more than one production variable.</w:t>
      </w:r>
      <w:r w:rsidRPr="00F82C8D">
        <w:rPr>
          <w:b/>
          <w:i/>
          <w:sz w:val="20"/>
        </w:rPr>
        <w:t xml:space="preserve"> </w:t>
      </w:r>
      <w:r w:rsidR="003F198C" w:rsidRPr="00F82C8D">
        <w:rPr>
          <w:b/>
          <w:i/>
          <w:sz w:val="20"/>
        </w:rPr>
        <w:t>[paragraph 44</w:t>
      </w:r>
      <w:r w:rsidR="00F65F55" w:rsidRPr="00F82C8D">
        <w:rPr>
          <w:b/>
          <w:i/>
          <w:sz w:val="20"/>
        </w:rPr>
        <w:t>(3)(b</w:t>
      </w:r>
      <w:r w:rsidR="003F198C" w:rsidRPr="00F82C8D">
        <w:rPr>
          <w:b/>
          <w:i/>
          <w:sz w:val="20"/>
        </w:rPr>
        <w:t>)]</w:t>
      </w:r>
      <w:r w:rsidR="003F198C" w:rsidRPr="00F82C8D">
        <w:t xml:space="preserve"> </w:t>
      </w:r>
      <w:r w:rsidR="0025271B" w:rsidRPr="00F82C8D">
        <w:t xml:space="preserve">The quantity of the production variables is determined for the financial year that had the highest production of the primary production variable over the production assessment period. </w:t>
      </w:r>
      <w:r w:rsidR="0025271B" w:rsidRPr="00F82C8D">
        <w:rPr>
          <w:b/>
          <w:i/>
          <w:sz w:val="20"/>
        </w:rPr>
        <w:t>[subparagraph 41(1)(a)(i)]</w:t>
      </w:r>
    </w:p>
    <w:p w:rsidR="009149CF" w:rsidRPr="00F82C8D" w:rsidRDefault="003A74E8" w:rsidP="00625D31">
      <w:pPr>
        <w:pStyle w:val="ListParagraph"/>
      </w:pPr>
      <w:r w:rsidRPr="00F82C8D">
        <w:t xml:space="preserve">If the application is submitted following the expiry of a </w:t>
      </w:r>
      <w:r w:rsidR="00AE6DBE" w:rsidRPr="00F82C8D">
        <w:t>benchmark-emissions</w:t>
      </w:r>
      <w:r w:rsidRPr="00F82C8D">
        <w:t xml:space="preserve"> baseline determination that was made based on the facility meeting the significant expansion criteria, then the</w:t>
      </w:r>
      <w:r w:rsidR="009149CF" w:rsidRPr="00F82C8D">
        <w:t xml:space="preserve"> baseline emissions number is the </w:t>
      </w:r>
      <w:r w:rsidR="00576351" w:rsidRPr="00F82C8D">
        <w:t xml:space="preserve">tonnes of carbon dioxide equivalence </w:t>
      </w:r>
      <w:r w:rsidR="008E5CAD" w:rsidRPr="00F82C8D">
        <w:t>calculated by:</w:t>
      </w:r>
    </w:p>
    <w:p w:rsidR="009149CF" w:rsidRPr="00F82C8D" w:rsidRDefault="009149CF" w:rsidP="002E625A">
      <w:pPr>
        <w:pStyle w:val="ListBullet"/>
      </w:pPr>
      <w:r w:rsidRPr="00F82C8D">
        <w:t xml:space="preserve">multiplying the quantity of change in production of a production variable with its relevant benchmark </w:t>
      </w:r>
      <w:r w:rsidR="00BB7C53" w:rsidRPr="00F82C8D">
        <w:t>emissions intens</w:t>
      </w:r>
      <w:r w:rsidRPr="00F82C8D">
        <w:t>ity and summing the results if there is more than one production variable</w:t>
      </w:r>
    </w:p>
    <w:p w:rsidR="00552B33" w:rsidRPr="00F82C8D" w:rsidRDefault="009149CF">
      <w:pPr>
        <w:pStyle w:val="ListBullet"/>
      </w:pPr>
      <w:r w:rsidRPr="00F82C8D">
        <w:t>summing this value to either</w:t>
      </w:r>
    </w:p>
    <w:p w:rsidR="00552B33" w:rsidRPr="00F82C8D" w:rsidRDefault="009149CF">
      <w:pPr>
        <w:pStyle w:val="ListBullet"/>
      </w:pPr>
      <w:r w:rsidRPr="00F82C8D">
        <w:t xml:space="preserve">the baseline emissions number in a </w:t>
      </w:r>
      <w:r w:rsidR="00D1543C" w:rsidRPr="00F82C8D">
        <w:t>reported-emissions</w:t>
      </w:r>
      <w:r w:rsidRPr="00F82C8D">
        <w:t xml:space="preserve"> baseline determination or production-adjusted baseline determination that would otherwise apply in the first year of the </w:t>
      </w:r>
      <w:r w:rsidR="00AE6DBE" w:rsidRPr="00F82C8D">
        <w:t>benchmark-emissions</w:t>
      </w:r>
      <w:r w:rsidRPr="00F82C8D">
        <w:t xml:space="preserve"> baseline determination, or</w:t>
      </w:r>
    </w:p>
    <w:p w:rsidR="00552B33" w:rsidRPr="00F82C8D" w:rsidRDefault="009149CF">
      <w:pPr>
        <w:pStyle w:val="ListBullet"/>
      </w:pPr>
      <w:r w:rsidRPr="00F82C8D">
        <w:t xml:space="preserve">if a baseline </w:t>
      </w:r>
      <w:r w:rsidR="0087664A" w:rsidRPr="00F82C8D">
        <w:t>emissions number</w:t>
      </w:r>
      <w:r w:rsidRPr="00F82C8D">
        <w:t xml:space="preserve"> applies because of paragraph 10(b)—the lesser of 100,000 t CO</w:t>
      </w:r>
      <w:r w:rsidR="00E073C6" w:rsidRPr="00F82C8D">
        <w:rPr>
          <w:vertAlign w:val="subscript"/>
        </w:rPr>
        <w:t>2</w:t>
      </w:r>
      <w:r w:rsidR="00E073C6" w:rsidRPr="00F82C8D">
        <w:t>-</w:t>
      </w:r>
      <w:r w:rsidRPr="00F82C8D">
        <w:t>e and the covered emissions of the facility in the financial year used in paragraph 35(2)(c)</w:t>
      </w:r>
      <w:r w:rsidR="0025271B" w:rsidRPr="00F82C8D">
        <w:t xml:space="preserve">, </w:t>
      </w:r>
      <w:r w:rsidRPr="00F82C8D">
        <w:rPr>
          <w:b/>
          <w:i/>
          <w:sz w:val="20"/>
        </w:rPr>
        <w:t>[</w:t>
      </w:r>
      <w:r w:rsidR="003A74E8" w:rsidRPr="00F82C8D">
        <w:rPr>
          <w:b/>
          <w:i/>
          <w:sz w:val="20"/>
        </w:rPr>
        <w:t>paragraph 44(3)(c</w:t>
      </w:r>
      <w:r w:rsidRPr="00F82C8D">
        <w:rPr>
          <w:b/>
          <w:i/>
          <w:sz w:val="20"/>
        </w:rPr>
        <w:t>)]</w:t>
      </w:r>
      <w:r w:rsidR="0025271B" w:rsidRPr="00F82C8D">
        <w:t xml:space="preserve"> which is from a financial year in the three years before the new equipment associated with the significant expansion is installed.</w:t>
      </w:r>
    </w:p>
    <w:p w:rsidR="0025271B" w:rsidRPr="00F82C8D" w:rsidRDefault="00E64FF1" w:rsidP="0025271B">
      <w:pPr>
        <w:pStyle w:val="Quote"/>
      </w:pPr>
      <w:r w:rsidRPr="00F82C8D">
        <w:t xml:space="preserve">For example, a facility producing ammonia and ammonium nitrate has a baseline emissions number of 150,000 </w:t>
      </w:r>
      <w:r w:rsidR="005F264E" w:rsidRPr="00F82C8D">
        <w:t>t CO</w:t>
      </w:r>
      <w:r w:rsidR="00E073C6" w:rsidRPr="00F82C8D">
        <w:rPr>
          <w:vertAlign w:val="subscript"/>
        </w:rPr>
        <w:t>2</w:t>
      </w:r>
      <w:r w:rsidR="00E073C6" w:rsidRPr="00F82C8D">
        <w:t>-</w:t>
      </w:r>
      <w:r w:rsidR="005F264E" w:rsidRPr="00F82C8D">
        <w:t xml:space="preserve">e </w:t>
      </w:r>
      <w:r w:rsidRPr="00F82C8D">
        <w:t>from a reported-emissions baseline determination. It qualifies for a significant expansion benchmark-emissions base</w:t>
      </w:r>
      <w:r w:rsidR="005F264E" w:rsidRPr="00F82C8D">
        <w:t>line determination based</w:t>
      </w:r>
      <w:r w:rsidR="0025271B" w:rsidRPr="00F82C8D">
        <w:t xml:space="preserve"> on installing new plant and equipment that increases the maximum productive capacity of ammonia by more than 20 per cent. The </w:t>
      </w:r>
      <w:r w:rsidR="0025271B" w:rsidRPr="00F82C8D">
        <w:rPr>
          <w:i/>
        </w:rPr>
        <w:t>estimated</w:t>
      </w:r>
      <w:r w:rsidR="0025271B" w:rsidRPr="00F82C8D">
        <w:t xml:space="preserve"> change in production resulting from the significant expansion was</w:t>
      </w:r>
      <w:r w:rsidR="005F264E" w:rsidRPr="00F82C8D">
        <w:t xml:space="preserve"> an increase </w:t>
      </w:r>
      <w:r w:rsidRPr="00F82C8D">
        <w:t>in the production of ammonia</w:t>
      </w:r>
      <w:r w:rsidR="00E850BC" w:rsidRPr="00F82C8D">
        <w:t xml:space="preserve"> </w:t>
      </w:r>
      <w:r w:rsidR="005F264E" w:rsidRPr="00F82C8D">
        <w:t>by</w:t>
      </w:r>
      <w:r w:rsidR="00E850BC" w:rsidRPr="00F82C8D">
        <w:t xml:space="preserve"> 15,000 tonnes and a decrease in the </w:t>
      </w:r>
      <w:r w:rsidRPr="00F82C8D">
        <w:t>production of ammonium nitrate by 5,000 tonnes</w:t>
      </w:r>
      <w:r w:rsidR="00E850BC" w:rsidRPr="00F82C8D">
        <w:t xml:space="preserve"> (with the</w:t>
      </w:r>
      <w:r w:rsidRPr="00F82C8D">
        <w:t xml:space="preserve"> benchmarks </w:t>
      </w:r>
      <w:r w:rsidR="00E850BC" w:rsidRPr="00F82C8D">
        <w:t>as</w:t>
      </w:r>
      <w:r w:rsidRPr="00F82C8D">
        <w:t xml:space="preserve"> 1.5 t CO</w:t>
      </w:r>
      <w:r w:rsidR="00E073C6" w:rsidRPr="00F82C8D">
        <w:rPr>
          <w:vertAlign w:val="subscript"/>
        </w:rPr>
        <w:t>2</w:t>
      </w:r>
      <w:r w:rsidR="00E073C6" w:rsidRPr="00F82C8D">
        <w:t>-</w:t>
      </w:r>
      <w:r w:rsidRPr="00F82C8D">
        <w:t>e per tonne of ammonia and 2 t CO</w:t>
      </w:r>
      <w:r w:rsidR="00E073C6" w:rsidRPr="00F82C8D">
        <w:rPr>
          <w:vertAlign w:val="subscript"/>
        </w:rPr>
        <w:t>2</w:t>
      </w:r>
      <w:r w:rsidR="00E073C6" w:rsidRPr="00F82C8D">
        <w:t>-</w:t>
      </w:r>
      <w:r w:rsidRPr="00F82C8D">
        <w:t xml:space="preserve">e per tonne of </w:t>
      </w:r>
      <w:r w:rsidR="00893FB8" w:rsidRPr="00F82C8D">
        <w:t>ammonia</w:t>
      </w:r>
      <w:r w:rsidRPr="00F82C8D">
        <w:t xml:space="preserve"> nitrate</w:t>
      </w:r>
      <w:r w:rsidR="00E850BC" w:rsidRPr="00F82C8D">
        <w:t xml:space="preserve">). </w:t>
      </w:r>
      <w:r w:rsidR="0025271B" w:rsidRPr="00F82C8D">
        <w:t>T</w:t>
      </w:r>
      <w:r w:rsidR="00E850BC" w:rsidRPr="00F82C8D">
        <w:t xml:space="preserve">he </w:t>
      </w:r>
      <w:r w:rsidR="00E850BC" w:rsidRPr="00F82C8D">
        <w:rPr>
          <w:i/>
        </w:rPr>
        <w:t>actual</w:t>
      </w:r>
      <w:r w:rsidR="00E850BC" w:rsidRPr="00F82C8D">
        <w:t xml:space="preserve"> change in production turned out to be an additional 20,000 tonnes of ammonia and a decrease of 1,000 tonnes of ammonium nitrate during the period of the benchmark-emissions baseline determination</w:t>
      </w:r>
      <w:r w:rsidR="005F264E" w:rsidRPr="00F82C8D">
        <w:t>. T</w:t>
      </w:r>
      <w:r w:rsidRPr="00F82C8D">
        <w:t xml:space="preserve">he baseline emissions number </w:t>
      </w:r>
      <w:r w:rsidR="005F264E" w:rsidRPr="00F82C8D">
        <w:t xml:space="preserve">in the production-adjusted baseline determination </w:t>
      </w:r>
      <w:r w:rsidR="0025271B" w:rsidRPr="00F82C8D">
        <w:t>would be (20,000 t ammonia × 1.5 t CO</w:t>
      </w:r>
      <w:r w:rsidR="0025271B" w:rsidRPr="00F82C8D">
        <w:rPr>
          <w:vertAlign w:val="subscript"/>
        </w:rPr>
        <w:t>2</w:t>
      </w:r>
      <w:r w:rsidR="0025271B" w:rsidRPr="00F82C8D">
        <w:t>-e/t ammonia) + (-1,000 t ammonium nitrate × 2 t CO</w:t>
      </w:r>
      <w:r w:rsidR="0025271B" w:rsidRPr="00F82C8D">
        <w:rPr>
          <w:vertAlign w:val="subscript"/>
        </w:rPr>
        <w:t>2</w:t>
      </w:r>
      <w:r w:rsidR="0025271B" w:rsidRPr="00F82C8D">
        <w:t>-e/t ammonium nitrate) + 150,000 t CO</w:t>
      </w:r>
      <w:r w:rsidR="0025271B" w:rsidRPr="00F82C8D">
        <w:rPr>
          <w:vertAlign w:val="subscript"/>
        </w:rPr>
        <w:t>2</w:t>
      </w:r>
      <w:r w:rsidR="0025271B" w:rsidRPr="00F82C8D">
        <w:t>-e = 178,000 t CO</w:t>
      </w:r>
      <w:r w:rsidR="0025271B" w:rsidRPr="00F82C8D">
        <w:rPr>
          <w:vertAlign w:val="subscript"/>
        </w:rPr>
        <w:t>2</w:t>
      </w:r>
      <w:r w:rsidR="0025271B" w:rsidRPr="00F82C8D">
        <w:t>-e.</w:t>
      </w:r>
    </w:p>
    <w:p w:rsidR="006903B0" w:rsidRPr="00F82C8D" w:rsidRDefault="00C538B1" w:rsidP="00625D31">
      <w:pPr>
        <w:pStyle w:val="ListParagraph"/>
      </w:pPr>
      <w:r w:rsidRPr="00F82C8D">
        <w:t xml:space="preserve">It is generally expected that the Regulator will either </w:t>
      </w:r>
      <w:r w:rsidR="0025271B" w:rsidRPr="00F82C8D">
        <w:t xml:space="preserve">accept the application and </w:t>
      </w:r>
      <w:r w:rsidRPr="00F82C8D">
        <w:t xml:space="preserve">use the baseline emissions number provided in the application </w:t>
      </w:r>
      <w:r w:rsidR="0025271B" w:rsidRPr="00F82C8D">
        <w:t xml:space="preserve">to make the determination </w:t>
      </w:r>
      <w:r w:rsidRPr="00F82C8D">
        <w:t xml:space="preserve">or reject the application (with the potential for the responsible emitter to resubmit an application to address any calculation issues). </w:t>
      </w:r>
    </w:p>
    <w:p w:rsidR="009149CF" w:rsidRPr="00F82C8D" w:rsidRDefault="009149CF" w:rsidP="009149CF">
      <w:pPr>
        <w:pStyle w:val="Heading4"/>
      </w:pPr>
      <w:r w:rsidRPr="00F82C8D">
        <w:t>Timing</w:t>
      </w:r>
    </w:p>
    <w:p w:rsidR="009149CF" w:rsidRPr="00F82C8D" w:rsidRDefault="009149CF" w:rsidP="00625D31">
      <w:pPr>
        <w:pStyle w:val="ListParagraph"/>
      </w:pPr>
      <w:r w:rsidRPr="00F82C8D">
        <w:t xml:space="preserve">The Regulator will take all reasonable steps to make the determination within 60 days of receiving the application or if further information was </w:t>
      </w:r>
      <w:r w:rsidR="00DC68B8" w:rsidRPr="00F82C8D">
        <w:t>required</w:t>
      </w:r>
      <w:r w:rsidRPr="00F82C8D">
        <w:t xml:space="preserve">, then within 60 days of receiving the </w:t>
      </w:r>
      <w:r w:rsidR="00DC68B8" w:rsidRPr="00F82C8D">
        <w:t>required</w:t>
      </w:r>
      <w:r w:rsidRPr="00F82C8D">
        <w:t xml:space="preserve"> information from the applicant. The 60 days </w:t>
      </w:r>
      <w:r w:rsidR="006777A9" w:rsidRPr="00F82C8D">
        <w:t>are</w:t>
      </w:r>
      <w:r w:rsidRPr="00F82C8D">
        <w:t xml:space="preserve"> calendar days. </w:t>
      </w:r>
      <w:r w:rsidRPr="00F82C8D">
        <w:rPr>
          <w:b/>
          <w:i/>
          <w:sz w:val="20"/>
        </w:rPr>
        <w:t>[</w:t>
      </w:r>
      <w:r w:rsidR="003A74E8" w:rsidRPr="00F82C8D">
        <w:rPr>
          <w:b/>
          <w:i/>
          <w:sz w:val="20"/>
        </w:rPr>
        <w:t>subsection 44</w:t>
      </w:r>
      <w:r w:rsidRPr="00F82C8D">
        <w:rPr>
          <w:b/>
          <w:i/>
          <w:sz w:val="20"/>
        </w:rPr>
        <w:t>(4)]</w:t>
      </w:r>
    </w:p>
    <w:p w:rsidR="009149CF" w:rsidRPr="00F82C8D" w:rsidRDefault="009149CF" w:rsidP="009149CF">
      <w:pPr>
        <w:pStyle w:val="Heading4"/>
      </w:pPr>
      <w:r w:rsidRPr="00F82C8D">
        <w:t>Notification and publication</w:t>
      </w:r>
    </w:p>
    <w:p w:rsidR="009149CF" w:rsidRPr="00F82C8D" w:rsidRDefault="009149CF" w:rsidP="00625D31">
      <w:pPr>
        <w:pStyle w:val="ListParagraph"/>
      </w:pPr>
      <w:r w:rsidRPr="00F82C8D">
        <w:t xml:space="preserve">If the Regulator makes the </w:t>
      </w:r>
      <w:r w:rsidR="00AE6DBE" w:rsidRPr="00F82C8D">
        <w:t>benchmark-emissions</w:t>
      </w:r>
      <w:r w:rsidRPr="00F82C8D">
        <w:t xml:space="preserve"> baseline determination, then as soon as practicable the Regulator must notify the applicant in writing of the determination and publish details of the determination on its website. </w:t>
      </w:r>
      <w:r w:rsidRPr="00F82C8D">
        <w:rPr>
          <w:b/>
          <w:i/>
          <w:sz w:val="20"/>
        </w:rPr>
        <w:t>[</w:t>
      </w:r>
      <w:r w:rsidR="001E2900" w:rsidRPr="00F82C8D">
        <w:rPr>
          <w:b/>
          <w:i/>
          <w:sz w:val="20"/>
        </w:rPr>
        <w:t>subsection</w:t>
      </w:r>
      <w:r w:rsidR="00942D59" w:rsidRPr="00F82C8D">
        <w:rPr>
          <w:b/>
          <w:i/>
          <w:sz w:val="20"/>
        </w:rPr>
        <w:t xml:space="preserve"> </w:t>
      </w:r>
      <w:r w:rsidR="003A74E8" w:rsidRPr="00F82C8D">
        <w:rPr>
          <w:b/>
          <w:i/>
          <w:sz w:val="20"/>
        </w:rPr>
        <w:t>44</w:t>
      </w:r>
      <w:r w:rsidRPr="00F82C8D">
        <w:rPr>
          <w:b/>
          <w:i/>
          <w:sz w:val="20"/>
        </w:rPr>
        <w:t>(5)]</w:t>
      </w:r>
      <w:r w:rsidR="00942D59" w:rsidRPr="00F82C8D">
        <w:t xml:space="preserve"> </w:t>
      </w:r>
      <w:r w:rsidR="001E2900" w:rsidRPr="00F82C8D">
        <w:t>What is meant by determination details is defined in section 4 of the safeguard rule.</w:t>
      </w:r>
    </w:p>
    <w:p w:rsidR="009149CF" w:rsidRPr="00F82C8D" w:rsidRDefault="009149CF" w:rsidP="00625D31">
      <w:pPr>
        <w:pStyle w:val="ListParagraph"/>
      </w:pPr>
      <w:r w:rsidRPr="00F82C8D">
        <w:t xml:space="preserve">If the Regulator refuses to make the </w:t>
      </w:r>
      <w:r w:rsidR="00AE6DBE" w:rsidRPr="00F82C8D">
        <w:t>benchmark-emissions</w:t>
      </w:r>
      <w:r w:rsidRPr="00F82C8D">
        <w:t xml:space="preserve"> baseline determination applied for, then the Regulator must notify the applicant of this decision in writing. </w:t>
      </w:r>
      <w:r w:rsidR="003A74E8" w:rsidRPr="00F82C8D">
        <w:rPr>
          <w:b/>
          <w:i/>
          <w:sz w:val="20"/>
        </w:rPr>
        <w:t>[subsection 44</w:t>
      </w:r>
      <w:r w:rsidRPr="00F82C8D">
        <w:rPr>
          <w:b/>
          <w:i/>
          <w:sz w:val="20"/>
        </w:rPr>
        <w:t>(6)]</w:t>
      </w:r>
    </w:p>
    <w:p w:rsidR="009149CF" w:rsidRPr="00F82C8D" w:rsidRDefault="009149CF" w:rsidP="009149CF">
      <w:pPr>
        <w:pStyle w:val="Heading4"/>
      </w:pPr>
      <w:r w:rsidRPr="00F82C8D">
        <w:t>Rounding</w:t>
      </w:r>
    </w:p>
    <w:p w:rsidR="009149CF" w:rsidRPr="00F82C8D" w:rsidRDefault="009149CF" w:rsidP="00625D31">
      <w:pPr>
        <w:pStyle w:val="ListParagraph"/>
      </w:pPr>
      <w:r w:rsidRPr="00F82C8D">
        <w:t xml:space="preserve">The baseline emissions number must be rounded up or down to the nearest whole number, with numbers ending in ‘.5’ being rounded up </w:t>
      </w:r>
      <w:r w:rsidRPr="00F82C8D">
        <w:rPr>
          <w:b/>
          <w:i/>
          <w:sz w:val="20"/>
        </w:rPr>
        <w:t>[</w:t>
      </w:r>
      <w:r w:rsidR="003A74E8" w:rsidRPr="00F82C8D">
        <w:rPr>
          <w:b/>
          <w:i/>
          <w:sz w:val="20"/>
        </w:rPr>
        <w:t>subsection 44</w:t>
      </w:r>
      <w:r w:rsidRPr="00F82C8D">
        <w:rPr>
          <w:b/>
          <w:i/>
          <w:sz w:val="20"/>
        </w:rPr>
        <w:t>(7)]</w:t>
      </w:r>
      <w:r w:rsidRPr="00F82C8D">
        <w:t xml:space="preserve"> </w:t>
      </w:r>
    </w:p>
    <w:p w:rsidR="009149CF" w:rsidRPr="00F82C8D" w:rsidRDefault="00C538B1" w:rsidP="009149CF">
      <w:pPr>
        <w:pStyle w:val="Heading3"/>
        <w:rPr>
          <w:lang w:eastAsia="en-AU"/>
        </w:rPr>
      </w:pPr>
      <w:r w:rsidRPr="00F82C8D">
        <w:rPr>
          <w:lang w:eastAsia="en-AU"/>
        </w:rPr>
        <w:t xml:space="preserve">Section 45: </w:t>
      </w:r>
      <w:r w:rsidR="009149CF" w:rsidRPr="00F82C8D">
        <w:rPr>
          <w:lang w:eastAsia="en-AU"/>
        </w:rPr>
        <w:t xml:space="preserve">Duration of </w:t>
      </w:r>
      <w:r w:rsidR="003A74E8" w:rsidRPr="00F82C8D">
        <w:rPr>
          <w:lang w:eastAsia="en-AU"/>
        </w:rPr>
        <w:t>production-adjusted</w:t>
      </w:r>
      <w:r w:rsidR="009149CF" w:rsidRPr="00F82C8D">
        <w:rPr>
          <w:lang w:eastAsia="en-AU"/>
        </w:rPr>
        <w:t xml:space="preserve"> baseline determination</w:t>
      </w:r>
    </w:p>
    <w:p w:rsidR="009149CF" w:rsidRPr="00F82C8D" w:rsidRDefault="009149CF" w:rsidP="00625D31">
      <w:pPr>
        <w:pStyle w:val="ListParagraph"/>
      </w:pPr>
      <w:r w:rsidRPr="00F82C8D">
        <w:t>If a baselin</w:t>
      </w:r>
      <w:r w:rsidR="00B16281" w:rsidRPr="00F82C8D">
        <w:t>e determination is made within two</w:t>
      </w:r>
      <w:r w:rsidRPr="00F82C8D">
        <w:t xml:space="preserve"> year of the requested start date, then come</w:t>
      </w:r>
      <w:r w:rsidR="003A74E8" w:rsidRPr="00F82C8D">
        <w:t>s</w:t>
      </w:r>
      <w:r w:rsidRPr="00F82C8D">
        <w:t xml:space="preserve"> into force on the requested start date. </w:t>
      </w:r>
      <w:r w:rsidR="003A74E8" w:rsidRPr="00F82C8D">
        <w:rPr>
          <w:b/>
          <w:i/>
          <w:sz w:val="20"/>
        </w:rPr>
        <w:t>[subsection 45</w:t>
      </w:r>
      <w:r w:rsidRPr="00F82C8D">
        <w:rPr>
          <w:b/>
          <w:i/>
          <w:sz w:val="20"/>
        </w:rPr>
        <w:t>(1)]</w:t>
      </w:r>
      <w:r w:rsidRPr="00F82C8D">
        <w:t xml:space="preserve"> A determ</w:t>
      </w:r>
      <w:r w:rsidR="00B16281" w:rsidRPr="00F82C8D">
        <w:t xml:space="preserve">ination can be made more than two </w:t>
      </w:r>
      <w:r w:rsidRPr="00F82C8D">
        <w:t>year</w:t>
      </w:r>
      <w:r w:rsidR="00B16281" w:rsidRPr="00F82C8D">
        <w:t>s</w:t>
      </w:r>
      <w:r w:rsidRPr="00F82C8D">
        <w:t xml:space="preserve"> after the requested start date, however this determination would come into force from the earliest 1 July possible under subsection 22XQ(2) of the Act, rather than the requested start date. </w:t>
      </w:r>
      <w:r w:rsidR="00377A72" w:rsidRPr="00F82C8D">
        <w:rPr>
          <w:b/>
          <w:i/>
          <w:sz w:val="20"/>
        </w:rPr>
        <w:t>[subsection </w:t>
      </w:r>
      <w:r w:rsidR="003A74E8" w:rsidRPr="00F82C8D">
        <w:rPr>
          <w:b/>
          <w:i/>
          <w:sz w:val="20"/>
        </w:rPr>
        <w:t>45</w:t>
      </w:r>
      <w:r w:rsidRPr="00F82C8D">
        <w:rPr>
          <w:b/>
          <w:i/>
          <w:sz w:val="20"/>
        </w:rPr>
        <w:t>(2)]</w:t>
      </w:r>
    </w:p>
    <w:p w:rsidR="009149CF" w:rsidRPr="00F82C8D" w:rsidRDefault="009149CF" w:rsidP="00625D31">
      <w:pPr>
        <w:pStyle w:val="ListParagraph"/>
        <w:rPr>
          <w:b/>
        </w:rPr>
      </w:pPr>
      <w:r w:rsidRPr="00F82C8D">
        <w:rPr>
          <w:lang w:eastAsia="en-AU"/>
        </w:rPr>
        <w:t xml:space="preserve">A </w:t>
      </w:r>
      <w:r w:rsidR="003A74E8" w:rsidRPr="00F82C8D">
        <w:rPr>
          <w:lang w:eastAsia="en-AU"/>
        </w:rPr>
        <w:t>production</w:t>
      </w:r>
      <w:r w:rsidRPr="00F82C8D">
        <w:rPr>
          <w:lang w:eastAsia="en-AU"/>
        </w:rPr>
        <w:t>-</w:t>
      </w:r>
      <w:r w:rsidR="003A74E8" w:rsidRPr="00F82C8D">
        <w:rPr>
          <w:lang w:eastAsia="en-AU"/>
        </w:rPr>
        <w:t>adjusted</w:t>
      </w:r>
      <w:r w:rsidRPr="00F82C8D">
        <w:rPr>
          <w:lang w:eastAsia="en-AU"/>
        </w:rPr>
        <w:t xml:space="preserve"> baseline determination expires </w:t>
      </w:r>
      <w:r w:rsidR="003A74E8" w:rsidRPr="00F82C8D">
        <w:rPr>
          <w:lang w:eastAsia="en-AU"/>
        </w:rPr>
        <w:t xml:space="preserve">only </w:t>
      </w:r>
      <w:r w:rsidR="00BD39BF" w:rsidRPr="00F82C8D">
        <w:rPr>
          <w:lang w:eastAsia="en-AU"/>
        </w:rPr>
        <w:t>when</w:t>
      </w:r>
      <w:r w:rsidRPr="00F82C8D">
        <w:rPr>
          <w:lang w:eastAsia="en-AU"/>
        </w:rPr>
        <w:t xml:space="preserve"> </w:t>
      </w:r>
      <w:r w:rsidR="003A74E8" w:rsidRPr="00F82C8D">
        <w:rPr>
          <w:lang w:eastAsia="en-AU"/>
        </w:rPr>
        <w:t xml:space="preserve">another baseline determination comes into force for the facility. An expired production-adjusted baseline determination </w:t>
      </w:r>
      <w:r w:rsidR="000F557B" w:rsidRPr="00F82C8D">
        <w:rPr>
          <w:lang w:eastAsia="en-AU"/>
        </w:rPr>
        <w:t>may also come</w:t>
      </w:r>
      <w:r w:rsidR="003A74E8" w:rsidRPr="00F82C8D">
        <w:rPr>
          <w:lang w:eastAsia="en-AU"/>
        </w:rPr>
        <w:t xml:space="preserve"> back into force </w:t>
      </w:r>
      <w:r w:rsidR="000F557B" w:rsidRPr="00F82C8D">
        <w:rPr>
          <w:lang w:eastAsia="en-AU"/>
        </w:rPr>
        <w:t>on</w:t>
      </w:r>
      <w:r w:rsidR="003A74E8" w:rsidRPr="00F82C8D">
        <w:rPr>
          <w:lang w:eastAsia="en-AU"/>
        </w:rPr>
        <w:t xml:space="preserve"> the expiry of a </w:t>
      </w:r>
      <w:r w:rsidR="005839C5" w:rsidRPr="00F82C8D">
        <w:rPr>
          <w:lang w:eastAsia="en-AU"/>
        </w:rPr>
        <w:t>calculated-emissions</w:t>
      </w:r>
      <w:r w:rsidR="003A74E8" w:rsidRPr="00F82C8D">
        <w:rPr>
          <w:lang w:eastAsia="en-AU"/>
        </w:rPr>
        <w:t xml:space="preserve"> baseline determination or a </w:t>
      </w:r>
      <w:r w:rsidR="00AE6DBE" w:rsidRPr="00F82C8D">
        <w:rPr>
          <w:lang w:eastAsia="en-AU"/>
        </w:rPr>
        <w:t>benchmark-emissions</w:t>
      </w:r>
      <w:r w:rsidR="003A74E8" w:rsidRPr="00F82C8D">
        <w:rPr>
          <w:lang w:eastAsia="en-AU"/>
        </w:rPr>
        <w:t xml:space="preserve"> baseline dete</w:t>
      </w:r>
      <w:r w:rsidR="000F557B" w:rsidRPr="00F82C8D">
        <w:rPr>
          <w:lang w:eastAsia="en-AU"/>
        </w:rPr>
        <w:t>rmination. If more than one production-adjusted baseline determinations have been made for a facility, then it is the most recent of these that would come back into force</w:t>
      </w:r>
      <w:r w:rsidRPr="00F82C8D">
        <w:t xml:space="preserve">. </w:t>
      </w:r>
      <w:r w:rsidR="00330C0B" w:rsidRPr="00F82C8D">
        <w:rPr>
          <w:b/>
          <w:i/>
          <w:sz w:val="20"/>
        </w:rPr>
        <w:t>[subsection </w:t>
      </w:r>
      <w:r w:rsidR="000F557B" w:rsidRPr="00F82C8D">
        <w:rPr>
          <w:b/>
          <w:i/>
          <w:sz w:val="20"/>
        </w:rPr>
        <w:t>45</w:t>
      </w:r>
      <w:r w:rsidRPr="00F82C8D">
        <w:rPr>
          <w:b/>
          <w:i/>
          <w:sz w:val="20"/>
        </w:rPr>
        <w:t>(3)]</w:t>
      </w:r>
    </w:p>
    <w:p w:rsidR="00317EE9" w:rsidRPr="00F82C8D" w:rsidRDefault="00D628FB" w:rsidP="00317EE9">
      <w:pPr>
        <w:pStyle w:val="Heading2"/>
        <w:rPr>
          <w:lang w:val="en-AU"/>
        </w:rPr>
      </w:pPr>
      <w:bookmarkStart w:id="112" w:name="_Toc426382212"/>
      <w:bookmarkStart w:id="113" w:name="_Ref427572806"/>
      <w:bookmarkStart w:id="114" w:name="_Ref427572809"/>
      <w:bookmarkStart w:id="115" w:name="_Toc431975850"/>
      <w:r w:rsidRPr="00F82C8D">
        <w:rPr>
          <w:lang w:val="en-AU"/>
        </w:rPr>
        <w:t>Subdivision 6</w:t>
      </w:r>
      <w:r w:rsidRPr="00F82C8D">
        <w:t>—</w:t>
      </w:r>
      <w:r w:rsidR="00317EE9" w:rsidRPr="00F82C8D">
        <w:rPr>
          <w:lang w:val="en-AU"/>
        </w:rPr>
        <w:t xml:space="preserve">Variation of baseline determination for reduction in </w:t>
      </w:r>
      <w:r w:rsidR="00BB7C53" w:rsidRPr="00F82C8D">
        <w:rPr>
          <w:lang w:val="en-AU"/>
        </w:rPr>
        <w:t>emissions intens</w:t>
      </w:r>
      <w:r w:rsidR="00317EE9" w:rsidRPr="00F82C8D">
        <w:rPr>
          <w:lang w:val="en-AU"/>
        </w:rPr>
        <w:t>ity</w:t>
      </w:r>
      <w:bookmarkEnd w:id="112"/>
      <w:bookmarkEnd w:id="113"/>
      <w:bookmarkEnd w:id="114"/>
      <w:bookmarkEnd w:id="115"/>
    </w:p>
    <w:p w:rsidR="006903B0" w:rsidRPr="00F82C8D" w:rsidRDefault="00D628FB">
      <w:pPr>
        <w:pStyle w:val="Heading3"/>
      </w:pPr>
      <w:r w:rsidRPr="00F82C8D">
        <w:t>Section 46: Application</w:t>
      </w:r>
    </w:p>
    <w:p w:rsidR="003D2595" w:rsidRPr="00F82C8D" w:rsidRDefault="001A7596" w:rsidP="00625D31">
      <w:pPr>
        <w:pStyle w:val="ListParagraph"/>
      </w:pPr>
      <w:r w:rsidRPr="00F82C8D">
        <w:t xml:space="preserve">Variations of baseline determinations for reductions in </w:t>
      </w:r>
      <w:r w:rsidR="00BB7C53" w:rsidRPr="00F82C8D">
        <w:t>emissions intens</w:t>
      </w:r>
      <w:r w:rsidRPr="00F82C8D">
        <w:t>ity are intended for facilities whose emissions exceed their baseline because of increased production but whose emissions intensity has</w:t>
      </w:r>
      <w:r w:rsidR="003D2595" w:rsidRPr="00F82C8D">
        <w:t xml:space="preserve"> passed an </w:t>
      </w:r>
      <w:r w:rsidR="00BB7C53" w:rsidRPr="00F82C8D">
        <w:t>emissions intens</w:t>
      </w:r>
      <w:r w:rsidR="00F24E7E" w:rsidRPr="00F82C8D">
        <w:t>it</w:t>
      </w:r>
      <w:r w:rsidR="003D2595" w:rsidRPr="00F82C8D">
        <w:t>y test. For facilities that are benchmar</w:t>
      </w:r>
      <w:r w:rsidR="0050329E" w:rsidRPr="00F82C8D">
        <w:t>k facilities, meaning that their</w:t>
      </w:r>
      <w:r w:rsidR="003D2595" w:rsidRPr="00F82C8D">
        <w:t xml:space="preserve"> baseline determination was made using benchmark </w:t>
      </w:r>
      <w:r w:rsidR="00BB7C53" w:rsidRPr="00F82C8D">
        <w:t>emissions intens</w:t>
      </w:r>
      <w:r w:rsidR="00F24E7E" w:rsidRPr="00F82C8D">
        <w:t>it</w:t>
      </w:r>
      <w:r w:rsidR="003D2595" w:rsidRPr="00F82C8D">
        <w:t>ies,</w:t>
      </w:r>
      <w:r w:rsidR="000A7B10" w:rsidRPr="00F82C8D">
        <w:t xml:space="preserve"> </w:t>
      </w:r>
      <w:r w:rsidR="003D2595" w:rsidRPr="00F82C8D">
        <w:rPr>
          <w:rFonts w:eastAsiaTheme="majorEastAsia"/>
          <w:lang w:val="en-AU"/>
        </w:rPr>
        <w:t xml:space="preserve">the test is </w:t>
      </w:r>
      <w:r w:rsidR="00143D12" w:rsidRPr="00F82C8D">
        <w:rPr>
          <w:rFonts w:eastAsiaTheme="majorEastAsia"/>
          <w:lang w:val="en-AU"/>
        </w:rPr>
        <w:t>passed</w:t>
      </w:r>
      <w:r w:rsidR="003D2595" w:rsidRPr="00F82C8D">
        <w:rPr>
          <w:rFonts w:eastAsiaTheme="majorEastAsia"/>
          <w:lang w:val="en-AU"/>
        </w:rPr>
        <w:t xml:space="preserve"> if they </w:t>
      </w:r>
      <w:r w:rsidR="00CE037D" w:rsidRPr="00F82C8D">
        <w:t>b</w:t>
      </w:r>
      <w:r w:rsidR="003D2595" w:rsidRPr="00F82C8D">
        <w:t>etter</w:t>
      </w:r>
      <w:r w:rsidR="00CE037D" w:rsidRPr="00F82C8D">
        <w:t xml:space="preserve"> the relevant benchmark </w:t>
      </w:r>
      <w:r w:rsidR="00BB7C53" w:rsidRPr="00F82C8D">
        <w:t>emissions intens</w:t>
      </w:r>
      <w:r w:rsidR="00F24E7E" w:rsidRPr="00F82C8D">
        <w:t>it</w:t>
      </w:r>
      <w:r w:rsidR="00CE037D" w:rsidRPr="00F82C8D">
        <w:t>y</w:t>
      </w:r>
      <w:r w:rsidRPr="00F82C8D">
        <w:t xml:space="preserve">. </w:t>
      </w:r>
      <w:r w:rsidR="003D2595" w:rsidRPr="00F82C8D">
        <w:t>Other f</w:t>
      </w:r>
      <w:r w:rsidRPr="00F82C8D">
        <w:t xml:space="preserve">acilities </w:t>
      </w:r>
      <w:r w:rsidR="003D2595" w:rsidRPr="00F82C8D">
        <w:t xml:space="preserve">pass the test by generally demonstrating that </w:t>
      </w:r>
      <w:r w:rsidR="00CE037D" w:rsidRPr="00F82C8D">
        <w:t>their</w:t>
      </w:r>
      <w:r w:rsidRPr="00F82C8D">
        <w:t xml:space="preserve"> emissions intensity</w:t>
      </w:r>
      <w:r w:rsidR="00CE037D" w:rsidRPr="00F82C8D">
        <w:t xml:space="preserve"> </w:t>
      </w:r>
      <w:r w:rsidR="003D2595" w:rsidRPr="00F82C8D">
        <w:t xml:space="preserve">has improved compared to historical performance. </w:t>
      </w:r>
    </w:p>
    <w:p w:rsidR="001A7596" w:rsidRPr="00F82C8D" w:rsidRDefault="003D2595" w:rsidP="00625D31">
      <w:pPr>
        <w:pStyle w:val="ListParagraph"/>
      </w:pPr>
      <w:r w:rsidRPr="00F82C8D">
        <w:t xml:space="preserve">If the </w:t>
      </w:r>
      <w:r w:rsidR="0050329E" w:rsidRPr="00F82C8D">
        <w:t>relevant</w:t>
      </w:r>
      <w:r w:rsidR="00CE037D" w:rsidRPr="00F82C8D">
        <w:t xml:space="preserve"> condition</w:t>
      </w:r>
      <w:r w:rsidRPr="00F82C8D">
        <w:t>s are met</w:t>
      </w:r>
      <w:r w:rsidR="0050329E" w:rsidRPr="00F82C8D">
        <w:t>, including passing the emissions intensity test</w:t>
      </w:r>
      <w:r w:rsidRPr="00F82C8D">
        <w:t>,</w:t>
      </w:r>
      <w:r w:rsidR="0050329E" w:rsidRPr="00F82C8D">
        <w:t xml:space="preserve"> then</w:t>
      </w:r>
      <w:r w:rsidRPr="00F82C8D">
        <w:t xml:space="preserve"> the responsible emitter</w:t>
      </w:r>
      <w:r w:rsidR="001A7596" w:rsidRPr="00F82C8D">
        <w:t xml:space="preserve"> can apply to the Regulator for a temporary variation of their baseline</w:t>
      </w:r>
      <w:r w:rsidR="0050329E" w:rsidRPr="00F82C8D">
        <w:t xml:space="preserve"> emissions number</w:t>
      </w:r>
      <w:r w:rsidR="001A7596" w:rsidRPr="00F82C8D">
        <w:t xml:space="preserve">. If varied, the baseline will be increased for one year to the actual level of the facility’s </w:t>
      </w:r>
      <w:r w:rsidR="0050329E" w:rsidRPr="00F82C8D">
        <w:t xml:space="preserve">covered </w:t>
      </w:r>
      <w:r w:rsidR="001A7596" w:rsidRPr="00F82C8D">
        <w:t xml:space="preserve">emissions. After that year, the original baseline </w:t>
      </w:r>
      <w:r w:rsidR="0050329E" w:rsidRPr="00F82C8D">
        <w:t>emissions number</w:t>
      </w:r>
      <w:r w:rsidRPr="00F82C8D">
        <w:t xml:space="preserve"> </w:t>
      </w:r>
      <w:r w:rsidR="001A7596" w:rsidRPr="00F82C8D">
        <w:t xml:space="preserve">applies. The number of variation applications a facility can make is </w:t>
      </w:r>
      <w:r w:rsidRPr="00F82C8D">
        <w:t>un</w:t>
      </w:r>
      <w:r w:rsidR="001A7596" w:rsidRPr="00F82C8D">
        <w:t xml:space="preserve">limited, which creates an incentive for facilities to continually lower the emissions intensity of their production. </w:t>
      </w:r>
    </w:p>
    <w:p w:rsidR="001A7596" w:rsidRPr="00F82C8D" w:rsidRDefault="001A7596" w:rsidP="00625D31">
      <w:pPr>
        <w:pStyle w:val="ListParagraph"/>
      </w:pPr>
      <w:r w:rsidRPr="00F82C8D">
        <w:t xml:space="preserve">The </w:t>
      </w:r>
      <w:r w:rsidR="00CE037D" w:rsidRPr="00F82C8D">
        <w:t xml:space="preserve">temporary </w:t>
      </w:r>
      <w:r w:rsidRPr="00F82C8D">
        <w:t>variation covers the financial year in which the baseline was exceeded</w:t>
      </w:r>
      <w:r w:rsidR="00CE037D" w:rsidRPr="00F82C8D">
        <w:t xml:space="preserve"> and is made by the Regulator in response to an application from the responsible emitter.</w:t>
      </w:r>
      <w:r w:rsidRPr="00F82C8D">
        <w:t xml:space="preserve"> </w:t>
      </w:r>
      <w:r w:rsidRPr="00F82C8D">
        <w:rPr>
          <w:rStyle w:val="Emphasis"/>
        </w:rPr>
        <w:t>[subsection 46(1)</w:t>
      </w:r>
      <w:r w:rsidR="0062404E" w:rsidRPr="00F82C8D">
        <w:rPr>
          <w:rStyle w:val="Emphasis"/>
        </w:rPr>
        <w:t>]</w:t>
      </w:r>
    </w:p>
    <w:p w:rsidR="001A7596" w:rsidRPr="00F82C8D" w:rsidRDefault="001A7596" w:rsidP="00625D31">
      <w:pPr>
        <w:pStyle w:val="ListParagraph"/>
      </w:pPr>
      <w:r w:rsidRPr="00F82C8D">
        <w:t xml:space="preserve">However, a facility cannot apply for </w:t>
      </w:r>
      <w:r w:rsidR="0050329E" w:rsidRPr="00F82C8D">
        <w:t xml:space="preserve">both </w:t>
      </w:r>
      <w:r w:rsidRPr="00F82C8D">
        <w:t xml:space="preserve">an </w:t>
      </w:r>
      <w:r w:rsidR="00BB7C53" w:rsidRPr="00F82C8D">
        <w:t>emissions intens</w:t>
      </w:r>
      <w:r w:rsidRPr="00F82C8D">
        <w:t xml:space="preserve">ity baseline variation and a </w:t>
      </w:r>
      <w:r w:rsidR="00BC1ECE" w:rsidRPr="00F82C8D">
        <w:t xml:space="preserve">declared </w:t>
      </w:r>
      <w:r w:rsidRPr="00F82C8D">
        <w:t xml:space="preserve">multi-year period </w:t>
      </w:r>
      <w:r w:rsidR="0010340C" w:rsidRPr="00F82C8D">
        <w:t xml:space="preserve">that begins in the same year. </w:t>
      </w:r>
      <w:r w:rsidRPr="00F82C8D">
        <w:rPr>
          <w:rStyle w:val="Emphasis"/>
        </w:rPr>
        <w:t>[</w:t>
      </w:r>
      <w:r w:rsidR="00CE037D" w:rsidRPr="00F82C8D">
        <w:rPr>
          <w:rStyle w:val="Emphasis"/>
        </w:rPr>
        <w:t>paragraphs</w:t>
      </w:r>
      <w:r w:rsidR="006B401C" w:rsidRPr="00F82C8D">
        <w:rPr>
          <w:rStyle w:val="Emphasis"/>
        </w:rPr>
        <w:t> </w:t>
      </w:r>
      <w:r w:rsidRPr="00F82C8D">
        <w:rPr>
          <w:rStyle w:val="Emphasis"/>
        </w:rPr>
        <w:t>46(2)</w:t>
      </w:r>
      <w:r w:rsidR="00CE037D" w:rsidRPr="00F82C8D">
        <w:rPr>
          <w:rStyle w:val="Emphasis"/>
        </w:rPr>
        <w:t>(a) and 46(2)(b)</w:t>
      </w:r>
      <w:r w:rsidRPr="00F82C8D">
        <w:rPr>
          <w:rStyle w:val="Emphasis"/>
        </w:rPr>
        <w:t>]</w:t>
      </w:r>
      <w:r w:rsidRPr="00F82C8D">
        <w:t xml:space="preserve"> Allowing facilities to apply for a baseline variation in the first year of a</w:t>
      </w:r>
      <w:r w:rsidR="00BC1ECE" w:rsidRPr="00F82C8D">
        <w:t xml:space="preserve"> declared</w:t>
      </w:r>
      <w:r w:rsidRPr="00F82C8D">
        <w:t xml:space="preserve"> multi-year period would defeat the purpose of</w:t>
      </w:r>
      <w:r w:rsidR="00BC1ECE" w:rsidRPr="00F82C8D">
        <w:t xml:space="preserve"> declared</w:t>
      </w:r>
      <w:r w:rsidRPr="00F82C8D">
        <w:t xml:space="preserve"> multi-year periods, which is to allow facilities to make good </w:t>
      </w:r>
      <w:r w:rsidR="0035615A" w:rsidRPr="00F82C8D">
        <w:t xml:space="preserve">an excess emissions situation </w:t>
      </w:r>
      <w:r w:rsidR="0050329E" w:rsidRPr="00F82C8D">
        <w:t>from</w:t>
      </w:r>
      <w:r w:rsidRPr="00F82C8D">
        <w:t xml:space="preserve"> one year in subsequent years. If there </w:t>
      </w:r>
      <w:r w:rsidR="0035615A" w:rsidRPr="00F82C8D">
        <w:t>is</w:t>
      </w:r>
      <w:r w:rsidRPr="00F82C8D">
        <w:t xml:space="preserve"> no excess emissions </w:t>
      </w:r>
      <w:r w:rsidR="0035615A" w:rsidRPr="00F82C8D">
        <w:t xml:space="preserve">situation </w:t>
      </w:r>
      <w:r w:rsidRPr="00F82C8D">
        <w:t>because the baseline has been increased, there is no reason to have a</w:t>
      </w:r>
      <w:r w:rsidR="00BC1ECE" w:rsidRPr="00F82C8D">
        <w:t xml:space="preserve"> declared</w:t>
      </w:r>
      <w:r w:rsidRPr="00F82C8D">
        <w:t xml:space="preserve"> multi-year period. There is no restriction on facilities applying for baseline variations in the second or third years of a</w:t>
      </w:r>
      <w:r w:rsidR="00BC1ECE" w:rsidRPr="00F82C8D">
        <w:t xml:space="preserve"> declared</w:t>
      </w:r>
      <w:r w:rsidRPr="00F82C8D">
        <w:t xml:space="preserve"> multi-year period because those facilities will still need to make good </w:t>
      </w:r>
      <w:r w:rsidR="0035615A" w:rsidRPr="00F82C8D">
        <w:t>an excess emissions situation</w:t>
      </w:r>
      <w:r w:rsidRPr="00F82C8D">
        <w:t xml:space="preserve"> from the first year of the</w:t>
      </w:r>
      <w:r w:rsidR="00BC1ECE" w:rsidRPr="00F82C8D">
        <w:t xml:space="preserve"> declared</w:t>
      </w:r>
      <w:r w:rsidRPr="00F82C8D">
        <w:t xml:space="preserve"> multi-year period in the next year (i.e. the year after the temporary baseline increase).</w:t>
      </w:r>
    </w:p>
    <w:p w:rsidR="006B401C" w:rsidRPr="00F82C8D" w:rsidRDefault="006B401C" w:rsidP="00625D31">
      <w:pPr>
        <w:pStyle w:val="ListParagraph"/>
      </w:pPr>
      <w:r w:rsidRPr="00F82C8D">
        <w:t xml:space="preserve">This provision does not apply to landfill facilities with a landfill-benchmark baseline determination. </w:t>
      </w:r>
      <w:r w:rsidRPr="00F82C8D">
        <w:rPr>
          <w:rStyle w:val="Emphasis"/>
        </w:rPr>
        <w:t>[paragraphs 46(2)(c)]</w:t>
      </w:r>
      <w:r w:rsidR="003D2595" w:rsidRPr="00F82C8D">
        <w:rPr>
          <w:rStyle w:val="Emphasis"/>
        </w:rPr>
        <w:t xml:space="preserve"> </w:t>
      </w:r>
      <w:r w:rsidR="003D2595" w:rsidRPr="00F82C8D">
        <w:rPr>
          <w:rStyle w:val="Emphasis"/>
          <w:b w:val="0"/>
          <w:i w:val="0"/>
          <w:sz w:val="24"/>
        </w:rPr>
        <w:t xml:space="preserve">This is because the baseline </w:t>
      </w:r>
      <w:r w:rsidR="002D213E" w:rsidRPr="00F82C8D">
        <w:rPr>
          <w:rStyle w:val="Emphasis"/>
          <w:b w:val="0"/>
          <w:i w:val="0"/>
          <w:sz w:val="24"/>
        </w:rPr>
        <w:t xml:space="preserve">emissions </w:t>
      </w:r>
      <w:r w:rsidR="003D2595" w:rsidRPr="00F82C8D">
        <w:rPr>
          <w:rStyle w:val="Emphasis"/>
          <w:b w:val="0"/>
          <w:i w:val="0"/>
          <w:sz w:val="24"/>
        </w:rPr>
        <w:t xml:space="preserve">number </w:t>
      </w:r>
      <w:r w:rsidR="00023AB0" w:rsidRPr="00F82C8D">
        <w:rPr>
          <w:rStyle w:val="Emphasis"/>
          <w:b w:val="0"/>
          <w:i w:val="0"/>
          <w:sz w:val="24"/>
        </w:rPr>
        <w:t>for these facilities is</w:t>
      </w:r>
      <w:r w:rsidR="003D2595" w:rsidRPr="00F82C8D">
        <w:rPr>
          <w:rStyle w:val="Emphasis"/>
          <w:b w:val="0"/>
          <w:i w:val="0"/>
          <w:sz w:val="24"/>
        </w:rPr>
        <w:t xml:space="preserve"> already updated each year for the </w:t>
      </w:r>
      <w:r w:rsidR="0050329E" w:rsidRPr="00F82C8D">
        <w:rPr>
          <w:rStyle w:val="Emphasis"/>
          <w:b w:val="0"/>
          <w:i w:val="0"/>
          <w:sz w:val="24"/>
        </w:rPr>
        <w:t>quantity</w:t>
      </w:r>
      <w:r w:rsidR="003D2595" w:rsidRPr="00F82C8D">
        <w:rPr>
          <w:rStyle w:val="Emphasis"/>
          <w:b w:val="0"/>
          <w:i w:val="0"/>
          <w:sz w:val="24"/>
        </w:rPr>
        <w:t xml:space="preserve"> of covered emissions (non-legacy waste emissions) generated. </w:t>
      </w:r>
    </w:p>
    <w:p w:rsidR="001A7596" w:rsidRPr="00F82C8D" w:rsidRDefault="001A7596" w:rsidP="00625D31">
      <w:pPr>
        <w:pStyle w:val="ListParagraph"/>
      </w:pPr>
      <w:r w:rsidRPr="00F82C8D">
        <w:t>Applications must be given in a manner and form approved by the Regulator, specify the financial year for which the application is made, include the information required by section 48 and include an audit report that complies with section 49</w:t>
      </w:r>
      <w:r w:rsidR="00B74E5E" w:rsidRPr="00F82C8D">
        <w:t xml:space="preserve"> of the safeguard rule</w:t>
      </w:r>
      <w:r w:rsidR="0062404E" w:rsidRPr="00F82C8D">
        <w:t>.</w:t>
      </w:r>
      <w:r w:rsidRPr="00F82C8D">
        <w:t xml:space="preserve"> </w:t>
      </w:r>
      <w:r w:rsidRPr="00F82C8D">
        <w:rPr>
          <w:rStyle w:val="Emphasis"/>
        </w:rPr>
        <w:t>[subsection 46(3)</w:t>
      </w:r>
      <w:r w:rsidR="0062404E" w:rsidRPr="00F82C8D">
        <w:rPr>
          <w:rStyle w:val="Emphasis"/>
        </w:rPr>
        <w:t>]</w:t>
      </w:r>
    </w:p>
    <w:p w:rsidR="005272A2" w:rsidRPr="00F82C8D" w:rsidRDefault="001A7596" w:rsidP="00625D31">
      <w:pPr>
        <w:pStyle w:val="ListParagraph"/>
        <w:rPr>
          <w:rStyle w:val="Emphasis"/>
          <w:b w:val="0"/>
          <w:bCs w:val="0"/>
          <w:i w:val="0"/>
          <w:iCs/>
          <w:sz w:val="24"/>
        </w:rPr>
      </w:pPr>
      <w:r w:rsidRPr="00F82C8D">
        <w:t xml:space="preserve">Applications </w:t>
      </w:r>
      <w:r w:rsidR="005272A2" w:rsidRPr="00F82C8D">
        <w:t>should</w:t>
      </w:r>
      <w:r w:rsidRPr="00F82C8D">
        <w:t xml:space="preserve"> be made no later than the 31 October after the year to which</w:t>
      </w:r>
      <w:r w:rsidR="005272A2" w:rsidRPr="00F82C8D">
        <w:t xml:space="preserve"> the application relates, which</w:t>
      </w:r>
      <w:r w:rsidRPr="00F82C8D">
        <w:t xml:space="preserve"> gives the Regulator time to consider the application before the following 1 March (see section 22XF of the Act)</w:t>
      </w:r>
      <w:r w:rsidR="0062404E" w:rsidRPr="00F82C8D">
        <w:t>.</w:t>
      </w:r>
      <w:r w:rsidRPr="00F82C8D">
        <w:t xml:space="preserve"> </w:t>
      </w:r>
      <w:r w:rsidRPr="00F82C8D">
        <w:rPr>
          <w:rStyle w:val="Emphasis"/>
        </w:rPr>
        <w:t>[subsection 46(4)</w:t>
      </w:r>
      <w:r w:rsidR="0062404E" w:rsidRPr="00F82C8D">
        <w:rPr>
          <w:rStyle w:val="Emphasis"/>
        </w:rPr>
        <w:t>]</w:t>
      </w:r>
      <w:r w:rsidRPr="00F82C8D">
        <w:rPr>
          <w:rStyle w:val="Emphasis"/>
        </w:rPr>
        <w:t xml:space="preserve"> </w:t>
      </w:r>
    </w:p>
    <w:p w:rsidR="00DB293E" w:rsidRPr="00F82C8D" w:rsidRDefault="001A7596">
      <w:pPr>
        <w:pStyle w:val="Quote"/>
      </w:pPr>
      <w:r w:rsidRPr="00F82C8D">
        <w:t>For example, an application relating to the 2017</w:t>
      </w:r>
      <w:r w:rsidR="00053244" w:rsidRPr="00F82C8D">
        <w:t>-</w:t>
      </w:r>
      <w:r w:rsidRPr="00F82C8D">
        <w:t xml:space="preserve">18 financial year </w:t>
      </w:r>
      <w:r w:rsidR="005272A2" w:rsidRPr="00F82C8D">
        <w:t>should</w:t>
      </w:r>
      <w:r w:rsidRPr="00F82C8D">
        <w:t xml:space="preserve"> be submitted by 31 October 2018.</w:t>
      </w:r>
    </w:p>
    <w:p w:rsidR="005272A2" w:rsidRPr="00F82C8D" w:rsidRDefault="001A7596" w:rsidP="00625D31">
      <w:pPr>
        <w:pStyle w:val="ListParagraph"/>
      </w:pPr>
      <w:r w:rsidRPr="00F82C8D">
        <w:t>If a valid application has been made but the Regulator has refused to vary the baseline as requested in the application, a second application in relation to the same financial year may be made no later than the 1 February following the 31 October deadline</w:t>
      </w:r>
      <w:r w:rsidR="0062404E" w:rsidRPr="00F82C8D">
        <w:t>.</w:t>
      </w:r>
      <w:r w:rsidRPr="00F82C8D">
        <w:t xml:space="preserve"> </w:t>
      </w:r>
      <w:r w:rsidRPr="00F82C8D">
        <w:rPr>
          <w:rStyle w:val="Emphasis"/>
        </w:rPr>
        <w:t>[subsection 46(6)</w:t>
      </w:r>
      <w:r w:rsidR="0062404E" w:rsidRPr="00F82C8D">
        <w:rPr>
          <w:rStyle w:val="Emphasis"/>
        </w:rPr>
        <w:t xml:space="preserve">] </w:t>
      </w:r>
      <w:r w:rsidRPr="00F82C8D">
        <w:t>This provision allows applicants to address the matters that caused the Regulator to refuse the first variation request.</w:t>
      </w:r>
      <w:r w:rsidR="005272A2" w:rsidRPr="00F82C8D">
        <w:t xml:space="preserve">  </w:t>
      </w:r>
    </w:p>
    <w:p w:rsidR="001A7596" w:rsidRPr="00F82C8D" w:rsidRDefault="005272A2" w:rsidP="00625D31">
      <w:pPr>
        <w:pStyle w:val="ListParagraph"/>
      </w:pPr>
      <w:r w:rsidRPr="00F82C8D">
        <w:t xml:space="preserve">An extension of the 31 October deadline to the following 1 February may also be granted by the Regulator, if the responsible emitter provides reasons why it was impractical to meet the 31 October deadline. </w:t>
      </w:r>
      <w:r w:rsidRPr="00F82C8D">
        <w:rPr>
          <w:rStyle w:val="Emphasis"/>
        </w:rPr>
        <w:t>[subsection 46(7)]</w:t>
      </w:r>
      <w:r w:rsidR="003C796B" w:rsidRPr="00F82C8D">
        <w:rPr>
          <w:rStyle w:val="Emphasis"/>
          <w:i w:val="0"/>
        </w:rPr>
        <w:t xml:space="preserve"> </w:t>
      </w:r>
      <w:r w:rsidR="007329DC" w:rsidRPr="00F82C8D">
        <w:t>Whet</w:t>
      </w:r>
      <w:r w:rsidR="003C796B" w:rsidRPr="00F82C8D">
        <w:t>her to allow the extension remains at the discretion of the Regulator.</w:t>
      </w:r>
    </w:p>
    <w:p w:rsidR="001A7596" w:rsidRPr="00F82C8D" w:rsidRDefault="001A7596" w:rsidP="00625D31">
      <w:pPr>
        <w:pStyle w:val="ListParagraph"/>
      </w:pPr>
      <w:r w:rsidRPr="00F82C8D">
        <w:t>The applicant may withdraw the application before the Regulator has made a decision in relation the application</w:t>
      </w:r>
      <w:r w:rsidR="0062404E" w:rsidRPr="00F82C8D">
        <w:t>.</w:t>
      </w:r>
      <w:r w:rsidRPr="00F82C8D">
        <w:t xml:space="preserve"> </w:t>
      </w:r>
      <w:r w:rsidRPr="00F82C8D">
        <w:rPr>
          <w:rStyle w:val="Emphasis"/>
        </w:rPr>
        <w:t>[subsection 46(5)</w:t>
      </w:r>
      <w:r w:rsidR="0062404E" w:rsidRPr="00F82C8D">
        <w:rPr>
          <w:rStyle w:val="Emphasis"/>
        </w:rPr>
        <w:t>]</w:t>
      </w:r>
    </w:p>
    <w:p w:rsidR="001A7596" w:rsidRPr="00F82C8D" w:rsidRDefault="00D628FB" w:rsidP="0010340C">
      <w:pPr>
        <w:pStyle w:val="Heading3"/>
      </w:pPr>
      <w:r w:rsidRPr="00F82C8D">
        <w:t xml:space="preserve">Section 47: </w:t>
      </w:r>
      <w:r w:rsidR="00BB7C53" w:rsidRPr="00F82C8D">
        <w:t>Emissions intens</w:t>
      </w:r>
      <w:r w:rsidR="001A7596" w:rsidRPr="00F82C8D">
        <w:t>ity test</w:t>
      </w:r>
    </w:p>
    <w:p w:rsidR="006B7F0C" w:rsidRPr="00F82C8D" w:rsidRDefault="006B7F0C" w:rsidP="006B7F0C">
      <w:pPr>
        <w:pStyle w:val="ListParagraph"/>
        <w:rPr>
          <w:lang w:val="en-AU"/>
        </w:rPr>
      </w:pPr>
      <w:r w:rsidRPr="00F82C8D">
        <w:rPr>
          <w:rFonts w:eastAsiaTheme="majorEastAsia"/>
          <w:lang w:val="en-AU"/>
        </w:rPr>
        <w:t xml:space="preserve">Facilities that request a baseline variation under section 46 </w:t>
      </w:r>
      <w:r w:rsidR="00B74E5E" w:rsidRPr="00F82C8D">
        <w:rPr>
          <w:rFonts w:eastAsiaTheme="majorEastAsia"/>
          <w:lang w:val="en-AU"/>
        </w:rPr>
        <w:t>of the</w:t>
      </w:r>
      <w:r w:rsidR="00B14061" w:rsidRPr="00F82C8D">
        <w:rPr>
          <w:rFonts w:eastAsiaTheme="majorEastAsia"/>
          <w:lang w:val="en-AU"/>
        </w:rPr>
        <w:t xml:space="preserve"> </w:t>
      </w:r>
      <w:r w:rsidR="00D360AB" w:rsidRPr="00F82C8D">
        <w:rPr>
          <w:rFonts w:eastAsiaTheme="majorEastAsia"/>
          <w:lang w:val="en-AU"/>
        </w:rPr>
        <w:t>safeguard rule</w:t>
      </w:r>
      <w:r w:rsidR="00B74E5E" w:rsidRPr="00F82C8D">
        <w:rPr>
          <w:rFonts w:eastAsiaTheme="majorEastAsia"/>
          <w:lang w:val="en-AU"/>
        </w:rPr>
        <w:t xml:space="preserve"> </w:t>
      </w:r>
      <w:r w:rsidRPr="00F82C8D">
        <w:rPr>
          <w:rFonts w:eastAsiaTheme="majorEastAsia"/>
          <w:lang w:val="en-AU"/>
        </w:rPr>
        <w:t xml:space="preserve">must pass the </w:t>
      </w:r>
      <w:r w:rsidR="00BB7C53" w:rsidRPr="00F82C8D">
        <w:rPr>
          <w:rFonts w:eastAsiaTheme="majorEastAsia"/>
          <w:lang w:val="en-AU"/>
        </w:rPr>
        <w:t>emissions intens</w:t>
      </w:r>
      <w:r w:rsidRPr="00F82C8D">
        <w:rPr>
          <w:rFonts w:eastAsiaTheme="majorEastAsia"/>
          <w:lang w:val="en-AU"/>
        </w:rPr>
        <w:t>ity test.</w:t>
      </w:r>
    </w:p>
    <w:p w:rsidR="001A7596" w:rsidRPr="00F82C8D" w:rsidRDefault="00023AB0" w:rsidP="0010340C">
      <w:pPr>
        <w:pStyle w:val="Heading4"/>
        <w:rPr>
          <w:b/>
          <w:lang w:val="en-AU"/>
        </w:rPr>
      </w:pPr>
      <w:r w:rsidRPr="00F82C8D">
        <w:rPr>
          <w:lang w:val="en-AU"/>
        </w:rPr>
        <w:t>Emissions intensity test for f</w:t>
      </w:r>
      <w:r w:rsidR="00A03E3C" w:rsidRPr="00F82C8D">
        <w:rPr>
          <w:lang w:val="en-AU"/>
        </w:rPr>
        <w:t>acilities other than landfill</w:t>
      </w:r>
      <w:r w:rsidR="006B401C" w:rsidRPr="00F82C8D">
        <w:rPr>
          <w:lang w:val="en-AU"/>
        </w:rPr>
        <w:t xml:space="preserve"> or benchmark</w:t>
      </w:r>
      <w:r w:rsidR="001A7596" w:rsidRPr="00F82C8D">
        <w:rPr>
          <w:lang w:val="en-AU"/>
        </w:rPr>
        <w:t xml:space="preserve"> facilities </w:t>
      </w:r>
    </w:p>
    <w:p w:rsidR="001A7596" w:rsidRPr="00F82C8D" w:rsidRDefault="00023AB0" w:rsidP="00625D31">
      <w:pPr>
        <w:pStyle w:val="ListParagraph"/>
      </w:pPr>
      <w:r w:rsidRPr="00F82C8D">
        <w:rPr>
          <w:rFonts w:eastAsiaTheme="majorEastAsia"/>
          <w:lang w:val="en-AU"/>
        </w:rPr>
        <w:t>The</w:t>
      </w:r>
      <w:r w:rsidR="001A7596" w:rsidRPr="00F82C8D">
        <w:rPr>
          <w:rFonts w:eastAsiaTheme="majorEastAsia"/>
          <w:lang w:val="en-AU"/>
        </w:rPr>
        <w:t xml:space="preserve"> </w:t>
      </w:r>
      <w:r w:rsidR="00BB7C53" w:rsidRPr="00F82C8D">
        <w:rPr>
          <w:rFonts w:eastAsiaTheme="majorEastAsia"/>
          <w:lang w:val="en-AU"/>
        </w:rPr>
        <w:t xml:space="preserve">emissions </w:t>
      </w:r>
      <w:r w:rsidRPr="00F82C8D">
        <w:rPr>
          <w:rFonts w:eastAsiaTheme="majorEastAsia"/>
          <w:lang w:val="en-AU"/>
        </w:rPr>
        <w:t>intensity</w:t>
      </w:r>
      <w:r w:rsidR="001A7596" w:rsidRPr="00F82C8D">
        <w:t xml:space="preserve"> test</w:t>
      </w:r>
      <w:r w:rsidR="006B401C" w:rsidRPr="00F82C8D">
        <w:t xml:space="preserve"> for </w:t>
      </w:r>
      <w:r w:rsidR="006B401C" w:rsidRPr="00F82C8D">
        <w:rPr>
          <w:bCs/>
          <w:lang w:val="en-AU"/>
        </w:rPr>
        <w:t>facilities other than landfill or benchmark facilitie</w:t>
      </w:r>
      <w:r w:rsidR="006B7F0C" w:rsidRPr="00F82C8D">
        <w:rPr>
          <w:bCs/>
          <w:lang w:val="en-AU"/>
        </w:rPr>
        <w:t>s</w:t>
      </w:r>
      <w:r w:rsidR="001A7596" w:rsidRPr="00F82C8D">
        <w:t xml:space="preserve">, </w:t>
      </w:r>
      <w:r w:rsidRPr="00F82C8D">
        <w:t>requires comparing the</w:t>
      </w:r>
      <w:r w:rsidR="001A7596" w:rsidRPr="00F82C8D">
        <w:t xml:space="preserve"> </w:t>
      </w:r>
      <w:r w:rsidR="00BB7C53" w:rsidRPr="00F82C8D">
        <w:t>emissions intens</w:t>
      </w:r>
      <w:r w:rsidR="001A7596" w:rsidRPr="00F82C8D">
        <w:t xml:space="preserve">ity of production in the year for which the variation is sought with the </w:t>
      </w:r>
      <w:r w:rsidR="00BB7C53" w:rsidRPr="00F82C8D">
        <w:t>emissions intens</w:t>
      </w:r>
      <w:r w:rsidR="001A7596" w:rsidRPr="00F82C8D">
        <w:t>ity of production in the bas</w:t>
      </w:r>
      <w:r w:rsidR="00A03E3C" w:rsidRPr="00F82C8D">
        <w:t>eline intensity comparison year</w:t>
      </w:r>
      <w:r w:rsidR="001F3FDF" w:rsidRPr="00F82C8D">
        <w:t>.</w:t>
      </w:r>
    </w:p>
    <w:p w:rsidR="009B58B4" w:rsidRPr="00F82C8D" w:rsidRDefault="009B58B4" w:rsidP="009B58B4">
      <w:pPr>
        <w:pStyle w:val="Heading5"/>
      </w:pPr>
      <w:r w:rsidRPr="00F82C8D">
        <w:t>Baseline intensity comparison year</w:t>
      </w:r>
    </w:p>
    <w:p w:rsidR="00080ED7" w:rsidRPr="00F82C8D" w:rsidRDefault="001A7596" w:rsidP="00625D31">
      <w:pPr>
        <w:pStyle w:val="ListParagraph"/>
      </w:pPr>
      <w:r w:rsidRPr="00F82C8D">
        <w:t>A facility’s baseline intensity comparison year</w:t>
      </w:r>
      <w:r w:rsidR="001F3FDF" w:rsidRPr="00F82C8D">
        <w:t xml:space="preserve"> (defined in section 4</w:t>
      </w:r>
      <w:r w:rsidR="00B74E5E" w:rsidRPr="00F82C8D">
        <w:t xml:space="preserve"> of the safeguard rule</w:t>
      </w:r>
      <w:r w:rsidR="001F3FDF" w:rsidRPr="00F82C8D">
        <w:t>)</w:t>
      </w:r>
      <w:r w:rsidRPr="00F82C8D">
        <w:t xml:space="preserve"> will depend on </w:t>
      </w:r>
      <w:r w:rsidR="009B58B4" w:rsidRPr="00F82C8D">
        <w:t xml:space="preserve">whether its baseline has previously been varied because it passed the emissions intensity test. If the facility has previously </w:t>
      </w:r>
      <w:r w:rsidR="001F3FDF" w:rsidRPr="00F82C8D">
        <w:t>had</w:t>
      </w:r>
      <w:r w:rsidR="00080ED7" w:rsidRPr="00F82C8D">
        <w:t xml:space="preserve"> its baseline </w:t>
      </w:r>
      <w:r w:rsidR="009B58B4" w:rsidRPr="00F82C8D">
        <w:t xml:space="preserve">varied as a result of passing the emissions intensity test, the baseline intensity comparison year is the year the baseline was last varied due to a reduction in emissions intensity. This rule encourages facilities to continually reduce the emissions intensity of production. </w:t>
      </w:r>
    </w:p>
    <w:p w:rsidR="001A7596" w:rsidRPr="00F82C8D" w:rsidRDefault="009B58B4" w:rsidP="00625D31">
      <w:pPr>
        <w:pStyle w:val="ListParagraph"/>
      </w:pPr>
      <w:r w:rsidRPr="00F82C8D">
        <w:t>If the baseline has not been varied before</w:t>
      </w:r>
      <w:r w:rsidR="00080ED7" w:rsidRPr="00F82C8D">
        <w:t xml:space="preserve"> because of passing the emissions intensity test</w:t>
      </w:r>
      <w:r w:rsidRPr="00F82C8D">
        <w:t>, then the baseline intensity comparison year depends on</w:t>
      </w:r>
      <w:r w:rsidR="001F3FDF" w:rsidRPr="00F82C8D">
        <w:t xml:space="preserve"> </w:t>
      </w:r>
      <w:r w:rsidR="001A7596" w:rsidRPr="00F82C8D">
        <w:t>what kind of baseline</w:t>
      </w:r>
      <w:r w:rsidR="00080ED7" w:rsidRPr="00F82C8D">
        <w:t xml:space="preserve"> determination</w:t>
      </w:r>
      <w:r w:rsidR="001A7596" w:rsidRPr="00F82C8D">
        <w:t xml:space="preserve"> </w:t>
      </w:r>
      <w:r w:rsidR="00080ED7" w:rsidRPr="00F82C8D">
        <w:t>covers the</w:t>
      </w:r>
      <w:r w:rsidR="001A7596" w:rsidRPr="00F82C8D">
        <w:t xml:space="preserve"> facility</w:t>
      </w:r>
      <w:r w:rsidR="00080ED7" w:rsidRPr="00F82C8D">
        <w:t>:</w:t>
      </w:r>
    </w:p>
    <w:p w:rsidR="00DB293E" w:rsidRPr="00F82C8D" w:rsidRDefault="001A7596">
      <w:pPr>
        <w:pStyle w:val="ListBullet"/>
      </w:pPr>
      <w:r w:rsidRPr="00F82C8D">
        <w:t xml:space="preserve">If the facility has a </w:t>
      </w:r>
      <w:r w:rsidR="007C2047" w:rsidRPr="00F82C8D">
        <w:t>reported-emissions baseline</w:t>
      </w:r>
      <w:r w:rsidRPr="00F82C8D">
        <w:t>, the baseline intensity comparison year is the financial year with the highest emissions in the period from 2009</w:t>
      </w:r>
      <w:r w:rsidR="00053244" w:rsidRPr="00F82C8D">
        <w:t>-</w:t>
      </w:r>
      <w:r w:rsidRPr="00F82C8D">
        <w:t>10 to 2013</w:t>
      </w:r>
      <w:r w:rsidR="00053244" w:rsidRPr="00F82C8D">
        <w:t>-</w:t>
      </w:r>
      <w:r w:rsidR="001C4823" w:rsidRPr="00F82C8D">
        <w:t xml:space="preserve">14 (see </w:t>
      </w:r>
      <w:r w:rsidR="00023AB0" w:rsidRPr="00F82C8D">
        <w:t xml:space="preserve">section headed </w:t>
      </w:r>
      <w:fldSimple w:instr=" REF _Ref427660562 \h  \* MERGEFORMAT ">
        <w:r w:rsidR="00F16B1F" w:rsidRPr="00F16B1F">
          <w:rPr>
            <w:i/>
          </w:rPr>
          <w:t>Section 14: Reported-emissions baseline determination</w:t>
        </w:r>
      </w:fldSimple>
      <w:r w:rsidR="00023AB0" w:rsidRPr="00F82C8D">
        <w:t xml:space="preserve"> on page </w:t>
      </w:r>
      <w:r w:rsidR="00744D5E" w:rsidRPr="00F82C8D">
        <w:fldChar w:fldCharType="begin"/>
      </w:r>
      <w:r w:rsidR="00023AB0" w:rsidRPr="00F82C8D">
        <w:instrText xml:space="preserve"> PAGEREF _Ref427660562 \h </w:instrText>
      </w:r>
      <w:r w:rsidR="00744D5E" w:rsidRPr="00F82C8D">
        <w:fldChar w:fldCharType="separate"/>
      </w:r>
      <w:r w:rsidR="00F16B1F">
        <w:rPr>
          <w:noProof/>
        </w:rPr>
        <w:t>39</w:t>
      </w:r>
      <w:r w:rsidR="00744D5E" w:rsidRPr="00F82C8D">
        <w:fldChar w:fldCharType="end"/>
      </w:r>
      <w:r w:rsidR="00BA732C" w:rsidRPr="00F82C8D">
        <w:t xml:space="preserve"> of</w:t>
      </w:r>
      <w:r w:rsidR="004C00A9" w:rsidRPr="00F82C8D">
        <w:t xml:space="preserve"> the</w:t>
      </w:r>
      <w:r w:rsidR="00023AB0" w:rsidRPr="00F82C8D">
        <w:t xml:space="preserve"> </w:t>
      </w:r>
      <w:r w:rsidR="00D360AB" w:rsidRPr="00F82C8D">
        <w:t>Exp</w:t>
      </w:r>
      <w:r w:rsidR="004C00A9" w:rsidRPr="00F82C8D">
        <w:t>lanatory Statement</w:t>
      </w:r>
      <w:r w:rsidRPr="00F82C8D">
        <w:t>).</w:t>
      </w:r>
    </w:p>
    <w:p w:rsidR="00DB293E" w:rsidRPr="00F82C8D" w:rsidRDefault="00DF57B7">
      <w:pPr>
        <w:pStyle w:val="ListBullet"/>
      </w:pPr>
      <w:r w:rsidRPr="00F82C8D">
        <w:t>If the facility has a calculated-emissions baseline, the baseline intensity comparison year</w:t>
      </w:r>
      <w:r w:rsidR="00143D12" w:rsidRPr="00F82C8D">
        <w:t xml:space="preserve"> is</w:t>
      </w:r>
      <w:r w:rsidRPr="00F82C8D">
        <w:t xml:space="preserve"> deemed to be the first financial year</w:t>
      </w:r>
      <w:r w:rsidR="00552B33" w:rsidRPr="00F82C8D">
        <w:t xml:space="preserve"> of</w:t>
      </w:r>
      <w:r w:rsidRPr="00F82C8D">
        <w:t xml:space="preserve"> that determination</w:t>
      </w:r>
      <w:r w:rsidR="00BA6BE0" w:rsidRPr="00F82C8D">
        <w:t xml:space="preserve">. That </w:t>
      </w:r>
      <w:r w:rsidRPr="00F82C8D">
        <w:t>year could be the same as the financial year for which the emissions intensity test is being applied. However, the</w:t>
      </w:r>
      <w:r w:rsidR="00D628FB" w:rsidRPr="00F82C8D">
        <w:t xml:space="preserve"> estimated </w:t>
      </w:r>
      <w:r w:rsidR="00BB7C53" w:rsidRPr="00F82C8D">
        <w:t>emissions intens</w:t>
      </w:r>
      <w:r w:rsidR="00D628FB" w:rsidRPr="00F82C8D">
        <w:t xml:space="preserve">ity </w:t>
      </w:r>
      <w:r w:rsidR="001F3FDF" w:rsidRPr="00F82C8D">
        <w:t>is used in the emissions intensity test rather</w:t>
      </w:r>
      <w:r w:rsidR="00D628FB" w:rsidRPr="00F82C8D">
        <w:t xml:space="preserve"> than actual reported </w:t>
      </w:r>
      <w:r w:rsidR="00BB7C53" w:rsidRPr="00F82C8D">
        <w:t>emissions intens</w:t>
      </w:r>
      <w:r w:rsidR="000E6ADF" w:rsidRPr="00F82C8D">
        <w:t xml:space="preserve">ity (see </w:t>
      </w:r>
      <w:r w:rsidR="001C4823" w:rsidRPr="00F82C8D">
        <w:t xml:space="preserve">paragraph </w:t>
      </w:r>
      <w:fldSimple w:instr=" REF _Ref426467230 \r \h  \* MERGEFORMAT ">
        <w:r w:rsidR="00F16B1F">
          <w:t>3.108</w:t>
        </w:r>
      </w:fldSimple>
      <w:r w:rsidR="00BA732C" w:rsidRPr="00F82C8D">
        <w:t xml:space="preserve"> </w:t>
      </w:r>
      <w:r w:rsidR="001F3FDF" w:rsidRPr="00F82C8D">
        <w:t xml:space="preserve">on page </w:t>
      </w:r>
      <w:r w:rsidR="00744D5E" w:rsidRPr="00F82C8D">
        <w:fldChar w:fldCharType="begin"/>
      </w:r>
      <w:r w:rsidR="001F3FDF" w:rsidRPr="00F82C8D">
        <w:instrText xml:space="preserve"> PAGEREF _Ref426467230 \h </w:instrText>
      </w:r>
      <w:r w:rsidR="00744D5E" w:rsidRPr="00F82C8D">
        <w:fldChar w:fldCharType="separate"/>
      </w:r>
      <w:r w:rsidR="00F16B1F">
        <w:rPr>
          <w:noProof/>
        </w:rPr>
        <w:t>55</w:t>
      </w:r>
      <w:r w:rsidR="00744D5E" w:rsidRPr="00F82C8D">
        <w:fldChar w:fldCharType="end"/>
      </w:r>
      <w:r w:rsidR="001F3FDF" w:rsidRPr="00F82C8D">
        <w:t xml:space="preserve"> of</w:t>
      </w:r>
      <w:r w:rsidR="004C00A9" w:rsidRPr="00F82C8D">
        <w:t xml:space="preserve"> the</w:t>
      </w:r>
      <w:r w:rsidR="001F3FDF" w:rsidRPr="00F82C8D">
        <w:t xml:space="preserve"> </w:t>
      </w:r>
      <w:r w:rsidR="00D360AB" w:rsidRPr="00F82C8D">
        <w:t>Exp</w:t>
      </w:r>
      <w:r w:rsidR="004C00A9" w:rsidRPr="00F82C8D">
        <w:t>lanatory Statement</w:t>
      </w:r>
      <w:r w:rsidR="001A7596" w:rsidRPr="00F82C8D">
        <w:t>).</w:t>
      </w:r>
    </w:p>
    <w:p w:rsidR="00DB293E" w:rsidRPr="00F82C8D" w:rsidRDefault="001A7596">
      <w:pPr>
        <w:pStyle w:val="ListBullet"/>
      </w:pPr>
      <w:r w:rsidRPr="00F82C8D">
        <w:t>If the facility has a production-adjusted baseline, the baseline intensity comparison year is the financial year used to determine the baseline emissions nu</w:t>
      </w:r>
      <w:r w:rsidR="00BD5E65" w:rsidRPr="00F82C8D">
        <w:t xml:space="preserve">mber for that baseline (see </w:t>
      </w:r>
      <w:r w:rsidR="00893FB8" w:rsidRPr="00F82C8D">
        <w:t>paragraph</w:t>
      </w:r>
      <w:r w:rsidR="00BD5E65" w:rsidRPr="00F82C8D">
        <w:t xml:space="preserve"> </w:t>
      </w:r>
      <w:fldSimple w:instr=" REF _Ref426467515 \r \h  \* MERGEFORMAT ">
        <w:r w:rsidR="00F16B1F">
          <w:t>3.204</w:t>
        </w:r>
      </w:fldSimple>
      <w:r w:rsidR="00BA732C" w:rsidRPr="00F82C8D">
        <w:t xml:space="preserve"> </w:t>
      </w:r>
      <w:r w:rsidR="001F3FDF" w:rsidRPr="00F82C8D">
        <w:t xml:space="preserve">on page </w:t>
      </w:r>
      <w:r w:rsidR="00744D5E" w:rsidRPr="00F82C8D">
        <w:fldChar w:fldCharType="begin"/>
      </w:r>
      <w:r w:rsidR="001F3FDF" w:rsidRPr="00F82C8D">
        <w:instrText xml:space="preserve"> PAGEREF _Ref426467515 \h </w:instrText>
      </w:r>
      <w:r w:rsidR="00744D5E" w:rsidRPr="00F82C8D">
        <w:fldChar w:fldCharType="separate"/>
      </w:r>
      <w:r w:rsidR="00F16B1F">
        <w:rPr>
          <w:noProof/>
        </w:rPr>
        <w:t>72</w:t>
      </w:r>
      <w:r w:rsidR="00744D5E" w:rsidRPr="00F82C8D">
        <w:fldChar w:fldCharType="end"/>
      </w:r>
      <w:r w:rsidR="007528E0" w:rsidRPr="00F82C8D">
        <w:t xml:space="preserve"> </w:t>
      </w:r>
      <w:r w:rsidR="00BA732C" w:rsidRPr="00F82C8D">
        <w:t>of</w:t>
      </w:r>
      <w:r w:rsidR="004C00A9" w:rsidRPr="00F82C8D">
        <w:t xml:space="preserve"> the</w:t>
      </w:r>
      <w:r w:rsidR="00F37DA6" w:rsidRPr="00F82C8D">
        <w:t xml:space="preserve"> </w:t>
      </w:r>
      <w:r w:rsidR="00D360AB" w:rsidRPr="00F82C8D">
        <w:t>Exp</w:t>
      </w:r>
      <w:r w:rsidR="004C00A9" w:rsidRPr="00F82C8D">
        <w:t>lanatory Statement</w:t>
      </w:r>
      <w:r w:rsidRPr="00F82C8D">
        <w:t>).</w:t>
      </w:r>
    </w:p>
    <w:p w:rsidR="007528E0" w:rsidRPr="00F82C8D" w:rsidRDefault="007528E0" w:rsidP="007528E0">
      <w:pPr>
        <w:pStyle w:val="Heading5"/>
      </w:pPr>
      <w:r w:rsidRPr="00F82C8D">
        <w:t>Emissions intensity test formula</w:t>
      </w:r>
    </w:p>
    <w:p w:rsidR="001A7596" w:rsidRPr="00F82C8D" w:rsidRDefault="001A7596" w:rsidP="00625D31">
      <w:pPr>
        <w:pStyle w:val="ListParagraph"/>
      </w:pPr>
      <w:r w:rsidRPr="00F82C8D">
        <w:t>Once a facility has identified its baseline intensity comparison year, it must identify its production variables in acc</w:t>
      </w:r>
      <w:r w:rsidR="00BD5E65" w:rsidRPr="00F82C8D">
        <w:t>ordance with section 5</w:t>
      </w:r>
      <w:r w:rsidR="00B74E5E" w:rsidRPr="00F82C8D">
        <w:t xml:space="preserve"> of the safeguard rule</w:t>
      </w:r>
      <w:r w:rsidRPr="00F82C8D">
        <w:t>.</w:t>
      </w:r>
    </w:p>
    <w:p w:rsidR="001A7596" w:rsidRPr="00F82C8D" w:rsidRDefault="001A7596" w:rsidP="00625D31">
      <w:pPr>
        <w:pStyle w:val="ListParagraph"/>
        <w:rPr>
          <w:rStyle w:val="Emphasis"/>
          <w:b w:val="0"/>
          <w:bCs w:val="0"/>
          <w:i w:val="0"/>
          <w:iCs/>
          <w:sz w:val="24"/>
        </w:rPr>
      </w:pPr>
      <w:r w:rsidRPr="00F82C8D">
        <w:t xml:space="preserve">Where a facility has a single production variable present in </w:t>
      </w:r>
      <w:r w:rsidR="007528E0" w:rsidRPr="00F82C8D">
        <w:t xml:space="preserve">both </w:t>
      </w:r>
      <w:r w:rsidRPr="00F82C8D">
        <w:t xml:space="preserve">the baseline intensity comparison year and </w:t>
      </w:r>
      <w:r w:rsidR="007528E0" w:rsidRPr="00F82C8D">
        <w:t>the year for which the variation is sought, the emissions intensities</w:t>
      </w:r>
      <w:r w:rsidRPr="00F82C8D">
        <w:t xml:space="preserve"> of the production variable in the</w:t>
      </w:r>
      <w:r w:rsidR="007528E0" w:rsidRPr="00F82C8D">
        <w:t>se two years is compared.</w:t>
      </w:r>
      <w:r w:rsidR="00394E74" w:rsidRPr="00F82C8D">
        <w:t xml:space="preserve"> </w:t>
      </w:r>
      <w:r w:rsidRPr="00F82C8D">
        <w:t>If the emissions intensity is lower in t</w:t>
      </w:r>
      <w:r w:rsidR="007528E0" w:rsidRPr="00F82C8D">
        <w:t>he year for which the variation is sought</w:t>
      </w:r>
      <w:r w:rsidRPr="00F82C8D">
        <w:t>, the facility passes the emissions intensity test</w:t>
      </w:r>
      <w:r w:rsidR="0062404E" w:rsidRPr="00F82C8D">
        <w:t xml:space="preserve">. </w:t>
      </w:r>
      <w:r w:rsidRPr="00F82C8D">
        <w:rPr>
          <w:rStyle w:val="Emphasis"/>
        </w:rPr>
        <w:t>[paragraph 47(1)(a)]</w:t>
      </w:r>
    </w:p>
    <w:p w:rsidR="00BD0B4E" w:rsidRPr="00F82C8D" w:rsidRDefault="006E6D5E" w:rsidP="005F264E">
      <w:pPr>
        <w:pStyle w:val="Quote"/>
      </w:pPr>
      <w:r w:rsidRPr="00F82C8D">
        <w:t xml:space="preserve">For example, if the highest production year of a reported-emissions baseline determination (2013-14) had an </w:t>
      </w:r>
      <w:r w:rsidR="00BB7C53" w:rsidRPr="00F82C8D">
        <w:t>emissions intens</w:t>
      </w:r>
      <w:r w:rsidRPr="00F82C8D">
        <w:t>ity of 2 t CO</w:t>
      </w:r>
      <w:r w:rsidR="00E073C6" w:rsidRPr="00F82C8D">
        <w:rPr>
          <w:vertAlign w:val="subscript"/>
        </w:rPr>
        <w:t>2</w:t>
      </w:r>
      <w:r w:rsidR="00E073C6" w:rsidRPr="00F82C8D">
        <w:t>-</w:t>
      </w:r>
      <w:r w:rsidRPr="00F82C8D">
        <w:t xml:space="preserve">e per tonne of synthetic rutile and in 2017-18 the </w:t>
      </w:r>
      <w:r w:rsidR="00BB7C53" w:rsidRPr="00F82C8D">
        <w:t>emissions intens</w:t>
      </w:r>
      <w:r w:rsidRPr="00F82C8D">
        <w:t xml:space="preserve">ity </w:t>
      </w:r>
      <w:r w:rsidR="005F264E" w:rsidRPr="00F82C8D">
        <w:t>decreased to</w:t>
      </w:r>
      <w:r w:rsidR="007528E0" w:rsidRPr="00F82C8D">
        <w:t xml:space="preserve"> 1.95 t </w:t>
      </w:r>
      <w:r w:rsidRPr="00F82C8D">
        <w:t>CO</w:t>
      </w:r>
      <w:r w:rsidR="00E073C6" w:rsidRPr="00F82C8D">
        <w:rPr>
          <w:vertAlign w:val="subscript"/>
        </w:rPr>
        <w:t>2</w:t>
      </w:r>
      <w:r w:rsidR="007528E0" w:rsidRPr="00F82C8D">
        <w:noBreakHyphen/>
      </w:r>
      <w:r w:rsidRPr="00F82C8D">
        <w:t>e per tonne of synthetic rutile</w:t>
      </w:r>
      <w:r w:rsidR="00D3333A" w:rsidRPr="00F82C8D">
        <w:t xml:space="preserve">, the </w:t>
      </w:r>
      <w:r w:rsidR="00BB7C53" w:rsidRPr="00F82C8D">
        <w:t>emissions intens</w:t>
      </w:r>
      <w:r w:rsidR="00F24E7E" w:rsidRPr="00F82C8D">
        <w:t>it</w:t>
      </w:r>
      <w:r w:rsidR="00D3333A" w:rsidRPr="00F82C8D">
        <w:t>y test would be passed for 2017-18</w:t>
      </w:r>
      <w:r w:rsidRPr="00F82C8D">
        <w:t>.</w:t>
      </w:r>
    </w:p>
    <w:p w:rsidR="001A7596" w:rsidRPr="00F82C8D" w:rsidRDefault="001A7596" w:rsidP="00625D31">
      <w:pPr>
        <w:pStyle w:val="ListParagraph"/>
        <w:rPr>
          <w:rFonts w:eastAsiaTheme="majorEastAsia"/>
          <w:lang w:val="en-AU"/>
        </w:rPr>
      </w:pPr>
      <w:r w:rsidRPr="00F82C8D">
        <w:t xml:space="preserve">Where a facility has multiple production variables common to </w:t>
      </w:r>
      <w:r w:rsidR="007528E0" w:rsidRPr="00F82C8D">
        <w:t xml:space="preserve">the baseline intensity comparison year and the year for which the variation is sought, </w:t>
      </w:r>
      <w:r w:rsidRPr="00F82C8D">
        <w:t xml:space="preserve">the facility passes the emissions intensity test if the result of the following equation is positive </w:t>
      </w:r>
      <w:r w:rsidRPr="00F82C8D">
        <w:rPr>
          <w:rStyle w:val="Emphasis"/>
        </w:rPr>
        <w:t>[paragraph 47(1)(b)]</w:t>
      </w:r>
      <w:r w:rsidR="00330C0B" w:rsidRPr="00F82C8D">
        <w:rPr>
          <w:rStyle w:val="Emphasis"/>
          <w:b w:val="0"/>
          <w:i w:val="0"/>
        </w:rPr>
        <w:t>:</w:t>
      </w:r>
    </w:p>
    <w:p w:rsidR="001A7596" w:rsidRPr="00F82C8D" w:rsidRDefault="00744D5E" w:rsidP="001A7596">
      <w:pPr>
        <w:keepNext/>
        <w:keepLines/>
        <w:tabs>
          <w:tab w:val="left" w:pos="0"/>
        </w:tabs>
        <w:spacing w:after="240" w:line="240" w:lineRule="auto"/>
        <w:ind w:left="2127"/>
        <w:rPr>
          <w:rFonts w:eastAsiaTheme="majorEastAsia" w:cs="Times New Roman"/>
          <w:bCs/>
          <w:lang w:val="en-AU"/>
        </w:rPr>
      </w:pPr>
      <m:oMathPara>
        <m:oMathParaPr>
          <m:jc m:val="center"/>
        </m:oMathParaPr>
        <m:oMath>
          <m:nary>
            <m:naryPr>
              <m:chr m:val="∑"/>
              <m:limLoc m:val="undOvr"/>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 xml:space="preserve"> (EI</m:t>
                  </m:r>
                </m:e>
                <m:sub>
                  <m:r>
                    <w:rPr>
                      <w:rFonts w:ascii="Cambria Math" w:hAnsi="Cambria Math"/>
                    </w:rPr>
                    <m:t>b,p</m:t>
                  </m:r>
                </m:sub>
              </m:sSub>
              <m:r>
                <w:rPr>
                  <w:rFonts w:ascii="Cambria Math" w:hAnsi="Cambria Math"/>
                </w:rPr>
                <m:t>-</m:t>
              </m:r>
              <m:sSub>
                <m:sSubPr>
                  <m:ctrlPr>
                    <w:rPr>
                      <w:rFonts w:ascii="Cambria Math" w:hAnsi="Cambria Math"/>
                      <w:i/>
                    </w:rPr>
                  </m:ctrlPr>
                </m:sSubPr>
                <m:e>
                  <m:r>
                    <w:rPr>
                      <w:rFonts w:ascii="Cambria Math" w:hAnsi="Cambria Math"/>
                    </w:rPr>
                    <m:t xml:space="preserve"> EI</m:t>
                  </m:r>
                </m:e>
                <m:sub>
                  <m:r>
                    <w:rPr>
                      <w:rFonts w:ascii="Cambria Math" w:hAnsi="Cambria Math"/>
                    </w:rPr>
                    <m:t>f,p</m:t>
                  </m:r>
                </m:sub>
              </m:sSub>
              <m:r>
                <w:rPr>
                  <w:rFonts w:ascii="Cambria Math" w:hAnsi="Cambria Math"/>
                </w:rPr>
                <m:t xml:space="preserve">)  ×  </m:t>
              </m:r>
              <m:sSub>
                <m:sSubPr>
                  <m:ctrlPr>
                    <w:rPr>
                      <w:rFonts w:ascii="Cambria Math" w:hAnsi="Cambria Math"/>
                      <w:i/>
                    </w:rPr>
                  </m:ctrlPr>
                </m:sSubPr>
                <m:e>
                  <m:r>
                    <w:rPr>
                      <w:rFonts w:ascii="Cambria Math" w:hAnsi="Cambria Math"/>
                    </w:rPr>
                    <m:t xml:space="preserve"> Q</m:t>
                  </m:r>
                </m:e>
                <m:sub>
                  <m:r>
                    <w:rPr>
                      <w:rFonts w:ascii="Cambria Math" w:hAnsi="Cambria Math"/>
                    </w:rPr>
                    <m:t>f,p</m:t>
                  </m:r>
                </m:sub>
              </m:sSub>
            </m:e>
          </m:nary>
        </m:oMath>
      </m:oMathPara>
    </w:p>
    <w:p w:rsidR="001A7596" w:rsidRPr="00F82C8D" w:rsidRDefault="00F23941" w:rsidP="001A7596">
      <w:pPr>
        <w:keepNext/>
        <w:keepLines/>
        <w:tabs>
          <w:tab w:val="left" w:pos="0"/>
        </w:tabs>
        <w:spacing w:after="240" w:line="240" w:lineRule="auto"/>
        <w:rPr>
          <w:rFonts w:eastAsiaTheme="majorEastAsia" w:cs="Times New Roman"/>
          <w:bCs/>
          <w:lang w:val="en-AU"/>
        </w:rPr>
      </w:pPr>
      <w:r w:rsidRPr="00F82C8D">
        <w:rPr>
          <w:rFonts w:eastAsiaTheme="majorEastAsia" w:cs="Times New Roman"/>
          <w:bCs/>
          <w:lang w:val="en-AU"/>
        </w:rPr>
        <w:tab/>
      </w:r>
      <w:r w:rsidRPr="00F82C8D">
        <w:rPr>
          <w:rFonts w:eastAsiaTheme="majorEastAsia" w:cs="Times New Roman"/>
          <w:bCs/>
          <w:lang w:val="en-AU"/>
        </w:rPr>
        <w:tab/>
      </w:r>
      <w:r w:rsidR="001A7596" w:rsidRPr="00F82C8D">
        <w:rPr>
          <w:rFonts w:eastAsiaTheme="majorEastAsia" w:cs="Times New Roman"/>
          <w:bCs/>
          <w:lang w:val="en-AU"/>
        </w:rPr>
        <w:t>Where:</w:t>
      </w:r>
    </w:p>
    <w:p w:rsidR="001A7596" w:rsidRPr="00F82C8D" w:rsidRDefault="00744D5E" w:rsidP="001A7596">
      <w:pPr>
        <w:keepNext/>
        <w:keepLines/>
        <w:tabs>
          <w:tab w:val="left" w:pos="0"/>
        </w:tabs>
        <w:spacing w:after="240" w:line="240" w:lineRule="auto"/>
        <w:ind w:left="1440"/>
        <w:rPr>
          <w:rFonts w:eastAsiaTheme="majorEastAsia" w:cs="Times New Roman"/>
          <w:bCs/>
          <w:szCs w:val="24"/>
          <w:lang w:val="en-AU"/>
        </w:rPr>
      </w:pPr>
      <m:oMath>
        <m:sSub>
          <m:sSubPr>
            <m:ctrlPr>
              <w:rPr>
                <w:rFonts w:ascii="Cambria Math" w:eastAsiaTheme="majorEastAsia" w:hAnsi="Cambria Math" w:cs="Times New Roman"/>
                <w:bCs/>
                <w:i/>
                <w:szCs w:val="24"/>
                <w:lang w:val="en-AU"/>
              </w:rPr>
            </m:ctrlPr>
          </m:sSubPr>
          <m:e>
            <m:r>
              <w:rPr>
                <w:rFonts w:ascii="Cambria Math" w:eastAsiaTheme="majorEastAsia" w:hAnsi="Cambria Math" w:cs="Times New Roman"/>
                <w:szCs w:val="24"/>
                <w:lang w:val="en-AU"/>
              </w:rPr>
              <m:t>EI</m:t>
            </m:r>
          </m:e>
          <m:sub>
            <m:r>
              <w:rPr>
                <w:rFonts w:ascii="Cambria Math" w:eastAsiaTheme="majorEastAsia" w:hAnsi="Cambria Math" w:cs="Times New Roman"/>
                <w:szCs w:val="24"/>
                <w:lang w:val="en-AU"/>
              </w:rPr>
              <m:t>b,p</m:t>
            </m:r>
          </m:sub>
        </m:sSub>
      </m:oMath>
      <w:r w:rsidR="001A7596" w:rsidRPr="00F82C8D">
        <w:rPr>
          <w:rFonts w:eastAsiaTheme="majorEastAsia" w:cs="Times New Roman"/>
          <w:bCs/>
          <w:szCs w:val="24"/>
          <w:lang w:val="en-AU"/>
        </w:rPr>
        <w:t xml:space="preserve"> is the </w:t>
      </w:r>
      <w:r w:rsidR="00BB7C53" w:rsidRPr="00F82C8D">
        <w:rPr>
          <w:rFonts w:eastAsiaTheme="majorEastAsia" w:cs="Times New Roman"/>
          <w:bCs/>
          <w:szCs w:val="24"/>
          <w:lang w:val="en-AU"/>
        </w:rPr>
        <w:t>emissions intens</w:t>
      </w:r>
      <w:r w:rsidR="001A7596" w:rsidRPr="00F82C8D">
        <w:rPr>
          <w:rFonts w:eastAsiaTheme="majorEastAsia" w:cs="Times New Roman"/>
          <w:bCs/>
          <w:szCs w:val="24"/>
          <w:lang w:val="en-AU"/>
        </w:rPr>
        <w:t xml:space="preserve">ity of production variable </w:t>
      </w:r>
      <w:r w:rsidR="001A7596" w:rsidRPr="00F82C8D">
        <w:rPr>
          <w:rFonts w:eastAsiaTheme="majorEastAsia" w:cs="Times New Roman"/>
          <w:bCs/>
          <w:i/>
          <w:szCs w:val="24"/>
          <w:lang w:val="en-AU"/>
        </w:rPr>
        <w:t xml:space="preserve">p </w:t>
      </w:r>
      <w:r w:rsidR="001A7596" w:rsidRPr="00F82C8D">
        <w:rPr>
          <w:rFonts w:eastAsiaTheme="majorEastAsia" w:cs="Times New Roman"/>
          <w:bCs/>
          <w:szCs w:val="24"/>
          <w:lang w:val="en-AU"/>
        </w:rPr>
        <w:t xml:space="preserve">in the baseline intensity comparison year </w:t>
      </w:r>
      <w:r w:rsidR="001A7596" w:rsidRPr="00F82C8D">
        <w:rPr>
          <w:rFonts w:eastAsiaTheme="majorEastAsia" w:cs="Times New Roman"/>
          <w:bCs/>
          <w:i/>
          <w:szCs w:val="24"/>
          <w:lang w:val="en-AU"/>
        </w:rPr>
        <w:t>b</w:t>
      </w:r>
    </w:p>
    <w:p w:rsidR="001A7596" w:rsidRPr="00F82C8D" w:rsidRDefault="00744D5E" w:rsidP="001A7596">
      <w:pPr>
        <w:keepNext/>
        <w:keepLines/>
        <w:tabs>
          <w:tab w:val="left" w:pos="0"/>
        </w:tabs>
        <w:spacing w:after="240" w:line="240" w:lineRule="auto"/>
        <w:ind w:left="1440"/>
        <w:rPr>
          <w:rFonts w:eastAsiaTheme="majorEastAsia" w:cs="Times New Roman"/>
          <w:bCs/>
          <w:szCs w:val="24"/>
          <w:lang w:val="en-AU"/>
        </w:rPr>
      </w:pPr>
      <m:oMath>
        <m:sSub>
          <m:sSubPr>
            <m:ctrlPr>
              <w:rPr>
                <w:rFonts w:ascii="Cambria Math" w:eastAsiaTheme="majorEastAsia" w:hAnsi="Cambria Math" w:cs="Times New Roman"/>
                <w:bCs/>
                <w:i/>
                <w:szCs w:val="24"/>
                <w:lang w:val="en-AU"/>
              </w:rPr>
            </m:ctrlPr>
          </m:sSubPr>
          <m:e>
            <m:r>
              <w:rPr>
                <w:rFonts w:ascii="Cambria Math" w:eastAsiaTheme="majorEastAsia" w:hAnsi="Cambria Math" w:cs="Times New Roman"/>
                <w:szCs w:val="24"/>
                <w:lang w:val="en-AU"/>
              </w:rPr>
              <m:t>EI</m:t>
            </m:r>
          </m:e>
          <m:sub>
            <m:r>
              <w:rPr>
                <w:rFonts w:ascii="Cambria Math" w:eastAsiaTheme="majorEastAsia" w:hAnsi="Cambria Math" w:cs="Times New Roman"/>
                <w:szCs w:val="24"/>
                <w:lang w:val="en-AU"/>
              </w:rPr>
              <m:t>f</m:t>
            </m:r>
            <m:r>
              <w:rPr>
                <w:rFonts w:ascii="Cambria Math" w:eastAsiaTheme="majorEastAsia" w:cs="Times New Roman"/>
                <w:szCs w:val="24"/>
                <w:lang w:val="en-AU"/>
              </w:rPr>
              <m:t>,</m:t>
            </m:r>
            <m:r>
              <w:rPr>
                <w:rFonts w:ascii="Cambria Math" w:eastAsiaTheme="majorEastAsia" w:hAnsi="Cambria Math" w:cs="Times New Roman"/>
                <w:szCs w:val="24"/>
                <w:lang w:val="en-AU"/>
              </w:rPr>
              <m:t>p</m:t>
            </m:r>
          </m:sub>
        </m:sSub>
      </m:oMath>
      <w:r w:rsidR="001A7596" w:rsidRPr="00F82C8D">
        <w:rPr>
          <w:rFonts w:eastAsiaTheme="majorEastAsia" w:cs="Times New Roman"/>
          <w:bCs/>
          <w:szCs w:val="24"/>
          <w:lang w:val="en-AU"/>
        </w:rPr>
        <w:t xml:space="preserve"> is the </w:t>
      </w:r>
      <w:r w:rsidR="00BB7C53" w:rsidRPr="00F82C8D">
        <w:rPr>
          <w:rFonts w:eastAsiaTheme="majorEastAsia" w:cs="Times New Roman"/>
          <w:bCs/>
          <w:szCs w:val="24"/>
          <w:lang w:val="en-AU"/>
        </w:rPr>
        <w:t>emissions intens</w:t>
      </w:r>
      <w:r w:rsidR="001A7596" w:rsidRPr="00F82C8D">
        <w:rPr>
          <w:rFonts w:eastAsiaTheme="majorEastAsia" w:cs="Times New Roman"/>
          <w:bCs/>
          <w:szCs w:val="24"/>
          <w:lang w:val="en-AU"/>
        </w:rPr>
        <w:t xml:space="preserve">ity of production variable </w:t>
      </w:r>
      <w:r w:rsidR="001A7596" w:rsidRPr="00F82C8D">
        <w:rPr>
          <w:rFonts w:eastAsiaTheme="majorEastAsia" w:cs="Times New Roman"/>
          <w:bCs/>
          <w:i/>
          <w:szCs w:val="24"/>
          <w:lang w:val="en-AU"/>
        </w:rPr>
        <w:t xml:space="preserve">p </w:t>
      </w:r>
      <w:r w:rsidR="001A7596" w:rsidRPr="00F82C8D">
        <w:rPr>
          <w:rFonts w:eastAsiaTheme="majorEastAsia" w:cs="Times New Roman"/>
          <w:bCs/>
          <w:szCs w:val="24"/>
          <w:lang w:val="en-AU"/>
        </w:rPr>
        <w:t xml:space="preserve">in the </w:t>
      </w:r>
      <w:r w:rsidR="007528E0" w:rsidRPr="00F82C8D">
        <w:rPr>
          <w:rFonts w:cs="Times New Roman"/>
          <w:szCs w:val="24"/>
        </w:rPr>
        <w:t>year for which the variation is sought</w:t>
      </w:r>
      <w:r w:rsidR="007528E0" w:rsidRPr="00F82C8D">
        <w:rPr>
          <w:rFonts w:eastAsiaTheme="majorEastAsia" w:cs="Times New Roman"/>
          <w:bCs/>
          <w:i/>
          <w:szCs w:val="24"/>
          <w:lang w:val="en-AU"/>
        </w:rPr>
        <w:t xml:space="preserve"> </w:t>
      </w:r>
      <w:r w:rsidR="001A7596" w:rsidRPr="00F82C8D">
        <w:rPr>
          <w:rFonts w:eastAsiaTheme="majorEastAsia" w:cs="Times New Roman"/>
          <w:bCs/>
          <w:i/>
          <w:szCs w:val="24"/>
          <w:lang w:val="en-AU"/>
        </w:rPr>
        <w:t>f</w:t>
      </w:r>
    </w:p>
    <w:p w:rsidR="001A7596" w:rsidRPr="00F82C8D" w:rsidRDefault="00744D5E" w:rsidP="001A7596">
      <w:pPr>
        <w:keepNext/>
        <w:keepLines/>
        <w:tabs>
          <w:tab w:val="left" w:pos="0"/>
        </w:tabs>
        <w:spacing w:after="240" w:line="240" w:lineRule="auto"/>
        <w:ind w:left="1440"/>
        <w:rPr>
          <w:rFonts w:eastAsiaTheme="majorEastAsia" w:cs="Times New Roman"/>
          <w:bCs/>
          <w:szCs w:val="24"/>
          <w:lang w:val="en-AU"/>
        </w:rPr>
      </w:pPr>
      <m:oMath>
        <m:sSub>
          <m:sSubPr>
            <m:ctrlPr>
              <w:rPr>
                <w:rFonts w:ascii="Cambria Math" w:eastAsiaTheme="majorEastAsia" w:hAnsi="Cambria Math" w:cs="Times New Roman"/>
                <w:bCs/>
                <w:i/>
                <w:szCs w:val="24"/>
                <w:lang w:val="en-AU"/>
              </w:rPr>
            </m:ctrlPr>
          </m:sSubPr>
          <m:e>
            <m:r>
              <w:rPr>
                <w:rFonts w:ascii="Cambria Math" w:eastAsiaTheme="majorEastAsia" w:hAnsi="Cambria Math" w:cs="Times New Roman"/>
                <w:szCs w:val="24"/>
                <w:lang w:val="en-AU"/>
              </w:rPr>
              <m:t>Q</m:t>
            </m:r>
          </m:e>
          <m:sub>
            <m:r>
              <w:rPr>
                <w:rFonts w:ascii="Cambria Math" w:eastAsiaTheme="majorEastAsia" w:hAnsi="Cambria Math" w:cs="Times New Roman"/>
                <w:szCs w:val="24"/>
                <w:lang w:val="en-AU"/>
              </w:rPr>
              <m:t>f</m:t>
            </m:r>
            <m:r>
              <w:rPr>
                <w:rFonts w:ascii="Cambria Math" w:eastAsiaTheme="majorEastAsia" w:cs="Times New Roman"/>
                <w:szCs w:val="24"/>
                <w:lang w:val="en-AU"/>
              </w:rPr>
              <m:t>,</m:t>
            </m:r>
            <m:r>
              <w:rPr>
                <w:rFonts w:ascii="Cambria Math" w:eastAsiaTheme="majorEastAsia" w:hAnsi="Cambria Math" w:cs="Times New Roman"/>
                <w:szCs w:val="24"/>
                <w:lang w:val="en-AU"/>
              </w:rPr>
              <m:t>p</m:t>
            </m:r>
          </m:sub>
        </m:sSub>
      </m:oMath>
      <w:r w:rsidR="001A7596" w:rsidRPr="00F82C8D">
        <w:rPr>
          <w:rFonts w:eastAsiaTheme="majorEastAsia" w:cs="Times New Roman"/>
          <w:bCs/>
          <w:szCs w:val="24"/>
          <w:lang w:val="en-AU"/>
        </w:rPr>
        <w:t xml:space="preserve"> is the amount or volume of production variable </w:t>
      </w:r>
      <w:r w:rsidR="001A7596" w:rsidRPr="00F82C8D">
        <w:rPr>
          <w:rFonts w:eastAsiaTheme="majorEastAsia" w:cs="Times New Roman"/>
          <w:bCs/>
          <w:i/>
          <w:szCs w:val="24"/>
          <w:lang w:val="en-AU"/>
        </w:rPr>
        <w:t>p</w:t>
      </w:r>
      <w:r w:rsidR="001A7596" w:rsidRPr="00F82C8D">
        <w:rPr>
          <w:rFonts w:eastAsiaTheme="majorEastAsia" w:cs="Times New Roman"/>
          <w:bCs/>
          <w:szCs w:val="24"/>
          <w:lang w:val="en-AU"/>
        </w:rPr>
        <w:t xml:space="preserve"> produced in the </w:t>
      </w:r>
      <w:r w:rsidR="00E43414" w:rsidRPr="00F82C8D">
        <w:rPr>
          <w:rFonts w:eastAsiaTheme="majorEastAsia" w:cs="Times New Roman"/>
          <w:bCs/>
          <w:szCs w:val="24"/>
          <w:lang w:val="en-AU"/>
        </w:rPr>
        <w:t xml:space="preserve">year </w:t>
      </w:r>
      <w:r w:rsidR="00E43414" w:rsidRPr="00F82C8D">
        <w:rPr>
          <w:rFonts w:cs="Times New Roman"/>
          <w:szCs w:val="24"/>
        </w:rPr>
        <w:t>for which the variation is sought</w:t>
      </w:r>
      <w:r w:rsidR="00E43414" w:rsidRPr="00F82C8D">
        <w:rPr>
          <w:rFonts w:eastAsiaTheme="majorEastAsia" w:cs="Times New Roman"/>
          <w:bCs/>
          <w:i/>
          <w:szCs w:val="24"/>
          <w:lang w:val="en-AU"/>
        </w:rPr>
        <w:t xml:space="preserve"> f</w:t>
      </w:r>
    </w:p>
    <w:p w:rsidR="001A7596" w:rsidRPr="00F82C8D" w:rsidRDefault="001A7596" w:rsidP="00625D31">
      <w:pPr>
        <w:pStyle w:val="ListParagraph"/>
      </w:pPr>
      <w:r w:rsidRPr="00F82C8D">
        <w:rPr>
          <w:rFonts w:eastAsiaTheme="majorEastAsia"/>
          <w:lang w:val="en-AU"/>
        </w:rPr>
        <w:t xml:space="preserve">The equation calculates the </w:t>
      </w:r>
      <w:r w:rsidRPr="00F82C8D">
        <w:t>net diff</w:t>
      </w:r>
      <w:r w:rsidR="00E43414" w:rsidRPr="00F82C8D">
        <w:t>erence in emissions between the baseline intensity comparison year and the year for which the variation is sought</w:t>
      </w:r>
      <w:r w:rsidRPr="00F82C8D">
        <w:t xml:space="preserve"> by comparing the emissions intensity of </w:t>
      </w:r>
      <w:r w:rsidR="00BD6CB1" w:rsidRPr="00F82C8D">
        <w:t xml:space="preserve">the </w:t>
      </w:r>
      <w:r w:rsidRPr="00F82C8D">
        <w:t>common production variables. The result of the equation cannot be positive if the lower intensity production of one production variable is matched or exceeded by the higher intensity production of another production variable.</w:t>
      </w:r>
    </w:p>
    <w:p w:rsidR="00ED7B79" w:rsidRPr="00F82C8D" w:rsidRDefault="00ED7B79" w:rsidP="00ED7B79">
      <w:pPr>
        <w:pStyle w:val="Quote"/>
      </w:pPr>
      <w:r w:rsidRPr="00F82C8D">
        <w:t>For example, the highest production year of a reported-emissions baseline determination (2013-14) had an emissions intensity of 2 t CO2-e per tonne of synthetic rutile and 1.5 t CO2-e per tonne of titanium dioxide. In 2017-18 the emissions intensity changed to 1.9 t CO2-e per tonne of synthetic rutile and 1.6 t CO2-e per tonne of titanium dioxide. If 50,000 tonnes of synthetic rutile and 10,000 tonnes titanium dioxide were produced in 2017-18, the equation for 2017-18 would be ((2 - 1.9) × 50,000) + (1.5- 1.6) × 10,000) = 4,000. As this number is positive, the emissions intensity test is satisfied for 2017-18.</w:t>
      </w:r>
    </w:p>
    <w:p w:rsidR="00ED7B79" w:rsidRPr="00F82C8D" w:rsidRDefault="00BD6CB1" w:rsidP="00625D31">
      <w:pPr>
        <w:pStyle w:val="ListParagraph"/>
      </w:pPr>
      <w:r w:rsidRPr="00F82C8D">
        <w:t xml:space="preserve">The way that the emissions intensity </w:t>
      </w:r>
      <w:r w:rsidR="001A7596" w:rsidRPr="00F82C8D">
        <w:t>test</w:t>
      </w:r>
      <w:r w:rsidRPr="00F82C8D">
        <w:t xml:space="preserve"> is performed</w:t>
      </w:r>
      <w:r w:rsidR="001A7596" w:rsidRPr="00F82C8D">
        <w:t xml:space="preserve"> for multiple production variables is preferable to comparing the average emissions intensity of the production variables across the two years, weighted for the n</w:t>
      </w:r>
      <w:r w:rsidRPr="00F82C8D">
        <w:t>umber of production variables. This is b</w:t>
      </w:r>
      <w:r w:rsidR="001A7596" w:rsidRPr="00F82C8D">
        <w:t xml:space="preserve">ecause the weighted average emissions intensity can change as a result of production levels rather than any change in emissions intensity. </w:t>
      </w:r>
    </w:p>
    <w:p w:rsidR="001A7596" w:rsidRPr="00F82C8D" w:rsidRDefault="001A7596" w:rsidP="00ED7B79">
      <w:pPr>
        <w:pStyle w:val="Quote"/>
      </w:pPr>
      <w:r w:rsidRPr="00F82C8D">
        <w:t xml:space="preserve">For example, the weighted average emissions intensity of three production variables decreases without the emissions intensity of any of the production variables changing when the quantity of the most emissions intense production variable decreases. </w:t>
      </w:r>
    </w:p>
    <w:p w:rsidR="006B7F0C" w:rsidRPr="00F82C8D" w:rsidRDefault="006B7F0C" w:rsidP="006B7F0C">
      <w:pPr>
        <w:pStyle w:val="Heading4"/>
        <w:rPr>
          <w:b/>
          <w:lang w:val="en-AU"/>
        </w:rPr>
      </w:pPr>
      <w:r w:rsidRPr="00F82C8D">
        <w:rPr>
          <w:lang w:val="en-AU"/>
        </w:rPr>
        <w:t xml:space="preserve">Benchmark facilities </w:t>
      </w:r>
    </w:p>
    <w:p w:rsidR="006B7F0C" w:rsidRPr="00F82C8D" w:rsidRDefault="006B7F0C" w:rsidP="00915705">
      <w:pPr>
        <w:pStyle w:val="ListParagraph"/>
      </w:pPr>
      <w:r w:rsidRPr="00F82C8D">
        <w:rPr>
          <w:rFonts w:eastAsiaTheme="majorEastAsia"/>
          <w:lang w:val="en-AU"/>
        </w:rPr>
        <w:t xml:space="preserve">In the </w:t>
      </w:r>
      <w:r w:rsidR="00BB7C53" w:rsidRPr="00F82C8D">
        <w:rPr>
          <w:rFonts w:eastAsiaTheme="majorEastAsia"/>
          <w:lang w:val="en-AU"/>
        </w:rPr>
        <w:t>emissions intens</w:t>
      </w:r>
      <w:r w:rsidRPr="00F82C8D">
        <w:t xml:space="preserve">ity test for </w:t>
      </w:r>
      <w:r w:rsidRPr="00F82C8D">
        <w:rPr>
          <w:bCs/>
          <w:lang w:val="en-AU"/>
        </w:rPr>
        <w:t>benchmark facilities</w:t>
      </w:r>
      <w:r w:rsidRPr="00F82C8D">
        <w:t xml:space="preserve">, the </w:t>
      </w:r>
      <w:r w:rsidR="00BB7C53" w:rsidRPr="00F82C8D">
        <w:t>emissions intens</w:t>
      </w:r>
      <w:r w:rsidRPr="00F82C8D">
        <w:t xml:space="preserve">ity of production in the year </w:t>
      </w:r>
      <w:r w:rsidR="0007305B" w:rsidRPr="00F82C8D">
        <w:t xml:space="preserve">for which the variation is sought </w:t>
      </w:r>
      <w:r w:rsidRPr="00F82C8D">
        <w:t xml:space="preserve">is compared with the relevant benchmark </w:t>
      </w:r>
      <w:r w:rsidR="00BB7C53" w:rsidRPr="00F82C8D">
        <w:t>emissions intens</w:t>
      </w:r>
      <w:r w:rsidRPr="00F82C8D">
        <w:t>ity.</w:t>
      </w:r>
    </w:p>
    <w:p w:rsidR="006B7F0C" w:rsidRPr="00F82C8D" w:rsidRDefault="006B7F0C" w:rsidP="006B7F0C">
      <w:pPr>
        <w:pStyle w:val="ListParagraph"/>
        <w:rPr>
          <w:rStyle w:val="Emphasis"/>
          <w:b w:val="0"/>
          <w:bCs w:val="0"/>
          <w:i w:val="0"/>
          <w:iCs/>
          <w:sz w:val="24"/>
        </w:rPr>
      </w:pPr>
      <w:r w:rsidRPr="00F82C8D">
        <w:t xml:space="preserve">Where a facility’s </w:t>
      </w:r>
      <w:r w:rsidR="0007305B" w:rsidRPr="00F82C8D">
        <w:t xml:space="preserve">benchmark-emissions </w:t>
      </w:r>
      <w:r w:rsidRPr="00F82C8D">
        <w:t xml:space="preserve">baseline was made based on a single production variable, </w:t>
      </w:r>
      <w:r w:rsidR="00BD6CB1" w:rsidRPr="00F82C8D">
        <w:t xml:space="preserve">the facility passes the emissions intensity test </w:t>
      </w:r>
      <w:r w:rsidRPr="00F82C8D">
        <w:t xml:space="preserve">if the emissions intensity </w:t>
      </w:r>
      <w:r w:rsidR="0007305B" w:rsidRPr="00F82C8D">
        <w:t xml:space="preserve">in the year for which the variation is sought </w:t>
      </w:r>
      <w:r w:rsidRPr="00F82C8D">
        <w:t xml:space="preserve">is lower </w:t>
      </w:r>
      <w:r w:rsidR="0007305B" w:rsidRPr="00F82C8D">
        <w:t>than the relevant benchmark emissions intensity</w:t>
      </w:r>
      <w:r w:rsidRPr="00F82C8D">
        <w:t xml:space="preserve">. </w:t>
      </w:r>
      <w:r w:rsidRPr="00F82C8D">
        <w:rPr>
          <w:rStyle w:val="Emphasis"/>
        </w:rPr>
        <w:t>[paragraph 47(2)(a)]</w:t>
      </w:r>
    </w:p>
    <w:p w:rsidR="006B7F0C" w:rsidRPr="00F82C8D" w:rsidRDefault="006B7F0C" w:rsidP="006B7F0C">
      <w:pPr>
        <w:pStyle w:val="ListParagraph"/>
        <w:rPr>
          <w:rFonts w:eastAsiaTheme="majorEastAsia"/>
          <w:lang w:val="en-AU"/>
        </w:rPr>
      </w:pPr>
      <w:r w:rsidRPr="00F82C8D">
        <w:t xml:space="preserve">Where a facility’s </w:t>
      </w:r>
      <w:r w:rsidR="0007305B" w:rsidRPr="00F82C8D">
        <w:t xml:space="preserve">benchmark-emissions baseline </w:t>
      </w:r>
      <w:r w:rsidRPr="00F82C8D">
        <w:t>was made based upon more than one production variable</w:t>
      </w:r>
      <w:r w:rsidR="00DF57B7" w:rsidRPr="00F82C8D">
        <w:t>s</w:t>
      </w:r>
      <w:r w:rsidRPr="00F82C8D">
        <w:t>,</w:t>
      </w:r>
      <w:r w:rsidR="0007305B" w:rsidRPr="00F82C8D">
        <w:t xml:space="preserve"> </w:t>
      </w:r>
      <w:r w:rsidRPr="00F82C8D">
        <w:t xml:space="preserve">the facility passes the emissions intensity test if the result of the following equation is positive </w:t>
      </w:r>
      <w:r w:rsidRPr="00F82C8D">
        <w:rPr>
          <w:rStyle w:val="Emphasis"/>
        </w:rPr>
        <w:t>[paragraph 47(</w:t>
      </w:r>
      <w:r w:rsidR="00A03E3C" w:rsidRPr="00F82C8D">
        <w:rPr>
          <w:rStyle w:val="Emphasis"/>
        </w:rPr>
        <w:t>2</w:t>
      </w:r>
      <w:r w:rsidRPr="00F82C8D">
        <w:rPr>
          <w:rStyle w:val="Emphasis"/>
        </w:rPr>
        <w:t>)(b)]</w:t>
      </w:r>
      <w:r w:rsidRPr="00F82C8D">
        <w:rPr>
          <w:rStyle w:val="Emphasis"/>
          <w:b w:val="0"/>
          <w:i w:val="0"/>
        </w:rPr>
        <w:t>:</w:t>
      </w:r>
    </w:p>
    <w:p w:rsidR="006B7F0C" w:rsidRPr="00F82C8D" w:rsidRDefault="00744D5E" w:rsidP="006B7F0C">
      <w:pPr>
        <w:keepNext/>
        <w:keepLines/>
        <w:tabs>
          <w:tab w:val="left" w:pos="0"/>
        </w:tabs>
        <w:spacing w:after="240" w:line="240" w:lineRule="auto"/>
        <w:ind w:left="2127"/>
        <w:rPr>
          <w:rFonts w:eastAsiaTheme="majorEastAsia" w:cs="Times New Roman"/>
          <w:bCs/>
          <w:lang w:val="en-AU"/>
        </w:rPr>
      </w:pPr>
      <m:oMathPara>
        <m:oMathParaPr>
          <m:jc m:val="center"/>
        </m:oMathParaPr>
        <m:oMath>
          <m:nary>
            <m:naryPr>
              <m:chr m:val="∑"/>
              <m:limLoc m:val="undOvr"/>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 xml:space="preserve"> (EI</m:t>
                  </m:r>
                </m:e>
                <m:sub>
                  <m:r>
                    <w:rPr>
                      <w:rFonts w:ascii="Cambria Math" w:hAnsi="Cambria Math"/>
                    </w:rPr>
                    <m:t>r,p</m:t>
                  </m:r>
                </m:sub>
              </m:sSub>
              <m:r>
                <w:rPr>
                  <w:rFonts w:ascii="Cambria Math" w:hAnsi="Cambria Math"/>
                </w:rPr>
                <m:t>-</m:t>
              </m:r>
              <m:sSub>
                <m:sSubPr>
                  <m:ctrlPr>
                    <w:rPr>
                      <w:rFonts w:ascii="Cambria Math" w:hAnsi="Cambria Math"/>
                      <w:i/>
                    </w:rPr>
                  </m:ctrlPr>
                </m:sSubPr>
                <m:e>
                  <m:r>
                    <w:rPr>
                      <w:rFonts w:ascii="Cambria Math" w:hAnsi="Cambria Math"/>
                    </w:rPr>
                    <m:t xml:space="preserve"> EI</m:t>
                  </m:r>
                </m:e>
                <m:sub>
                  <m:r>
                    <w:rPr>
                      <w:rFonts w:ascii="Cambria Math" w:hAnsi="Cambria Math"/>
                    </w:rPr>
                    <m:t>f,p</m:t>
                  </m:r>
                </m:sub>
              </m:sSub>
              <m:r>
                <w:rPr>
                  <w:rFonts w:ascii="Cambria Math" w:hAnsi="Cambria Math"/>
                </w:rPr>
                <m:t xml:space="preserve">)  ×  </m:t>
              </m:r>
              <m:sSub>
                <m:sSubPr>
                  <m:ctrlPr>
                    <w:rPr>
                      <w:rFonts w:ascii="Cambria Math" w:hAnsi="Cambria Math"/>
                      <w:i/>
                    </w:rPr>
                  </m:ctrlPr>
                </m:sSubPr>
                <m:e>
                  <m:r>
                    <w:rPr>
                      <w:rFonts w:ascii="Cambria Math" w:hAnsi="Cambria Math"/>
                    </w:rPr>
                    <m:t xml:space="preserve"> Q</m:t>
                  </m:r>
                </m:e>
                <m:sub>
                  <m:r>
                    <w:rPr>
                      <w:rFonts w:ascii="Cambria Math" w:hAnsi="Cambria Math"/>
                    </w:rPr>
                    <m:t>f,p</m:t>
                  </m:r>
                </m:sub>
              </m:sSub>
            </m:e>
          </m:nary>
        </m:oMath>
      </m:oMathPara>
    </w:p>
    <w:p w:rsidR="006B7F0C" w:rsidRPr="00F82C8D" w:rsidRDefault="00F23941" w:rsidP="006B7F0C">
      <w:pPr>
        <w:keepNext/>
        <w:keepLines/>
        <w:tabs>
          <w:tab w:val="left" w:pos="0"/>
        </w:tabs>
        <w:spacing w:after="240" w:line="240" w:lineRule="auto"/>
        <w:rPr>
          <w:rFonts w:eastAsiaTheme="majorEastAsia" w:cs="Times New Roman"/>
          <w:bCs/>
          <w:lang w:val="en-AU"/>
        </w:rPr>
      </w:pPr>
      <w:r w:rsidRPr="00F82C8D">
        <w:rPr>
          <w:rFonts w:eastAsiaTheme="majorEastAsia" w:cs="Times New Roman"/>
          <w:bCs/>
          <w:lang w:val="en-AU"/>
        </w:rPr>
        <w:tab/>
      </w:r>
      <w:r w:rsidRPr="00F82C8D">
        <w:rPr>
          <w:rFonts w:eastAsiaTheme="majorEastAsia" w:cs="Times New Roman"/>
          <w:bCs/>
          <w:lang w:val="en-AU"/>
        </w:rPr>
        <w:tab/>
      </w:r>
      <w:r w:rsidR="006B7F0C" w:rsidRPr="00F82C8D">
        <w:rPr>
          <w:rFonts w:eastAsiaTheme="majorEastAsia" w:cs="Times New Roman"/>
          <w:bCs/>
          <w:lang w:val="en-AU"/>
        </w:rPr>
        <w:t>Where:</w:t>
      </w:r>
    </w:p>
    <w:p w:rsidR="006B7F0C" w:rsidRPr="00F82C8D" w:rsidRDefault="00744D5E" w:rsidP="006B7F0C">
      <w:pPr>
        <w:keepNext/>
        <w:keepLines/>
        <w:tabs>
          <w:tab w:val="left" w:pos="0"/>
        </w:tabs>
        <w:spacing w:after="240" w:line="240" w:lineRule="auto"/>
        <w:ind w:left="1440"/>
        <w:rPr>
          <w:rFonts w:eastAsiaTheme="majorEastAsia" w:cs="Times New Roman"/>
          <w:bCs/>
          <w:lang w:val="en-AU"/>
        </w:rPr>
      </w:pPr>
      <m:oMath>
        <m:sSub>
          <m:sSubPr>
            <m:ctrlPr>
              <w:rPr>
                <w:rFonts w:ascii="Cambria Math" w:eastAsiaTheme="majorEastAsia" w:hAnsi="Cambria Math" w:cs="Times New Roman"/>
                <w:bCs/>
                <w:i/>
                <w:lang w:val="en-AU"/>
              </w:rPr>
            </m:ctrlPr>
          </m:sSubPr>
          <m:e>
            <m:r>
              <w:rPr>
                <w:rFonts w:ascii="Cambria Math" w:eastAsiaTheme="majorEastAsia" w:hAnsi="Cambria Math" w:cs="Times New Roman"/>
                <w:lang w:val="en-AU"/>
              </w:rPr>
              <m:t>EI</m:t>
            </m:r>
          </m:e>
          <m:sub>
            <m:r>
              <w:rPr>
                <w:rFonts w:ascii="Cambria Math" w:eastAsiaTheme="majorEastAsia" w:hAnsi="Cambria Math" w:cs="Times New Roman"/>
                <w:lang w:val="en-AU"/>
              </w:rPr>
              <m:t>r,p</m:t>
            </m:r>
          </m:sub>
        </m:sSub>
      </m:oMath>
      <w:r w:rsidR="006B7F0C" w:rsidRPr="00F82C8D">
        <w:rPr>
          <w:rFonts w:eastAsiaTheme="majorEastAsia" w:cs="Times New Roman"/>
          <w:bCs/>
          <w:lang w:val="en-AU"/>
        </w:rPr>
        <w:t xml:space="preserve"> is the relevant benchmark </w:t>
      </w:r>
      <w:r w:rsidR="00BB7C53" w:rsidRPr="00F82C8D">
        <w:rPr>
          <w:rFonts w:eastAsiaTheme="majorEastAsia" w:cs="Times New Roman"/>
          <w:bCs/>
          <w:lang w:val="en-AU"/>
        </w:rPr>
        <w:t>emissions intens</w:t>
      </w:r>
      <w:r w:rsidR="006B7F0C" w:rsidRPr="00F82C8D">
        <w:rPr>
          <w:rFonts w:eastAsiaTheme="majorEastAsia" w:cs="Times New Roman"/>
          <w:bCs/>
          <w:lang w:val="en-AU"/>
        </w:rPr>
        <w:t xml:space="preserve">ity r of production variable </w:t>
      </w:r>
      <w:r w:rsidR="006B7F0C" w:rsidRPr="00F82C8D">
        <w:rPr>
          <w:rFonts w:eastAsiaTheme="majorEastAsia" w:cs="Times New Roman"/>
          <w:bCs/>
          <w:i/>
          <w:lang w:val="en-AU"/>
        </w:rPr>
        <w:t>p</w:t>
      </w:r>
    </w:p>
    <w:p w:rsidR="006B7F0C" w:rsidRPr="00F82C8D" w:rsidRDefault="00744D5E" w:rsidP="006B7F0C">
      <w:pPr>
        <w:keepNext/>
        <w:keepLines/>
        <w:tabs>
          <w:tab w:val="left" w:pos="0"/>
        </w:tabs>
        <w:spacing w:after="240" w:line="240" w:lineRule="auto"/>
        <w:ind w:left="1440"/>
        <w:rPr>
          <w:rFonts w:eastAsiaTheme="majorEastAsia" w:cs="Times New Roman"/>
          <w:bCs/>
          <w:lang w:val="en-AU"/>
        </w:rPr>
      </w:pPr>
      <m:oMath>
        <m:sSub>
          <m:sSubPr>
            <m:ctrlPr>
              <w:rPr>
                <w:rFonts w:ascii="Cambria Math" w:eastAsiaTheme="majorEastAsia" w:hAnsi="Cambria Math" w:cs="Times New Roman"/>
                <w:bCs/>
                <w:i/>
                <w:lang w:val="en-AU"/>
              </w:rPr>
            </m:ctrlPr>
          </m:sSubPr>
          <m:e>
            <m:r>
              <w:rPr>
                <w:rFonts w:ascii="Cambria Math" w:eastAsiaTheme="majorEastAsia" w:hAnsi="Cambria Math" w:cs="Times New Roman"/>
                <w:lang w:val="en-AU"/>
              </w:rPr>
              <m:t>EI</m:t>
            </m:r>
          </m:e>
          <m:sub>
            <m:r>
              <w:rPr>
                <w:rFonts w:ascii="Cambria Math" w:eastAsiaTheme="majorEastAsia" w:hAnsi="Cambria Math" w:cs="Times New Roman"/>
                <w:lang w:val="en-AU"/>
              </w:rPr>
              <m:t>f,p</m:t>
            </m:r>
          </m:sub>
        </m:sSub>
      </m:oMath>
      <w:r w:rsidR="006B7F0C" w:rsidRPr="00F82C8D">
        <w:rPr>
          <w:rFonts w:eastAsiaTheme="majorEastAsia" w:cs="Times New Roman"/>
          <w:bCs/>
          <w:lang w:val="en-AU"/>
        </w:rPr>
        <w:t xml:space="preserve"> is the </w:t>
      </w:r>
      <w:r w:rsidR="00BB7C53" w:rsidRPr="00F82C8D">
        <w:rPr>
          <w:rFonts w:eastAsiaTheme="majorEastAsia" w:cs="Times New Roman"/>
          <w:bCs/>
          <w:lang w:val="en-AU"/>
        </w:rPr>
        <w:t>emissions intens</w:t>
      </w:r>
      <w:r w:rsidR="006B7F0C" w:rsidRPr="00F82C8D">
        <w:rPr>
          <w:rFonts w:eastAsiaTheme="majorEastAsia" w:cs="Times New Roman"/>
          <w:bCs/>
          <w:lang w:val="en-AU"/>
        </w:rPr>
        <w:t xml:space="preserve">ity of production variable </w:t>
      </w:r>
      <w:r w:rsidR="006B7F0C" w:rsidRPr="00F82C8D">
        <w:rPr>
          <w:rFonts w:eastAsiaTheme="majorEastAsia" w:cs="Times New Roman"/>
          <w:bCs/>
          <w:i/>
          <w:lang w:val="en-AU"/>
        </w:rPr>
        <w:t xml:space="preserve">p </w:t>
      </w:r>
      <w:r w:rsidR="006B7F0C" w:rsidRPr="00F82C8D">
        <w:rPr>
          <w:rFonts w:eastAsiaTheme="majorEastAsia" w:cs="Times New Roman"/>
          <w:bCs/>
          <w:lang w:val="en-AU"/>
        </w:rPr>
        <w:t xml:space="preserve">in the </w:t>
      </w:r>
      <w:r w:rsidR="0007305B" w:rsidRPr="00F82C8D">
        <w:rPr>
          <w:rFonts w:eastAsiaTheme="majorEastAsia" w:cs="Times New Roman"/>
          <w:bCs/>
          <w:lang w:val="en-AU"/>
        </w:rPr>
        <w:t>year for which the variation is sought</w:t>
      </w:r>
      <w:r w:rsidR="006B7F0C" w:rsidRPr="00F82C8D">
        <w:rPr>
          <w:rFonts w:eastAsiaTheme="majorEastAsia" w:cs="Times New Roman"/>
          <w:bCs/>
          <w:lang w:val="en-AU"/>
        </w:rPr>
        <w:t xml:space="preserve"> </w:t>
      </w:r>
      <w:r w:rsidR="006B7F0C" w:rsidRPr="00F82C8D">
        <w:rPr>
          <w:rFonts w:eastAsiaTheme="majorEastAsia" w:cs="Times New Roman"/>
          <w:bCs/>
          <w:i/>
          <w:lang w:val="en-AU"/>
        </w:rPr>
        <w:t>f</w:t>
      </w:r>
    </w:p>
    <w:p w:rsidR="006B7F0C" w:rsidRPr="00F82C8D" w:rsidRDefault="00744D5E" w:rsidP="006B7F0C">
      <w:pPr>
        <w:keepNext/>
        <w:keepLines/>
        <w:tabs>
          <w:tab w:val="left" w:pos="0"/>
        </w:tabs>
        <w:spacing w:after="240" w:line="240" w:lineRule="auto"/>
        <w:ind w:left="1440"/>
        <w:rPr>
          <w:rFonts w:eastAsiaTheme="majorEastAsia" w:cs="Times New Roman"/>
          <w:bCs/>
          <w:lang w:val="en-AU"/>
        </w:rPr>
      </w:pPr>
      <m:oMath>
        <m:sSub>
          <m:sSubPr>
            <m:ctrlPr>
              <w:rPr>
                <w:rFonts w:ascii="Cambria Math" w:eastAsiaTheme="majorEastAsia" w:hAnsi="Cambria Math" w:cs="Times New Roman"/>
                <w:bCs/>
                <w:i/>
                <w:lang w:val="en-AU"/>
              </w:rPr>
            </m:ctrlPr>
          </m:sSubPr>
          <m:e>
            <m:r>
              <w:rPr>
                <w:rFonts w:ascii="Cambria Math" w:eastAsiaTheme="majorEastAsia" w:hAnsi="Cambria Math" w:cs="Times New Roman"/>
                <w:lang w:val="en-AU"/>
              </w:rPr>
              <m:t>Q</m:t>
            </m:r>
          </m:e>
          <m:sub>
            <m:r>
              <w:rPr>
                <w:rFonts w:ascii="Cambria Math" w:eastAsiaTheme="majorEastAsia" w:hAnsi="Cambria Math" w:cs="Times New Roman"/>
                <w:lang w:val="en-AU"/>
              </w:rPr>
              <m:t>f,p</m:t>
            </m:r>
          </m:sub>
        </m:sSub>
      </m:oMath>
      <w:r w:rsidR="006B7F0C" w:rsidRPr="00F82C8D">
        <w:rPr>
          <w:rFonts w:eastAsiaTheme="majorEastAsia" w:cs="Times New Roman"/>
          <w:bCs/>
          <w:lang w:val="en-AU"/>
        </w:rPr>
        <w:t xml:space="preserve"> is the amount or volume of production variable </w:t>
      </w:r>
      <w:r w:rsidR="006B7F0C" w:rsidRPr="00F82C8D">
        <w:rPr>
          <w:rFonts w:eastAsiaTheme="majorEastAsia" w:cs="Times New Roman"/>
          <w:bCs/>
          <w:i/>
          <w:lang w:val="en-AU"/>
        </w:rPr>
        <w:t>p</w:t>
      </w:r>
      <w:r w:rsidR="006B7F0C" w:rsidRPr="00F82C8D">
        <w:rPr>
          <w:rFonts w:eastAsiaTheme="majorEastAsia" w:cs="Times New Roman"/>
          <w:bCs/>
          <w:lang w:val="en-AU"/>
        </w:rPr>
        <w:t xml:space="preserve"> produced in the year</w:t>
      </w:r>
      <w:r w:rsidR="0007305B" w:rsidRPr="00F82C8D">
        <w:rPr>
          <w:rFonts w:eastAsiaTheme="majorEastAsia" w:cs="Times New Roman"/>
          <w:bCs/>
          <w:lang w:val="en-AU"/>
        </w:rPr>
        <w:t xml:space="preserve"> for which the variation is sought</w:t>
      </w:r>
      <w:r w:rsidR="006B7F0C" w:rsidRPr="00F82C8D">
        <w:rPr>
          <w:rFonts w:eastAsiaTheme="majorEastAsia" w:cs="Times New Roman"/>
          <w:bCs/>
          <w:lang w:val="en-AU"/>
        </w:rPr>
        <w:t xml:space="preserve">, measured in accordance with the requirements for the production variable set out in </w:t>
      </w:r>
      <w:r w:rsidR="00BF3FA1" w:rsidRPr="00F82C8D">
        <w:rPr>
          <w:rFonts w:eastAsiaTheme="majorEastAsia" w:cs="Times New Roman"/>
          <w:bCs/>
          <w:lang w:val="en-AU"/>
        </w:rPr>
        <w:t>Schedule 1</w:t>
      </w:r>
      <w:r w:rsidR="003E6991" w:rsidRPr="00F82C8D">
        <w:rPr>
          <w:rFonts w:eastAsiaTheme="majorEastAsia" w:cs="Times New Roman"/>
          <w:bCs/>
          <w:lang w:val="en-AU"/>
        </w:rPr>
        <w:t xml:space="preserve"> </w:t>
      </w:r>
      <w:r w:rsidR="003E6991" w:rsidRPr="00F82C8D">
        <w:rPr>
          <w:rStyle w:val="Emphasis"/>
        </w:rPr>
        <w:t>[subparagraph 47(4)(b)(iv)]</w:t>
      </w:r>
    </w:p>
    <w:p w:rsidR="006B7F0C" w:rsidRPr="00F82C8D" w:rsidRDefault="006B7F0C" w:rsidP="006B7F0C">
      <w:pPr>
        <w:pStyle w:val="ListParagraph"/>
      </w:pPr>
      <w:r w:rsidRPr="00F82C8D">
        <w:rPr>
          <w:rFonts w:eastAsiaTheme="majorEastAsia"/>
          <w:lang w:val="en-AU"/>
        </w:rPr>
        <w:t xml:space="preserve">The equation calculates the </w:t>
      </w:r>
      <w:r w:rsidRPr="00F82C8D">
        <w:t>net difference in emissio</w:t>
      </w:r>
      <w:r w:rsidR="00B44F6F" w:rsidRPr="00F82C8D">
        <w:t xml:space="preserve">ns between the year for which the variation is sought and the emissions if the facilities production in this year met the relevant benchmark emissions-intensities. </w:t>
      </w:r>
      <w:r w:rsidRPr="00F82C8D">
        <w:t>The result of the equation cannot be positive if the lower intensity production of one production variable is matched or exceeded by the higher intensity production of another production variable.</w:t>
      </w:r>
    </w:p>
    <w:p w:rsidR="006B7F0C" w:rsidRPr="00F82C8D" w:rsidRDefault="006B7F0C" w:rsidP="006B7F0C">
      <w:pPr>
        <w:pStyle w:val="Heading4"/>
      </w:pPr>
      <w:r w:rsidRPr="00F82C8D">
        <w:t xml:space="preserve">Calculating the </w:t>
      </w:r>
      <w:r w:rsidR="00BB7C53" w:rsidRPr="00F82C8D">
        <w:t>emissions intens</w:t>
      </w:r>
      <w:r w:rsidRPr="00F82C8D">
        <w:t>ity of a production variable</w:t>
      </w:r>
    </w:p>
    <w:p w:rsidR="001A7596" w:rsidRPr="00F82C8D" w:rsidRDefault="001A7596" w:rsidP="00625D31">
      <w:pPr>
        <w:pStyle w:val="ListParagraph"/>
      </w:pPr>
      <w:r w:rsidRPr="00F82C8D">
        <w:t>Unless the exc</w:t>
      </w:r>
      <w:r w:rsidR="00CF7E2C" w:rsidRPr="00F82C8D">
        <w:t xml:space="preserve">eption described in paragraph </w:t>
      </w:r>
      <w:fldSimple w:instr=" REF _Ref426467948 \r \h  \* MERGEFORMAT ">
        <w:r w:rsidR="00F16B1F">
          <w:t>3.249</w:t>
        </w:r>
      </w:fldSimple>
      <w:r w:rsidRPr="00F82C8D">
        <w:t xml:space="preserve"> </w:t>
      </w:r>
      <w:r w:rsidR="00B74E5E" w:rsidRPr="00F82C8D">
        <w:t xml:space="preserve">of the </w:t>
      </w:r>
      <w:r w:rsidR="00D360AB" w:rsidRPr="00F82C8D">
        <w:t>Exp</w:t>
      </w:r>
      <w:r w:rsidR="00B74E5E" w:rsidRPr="00F82C8D">
        <w:t>lanatory Statement</w:t>
      </w:r>
      <w:r w:rsidRPr="00F82C8D">
        <w:t xml:space="preserve"> applies, if there </w:t>
      </w:r>
      <w:r w:rsidR="00BD6CB1" w:rsidRPr="00F82C8D">
        <w:t xml:space="preserve">is only one production variable, then </w:t>
      </w:r>
      <w:r w:rsidRPr="00F82C8D">
        <w:t xml:space="preserve">the emissions intensity is calculated by dividing the covered emissions for a facility by the </w:t>
      </w:r>
      <w:r w:rsidR="00F42FE1" w:rsidRPr="00F82C8D">
        <w:t>quantity</w:t>
      </w:r>
      <w:r w:rsidRPr="00F82C8D">
        <w:t xml:space="preserve"> of the production variable produced in a financial year—either the baseline intensity comparison year or the year </w:t>
      </w:r>
      <w:r w:rsidR="00BD6CB1" w:rsidRPr="00F82C8D">
        <w:rPr>
          <w:rFonts w:eastAsiaTheme="majorEastAsia"/>
          <w:bCs/>
          <w:lang w:val="en-AU"/>
        </w:rPr>
        <w:t>for which the variation is sought</w:t>
      </w:r>
      <w:r w:rsidR="0062404E" w:rsidRPr="00F82C8D">
        <w:t>.</w:t>
      </w:r>
      <w:r w:rsidRPr="00F82C8D">
        <w:t xml:space="preserve"> </w:t>
      </w:r>
      <w:bookmarkStart w:id="116" w:name="OLE_LINK5"/>
      <w:bookmarkStart w:id="117" w:name="OLE_LINK6"/>
      <w:r w:rsidR="006B7F0C" w:rsidRPr="00F82C8D">
        <w:rPr>
          <w:rStyle w:val="Emphasis"/>
        </w:rPr>
        <w:t>[subparagraph 47(4</w:t>
      </w:r>
      <w:r w:rsidRPr="00F82C8D">
        <w:rPr>
          <w:rStyle w:val="Emphasis"/>
        </w:rPr>
        <w:t>)(b)(ii)]</w:t>
      </w:r>
      <w:bookmarkEnd w:id="116"/>
      <w:bookmarkEnd w:id="117"/>
      <w:r w:rsidR="006D190E" w:rsidRPr="00F82C8D">
        <w:rPr>
          <w:rStyle w:val="Emphasis"/>
        </w:rPr>
        <w:t xml:space="preserve"> </w:t>
      </w:r>
      <w:r w:rsidR="006D190E" w:rsidRPr="00F82C8D">
        <w:t>As the emissions intensity needs to be in t CO</w:t>
      </w:r>
      <w:r w:rsidR="006D190E" w:rsidRPr="00F82C8D">
        <w:rPr>
          <w:vertAlign w:val="subscript"/>
        </w:rPr>
        <w:t>2</w:t>
      </w:r>
      <w:r w:rsidR="006D190E" w:rsidRPr="00F82C8D">
        <w:t>-e, this may require adjustment of historical emissions</w:t>
      </w:r>
      <w:r w:rsidR="00452E05" w:rsidRPr="00F82C8D">
        <w:t xml:space="preserve"> such that they use the same global warming potentials as apply to the year the subject of the application.</w:t>
      </w:r>
    </w:p>
    <w:p w:rsidR="001A7596" w:rsidRPr="00F82C8D" w:rsidRDefault="001A7596" w:rsidP="00625D31">
      <w:pPr>
        <w:pStyle w:val="ListParagraph"/>
      </w:pPr>
      <w:r w:rsidRPr="00F82C8D">
        <w:t>Unless the exception described in paragraph</w:t>
      </w:r>
      <w:r w:rsidR="00CF7E2C" w:rsidRPr="00F82C8D">
        <w:t xml:space="preserve"> </w:t>
      </w:r>
      <w:fldSimple w:instr=" REF _Ref426467948 \r \h  \* MERGEFORMAT ">
        <w:r w:rsidR="00F16B1F">
          <w:t>3.249</w:t>
        </w:r>
      </w:fldSimple>
      <w:r w:rsidRPr="00F82C8D">
        <w:t xml:space="preserve"> </w:t>
      </w:r>
      <w:r w:rsidR="00B74E5E" w:rsidRPr="00F82C8D">
        <w:t xml:space="preserve">of the </w:t>
      </w:r>
      <w:r w:rsidR="00D360AB" w:rsidRPr="00F82C8D">
        <w:t>Exp</w:t>
      </w:r>
      <w:r w:rsidR="00B74E5E" w:rsidRPr="00F82C8D">
        <w:t>lanatory Statement</w:t>
      </w:r>
      <w:r w:rsidRPr="00F82C8D">
        <w:t xml:space="preserve"> applies, if there are two or more production variables, the covered emissions from the facility must first be apportioned between the production variables. Then the emissions attributed to each production variable are divided by the </w:t>
      </w:r>
      <w:r w:rsidR="00F42FE1" w:rsidRPr="00F82C8D">
        <w:t>quantity</w:t>
      </w:r>
      <w:r w:rsidRPr="00F82C8D">
        <w:t xml:space="preserve"> of that production variable. Emissions must be apportioned consistently with the </w:t>
      </w:r>
      <w:r w:rsidR="0039118B" w:rsidRPr="00F82C8D">
        <w:t>emissions-</w:t>
      </w:r>
      <w:r w:rsidR="00BB7C53" w:rsidRPr="00F82C8D">
        <w:t>intens</w:t>
      </w:r>
      <w:r w:rsidRPr="00F82C8D">
        <w:t>it</w:t>
      </w:r>
      <w:r w:rsidR="006A6807" w:rsidRPr="00F82C8D">
        <w:t xml:space="preserve">y calculation criteria (see </w:t>
      </w:r>
      <w:r w:rsidR="00F42FE1" w:rsidRPr="00F82C8D">
        <w:t xml:space="preserve">the section headed </w:t>
      </w:r>
      <w:fldSimple w:instr=" REF _Ref427668960 \h  \* MERGEFORMAT ">
        <w:r w:rsidR="00F16B1F" w:rsidRPr="00F16B1F">
          <w:rPr>
            <w:i/>
          </w:rPr>
          <w:t>Section 6: Emissions-intensity calculation criteria</w:t>
        </w:r>
      </w:fldSimple>
      <w:r w:rsidR="00F42FE1" w:rsidRPr="00F82C8D">
        <w:t xml:space="preserve"> on page </w:t>
      </w:r>
      <w:r w:rsidR="00744D5E" w:rsidRPr="00F82C8D">
        <w:fldChar w:fldCharType="begin"/>
      </w:r>
      <w:r w:rsidR="00F42FE1" w:rsidRPr="00F82C8D">
        <w:instrText xml:space="preserve"> PAGEREF _Ref427668960 \h </w:instrText>
      </w:r>
      <w:r w:rsidR="00744D5E" w:rsidRPr="00F82C8D">
        <w:fldChar w:fldCharType="separate"/>
      </w:r>
      <w:r w:rsidR="00F16B1F">
        <w:rPr>
          <w:noProof/>
        </w:rPr>
        <w:t>29</w:t>
      </w:r>
      <w:r w:rsidR="00744D5E" w:rsidRPr="00F82C8D">
        <w:fldChar w:fldCharType="end"/>
      </w:r>
      <w:r w:rsidR="00F42FE1" w:rsidRPr="00F82C8D">
        <w:t xml:space="preserve"> </w:t>
      </w:r>
      <w:r w:rsidR="000E6ADF" w:rsidRPr="00F82C8D">
        <w:t>of</w:t>
      </w:r>
      <w:r w:rsidR="004C00A9" w:rsidRPr="00F82C8D">
        <w:t xml:space="preserve"> the</w:t>
      </w:r>
      <w:r w:rsidR="00F42FE1" w:rsidRPr="00F82C8D">
        <w:t xml:space="preserve"> </w:t>
      </w:r>
      <w:r w:rsidR="00D360AB" w:rsidRPr="00F82C8D">
        <w:t>Exp</w:t>
      </w:r>
      <w:r w:rsidR="004C00A9" w:rsidRPr="00F82C8D">
        <w:t>lanatory Statement</w:t>
      </w:r>
      <w:r w:rsidR="00330C0B" w:rsidRPr="00F82C8D">
        <w:t>)</w:t>
      </w:r>
      <w:r w:rsidR="003E6991" w:rsidRPr="00F82C8D">
        <w:t>.</w:t>
      </w:r>
      <w:r w:rsidR="006B7F0C" w:rsidRPr="00F82C8D">
        <w:t xml:space="preserve"> </w:t>
      </w:r>
      <w:r w:rsidR="006B7F0C" w:rsidRPr="00F82C8D">
        <w:rPr>
          <w:rStyle w:val="Emphasis"/>
        </w:rPr>
        <w:t>[subparagraph 47(4</w:t>
      </w:r>
      <w:r w:rsidRPr="00F82C8D">
        <w:rPr>
          <w:rStyle w:val="Emphasis"/>
        </w:rPr>
        <w:t>)(b)(iii)]</w:t>
      </w:r>
    </w:p>
    <w:p w:rsidR="001A7596" w:rsidRPr="00F82C8D" w:rsidRDefault="00A03E3C" w:rsidP="00625D31">
      <w:pPr>
        <w:pStyle w:val="ListParagraph"/>
      </w:pPr>
      <w:r w:rsidRPr="00F82C8D">
        <w:t xml:space="preserve">For facilities that are not benchmark or landfill </w:t>
      </w:r>
      <w:r w:rsidR="00F42FE1" w:rsidRPr="00F82C8D">
        <w:t>facilities</w:t>
      </w:r>
      <w:r w:rsidRPr="00F82C8D">
        <w:t xml:space="preserve">, the </w:t>
      </w:r>
      <w:r w:rsidR="003E6991" w:rsidRPr="00F82C8D">
        <w:t>e</w:t>
      </w:r>
      <w:r w:rsidR="001A7596" w:rsidRPr="00F82C8D">
        <w:t>missions must be apportion</w:t>
      </w:r>
      <w:r w:rsidR="00F42FE1" w:rsidRPr="00F82C8D">
        <w:t xml:space="preserve">ed the same way in the baseline intensity </w:t>
      </w:r>
      <w:r w:rsidR="001A7596" w:rsidRPr="00F82C8D">
        <w:t xml:space="preserve">comparison year, the </w:t>
      </w:r>
      <w:r w:rsidR="00F42FE1" w:rsidRPr="00F82C8D">
        <w:t xml:space="preserve">year </w:t>
      </w:r>
      <w:r w:rsidR="00F42FE1" w:rsidRPr="00F82C8D">
        <w:rPr>
          <w:rFonts w:eastAsiaTheme="majorEastAsia"/>
          <w:bCs/>
          <w:lang w:val="en-AU"/>
        </w:rPr>
        <w:t>for which the variation is sought</w:t>
      </w:r>
      <w:r w:rsidR="00F42FE1" w:rsidRPr="00F82C8D">
        <w:t xml:space="preserve"> </w:t>
      </w:r>
      <w:r w:rsidR="001A7596" w:rsidRPr="00F82C8D">
        <w:t xml:space="preserve">and any </w:t>
      </w:r>
      <w:r w:rsidR="00F42FE1" w:rsidRPr="00F82C8D">
        <w:t xml:space="preserve">previous </w:t>
      </w:r>
      <w:r w:rsidR="00597914" w:rsidRPr="00F82C8D">
        <w:t xml:space="preserve">application for a </w:t>
      </w:r>
      <w:r w:rsidR="00F42FE1" w:rsidRPr="00F82C8D">
        <w:t xml:space="preserve">baseline </w:t>
      </w:r>
      <w:r w:rsidR="00597914" w:rsidRPr="00F82C8D">
        <w:t xml:space="preserve">variation </w:t>
      </w:r>
      <w:r w:rsidR="00F42FE1" w:rsidRPr="00F82C8D">
        <w:t>because of a reduction in emissions intensity</w:t>
      </w:r>
      <w:r w:rsidR="00597914" w:rsidRPr="00F82C8D">
        <w:t>, provided that the application was based on the same production variables</w:t>
      </w:r>
      <w:r w:rsidR="0062404E" w:rsidRPr="00F82C8D">
        <w:t>.</w:t>
      </w:r>
      <w:r w:rsidR="001A7596" w:rsidRPr="00F82C8D">
        <w:t xml:space="preserve"> </w:t>
      </w:r>
      <w:r w:rsidR="00330C0B" w:rsidRPr="00F82C8D">
        <w:rPr>
          <w:rStyle w:val="Emphasis"/>
        </w:rPr>
        <w:t>[subparagraph </w:t>
      </w:r>
      <w:r w:rsidR="001A7596" w:rsidRPr="00F82C8D">
        <w:rPr>
          <w:rStyle w:val="Emphasis"/>
        </w:rPr>
        <w:t>47(</w:t>
      </w:r>
      <w:r w:rsidR="006B7F0C" w:rsidRPr="00F82C8D">
        <w:rPr>
          <w:rStyle w:val="Emphasis"/>
        </w:rPr>
        <w:t>4</w:t>
      </w:r>
      <w:r w:rsidR="001A7596" w:rsidRPr="00F82C8D">
        <w:rPr>
          <w:rStyle w:val="Emphasis"/>
        </w:rPr>
        <w:t>)</w:t>
      </w:r>
      <w:r w:rsidR="0062404E" w:rsidRPr="00F82C8D">
        <w:rPr>
          <w:rStyle w:val="Emphasis"/>
        </w:rPr>
        <w:t>(b)</w:t>
      </w:r>
      <w:r w:rsidRPr="00F82C8D">
        <w:rPr>
          <w:rStyle w:val="Emphasis"/>
        </w:rPr>
        <w:t>(v</w:t>
      </w:r>
      <w:r w:rsidR="001A7596" w:rsidRPr="00F82C8D">
        <w:rPr>
          <w:rStyle w:val="Emphasis"/>
        </w:rPr>
        <w:t>)</w:t>
      </w:r>
      <w:r w:rsidR="0062404E" w:rsidRPr="00F82C8D">
        <w:rPr>
          <w:rStyle w:val="Emphasis"/>
        </w:rPr>
        <w:t>]</w:t>
      </w:r>
      <w:r w:rsidR="003E6991" w:rsidRPr="00F82C8D">
        <w:t xml:space="preserve"> This means that </w:t>
      </w:r>
      <w:r w:rsidR="00BB7C53" w:rsidRPr="00F82C8D">
        <w:t>emissions intens</w:t>
      </w:r>
      <w:r w:rsidR="003E6991" w:rsidRPr="00F82C8D">
        <w:t>ity can be accurately compared.</w:t>
      </w:r>
    </w:p>
    <w:p w:rsidR="00DF57B7" w:rsidRPr="00F82C8D" w:rsidRDefault="00DF57B7" w:rsidP="00DF57B7">
      <w:pPr>
        <w:pStyle w:val="ListParagraph"/>
        <w:rPr>
          <w:rFonts w:eastAsiaTheme="majorEastAsia"/>
          <w:lang w:val="en-AU"/>
        </w:rPr>
      </w:pPr>
      <w:bookmarkStart w:id="118" w:name="_Ref426467948"/>
      <w:r w:rsidRPr="00F82C8D">
        <w:t xml:space="preserve">If the baseline intensity comparison year is the first year of a calculated-emissions baseline determination, then the emissions intensity of production variables used in the emissions intensity test must be consistent with the emissions intensity of those production variables used to make the calculated-emissions baseline determination. </w:t>
      </w:r>
      <w:r w:rsidRPr="00F82C8D">
        <w:rPr>
          <w:rStyle w:val="Emphasis"/>
        </w:rPr>
        <w:t>[paragraph 47(4)(a)]</w:t>
      </w:r>
      <w:r w:rsidRPr="00F82C8D">
        <w:t xml:space="preserve"> This rule reflects that during the period of a calculated-emissions baseline determination the estimate of emissions</w:t>
      </w:r>
      <w:r w:rsidR="009C509C" w:rsidRPr="00F82C8D">
        <w:t xml:space="preserve"> </w:t>
      </w:r>
      <w:r w:rsidRPr="00F82C8D">
        <w:t>intensity used in that determination is likely to be a better benchmark than past emissions intensity</w:t>
      </w:r>
      <w:r w:rsidRPr="00F82C8D">
        <w:rPr>
          <w:rFonts w:eastAsiaTheme="majorEastAsia"/>
          <w:lang w:val="en-AU"/>
        </w:rPr>
        <w:t>.</w:t>
      </w:r>
      <w:bookmarkEnd w:id="118"/>
    </w:p>
    <w:p w:rsidR="001A7596" w:rsidRPr="00F82C8D" w:rsidRDefault="006B7F0C" w:rsidP="00330C0B">
      <w:pPr>
        <w:pStyle w:val="Heading4"/>
      </w:pPr>
      <w:r w:rsidRPr="00F82C8D">
        <w:t>Landfill</w:t>
      </w:r>
      <w:r w:rsidR="001A7596" w:rsidRPr="00F82C8D">
        <w:t xml:space="preserve"> facilities </w:t>
      </w:r>
    </w:p>
    <w:p w:rsidR="001A7596" w:rsidRPr="00F82C8D" w:rsidRDefault="003E6991" w:rsidP="00625D31">
      <w:pPr>
        <w:pStyle w:val="ListParagraph"/>
        <w:rPr>
          <w:rFonts w:eastAsiaTheme="majorEastAsia"/>
          <w:lang w:val="en-AU"/>
        </w:rPr>
      </w:pPr>
      <w:r w:rsidRPr="00F82C8D">
        <w:rPr>
          <w:rFonts w:eastAsiaTheme="majorEastAsia"/>
          <w:lang w:val="en-AU"/>
        </w:rPr>
        <w:t>L</w:t>
      </w:r>
      <w:r w:rsidR="006B7F0C" w:rsidRPr="00F82C8D">
        <w:rPr>
          <w:rFonts w:eastAsiaTheme="majorEastAsia"/>
          <w:lang w:val="en-AU"/>
        </w:rPr>
        <w:t>andfill</w:t>
      </w:r>
      <w:r w:rsidRPr="00F82C8D">
        <w:rPr>
          <w:rFonts w:eastAsiaTheme="majorEastAsia"/>
          <w:lang w:val="en-AU"/>
        </w:rPr>
        <w:t xml:space="preserve"> faci</w:t>
      </w:r>
      <w:r w:rsidR="00F42FE1" w:rsidRPr="00F82C8D">
        <w:rPr>
          <w:rFonts w:eastAsiaTheme="majorEastAsia"/>
          <w:lang w:val="en-AU"/>
        </w:rPr>
        <w:t>lities that are not covered by a</w:t>
      </w:r>
      <w:r w:rsidRPr="00F82C8D">
        <w:rPr>
          <w:rFonts w:eastAsiaTheme="majorEastAsia"/>
          <w:lang w:val="en-AU"/>
        </w:rPr>
        <w:t xml:space="preserve"> landfill-b</w:t>
      </w:r>
      <w:r w:rsidR="00F42FE1" w:rsidRPr="00F82C8D">
        <w:rPr>
          <w:rFonts w:eastAsiaTheme="majorEastAsia"/>
          <w:lang w:val="en-AU"/>
        </w:rPr>
        <w:t>enchmark baseline determination</w:t>
      </w:r>
      <w:r w:rsidRPr="00F82C8D">
        <w:rPr>
          <w:rFonts w:eastAsiaTheme="majorEastAsia"/>
          <w:lang w:val="en-AU"/>
        </w:rPr>
        <w:t>, pass</w:t>
      </w:r>
      <w:r w:rsidR="001A7596" w:rsidRPr="00F82C8D">
        <w:rPr>
          <w:rFonts w:eastAsiaTheme="majorEastAsia"/>
          <w:lang w:val="en-AU"/>
        </w:rPr>
        <w:t xml:space="preserve"> the </w:t>
      </w:r>
      <w:r w:rsidR="00BB7C53" w:rsidRPr="00F82C8D">
        <w:rPr>
          <w:rFonts w:eastAsiaTheme="majorEastAsia"/>
          <w:lang w:val="en-AU"/>
        </w:rPr>
        <w:t>emissions intens</w:t>
      </w:r>
      <w:r w:rsidR="001A7596" w:rsidRPr="00F82C8D">
        <w:rPr>
          <w:rFonts w:eastAsiaTheme="majorEastAsia"/>
          <w:lang w:val="en-AU"/>
        </w:rPr>
        <w:t xml:space="preserve">ity test if </w:t>
      </w:r>
      <w:r w:rsidR="00F704EC" w:rsidRPr="00F82C8D">
        <w:rPr>
          <w:rFonts w:eastAsiaTheme="majorEastAsia"/>
          <w:lang w:val="en-AU"/>
        </w:rPr>
        <w:t xml:space="preserve">the </w:t>
      </w:r>
      <w:r w:rsidR="001A7596" w:rsidRPr="00F82C8D">
        <w:rPr>
          <w:rFonts w:eastAsiaTheme="majorEastAsia"/>
          <w:lang w:val="en-AU"/>
        </w:rPr>
        <w:t>capture</w:t>
      </w:r>
      <w:r w:rsidR="00F704EC" w:rsidRPr="00F82C8D">
        <w:rPr>
          <w:rFonts w:eastAsiaTheme="majorEastAsia"/>
          <w:lang w:val="en-AU"/>
        </w:rPr>
        <w:t xml:space="preserve"> of covered emissions</w:t>
      </w:r>
      <w:r w:rsidR="001A7596" w:rsidRPr="00F82C8D">
        <w:rPr>
          <w:rFonts w:eastAsiaTheme="majorEastAsia"/>
          <w:lang w:val="en-AU"/>
        </w:rPr>
        <w:t xml:space="preserve"> as a proportion of </w:t>
      </w:r>
      <w:r w:rsidR="00F704EC" w:rsidRPr="00F82C8D">
        <w:rPr>
          <w:rFonts w:eastAsiaTheme="majorEastAsia"/>
          <w:lang w:val="en-AU"/>
        </w:rPr>
        <w:t>covered</w:t>
      </w:r>
      <w:r w:rsidR="001A7596" w:rsidRPr="00F82C8D">
        <w:rPr>
          <w:rFonts w:eastAsiaTheme="majorEastAsia"/>
          <w:lang w:val="en-AU"/>
        </w:rPr>
        <w:t xml:space="preserve"> emissions</w:t>
      </w:r>
      <w:r w:rsidR="00F704EC" w:rsidRPr="00F82C8D">
        <w:rPr>
          <w:rFonts w:eastAsiaTheme="majorEastAsia"/>
          <w:lang w:val="en-AU"/>
        </w:rPr>
        <w:t xml:space="preserve"> generated</w:t>
      </w:r>
      <w:r w:rsidR="001A7596" w:rsidRPr="00F82C8D">
        <w:rPr>
          <w:rFonts w:eastAsiaTheme="majorEastAsia"/>
          <w:lang w:val="en-AU"/>
        </w:rPr>
        <w:t xml:space="preserve"> in the year </w:t>
      </w:r>
      <w:r w:rsidR="006C1C47" w:rsidRPr="00F82C8D">
        <w:rPr>
          <w:rFonts w:eastAsiaTheme="majorEastAsia"/>
          <w:lang w:val="en-AU"/>
        </w:rPr>
        <w:t xml:space="preserve">for which the variation is sought </w:t>
      </w:r>
      <w:r w:rsidR="001A7596" w:rsidRPr="00F82C8D">
        <w:rPr>
          <w:rFonts w:eastAsiaTheme="majorEastAsia"/>
          <w:lang w:val="en-AU"/>
        </w:rPr>
        <w:t xml:space="preserve">is higher than in the </w:t>
      </w:r>
      <w:r w:rsidR="006C1C47" w:rsidRPr="00F82C8D">
        <w:rPr>
          <w:rFonts w:eastAsiaTheme="majorEastAsia"/>
          <w:lang w:val="en-AU"/>
        </w:rPr>
        <w:t xml:space="preserve">baseline intensity </w:t>
      </w:r>
      <w:r w:rsidR="001A7596" w:rsidRPr="00F82C8D">
        <w:rPr>
          <w:rFonts w:eastAsiaTheme="majorEastAsia"/>
          <w:lang w:val="en-AU"/>
        </w:rPr>
        <w:t>comparison year</w:t>
      </w:r>
      <w:r w:rsidR="0062404E" w:rsidRPr="00F82C8D">
        <w:rPr>
          <w:rFonts w:eastAsiaTheme="majorEastAsia"/>
          <w:lang w:val="en-AU"/>
        </w:rPr>
        <w:t xml:space="preserve">. </w:t>
      </w:r>
      <w:r w:rsidR="001A7596" w:rsidRPr="00F82C8D">
        <w:rPr>
          <w:rStyle w:val="Emphasis"/>
        </w:rPr>
        <w:t>[subsection 47(3)]</w:t>
      </w:r>
      <w:r w:rsidR="001A7596" w:rsidRPr="00F82C8D">
        <w:rPr>
          <w:rFonts w:eastAsiaTheme="majorEastAsia"/>
          <w:lang w:val="en-AU"/>
        </w:rPr>
        <w:t xml:space="preserve"> This approach to </w:t>
      </w:r>
      <w:r w:rsidR="006B7F0C" w:rsidRPr="00F82C8D">
        <w:rPr>
          <w:rFonts w:eastAsiaTheme="majorEastAsia"/>
          <w:lang w:val="en-AU"/>
        </w:rPr>
        <w:t>landfill facil</w:t>
      </w:r>
      <w:r w:rsidR="001A7596" w:rsidRPr="00F82C8D">
        <w:rPr>
          <w:rFonts w:eastAsiaTheme="majorEastAsia"/>
          <w:lang w:val="en-AU"/>
        </w:rPr>
        <w:t xml:space="preserve">ities has been taken because emissions from </w:t>
      </w:r>
      <w:r w:rsidR="006B7F0C" w:rsidRPr="00F82C8D">
        <w:rPr>
          <w:rFonts w:eastAsiaTheme="majorEastAsia"/>
          <w:lang w:val="en-AU"/>
        </w:rPr>
        <w:t>landfill facil</w:t>
      </w:r>
      <w:r w:rsidR="001A7596" w:rsidRPr="00F82C8D">
        <w:rPr>
          <w:rFonts w:eastAsiaTheme="majorEastAsia"/>
          <w:lang w:val="en-AU"/>
        </w:rPr>
        <w:t xml:space="preserve">ities continue to increase over time, </w:t>
      </w:r>
      <w:r w:rsidR="001A7596" w:rsidRPr="00F82C8D">
        <w:t>even</w:t>
      </w:r>
      <w:r w:rsidR="001A7596" w:rsidRPr="00F82C8D">
        <w:rPr>
          <w:rFonts w:eastAsiaTheme="majorEastAsia"/>
          <w:lang w:val="en-AU"/>
        </w:rPr>
        <w:t xml:space="preserve"> if the amount of waste deposited does not change. The test for </w:t>
      </w:r>
      <w:r w:rsidR="006B7F0C" w:rsidRPr="00F82C8D">
        <w:rPr>
          <w:rFonts w:eastAsiaTheme="majorEastAsia"/>
          <w:lang w:val="en-AU"/>
        </w:rPr>
        <w:t>landfill facil</w:t>
      </w:r>
      <w:r w:rsidR="001A7596" w:rsidRPr="00F82C8D">
        <w:rPr>
          <w:rFonts w:eastAsiaTheme="majorEastAsia"/>
          <w:lang w:val="en-AU"/>
        </w:rPr>
        <w:t xml:space="preserve">ities encourages them to minimise </w:t>
      </w:r>
      <w:r w:rsidR="00F704EC" w:rsidRPr="00F82C8D">
        <w:rPr>
          <w:rFonts w:eastAsiaTheme="majorEastAsia"/>
          <w:lang w:val="en-AU"/>
        </w:rPr>
        <w:t xml:space="preserve">covered </w:t>
      </w:r>
      <w:r w:rsidR="001A7596" w:rsidRPr="00F82C8D">
        <w:rPr>
          <w:rFonts w:eastAsiaTheme="majorEastAsia"/>
          <w:lang w:val="en-AU"/>
        </w:rPr>
        <w:t>emissions by increasing the amount of landfill gas captured.</w:t>
      </w:r>
    </w:p>
    <w:p w:rsidR="001A7596" w:rsidRPr="00F82C8D" w:rsidRDefault="007819E2" w:rsidP="0010340C">
      <w:pPr>
        <w:pStyle w:val="Heading3"/>
      </w:pPr>
      <w:r w:rsidRPr="00F82C8D">
        <w:t xml:space="preserve">Section 48: </w:t>
      </w:r>
      <w:r w:rsidR="001A7596" w:rsidRPr="00F82C8D">
        <w:t>Information to accompany applications</w:t>
      </w:r>
    </w:p>
    <w:p w:rsidR="001A7596" w:rsidRPr="00F82C8D" w:rsidRDefault="001A7596" w:rsidP="0062404E">
      <w:pPr>
        <w:pStyle w:val="Heading4"/>
      </w:pPr>
      <w:r w:rsidRPr="00F82C8D">
        <w:t xml:space="preserve">Facilities other than </w:t>
      </w:r>
      <w:r w:rsidR="00E73B57" w:rsidRPr="00F82C8D">
        <w:t xml:space="preserve">benchmark or </w:t>
      </w:r>
      <w:r w:rsidR="006B7F0C" w:rsidRPr="00F82C8D">
        <w:t>landfill facil</w:t>
      </w:r>
      <w:r w:rsidRPr="00F82C8D">
        <w:t>ities</w:t>
      </w:r>
    </w:p>
    <w:p w:rsidR="001A7596" w:rsidRPr="00F82C8D" w:rsidRDefault="001A7596" w:rsidP="00625D31">
      <w:pPr>
        <w:pStyle w:val="ListParagraph"/>
      </w:pPr>
      <w:r w:rsidRPr="00F82C8D">
        <w:rPr>
          <w:rFonts w:eastAsiaTheme="majorEastAsia"/>
          <w:lang w:val="en-AU"/>
        </w:rPr>
        <w:t>The application must set out the amount or volume of all the facility’s production variables in the baseline intensity comparison year and the year</w:t>
      </w:r>
      <w:r w:rsidR="0062404E" w:rsidRPr="00F82C8D">
        <w:rPr>
          <w:rFonts w:eastAsiaTheme="majorEastAsia"/>
          <w:lang w:val="en-AU"/>
        </w:rPr>
        <w:t xml:space="preserve"> the subject of the application. </w:t>
      </w:r>
      <w:r w:rsidRPr="00F82C8D">
        <w:rPr>
          <w:rStyle w:val="Emphasis"/>
        </w:rPr>
        <w:t>[paragraph 48(1)(a)</w:t>
      </w:r>
      <w:r w:rsidR="0062404E" w:rsidRPr="00F82C8D">
        <w:rPr>
          <w:rStyle w:val="Emphasis"/>
        </w:rPr>
        <w:t>]</w:t>
      </w:r>
    </w:p>
    <w:p w:rsidR="001A7596" w:rsidRPr="00F82C8D" w:rsidRDefault="001A7596" w:rsidP="00625D31">
      <w:pPr>
        <w:pStyle w:val="ListParagraph"/>
      </w:pPr>
      <w:r w:rsidRPr="00F82C8D">
        <w:t>If there are two or more production variables, the application must also set out the emissions intensity of each production variable</w:t>
      </w:r>
      <w:r w:rsidR="0062404E" w:rsidRPr="00F82C8D">
        <w:t>.</w:t>
      </w:r>
      <w:r w:rsidRPr="00F82C8D">
        <w:t xml:space="preserve"> </w:t>
      </w:r>
      <w:r w:rsidRPr="00F82C8D">
        <w:rPr>
          <w:rStyle w:val="Emphasis"/>
        </w:rPr>
        <w:t>[subparagraph 48(1)(b)(i)</w:t>
      </w:r>
      <w:r w:rsidR="0062404E" w:rsidRPr="00F82C8D">
        <w:rPr>
          <w:rStyle w:val="Emphasis"/>
        </w:rPr>
        <w:t>]</w:t>
      </w:r>
    </w:p>
    <w:p w:rsidR="001A7596" w:rsidRPr="00F82C8D" w:rsidRDefault="001A7596" w:rsidP="00625D31">
      <w:pPr>
        <w:pStyle w:val="ListParagraph"/>
      </w:pPr>
      <w:r w:rsidRPr="00F82C8D">
        <w:t>If there are two or more production variables, the application must also set out the total covered emissions in the financial year</w:t>
      </w:r>
      <w:r w:rsidR="00B74E5E" w:rsidRPr="00F82C8D">
        <w:t xml:space="preserve"> for which the variation is sought</w:t>
      </w:r>
      <w:r w:rsidRPr="00F82C8D">
        <w:t xml:space="preserve"> by multiplying the </w:t>
      </w:r>
      <w:r w:rsidR="00BB7C53" w:rsidRPr="00F82C8D">
        <w:t>emissions intens</w:t>
      </w:r>
      <w:r w:rsidRPr="00F82C8D">
        <w:t xml:space="preserve">ity of each production variable in the financial year by the </w:t>
      </w:r>
      <w:r w:rsidR="00F16155" w:rsidRPr="00F82C8D">
        <w:t>quantity</w:t>
      </w:r>
      <w:r w:rsidRPr="00F82C8D">
        <w:t xml:space="preserve"> of </w:t>
      </w:r>
      <w:r w:rsidR="00F16155" w:rsidRPr="00F82C8D">
        <w:t xml:space="preserve">the </w:t>
      </w:r>
      <w:r w:rsidRPr="00F82C8D">
        <w:t>production va</w:t>
      </w:r>
      <w:r w:rsidR="00F16155" w:rsidRPr="00F82C8D">
        <w:t>ria</w:t>
      </w:r>
      <w:r w:rsidR="0062404E" w:rsidRPr="00F82C8D">
        <w:t xml:space="preserve">ble then summing the results. </w:t>
      </w:r>
      <w:r w:rsidR="00330C0B" w:rsidRPr="00F82C8D">
        <w:rPr>
          <w:rStyle w:val="Emphasis"/>
        </w:rPr>
        <w:t>[subparagraph </w:t>
      </w:r>
      <w:r w:rsidRPr="00F82C8D">
        <w:rPr>
          <w:rStyle w:val="Emphasis"/>
        </w:rPr>
        <w:t>48(1)(b)(ii)</w:t>
      </w:r>
      <w:r w:rsidR="0062404E" w:rsidRPr="00F82C8D">
        <w:rPr>
          <w:rStyle w:val="Emphasis"/>
        </w:rPr>
        <w:t>]</w:t>
      </w:r>
    </w:p>
    <w:p w:rsidR="001A7596" w:rsidRPr="00F82C8D" w:rsidRDefault="001A7596" w:rsidP="00625D31">
      <w:pPr>
        <w:pStyle w:val="ListParagraph"/>
      </w:pPr>
      <w:r w:rsidRPr="00F82C8D">
        <w:t xml:space="preserve">The application must include an explanation of the method used to calculate the </w:t>
      </w:r>
      <w:r w:rsidR="00BB7C53" w:rsidRPr="00F82C8D">
        <w:t>emissions intens</w:t>
      </w:r>
      <w:r w:rsidRPr="00F82C8D">
        <w:t>ity of each production variable and to apportion the facility’s emissions be</w:t>
      </w:r>
      <w:r w:rsidR="0062404E" w:rsidRPr="00F82C8D">
        <w:t>tween those production variable.</w:t>
      </w:r>
      <w:r w:rsidRPr="00F82C8D">
        <w:t xml:space="preserve"> </w:t>
      </w:r>
      <w:r w:rsidRPr="00F82C8D">
        <w:rPr>
          <w:rStyle w:val="Emphasis"/>
        </w:rPr>
        <w:t>[paragraph 48(1)(c)</w:t>
      </w:r>
      <w:r w:rsidR="0062404E" w:rsidRPr="00F82C8D">
        <w:rPr>
          <w:rStyle w:val="Emphasis"/>
        </w:rPr>
        <w:t>]</w:t>
      </w:r>
      <w:r w:rsidRPr="00F82C8D">
        <w:t xml:space="preserve"> This requirement helps the Regulator determine whether </w:t>
      </w:r>
      <w:r w:rsidR="00BB7C53" w:rsidRPr="00F82C8D">
        <w:t>emissions intens</w:t>
      </w:r>
      <w:r w:rsidRPr="00F82C8D">
        <w:t>ity has been calculated, and emissions apportioned, consistently between years.</w:t>
      </w:r>
    </w:p>
    <w:p w:rsidR="001A7596" w:rsidRPr="00F82C8D" w:rsidRDefault="001A7596" w:rsidP="00625D31">
      <w:pPr>
        <w:pStyle w:val="ListParagraph"/>
      </w:pPr>
      <w:r w:rsidRPr="00F82C8D">
        <w:t>The quantity of a production variable must be measured at a time that is as close as possible to when the variable enters or leaves the p</w:t>
      </w:r>
      <w:r w:rsidR="00D7793E" w:rsidRPr="00F82C8D">
        <w:t>roduction or processing process</w:t>
      </w:r>
      <w:r w:rsidR="0062404E" w:rsidRPr="00F82C8D">
        <w:t xml:space="preserve">. </w:t>
      </w:r>
      <w:r w:rsidR="00E73B57" w:rsidRPr="00F82C8D">
        <w:rPr>
          <w:rStyle w:val="Emphasis"/>
        </w:rPr>
        <w:t>[subsection</w:t>
      </w:r>
      <w:r w:rsidR="000A7B10" w:rsidRPr="00F82C8D">
        <w:rPr>
          <w:rStyle w:val="Emphasis"/>
        </w:rPr>
        <w:t xml:space="preserve"> </w:t>
      </w:r>
      <w:r w:rsidR="00E73B57" w:rsidRPr="00F82C8D">
        <w:rPr>
          <w:rStyle w:val="Emphasis"/>
        </w:rPr>
        <w:t>48(2)</w:t>
      </w:r>
      <w:r w:rsidR="0062404E" w:rsidRPr="00F82C8D">
        <w:rPr>
          <w:rStyle w:val="Emphasis"/>
        </w:rPr>
        <w:t>]</w:t>
      </w:r>
      <w:r w:rsidRPr="00F82C8D">
        <w:t xml:space="preserve"> This provision ensures that the </w:t>
      </w:r>
      <w:r w:rsidR="00893FB8" w:rsidRPr="00F82C8D">
        <w:t>quantity</w:t>
      </w:r>
      <w:r w:rsidRPr="00F82C8D">
        <w:t xml:space="preserve"> of a production variable may </w:t>
      </w:r>
      <w:r w:rsidR="00F704EC" w:rsidRPr="00F82C8D">
        <w:t xml:space="preserve">not </w:t>
      </w:r>
      <w:r w:rsidRPr="00F82C8D">
        <w:t xml:space="preserve">have increased or </w:t>
      </w:r>
      <w:r w:rsidR="00893FB8" w:rsidRPr="00F82C8D">
        <w:t>decreased</w:t>
      </w:r>
      <w:r w:rsidRPr="00F82C8D">
        <w:t xml:space="preserve"> for reasons that have nothing to do with the volume of production or emissions.</w:t>
      </w:r>
    </w:p>
    <w:p w:rsidR="00E73B57" w:rsidRPr="00F82C8D" w:rsidRDefault="00E73B57" w:rsidP="00E73B57">
      <w:pPr>
        <w:pStyle w:val="Heading4"/>
      </w:pPr>
      <w:r w:rsidRPr="00F82C8D">
        <w:t>Benchmark facilities</w:t>
      </w:r>
    </w:p>
    <w:p w:rsidR="00E73B57" w:rsidRPr="00F82C8D" w:rsidRDefault="00E73B57" w:rsidP="00915705">
      <w:pPr>
        <w:pStyle w:val="ListParagraph"/>
      </w:pPr>
      <w:r w:rsidRPr="00F82C8D">
        <w:rPr>
          <w:rFonts w:eastAsiaTheme="majorEastAsia"/>
          <w:lang w:val="en-AU"/>
        </w:rPr>
        <w:t xml:space="preserve">The application must set out the </w:t>
      </w:r>
      <w:r w:rsidR="00F16155" w:rsidRPr="00F82C8D">
        <w:rPr>
          <w:rFonts w:eastAsiaTheme="majorEastAsia"/>
          <w:lang w:val="en-AU"/>
        </w:rPr>
        <w:t>quantity of</w:t>
      </w:r>
      <w:r w:rsidRPr="00F82C8D">
        <w:rPr>
          <w:rFonts w:eastAsiaTheme="majorEastAsia"/>
          <w:lang w:val="en-AU"/>
        </w:rPr>
        <w:t xml:space="preserve"> the facility’s production variables in the year </w:t>
      </w:r>
      <w:r w:rsidR="00F16155" w:rsidRPr="00F82C8D">
        <w:rPr>
          <w:rFonts w:eastAsiaTheme="majorEastAsia"/>
          <w:lang w:val="en-AU"/>
        </w:rPr>
        <w:t>for which the variation is sought</w:t>
      </w:r>
      <w:r w:rsidRPr="00F82C8D">
        <w:rPr>
          <w:rFonts w:eastAsiaTheme="majorEastAsia"/>
          <w:lang w:val="en-AU"/>
        </w:rPr>
        <w:t>, measured in accordance with</w:t>
      </w:r>
      <w:r w:rsidR="00BA6BE0" w:rsidRPr="00F82C8D">
        <w:rPr>
          <w:rFonts w:eastAsiaTheme="majorEastAsia"/>
          <w:lang w:val="en-AU"/>
        </w:rPr>
        <w:t xml:space="preserve"> the</w:t>
      </w:r>
      <w:r w:rsidRPr="00F82C8D">
        <w:rPr>
          <w:rFonts w:eastAsiaTheme="majorEastAsia"/>
          <w:lang w:val="en-AU"/>
        </w:rPr>
        <w:t xml:space="preserve"> relevant requirement in </w:t>
      </w:r>
      <w:r w:rsidR="00BF3FA1" w:rsidRPr="00F82C8D">
        <w:rPr>
          <w:rFonts w:eastAsiaTheme="majorEastAsia"/>
          <w:lang w:val="en-AU"/>
        </w:rPr>
        <w:t>Schedule 1</w:t>
      </w:r>
      <w:r w:rsidRPr="00F82C8D">
        <w:rPr>
          <w:rFonts w:eastAsiaTheme="majorEastAsia"/>
          <w:lang w:val="en-AU"/>
        </w:rPr>
        <w:t xml:space="preserve">. </w:t>
      </w:r>
      <w:r w:rsidRPr="00F82C8D">
        <w:rPr>
          <w:rStyle w:val="Emphasis"/>
        </w:rPr>
        <w:t>[</w:t>
      </w:r>
      <w:r w:rsidR="00E36BDF" w:rsidRPr="00F82C8D">
        <w:rPr>
          <w:rStyle w:val="Emphasis"/>
        </w:rPr>
        <w:t>paragraph 48(3</w:t>
      </w:r>
      <w:r w:rsidRPr="00F82C8D">
        <w:rPr>
          <w:rStyle w:val="Emphasis"/>
        </w:rPr>
        <w:t>)</w:t>
      </w:r>
      <w:r w:rsidR="00E36BDF" w:rsidRPr="00F82C8D">
        <w:rPr>
          <w:rStyle w:val="Emphasis"/>
        </w:rPr>
        <w:t>(a)</w:t>
      </w:r>
      <w:r w:rsidRPr="00F82C8D">
        <w:rPr>
          <w:rStyle w:val="Emphasis"/>
        </w:rPr>
        <w:t>]</w:t>
      </w:r>
    </w:p>
    <w:p w:rsidR="00D7793E" w:rsidRPr="00F82C8D" w:rsidRDefault="00E73B57" w:rsidP="00E73B57">
      <w:pPr>
        <w:pStyle w:val="ListParagraph"/>
      </w:pPr>
      <w:r w:rsidRPr="00F82C8D">
        <w:t>If there are two or more production variables, th</w:t>
      </w:r>
      <w:r w:rsidR="00D7793E" w:rsidRPr="00F82C8D">
        <w:t>e application must also set out:</w:t>
      </w:r>
    </w:p>
    <w:p w:rsidR="00E73B57" w:rsidRPr="00F82C8D" w:rsidRDefault="00E73B57" w:rsidP="002E625A">
      <w:pPr>
        <w:pStyle w:val="ListBullet"/>
      </w:pPr>
      <w:r w:rsidRPr="00F82C8D">
        <w:t xml:space="preserve">the emissions intensity of each production variable. </w:t>
      </w:r>
      <w:r w:rsidRPr="00F82C8D">
        <w:rPr>
          <w:rStyle w:val="Emphasis"/>
        </w:rPr>
        <w:t>[subparagraph 48(</w:t>
      </w:r>
      <w:r w:rsidR="00E36BDF" w:rsidRPr="00F82C8D">
        <w:rPr>
          <w:rStyle w:val="Emphasis"/>
        </w:rPr>
        <w:t>3</w:t>
      </w:r>
      <w:r w:rsidRPr="00F82C8D">
        <w:rPr>
          <w:rStyle w:val="Emphasis"/>
        </w:rPr>
        <w:t>)(b)(i)]</w:t>
      </w:r>
    </w:p>
    <w:p w:rsidR="00DB293E" w:rsidRPr="00F82C8D" w:rsidRDefault="00E73B57">
      <w:pPr>
        <w:pStyle w:val="ListBullet"/>
      </w:pPr>
      <w:r w:rsidRPr="00F82C8D">
        <w:t xml:space="preserve">the total covered emissions in the financial year </w:t>
      </w:r>
      <w:r w:rsidR="00F16155" w:rsidRPr="00F82C8D">
        <w:t xml:space="preserve">for which the variation is sought </w:t>
      </w:r>
      <w:r w:rsidRPr="00F82C8D">
        <w:t xml:space="preserve">by multiplying the </w:t>
      </w:r>
      <w:r w:rsidR="00BB7C53" w:rsidRPr="00F82C8D">
        <w:t>emissions intens</w:t>
      </w:r>
      <w:r w:rsidRPr="00F82C8D">
        <w:t xml:space="preserve">ity of each production variable in the financial year by the volume or amount of production valuable then summing the results. </w:t>
      </w:r>
      <w:r w:rsidR="00E36BDF" w:rsidRPr="00F82C8D">
        <w:rPr>
          <w:rStyle w:val="Emphasis"/>
        </w:rPr>
        <w:t>[subparagraph 48(3</w:t>
      </w:r>
      <w:r w:rsidRPr="00F82C8D">
        <w:rPr>
          <w:rStyle w:val="Emphasis"/>
        </w:rPr>
        <w:t>)(b)(ii)]</w:t>
      </w:r>
    </w:p>
    <w:p w:rsidR="00E73B57" w:rsidRPr="00F82C8D" w:rsidRDefault="00E73B57" w:rsidP="00E73B57">
      <w:pPr>
        <w:pStyle w:val="ListParagraph"/>
      </w:pPr>
      <w:r w:rsidRPr="00F82C8D">
        <w:t xml:space="preserve">The application must include an explanation of the method used to calculate the </w:t>
      </w:r>
      <w:r w:rsidR="00BB7C53" w:rsidRPr="00F82C8D">
        <w:t>emissions intens</w:t>
      </w:r>
      <w:r w:rsidRPr="00F82C8D">
        <w:t xml:space="preserve">ity of each production variable and to apportion the facility’s emissions between those production variable. </w:t>
      </w:r>
      <w:r w:rsidR="00E36BDF" w:rsidRPr="00F82C8D">
        <w:rPr>
          <w:rStyle w:val="Emphasis"/>
        </w:rPr>
        <w:t>[paragraph 48(3</w:t>
      </w:r>
      <w:r w:rsidRPr="00F82C8D">
        <w:rPr>
          <w:rStyle w:val="Emphasis"/>
        </w:rPr>
        <w:t>)(c)]</w:t>
      </w:r>
      <w:r w:rsidRPr="00F82C8D">
        <w:t xml:space="preserve"> This requirement helps the Regulator determine whether </w:t>
      </w:r>
      <w:r w:rsidR="00BB7C53" w:rsidRPr="00F82C8D">
        <w:t>emissions intens</w:t>
      </w:r>
      <w:r w:rsidRPr="00F82C8D">
        <w:t xml:space="preserve">ity has been calculated, and emissions apportioned, consistently </w:t>
      </w:r>
      <w:r w:rsidR="00D7793E" w:rsidRPr="00F82C8D">
        <w:t>with the requirements set out in subsection 47(4)</w:t>
      </w:r>
      <w:r w:rsidR="00F16155" w:rsidRPr="00F82C8D">
        <w:t xml:space="preserve"> of the safeguard rule</w:t>
      </w:r>
      <w:r w:rsidRPr="00F82C8D">
        <w:t>.</w:t>
      </w:r>
    </w:p>
    <w:p w:rsidR="001A7596" w:rsidRPr="00F82C8D" w:rsidRDefault="006B7F0C" w:rsidP="00E73B57">
      <w:pPr>
        <w:pStyle w:val="Heading4"/>
      </w:pPr>
      <w:r w:rsidRPr="00F82C8D">
        <w:t>Landfill facil</w:t>
      </w:r>
      <w:r w:rsidR="001A7596" w:rsidRPr="00F82C8D">
        <w:t>ities</w:t>
      </w:r>
    </w:p>
    <w:p w:rsidR="001A7596" w:rsidRPr="00F82C8D" w:rsidRDefault="001A7596" w:rsidP="00E36BDF">
      <w:pPr>
        <w:pStyle w:val="ListParagraph"/>
      </w:pPr>
      <w:r w:rsidRPr="00F82C8D">
        <w:rPr>
          <w:rFonts w:eastAsiaTheme="majorEastAsia"/>
          <w:lang w:val="en-AU"/>
        </w:rPr>
        <w:t xml:space="preserve">An application in relation to a landfill facility must include information about the amount of landfill gas captured at </w:t>
      </w:r>
      <w:r w:rsidRPr="00F82C8D">
        <w:t xml:space="preserve">the facility in the baseline intensity comparison year and the year </w:t>
      </w:r>
      <w:r w:rsidR="00D7793E" w:rsidRPr="00F82C8D">
        <w:t>for which the variation is sought</w:t>
      </w:r>
      <w:r w:rsidR="0062404E" w:rsidRPr="00F82C8D">
        <w:t>.</w:t>
      </w:r>
      <w:r w:rsidRPr="00F82C8D">
        <w:t xml:space="preserve"> </w:t>
      </w:r>
      <w:r w:rsidRPr="00F82C8D">
        <w:rPr>
          <w:rStyle w:val="Emphasis"/>
        </w:rPr>
        <w:t>[paragraph</w:t>
      </w:r>
      <w:r w:rsidR="00E36BDF" w:rsidRPr="00F82C8D">
        <w:rPr>
          <w:rStyle w:val="Emphasis"/>
        </w:rPr>
        <w:t> </w:t>
      </w:r>
      <w:r w:rsidRPr="00F82C8D">
        <w:rPr>
          <w:rStyle w:val="Emphasis"/>
        </w:rPr>
        <w:t>48(</w:t>
      </w:r>
      <w:r w:rsidR="00E36BDF" w:rsidRPr="00F82C8D">
        <w:rPr>
          <w:rStyle w:val="Emphasis"/>
        </w:rPr>
        <w:t>4</w:t>
      </w:r>
      <w:r w:rsidRPr="00F82C8D">
        <w:rPr>
          <w:rStyle w:val="Emphasis"/>
        </w:rPr>
        <w:t>)(a)</w:t>
      </w:r>
      <w:r w:rsidR="0062404E" w:rsidRPr="00F82C8D">
        <w:rPr>
          <w:rStyle w:val="Emphasis"/>
        </w:rPr>
        <w:t>]</w:t>
      </w:r>
    </w:p>
    <w:p w:rsidR="001A7596" w:rsidRPr="00F82C8D" w:rsidRDefault="001A7596" w:rsidP="00625D31">
      <w:pPr>
        <w:pStyle w:val="ListParagraph"/>
        <w:rPr>
          <w:rFonts w:eastAsiaTheme="majorEastAsia"/>
          <w:lang w:val="en-AU"/>
        </w:rPr>
      </w:pPr>
      <w:r w:rsidRPr="00F82C8D">
        <w:t>The application must also state the amount of scope 1 emissions from the landfill facility. This amount must not include landfi</w:t>
      </w:r>
      <w:r w:rsidR="0062404E" w:rsidRPr="00F82C8D">
        <w:t>ll</w:t>
      </w:r>
      <w:r w:rsidR="0062404E" w:rsidRPr="00F82C8D">
        <w:rPr>
          <w:rFonts w:eastAsiaTheme="majorEastAsia"/>
          <w:lang w:val="en-AU"/>
        </w:rPr>
        <w:t xml:space="preserve"> gas captured by the facility. </w:t>
      </w:r>
      <w:r w:rsidR="003C70B2" w:rsidRPr="00F82C8D">
        <w:rPr>
          <w:rStyle w:val="Emphasis"/>
        </w:rPr>
        <w:t>[paragraph 48(4</w:t>
      </w:r>
      <w:r w:rsidRPr="00F82C8D">
        <w:rPr>
          <w:rStyle w:val="Emphasis"/>
        </w:rPr>
        <w:t>)(b)</w:t>
      </w:r>
      <w:r w:rsidR="0062404E" w:rsidRPr="00F82C8D">
        <w:rPr>
          <w:rStyle w:val="Emphasis"/>
        </w:rPr>
        <w:t>]</w:t>
      </w:r>
    </w:p>
    <w:p w:rsidR="001A7596" w:rsidRPr="00F82C8D" w:rsidRDefault="007819E2" w:rsidP="00704FCE">
      <w:pPr>
        <w:pStyle w:val="Heading3"/>
      </w:pPr>
      <w:r w:rsidRPr="00F82C8D">
        <w:t xml:space="preserve">Section 49: </w:t>
      </w:r>
      <w:r w:rsidR="001A7596" w:rsidRPr="00F82C8D">
        <w:t>Audit reports</w:t>
      </w:r>
    </w:p>
    <w:p w:rsidR="001A7596" w:rsidRPr="00F82C8D" w:rsidRDefault="001A7596" w:rsidP="00625D31">
      <w:pPr>
        <w:pStyle w:val="ListParagraph"/>
      </w:pPr>
      <w:r w:rsidRPr="00F82C8D">
        <w:rPr>
          <w:rFonts w:eastAsiaTheme="majorEastAsia"/>
          <w:lang w:val="en-AU"/>
        </w:rPr>
        <w:t xml:space="preserve">An application for a variation of a baseline </w:t>
      </w:r>
      <w:r w:rsidRPr="00F82C8D">
        <w:t xml:space="preserve">determination for a reduction in </w:t>
      </w:r>
      <w:r w:rsidR="00BB7C53" w:rsidRPr="00F82C8D">
        <w:t>emissions intens</w:t>
      </w:r>
      <w:r w:rsidRPr="00F82C8D">
        <w:t>ity must be accompanied by an audit report that meets the requirements in section 49</w:t>
      </w:r>
      <w:r w:rsidR="0062404E" w:rsidRPr="00F82C8D">
        <w:t>.</w:t>
      </w:r>
      <w:r w:rsidRPr="00F82C8D">
        <w:t xml:space="preserve"> </w:t>
      </w:r>
      <w:r w:rsidRPr="00F82C8D">
        <w:rPr>
          <w:rStyle w:val="Emphasis"/>
        </w:rPr>
        <w:t>[subsection 49(1)</w:t>
      </w:r>
      <w:r w:rsidR="0062404E" w:rsidRPr="00F82C8D">
        <w:rPr>
          <w:rStyle w:val="Emphasis"/>
        </w:rPr>
        <w:t>]</w:t>
      </w:r>
    </w:p>
    <w:p w:rsidR="001A7596" w:rsidRPr="00F82C8D" w:rsidRDefault="001A7596" w:rsidP="00625D31">
      <w:pPr>
        <w:pStyle w:val="ListParagraph"/>
      </w:pPr>
      <w:r w:rsidRPr="00F82C8D">
        <w:t xml:space="preserve">The audits must be undertaken by </w:t>
      </w:r>
      <w:r w:rsidR="00942D59" w:rsidRPr="00F82C8D">
        <w:t>national greenhouse and energy auditor</w:t>
      </w:r>
      <w:r w:rsidRPr="00F82C8D">
        <w:t xml:space="preserve">s, who have the experience and expertise to undertake audits in relation to greenhouse gas emissions. The team leader of the audit must be registered as a Category 2 auditor under the </w:t>
      </w:r>
      <w:r w:rsidR="002D6B56" w:rsidRPr="00F82C8D">
        <w:t>NGER Regulations</w:t>
      </w:r>
      <w:r w:rsidR="0062404E" w:rsidRPr="00F82C8D">
        <w:t>.</w:t>
      </w:r>
      <w:r w:rsidRPr="00F82C8D">
        <w:t xml:space="preserve"> </w:t>
      </w:r>
      <w:r w:rsidRPr="00F82C8D">
        <w:rPr>
          <w:rStyle w:val="Emphasis"/>
        </w:rPr>
        <w:t>[paragraph 49(5)(b)</w:t>
      </w:r>
      <w:r w:rsidR="0062404E" w:rsidRPr="00F82C8D">
        <w:rPr>
          <w:rStyle w:val="Emphasis"/>
        </w:rPr>
        <w:t>]</w:t>
      </w:r>
      <w:r w:rsidRPr="00F82C8D">
        <w:t xml:space="preserve"> A Category 2 auditor has experience leading greenhouse audits. In addition, the audits must be conducted in accordance with the relevant requirements for reasonable assurance engagements under the </w:t>
      </w:r>
      <w:r w:rsidRPr="00F82C8D">
        <w:rPr>
          <w:i/>
        </w:rPr>
        <w:t>National Greenhouse and Energy Reporting (Audit) Determination 2009</w:t>
      </w:r>
      <w:r w:rsidRPr="00F82C8D">
        <w:t xml:space="preserve"> </w:t>
      </w:r>
      <w:r w:rsidRPr="00F82C8D">
        <w:rPr>
          <w:rStyle w:val="Emphasis"/>
        </w:rPr>
        <w:t xml:space="preserve">[paragraph 49(5)(a)] </w:t>
      </w:r>
      <w:r w:rsidRPr="00F82C8D">
        <w:t>and with the requirements of subsection 7</w:t>
      </w:r>
      <w:r w:rsidR="00EF0775" w:rsidRPr="00F82C8D">
        <w:t>4</w:t>
      </w:r>
      <w:r w:rsidRPr="00F82C8D">
        <w:t xml:space="preserve">(1) of the Act, which provides that the Minister may determine requirements to be met by </w:t>
      </w:r>
      <w:r w:rsidR="00942D59" w:rsidRPr="00F82C8D">
        <w:t>national greenhouse and energy auditor</w:t>
      </w:r>
      <w:r w:rsidRPr="00F82C8D">
        <w:t>s</w:t>
      </w:r>
      <w:r w:rsidR="00704FCE" w:rsidRPr="00F82C8D">
        <w:t>.</w:t>
      </w:r>
      <w:r w:rsidRPr="00F82C8D">
        <w:t xml:space="preserve"> </w:t>
      </w:r>
      <w:r w:rsidRPr="00F82C8D">
        <w:rPr>
          <w:rStyle w:val="Emphasis"/>
        </w:rPr>
        <w:t>[paragraph 49(5)(c)</w:t>
      </w:r>
      <w:r w:rsidR="00704FCE" w:rsidRPr="00F82C8D">
        <w:rPr>
          <w:rStyle w:val="Emphasis"/>
        </w:rPr>
        <w:t>]</w:t>
      </w:r>
    </w:p>
    <w:p w:rsidR="001A7596" w:rsidRPr="00F82C8D" w:rsidRDefault="001A7596" w:rsidP="00625D31">
      <w:pPr>
        <w:pStyle w:val="ListParagraph"/>
      </w:pPr>
      <w:r w:rsidRPr="00F82C8D">
        <w:t>The audit report must make one of the following conclusions:</w:t>
      </w:r>
    </w:p>
    <w:p w:rsidR="001A7596" w:rsidRPr="00F82C8D" w:rsidRDefault="001A7596" w:rsidP="002E625A">
      <w:pPr>
        <w:pStyle w:val="ListBullet"/>
        <w:rPr>
          <w:iCs/>
        </w:rPr>
      </w:pPr>
      <w:r w:rsidRPr="00F82C8D">
        <w:t>a reasonable assurance conclusion</w:t>
      </w:r>
    </w:p>
    <w:p w:rsidR="00DB293E" w:rsidRPr="00F82C8D" w:rsidRDefault="001A7596">
      <w:pPr>
        <w:pStyle w:val="ListBullet"/>
      </w:pPr>
      <w:r w:rsidRPr="00F82C8D">
        <w:t>a qualified reasonable assurance conclusion</w:t>
      </w:r>
    </w:p>
    <w:p w:rsidR="00DB293E" w:rsidRPr="00F82C8D" w:rsidRDefault="00330C0B">
      <w:pPr>
        <w:pStyle w:val="ListBullet"/>
      </w:pPr>
      <w:r w:rsidRPr="00F82C8D">
        <w:t>an adverse conclusion</w:t>
      </w:r>
    </w:p>
    <w:p w:rsidR="00DB293E" w:rsidRPr="00F82C8D" w:rsidRDefault="001A7596">
      <w:pPr>
        <w:pStyle w:val="ListBullet"/>
      </w:pPr>
      <w:r w:rsidRPr="00F82C8D">
        <w:t>a conclusion that the assurance provider is unable to form an opinion about the matter being audited</w:t>
      </w:r>
      <w:r w:rsidR="00704FCE" w:rsidRPr="00F82C8D">
        <w:t>.</w:t>
      </w:r>
      <w:r w:rsidRPr="00F82C8D">
        <w:t xml:space="preserve"> </w:t>
      </w:r>
      <w:r w:rsidRPr="00F82C8D">
        <w:rPr>
          <w:rStyle w:val="Emphasis"/>
        </w:rPr>
        <w:t>[subsection 49(4)</w:t>
      </w:r>
      <w:r w:rsidR="00704FCE" w:rsidRPr="00F82C8D">
        <w:rPr>
          <w:rStyle w:val="Emphasis"/>
        </w:rPr>
        <w:t>]</w:t>
      </w:r>
    </w:p>
    <w:p w:rsidR="001A7596" w:rsidRPr="00F82C8D" w:rsidRDefault="001A7596" w:rsidP="00E36BDF">
      <w:pPr>
        <w:pStyle w:val="Heading4"/>
        <w:rPr>
          <w:lang w:val="en-AU"/>
        </w:rPr>
      </w:pPr>
      <w:r w:rsidRPr="00F82C8D">
        <w:rPr>
          <w:lang w:val="en-AU"/>
        </w:rPr>
        <w:t xml:space="preserve">Facilities other than </w:t>
      </w:r>
      <w:r w:rsidR="00E36BDF" w:rsidRPr="00F82C8D">
        <w:rPr>
          <w:lang w:val="en-AU"/>
        </w:rPr>
        <w:t xml:space="preserve">benchmark of </w:t>
      </w:r>
      <w:r w:rsidRPr="00F82C8D">
        <w:rPr>
          <w:lang w:val="en-AU"/>
        </w:rPr>
        <w:t xml:space="preserve">landfill facilities </w:t>
      </w:r>
    </w:p>
    <w:p w:rsidR="001A7596" w:rsidRPr="00F82C8D" w:rsidRDefault="001A7596" w:rsidP="00625D31">
      <w:pPr>
        <w:pStyle w:val="ListParagraph"/>
        <w:rPr>
          <w:rFonts w:eastAsiaTheme="majorEastAsia"/>
          <w:lang w:val="en-AU"/>
        </w:rPr>
      </w:pPr>
      <w:r w:rsidRPr="00F82C8D">
        <w:rPr>
          <w:rFonts w:eastAsiaTheme="majorEastAsia"/>
          <w:lang w:val="en-AU"/>
        </w:rPr>
        <w:t>The audit report must cover whether, in all material respects:</w:t>
      </w:r>
    </w:p>
    <w:p w:rsidR="001A7596" w:rsidRPr="00F82C8D" w:rsidRDefault="001A7596" w:rsidP="002E625A">
      <w:pPr>
        <w:pStyle w:val="ListBullet"/>
      </w:pPr>
      <w:r w:rsidRPr="00F82C8D">
        <w:t xml:space="preserve">the </w:t>
      </w:r>
      <w:r w:rsidR="00BB7C53" w:rsidRPr="00F82C8D">
        <w:t>emissions intens</w:t>
      </w:r>
      <w:r w:rsidRPr="00F82C8D">
        <w:t>ity test has been satisfied</w:t>
      </w:r>
    </w:p>
    <w:p w:rsidR="00DB293E" w:rsidRPr="00F82C8D" w:rsidRDefault="001A7596">
      <w:pPr>
        <w:pStyle w:val="ListBullet"/>
      </w:pPr>
      <w:r w:rsidRPr="00F82C8D">
        <w:t>the application has been prepared in accordance with section 48</w:t>
      </w:r>
      <w:r w:rsidR="00DF57B7" w:rsidRPr="00F82C8D">
        <w:t xml:space="preserve"> of the </w:t>
      </w:r>
      <w:r w:rsidR="00D360AB" w:rsidRPr="00F82C8D">
        <w:t>safeguard rule</w:t>
      </w:r>
    </w:p>
    <w:p w:rsidR="00DB293E" w:rsidRPr="00F82C8D" w:rsidRDefault="001A7596">
      <w:pPr>
        <w:pStyle w:val="ListBullet"/>
      </w:pPr>
      <w:r w:rsidRPr="00F82C8D">
        <w:t>the application has been presented fairly</w:t>
      </w:r>
    </w:p>
    <w:p w:rsidR="00DB293E" w:rsidRPr="00F82C8D" w:rsidRDefault="001A7596">
      <w:pPr>
        <w:pStyle w:val="ListBullet"/>
      </w:pPr>
      <w:r w:rsidRPr="00F82C8D">
        <w:t>the estimates of the quantity of each production variable meet the re</w:t>
      </w:r>
      <w:r w:rsidR="00704FCE" w:rsidRPr="00F82C8D">
        <w:t>quirements of subsection 48(2)</w:t>
      </w:r>
      <w:r w:rsidR="00DF57B7" w:rsidRPr="00F82C8D">
        <w:t xml:space="preserve"> of the </w:t>
      </w:r>
      <w:r w:rsidR="00D360AB" w:rsidRPr="00F82C8D">
        <w:t>safeguard rule</w:t>
      </w:r>
    </w:p>
    <w:p w:rsidR="00DB293E" w:rsidRPr="00F82C8D" w:rsidRDefault="001A7596">
      <w:pPr>
        <w:pStyle w:val="ListBullet"/>
      </w:pPr>
      <w:r w:rsidRPr="00F82C8D">
        <w:t>the estimates of the quantity of each production variable are supported by historical dat</w:t>
      </w:r>
      <w:r w:rsidR="0010340C" w:rsidRPr="00F82C8D">
        <w:t>a</w:t>
      </w:r>
      <w:r w:rsidR="00DF57B7" w:rsidRPr="00F82C8D">
        <w:t xml:space="preserve"> that is fairly presented</w:t>
      </w:r>
    </w:p>
    <w:p w:rsidR="00DB293E" w:rsidRPr="00F82C8D" w:rsidRDefault="001A7596">
      <w:pPr>
        <w:pStyle w:val="ListBullet"/>
      </w:pPr>
      <w:r w:rsidRPr="00F82C8D">
        <w:t xml:space="preserve">the calculation of the </w:t>
      </w:r>
      <w:r w:rsidR="00BB7C53" w:rsidRPr="00F82C8D">
        <w:t>emissions intens</w:t>
      </w:r>
      <w:r w:rsidRPr="00F82C8D">
        <w:t>ity of each production variable meets the requi</w:t>
      </w:r>
      <w:r w:rsidR="00704FCE" w:rsidRPr="00F82C8D">
        <w:t>rements of subsection 47(</w:t>
      </w:r>
      <w:r w:rsidR="00E36BDF" w:rsidRPr="00F82C8D">
        <w:t>4</w:t>
      </w:r>
      <w:r w:rsidR="00704FCE" w:rsidRPr="00F82C8D">
        <w:t>)</w:t>
      </w:r>
      <w:r w:rsidR="00DF57B7" w:rsidRPr="00F82C8D">
        <w:t xml:space="preserve"> of the </w:t>
      </w:r>
      <w:r w:rsidR="00D360AB" w:rsidRPr="00F82C8D">
        <w:t>safeguard rule</w:t>
      </w:r>
    </w:p>
    <w:p w:rsidR="00552B33" w:rsidRPr="00F82C8D" w:rsidRDefault="001A7596">
      <w:pPr>
        <w:pStyle w:val="ListBullet"/>
      </w:pPr>
      <w:r w:rsidRPr="00F82C8D">
        <w:t xml:space="preserve">the calculation of the </w:t>
      </w:r>
      <w:r w:rsidR="00BB7C53" w:rsidRPr="00F82C8D">
        <w:t>emissions intens</w:t>
      </w:r>
      <w:r w:rsidRPr="00F82C8D">
        <w:t>ity of each production variable is supported by historical data</w:t>
      </w:r>
      <w:r w:rsidR="006D11CF" w:rsidRPr="00F82C8D">
        <w:t xml:space="preserve"> that is fairly stated</w:t>
      </w:r>
      <w:r w:rsidR="00E468A7" w:rsidRPr="00F82C8D">
        <w:t>.</w:t>
      </w:r>
      <w:r w:rsidRPr="00F82C8D">
        <w:t xml:space="preserve"> </w:t>
      </w:r>
      <w:r w:rsidRPr="00F82C8D">
        <w:rPr>
          <w:rStyle w:val="Emphasis"/>
        </w:rPr>
        <w:t>[subsection 49(2)</w:t>
      </w:r>
      <w:r w:rsidR="00E468A7" w:rsidRPr="00F82C8D">
        <w:rPr>
          <w:rStyle w:val="Emphasis"/>
        </w:rPr>
        <w:t>]</w:t>
      </w:r>
    </w:p>
    <w:p w:rsidR="001A7596" w:rsidRPr="00F82C8D" w:rsidRDefault="001A7596" w:rsidP="00F802CD">
      <w:pPr>
        <w:pStyle w:val="Heading4"/>
        <w:rPr>
          <w:lang w:val="en-AU"/>
        </w:rPr>
      </w:pPr>
      <w:r w:rsidRPr="00F82C8D">
        <w:rPr>
          <w:lang w:val="en-AU"/>
        </w:rPr>
        <w:t>Landfill facilities</w:t>
      </w:r>
    </w:p>
    <w:p w:rsidR="001A7596" w:rsidRPr="00F82C8D" w:rsidRDefault="001A7596" w:rsidP="00625D31">
      <w:pPr>
        <w:pStyle w:val="ListParagraph"/>
        <w:rPr>
          <w:rFonts w:eastAsiaTheme="majorEastAsia"/>
          <w:lang w:val="en-AU"/>
        </w:rPr>
      </w:pPr>
      <w:r w:rsidRPr="00F82C8D">
        <w:rPr>
          <w:rFonts w:eastAsiaTheme="majorEastAsia"/>
          <w:lang w:val="en-AU"/>
        </w:rPr>
        <w:t>The audit report must cover whether, in all material respects:</w:t>
      </w:r>
    </w:p>
    <w:p w:rsidR="001A7596" w:rsidRPr="00F82C8D" w:rsidRDefault="001A7596" w:rsidP="002E625A">
      <w:pPr>
        <w:pStyle w:val="ListBullet"/>
      </w:pPr>
      <w:r w:rsidRPr="00F82C8D">
        <w:t xml:space="preserve">the </w:t>
      </w:r>
      <w:r w:rsidR="00BB7C53" w:rsidRPr="00F82C8D">
        <w:t>emissions intens</w:t>
      </w:r>
      <w:r w:rsidRPr="00F82C8D">
        <w:t>ity test has been satisfied</w:t>
      </w:r>
    </w:p>
    <w:p w:rsidR="00552B33" w:rsidRPr="00F82C8D" w:rsidRDefault="001A7596">
      <w:pPr>
        <w:pStyle w:val="ListBullet"/>
      </w:pPr>
      <w:r w:rsidRPr="00F82C8D">
        <w:t>the informatio</w:t>
      </w:r>
      <w:r w:rsidR="006D11CF" w:rsidRPr="00F82C8D">
        <w:t>n included under subsection 48(4</w:t>
      </w:r>
      <w:r w:rsidRPr="00F82C8D">
        <w:t>)</w:t>
      </w:r>
      <w:r w:rsidR="00F16155" w:rsidRPr="00F82C8D">
        <w:t xml:space="preserve"> of the safeguard rule</w:t>
      </w:r>
      <w:r w:rsidRPr="00F82C8D">
        <w:t xml:space="preserve"> is correctly stated, and</w:t>
      </w:r>
    </w:p>
    <w:p w:rsidR="00552B33" w:rsidRPr="00F82C8D" w:rsidRDefault="001A7596">
      <w:pPr>
        <w:pStyle w:val="ListBullet"/>
        <w:rPr>
          <w:rStyle w:val="Emphasis"/>
          <w:rFonts w:eastAsiaTheme="minorEastAsia"/>
          <w:b w:val="0"/>
          <w:i w:val="0"/>
          <w:iCs w:val="0"/>
          <w:sz w:val="24"/>
          <w:lang w:val="en-US" w:bidi="en-US"/>
        </w:rPr>
      </w:pPr>
      <w:r w:rsidRPr="00F82C8D">
        <w:t>the informatio</w:t>
      </w:r>
      <w:r w:rsidR="006D11CF" w:rsidRPr="00F82C8D">
        <w:t>n included under subsection 48(4</w:t>
      </w:r>
      <w:r w:rsidRPr="00F82C8D">
        <w:t>)</w:t>
      </w:r>
      <w:r w:rsidR="00F16155" w:rsidRPr="00F82C8D">
        <w:t xml:space="preserve"> of the safeguard rule</w:t>
      </w:r>
      <w:r w:rsidRPr="00F82C8D">
        <w:t xml:space="preserve"> is supported by histo</w:t>
      </w:r>
      <w:r w:rsidR="00E468A7" w:rsidRPr="00F82C8D">
        <w:t>rical data</w:t>
      </w:r>
      <w:r w:rsidR="006D11CF" w:rsidRPr="00F82C8D">
        <w:t xml:space="preserve"> that is fairly stated</w:t>
      </w:r>
      <w:r w:rsidR="00E468A7" w:rsidRPr="00F82C8D">
        <w:t xml:space="preserve">. </w:t>
      </w:r>
      <w:r w:rsidRPr="00F82C8D">
        <w:rPr>
          <w:rStyle w:val="Emphasis"/>
        </w:rPr>
        <w:t>[subsection 49(3)</w:t>
      </w:r>
      <w:r w:rsidR="00E468A7" w:rsidRPr="00F82C8D">
        <w:rPr>
          <w:rStyle w:val="Emphasis"/>
        </w:rPr>
        <w:t>]</w:t>
      </w:r>
    </w:p>
    <w:p w:rsidR="001A7596" w:rsidRPr="00F82C8D" w:rsidRDefault="0042495B" w:rsidP="00E468A7">
      <w:pPr>
        <w:pStyle w:val="Heading3"/>
        <w:rPr>
          <w:rStyle w:val="IntenseEmphasis"/>
          <w:b/>
          <w:bCs/>
        </w:rPr>
      </w:pPr>
      <w:r w:rsidRPr="00F82C8D">
        <w:rPr>
          <w:rStyle w:val="IntenseEmphasis"/>
          <w:b/>
          <w:bCs/>
        </w:rPr>
        <w:t xml:space="preserve">Section 50: </w:t>
      </w:r>
      <w:r w:rsidR="001A7596" w:rsidRPr="00F82C8D">
        <w:rPr>
          <w:rStyle w:val="IntenseEmphasis"/>
          <w:b/>
          <w:bCs/>
        </w:rPr>
        <w:t>Further information</w:t>
      </w:r>
    </w:p>
    <w:p w:rsidR="001A7596" w:rsidRPr="00F82C8D" w:rsidRDefault="001A7596" w:rsidP="00625D31">
      <w:pPr>
        <w:pStyle w:val="ListParagraph"/>
      </w:pPr>
      <w:r w:rsidRPr="00F82C8D">
        <w:t>The Regulator may require the applicant to provide further information in connection with the application</w:t>
      </w:r>
      <w:r w:rsidR="00E468A7" w:rsidRPr="00F82C8D">
        <w:t>.</w:t>
      </w:r>
      <w:r w:rsidRPr="00F82C8D">
        <w:t xml:space="preserve"> </w:t>
      </w:r>
      <w:r w:rsidRPr="00F82C8D">
        <w:rPr>
          <w:rStyle w:val="Emphasis"/>
        </w:rPr>
        <w:t>[subsection 50(1)</w:t>
      </w:r>
      <w:r w:rsidR="00E468A7" w:rsidRPr="00F82C8D">
        <w:rPr>
          <w:rStyle w:val="Emphasis"/>
        </w:rPr>
        <w:t>]</w:t>
      </w:r>
      <w:r w:rsidRPr="00F82C8D">
        <w:t xml:space="preserve"> For example, the Regulator may require an applicant to provide further information to support the calculation of </w:t>
      </w:r>
      <w:r w:rsidR="00BB7C53" w:rsidRPr="00F82C8D">
        <w:t>emissions intens</w:t>
      </w:r>
      <w:r w:rsidRPr="00F82C8D">
        <w:t>ity.</w:t>
      </w:r>
    </w:p>
    <w:p w:rsidR="001A7596" w:rsidRPr="00F82C8D" w:rsidRDefault="001A7596" w:rsidP="00625D31">
      <w:pPr>
        <w:pStyle w:val="ListParagraph"/>
      </w:pPr>
      <w:r w:rsidRPr="00F82C8D">
        <w:t>If the applicant does not comply with the Regulator’s request for further information, the Regulator may refuse to consider the application or refuse to take any further action in relation to the application</w:t>
      </w:r>
      <w:r w:rsidR="00E468A7" w:rsidRPr="00F82C8D">
        <w:t>.</w:t>
      </w:r>
      <w:r w:rsidRPr="00F82C8D">
        <w:t xml:space="preserve"> </w:t>
      </w:r>
      <w:r w:rsidRPr="00F82C8D">
        <w:rPr>
          <w:rStyle w:val="Emphasis"/>
        </w:rPr>
        <w:t>[subsection 50(2)</w:t>
      </w:r>
      <w:r w:rsidR="00E468A7" w:rsidRPr="00F82C8D">
        <w:rPr>
          <w:rStyle w:val="Emphasis"/>
        </w:rPr>
        <w:t>]</w:t>
      </w:r>
    </w:p>
    <w:p w:rsidR="001A7596" w:rsidRPr="00F82C8D" w:rsidRDefault="0042495B" w:rsidP="00F802CD">
      <w:pPr>
        <w:pStyle w:val="Heading3"/>
      </w:pPr>
      <w:r w:rsidRPr="00F82C8D">
        <w:t xml:space="preserve">Section 51: </w:t>
      </w:r>
      <w:r w:rsidR="001A7596" w:rsidRPr="00F82C8D">
        <w:t>Variation of baseline determination</w:t>
      </w:r>
    </w:p>
    <w:p w:rsidR="001A7596" w:rsidRPr="00F82C8D" w:rsidRDefault="0042495B" w:rsidP="00625D31">
      <w:pPr>
        <w:pStyle w:val="ListParagraph"/>
        <w:rPr>
          <w:rFonts w:eastAsiaTheme="majorEastAsia"/>
          <w:lang w:val="en-AU"/>
        </w:rPr>
      </w:pPr>
      <w:r w:rsidRPr="00F82C8D">
        <w:rPr>
          <w:rFonts w:eastAsiaTheme="majorEastAsia"/>
          <w:lang w:val="en-AU"/>
        </w:rPr>
        <w:t>Similar to other baseline determinations, t</w:t>
      </w:r>
      <w:r w:rsidR="001A7596" w:rsidRPr="00F82C8D">
        <w:rPr>
          <w:rFonts w:eastAsiaTheme="majorEastAsia"/>
          <w:lang w:val="en-AU"/>
        </w:rPr>
        <w:t xml:space="preserve">he Regulator may vary the baseline </w:t>
      </w:r>
      <w:r w:rsidR="001A7596" w:rsidRPr="00F82C8D">
        <w:t>determination</w:t>
      </w:r>
      <w:r w:rsidR="001A7596" w:rsidRPr="00F82C8D">
        <w:rPr>
          <w:rFonts w:eastAsiaTheme="majorEastAsia"/>
          <w:lang w:val="en-AU"/>
        </w:rPr>
        <w:t xml:space="preserve"> for a facility if satisfied that:</w:t>
      </w:r>
    </w:p>
    <w:p w:rsidR="001A7596" w:rsidRPr="00F82C8D" w:rsidRDefault="001A7596" w:rsidP="002E625A">
      <w:pPr>
        <w:pStyle w:val="ListBullet"/>
        <w:rPr>
          <w:rFonts w:eastAsiaTheme="majorEastAsia"/>
          <w:bCs/>
          <w:iCs/>
        </w:rPr>
      </w:pPr>
      <w:r w:rsidRPr="00F82C8D">
        <w:rPr>
          <w:rFonts w:eastAsiaTheme="majorEastAsia"/>
          <w:bCs/>
        </w:rPr>
        <w:t>the audit report accompanying</w:t>
      </w:r>
      <w:r w:rsidRPr="00F82C8D">
        <w:t xml:space="preserve"> the application contains a reasonable assurance or qualified reasonable assurance conclusion </w:t>
      </w:r>
      <w:r w:rsidRPr="00F82C8D">
        <w:rPr>
          <w:rStyle w:val="Emphasis"/>
        </w:rPr>
        <w:t>[paragraph 51(2)(a)]</w:t>
      </w:r>
    </w:p>
    <w:p w:rsidR="00552B33" w:rsidRPr="00F82C8D" w:rsidRDefault="001A7596">
      <w:pPr>
        <w:pStyle w:val="ListBullet"/>
        <w:rPr>
          <w:iCs/>
        </w:rPr>
      </w:pPr>
      <w:r w:rsidRPr="00F82C8D">
        <w:t>the facility has passed the emissions intensity test</w:t>
      </w:r>
      <w:r w:rsidRPr="00F82C8D">
        <w:rPr>
          <w:rStyle w:val="Emphasis"/>
        </w:rPr>
        <w:t xml:space="preserve"> [paragraph 51(2)(b)]</w:t>
      </w:r>
    </w:p>
    <w:p w:rsidR="00552B33" w:rsidRPr="00F82C8D" w:rsidRDefault="001A7596">
      <w:pPr>
        <w:pStyle w:val="ListBullet"/>
        <w:rPr>
          <w:iCs/>
        </w:rPr>
      </w:pPr>
      <w:r w:rsidRPr="00F82C8D">
        <w:t xml:space="preserve">production variables have been identified, and the amount and </w:t>
      </w:r>
      <w:r w:rsidR="00BB7C53" w:rsidRPr="00F82C8D">
        <w:t>emissions intens</w:t>
      </w:r>
      <w:r w:rsidRPr="00F82C8D">
        <w:t>ity of each production variable has been calculated, consistently between years for which information is provided in the application (this requirement does not apply to landfill facilities)</w:t>
      </w:r>
      <w:r w:rsidR="00823C78" w:rsidRPr="00F82C8D">
        <w:t xml:space="preserve"> </w:t>
      </w:r>
      <w:r w:rsidR="00823C78" w:rsidRPr="00F82C8D">
        <w:rPr>
          <w:rStyle w:val="Emphasis"/>
        </w:rPr>
        <w:t>[paragraph 51(2)(c)]</w:t>
      </w:r>
    </w:p>
    <w:p w:rsidR="00552B33" w:rsidRPr="00F82C8D" w:rsidRDefault="001A7596">
      <w:pPr>
        <w:pStyle w:val="ListBullet"/>
        <w:rPr>
          <w:iCs/>
        </w:rPr>
      </w:pPr>
      <w:r w:rsidRPr="00F82C8D">
        <w:t>if there are two or more production variables, emissions have been apportioned consistently between years for which information</w:t>
      </w:r>
      <w:r w:rsidR="00E468A7" w:rsidRPr="00F82C8D">
        <w:t xml:space="preserve"> </w:t>
      </w:r>
      <w:r w:rsidR="00823C78" w:rsidRPr="00F82C8D">
        <w:t xml:space="preserve">is provided in the application </w:t>
      </w:r>
      <w:r w:rsidRPr="00F82C8D">
        <w:t>(this requirement does not apply to landfill facilities).</w:t>
      </w:r>
      <w:r w:rsidR="00823C78" w:rsidRPr="00F82C8D">
        <w:t xml:space="preserve"> </w:t>
      </w:r>
      <w:r w:rsidR="00823C78" w:rsidRPr="00F82C8D">
        <w:rPr>
          <w:rStyle w:val="Emphasis"/>
        </w:rPr>
        <w:t>[paragraph 51(2)(d)]</w:t>
      </w:r>
    </w:p>
    <w:p w:rsidR="001A7596" w:rsidRPr="00F82C8D" w:rsidRDefault="001A7596" w:rsidP="00625D31">
      <w:pPr>
        <w:pStyle w:val="ListParagraph"/>
      </w:pPr>
      <w:r w:rsidRPr="00F82C8D">
        <w:t xml:space="preserve">If the Regulator varies a baseline determination, the varied baseline emissions number must be rounded to the nearest whole number, with numbers </w:t>
      </w:r>
      <w:r w:rsidR="00E468A7" w:rsidRPr="00F82C8D">
        <w:t xml:space="preserve">ending in ‘.5’ being rounded up. </w:t>
      </w:r>
      <w:r w:rsidRPr="00F82C8D">
        <w:rPr>
          <w:rStyle w:val="Emphasis"/>
        </w:rPr>
        <w:t>[subsection 51(3)]</w:t>
      </w:r>
    </w:p>
    <w:p w:rsidR="001A7596" w:rsidRPr="00F82C8D" w:rsidRDefault="001A7596" w:rsidP="00625D31">
      <w:pPr>
        <w:pStyle w:val="ListParagraph"/>
      </w:pPr>
      <w:r w:rsidRPr="00F82C8D">
        <w:t>The Regulator must take all reasonable steps to make a decision on the application within 60 days of the application being made, unless the Regulator requested additional information in relation to the application, in which case the Regulator has until 60 days after the information is received</w:t>
      </w:r>
      <w:r w:rsidR="00E468A7" w:rsidRPr="00F82C8D">
        <w:t>.</w:t>
      </w:r>
      <w:r w:rsidRPr="00F82C8D">
        <w:t xml:space="preserve"> </w:t>
      </w:r>
      <w:r w:rsidRPr="00F82C8D">
        <w:rPr>
          <w:rStyle w:val="Emphasis"/>
        </w:rPr>
        <w:t>[subsection 51(4)</w:t>
      </w:r>
      <w:r w:rsidR="00E468A7" w:rsidRPr="00F82C8D">
        <w:rPr>
          <w:rStyle w:val="Emphasis"/>
        </w:rPr>
        <w:t>]</w:t>
      </w:r>
    </w:p>
    <w:p w:rsidR="001A7596" w:rsidRPr="00F82C8D" w:rsidRDefault="001A7596" w:rsidP="00625D31">
      <w:pPr>
        <w:pStyle w:val="ListParagraph"/>
      </w:pPr>
      <w:r w:rsidRPr="00F82C8D">
        <w:t>As soon as practicable after varying a baseline, the Regulator must notify the applicant of the variation, and publish details of the vari</w:t>
      </w:r>
      <w:r w:rsidR="00E468A7" w:rsidRPr="00F82C8D">
        <w:t xml:space="preserve">ed determination on its website. </w:t>
      </w:r>
      <w:r w:rsidRPr="00F82C8D">
        <w:rPr>
          <w:rStyle w:val="Emphasis"/>
        </w:rPr>
        <w:t>[subsection 51(5)</w:t>
      </w:r>
      <w:r w:rsidR="00E468A7" w:rsidRPr="00F82C8D">
        <w:rPr>
          <w:rStyle w:val="Emphasis"/>
        </w:rPr>
        <w:t>]</w:t>
      </w:r>
      <w:r w:rsidR="00E468A7" w:rsidRPr="00F82C8D">
        <w:t xml:space="preserve"> </w:t>
      </w:r>
      <w:r w:rsidR="007329DC" w:rsidRPr="00F82C8D">
        <w:rPr>
          <w:lang w:val="en-AU"/>
        </w:rPr>
        <w:t xml:space="preserve">The </w:t>
      </w:r>
      <w:r w:rsidR="00083A27" w:rsidRPr="00F82C8D">
        <w:rPr>
          <w:lang w:val="en-AU"/>
        </w:rPr>
        <w:t xml:space="preserve">type of details </w:t>
      </w:r>
      <w:r w:rsidR="001E2900" w:rsidRPr="00F82C8D">
        <w:rPr>
          <w:lang w:val="en-AU"/>
        </w:rPr>
        <w:t>to be published are</w:t>
      </w:r>
      <w:r w:rsidR="00083A27" w:rsidRPr="00F82C8D">
        <w:rPr>
          <w:lang w:val="en-AU"/>
        </w:rPr>
        <w:t xml:space="preserve"> listed</w:t>
      </w:r>
      <w:r w:rsidR="007329DC" w:rsidRPr="00F82C8D">
        <w:rPr>
          <w:lang w:val="en-AU"/>
        </w:rPr>
        <w:t xml:space="preserve"> in </w:t>
      </w:r>
      <w:r w:rsidR="00083A27" w:rsidRPr="00F82C8D">
        <w:rPr>
          <w:lang w:val="en-AU"/>
        </w:rPr>
        <w:t>section 4 of</w:t>
      </w:r>
      <w:r w:rsidR="007329DC" w:rsidRPr="00F82C8D">
        <w:rPr>
          <w:lang w:val="en-AU"/>
        </w:rPr>
        <w:t xml:space="preserve"> the safeguard </w:t>
      </w:r>
      <w:r w:rsidR="00083A27" w:rsidRPr="00F82C8D">
        <w:rPr>
          <w:lang w:val="en-AU"/>
        </w:rPr>
        <w:t>rule</w:t>
      </w:r>
      <w:r w:rsidR="007329DC" w:rsidRPr="00F82C8D">
        <w:rPr>
          <w:lang w:val="en-AU"/>
        </w:rPr>
        <w:t>.</w:t>
      </w:r>
    </w:p>
    <w:p w:rsidR="001A7596" w:rsidRPr="00F82C8D" w:rsidRDefault="001A7596" w:rsidP="00625D31">
      <w:pPr>
        <w:pStyle w:val="ListParagraph"/>
      </w:pPr>
      <w:r w:rsidRPr="00F82C8D">
        <w:t>If the Regulator refuses to vary a baseline, the Regulator must notify the applicant of this decision in writing</w:t>
      </w:r>
      <w:r w:rsidR="00E468A7" w:rsidRPr="00F82C8D">
        <w:t>.</w:t>
      </w:r>
      <w:r w:rsidRPr="00F82C8D">
        <w:t xml:space="preserve"> </w:t>
      </w:r>
      <w:r w:rsidRPr="00F82C8D">
        <w:rPr>
          <w:rStyle w:val="Emphasis"/>
        </w:rPr>
        <w:t>[subsection 51(6)</w:t>
      </w:r>
      <w:r w:rsidR="00E468A7" w:rsidRPr="00F82C8D">
        <w:rPr>
          <w:rStyle w:val="Emphasis"/>
        </w:rPr>
        <w:t>]</w:t>
      </w:r>
    </w:p>
    <w:p w:rsidR="001A7596" w:rsidRPr="00F82C8D" w:rsidRDefault="001A7596" w:rsidP="00625D31">
      <w:pPr>
        <w:pStyle w:val="ListParagraph"/>
      </w:pPr>
      <w:r w:rsidRPr="00F82C8D">
        <w:t>Decisions to vary or refuse to vary baseline determinations under section 51 are reviewable decisions under section 56 of the Act, which provides which decisions made under the Act are reviewable by the Administrative Appeals Tribunal</w:t>
      </w:r>
      <w:r w:rsidR="00E468A7" w:rsidRPr="00F82C8D">
        <w:t>.</w:t>
      </w:r>
      <w:r w:rsidRPr="00F82C8D">
        <w:t xml:space="preserve"> </w:t>
      </w:r>
      <w:r w:rsidRPr="00F82C8D">
        <w:rPr>
          <w:rStyle w:val="Emphasis"/>
        </w:rPr>
        <w:t>[</w:t>
      </w:r>
      <w:r w:rsidR="00E468A7" w:rsidRPr="00F82C8D">
        <w:rPr>
          <w:rStyle w:val="Emphasis"/>
        </w:rPr>
        <w:t>sub</w:t>
      </w:r>
      <w:r w:rsidR="00823C78" w:rsidRPr="00F82C8D">
        <w:rPr>
          <w:rStyle w:val="Emphasis"/>
        </w:rPr>
        <w:t>section </w:t>
      </w:r>
      <w:r w:rsidRPr="00F82C8D">
        <w:rPr>
          <w:rStyle w:val="Emphasis"/>
        </w:rPr>
        <w:t>51(7)</w:t>
      </w:r>
      <w:r w:rsidR="00E468A7" w:rsidRPr="00F82C8D">
        <w:rPr>
          <w:rStyle w:val="Emphasis"/>
        </w:rPr>
        <w:t>]</w:t>
      </w:r>
    </w:p>
    <w:p w:rsidR="00317EE9" w:rsidRPr="00F82C8D" w:rsidRDefault="0042495B" w:rsidP="00317EE9">
      <w:pPr>
        <w:pStyle w:val="Heading2"/>
        <w:rPr>
          <w:lang w:val="en-AU"/>
        </w:rPr>
      </w:pPr>
      <w:bookmarkStart w:id="119" w:name="_Toc426382213"/>
      <w:bookmarkStart w:id="120" w:name="_Ref426633933"/>
      <w:bookmarkStart w:id="121" w:name="_Ref426633949"/>
      <w:bookmarkStart w:id="122" w:name="_Toc431975851"/>
      <w:r w:rsidRPr="00F82C8D">
        <w:rPr>
          <w:rStyle w:val="IntenseEmphasis"/>
          <w:b/>
          <w:bCs/>
        </w:rPr>
        <w:t>Subdivision 7</w:t>
      </w:r>
      <w:r w:rsidRPr="00F82C8D">
        <w:t>—</w:t>
      </w:r>
      <w:bookmarkStart w:id="123" w:name="_Ref426551177"/>
      <w:bookmarkStart w:id="124" w:name="_Ref426551185"/>
      <w:r w:rsidR="00317EE9" w:rsidRPr="00F82C8D">
        <w:rPr>
          <w:lang w:val="en-AU"/>
        </w:rPr>
        <w:t>Landfill-benchmark baseline determination</w:t>
      </w:r>
      <w:bookmarkEnd w:id="119"/>
      <w:bookmarkEnd w:id="120"/>
      <w:bookmarkEnd w:id="121"/>
      <w:bookmarkEnd w:id="122"/>
      <w:bookmarkEnd w:id="123"/>
      <w:bookmarkEnd w:id="124"/>
    </w:p>
    <w:p w:rsidR="000F557B" w:rsidRPr="00F82C8D" w:rsidRDefault="0042495B" w:rsidP="000F557B">
      <w:pPr>
        <w:pStyle w:val="Heading3"/>
      </w:pPr>
      <w:r w:rsidRPr="00F82C8D">
        <w:t xml:space="preserve">Section 52: </w:t>
      </w:r>
      <w:r w:rsidR="000F557B" w:rsidRPr="00F82C8D">
        <w:t>Application</w:t>
      </w:r>
    </w:p>
    <w:p w:rsidR="00DC68B8" w:rsidRPr="00F82C8D" w:rsidRDefault="00FF04A2" w:rsidP="00625D31">
      <w:pPr>
        <w:pStyle w:val="ListParagraph"/>
      </w:pPr>
      <w:r w:rsidRPr="00F82C8D">
        <w:t xml:space="preserve">The responsible </w:t>
      </w:r>
      <w:r w:rsidR="00DC68B8" w:rsidRPr="00F82C8D">
        <w:t xml:space="preserve">emitter for a landfill facility is not able to apply for a </w:t>
      </w:r>
      <w:r w:rsidR="00AE6DBE" w:rsidRPr="00F82C8D">
        <w:t>benchmark-emissions</w:t>
      </w:r>
      <w:r w:rsidR="00DC68B8" w:rsidRPr="00F82C8D">
        <w:t xml:space="preserve"> baseline determination but may instead apply to the Regulator for a landfill-benchmark baseline determination. The only c</w:t>
      </w:r>
      <w:r w:rsidR="00F802CD" w:rsidRPr="00F82C8D">
        <w:t>ondition for applying is that the landfill facility</w:t>
      </w:r>
      <w:r w:rsidR="00DC68B8" w:rsidRPr="00F82C8D">
        <w:t xml:space="preserve"> </w:t>
      </w:r>
      <w:r w:rsidR="00F802CD" w:rsidRPr="00F82C8D">
        <w:t>has already</w:t>
      </w:r>
      <w:r w:rsidR="001D58C8" w:rsidRPr="00F82C8D">
        <w:t xml:space="preserve"> emitted </w:t>
      </w:r>
      <w:r w:rsidRPr="00F82C8D">
        <w:t xml:space="preserve">more than </w:t>
      </w:r>
      <w:r w:rsidR="001D58C8" w:rsidRPr="00F82C8D">
        <w:t>100,000 t CO</w:t>
      </w:r>
      <w:r w:rsidR="00E073C6" w:rsidRPr="00F82C8D">
        <w:rPr>
          <w:vertAlign w:val="subscript"/>
        </w:rPr>
        <w:t>2</w:t>
      </w:r>
      <w:r w:rsidR="00E073C6" w:rsidRPr="00F82C8D">
        <w:t>-</w:t>
      </w:r>
      <w:r w:rsidR="001D58C8" w:rsidRPr="00F82C8D">
        <w:t>e of covere</w:t>
      </w:r>
      <w:r w:rsidRPr="00F82C8D">
        <w:t>d emissions in a financial year, or reasonably</w:t>
      </w:r>
      <w:r w:rsidR="001D58C8" w:rsidRPr="00F82C8D">
        <w:t xml:space="preserve"> expects </w:t>
      </w:r>
      <w:r w:rsidR="00F802CD" w:rsidRPr="00F82C8D">
        <w:t>to emit</w:t>
      </w:r>
      <w:r w:rsidR="00DC68B8" w:rsidRPr="00F82C8D">
        <w:t xml:space="preserve"> </w:t>
      </w:r>
      <w:r w:rsidRPr="00F82C8D">
        <w:t xml:space="preserve">more than </w:t>
      </w:r>
      <w:r w:rsidR="00DC68B8" w:rsidRPr="00F82C8D">
        <w:t>100,000 t CO</w:t>
      </w:r>
      <w:r w:rsidR="00E073C6" w:rsidRPr="00F82C8D">
        <w:rPr>
          <w:vertAlign w:val="subscript"/>
        </w:rPr>
        <w:t>2</w:t>
      </w:r>
      <w:r w:rsidR="00E073C6" w:rsidRPr="00F82C8D">
        <w:t>-</w:t>
      </w:r>
      <w:r w:rsidR="00DC68B8" w:rsidRPr="00F82C8D">
        <w:t>e of covered emissions in the first year of the proposed landfill-benchmark baseline determination.</w:t>
      </w:r>
      <w:r w:rsidR="00DC68B8" w:rsidRPr="00F82C8D">
        <w:rPr>
          <w:rFonts w:eastAsiaTheme="minorHAnsi"/>
        </w:rPr>
        <w:t xml:space="preserve"> </w:t>
      </w:r>
      <w:r w:rsidR="00DC68B8" w:rsidRPr="00F82C8D">
        <w:rPr>
          <w:rFonts w:eastAsiaTheme="minorHAnsi"/>
          <w:b/>
          <w:i/>
          <w:sz w:val="20"/>
        </w:rPr>
        <w:t>[subsection 52(1)]</w:t>
      </w:r>
      <w:r w:rsidR="00BD432C" w:rsidRPr="00F82C8D">
        <w:rPr>
          <w:rFonts w:eastAsiaTheme="minorHAnsi"/>
          <w:b/>
          <w:i/>
          <w:sz w:val="20"/>
        </w:rPr>
        <w:t xml:space="preserve"> </w:t>
      </w:r>
      <w:r w:rsidR="00BD432C" w:rsidRPr="00F82C8D">
        <w:t>Landfill facilities may apply for a landfill-benchmark baseline determination to rep</w:t>
      </w:r>
      <w:r w:rsidR="00673104" w:rsidRPr="00F82C8D">
        <w:t xml:space="preserve">lace </w:t>
      </w:r>
      <w:r w:rsidR="007B29B9" w:rsidRPr="00F82C8D">
        <w:t>an</w:t>
      </w:r>
      <w:r w:rsidR="00673104" w:rsidRPr="00F82C8D">
        <w:t xml:space="preserve"> existing </w:t>
      </w:r>
      <w:r w:rsidR="007B29B9" w:rsidRPr="00F82C8D">
        <w:t xml:space="preserve">baseline </w:t>
      </w:r>
      <w:r w:rsidR="00673104" w:rsidRPr="00F82C8D">
        <w:t>determination</w:t>
      </w:r>
      <w:r w:rsidR="0042495B" w:rsidRPr="00F82C8D">
        <w:t>.</w:t>
      </w:r>
      <w:r w:rsidR="007B29B9" w:rsidRPr="00F82C8D">
        <w:t xml:space="preserve"> </w:t>
      </w:r>
      <w:r w:rsidR="00673104" w:rsidRPr="00F82C8D">
        <w:rPr>
          <w:rFonts w:eastAsiaTheme="minorHAnsi"/>
          <w:b/>
          <w:i/>
          <w:sz w:val="20"/>
        </w:rPr>
        <w:t>[subsection 55(3)]</w:t>
      </w:r>
    </w:p>
    <w:p w:rsidR="000F557B" w:rsidRPr="00F82C8D" w:rsidRDefault="000F557B" w:rsidP="00625D31">
      <w:pPr>
        <w:pStyle w:val="ListParagraph"/>
      </w:pPr>
      <w:r w:rsidRPr="00F82C8D">
        <w:t xml:space="preserve">The application must be submitted in a form provided by the Regulator. </w:t>
      </w:r>
      <w:r w:rsidR="00BD432C" w:rsidRPr="00F82C8D">
        <w:t>The information needed in the application is</w:t>
      </w:r>
      <w:r w:rsidRPr="00F82C8D">
        <w:t xml:space="preserve"> the responsible emitter’s requested </w:t>
      </w:r>
      <w:r w:rsidR="00F802CD" w:rsidRPr="00F82C8D">
        <w:t>start date</w:t>
      </w:r>
      <w:r w:rsidRPr="00F82C8D">
        <w:t xml:space="preserve"> of the </w:t>
      </w:r>
      <w:r w:rsidR="00DC68B8" w:rsidRPr="00F82C8D">
        <w:t>landfill-benchmark</w:t>
      </w:r>
      <w:r w:rsidRPr="00F82C8D">
        <w:t xml:space="preserve"> baseline determination</w:t>
      </w:r>
      <w:r w:rsidR="00F802CD" w:rsidRPr="00F82C8D">
        <w:t xml:space="preserve"> </w:t>
      </w:r>
      <w:r w:rsidR="00BD432C" w:rsidRPr="00F82C8D">
        <w:t xml:space="preserve">and </w:t>
      </w:r>
      <w:r w:rsidR="00DC68B8" w:rsidRPr="00F82C8D">
        <w:t>information establishing that the facility is a landfill facility.</w:t>
      </w:r>
      <w:r w:rsidR="00F802CD" w:rsidRPr="00F82C8D">
        <w:t xml:space="preserve"> The requested start date must be 1 July of a particular year on or after 1 July 2020.</w:t>
      </w:r>
      <w:r w:rsidRPr="00F82C8D">
        <w:t xml:space="preserve"> </w:t>
      </w:r>
      <w:r w:rsidRPr="00F82C8D">
        <w:rPr>
          <w:b/>
          <w:i/>
          <w:sz w:val="20"/>
        </w:rPr>
        <w:t>[</w:t>
      </w:r>
      <w:r w:rsidR="00DC68B8" w:rsidRPr="00F82C8D">
        <w:rPr>
          <w:b/>
          <w:i/>
          <w:sz w:val="20"/>
        </w:rPr>
        <w:t>subsection 5</w:t>
      </w:r>
      <w:r w:rsidRPr="00F82C8D">
        <w:rPr>
          <w:b/>
          <w:i/>
          <w:sz w:val="20"/>
        </w:rPr>
        <w:t>2(2)]</w:t>
      </w:r>
      <w:r w:rsidR="000A7B10" w:rsidRPr="00F82C8D">
        <w:rPr>
          <w:b/>
          <w:i/>
          <w:sz w:val="20"/>
        </w:rPr>
        <w:t xml:space="preserve"> </w:t>
      </w:r>
      <w:r w:rsidR="007B29B9" w:rsidRPr="00F82C8D">
        <w:t>A</w:t>
      </w:r>
      <w:r w:rsidR="00BD432C" w:rsidRPr="00F82C8D">
        <w:t xml:space="preserve">n audit report </w:t>
      </w:r>
      <w:r w:rsidR="007B29B9" w:rsidRPr="00F82C8D">
        <w:t>does not</w:t>
      </w:r>
      <w:r w:rsidR="00BD432C" w:rsidRPr="00F82C8D">
        <w:t xml:space="preserve"> accompany the application.</w:t>
      </w:r>
    </w:p>
    <w:p w:rsidR="000F557B" w:rsidRPr="00F82C8D" w:rsidRDefault="00DC68B8" w:rsidP="00625D31">
      <w:pPr>
        <w:pStyle w:val="ListParagraph"/>
        <w:rPr>
          <w:szCs w:val="20"/>
        </w:rPr>
      </w:pPr>
      <w:r w:rsidRPr="00F82C8D">
        <w:t>T</w:t>
      </w:r>
      <w:r w:rsidR="000F557B" w:rsidRPr="00F82C8D">
        <w:t xml:space="preserve">he latest the application </w:t>
      </w:r>
      <w:r w:rsidR="00BD432C" w:rsidRPr="00F82C8D">
        <w:t>may</w:t>
      </w:r>
      <w:r w:rsidR="000F557B" w:rsidRPr="00F82C8D">
        <w:t xml:space="preserve"> be submitted is the second 31 October after the requested </w:t>
      </w:r>
      <w:r w:rsidR="00F802CD" w:rsidRPr="00F82C8D">
        <w:t>start date</w:t>
      </w:r>
      <w:r w:rsidR="000F557B" w:rsidRPr="00F82C8D">
        <w:t xml:space="preserve">. </w:t>
      </w:r>
      <w:r w:rsidR="000F557B" w:rsidRPr="00F82C8D">
        <w:rPr>
          <w:b/>
          <w:i/>
          <w:sz w:val="20"/>
        </w:rPr>
        <w:t>[</w:t>
      </w:r>
      <w:r w:rsidRPr="00F82C8D">
        <w:rPr>
          <w:b/>
          <w:i/>
          <w:sz w:val="20"/>
        </w:rPr>
        <w:t>subsection 52</w:t>
      </w:r>
      <w:r w:rsidR="000F557B" w:rsidRPr="00F82C8D">
        <w:rPr>
          <w:b/>
          <w:i/>
          <w:sz w:val="20"/>
        </w:rPr>
        <w:t>(3)]</w:t>
      </w:r>
    </w:p>
    <w:p w:rsidR="00DC68B8" w:rsidRPr="00F82C8D" w:rsidRDefault="0042495B" w:rsidP="00DC68B8">
      <w:pPr>
        <w:pStyle w:val="Heading3"/>
      </w:pPr>
      <w:r w:rsidRPr="00F82C8D">
        <w:t xml:space="preserve">Section 53: </w:t>
      </w:r>
      <w:r w:rsidR="00DC68B8" w:rsidRPr="00F82C8D">
        <w:t>Further information</w:t>
      </w:r>
    </w:p>
    <w:p w:rsidR="00DC68B8" w:rsidRPr="00F82C8D" w:rsidRDefault="00DC68B8" w:rsidP="00625D31">
      <w:pPr>
        <w:pStyle w:val="ListParagraph"/>
        <w:rPr>
          <w:b/>
        </w:rPr>
      </w:pPr>
      <w:r w:rsidRPr="00F82C8D">
        <w:t xml:space="preserve">The Regulator may require the applicant to provide further information in connection with the application. Such a request is made in writing and will specify a due date for </w:t>
      </w:r>
      <w:r w:rsidR="00823C78" w:rsidRPr="00F82C8D">
        <w:t xml:space="preserve">providing </w:t>
      </w:r>
      <w:r w:rsidRPr="00F82C8D">
        <w:t xml:space="preserve">the required information. </w:t>
      </w:r>
      <w:r w:rsidRPr="00F82C8D">
        <w:rPr>
          <w:b/>
          <w:i/>
          <w:sz w:val="20"/>
        </w:rPr>
        <w:t>[subsec</w:t>
      </w:r>
      <w:r w:rsidR="00381F6E" w:rsidRPr="00F82C8D">
        <w:rPr>
          <w:b/>
          <w:i/>
          <w:sz w:val="20"/>
        </w:rPr>
        <w:t>tion 5</w:t>
      </w:r>
      <w:r w:rsidRPr="00F82C8D">
        <w:rPr>
          <w:b/>
          <w:i/>
          <w:sz w:val="20"/>
        </w:rPr>
        <w:t>3(1)]</w:t>
      </w:r>
      <w:r w:rsidRPr="00F82C8D">
        <w:t xml:space="preserve"> </w:t>
      </w:r>
    </w:p>
    <w:p w:rsidR="00DC68B8" w:rsidRPr="00F82C8D" w:rsidRDefault="00DC68B8" w:rsidP="0051382B">
      <w:pPr>
        <w:pStyle w:val="Quote"/>
        <w:rPr>
          <w:b/>
        </w:rPr>
      </w:pPr>
      <w:r w:rsidRPr="00F82C8D">
        <w:t xml:space="preserve">For example, the Regulator may require an applicant to provide further information to support </w:t>
      </w:r>
      <w:r w:rsidR="006C7EE7" w:rsidRPr="00F82C8D">
        <w:t>the reasonable expectation that the facility will emit more than 100,000 t CO</w:t>
      </w:r>
      <w:r w:rsidR="00E073C6" w:rsidRPr="00F82C8D">
        <w:rPr>
          <w:vertAlign w:val="subscript"/>
        </w:rPr>
        <w:t>2</w:t>
      </w:r>
      <w:r w:rsidR="00E073C6" w:rsidRPr="00F82C8D">
        <w:t>-</w:t>
      </w:r>
      <w:r w:rsidR="006C7EE7" w:rsidRPr="00F82C8D">
        <w:t>e of covered emissions in the first year of the proposed landfill-benchmark baseline determination.</w:t>
      </w:r>
    </w:p>
    <w:p w:rsidR="00DC68B8" w:rsidRPr="00F82C8D" w:rsidRDefault="00DC68B8" w:rsidP="00625D31">
      <w:pPr>
        <w:pStyle w:val="ListParagraph"/>
      </w:pPr>
      <w:r w:rsidRPr="00F82C8D">
        <w:t xml:space="preserve">The consequence of the applicant not complying with the Regulator’s request for further information is that the Regulator may refuse to consider the application or refuse to take any further action in relation to the application. </w:t>
      </w:r>
      <w:r w:rsidRPr="00F82C8D">
        <w:rPr>
          <w:b/>
          <w:i/>
          <w:sz w:val="20"/>
        </w:rPr>
        <w:t xml:space="preserve">[subsection </w:t>
      </w:r>
      <w:r w:rsidR="00BD432C" w:rsidRPr="00F82C8D">
        <w:rPr>
          <w:b/>
          <w:i/>
          <w:sz w:val="20"/>
        </w:rPr>
        <w:t>5</w:t>
      </w:r>
      <w:r w:rsidRPr="00F82C8D">
        <w:rPr>
          <w:b/>
          <w:i/>
          <w:sz w:val="20"/>
        </w:rPr>
        <w:t>3(2)]</w:t>
      </w:r>
      <w:r w:rsidRPr="00F82C8D">
        <w:t xml:space="preserve"> This</w:t>
      </w:r>
      <w:r w:rsidRPr="00F82C8D">
        <w:rPr>
          <w:i/>
        </w:rPr>
        <w:t xml:space="preserve"> </w:t>
      </w:r>
      <w:r w:rsidRPr="00F82C8D">
        <w:t xml:space="preserve">does not prevent another application being submitted, provided </w:t>
      </w:r>
      <w:r w:rsidR="006C7EE7" w:rsidRPr="00F82C8D">
        <w:t>the application complies</w:t>
      </w:r>
      <w:r w:rsidRPr="00F82C8D">
        <w:t xml:space="preserve"> with the re</w:t>
      </w:r>
      <w:r w:rsidR="00FF04A2" w:rsidRPr="00F82C8D">
        <w:t>quirements set out in section 52</w:t>
      </w:r>
      <w:r w:rsidR="00F16155" w:rsidRPr="00F82C8D">
        <w:t xml:space="preserve"> of the safeguard rule</w:t>
      </w:r>
      <w:r w:rsidRPr="00F82C8D">
        <w:t>.</w:t>
      </w:r>
    </w:p>
    <w:p w:rsidR="00BD432C" w:rsidRPr="00F82C8D" w:rsidRDefault="0042495B" w:rsidP="00BD432C">
      <w:pPr>
        <w:pStyle w:val="Heading3"/>
      </w:pPr>
      <w:r w:rsidRPr="00F82C8D">
        <w:t xml:space="preserve">Section 54: </w:t>
      </w:r>
      <w:r w:rsidR="00BD432C" w:rsidRPr="00F82C8D">
        <w:t>Making of landfill-benchmark baseline determination</w:t>
      </w:r>
    </w:p>
    <w:p w:rsidR="00BD432C" w:rsidRPr="00F82C8D" w:rsidRDefault="00BD432C" w:rsidP="00BD432C">
      <w:pPr>
        <w:pStyle w:val="Heading4"/>
        <w:rPr>
          <w:lang w:val="en-AU"/>
        </w:rPr>
      </w:pPr>
      <w:r w:rsidRPr="00F82C8D">
        <w:rPr>
          <w:lang w:val="en-AU"/>
        </w:rPr>
        <w:t>Scope</w:t>
      </w:r>
    </w:p>
    <w:p w:rsidR="000F557B" w:rsidRPr="00F82C8D" w:rsidRDefault="00BD432C" w:rsidP="00625D31">
      <w:pPr>
        <w:pStyle w:val="ListParagraph"/>
        <w:rPr>
          <w:b/>
          <w:i/>
          <w:sz w:val="20"/>
        </w:rPr>
      </w:pPr>
      <w:r w:rsidRPr="00F82C8D">
        <w:t>The</w:t>
      </w:r>
      <w:r w:rsidR="000F557B" w:rsidRPr="00F82C8D">
        <w:t xml:space="preserve"> Regulator </w:t>
      </w:r>
      <w:r w:rsidR="000C3D50" w:rsidRPr="00F82C8D">
        <w:t xml:space="preserve">may make </w:t>
      </w:r>
      <w:r w:rsidRPr="00F82C8D">
        <w:t>a</w:t>
      </w:r>
      <w:r w:rsidR="000F557B" w:rsidRPr="00F82C8D">
        <w:t xml:space="preserve"> </w:t>
      </w:r>
      <w:r w:rsidR="000F557B" w:rsidRPr="00F82C8D">
        <w:rPr>
          <w:rStyle w:val="SubtleEmphasis"/>
          <w:i w:val="0"/>
        </w:rPr>
        <w:t>landfill</w:t>
      </w:r>
      <w:r w:rsidR="000F557B" w:rsidRPr="00F82C8D">
        <w:t>-benchmark baseline determination in response to an a</w:t>
      </w:r>
      <w:r w:rsidR="00042CAE" w:rsidRPr="00F82C8D">
        <w:t>pplication made under section 52</w:t>
      </w:r>
      <w:r w:rsidR="00F16155" w:rsidRPr="00F82C8D">
        <w:t xml:space="preserve"> of the safeguard rule</w:t>
      </w:r>
      <w:r w:rsidR="000F557B" w:rsidRPr="00F82C8D">
        <w:t xml:space="preserve">. </w:t>
      </w:r>
      <w:r w:rsidRPr="00F82C8D">
        <w:rPr>
          <w:b/>
          <w:i/>
          <w:sz w:val="20"/>
        </w:rPr>
        <w:t>[subsection 54</w:t>
      </w:r>
      <w:r w:rsidR="00042CAE" w:rsidRPr="00F82C8D">
        <w:rPr>
          <w:b/>
          <w:i/>
          <w:sz w:val="20"/>
        </w:rPr>
        <w:t>(1</w:t>
      </w:r>
      <w:r w:rsidRPr="00F82C8D">
        <w:rPr>
          <w:b/>
          <w:i/>
          <w:sz w:val="20"/>
        </w:rPr>
        <w:t>)]</w:t>
      </w:r>
    </w:p>
    <w:p w:rsidR="00042CAE" w:rsidRPr="00F82C8D" w:rsidRDefault="00042CAE" w:rsidP="00042CAE">
      <w:pPr>
        <w:pStyle w:val="Heading4"/>
        <w:rPr>
          <w:rFonts w:cs="Times New Roman"/>
          <w:szCs w:val="24"/>
        </w:rPr>
      </w:pPr>
      <w:r w:rsidRPr="00F82C8D">
        <w:t>Determination</w:t>
      </w:r>
    </w:p>
    <w:p w:rsidR="000F557B" w:rsidRPr="00F82C8D" w:rsidRDefault="00042CAE" w:rsidP="00625D31">
      <w:pPr>
        <w:pStyle w:val="ListParagraph"/>
      </w:pPr>
      <w:r w:rsidRPr="00F82C8D">
        <w:t>Th</w:t>
      </w:r>
      <w:r w:rsidR="000F557B" w:rsidRPr="00F82C8D">
        <w:t>e Regulator</w:t>
      </w:r>
      <w:r w:rsidR="00FF04A2" w:rsidRPr="00F82C8D">
        <w:t xml:space="preserve"> needs to be</w:t>
      </w:r>
      <w:r w:rsidR="000F557B" w:rsidRPr="00F82C8D">
        <w:t xml:space="preserve"> </w:t>
      </w:r>
      <w:r w:rsidR="00FF04A2" w:rsidRPr="00F82C8D">
        <w:t>satisfied that the information in the application is correct, before making</w:t>
      </w:r>
      <w:r w:rsidR="000F557B" w:rsidRPr="00F82C8D">
        <w:t xml:space="preserve"> </w:t>
      </w:r>
      <w:r w:rsidRPr="00F82C8D">
        <w:t>a landfill-benchmark</w:t>
      </w:r>
      <w:r w:rsidR="000F557B" w:rsidRPr="00F82C8D">
        <w:t xml:space="preserve"> baseline determination. </w:t>
      </w:r>
      <w:r w:rsidR="00893FB8" w:rsidRPr="00F82C8D">
        <w:t>Specifically</w:t>
      </w:r>
      <w:r w:rsidR="00FF04A2" w:rsidRPr="00F82C8D">
        <w:t xml:space="preserve">, the facility </w:t>
      </w:r>
      <w:r w:rsidR="00F16155" w:rsidRPr="00F82C8D">
        <w:t xml:space="preserve">that is </w:t>
      </w:r>
      <w:r w:rsidR="00FF04A2" w:rsidRPr="00F82C8D">
        <w:t>the subject of the application</w:t>
      </w:r>
      <w:r w:rsidR="000F557B" w:rsidRPr="00F82C8D">
        <w:t xml:space="preserve"> needs to be a landfill facility and </w:t>
      </w:r>
      <w:r w:rsidR="0078024A" w:rsidRPr="00F82C8D">
        <w:t>have</w:t>
      </w:r>
      <w:r w:rsidR="000F557B" w:rsidRPr="00F82C8D">
        <w:t xml:space="preserve"> already exceeded the </w:t>
      </w:r>
      <w:r w:rsidR="00562E97" w:rsidRPr="00F82C8D">
        <w:rPr>
          <w:lang w:val="en-AU"/>
        </w:rPr>
        <w:t>designated large facility threshold</w:t>
      </w:r>
      <w:r w:rsidR="000F557B" w:rsidRPr="00F82C8D">
        <w:t xml:space="preserve">, or </w:t>
      </w:r>
      <w:r w:rsidR="0078024A" w:rsidRPr="00F82C8D">
        <w:t>have</w:t>
      </w:r>
      <w:r w:rsidR="000F557B" w:rsidRPr="00F82C8D">
        <w:t xml:space="preserve"> a reasonable expectation of </w:t>
      </w:r>
      <w:r w:rsidR="009675EE" w:rsidRPr="00F82C8D">
        <w:t>exceed</w:t>
      </w:r>
      <w:r w:rsidR="000F557B" w:rsidRPr="00F82C8D">
        <w:t xml:space="preserve">ing this threshold in the first year that the baseline determination would apply. </w:t>
      </w:r>
      <w:r w:rsidRPr="00F82C8D">
        <w:rPr>
          <w:b/>
          <w:i/>
          <w:sz w:val="20"/>
        </w:rPr>
        <w:t>[subsection 54(2)]</w:t>
      </w:r>
    </w:p>
    <w:p w:rsidR="0078024A" w:rsidRPr="00F82C8D" w:rsidRDefault="000F557B" w:rsidP="00625D31">
      <w:pPr>
        <w:pStyle w:val="ListParagraph"/>
      </w:pPr>
      <w:r w:rsidRPr="00F82C8D">
        <w:t xml:space="preserve">Rather than being a baseline emissions number, </w:t>
      </w:r>
      <w:r w:rsidR="00042CAE" w:rsidRPr="00F82C8D">
        <w:t>a landfill-benchmark</w:t>
      </w:r>
      <w:r w:rsidRPr="00F82C8D">
        <w:t xml:space="preserve"> baseline determination is a formula.</w:t>
      </w:r>
      <w:r w:rsidR="000A7B10" w:rsidRPr="00F82C8D">
        <w:t xml:space="preserve"> </w:t>
      </w:r>
      <w:r w:rsidRPr="00F82C8D">
        <w:t xml:space="preserve">The formula calculates the baseline emissions number applicable to </w:t>
      </w:r>
      <w:r w:rsidR="00042CAE" w:rsidRPr="00F82C8D">
        <w:t xml:space="preserve">a landfill facility in </w:t>
      </w:r>
      <w:r w:rsidR="0078024A" w:rsidRPr="00F82C8D">
        <w:t>a</w:t>
      </w:r>
      <w:r w:rsidRPr="00F82C8D">
        <w:t xml:space="preserve"> particular financial</w:t>
      </w:r>
      <w:r w:rsidR="00042CAE" w:rsidRPr="00F82C8D">
        <w:t xml:space="preserve"> year</w:t>
      </w:r>
      <w:r w:rsidRPr="00F82C8D">
        <w:t xml:space="preserve">. </w:t>
      </w:r>
      <w:r w:rsidR="0078024A" w:rsidRPr="00F82C8D">
        <w:t xml:space="preserve">This means that baseline emissions number is recalculated using the formula for each year that the facility is covered by the baseline determination. </w:t>
      </w:r>
    </w:p>
    <w:p w:rsidR="000F557B" w:rsidRPr="00F82C8D" w:rsidRDefault="000F557B" w:rsidP="00625D31">
      <w:pPr>
        <w:pStyle w:val="ListParagraph"/>
      </w:pPr>
      <w:r w:rsidRPr="00F82C8D">
        <w:t xml:space="preserve">The formula calculates the baseline emissions number for the financial year </w:t>
      </w:r>
      <w:r w:rsidRPr="00F82C8D">
        <w:rPr>
          <w:i/>
        </w:rPr>
        <w:t xml:space="preserve">t </w:t>
      </w:r>
      <w:r w:rsidRPr="00F82C8D">
        <w:t>as follows:</w:t>
      </w:r>
    </w:p>
    <w:p w:rsidR="000F557B" w:rsidRPr="00F82C8D" w:rsidRDefault="00042CAE" w:rsidP="002E625A">
      <w:pPr>
        <w:pStyle w:val="ListBullet"/>
      </w:pPr>
      <w:r w:rsidRPr="00F82C8D">
        <w:t xml:space="preserve">The amount </w:t>
      </w:r>
      <w:r w:rsidR="000F557B" w:rsidRPr="00F82C8D">
        <w:t>of non-legacy greenhouse gas emissions</w:t>
      </w:r>
      <w:r w:rsidRPr="00F82C8D">
        <w:t xml:space="preserve"> in t CO</w:t>
      </w:r>
      <w:r w:rsidR="00E073C6" w:rsidRPr="00F82C8D">
        <w:rPr>
          <w:vertAlign w:val="subscript"/>
        </w:rPr>
        <w:t>2</w:t>
      </w:r>
      <w:r w:rsidR="00E073C6" w:rsidRPr="00F82C8D">
        <w:t>-</w:t>
      </w:r>
      <w:r w:rsidRPr="00F82C8D">
        <w:t>e</w:t>
      </w:r>
      <w:r w:rsidR="000F557B" w:rsidRPr="00F82C8D">
        <w:t xml:space="preserve"> </w:t>
      </w:r>
      <w:r w:rsidR="0078024A" w:rsidRPr="00F82C8D">
        <w:t>emitted by the</w:t>
      </w:r>
      <w:r w:rsidRPr="00F82C8D">
        <w:t xml:space="preserve"> facility </w:t>
      </w:r>
      <w:r w:rsidR="0078024A" w:rsidRPr="00F82C8D">
        <w:t>as</w:t>
      </w:r>
      <w:r w:rsidRPr="00F82C8D">
        <w:t xml:space="preserve"> included in a report under the Act for the financial year t</w:t>
      </w:r>
      <w:r w:rsidR="0078024A" w:rsidRPr="00F82C8D">
        <w:t xml:space="preserve">. The amount disregards </w:t>
      </w:r>
      <w:r w:rsidR="000F557B" w:rsidRPr="00F82C8D">
        <w:t>any capture of those emissions at the facility</w:t>
      </w:r>
      <w:r w:rsidRPr="00F82C8D">
        <w:t xml:space="preserve"> (such as in a pipe)</w:t>
      </w:r>
      <w:r w:rsidR="000F557B" w:rsidRPr="00F82C8D">
        <w:t>.</w:t>
      </w:r>
    </w:p>
    <w:p w:rsidR="000F557B" w:rsidRPr="00F82C8D" w:rsidRDefault="00042CAE" w:rsidP="009A3904">
      <w:pPr>
        <w:pStyle w:val="tDefn"/>
        <w:ind w:left="1197" w:firstLine="476"/>
        <w:rPr>
          <w:rFonts w:cs="Times New Roman"/>
        </w:rPr>
      </w:pPr>
      <w:r w:rsidRPr="00F82C8D">
        <w:rPr>
          <w:rFonts w:cs="Times New Roman"/>
        </w:rPr>
        <w:t>m</w:t>
      </w:r>
      <w:r w:rsidR="000F557B" w:rsidRPr="00F82C8D">
        <w:rPr>
          <w:rFonts w:cs="Times New Roman"/>
        </w:rPr>
        <w:t>ultiplied by</w:t>
      </w:r>
    </w:p>
    <w:p w:rsidR="000F557B" w:rsidRPr="00F82C8D" w:rsidRDefault="000F557B" w:rsidP="002E625A">
      <w:pPr>
        <w:pStyle w:val="ListBullet"/>
      </w:pPr>
      <w:r w:rsidRPr="00F82C8D">
        <w:t xml:space="preserve">One minus the benchmark capture efficiency rate for non-legacy greenhouse gas emissions </w:t>
      </w:r>
      <w:r w:rsidR="0078024A" w:rsidRPr="00F82C8D">
        <w:t xml:space="preserve">as </w:t>
      </w:r>
      <w:r w:rsidRPr="00F82C8D">
        <w:t xml:space="preserve">set out in the </w:t>
      </w:r>
      <w:r w:rsidR="00C61DFD" w:rsidRPr="00F82C8D">
        <w:t>Benchmark Emissions-Intensity Index</w:t>
      </w:r>
      <w:r w:rsidR="0078024A" w:rsidRPr="00F82C8D">
        <w:t xml:space="preserve"> in </w:t>
      </w:r>
      <w:r w:rsidR="00BF3FA1" w:rsidRPr="00F82C8D">
        <w:t>Schedule 1</w:t>
      </w:r>
      <w:r w:rsidRPr="00F82C8D">
        <w:t xml:space="preserve"> in force at the start of the financial year</w:t>
      </w:r>
      <w:r w:rsidR="00042CAE" w:rsidRPr="00F82C8D">
        <w:t xml:space="preserve"> t</w:t>
      </w:r>
      <w:r w:rsidRPr="00F82C8D">
        <w:t>.</w:t>
      </w:r>
      <w:r w:rsidR="000A7B10" w:rsidRPr="00F82C8D">
        <w:t xml:space="preserve"> </w:t>
      </w:r>
      <w:r w:rsidRPr="00F82C8D">
        <w:t xml:space="preserve">The </w:t>
      </w:r>
      <w:r w:rsidR="0078024A" w:rsidRPr="00F82C8D">
        <w:t xml:space="preserve">benchmark </w:t>
      </w:r>
      <w:r w:rsidRPr="00F82C8D">
        <w:t xml:space="preserve">capture efficiency represents the proportion of landfill gas that is captured and destroyed, so this number is subtracted from one to calculate the amount of </w:t>
      </w:r>
      <w:r w:rsidR="00F04742" w:rsidRPr="00F82C8D">
        <w:t xml:space="preserve">covered emissions </w:t>
      </w:r>
      <w:r w:rsidRPr="00F82C8D">
        <w:t xml:space="preserve">that </w:t>
      </w:r>
      <w:r w:rsidR="00F04742" w:rsidRPr="00F82C8D">
        <w:t xml:space="preserve">does not need to be captured </w:t>
      </w:r>
      <w:r w:rsidRPr="00F82C8D">
        <w:t>under the benchmark.</w:t>
      </w:r>
    </w:p>
    <w:p w:rsidR="000F557B" w:rsidRPr="00F82C8D" w:rsidRDefault="00F236BC" w:rsidP="009A3904">
      <w:pPr>
        <w:pStyle w:val="tDefn"/>
        <w:spacing w:after="120"/>
        <w:ind w:left="1197" w:firstLine="476"/>
        <w:rPr>
          <w:rFonts w:cs="Times New Roman"/>
        </w:rPr>
      </w:pPr>
      <w:r w:rsidRPr="00F82C8D">
        <w:rPr>
          <w:rFonts w:cs="Times New Roman"/>
        </w:rPr>
        <w:t>mu</w:t>
      </w:r>
      <w:r w:rsidR="000F557B" w:rsidRPr="00F82C8D">
        <w:rPr>
          <w:rFonts w:cs="Times New Roman"/>
        </w:rPr>
        <w:t>ltiplied by</w:t>
      </w:r>
    </w:p>
    <w:p w:rsidR="000F557B" w:rsidRPr="00F82C8D" w:rsidRDefault="000F557B" w:rsidP="002E625A">
      <w:pPr>
        <w:pStyle w:val="ListBullet"/>
      </w:pPr>
      <w:r w:rsidRPr="00F82C8D">
        <w:t>One minus the oxidation factor in the near surface conditions of the landfill in subsection 5.4(1) of the NGER (Measurement) Determination in force at the start of the financial year</w:t>
      </w:r>
      <w:r w:rsidR="00042CAE" w:rsidRPr="00F82C8D">
        <w:t xml:space="preserve"> t</w:t>
      </w:r>
      <w:r w:rsidRPr="00F82C8D">
        <w:t>.</w:t>
      </w:r>
      <w:r w:rsidR="000A7B10" w:rsidRPr="00F82C8D">
        <w:t xml:space="preserve"> </w:t>
      </w:r>
      <w:r w:rsidRPr="00F82C8D">
        <w:t xml:space="preserve">This factor represents the proportion of landfill gas that passes through the surface of the landfill </w:t>
      </w:r>
      <w:r w:rsidR="00F04742" w:rsidRPr="00F82C8D">
        <w:t>and</w:t>
      </w:r>
      <w:r w:rsidRPr="00F82C8D">
        <w:t xml:space="preserve"> is oxidised by microbial bacteria. This number is subtracted from one to calculate the amount of non-legacy greenhouse gas emissions that is emitted</w:t>
      </w:r>
      <w:r w:rsidR="00F04742" w:rsidRPr="00F82C8D">
        <w:t xml:space="preserve"> after taking into account this </w:t>
      </w:r>
      <w:r w:rsidR="00893FB8" w:rsidRPr="00F82C8D">
        <w:t>microbial</w:t>
      </w:r>
      <w:r w:rsidR="00F04742" w:rsidRPr="00F82C8D">
        <w:t xml:space="preserve"> oxidation effect</w:t>
      </w:r>
      <w:r w:rsidRPr="00F82C8D">
        <w:t xml:space="preserve">. </w:t>
      </w:r>
      <w:r w:rsidR="00042CAE" w:rsidRPr="00F82C8D">
        <w:rPr>
          <w:b/>
          <w:i/>
          <w:sz w:val="20"/>
        </w:rPr>
        <w:t>[subsection 54(3)]</w:t>
      </w:r>
    </w:p>
    <w:p w:rsidR="00042CAE" w:rsidRPr="00F82C8D" w:rsidRDefault="00042CAE" w:rsidP="00042CAE">
      <w:pPr>
        <w:pStyle w:val="Heading4"/>
      </w:pPr>
      <w:r w:rsidRPr="00F82C8D">
        <w:t>Timing</w:t>
      </w:r>
    </w:p>
    <w:p w:rsidR="00042CAE" w:rsidRPr="00F82C8D" w:rsidRDefault="00042CAE" w:rsidP="00625D31">
      <w:pPr>
        <w:pStyle w:val="ListParagraph"/>
      </w:pPr>
      <w:r w:rsidRPr="00F82C8D">
        <w:t xml:space="preserve">The Regulator will take all reasonable steps to make the determination within 60 days of receiving the application or if further information was required, then within 60 days of receiving the required information from the applicant. The 60 days is measured as calendar days. </w:t>
      </w:r>
      <w:r w:rsidRPr="00F82C8D">
        <w:rPr>
          <w:b/>
          <w:i/>
          <w:sz w:val="20"/>
        </w:rPr>
        <w:t xml:space="preserve">[subsection </w:t>
      </w:r>
      <w:r w:rsidR="00673104" w:rsidRPr="00F82C8D">
        <w:rPr>
          <w:b/>
          <w:i/>
          <w:sz w:val="20"/>
        </w:rPr>
        <w:t>5</w:t>
      </w:r>
      <w:r w:rsidRPr="00F82C8D">
        <w:rPr>
          <w:b/>
          <w:i/>
          <w:sz w:val="20"/>
        </w:rPr>
        <w:t>4(4)]</w:t>
      </w:r>
    </w:p>
    <w:p w:rsidR="00042CAE" w:rsidRPr="00F82C8D" w:rsidRDefault="00042CAE" w:rsidP="00042CAE">
      <w:pPr>
        <w:pStyle w:val="Heading4"/>
      </w:pPr>
      <w:r w:rsidRPr="00F82C8D">
        <w:t>N</w:t>
      </w:r>
      <w:r w:rsidR="00673104" w:rsidRPr="00F82C8D">
        <w:t>otification</w:t>
      </w:r>
    </w:p>
    <w:p w:rsidR="00673104" w:rsidRPr="00F82C8D" w:rsidRDefault="00042CAE" w:rsidP="00625D31">
      <w:pPr>
        <w:pStyle w:val="ListParagraph"/>
      </w:pPr>
      <w:r w:rsidRPr="00F82C8D">
        <w:t xml:space="preserve">If the Regulator makes </w:t>
      </w:r>
      <w:r w:rsidR="0081414F" w:rsidRPr="00F82C8D">
        <w:t>a</w:t>
      </w:r>
      <w:r w:rsidRPr="00F82C8D">
        <w:t xml:space="preserve"> </w:t>
      </w:r>
      <w:r w:rsidR="00673104" w:rsidRPr="00F82C8D">
        <w:t>landfill-benchmark</w:t>
      </w:r>
      <w:r w:rsidRPr="00F82C8D">
        <w:t xml:space="preserve"> baseline determination, then as soon as practicable the Regulator must notify the applicant in writing of the determination and publish details of the determination on its website. </w:t>
      </w:r>
      <w:r w:rsidR="00BA732C" w:rsidRPr="00F82C8D">
        <w:rPr>
          <w:b/>
          <w:i/>
          <w:sz w:val="20"/>
        </w:rPr>
        <w:t>[subsection </w:t>
      </w:r>
      <w:r w:rsidRPr="00F82C8D">
        <w:rPr>
          <w:b/>
          <w:i/>
          <w:sz w:val="20"/>
        </w:rPr>
        <w:t>44(5)]</w:t>
      </w:r>
      <w:r w:rsidRPr="00F82C8D">
        <w:t xml:space="preserve"> </w:t>
      </w:r>
      <w:r w:rsidR="0081414F" w:rsidRPr="00F82C8D">
        <w:t xml:space="preserve">The </w:t>
      </w:r>
      <w:r w:rsidR="0087664A" w:rsidRPr="00F82C8D">
        <w:t>baseline emissions number</w:t>
      </w:r>
      <w:r w:rsidR="0081414F" w:rsidRPr="00F82C8D">
        <w:t xml:space="preserve"> calculated each year under the baseline determination must also be published. </w:t>
      </w:r>
      <w:r w:rsidR="0081414F" w:rsidRPr="00F82C8D">
        <w:rPr>
          <w:rStyle w:val="Emphasis"/>
        </w:rPr>
        <w:t>[subparagraph 69(1)(a)(iii)]</w:t>
      </w:r>
    </w:p>
    <w:p w:rsidR="00042CAE" w:rsidRPr="00F82C8D" w:rsidRDefault="00042CAE" w:rsidP="00625D31">
      <w:pPr>
        <w:pStyle w:val="ListParagraph"/>
      </w:pPr>
      <w:r w:rsidRPr="00F82C8D">
        <w:t xml:space="preserve">If the Regulator refuses to make </w:t>
      </w:r>
      <w:r w:rsidR="0081414F" w:rsidRPr="00F82C8D">
        <w:t>a</w:t>
      </w:r>
      <w:r w:rsidRPr="00F82C8D">
        <w:t xml:space="preserve"> </w:t>
      </w:r>
      <w:r w:rsidR="00673104" w:rsidRPr="00F82C8D">
        <w:t>landfill-benchmark</w:t>
      </w:r>
      <w:r w:rsidRPr="00F82C8D">
        <w:t xml:space="preserve"> baseline determination, then the Regulator must notify the applicant of this decision in writing. </w:t>
      </w:r>
      <w:r w:rsidRPr="00F82C8D">
        <w:rPr>
          <w:b/>
          <w:i/>
          <w:sz w:val="20"/>
        </w:rPr>
        <w:t>[subsection </w:t>
      </w:r>
      <w:r w:rsidR="00673104" w:rsidRPr="00F82C8D">
        <w:rPr>
          <w:b/>
          <w:i/>
          <w:sz w:val="20"/>
        </w:rPr>
        <w:t>5</w:t>
      </w:r>
      <w:r w:rsidRPr="00F82C8D">
        <w:rPr>
          <w:b/>
          <w:i/>
          <w:sz w:val="20"/>
        </w:rPr>
        <w:t>4(6)]</w:t>
      </w:r>
    </w:p>
    <w:p w:rsidR="00042CAE" w:rsidRPr="00F82C8D" w:rsidRDefault="00042CAE" w:rsidP="00042CAE">
      <w:pPr>
        <w:pStyle w:val="Heading4"/>
      </w:pPr>
      <w:r w:rsidRPr="00F82C8D">
        <w:t>Rounding</w:t>
      </w:r>
    </w:p>
    <w:p w:rsidR="00042CAE" w:rsidRPr="00F82C8D" w:rsidRDefault="00042CAE" w:rsidP="00625D31">
      <w:pPr>
        <w:pStyle w:val="ListParagraph"/>
      </w:pPr>
      <w:r w:rsidRPr="00F82C8D">
        <w:t xml:space="preserve">The baseline emissions number must be rounded up or down to the nearest whole number, with numbers ending in ‘.5’ being rounded up </w:t>
      </w:r>
      <w:r w:rsidRPr="00F82C8D">
        <w:rPr>
          <w:b/>
          <w:i/>
          <w:sz w:val="20"/>
        </w:rPr>
        <w:t>[subsection </w:t>
      </w:r>
      <w:r w:rsidR="00673104" w:rsidRPr="00F82C8D">
        <w:rPr>
          <w:b/>
          <w:i/>
          <w:sz w:val="20"/>
        </w:rPr>
        <w:t>5</w:t>
      </w:r>
      <w:r w:rsidRPr="00F82C8D">
        <w:rPr>
          <w:b/>
          <w:i/>
          <w:sz w:val="20"/>
        </w:rPr>
        <w:t>4(7)]</w:t>
      </w:r>
      <w:r w:rsidRPr="00F82C8D">
        <w:t xml:space="preserve"> </w:t>
      </w:r>
    </w:p>
    <w:p w:rsidR="00042CAE" w:rsidRPr="00F82C8D" w:rsidRDefault="00E47F88" w:rsidP="00042CAE">
      <w:pPr>
        <w:pStyle w:val="Heading3"/>
        <w:rPr>
          <w:lang w:eastAsia="en-AU"/>
        </w:rPr>
      </w:pPr>
      <w:r w:rsidRPr="00F82C8D">
        <w:rPr>
          <w:lang w:eastAsia="en-AU"/>
        </w:rPr>
        <w:t xml:space="preserve">Section 55: </w:t>
      </w:r>
      <w:r w:rsidR="00042CAE" w:rsidRPr="00F82C8D">
        <w:rPr>
          <w:lang w:eastAsia="en-AU"/>
        </w:rPr>
        <w:t xml:space="preserve">Duration of </w:t>
      </w:r>
      <w:r w:rsidR="00673104" w:rsidRPr="00F82C8D">
        <w:rPr>
          <w:lang w:eastAsia="en-AU"/>
        </w:rPr>
        <w:t>landfill-benchmark</w:t>
      </w:r>
      <w:r w:rsidR="00042CAE" w:rsidRPr="00F82C8D">
        <w:rPr>
          <w:lang w:eastAsia="en-AU"/>
        </w:rPr>
        <w:t xml:space="preserve"> baseline determination</w:t>
      </w:r>
    </w:p>
    <w:p w:rsidR="00042CAE" w:rsidRPr="00F82C8D" w:rsidRDefault="00042CAE" w:rsidP="00625D31">
      <w:pPr>
        <w:pStyle w:val="ListParagraph"/>
      </w:pPr>
      <w:r w:rsidRPr="00F82C8D">
        <w:t>If a baseline</w:t>
      </w:r>
      <w:r w:rsidR="00B16281" w:rsidRPr="00F82C8D">
        <w:t xml:space="preserve"> determination is made within two </w:t>
      </w:r>
      <w:r w:rsidRPr="00F82C8D">
        <w:t xml:space="preserve">year of the requested start date, then </w:t>
      </w:r>
      <w:r w:rsidR="001D58C8" w:rsidRPr="00F82C8D">
        <w:t>it commences</w:t>
      </w:r>
      <w:r w:rsidRPr="00F82C8D">
        <w:t xml:space="preserve"> on the requested start date. </w:t>
      </w:r>
      <w:r w:rsidRPr="00F82C8D">
        <w:rPr>
          <w:b/>
          <w:i/>
          <w:sz w:val="20"/>
        </w:rPr>
        <w:t xml:space="preserve">[subsection </w:t>
      </w:r>
      <w:r w:rsidR="00F16155" w:rsidRPr="00F82C8D">
        <w:rPr>
          <w:b/>
          <w:i/>
          <w:sz w:val="20"/>
        </w:rPr>
        <w:t>5</w:t>
      </w:r>
      <w:r w:rsidRPr="00F82C8D">
        <w:rPr>
          <w:b/>
          <w:i/>
          <w:sz w:val="20"/>
        </w:rPr>
        <w:t>5(1)]</w:t>
      </w:r>
      <w:r w:rsidRPr="00F82C8D">
        <w:t xml:space="preserve"> A determ</w:t>
      </w:r>
      <w:r w:rsidR="00B16281" w:rsidRPr="00F82C8D">
        <w:t xml:space="preserve">ination can be made more than two </w:t>
      </w:r>
      <w:r w:rsidRPr="00F82C8D">
        <w:t>year</w:t>
      </w:r>
      <w:r w:rsidR="00B16281" w:rsidRPr="00F82C8D">
        <w:t>s</w:t>
      </w:r>
      <w:r w:rsidRPr="00F82C8D">
        <w:t xml:space="preserve"> after the requested start date, however this determination would come into force from the earliest 1 July possible under subsection 22XQ(2) of the Act, rather than the requested start date. </w:t>
      </w:r>
      <w:r w:rsidR="00BA732C" w:rsidRPr="00F82C8D">
        <w:rPr>
          <w:b/>
          <w:i/>
          <w:sz w:val="20"/>
        </w:rPr>
        <w:t>[subsection </w:t>
      </w:r>
      <w:r w:rsidR="00F16155" w:rsidRPr="00F82C8D">
        <w:rPr>
          <w:b/>
          <w:i/>
          <w:sz w:val="20"/>
        </w:rPr>
        <w:t>5</w:t>
      </w:r>
      <w:r w:rsidRPr="00F82C8D">
        <w:rPr>
          <w:b/>
          <w:i/>
          <w:sz w:val="20"/>
        </w:rPr>
        <w:t>5(2)]</w:t>
      </w:r>
    </w:p>
    <w:p w:rsidR="00042CAE" w:rsidRPr="00F82C8D" w:rsidRDefault="00042CAE" w:rsidP="00625D31">
      <w:pPr>
        <w:pStyle w:val="ListParagraph"/>
        <w:rPr>
          <w:b/>
        </w:rPr>
      </w:pPr>
      <w:r w:rsidRPr="00F82C8D">
        <w:rPr>
          <w:lang w:eastAsia="en-AU"/>
        </w:rPr>
        <w:t xml:space="preserve">A </w:t>
      </w:r>
      <w:r w:rsidR="00673104" w:rsidRPr="00F82C8D">
        <w:rPr>
          <w:lang w:eastAsia="en-AU"/>
        </w:rPr>
        <w:t>landfill-benchmark</w:t>
      </w:r>
      <w:r w:rsidRPr="00F82C8D">
        <w:rPr>
          <w:lang w:eastAsia="en-AU"/>
        </w:rPr>
        <w:t xml:space="preserve"> baseline determination expires </w:t>
      </w:r>
      <w:r w:rsidR="00673104" w:rsidRPr="00F82C8D">
        <w:rPr>
          <w:lang w:eastAsia="en-AU"/>
        </w:rPr>
        <w:t xml:space="preserve">either </w:t>
      </w:r>
      <w:r w:rsidRPr="00F82C8D">
        <w:rPr>
          <w:lang w:eastAsia="en-AU"/>
        </w:rPr>
        <w:t>when another baseline determination comes into force for the facility</w:t>
      </w:r>
      <w:r w:rsidR="003C70B2" w:rsidRPr="00F82C8D">
        <w:rPr>
          <w:lang w:eastAsia="en-AU"/>
        </w:rPr>
        <w:t xml:space="preserve"> or</w:t>
      </w:r>
      <w:r w:rsidR="00673104" w:rsidRPr="00F82C8D">
        <w:rPr>
          <w:lang w:eastAsia="en-AU"/>
        </w:rPr>
        <w:t xml:space="preserve"> when requested by the responsible emitter. This request needs to be in writing to the Regulator and specify the expiry date as 30 June of a particular year</w:t>
      </w:r>
      <w:r w:rsidRPr="00F82C8D">
        <w:t xml:space="preserve">. </w:t>
      </w:r>
      <w:r w:rsidRPr="00F82C8D">
        <w:rPr>
          <w:b/>
          <w:i/>
          <w:sz w:val="20"/>
        </w:rPr>
        <w:t xml:space="preserve">[subsection </w:t>
      </w:r>
      <w:r w:rsidR="00F16155" w:rsidRPr="00F82C8D">
        <w:rPr>
          <w:b/>
          <w:i/>
          <w:sz w:val="20"/>
        </w:rPr>
        <w:t>5</w:t>
      </w:r>
      <w:r w:rsidRPr="00F82C8D">
        <w:rPr>
          <w:b/>
          <w:i/>
          <w:sz w:val="20"/>
        </w:rPr>
        <w:t>5(3)]</w:t>
      </w:r>
      <w:r w:rsidR="003C70B2" w:rsidRPr="00F82C8D">
        <w:rPr>
          <w:b/>
          <w:sz w:val="20"/>
        </w:rPr>
        <w:t xml:space="preserve"> </w:t>
      </w:r>
      <w:r w:rsidR="003C70B2" w:rsidRPr="00F82C8D">
        <w:t>The ability for the responsible emitter to request the expiry of their baseline determination is given because the covered emissions for a landfill may drop below 100,000 t CO</w:t>
      </w:r>
      <w:r w:rsidR="003C70B2" w:rsidRPr="00F82C8D">
        <w:rPr>
          <w:vertAlign w:val="subscript"/>
        </w:rPr>
        <w:t>2</w:t>
      </w:r>
      <w:r w:rsidR="003F1ABC" w:rsidRPr="00F82C8D">
        <w:t>-e</w:t>
      </w:r>
      <w:r w:rsidR="003C70B2" w:rsidRPr="00F82C8D">
        <w:t xml:space="preserve"> and the responsible emitter has certainty that the landfill will no longer be covered by the safeguard mechanism. An example of this situation is that the landfill has closed and no longer accepts waste.</w:t>
      </w:r>
      <w:r w:rsidR="003C70B2" w:rsidRPr="00F82C8D">
        <w:rPr>
          <w:b/>
          <w:sz w:val="20"/>
        </w:rPr>
        <w:t xml:space="preserve"> </w:t>
      </w:r>
    </w:p>
    <w:p w:rsidR="007E67A7" w:rsidRPr="00F82C8D" w:rsidRDefault="00E47F88" w:rsidP="00257261">
      <w:pPr>
        <w:pStyle w:val="Heading2"/>
        <w:rPr>
          <w:lang w:val="en-AU"/>
        </w:rPr>
      </w:pPr>
      <w:bookmarkStart w:id="125" w:name="_Toc426382214"/>
      <w:bookmarkStart w:id="126" w:name="_Toc431975852"/>
      <w:r w:rsidRPr="00F82C8D">
        <w:rPr>
          <w:lang w:val="en-AU"/>
        </w:rPr>
        <w:t>Subdivision 8</w:t>
      </w:r>
      <w:r w:rsidRPr="00F82C8D">
        <w:t>—</w:t>
      </w:r>
      <w:r w:rsidR="007E67A7" w:rsidRPr="00F82C8D">
        <w:rPr>
          <w:lang w:val="en-AU"/>
        </w:rPr>
        <w:t xml:space="preserve">General variation </w:t>
      </w:r>
      <w:r w:rsidR="00257261" w:rsidRPr="00F82C8D">
        <w:rPr>
          <w:lang w:val="en-AU"/>
        </w:rPr>
        <w:t xml:space="preserve">and remaking </w:t>
      </w:r>
      <w:r w:rsidR="007E67A7" w:rsidRPr="00F82C8D">
        <w:rPr>
          <w:lang w:val="en-AU"/>
        </w:rPr>
        <w:t>of baseline determinations</w:t>
      </w:r>
      <w:bookmarkEnd w:id="125"/>
      <w:bookmarkEnd w:id="126"/>
    </w:p>
    <w:p w:rsidR="007653EC" w:rsidRPr="00F82C8D" w:rsidRDefault="007653EC" w:rsidP="00625D31">
      <w:pPr>
        <w:pStyle w:val="ListParagraph"/>
        <w:rPr>
          <w:lang w:val="en-AU"/>
        </w:rPr>
      </w:pPr>
      <w:r w:rsidRPr="00F82C8D">
        <w:rPr>
          <w:lang w:val="en-AU"/>
        </w:rPr>
        <w:t>The variation or remaking of an existing baseline determination is restricted to specific circumstances and can only be done by the Regulator after notifying and seeking comments from the responsible emitter. The Regulator’s decision to vary or remake a baseline determination is a reviewable decision under sectio</w:t>
      </w:r>
      <w:r w:rsidR="00C6514A" w:rsidRPr="00F82C8D">
        <w:rPr>
          <w:lang w:val="en-AU"/>
        </w:rPr>
        <w:t>n </w:t>
      </w:r>
      <w:r w:rsidRPr="00F82C8D">
        <w:rPr>
          <w:lang w:val="en-AU"/>
        </w:rPr>
        <w:t>56 of the Act.</w:t>
      </w:r>
      <w:r w:rsidRPr="00F82C8D">
        <w:rPr>
          <w:b/>
          <w:i/>
          <w:sz w:val="20"/>
        </w:rPr>
        <w:t xml:space="preserve"> [subsections 56(7) and 57(6)]</w:t>
      </w:r>
    </w:p>
    <w:p w:rsidR="006777A9" w:rsidRPr="00F82C8D" w:rsidRDefault="00E47F88" w:rsidP="006777A9">
      <w:pPr>
        <w:pStyle w:val="Heading3"/>
      </w:pPr>
      <w:r w:rsidRPr="00F82C8D">
        <w:t xml:space="preserve">Section 56: </w:t>
      </w:r>
      <w:r w:rsidR="006777A9" w:rsidRPr="00F82C8D">
        <w:t>Variation relating to changes in carbon dioxide equivalence</w:t>
      </w:r>
    </w:p>
    <w:p w:rsidR="00F34D79" w:rsidRPr="00F82C8D" w:rsidRDefault="00336CE1" w:rsidP="00625D31">
      <w:pPr>
        <w:pStyle w:val="ListParagraph"/>
        <w:rPr>
          <w:lang w:val="en-AU"/>
        </w:rPr>
      </w:pPr>
      <w:r w:rsidRPr="00F82C8D">
        <w:rPr>
          <w:lang w:val="en-AU"/>
        </w:rPr>
        <w:t>The v</w:t>
      </w:r>
      <w:r w:rsidR="00F34D79" w:rsidRPr="00F82C8D">
        <w:rPr>
          <w:lang w:val="en-AU"/>
        </w:rPr>
        <w:t xml:space="preserve">alues used to determine the carbon dioxide equivalence of greenhouse gases, </w:t>
      </w:r>
      <w:r w:rsidR="00BF5045" w:rsidRPr="00F82C8D">
        <w:rPr>
          <w:lang w:val="en-AU"/>
        </w:rPr>
        <w:t>global warming potential</w:t>
      </w:r>
      <w:r w:rsidR="006D411C" w:rsidRPr="00F82C8D">
        <w:rPr>
          <w:lang w:val="en-AU"/>
        </w:rPr>
        <w:t>s</w:t>
      </w:r>
      <w:r w:rsidR="00F34D79" w:rsidRPr="00F82C8D">
        <w:rPr>
          <w:lang w:val="en-AU"/>
        </w:rPr>
        <w:t xml:space="preserve">, are set out in </w:t>
      </w:r>
      <w:r w:rsidR="009755A3" w:rsidRPr="00F82C8D">
        <w:rPr>
          <w:lang w:val="en-AU"/>
        </w:rPr>
        <w:t>s</w:t>
      </w:r>
      <w:r w:rsidR="00F34D79" w:rsidRPr="00F82C8D">
        <w:rPr>
          <w:lang w:val="en-AU"/>
        </w:rPr>
        <w:t xml:space="preserve">ection 2.02 of the </w:t>
      </w:r>
      <w:r w:rsidR="002D6B56" w:rsidRPr="00F82C8D">
        <w:rPr>
          <w:lang w:val="en-AU"/>
        </w:rPr>
        <w:t>NGER Regulations</w:t>
      </w:r>
      <w:r w:rsidR="00F34D79" w:rsidRPr="00F82C8D">
        <w:rPr>
          <w:lang w:val="en-AU"/>
        </w:rPr>
        <w:t xml:space="preserve">. </w:t>
      </w:r>
      <w:r w:rsidR="00E47F88" w:rsidRPr="00F82C8D">
        <w:rPr>
          <w:lang w:val="en-AU"/>
        </w:rPr>
        <w:t xml:space="preserve">Although unlikely to occur in the near term, </w:t>
      </w:r>
      <w:r w:rsidR="006D411C" w:rsidRPr="00F82C8D">
        <w:rPr>
          <w:lang w:val="en-AU"/>
        </w:rPr>
        <w:t>updates to the</w:t>
      </w:r>
      <w:r w:rsidR="009755A3" w:rsidRPr="00F82C8D">
        <w:rPr>
          <w:lang w:val="en-AU"/>
        </w:rPr>
        <w:t xml:space="preserve"> </w:t>
      </w:r>
      <w:r w:rsidR="00BF5045" w:rsidRPr="00F82C8D">
        <w:rPr>
          <w:lang w:val="en-AU"/>
        </w:rPr>
        <w:t>global warming potential</w:t>
      </w:r>
      <w:r w:rsidR="006D411C" w:rsidRPr="00F82C8D">
        <w:rPr>
          <w:lang w:val="en-AU"/>
        </w:rPr>
        <w:t>s occur</w:t>
      </w:r>
      <w:r w:rsidR="00F34D79" w:rsidRPr="00F82C8D">
        <w:rPr>
          <w:lang w:val="en-AU"/>
        </w:rPr>
        <w:t xml:space="preserve"> periodically based on new scientific information. </w:t>
      </w:r>
      <w:r w:rsidR="00EC6BCA" w:rsidRPr="00F82C8D">
        <w:rPr>
          <w:b/>
          <w:i/>
          <w:sz w:val="20"/>
        </w:rPr>
        <w:t>[subsections 56(1)]</w:t>
      </w:r>
    </w:p>
    <w:p w:rsidR="00F34D79" w:rsidRPr="00F82C8D" w:rsidRDefault="00F34D79" w:rsidP="0051382B">
      <w:pPr>
        <w:pStyle w:val="Quote"/>
      </w:pPr>
      <w:r w:rsidRPr="00F82C8D">
        <w:t>For example, while carbon dioxide (CO</w:t>
      </w:r>
      <w:r w:rsidR="00E073C6" w:rsidRPr="00F82C8D">
        <w:rPr>
          <w:vertAlign w:val="subscript"/>
        </w:rPr>
        <w:t>2</w:t>
      </w:r>
      <w:r w:rsidRPr="00F82C8D">
        <w:t xml:space="preserve">) always has a </w:t>
      </w:r>
      <w:r w:rsidR="00BF5045" w:rsidRPr="00F82C8D">
        <w:t>global warming potential</w:t>
      </w:r>
      <w:r w:rsidR="00336CE1" w:rsidRPr="00F82C8D">
        <w:t xml:space="preserve"> of one</w:t>
      </w:r>
      <w:r w:rsidRPr="00F82C8D">
        <w:t xml:space="preserve">, </w:t>
      </w:r>
      <w:r w:rsidR="006D411C" w:rsidRPr="00F82C8D">
        <w:t xml:space="preserve">each other greenhouse gas is </w:t>
      </w:r>
      <w:r w:rsidRPr="00F82C8D">
        <w:t xml:space="preserve">given a value that represents its </w:t>
      </w:r>
      <w:r w:rsidR="00BF5045" w:rsidRPr="00F82C8D">
        <w:t>global warming potential</w:t>
      </w:r>
      <w:r w:rsidRPr="00F82C8D">
        <w:t xml:space="preserve"> comparative to CO</w:t>
      </w:r>
      <w:r w:rsidR="00E073C6" w:rsidRPr="00F82C8D">
        <w:rPr>
          <w:vertAlign w:val="subscript"/>
        </w:rPr>
        <w:t>2</w:t>
      </w:r>
      <w:r w:rsidRPr="00F82C8D">
        <w:t>.</w:t>
      </w:r>
      <w:r w:rsidRPr="00F82C8D">
        <w:rPr>
          <w:vertAlign w:val="subscript"/>
        </w:rPr>
        <w:t xml:space="preserve"> </w:t>
      </w:r>
      <w:r w:rsidRPr="00F82C8D">
        <w:t xml:space="preserve">At the time the International Panel on Climate Change released its Second Assessment Report, it was scientifically understood that methane had the potential to contribute to global warming 21 </w:t>
      </w:r>
      <w:r w:rsidR="00EF0A55" w:rsidRPr="00F82C8D">
        <w:t>times the same amount of</w:t>
      </w:r>
      <w:r w:rsidRPr="00F82C8D">
        <w:t xml:space="preserve"> CO</w:t>
      </w:r>
      <w:r w:rsidR="00E073C6" w:rsidRPr="00F82C8D">
        <w:rPr>
          <w:vertAlign w:val="subscript"/>
        </w:rPr>
        <w:t>2</w:t>
      </w:r>
      <w:r w:rsidRPr="00F82C8D">
        <w:t xml:space="preserve">. </w:t>
      </w:r>
      <w:r w:rsidR="00EF0A55" w:rsidRPr="00F82C8D">
        <w:t>At the release of the Fourth Assessment Report, the scientific understanding had change</w:t>
      </w:r>
      <w:r w:rsidR="006D411C" w:rsidRPr="00F82C8D">
        <w:t>d</w:t>
      </w:r>
      <w:r w:rsidR="00EF0A55" w:rsidRPr="00F82C8D">
        <w:t xml:space="preserve"> to set the </w:t>
      </w:r>
      <w:r w:rsidR="00BF5045" w:rsidRPr="00F82C8D">
        <w:t>global warming potential</w:t>
      </w:r>
      <w:r w:rsidR="00EF0A55" w:rsidRPr="00F82C8D">
        <w:t xml:space="preserve"> of methane to 25.</w:t>
      </w:r>
      <w:r w:rsidR="00E47F88" w:rsidRPr="00F82C8D">
        <w:t xml:space="preserve"> The NGER Regulations incorporated this new value from 1 July 2015</w:t>
      </w:r>
      <w:r w:rsidR="006D411C" w:rsidRPr="00F82C8D">
        <w:t>.</w:t>
      </w:r>
    </w:p>
    <w:p w:rsidR="00EF0A55" w:rsidRPr="00F82C8D" w:rsidRDefault="00F34D79" w:rsidP="00625D31">
      <w:pPr>
        <w:pStyle w:val="ListParagraph"/>
        <w:rPr>
          <w:lang w:val="en-AU"/>
        </w:rPr>
      </w:pPr>
      <w:r w:rsidRPr="00F82C8D">
        <w:rPr>
          <w:lang w:val="en-AU"/>
        </w:rPr>
        <w:t xml:space="preserve">The baseline emissions number </w:t>
      </w:r>
      <w:r w:rsidR="00EF0A55" w:rsidRPr="00F82C8D">
        <w:rPr>
          <w:lang w:val="en-AU"/>
        </w:rPr>
        <w:t xml:space="preserve">is calculated using the </w:t>
      </w:r>
      <w:r w:rsidR="00BF5045" w:rsidRPr="00F82C8D">
        <w:rPr>
          <w:lang w:val="en-AU"/>
        </w:rPr>
        <w:t>global warming potential</w:t>
      </w:r>
      <w:r w:rsidR="00EF0A55" w:rsidRPr="00F82C8D">
        <w:rPr>
          <w:lang w:val="en-AU"/>
        </w:rPr>
        <w:t xml:space="preserve"> values</w:t>
      </w:r>
      <w:r w:rsidR="009755A3" w:rsidRPr="00F82C8D">
        <w:rPr>
          <w:lang w:val="en-AU"/>
        </w:rPr>
        <w:t xml:space="preserve"> in force at the time of making the baseline determination</w:t>
      </w:r>
      <w:r w:rsidR="00EF0A55" w:rsidRPr="00F82C8D">
        <w:rPr>
          <w:lang w:val="en-AU"/>
        </w:rPr>
        <w:t xml:space="preserve">. The </w:t>
      </w:r>
      <w:r w:rsidR="009755A3" w:rsidRPr="00F82C8D">
        <w:rPr>
          <w:lang w:val="en-AU"/>
        </w:rPr>
        <w:t xml:space="preserve">only types of </w:t>
      </w:r>
      <w:r w:rsidR="00EF0A55" w:rsidRPr="00F82C8D">
        <w:rPr>
          <w:lang w:val="en-AU"/>
        </w:rPr>
        <w:t xml:space="preserve">baseline determination not affected by </w:t>
      </w:r>
      <w:r w:rsidR="00BF5045" w:rsidRPr="00F82C8D">
        <w:rPr>
          <w:lang w:val="en-AU"/>
        </w:rPr>
        <w:t>global warming potential</w:t>
      </w:r>
      <w:r w:rsidR="00EF0A55" w:rsidRPr="00F82C8D">
        <w:rPr>
          <w:lang w:val="en-AU"/>
        </w:rPr>
        <w:t xml:space="preserve"> values are</w:t>
      </w:r>
      <w:r w:rsidR="009755A3" w:rsidRPr="00F82C8D">
        <w:rPr>
          <w:lang w:val="en-AU"/>
        </w:rPr>
        <w:t xml:space="preserve"> those calculated using</w:t>
      </w:r>
      <w:r w:rsidR="006D411C" w:rsidRPr="00F82C8D">
        <w:rPr>
          <w:lang w:val="en-AU"/>
        </w:rPr>
        <w:t xml:space="preserve"> emissions or</w:t>
      </w:r>
      <w:r w:rsidR="009755A3" w:rsidRPr="00F82C8D">
        <w:rPr>
          <w:lang w:val="en-AU"/>
        </w:rPr>
        <w:t xml:space="preserve"> </w:t>
      </w:r>
      <w:r w:rsidR="00BB7C53" w:rsidRPr="00F82C8D">
        <w:rPr>
          <w:lang w:val="en-AU"/>
        </w:rPr>
        <w:t>emissions intens</w:t>
      </w:r>
      <w:r w:rsidR="007653EC" w:rsidRPr="00F82C8D">
        <w:rPr>
          <w:lang w:val="en-AU"/>
        </w:rPr>
        <w:t>ities</w:t>
      </w:r>
      <w:r w:rsidR="009755A3" w:rsidRPr="00F82C8D">
        <w:rPr>
          <w:lang w:val="en-AU"/>
        </w:rPr>
        <w:t xml:space="preserve"> comprised solely o</w:t>
      </w:r>
      <w:r w:rsidR="007653EC" w:rsidRPr="00F82C8D">
        <w:rPr>
          <w:lang w:val="en-AU"/>
        </w:rPr>
        <w:t>f</w:t>
      </w:r>
      <w:r w:rsidR="009755A3" w:rsidRPr="00F82C8D">
        <w:rPr>
          <w:lang w:val="en-AU"/>
        </w:rPr>
        <w:t xml:space="preserve"> carbon dioxide.</w:t>
      </w:r>
      <w:r w:rsidR="000A7B10" w:rsidRPr="00F82C8D">
        <w:rPr>
          <w:lang w:val="en-AU"/>
        </w:rPr>
        <w:t xml:space="preserve"> </w:t>
      </w:r>
      <w:r w:rsidR="00EF0A55" w:rsidRPr="00F82C8D">
        <w:rPr>
          <w:lang w:val="en-AU"/>
        </w:rPr>
        <w:t xml:space="preserve">For </w:t>
      </w:r>
      <w:r w:rsidR="009755A3" w:rsidRPr="00F82C8D">
        <w:rPr>
          <w:lang w:val="en-AU"/>
        </w:rPr>
        <w:t xml:space="preserve">all </w:t>
      </w:r>
      <w:r w:rsidR="00EF0A55" w:rsidRPr="00F82C8D">
        <w:rPr>
          <w:lang w:val="en-AU"/>
        </w:rPr>
        <w:t>other baseline determination</w:t>
      </w:r>
      <w:r w:rsidR="009755A3" w:rsidRPr="00F82C8D">
        <w:rPr>
          <w:lang w:val="en-AU"/>
        </w:rPr>
        <w:t>s</w:t>
      </w:r>
      <w:r w:rsidR="00EF0A55" w:rsidRPr="00F82C8D">
        <w:rPr>
          <w:lang w:val="en-AU"/>
        </w:rPr>
        <w:t xml:space="preserve">, the baseline </w:t>
      </w:r>
      <w:r w:rsidR="0087664A" w:rsidRPr="00F82C8D">
        <w:rPr>
          <w:lang w:val="en-AU"/>
        </w:rPr>
        <w:t>emissions number</w:t>
      </w:r>
      <w:r w:rsidR="00EF0A55" w:rsidRPr="00F82C8D">
        <w:rPr>
          <w:lang w:val="en-AU"/>
        </w:rPr>
        <w:t xml:space="preserve"> must be varied when </w:t>
      </w:r>
      <w:r w:rsidR="007653EC" w:rsidRPr="00F82C8D">
        <w:rPr>
          <w:lang w:val="en-AU"/>
        </w:rPr>
        <w:t xml:space="preserve">there are changes to the </w:t>
      </w:r>
      <w:r w:rsidR="00BF5045" w:rsidRPr="00F82C8D">
        <w:rPr>
          <w:lang w:val="en-AU"/>
        </w:rPr>
        <w:t>global warming potential</w:t>
      </w:r>
      <w:r w:rsidR="00EF0A55" w:rsidRPr="00F82C8D">
        <w:rPr>
          <w:lang w:val="en-AU"/>
        </w:rPr>
        <w:t xml:space="preserve"> values </w:t>
      </w:r>
      <w:r w:rsidR="007653EC" w:rsidRPr="00F82C8D">
        <w:rPr>
          <w:lang w:val="en-AU"/>
        </w:rPr>
        <w:t>set out</w:t>
      </w:r>
      <w:r w:rsidR="009755A3" w:rsidRPr="00F82C8D">
        <w:rPr>
          <w:lang w:val="en-AU"/>
        </w:rPr>
        <w:t xml:space="preserve"> in section 2.02 of the </w:t>
      </w:r>
      <w:r w:rsidR="002D6B56" w:rsidRPr="00F82C8D">
        <w:rPr>
          <w:lang w:val="en-AU"/>
        </w:rPr>
        <w:t>NGER Regulations</w:t>
      </w:r>
      <w:r w:rsidR="009755A3" w:rsidRPr="00F82C8D">
        <w:rPr>
          <w:lang w:val="en-AU"/>
        </w:rPr>
        <w:t>.</w:t>
      </w:r>
      <w:r w:rsidR="00EC6BCA" w:rsidRPr="00F82C8D">
        <w:rPr>
          <w:lang w:val="en-AU"/>
        </w:rPr>
        <w:t xml:space="preserve"> </w:t>
      </w:r>
      <w:r w:rsidR="00EC6BCA" w:rsidRPr="00F82C8D">
        <w:rPr>
          <w:b/>
          <w:i/>
          <w:sz w:val="20"/>
        </w:rPr>
        <w:t>[subsections 56(2)]</w:t>
      </w:r>
      <w:r w:rsidR="000A7B10" w:rsidRPr="00F82C8D">
        <w:rPr>
          <w:b/>
          <w:i/>
          <w:sz w:val="20"/>
        </w:rPr>
        <w:t xml:space="preserve"> </w:t>
      </w:r>
      <w:r w:rsidR="00E468A7" w:rsidRPr="00F82C8D">
        <w:t xml:space="preserve">Changed </w:t>
      </w:r>
      <w:r w:rsidR="00BF5045" w:rsidRPr="00F82C8D">
        <w:t>global warming potential</w:t>
      </w:r>
      <w:r w:rsidR="00E468A7" w:rsidRPr="00F82C8D">
        <w:t xml:space="preserve"> </w:t>
      </w:r>
      <w:r w:rsidR="006D411C" w:rsidRPr="00F82C8D">
        <w:t xml:space="preserve">values </w:t>
      </w:r>
      <w:r w:rsidR="00E468A7" w:rsidRPr="00F82C8D">
        <w:t>do not cause a change in the designated large facility threshold of 100,000 t CO</w:t>
      </w:r>
      <w:r w:rsidR="00E073C6" w:rsidRPr="00F82C8D">
        <w:rPr>
          <w:vertAlign w:val="subscript"/>
        </w:rPr>
        <w:t>2</w:t>
      </w:r>
      <w:r w:rsidR="00E073C6" w:rsidRPr="00F82C8D">
        <w:t>-</w:t>
      </w:r>
      <w:r w:rsidR="00E468A7" w:rsidRPr="00F82C8D">
        <w:t xml:space="preserve">e or the baseline emissions number that applies to a </w:t>
      </w:r>
      <w:r w:rsidR="00D037A0" w:rsidRPr="00F82C8D">
        <w:t>designated large facilit</w:t>
      </w:r>
      <w:r w:rsidR="00E468A7" w:rsidRPr="00F82C8D">
        <w:t>y with no baseline determination.</w:t>
      </w:r>
    </w:p>
    <w:p w:rsidR="009755A3" w:rsidRPr="00F82C8D" w:rsidRDefault="009755A3" w:rsidP="00625D31">
      <w:pPr>
        <w:pStyle w:val="ListParagraph"/>
        <w:rPr>
          <w:lang w:val="en-AU"/>
        </w:rPr>
      </w:pPr>
      <w:r w:rsidRPr="00F82C8D">
        <w:rPr>
          <w:lang w:val="en-AU"/>
        </w:rPr>
        <w:t xml:space="preserve">The Regulator will vary the baseline determination using information that was the basis of </w:t>
      </w:r>
      <w:r w:rsidR="0081414F" w:rsidRPr="00F82C8D">
        <w:rPr>
          <w:lang w:val="en-AU"/>
        </w:rPr>
        <w:t>making the</w:t>
      </w:r>
      <w:r w:rsidRPr="00F82C8D">
        <w:rPr>
          <w:lang w:val="en-AU"/>
        </w:rPr>
        <w:t xml:space="preserve"> existing baseline determination</w:t>
      </w:r>
      <w:r w:rsidR="0081414F" w:rsidRPr="00F82C8D">
        <w:rPr>
          <w:lang w:val="en-AU"/>
        </w:rPr>
        <w:t xml:space="preserve"> by </w:t>
      </w:r>
      <w:r w:rsidR="007653EC" w:rsidRPr="00F82C8D">
        <w:rPr>
          <w:lang w:val="en-AU"/>
        </w:rPr>
        <w:t xml:space="preserve">updating the </w:t>
      </w:r>
      <w:r w:rsidR="00BF5045" w:rsidRPr="00F82C8D">
        <w:rPr>
          <w:lang w:val="en-AU"/>
        </w:rPr>
        <w:t>global warming potential</w:t>
      </w:r>
      <w:r w:rsidR="007653EC" w:rsidRPr="00F82C8D">
        <w:rPr>
          <w:lang w:val="en-AU"/>
        </w:rPr>
        <w:t xml:space="preserve"> values in force at that time with the new values. If the existing baseline determination used benchmark </w:t>
      </w:r>
      <w:r w:rsidR="00BB7C53" w:rsidRPr="00F82C8D">
        <w:rPr>
          <w:lang w:val="en-AU"/>
        </w:rPr>
        <w:t>emissions intens</w:t>
      </w:r>
      <w:r w:rsidR="007653EC" w:rsidRPr="00F82C8D">
        <w:rPr>
          <w:lang w:val="en-AU"/>
        </w:rPr>
        <w:t>ities, then the determination must be varied using</w:t>
      </w:r>
      <w:r w:rsidR="00EC6BCA" w:rsidRPr="00F82C8D">
        <w:rPr>
          <w:lang w:val="en-AU"/>
        </w:rPr>
        <w:t xml:space="preserve"> updated</w:t>
      </w:r>
      <w:r w:rsidR="007653EC" w:rsidRPr="00F82C8D">
        <w:rPr>
          <w:lang w:val="en-AU"/>
        </w:rPr>
        <w:t xml:space="preserve"> </w:t>
      </w:r>
      <w:r w:rsidR="0081414F" w:rsidRPr="00F82C8D">
        <w:rPr>
          <w:lang w:val="en-AU"/>
        </w:rPr>
        <w:t xml:space="preserve">benchmark </w:t>
      </w:r>
      <w:r w:rsidR="00BB7C53" w:rsidRPr="00F82C8D">
        <w:rPr>
          <w:lang w:val="en-AU"/>
        </w:rPr>
        <w:t>emissions intens</w:t>
      </w:r>
      <w:r w:rsidR="0081414F" w:rsidRPr="00F82C8D">
        <w:rPr>
          <w:lang w:val="en-AU"/>
        </w:rPr>
        <w:t xml:space="preserve">ities </w:t>
      </w:r>
      <w:r w:rsidR="007653EC" w:rsidRPr="00F82C8D">
        <w:rPr>
          <w:lang w:val="en-AU"/>
        </w:rPr>
        <w:t xml:space="preserve">sourced from the </w:t>
      </w:r>
      <w:r w:rsidR="00C61DFD" w:rsidRPr="00F82C8D">
        <w:rPr>
          <w:lang w:val="en-AU"/>
        </w:rPr>
        <w:t>Benchmark Emissions-Intensity Index</w:t>
      </w:r>
      <w:r w:rsidR="007653EC" w:rsidRPr="00F82C8D">
        <w:rPr>
          <w:lang w:val="en-AU"/>
        </w:rPr>
        <w:t xml:space="preserve"> in </w:t>
      </w:r>
      <w:r w:rsidR="00BF3FA1" w:rsidRPr="00F82C8D">
        <w:rPr>
          <w:lang w:val="en-AU"/>
        </w:rPr>
        <w:t>Schedule 1</w:t>
      </w:r>
      <w:r w:rsidR="007653EC" w:rsidRPr="00F82C8D">
        <w:rPr>
          <w:lang w:val="en-AU"/>
        </w:rPr>
        <w:t>.</w:t>
      </w:r>
      <w:r w:rsidR="000A7B10" w:rsidRPr="00F82C8D">
        <w:rPr>
          <w:lang w:val="en-AU"/>
        </w:rPr>
        <w:t xml:space="preserve"> </w:t>
      </w:r>
      <w:r w:rsidR="00EC6BCA" w:rsidRPr="00F82C8D">
        <w:rPr>
          <w:b/>
          <w:i/>
          <w:sz w:val="20"/>
        </w:rPr>
        <w:t>[paragraph 56(2)(c)]</w:t>
      </w:r>
    </w:p>
    <w:p w:rsidR="00EC6BCA" w:rsidRPr="00F82C8D" w:rsidRDefault="00893FB8" w:rsidP="0051382B">
      <w:pPr>
        <w:pStyle w:val="Quote"/>
      </w:pPr>
      <w:r w:rsidRPr="00F82C8D">
        <w:t>For example, during the period 2009-10 to 2013-14 a large industrial complex's highest reported covered emissions were 110,000 t CO</w:t>
      </w:r>
      <w:r w:rsidR="00E073C6" w:rsidRPr="00F82C8D">
        <w:rPr>
          <w:vertAlign w:val="subscript"/>
        </w:rPr>
        <w:t>2</w:t>
      </w:r>
      <w:r w:rsidR="00E073C6" w:rsidRPr="00F82C8D">
        <w:t>-</w:t>
      </w:r>
      <w:r w:rsidRPr="00F82C8D">
        <w:t xml:space="preserve">e. </w:t>
      </w:r>
      <w:r w:rsidR="00BB4B3E" w:rsidRPr="00F82C8D">
        <w:t xml:space="preserve">This became the facility’s baseline emissions number under a reported-emissions baseline determination. </w:t>
      </w:r>
      <w:r w:rsidR="00EC6BCA" w:rsidRPr="00F82C8D">
        <w:t xml:space="preserve">On 1 July 2016, the </w:t>
      </w:r>
      <w:r w:rsidR="00BF5045" w:rsidRPr="00F82C8D">
        <w:t>global warming potential</w:t>
      </w:r>
      <w:r w:rsidR="00EC6BCA" w:rsidRPr="00F82C8D">
        <w:t xml:space="preserve"> </w:t>
      </w:r>
      <w:r w:rsidR="0081414F" w:rsidRPr="00F82C8D">
        <w:t>values</w:t>
      </w:r>
      <w:r w:rsidR="00EC6BCA" w:rsidRPr="00F82C8D">
        <w:t xml:space="preserve"> were updated in the </w:t>
      </w:r>
      <w:r w:rsidR="002D6B56" w:rsidRPr="00F82C8D">
        <w:t>NGER Regulations</w:t>
      </w:r>
      <w:r w:rsidR="0081414F" w:rsidRPr="00F82C8D">
        <w:rPr>
          <w:i/>
        </w:rPr>
        <w:t xml:space="preserve"> </w:t>
      </w:r>
      <w:r w:rsidR="00EC6BCA" w:rsidRPr="00F82C8D">
        <w:t>to reflect</w:t>
      </w:r>
      <w:r w:rsidR="00BB4B3E" w:rsidRPr="00F82C8D">
        <w:t xml:space="preserve"> latest scientific findings triggering </w:t>
      </w:r>
      <w:r w:rsidR="00EC6BCA" w:rsidRPr="00F82C8D">
        <w:t xml:space="preserve">the Regulator </w:t>
      </w:r>
      <w:r w:rsidR="00BB4B3E" w:rsidRPr="00F82C8D">
        <w:t>to adjust all</w:t>
      </w:r>
      <w:r w:rsidR="00EC6BCA" w:rsidRPr="00F82C8D">
        <w:t xml:space="preserve"> facilities’ baselines to reflect the changed </w:t>
      </w:r>
      <w:r w:rsidR="00BF5045" w:rsidRPr="00F82C8D">
        <w:t>global warming potential</w:t>
      </w:r>
      <w:r w:rsidR="00EC6BCA" w:rsidRPr="00F82C8D">
        <w:t xml:space="preserve"> values. The </w:t>
      </w:r>
      <w:r w:rsidR="00E47F88" w:rsidRPr="00F82C8D">
        <w:t>complex</w:t>
      </w:r>
      <w:r w:rsidR="00EC6BCA" w:rsidRPr="00F82C8D">
        <w:t>’s baseline was adjusted upwards by 10,000 t CO</w:t>
      </w:r>
      <w:r w:rsidR="00E073C6" w:rsidRPr="00F82C8D">
        <w:rPr>
          <w:vertAlign w:val="subscript"/>
        </w:rPr>
        <w:t>2</w:t>
      </w:r>
      <w:r w:rsidR="00E073C6" w:rsidRPr="00F82C8D">
        <w:t>-</w:t>
      </w:r>
      <w:r w:rsidR="00EC6BCA" w:rsidRPr="00F82C8D">
        <w:t xml:space="preserve">e to reflect the increase in </w:t>
      </w:r>
      <w:r w:rsidR="00BF5045" w:rsidRPr="00F82C8D">
        <w:t>global warming potential</w:t>
      </w:r>
      <w:r w:rsidR="00EC6BCA" w:rsidRPr="00F82C8D">
        <w:t xml:space="preserve"> values of </w:t>
      </w:r>
      <w:r w:rsidR="006D411C" w:rsidRPr="00F82C8D">
        <w:t>hydro</w:t>
      </w:r>
      <w:r w:rsidRPr="00F82C8D">
        <w:t>fluorocarbons</w:t>
      </w:r>
      <w:r w:rsidR="00EC6BCA" w:rsidRPr="00F82C8D">
        <w:t xml:space="preserve">. Using the updated </w:t>
      </w:r>
      <w:r w:rsidR="00BF5045" w:rsidRPr="00F82C8D">
        <w:t>global warming potential</w:t>
      </w:r>
      <w:r w:rsidR="00EC6BCA" w:rsidRPr="00F82C8D">
        <w:t xml:space="preserve"> values set out in the Regulations, the operator of the centre correctly reported a net emissions number for that year of 118,000 t CO</w:t>
      </w:r>
      <w:r w:rsidR="00E073C6" w:rsidRPr="00F82C8D">
        <w:rPr>
          <w:vertAlign w:val="subscript"/>
        </w:rPr>
        <w:t>2</w:t>
      </w:r>
      <w:r w:rsidR="00E073C6" w:rsidRPr="00F82C8D">
        <w:t>-</w:t>
      </w:r>
      <w:r w:rsidR="00EC6BCA" w:rsidRPr="00F82C8D">
        <w:t>e. Because the facility’s new baseline</w:t>
      </w:r>
      <w:r w:rsidR="007C2047" w:rsidRPr="00F82C8D">
        <w:t xml:space="preserve"> emissions</w:t>
      </w:r>
      <w:r w:rsidR="00EC6BCA" w:rsidRPr="00F82C8D">
        <w:t xml:space="preserve"> number had been adjusted to 120,000 t CO</w:t>
      </w:r>
      <w:r w:rsidR="00E073C6" w:rsidRPr="00F82C8D">
        <w:rPr>
          <w:vertAlign w:val="subscript"/>
        </w:rPr>
        <w:t>2</w:t>
      </w:r>
      <w:r w:rsidR="00E073C6" w:rsidRPr="00F82C8D">
        <w:t>-</w:t>
      </w:r>
      <w:r w:rsidR="00EC6BCA" w:rsidRPr="00F82C8D">
        <w:t>e, the facility remained 2,000 t CO</w:t>
      </w:r>
      <w:r w:rsidR="00E073C6" w:rsidRPr="00F82C8D">
        <w:rPr>
          <w:vertAlign w:val="subscript"/>
        </w:rPr>
        <w:t>2</w:t>
      </w:r>
      <w:r w:rsidR="00E073C6" w:rsidRPr="00F82C8D">
        <w:t>-</w:t>
      </w:r>
      <w:r w:rsidR="00EC6BCA" w:rsidRPr="00F82C8D">
        <w:t xml:space="preserve">e below the </w:t>
      </w:r>
      <w:r w:rsidR="0087664A" w:rsidRPr="00F82C8D">
        <w:t>baseline emissions number</w:t>
      </w:r>
      <w:r w:rsidR="00EC6BCA" w:rsidRPr="00F82C8D">
        <w:t xml:space="preserve">, and </w:t>
      </w:r>
      <w:r w:rsidR="00E468A7" w:rsidRPr="00F82C8D">
        <w:t>there was no</w:t>
      </w:r>
      <w:r w:rsidR="00EC6BCA" w:rsidRPr="00F82C8D">
        <w:t xml:space="preserve"> excess emissions situation. </w:t>
      </w:r>
    </w:p>
    <w:p w:rsidR="009755A3" w:rsidRPr="00F82C8D" w:rsidRDefault="009755A3" w:rsidP="00625D31">
      <w:pPr>
        <w:pStyle w:val="ListParagraph"/>
        <w:rPr>
          <w:b/>
          <w:lang w:val="en-AU"/>
        </w:rPr>
      </w:pPr>
      <w:r w:rsidRPr="00F82C8D">
        <w:rPr>
          <w:rFonts w:eastAsiaTheme="majorEastAsia"/>
          <w:lang w:val="en-AU"/>
        </w:rPr>
        <w:t xml:space="preserve">A </w:t>
      </w:r>
      <w:r w:rsidR="00EC6BCA" w:rsidRPr="00F82C8D">
        <w:rPr>
          <w:rFonts w:eastAsiaTheme="majorEastAsia"/>
          <w:lang w:val="en-AU"/>
        </w:rPr>
        <w:t>varied</w:t>
      </w:r>
      <w:r w:rsidRPr="00F82C8D">
        <w:rPr>
          <w:rFonts w:eastAsiaTheme="majorEastAsia"/>
          <w:lang w:val="en-AU"/>
        </w:rPr>
        <w:t xml:space="preserve"> baseline determination commences from the start of the financial year </w:t>
      </w:r>
      <w:r w:rsidR="006D411C" w:rsidRPr="00F82C8D">
        <w:rPr>
          <w:rFonts w:eastAsiaTheme="majorEastAsia"/>
          <w:lang w:val="en-AU"/>
        </w:rPr>
        <w:t>in which</w:t>
      </w:r>
      <w:r w:rsidRPr="00F82C8D">
        <w:rPr>
          <w:rFonts w:eastAsiaTheme="majorEastAsia"/>
          <w:lang w:val="en-AU"/>
        </w:rPr>
        <w:t xml:space="preserve"> it was remade. The previous baseline </w:t>
      </w:r>
      <w:r w:rsidR="00EC6BCA" w:rsidRPr="00F82C8D">
        <w:rPr>
          <w:rFonts w:eastAsiaTheme="majorEastAsia"/>
          <w:lang w:val="en-AU"/>
        </w:rPr>
        <w:t xml:space="preserve">determination </w:t>
      </w:r>
      <w:r w:rsidR="00893FB8" w:rsidRPr="00F82C8D">
        <w:rPr>
          <w:rFonts w:eastAsiaTheme="majorEastAsia"/>
          <w:lang w:val="en-AU"/>
        </w:rPr>
        <w:t>applies</w:t>
      </w:r>
      <w:r w:rsidR="00EC6BCA" w:rsidRPr="00F82C8D">
        <w:rPr>
          <w:rFonts w:eastAsiaTheme="majorEastAsia"/>
          <w:lang w:val="en-AU"/>
        </w:rPr>
        <w:t xml:space="preserve"> until then</w:t>
      </w:r>
      <w:r w:rsidRPr="00F82C8D">
        <w:rPr>
          <w:rFonts w:eastAsiaTheme="majorEastAsia"/>
          <w:lang w:val="en-AU"/>
        </w:rPr>
        <w:t xml:space="preserve">. </w:t>
      </w:r>
      <w:r w:rsidR="00EC6BCA" w:rsidRPr="00F82C8D">
        <w:rPr>
          <w:b/>
          <w:i/>
          <w:sz w:val="20"/>
        </w:rPr>
        <w:t>[subsection 56(1</w:t>
      </w:r>
      <w:r w:rsidRPr="00F82C8D">
        <w:rPr>
          <w:b/>
          <w:i/>
          <w:sz w:val="20"/>
        </w:rPr>
        <w:t>)]</w:t>
      </w:r>
      <w:r w:rsidR="000A7B10" w:rsidRPr="00F82C8D">
        <w:rPr>
          <w:rFonts w:eastAsiaTheme="majorEastAsia"/>
          <w:lang w:val="en-AU"/>
        </w:rPr>
        <w:t xml:space="preserve"> </w:t>
      </w:r>
    </w:p>
    <w:p w:rsidR="009755A3" w:rsidRPr="00F82C8D" w:rsidRDefault="009755A3" w:rsidP="00625D31">
      <w:pPr>
        <w:pStyle w:val="ListParagraph"/>
        <w:rPr>
          <w:b/>
          <w:lang w:val="en-AU"/>
        </w:rPr>
      </w:pPr>
      <w:r w:rsidRPr="00F82C8D">
        <w:rPr>
          <w:rFonts w:eastAsiaTheme="majorEastAsia"/>
          <w:lang w:val="en-AU"/>
        </w:rPr>
        <w:t xml:space="preserve">A responsible emitter for a facility will be informed in writing that the Regulator intends to </w:t>
      </w:r>
      <w:r w:rsidR="00EC6BCA" w:rsidRPr="00F82C8D">
        <w:rPr>
          <w:rFonts w:eastAsiaTheme="majorEastAsia"/>
          <w:lang w:val="en-AU"/>
        </w:rPr>
        <w:t>vary</w:t>
      </w:r>
      <w:r w:rsidRPr="00F82C8D">
        <w:rPr>
          <w:rFonts w:eastAsiaTheme="majorEastAsia"/>
          <w:lang w:val="en-AU"/>
        </w:rPr>
        <w:t xml:space="preserve"> its baseline determination</w:t>
      </w:r>
      <w:r w:rsidR="00EC6BCA" w:rsidRPr="00F82C8D">
        <w:rPr>
          <w:rFonts w:eastAsiaTheme="majorEastAsia"/>
          <w:lang w:val="en-AU"/>
        </w:rPr>
        <w:t xml:space="preserve"> because of changes to </w:t>
      </w:r>
      <w:r w:rsidR="00BF5045" w:rsidRPr="00F82C8D">
        <w:rPr>
          <w:rFonts w:eastAsiaTheme="majorEastAsia"/>
          <w:lang w:val="en-AU"/>
        </w:rPr>
        <w:t>global warming potential values</w:t>
      </w:r>
      <w:r w:rsidRPr="00F82C8D">
        <w:rPr>
          <w:rFonts w:eastAsiaTheme="majorEastAsia"/>
          <w:lang w:val="en-AU"/>
        </w:rPr>
        <w:t xml:space="preserve">. The notice will include what the baseline emissions number would be in the </w:t>
      </w:r>
      <w:r w:rsidR="00EC6BCA" w:rsidRPr="00F82C8D">
        <w:rPr>
          <w:rFonts w:eastAsiaTheme="majorEastAsia"/>
          <w:lang w:val="en-AU"/>
        </w:rPr>
        <w:t>varied</w:t>
      </w:r>
      <w:r w:rsidRPr="00F82C8D">
        <w:rPr>
          <w:rFonts w:eastAsiaTheme="majorEastAsia"/>
          <w:lang w:val="en-AU"/>
        </w:rPr>
        <w:t xml:space="preserve"> determination and</w:t>
      </w:r>
      <w:r w:rsidRPr="00F82C8D">
        <w:rPr>
          <w:lang w:val="en-AU"/>
        </w:rPr>
        <w:t xml:space="preserve"> invite comments by a specified date.</w:t>
      </w:r>
      <w:r w:rsidRPr="00F82C8D">
        <w:rPr>
          <w:rFonts w:eastAsiaTheme="majorEastAsia"/>
          <w:lang w:val="en-AU"/>
        </w:rPr>
        <w:t xml:space="preserve"> </w:t>
      </w:r>
      <w:r w:rsidR="00BA732C" w:rsidRPr="00F82C8D">
        <w:rPr>
          <w:b/>
          <w:i/>
          <w:sz w:val="20"/>
        </w:rPr>
        <w:t>[subsection </w:t>
      </w:r>
      <w:r w:rsidR="00EC6BCA" w:rsidRPr="00F82C8D">
        <w:rPr>
          <w:b/>
          <w:i/>
          <w:sz w:val="20"/>
        </w:rPr>
        <w:t>56(4</w:t>
      </w:r>
      <w:r w:rsidRPr="00F82C8D">
        <w:rPr>
          <w:b/>
          <w:i/>
          <w:sz w:val="20"/>
        </w:rPr>
        <w:t>)]</w:t>
      </w:r>
      <w:r w:rsidR="000A7B10" w:rsidRPr="00F82C8D">
        <w:rPr>
          <w:rFonts w:eastAsiaTheme="majorEastAsia"/>
          <w:lang w:val="en-AU"/>
        </w:rPr>
        <w:t xml:space="preserve"> </w:t>
      </w:r>
      <w:r w:rsidRPr="00F82C8D">
        <w:rPr>
          <w:rFonts w:eastAsiaTheme="majorEastAsia"/>
          <w:lang w:val="en-AU"/>
        </w:rPr>
        <w:t xml:space="preserve">The Regulator must consider any comments made by the specified date and then </w:t>
      </w:r>
      <w:r w:rsidR="00EC6BCA" w:rsidRPr="00F82C8D">
        <w:rPr>
          <w:rFonts w:eastAsiaTheme="majorEastAsia"/>
          <w:lang w:val="en-AU"/>
        </w:rPr>
        <w:t>vary</w:t>
      </w:r>
      <w:r w:rsidRPr="00F82C8D">
        <w:rPr>
          <w:rFonts w:eastAsiaTheme="majorEastAsia"/>
          <w:lang w:val="en-AU"/>
        </w:rPr>
        <w:t xml:space="preserve"> the baseline determination within 30 days of this date</w:t>
      </w:r>
      <w:r w:rsidR="00691236" w:rsidRPr="00F82C8D">
        <w:rPr>
          <w:rFonts w:eastAsiaTheme="majorEastAsia"/>
          <w:lang w:val="en-AU"/>
        </w:rPr>
        <w:t xml:space="preserve"> (unless further information is requested)</w:t>
      </w:r>
      <w:r w:rsidRPr="00F82C8D">
        <w:rPr>
          <w:rFonts w:eastAsiaTheme="majorEastAsia"/>
          <w:lang w:val="en-AU"/>
        </w:rPr>
        <w:t xml:space="preserve">. </w:t>
      </w:r>
      <w:r w:rsidR="00EC6BCA" w:rsidRPr="00F82C8D">
        <w:rPr>
          <w:b/>
          <w:i/>
          <w:sz w:val="20"/>
        </w:rPr>
        <w:t>[subsection 56</w:t>
      </w:r>
      <w:r w:rsidRPr="00F82C8D">
        <w:rPr>
          <w:b/>
          <w:i/>
          <w:sz w:val="20"/>
        </w:rPr>
        <w:t>(</w:t>
      </w:r>
      <w:r w:rsidR="00EC6BCA" w:rsidRPr="00F82C8D">
        <w:rPr>
          <w:b/>
          <w:i/>
          <w:sz w:val="20"/>
        </w:rPr>
        <w:t>5</w:t>
      </w:r>
      <w:r w:rsidRPr="00F82C8D">
        <w:rPr>
          <w:b/>
          <w:i/>
          <w:sz w:val="20"/>
        </w:rPr>
        <w:t>)]</w:t>
      </w:r>
      <w:r w:rsidR="000A7B10" w:rsidRPr="00F82C8D">
        <w:rPr>
          <w:rFonts w:eastAsiaTheme="majorEastAsia"/>
          <w:lang w:val="en-AU"/>
        </w:rPr>
        <w:t xml:space="preserve"> </w:t>
      </w:r>
    </w:p>
    <w:p w:rsidR="009755A3" w:rsidRPr="00F82C8D" w:rsidRDefault="009755A3" w:rsidP="00625D31">
      <w:pPr>
        <w:pStyle w:val="ListParagraph"/>
      </w:pPr>
      <w:r w:rsidRPr="00F82C8D">
        <w:rPr>
          <w:rFonts w:eastAsiaTheme="majorEastAsia"/>
          <w:lang w:val="en-AU"/>
        </w:rPr>
        <w:t>Similar to all other baseline determinations</w:t>
      </w:r>
      <w:r w:rsidRPr="00F82C8D">
        <w:t xml:space="preserve">, as soon as practicable after </w:t>
      </w:r>
      <w:r w:rsidR="00EC6BCA" w:rsidRPr="00F82C8D">
        <w:t>varying</w:t>
      </w:r>
      <w:r w:rsidRPr="00F82C8D">
        <w:t xml:space="preserve"> the baseline determination the Regulator must notify the applicant in writing of the determination and publish details of the remade determination on its website. </w:t>
      </w:r>
      <w:r w:rsidRPr="00F82C8D">
        <w:rPr>
          <w:b/>
          <w:i/>
          <w:sz w:val="20"/>
        </w:rPr>
        <w:t>[subsection 5</w:t>
      </w:r>
      <w:r w:rsidR="00EC6BCA" w:rsidRPr="00F82C8D">
        <w:rPr>
          <w:b/>
          <w:i/>
          <w:sz w:val="20"/>
        </w:rPr>
        <w:t>6</w:t>
      </w:r>
      <w:r w:rsidRPr="00F82C8D">
        <w:rPr>
          <w:b/>
          <w:i/>
          <w:sz w:val="20"/>
        </w:rPr>
        <w:t>(</w:t>
      </w:r>
      <w:r w:rsidR="00EC6BCA" w:rsidRPr="00F82C8D">
        <w:rPr>
          <w:b/>
          <w:i/>
          <w:sz w:val="20"/>
        </w:rPr>
        <w:t>6</w:t>
      </w:r>
      <w:r w:rsidRPr="00F82C8D">
        <w:rPr>
          <w:b/>
          <w:i/>
          <w:sz w:val="20"/>
        </w:rPr>
        <w:t>)]</w:t>
      </w:r>
      <w:r w:rsidRPr="00F82C8D">
        <w:t xml:space="preserve"> </w:t>
      </w:r>
      <w:r w:rsidR="00083A27" w:rsidRPr="00F82C8D">
        <w:rPr>
          <w:lang w:val="en-AU"/>
        </w:rPr>
        <w:t>The type of details are listed in section 4 of the safeguard rule, and include the start and end date of the remade determination and the relevant facility.</w:t>
      </w:r>
    </w:p>
    <w:p w:rsidR="00257261" w:rsidRPr="00F82C8D" w:rsidRDefault="00492111" w:rsidP="00257261">
      <w:pPr>
        <w:pStyle w:val="Heading3"/>
      </w:pPr>
      <w:r w:rsidRPr="00F82C8D">
        <w:t xml:space="preserve">Section 57: </w:t>
      </w:r>
      <w:r w:rsidR="00257261" w:rsidRPr="00F82C8D">
        <w:t>Remaking of baseline determinations because of error</w:t>
      </w:r>
    </w:p>
    <w:p w:rsidR="00593450" w:rsidRPr="00F82C8D" w:rsidRDefault="0059522A" w:rsidP="00625D31">
      <w:pPr>
        <w:pStyle w:val="ListParagraph"/>
        <w:rPr>
          <w:b/>
          <w:lang w:val="en-AU"/>
        </w:rPr>
      </w:pPr>
      <w:r w:rsidRPr="00F82C8D">
        <w:rPr>
          <w:rFonts w:eastAsiaTheme="majorEastAsia"/>
          <w:lang w:val="en-AU"/>
        </w:rPr>
        <w:t xml:space="preserve">There are </w:t>
      </w:r>
      <w:r w:rsidR="00C52DA4" w:rsidRPr="00F82C8D">
        <w:rPr>
          <w:rFonts w:eastAsiaTheme="majorEastAsia"/>
          <w:lang w:val="en-AU"/>
        </w:rPr>
        <w:t>three</w:t>
      </w:r>
      <w:r w:rsidR="00593450" w:rsidRPr="00F82C8D">
        <w:rPr>
          <w:rFonts w:eastAsiaTheme="majorEastAsia"/>
          <w:lang w:val="en-AU"/>
        </w:rPr>
        <w:t xml:space="preserve"> </w:t>
      </w:r>
      <w:r w:rsidRPr="00F82C8D">
        <w:rPr>
          <w:rFonts w:eastAsiaTheme="majorEastAsia"/>
          <w:lang w:val="en-AU"/>
        </w:rPr>
        <w:t>reasons why a</w:t>
      </w:r>
      <w:r w:rsidR="00DF57B7" w:rsidRPr="00F82C8D">
        <w:rPr>
          <w:rFonts w:eastAsiaTheme="majorEastAsia"/>
          <w:lang w:val="en-AU"/>
        </w:rPr>
        <w:t xml:space="preserve"> decision to make a</w:t>
      </w:r>
      <w:r w:rsidRPr="00F82C8D">
        <w:rPr>
          <w:rFonts w:eastAsiaTheme="majorEastAsia"/>
          <w:lang w:val="en-AU"/>
        </w:rPr>
        <w:t xml:space="preserve"> baseline determination or purported baseline determination </w:t>
      </w:r>
      <w:r w:rsidR="00F34D79" w:rsidRPr="00F82C8D">
        <w:rPr>
          <w:rFonts w:eastAsiaTheme="majorEastAsia"/>
          <w:lang w:val="en-AU"/>
        </w:rPr>
        <w:t>may be</w:t>
      </w:r>
      <w:r w:rsidRPr="00F82C8D">
        <w:rPr>
          <w:rFonts w:eastAsiaTheme="majorEastAsia"/>
          <w:lang w:val="en-AU"/>
        </w:rPr>
        <w:t xml:space="preserve"> remade. </w:t>
      </w:r>
      <w:r w:rsidR="00CA66FE" w:rsidRPr="00F82C8D">
        <w:rPr>
          <w:rFonts w:eastAsiaTheme="majorEastAsia"/>
          <w:lang w:val="en-AU"/>
        </w:rPr>
        <w:t xml:space="preserve">One is that </w:t>
      </w:r>
      <w:r w:rsidR="00593450" w:rsidRPr="00F82C8D">
        <w:rPr>
          <w:rFonts w:eastAsiaTheme="majorEastAsia"/>
          <w:lang w:val="en-AU"/>
        </w:rPr>
        <w:t xml:space="preserve">it </w:t>
      </w:r>
      <w:r w:rsidR="00CA66FE" w:rsidRPr="00F82C8D">
        <w:rPr>
          <w:rFonts w:eastAsiaTheme="majorEastAsia"/>
          <w:lang w:val="en-AU"/>
        </w:rPr>
        <w:t>was</w:t>
      </w:r>
      <w:r w:rsidRPr="00F82C8D">
        <w:rPr>
          <w:rFonts w:eastAsiaTheme="majorEastAsia"/>
          <w:lang w:val="en-AU"/>
        </w:rPr>
        <w:t xml:space="preserve"> made outside the limits of the Regulator’s </w:t>
      </w:r>
      <w:r w:rsidR="00492111" w:rsidRPr="00F82C8D">
        <w:rPr>
          <w:rFonts w:eastAsiaTheme="majorEastAsia"/>
          <w:lang w:val="en-AU"/>
        </w:rPr>
        <w:t xml:space="preserve">powers </w:t>
      </w:r>
      <w:r w:rsidRPr="00F82C8D">
        <w:rPr>
          <w:rFonts w:eastAsiaTheme="majorEastAsia"/>
          <w:lang w:val="en-AU"/>
        </w:rPr>
        <w:t xml:space="preserve">or made despite the Regulator lacking the power to do so, </w:t>
      </w:r>
      <w:r w:rsidR="00CA66FE" w:rsidRPr="00F82C8D">
        <w:rPr>
          <w:rFonts w:eastAsiaTheme="majorEastAsia"/>
          <w:lang w:val="en-AU"/>
        </w:rPr>
        <w:t>meaning that is subject to</w:t>
      </w:r>
      <w:r w:rsidRPr="00F82C8D">
        <w:rPr>
          <w:rFonts w:eastAsiaTheme="majorEastAsia"/>
          <w:lang w:val="en-AU"/>
        </w:rPr>
        <w:t xml:space="preserve"> jurisdictional error</w:t>
      </w:r>
      <w:r w:rsidRPr="00F82C8D">
        <w:t xml:space="preserve">. </w:t>
      </w:r>
      <w:r w:rsidRPr="00F82C8D">
        <w:rPr>
          <w:b/>
          <w:i/>
          <w:sz w:val="20"/>
        </w:rPr>
        <w:t>[paragraph 57(1)(</w:t>
      </w:r>
      <w:r w:rsidR="00CA66FE" w:rsidRPr="00F82C8D">
        <w:rPr>
          <w:b/>
          <w:i/>
          <w:sz w:val="20"/>
        </w:rPr>
        <w:t>b</w:t>
      </w:r>
      <w:r w:rsidRPr="00F82C8D">
        <w:rPr>
          <w:b/>
          <w:i/>
          <w:sz w:val="20"/>
        </w:rPr>
        <w:t>)]</w:t>
      </w:r>
      <w:r w:rsidRPr="00F82C8D">
        <w:rPr>
          <w:rFonts w:eastAsiaTheme="majorEastAsia"/>
          <w:lang w:val="en-AU"/>
        </w:rPr>
        <w:t xml:space="preserve"> </w:t>
      </w:r>
    </w:p>
    <w:p w:rsidR="00593450" w:rsidRPr="00F82C8D" w:rsidRDefault="00593450" w:rsidP="0051382B">
      <w:pPr>
        <w:pStyle w:val="Quote"/>
        <w:rPr>
          <w:rFonts w:eastAsiaTheme="majorEastAsia"/>
        </w:rPr>
      </w:pPr>
      <w:r w:rsidRPr="00F82C8D">
        <w:rPr>
          <w:rFonts w:eastAsiaTheme="majorEastAsia"/>
        </w:rPr>
        <w:t xml:space="preserve">For example, a jurisdictional error would be the Regulator making a </w:t>
      </w:r>
      <w:r w:rsidR="00AE6DBE" w:rsidRPr="00F82C8D">
        <w:rPr>
          <w:rFonts w:eastAsiaTheme="majorEastAsia"/>
        </w:rPr>
        <w:t>benchmark-emissions</w:t>
      </w:r>
      <w:r w:rsidRPr="00F82C8D">
        <w:rPr>
          <w:rFonts w:eastAsiaTheme="majorEastAsia"/>
        </w:rPr>
        <w:t xml:space="preserve"> baseline </w:t>
      </w:r>
      <w:r w:rsidR="00BA6BE0" w:rsidRPr="00F82C8D">
        <w:rPr>
          <w:rFonts w:eastAsiaTheme="majorEastAsia"/>
        </w:rPr>
        <w:t xml:space="preserve">determination in response to a </w:t>
      </w:r>
      <w:r w:rsidRPr="00F82C8D">
        <w:rPr>
          <w:rFonts w:eastAsiaTheme="majorEastAsia"/>
        </w:rPr>
        <w:t xml:space="preserve">new facility application even though </w:t>
      </w:r>
      <w:r w:rsidR="00826461" w:rsidRPr="00F82C8D">
        <w:rPr>
          <w:rFonts w:eastAsiaTheme="majorEastAsia"/>
        </w:rPr>
        <w:t xml:space="preserve">the Regulator </w:t>
      </w:r>
      <w:r w:rsidRPr="00F82C8D">
        <w:rPr>
          <w:rFonts w:eastAsiaTheme="majorEastAsia"/>
        </w:rPr>
        <w:t>was not satisfied with one or more of the new facility criteria</w:t>
      </w:r>
      <w:r w:rsidR="00492111" w:rsidRPr="00F82C8D">
        <w:rPr>
          <w:rFonts w:eastAsiaTheme="majorEastAsia"/>
        </w:rPr>
        <w:t xml:space="preserve"> or made an error of law in applying those criteria</w:t>
      </w:r>
      <w:r w:rsidRPr="00F82C8D">
        <w:rPr>
          <w:rFonts w:eastAsiaTheme="majorEastAsia"/>
        </w:rPr>
        <w:t>.</w:t>
      </w:r>
      <w:r w:rsidR="00826461" w:rsidRPr="00F82C8D">
        <w:rPr>
          <w:rFonts w:eastAsiaTheme="majorEastAsia"/>
        </w:rPr>
        <w:t xml:space="preserve"> The Regulator or a court would generally consider such decisions</w:t>
      </w:r>
      <w:r w:rsidR="00826461" w:rsidRPr="00F82C8D">
        <w:rPr>
          <w:rFonts w:eastAsiaTheme="majorEastAsia"/>
          <w:i/>
        </w:rPr>
        <w:t xml:space="preserve"> </w:t>
      </w:r>
      <w:r w:rsidR="00D01E17" w:rsidRPr="00F82C8D">
        <w:rPr>
          <w:rFonts w:eastAsiaTheme="majorEastAsia"/>
        </w:rPr>
        <w:t>of no legal</w:t>
      </w:r>
      <w:r w:rsidR="00826461" w:rsidRPr="00F82C8D">
        <w:rPr>
          <w:rFonts w:eastAsiaTheme="majorEastAsia"/>
        </w:rPr>
        <w:t xml:space="preserve"> effect from the date that they were made.</w:t>
      </w:r>
      <w:r w:rsidR="000A7B10" w:rsidRPr="00F82C8D">
        <w:rPr>
          <w:rFonts w:eastAsiaTheme="majorEastAsia"/>
        </w:rPr>
        <w:t xml:space="preserve"> </w:t>
      </w:r>
    </w:p>
    <w:p w:rsidR="00593450" w:rsidRPr="00F82C8D" w:rsidRDefault="0059522A" w:rsidP="00625D31">
      <w:pPr>
        <w:pStyle w:val="ListParagraph"/>
        <w:rPr>
          <w:b/>
          <w:lang w:val="en-AU"/>
        </w:rPr>
      </w:pPr>
      <w:r w:rsidRPr="00F82C8D">
        <w:rPr>
          <w:rFonts w:eastAsiaTheme="majorEastAsia"/>
          <w:lang w:val="en-AU"/>
        </w:rPr>
        <w:t>The other reason</w:t>
      </w:r>
      <w:r w:rsidR="00C52DA4" w:rsidRPr="00F82C8D">
        <w:rPr>
          <w:rFonts w:eastAsiaTheme="majorEastAsia"/>
          <w:lang w:val="en-AU"/>
        </w:rPr>
        <w:t>s</w:t>
      </w:r>
      <w:r w:rsidR="00593450" w:rsidRPr="00F82C8D">
        <w:rPr>
          <w:rFonts w:eastAsiaTheme="majorEastAsia"/>
          <w:lang w:val="en-AU"/>
        </w:rPr>
        <w:t xml:space="preserve"> for remaking a baseline determination</w:t>
      </w:r>
      <w:r w:rsidRPr="00F82C8D">
        <w:rPr>
          <w:rFonts w:eastAsiaTheme="majorEastAsia"/>
          <w:lang w:val="en-AU"/>
        </w:rPr>
        <w:t xml:space="preserve"> </w:t>
      </w:r>
      <w:r w:rsidR="00C52DA4" w:rsidRPr="00F82C8D">
        <w:rPr>
          <w:rFonts w:eastAsiaTheme="majorEastAsia"/>
          <w:lang w:val="en-AU"/>
        </w:rPr>
        <w:t>are</w:t>
      </w:r>
      <w:r w:rsidR="00CA66FE" w:rsidRPr="00F82C8D">
        <w:rPr>
          <w:rFonts w:eastAsiaTheme="majorEastAsia"/>
          <w:lang w:val="en-AU"/>
        </w:rPr>
        <w:t xml:space="preserve"> that the baseline</w:t>
      </w:r>
      <w:r w:rsidRPr="00F82C8D">
        <w:rPr>
          <w:rFonts w:eastAsiaTheme="majorEastAsia"/>
          <w:lang w:val="en-AU"/>
        </w:rPr>
        <w:t xml:space="preserve"> emissions number </w:t>
      </w:r>
      <w:r w:rsidR="00CA66FE" w:rsidRPr="00F82C8D">
        <w:rPr>
          <w:rFonts w:eastAsiaTheme="majorEastAsia"/>
          <w:lang w:val="en-AU"/>
        </w:rPr>
        <w:t>is incorrect</w:t>
      </w:r>
      <w:r w:rsidR="00492111" w:rsidRPr="00F82C8D">
        <w:rPr>
          <w:rFonts w:eastAsiaTheme="majorEastAsia"/>
          <w:lang w:val="en-AU"/>
        </w:rPr>
        <w:t>, such as because a calculation error was made in determining the baseline emissions number</w:t>
      </w:r>
      <w:r w:rsidR="00C52DA4" w:rsidRPr="00F82C8D">
        <w:rPr>
          <w:rFonts w:eastAsiaTheme="majorEastAsia"/>
          <w:lang w:val="en-AU"/>
        </w:rPr>
        <w:t xml:space="preserve"> or information provided to the Regulator by the responsible emitter was false or misleading</w:t>
      </w:r>
      <w:r w:rsidR="00691236" w:rsidRPr="00F82C8D">
        <w:rPr>
          <w:rFonts w:eastAsiaTheme="majorEastAsia"/>
          <w:lang w:val="en-AU"/>
        </w:rPr>
        <w:t xml:space="preserve"> in a material particular</w:t>
      </w:r>
      <w:r w:rsidR="00C52DA4" w:rsidRPr="00F82C8D">
        <w:rPr>
          <w:rFonts w:eastAsiaTheme="majorEastAsia"/>
          <w:lang w:val="en-AU"/>
        </w:rPr>
        <w:t>.</w:t>
      </w:r>
      <w:r w:rsidRPr="00F82C8D">
        <w:rPr>
          <w:rFonts w:eastAsiaTheme="majorEastAsia"/>
          <w:lang w:val="en-AU"/>
        </w:rPr>
        <w:t xml:space="preserve"> </w:t>
      </w:r>
      <w:r w:rsidR="00CA66FE" w:rsidRPr="00F82C8D">
        <w:rPr>
          <w:b/>
          <w:i/>
          <w:sz w:val="20"/>
        </w:rPr>
        <w:t>[paragraph</w:t>
      </w:r>
      <w:r w:rsidR="00C52DA4" w:rsidRPr="00F82C8D">
        <w:rPr>
          <w:b/>
          <w:i/>
          <w:sz w:val="20"/>
        </w:rPr>
        <w:t>s </w:t>
      </w:r>
      <w:r w:rsidR="00CA66FE" w:rsidRPr="00F82C8D">
        <w:rPr>
          <w:b/>
          <w:i/>
          <w:sz w:val="20"/>
        </w:rPr>
        <w:t>57(1)(a)</w:t>
      </w:r>
      <w:r w:rsidR="00C52DA4" w:rsidRPr="00F82C8D">
        <w:rPr>
          <w:b/>
          <w:i/>
          <w:sz w:val="20"/>
        </w:rPr>
        <w:t> and 57(1)(c)</w:t>
      </w:r>
      <w:r w:rsidR="00CA66FE" w:rsidRPr="00F82C8D">
        <w:rPr>
          <w:b/>
          <w:i/>
          <w:sz w:val="20"/>
        </w:rPr>
        <w:t>]</w:t>
      </w:r>
      <w:r w:rsidR="00593450" w:rsidRPr="00F82C8D">
        <w:rPr>
          <w:rFonts w:eastAsiaTheme="majorEastAsia"/>
          <w:lang w:val="en-AU"/>
        </w:rPr>
        <w:t xml:space="preserve"> </w:t>
      </w:r>
      <w:r w:rsidR="00691236" w:rsidRPr="00F82C8D">
        <w:rPr>
          <w:rFonts w:eastAsiaTheme="majorEastAsia"/>
          <w:lang w:val="en-AU"/>
        </w:rPr>
        <w:t>The concept of revocation for the provision of false or misleading information is equivalent to section 38 of the</w:t>
      </w:r>
      <w:r w:rsidR="007329DC" w:rsidRPr="00F82C8D">
        <w:rPr>
          <w:rFonts w:eastAsiaTheme="majorEastAsia"/>
          <w:i/>
          <w:lang w:val="en-AU"/>
        </w:rPr>
        <w:t xml:space="preserve"> Carbon Credits (Carbon Farming Initiative) Act 2011</w:t>
      </w:r>
      <w:r w:rsidR="00691236" w:rsidRPr="00F82C8D">
        <w:rPr>
          <w:rFonts w:eastAsiaTheme="majorEastAsia"/>
          <w:lang w:val="en-AU"/>
        </w:rPr>
        <w:t>.</w:t>
      </w:r>
    </w:p>
    <w:p w:rsidR="00257261" w:rsidRPr="00F82C8D" w:rsidRDefault="00CA66FE" w:rsidP="00625D31">
      <w:pPr>
        <w:pStyle w:val="ListParagraph"/>
        <w:rPr>
          <w:b/>
          <w:lang w:val="en-AU"/>
        </w:rPr>
      </w:pPr>
      <w:r w:rsidRPr="00F82C8D">
        <w:rPr>
          <w:rFonts w:eastAsiaTheme="majorEastAsia"/>
          <w:lang w:val="en-AU"/>
        </w:rPr>
        <w:t xml:space="preserve">A remade baseline </w:t>
      </w:r>
      <w:r w:rsidR="00593450" w:rsidRPr="00F82C8D">
        <w:rPr>
          <w:rFonts w:eastAsiaTheme="majorEastAsia"/>
          <w:lang w:val="en-AU"/>
        </w:rPr>
        <w:t>determination</w:t>
      </w:r>
      <w:r w:rsidR="00DF57B7" w:rsidRPr="00F82C8D">
        <w:rPr>
          <w:rFonts w:eastAsiaTheme="majorEastAsia"/>
          <w:lang w:val="en-AU"/>
        </w:rPr>
        <w:t xml:space="preserve"> or a decision to refuse to make a determination</w:t>
      </w:r>
      <w:r w:rsidR="00593450" w:rsidRPr="00F82C8D">
        <w:rPr>
          <w:rFonts w:eastAsiaTheme="majorEastAsia"/>
          <w:lang w:val="en-AU"/>
        </w:rPr>
        <w:t xml:space="preserve"> </w:t>
      </w:r>
      <w:r w:rsidRPr="00F82C8D">
        <w:rPr>
          <w:rFonts w:eastAsiaTheme="majorEastAsia"/>
          <w:lang w:val="en-AU"/>
        </w:rPr>
        <w:t>commences from the start</w:t>
      </w:r>
      <w:r w:rsidR="00593450" w:rsidRPr="00F82C8D">
        <w:rPr>
          <w:rFonts w:eastAsiaTheme="majorEastAsia"/>
          <w:lang w:val="en-AU"/>
        </w:rPr>
        <w:t xml:space="preserve"> of the financial year that it was remade. The previous baseline </w:t>
      </w:r>
      <w:r w:rsidR="00492111" w:rsidRPr="00F82C8D">
        <w:rPr>
          <w:rFonts w:eastAsiaTheme="majorEastAsia"/>
          <w:lang w:val="en-AU"/>
        </w:rPr>
        <w:t>emissions number</w:t>
      </w:r>
      <w:r w:rsidR="00593450" w:rsidRPr="00F82C8D">
        <w:rPr>
          <w:rFonts w:eastAsiaTheme="majorEastAsia"/>
          <w:lang w:val="en-AU"/>
        </w:rPr>
        <w:t xml:space="preserve"> </w:t>
      </w:r>
      <w:r w:rsidR="00893FB8" w:rsidRPr="00F82C8D">
        <w:rPr>
          <w:rFonts w:eastAsiaTheme="majorEastAsia"/>
          <w:lang w:val="en-AU"/>
        </w:rPr>
        <w:t>applies</w:t>
      </w:r>
      <w:r w:rsidR="00593450" w:rsidRPr="00F82C8D">
        <w:rPr>
          <w:rFonts w:eastAsiaTheme="majorEastAsia"/>
          <w:lang w:val="en-AU"/>
        </w:rPr>
        <w:t xml:space="preserve"> until then, even if the baseline emissions number was incorrect</w:t>
      </w:r>
      <w:r w:rsidR="00185927" w:rsidRPr="00F82C8D">
        <w:rPr>
          <w:rFonts w:eastAsiaTheme="majorEastAsia"/>
          <w:lang w:val="en-AU"/>
        </w:rPr>
        <w:t xml:space="preserve"> or the original decision was treated as having no legal effect</w:t>
      </w:r>
      <w:r w:rsidR="00593450" w:rsidRPr="00F82C8D">
        <w:rPr>
          <w:rFonts w:eastAsiaTheme="majorEastAsia"/>
          <w:lang w:val="en-AU"/>
        </w:rPr>
        <w:t xml:space="preserve">. </w:t>
      </w:r>
      <w:r w:rsidR="00593450" w:rsidRPr="00F82C8D">
        <w:rPr>
          <w:b/>
          <w:i/>
          <w:sz w:val="20"/>
        </w:rPr>
        <w:t>[subsection 57(5)]</w:t>
      </w:r>
      <w:r w:rsidR="000A7B10" w:rsidRPr="00F82C8D">
        <w:rPr>
          <w:rFonts w:eastAsiaTheme="majorEastAsia"/>
          <w:lang w:val="en-AU"/>
        </w:rPr>
        <w:t xml:space="preserve"> </w:t>
      </w:r>
      <w:r w:rsidR="00185927" w:rsidRPr="00F82C8D">
        <w:rPr>
          <w:rFonts w:eastAsiaTheme="majorEastAsia"/>
          <w:lang w:val="en-AU"/>
        </w:rPr>
        <w:t xml:space="preserve">This avoids putting </w:t>
      </w:r>
      <w:r w:rsidR="006D411C" w:rsidRPr="00F82C8D">
        <w:rPr>
          <w:rFonts w:eastAsiaTheme="majorEastAsia"/>
          <w:lang w:val="en-AU"/>
        </w:rPr>
        <w:t xml:space="preserve">a facility </w:t>
      </w:r>
      <w:r w:rsidR="00185927" w:rsidRPr="00F82C8D">
        <w:rPr>
          <w:rFonts w:eastAsiaTheme="majorEastAsia"/>
          <w:lang w:val="en-AU"/>
        </w:rPr>
        <w:t xml:space="preserve">into an excess emissions situation which was beyond </w:t>
      </w:r>
      <w:r w:rsidR="009B5945" w:rsidRPr="00F82C8D">
        <w:rPr>
          <w:rFonts w:eastAsiaTheme="majorEastAsia"/>
          <w:lang w:val="en-AU"/>
        </w:rPr>
        <w:t>its</w:t>
      </w:r>
      <w:r w:rsidR="00185927" w:rsidRPr="00F82C8D">
        <w:rPr>
          <w:rFonts w:eastAsiaTheme="majorEastAsia"/>
          <w:lang w:val="en-AU"/>
        </w:rPr>
        <w:t xml:space="preserve"> control.</w:t>
      </w:r>
    </w:p>
    <w:p w:rsidR="00593450" w:rsidRPr="00F82C8D" w:rsidRDefault="00593450" w:rsidP="00625D31">
      <w:pPr>
        <w:pStyle w:val="ListParagraph"/>
        <w:rPr>
          <w:b/>
          <w:lang w:val="en-AU"/>
        </w:rPr>
      </w:pPr>
      <w:r w:rsidRPr="00F82C8D">
        <w:rPr>
          <w:rFonts w:eastAsiaTheme="majorEastAsia"/>
          <w:lang w:val="en-AU"/>
        </w:rPr>
        <w:t>A responsible emitter for a facility will be informed in writing that the Regulator intends to remake its baseline determination</w:t>
      </w:r>
      <w:r w:rsidR="00C705C3" w:rsidRPr="00F82C8D">
        <w:rPr>
          <w:rFonts w:eastAsiaTheme="majorEastAsia"/>
          <w:lang w:val="en-AU"/>
        </w:rPr>
        <w:t xml:space="preserve">. The notice will include </w:t>
      </w:r>
      <w:r w:rsidRPr="00F82C8D">
        <w:rPr>
          <w:rFonts w:eastAsiaTheme="majorEastAsia"/>
          <w:lang w:val="en-AU"/>
        </w:rPr>
        <w:t>what the baseline emissions number would be in the remade determination</w:t>
      </w:r>
      <w:r w:rsidR="00C705C3" w:rsidRPr="00F82C8D">
        <w:rPr>
          <w:rFonts w:eastAsiaTheme="majorEastAsia"/>
          <w:lang w:val="en-AU"/>
        </w:rPr>
        <w:t xml:space="preserve"> and</w:t>
      </w:r>
      <w:r w:rsidRPr="00F82C8D">
        <w:rPr>
          <w:lang w:val="en-AU"/>
        </w:rPr>
        <w:t xml:space="preserve"> </w:t>
      </w:r>
      <w:r w:rsidR="00C705C3" w:rsidRPr="00F82C8D">
        <w:rPr>
          <w:lang w:val="en-AU"/>
        </w:rPr>
        <w:t>invite</w:t>
      </w:r>
      <w:r w:rsidRPr="00F82C8D">
        <w:rPr>
          <w:lang w:val="en-AU"/>
        </w:rPr>
        <w:t xml:space="preserve"> comment</w:t>
      </w:r>
      <w:r w:rsidR="00C705C3" w:rsidRPr="00F82C8D">
        <w:rPr>
          <w:lang w:val="en-AU"/>
        </w:rPr>
        <w:t>s</w:t>
      </w:r>
      <w:r w:rsidRPr="00F82C8D">
        <w:rPr>
          <w:lang w:val="en-AU"/>
        </w:rPr>
        <w:t xml:space="preserve"> by a specified date.</w:t>
      </w:r>
      <w:r w:rsidR="00C705C3" w:rsidRPr="00F82C8D">
        <w:rPr>
          <w:rFonts w:eastAsiaTheme="majorEastAsia"/>
          <w:lang w:val="en-AU"/>
        </w:rPr>
        <w:t xml:space="preserve"> </w:t>
      </w:r>
      <w:r w:rsidR="00C705C3" w:rsidRPr="00F82C8D">
        <w:rPr>
          <w:b/>
          <w:i/>
          <w:sz w:val="20"/>
        </w:rPr>
        <w:t>[subsection 57(2)]</w:t>
      </w:r>
      <w:r w:rsidR="000A7B10" w:rsidRPr="00F82C8D">
        <w:rPr>
          <w:rFonts w:eastAsiaTheme="majorEastAsia"/>
          <w:lang w:val="en-AU"/>
        </w:rPr>
        <w:t xml:space="preserve"> </w:t>
      </w:r>
      <w:r w:rsidRPr="00F82C8D">
        <w:rPr>
          <w:rFonts w:eastAsiaTheme="majorEastAsia"/>
          <w:lang w:val="en-AU"/>
        </w:rPr>
        <w:t>The Regulator must consider any comments made by the specif</w:t>
      </w:r>
      <w:r w:rsidR="00F236BC" w:rsidRPr="00F82C8D">
        <w:rPr>
          <w:rFonts w:eastAsiaTheme="majorEastAsia"/>
          <w:lang w:val="en-AU"/>
        </w:rPr>
        <w:t>ied date</w:t>
      </w:r>
      <w:r w:rsidRPr="00F82C8D">
        <w:rPr>
          <w:rFonts w:eastAsiaTheme="majorEastAsia"/>
          <w:lang w:val="en-AU"/>
        </w:rPr>
        <w:t xml:space="preserve"> and</w:t>
      </w:r>
      <w:r w:rsidR="00F236BC" w:rsidRPr="00F82C8D">
        <w:rPr>
          <w:rFonts w:eastAsiaTheme="majorEastAsia"/>
          <w:lang w:val="en-AU"/>
        </w:rPr>
        <w:t xml:space="preserve"> then</w:t>
      </w:r>
      <w:r w:rsidRPr="00F82C8D">
        <w:rPr>
          <w:rFonts w:eastAsiaTheme="majorEastAsia"/>
          <w:lang w:val="en-AU"/>
        </w:rPr>
        <w:t xml:space="preserve"> remake the baseli</w:t>
      </w:r>
      <w:r w:rsidR="00C705C3" w:rsidRPr="00F82C8D">
        <w:rPr>
          <w:rFonts w:eastAsiaTheme="majorEastAsia"/>
          <w:lang w:val="en-AU"/>
        </w:rPr>
        <w:t>ne determination within 30 days of this date</w:t>
      </w:r>
      <w:r w:rsidR="00691236" w:rsidRPr="00F82C8D">
        <w:rPr>
          <w:rFonts w:eastAsiaTheme="majorEastAsia"/>
          <w:lang w:val="en-AU"/>
        </w:rPr>
        <w:t xml:space="preserve"> (unless further information is requested)</w:t>
      </w:r>
      <w:r w:rsidR="00C705C3" w:rsidRPr="00F82C8D">
        <w:rPr>
          <w:rFonts w:eastAsiaTheme="majorEastAsia"/>
          <w:lang w:val="en-AU"/>
        </w:rPr>
        <w:t xml:space="preserve">. </w:t>
      </w:r>
      <w:r w:rsidR="00C705C3" w:rsidRPr="00F82C8D">
        <w:rPr>
          <w:b/>
          <w:i/>
          <w:sz w:val="20"/>
        </w:rPr>
        <w:t>[subsection 57(</w:t>
      </w:r>
      <w:r w:rsidR="00F236BC" w:rsidRPr="00F82C8D">
        <w:rPr>
          <w:b/>
          <w:i/>
          <w:sz w:val="20"/>
        </w:rPr>
        <w:t>3</w:t>
      </w:r>
      <w:r w:rsidR="00C705C3" w:rsidRPr="00F82C8D">
        <w:rPr>
          <w:b/>
          <w:i/>
          <w:sz w:val="20"/>
        </w:rPr>
        <w:t>)]</w:t>
      </w:r>
      <w:r w:rsidR="000A7B10" w:rsidRPr="00F82C8D">
        <w:rPr>
          <w:rFonts w:eastAsiaTheme="majorEastAsia"/>
          <w:lang w:val="en-AU"/>
        </w:rPr>
        <w:t xml:space="preserve"> </w:t>
      </w:r>
    </w:p>
    <w:p w:rsidR="00F236BC" w:rsidRPr="00F82C8D" w:rsidRDefault="00F236BC" w:rsidP="00625D31">
      <w:pPr>
        <w:pStyle w:val="ListParagraph"/>
      </w:pPr>
      <w:r w:rsidRPr="00F82C8D">
        <w:rPr>
          <w:rFonts w:eastAsiaTheme="majorEastAsia"/>
          <w:lang w:val="en-AU"/>
        </w:rPr>
        <w:t>Similar to all other baseline determinations</w:t>
      </w:r>
      <w:r w:rsidRPr="00F82C8D">
        <w:t xml:space="preserve">, as soon as practicable after remaking the baseline determination the Regulator must notify the applicant in writing of the determination and publish details of the remade determination on its website. </w:t>
      </w:r>
      <w:r w:rsidRPr="00F82C8D">
        <w:rPr>
          <w:b/>
          <w:i/>
          <w:sz w:val="20"/>
        </w:rPr>
        <w:t>[subsection 57(4)]</w:t>
      </w:r>
      <w:r w:rsidRPr="00F82C8D">
        <w:t xml:space="preserve"> </w:t>
      </w:r>
      <w:r w:rsidR="00083A27" w:rsidRPr="00F82C8D">
        <w:rPr>
          <w:lang w:val="en-AU"/>
        </w:rPr>
        <w:t>The type of details are listed in section 4 of the safeguard rule, and include the start and end date of the remade determination and the relevant facility.</w:t>
      </w:r>
    </w:p>
    <w:p w:rsidR="00FB2705" w:rsidRPr="00F82C8D" w:rsidRDefault="00492111" w:rsidP="00FB2705">
      <w:pPr>
        <w:pStyle w:val="Heading3"/>
      </w:pPr>
      <w:r w:rsidRPr="00F82C8D">
        <w:t xml:space="preserve">Section 58: </w:t>
      </w:r>
      <w:r w:rsidR="00FB2705" w:rsidRPr="00F82C8D">
        <w:t>Further information</w:t>
      </w:r>
    </w:p>
    <w:p w:rsidR="00F236BC" w:rsidRPr="00F82C8D" w:rsidRDefault="00F236BC" w:rsidP="00625D31">
      <w:pPr>
        <w:pStyle w:val="ListParagraph"/>
        <w:rPr>
          <w:b/>
        </w:rPr>
      </w:pPr>
      <w:r w:rsidRPr="00F82C8D">
        <w:t xml:space="preserve">The Regulator may require the responsible emitter to provide further information in connection with the variation or remaking of a baseline determination. Such a request is made in writing and will specify a due date for the applicant to provide the required information. </w:t>
      </w:r>
      <w:r w:rsidRPr="00F82C8D">
        <w:rPr>
          <w:b/>
          <w:i/>
          <w:sz w:val="20"/>
        </w:rPr>
        <w:t>[subsection 58(1)]</w:t>
      </w:r>
      <w:r w:rsidRPr="00F82C8D">
        <w:t xml:space="preserve"> </w:t>
      </w:r>
    </w:p>
    <w:p w:rsidR="00257261" w:rsidRPr="00F82C8D" w:rsidRDefault="00F236BC" w:rsidP="00625D31">
      <w:pPr>
        <w:pStyle w:val="ListParagraph"/>
      </w:pPr>
      <w:r w:rsidRPr="00F82C8D">
        <w:t>The consequence of the responsible emitter not complying with the Regulator’s request for further information is that the Regulator may refuse to take any action in relation to varying or remaking the baseline determination until the information is provided. Alternatively, the Regulator may make assumptions about the required information that was not provided.</w:t>
      </w:r>
      <w:r w:rsidR="000A7B10" w:rsidRPr="00F82C8D">
        <w:t xml:space="preserve"> </w:t>
      </w:r>
      <w:r w:rsidRPr="00F82C8D">
        <w:rPr>
          <w:b/>
          <w:i/>
          <w:sz w:val="20"/>
        </w:rPr>
        <w:t>[subsection 58(2)]</w:t>
      </w:r>
    </w:p>
    <w:p w:rsidR="006408D9" w:rsidRPr="00F82C8D" w:rsidRDefault="006408D9" w:rsidP="007E67A7">
      <w:pPr>
        <w:keepNext/>
        <w:keepLines/>
        <w:tabs>
          <w:tab w:val="left" w:pos="0"/>
        </w:tabs>
        <w:spacing w:after="240" w:line="240" w:lineRule="auto"/>
        <w:rPr>
          <w:rFonts w:cs="Times New Roman"/>
          <w:b/>
          <w:iCs/>
          <w:szCs w:val="24"/>
          <w:lang w:val="en-AU"/>
        </w:rPr>
      </w:pPr>
      <w:r w:rsidRPr="00F82C8D">
        <w:rPr>
          <w:rFonts w:cs="Times New Roman"/>
          <w:b/>
          <w:iCs/>
          <w:szCs w:val="24"/>
          <w:lang w:val="en-AU"/>
        </w:rPr>
        <w:br w:type="page"/>
      </w:r>
    </w:p>
    <w:p w:rsidR="00527595" w:rsidRPr="00F82C8D" w:rsidRDefault="00492111" w:rsidP="00527595">
      <w:pPr>
        <w:pStyle w:val="Heading1"/>
      </w:pPr>
      <w:bookmarkStart w:id="127" w:name="_Toc426382215"/>
      <w:bookmarkStart w:id="128" w:name="_Toc431975853"/>
      <w:r w:rsidRPr="00F82C8D">
        <w:t xml:space="preserve">Part </w:t>
      </w:r>
      <w:r w:rsidR="00527595" w:rsidRPr="00F82C8D">
        <w:t>4</w:t>
      </w:r>
      <w:r w:rsidR="00527595" w:rsidRPr="00F82C8D">
        <w:br/>
        <w:t>Compliance</w:t>
      </w:r>
      <w:bookmarkEnd w:id="127"/>
      <w:bookmarkEnd w:id="128"/>
    </w:p>
    <w:p w:rsidR="00527595" w:rsidRPr="00F82C8D" w:rsidRDefault="00527595" w:rsidP="00527595">
      <w:pPr>
        <w:pStyle w:val="Heading2"/>
      </w:pPr>
      <w:bookmarkStart w:id="129" w:name="_Toc426382216"/>
      <w:bookmarkStart w:id="130" w:name="_Toc426628850"/>
      <w:bookmarkStart w:id="131" w:name="_Toc428260152"/>
      <w:bookmarkStart w:id="132" w:name="_Toc428868032"/>
      <w:bookmarkStart w:id="133" w:name="_Toc428869939"/>
      <w:bookmarkStart w:id="134" w:name="_Toc431975854"/>
      <w:r w:rsidRPr="00F82C8D">
        <w:t xml:space="preserve">Outline of the </w:t>
      </w:r>
      <w:bookmarkEnd w:id="129"/>
      <w:r w:rsidR="00492111" w:rsidRPr="00F82C8D">
        <w:t>Part</w:t>
      </w:r>
      <w:bookmarkEnd w:id="130"/>
      <w:bookmarkEnd w:id="131"/>
      <w:bookmarkEnd w:id="132"/>
      <w:bookmarkEnd w:id="133"/>
      <w:bookmarkEnd w:id="134"/>
    </w:p>
    <w:p w:rsidR="00F50F2E" w:rsidRPr="00F82C8D" w:rsidRDefault="00F50F2E" w:rsidP="00A1283B">
      <w:pPr>
        <w:pStyle w:val="ListParagraph"/>
        <w:numPr>
          <w:ilvl w:val="0"/>
          <w:numId w:val="10"/>
        </w:numPr>
        <w:rPr>
          <w:vanish/>
          <w:lang w:val="en-AU"/>
        </w:rPr>
      </w:pPr>
    </w:p>
    <w:p w:rsidR="00527595" w:rsidRPr="00F82C8D" w:rsidRDefault="00527595" w:rsidP="00F50F2E">
      <w:pPr>
        <w:pStyle w:val="ListParagraph"/>
        <w:rPr>
          <w:lang w:val="en-AU"/>
        </w:rPr>
      </w:pPr>
      <w:r w:rsidRPr="00F82C8D">
        <w:rPr>
          <w:lang w:val="en-AU"/>
        </w:rPr>
        <w:t xml:space="preserve">This </w:t>
      </w:r>
      <w:r w:rsidR="00492111" w:rsidRPr="00F82C8D">
        <w:rPr>
          <w:lang w:val="en-AU"/>
        </w:rPr>
        <w:t xml:space="preserve">Part </w:t>
      </w:r>
      <w:r w:rsidRPr="00F82C8D">
        <w:rPr>
          <w:lang w:val="en-AU"/>
        </w:rPr>
        <w:t xml:space="preserve">provides guidance on the operation of the compliance measures set out in the </w:t>
      </w:r>
      <w:r w:rsidR="00D360AB" w:rsidRPr="00F82C8D">
        <w:rPr>
          <w:lang w:val="en-AU"/>
        </w:rPr>
        <w:t>safeguard rule</w:t>
      </w:r>
      <w:r w:rsidRPr="00F82C8D">
        <w:rPr>
          <w:lang w:val="en-AU"/>
        </w:rPr>
        <w:t>.</w:t>
      </w:r>
    </w:p>
    <w:p w:rsidR="006903B0" w:rsidRPr="00F82C8D" w:rsidRDefault="00F209CA">
      <w:pPr>
        <w:pStyle w:val="Heading2"/>
        <w:rPr>
          <w:lang w:bidi="ar-SA"/>
        </w:rPr>
      </w:pPr>
      <w:bookmarkStart w:id="135" w:name="_Toc431975855"/>
      <w:r w:rsidRPr="00F82C8D">
        <w:rPr>
          <w:lang w:bidi="ar-SA"/>
        </w:rPr>
        <w:t>Division 1</w:t>
      </w:r>
      <w:r w:rsidRPr="00F82C8D">
        <w:t>—</w:t>
      </w:r>
      <w:r w:rsidRPr="00F82C8D">
        <w:rPr>
          <w:lang w:bidi="ar-SA"/>
        </w:rPr>
        <w:t>Exemption</w:t>
      </w:r>
      <w:r w:rsidR="00406786" w:rsidRPr="00F82C8D">
        <w:rPr>
          <w:lang w:bidi="ar-SA"/>
        </w:rPr>
        <w:t xml:space="preserve"> declarations</w:t>
      </w:r>
      <w:bookmarkEnd w:id="135"/>
    </w:p>
    <w:p w:rsidR="00CA34A6" w:rsidRPr="00F82C8D" w:rsidRDefault="00CA34A6" w:rsidP="00CA34A6">
      <w:pPr>
        <w:pStyle w:val="Heading3"/>
        <w:rPr>
          <w:lang w:bidi="ar-SA"/>
        </w:rPr>
      </w:pPr>
      <w:r w:rsidRPr="00F82C8D">
        <w:t xml:space="preserve">Sections 59, 60, 61 and 62: </w:t>
      </w:r>
      <w:r w:rsidRPr="00F82C8D">
        <w:rPr>
          <w:lang w:bidi="ar-SA"/>
        </w:rPr>
        <w:t>Exemption declarations</w:t>
      </w:r>
    </w:p>
    <w:p w:rsidR="00CA34A6" w:rsidRPr="00F82C8D" w:rsidRDefault="00CA34A6" w:rsidP="00464595">
      <w:pPr>
        <w:pStyle w:val="ListParagraph"/>
        <w:numPr>
          <w:ilvl w:val="1"/>
          <w:numId w:val="30"/>
        </w:numPr>
        <w:rPr>
          <w:lang w:val="en-AU"/>
        </w:rPr>
      </w:pPr>
      <w:r w:rsidRPr="00F82C8D">
        <w:rPr>
          <w:lang w:val="en-AU"/>
        </w:rPr>
        <w:t>The Regulator can declare that an excess emissions situation does not exist in relation to a facility for a monitoring period</w:t>
      </w:r>
      <w:r w:rsidR="002E5A8E" w:rsidRPr="00F82C8D">
        <w:rPr>
          <w:lang w:val="en-AU"/>
        </w:rPr>
        <w:t xml:space="preserve"> under subsection 22XE(2) of the Act</w:t>
      </w:r>
      <w:r w:rsidRPr="00F82C8D">
        <w:rPr>
          <w:lang w:val="en-AU"/>
        </w:rPr>
        <w:t>. Such a declaration, known as an exemption declaration, is subject to review by the Administrative Appeals Tribunal</w:t>
      </w:r>
      <w:r w:rsidR="002E5A8E" w:rsidRPr="00F82C8D">
        <w:rPr>
          <w:lang w:val="en-AU"/>
        </w:rPr>
        <w:t>, as stipulated under section 56 of the Act.</w:t>
      </w:r>
    </w:p>
    <w:p w:rsidR="00CA34A6" w:rsidRPr="00F82C8D" w:rsidRDefault="00CA34A6" w:rsidP="00CA34A6">
      <w:pPr>
        <w:pStyle w:val="ListParagraph"/>
        <w:rPr>
          <w:lang w:val="en-AU"/>
        </w:rPr>
      </w:pPr>
      <w:r w:rsidRPr="00F82C8D">
        <w:rPr>
          <w:lang w:val="en-AU"/>
        </w:rPr>
        <w:t xml:space="preserve">Exemption declarations must only be made following the submission of an application by the responsible emitter. </w:t>
      </w:r>
      <w:r w:rsidRPr="00F82C8D">
        <w:rPr>
          <w:b/>
          <w:i/>
          <w:sz w:val="20"/>
          <w:lang w:val="en-AU"/>
        </w:rPr>
        <w:t>[section 60]</w:t>
      </w:r>
      <w:r w:rsidRPr="00F82C8D">
        <w:rPr>
          <w:lang w:val="en-AU"/>
        </w:rPr>
        <w:t xml:space="preserve"> Applications will only be considered for facilities whose net emissions number, excluding any decreases resulting from the surrender of prescribed units, exceeds the baseline emissions number for the monitoring period (i.e. causing an excess emissions situation). </w:t>
      </w:r>
      <w:r w:rsidRPr="00F82C8D">
        <w:rPr>
          <w:b/>
          <w:i/>
          <w:sz w:val="20"/>
          <w:lang w:val="en-AU"/>
        </w:rPr>
        <w:t>[paragraph 62(2)(a)]</w:t>
      </w:r>
      <w:r w:rsidRPr="00F82C8D">
        <w:rPr>
          <w:lang w:val="en-AU"/>
        </w:rPr>
        <w:t xml:space="preserve"> </w:t>
      </w:r>
    </w:p>
    <w:p w:rsidR="00CA34A6" w:rsidRPr="00F82C8D" w:rsidRDefault="00CA34A6" w:rsidP="00CA34A6">
      <w:pPr>
        <w:pStyle w:val="ListParagraph"/>
        <w:rPr>
          <w:lang w:val="en-AU"/>
        </w:rPr>
      </w:pPr>
      <w:r w:rsidRPr="00F82C8D">
        <w:rPr>
          <w:lang w:val="en-AU"/>
        </w:rPr>
        <w:t xml:space="preserve">The Regulator will specify the process, including the form, of the application, however applications must state why an exemption declaration is being sought (that is, the event constituting a natural disaster or criminal activity that caused the excess emissions situation). </w:t>
      </w:r>
      <w:r w:rsidRPr="00F82C8D">
        <w:rPr>
          <w:b/>
          <w:i/>
          <w:sz w:val="20"/>
          <w:lang w:val="en-AU"/>
        </w:rPr>
        <w:t>[paragraph 60(2)(c)]</w:t>
      </w:r>
      <w:r w:rsidRPr="00F82C8D">
        <w:rPr>
          <w:lang w:val="en-AU"/>
        </w:rPr>
        <w:t xml:space="preserve"> If the Regulator refuses an application to make an exemption declaration, the Regulator must notify the applicant in writing of its decision. </w:t>
      </w:r>
      <w:r w:rsidRPr="00F82C8D">
        <w:rPr>
          <w:b/>
          <w:i/>
          <w:sz w:val="20"/>
          <w:lang w:val="en-AU"/>
        </w:rPr>
        <w:t>[subsection 62</w:t>
      </w:r>
      <w:r w:rsidR="0012615B" w:rsidRPr="00F82C8D">
        <w:rPr>
          <w:b/>
          <w:i/>
          <w:sz w:val="20"/>
          <w:lang w:val="en-AU"/>
        </w:rPr>
        <w:t>(5)</w:t>
      </w:r>
      <w:r w:rsidRPr="00F82C8D">
        <w:rPr>
          <w:b/>
          <w:i/>
          <w:sz w:val="20"/>
          <w:lang w:val="en-AU"/>
        </w:rPr>
        <w:t>]</w:t>
      </w:r>
    </w:p>
    <w:p w:rsidR="0012615B" w:rsidRPr="00F82C8D" w:rsidRDefault="0012615B" w:rsidP="0012615B">
      <w:pPr>
        <w:pStyle w:val="ListParagraph"/>
      </w:pPr>
      <w:r w:rsidRPr="00F82C8D">
        <w:t xml:space="preserve">As soon as practicable after making an exemption declaration the Regulator must notify the applicant in writing of the declaration and publish details of the declaration on its website. </w:t>
      </w:r>
      <w:r w:rsidRPr="00F82C8D">
        <w:rPr>
          <w:b/>
          <w:i/>
          <w:sz w:val="20"/>
        </w:rPr>
        <w:t>[subsection 62(4)]</w:t>
      </w:r>
    </w:p>
    <w:p w:rsidR="00527595" w:rsidRPr="00F82C8D" w:rsidRDefault="00527595" w:rsidP="00527595">
      <w:pPr>
        <w:pStyle w:val="Heading3"/>
      </w:pPr>
      <w:r w:rsidRPr="00F82C8D">
        <w:t>Direct and indirect results of relevant circumstances</w:t>
      </w:r>
    </w:p>
    <w:p w:rsidR="00527595" w:rsidRPr="00F82C8D" w:rsidRDefault="00527595" w:rsidP="00625D31">
      <w:pPr>
        <w:pStyle w:val="ListParagraph"/>
        <w:rPr>
          <w:lang w:val="en-AU"/>
        </w:rPr>
      </w:pPr>
      <w:r w:rsidRPr="00F82C8D">
        <w:rPr>
          <w:lang w:val="en-AU"/>
        </w:rPr>
        <w:t>The Act requires</w:t>
      </w:r>
      <w:r w:rsidR="002E5A8E" w:rsidRPr="00F82C8D">
        <w:rPr>
          <w:lang w:val="en-AU"/>
        </w:rPr>
        <w:t>, under paragraph 22XE(4)(b),</w:t>
      </w:r>
      <w:r w:rsidRPr="00F82C8D">
        <w:rPr>
          <w:lang w:val="en-AU"/>
        </w:rPr>
        <w:t xml:space="preserve"> that</w:t>
      </w:r>
      <w:r w:rsidR="00C76CF8" w:rsidRPr="00F82C8D">
        <w:rPr>
          <w:lang w:val="en-AU"/>
        </w:rPr>
        <w:t xml:space="preserve"> for an exemption declaration to be made,</w:t>
      </w:r>
      <w:r w:rsidRPr="00F82C8D">
        <w:rPr>
          <w:lang w:val="en-AU"/>
        </w:rPr>
        <w:t xml:space="preserve"> the excess emissions situation must be the </w:t>
      </w:r>
      <w:r w:rsidRPr="00F82C8D">
        <w:rPr>
          <w:i/>
          <w:lang w:val="en-AU"/>
        </w:rPr>
        <w:t>direct result</w:t>
      </w:r>
      <w:r w:rsidRPr="00F82C8D">
        <w:rPr>
          <w:lang w:val="en-AU"/>
        </w:rPr>
        <w:t xml:space="preserve"> of either a natural disaster or criminal activity. An excess emissions situation is a direct result of an event of these types if</w:t>
      </w:r>
      <w:r w:rsidR="00CF12F6" w:rsidRPr="00F82C8D">
        <w:rPr>
          <w:lang w:val="en-AU"/>
        </w:rPr>
        <w:t xml:space="preserve"> there is a direct causal link between the natural disaster </w:t>
      </w:r>
      <w:r w:rsidR="00C76CF8" w:rsidRPr="00F82C8D">
        <w:rPr>
          <w:lang w:val="en-AU"/>
        </w:rPr>
        <w:t>or</w:t>
      </w:r>
      <w:r w:rsidR="00CF12F6" w:rsidRPr="00F82C8D">
        <w:rPr>
          <w:lang w:val="en-AU"/>
        </w:rPr>
        <w:t xml:space="preserve"> criminal activity and the increase in emissions at the facility</w:t>
      </w:r>
      <w:r w:rsidRPr="00F82C8D">
        <w:rPr>
          <w:lang w:val="en-AU"/>
        </w:rPr>
        <w:t xml:space="preserve"> </w:t>
      </w:r>
      <w:r w:rsidR="00CF12F6" w:rsidRPr="00F82C8D">
        <w:rPr>
          <w:lang w:val="en-AU"/>
        </w:rPr>
        <w:t>and</w:t>
      </w:r>
      <w:r w:rsidR="00C15083" w:rsidRPr="00F82C8D">
        <w:rPr>
          <w:lang w:val="en-AU"/>
        </w:rPr>
        <w:t>,</w:t>
      </w:r>
      <w:r w:rsidRPr="00F82C8D">
        <w:rPr>
          <w:lang w:val="en-AU"/>
        </w:rPr>
        <w:t xml:space="preserve"> </w:t>
      </w:r>
      <w:r w:rsidR="00C76CF8" w:rsidRPr="00F82C8D">
        <w:rPr>
          <w:lang w:val="en-AU"/>
        </w:rPr>
        <w:t xml:space="preserve">further, </w:t>
      </w:r>
      <w:r w:rsidRPr="00F82C8D">
        <w:rPr>
          <w:lang w:val="en-AU"/>
        </w:rPr>
        <w:t xml:space="preserve">the responsible emitter did not have an opportunity to prevent the excess emissions situation after the event. Excess emissions situations which are the </w:t>
      </w:r>
      <w:r w:rsidRPr="00F82C8D">
        <w:rPr>
          <w:i/>
          <w:lang w:val="en-AU"/>
        </w:rPr>
        <w:t>indirect result</w:t>
      </w:r>
      <w:r w:rsidRPr="00F82C8D">
        <w:rPr>
          <w:lang w:val="en-AU"/>
        </w:rPr>
        <w:t xml:space="preserve"> of these events often involve a </w:t>
      </w:r>
      <w:r w:rsidR="00CF12F6" w:rsidRPr="00F82C8D">
        <w:rPr>
          <w:lang w:val="en-AU"/>
        </w:rPr>
        <w:t>choice or</w:t>
      </w:r>
      <w:r w:rsidRPr="00F82C8D">
        <w:rPr>
          <w:lang w:val="en-AU"/>
        </w:rPr>
        <w:t xml:space="preserve"> financial decision to respond to a market </w:t>
      </w:r>
      <w:r w:rsidR="00CF12F6" w:rsidRPr="00F82C8D">
        <w:rPr>
          <w:lang w:val="en-AU"/>
        </w:rPr>
        <w:t>circumstance</w:t>
      </w:r>
      <w:r w:rsidRPr="00F82C8D">
        <w:rPr>
          <w:lang w:val="en-AU"/>
        </w:rPr>
        <w:t xml:space="preserve"> caused by the event. </w:t>
      </w:r>
    </w:p>
    <w:p w:rsidR="00527595" w:rsidRPr="00F82C8D" w:rsidRDefault="00F77D66" w:rsidP="00527595">
      <w:pPr>
        <w:pStyle w:val="Quote"/>
      </w:pPr>
      <w:r w:rsidRPr="00F82C8D">
        <w:t>For example, a</w:t>
      </w:r>
      <w:r w:rsidR="00527595" w:rsidRPr="00F82C8D">
        <w:t xml:space="preserve"> smelter normally acquires </w:t>
      </w:r>
      <w:r w:rsidR="00C431DA" w:rsidRPr="00F82C8D">
        <w:t>high-grade</w:t>
      </w:r>
      <w:r w:rsidR="00527595" w:rsidRPr="00F82C8D">
        <w:t xml:space="preserve"> </w:t>
      </w:r>
      <w:r w:rsidR="00C431DA" w:rsidRPr="00F82C8D">
        <w:t>coal</w:t>
      </w:r>
      <w:r w:rsidR="00527595" w:rsidRPr="00F82C8D">
        <w:t xml:space="preserve"> from a </w:t>
      </w:r>
      <w:r w:rsidR="00582172" w:rsidRPr="00F82C8D">
        <w:t xml:space="preserve">particular </w:t>
      </w:r>
      <w:r w:rsidR="00527595" w:rsidRPr="00F82C8D">
        <w:t xml:space="preserve">mine, </w:t>
      </w:r>
      <w:r w:rsidR="00582172" w:rsidRPr="00F82C8D">
        <w:t xml:space="preserve">which </w:t>
      </w:r>
      <w:r w:rsidR="00C431DA" w:rsidRPr="00F82C8D">
        <w:t xml:space="preserve">ceases operation because of </w:t>
      </w:r>
      <w:r w:rsidR="00582172" w:rsidRPr="00F82C8D">
        <w:t xml:space="preserve">a </w:t>
      </w:r>
      <w:r w:rsidR="00C431DA" w:rsidRPr="00F82C8D">
        <w:t xml:space="preserve">major flooding event. The smelter </w:t>
      </w:r>
      <w:r w:rsidR="00527595" w:rsidRPr="00F82C8D">
        <w:t xml:space="preserve">switches to </w:t>
      </w:r>
      <w:r w:rsidR="00C431DA" w:rsidRPr="00F82C8D">
        <w:t>a lower –</w:t>
      </w:r>
      <w:r w:rsidR="00582172" w:rsidRPr="00F82C8D">
        <w:t xml:space="preserve">grade coal </w:t>
      </w:r>
      <w:r w:rsidR="00527595" w:rsidRPr="00F82C8D">
        <w:t xml:space="preserve">because the price of </w:t>
      </w:r>
      <w:r w:rsidR="00582172" w:rsidRPr="00F82C8D">
        <w:t xml:space="preserve">high-grade coal </w:t>
      </w:r>
      <w:r w:rsidR="00527595" w:rsidRPr="00F82C8D">
        <w:t>has dramatically increased</w:t>
      </w:r>
      <w:r w:rsidR="00582172" w:rsidRPr="00F82C8D">
        <w:t xml:space="preserve">, due to supply stopping from the flooded mine. </w:t>
      </w:r>
    </w:p>
    <w:p w:rsidR="00527595" w:rsidRPr="00F82C8D" w:rsidRDefault="0048403D" w:rsidP="00625D31">
      <w:pPr>
        <w:pStyle w:val="ListParagraph"/>
        <w:rPr>
          <w:lang w:val="en-AU"/>
        </w:rPr>
      </w:pPr>
      <w:r w:rsidRPr="00F82C8D">
        <w:rPr>
          <w:lang w:val="en-AU"/>
        </w:rPr>
        <w:t>T</w:t>
      </w:r>
      <w:r w:rsidR="00527595" w:rsidRPr="00F82C8D">
        <w:rPr>
          <w:lang w:val="en-AU"/>
        </w:rPr>
        <w:t>his example illustrates that the relevant test to determine whether the excess emissions situation for which an exemption is sought is the direct result of an event is whether the excess emissions</w:t>
      </w:r>
      <w:r w:rsidR="0035615A" w:rsidRPr="00F82C8D">
        <w:rPr>
          <w:lang w:val="en-AU"/>
        </w:rPr>
        <w:t xml:space="preserve"> situation</w:t>
      </w:r>
      <w:r w:rsidR="00527595" w:rsidRPr="00F82C8D">
        <w:rPr>
          <w:lang w:val="en-AU"/>
        </w:rPr>
        <w:t xml:space="preserve"> </w:t>
      </w:r>
      <w:r w:rsidR="0035615A" w:rsidRPr="00F82C8D">
        <w:rPr>
          <w:lang w:val="en-AU"/>
        </w:rPr>
        <w:t>was</w:t>
      </w:r>
      <w:r w:rsidR="00527595" w:rsidRPr="00F82C8D">
        <w:rPr>
          <w:lang w:val="en-AU"/>
        </w:rPr>
        <w:t xml:space="preserve"> caused by the event itself, or if it was caused by the responsible emitter’s reaction to the event. If the latter is true, irrespective of the nature or severity of the event, the potential excess emissions situation must not be considered to be the direct result of the event. In the above example, the excess emissions situation at the smelter is the result of the smelter operator’s decision to use the </w:t>
      </w:r>
      <w:r w:rsidR="00BB7C53" w:rsidRPr="00F82C8D">
        <w:rPr>
          <w:lang w:val="en-AU"/>
        </w:rPr>
        <w:t>emissions intens</w:t>
      </w:r>
      <w:r w:rsidR="00527595" w:rsidRPr="00F82C8D">
        <w:rPr>
          <w:lang w:val="en-AU"/>
        </w:rPr>
        <w:t xml:space="preserve">ive ore, not the earthquake at the mine. However, if the earthquake had opened a methane seam at the mine, which caused the mine to enter an excess emissions situation, the mine’s excess emissions situation would be the direct result of a natural disaster and hence may be eligible for an exemption declaration. This directness test will be applied by the Regulator upon receipt of an application for an exemption declaration, and will be based upon a review of the facts and evidence before it. </w:t>
      </w:r>
    </w:p>
    <w:p w:rsidR="00527595" w:rsidRPr="00F82C8D" w:rsidRDefault="00527595" w:rsidP="00527595">
      <w:pPr>
        <w:pStyle w:val="Quote"/>
      </w:pPr>
      <w:r w:rsidRPr="00F82C8D">
        <w:t xml:space="preserve">In another example, </w:t>
      </w:r>
      <w:r w:rsidR="00CF12F6" w:rsidRPr="00F82C8D">
        <w:t>criminals</w:t>
      </w:r>
      <w:r w:rsidRPr="00F82C8D">
        <w:t xml:space="preserve"> destroy a series of transmission lines </w:t>
      </w:r>
      <w:r w:rsidR="00CF12F6" w:rsidRPr="00F82C8D">
        <w:t>for a number of generators</w:t>
      </w:r>
      <w:r w:rsidRPr="00F82C8D">
        <w:t>. As a result of the reduced supply, the wholesale electricity price increases dramatically. None of the increased emissions of the generators unaffected by the sabotage who meet the demand can be considered to be the direct result of the protestor’s criminal activity because the increased emissions are a result of their response to the increased wholesale electricity price.</w:t>
      </w:r>
    </w:p>
    <w:p w:rsidR="00527595" w:rsidRPr="00F82C8D" w:rsidRDefault="00527595" w:rsidP="00527595">
      <w:pPr>
        <w:pStyle w:val="Quote"/>
      </w:pPr>
      <w:r w:rsidRPr="00F82C8D">
        <w:t xml:space="preserve">However, if the </w:t>
      </w:r>
      <w:r w:rsidR="00F209CA" w:rsidRPr="00F82C8D">
        <w:t xml:space="preserve">criminals </w:t>
      </w:r>
      <w:r w:rsidRPr="00F82C8D">
        <w:t xml:space="preserve">had instead lit the </w:t>
      </w:r>
      <w:r w:rsidR="00F209CA" w:rsidRPr="00F82C8D">
        <w:t>biomass</w:t>
      </w:r>
      <w:r w:rsidRPr="00F82C8D">
        <w:t xml:space="preserve"> pile at a generator, causing the emissions intensity of the fuel mix to increase as the </w:t>
      </w:r>
      <w:r w:rsidR="00F209CA" w:rsidRPr="00F82C8D">
        <w:t>biomass</w:t>
      </w:r>
      <w:r w:rsidRPr="00F82C8D">
        <w:t xml:space="preserve"> was substituted with coal, the resultant increase in emissions would be considered the direct result of the criminal activity.</w:t>
      </w:r>
    </w:p>
    <w:p w:rsidR="00527595" w:rsidRPr="00F82C8D" w:rsidRDefault="00527595" w:rsidP="00527595">
      <w:pPr>
        <w:pStyle w:val="Heading4"/>
      </w:pPr>
      <w:r w:rsidRPr="00F82C8D">
        <w:t>Meaning of natural disaster</w:t>
      </w:r>
    </w:p>
    <w:p w:rsidR="00527595" w:rsidRPr="00F82C8D" w:rsidRDefault="00527595" w:rsidP="00625D31">
      <w:pPr>
        <w:pStyle w:val="ListParagraph"/>
        <w:rPr>
          <w:lang w:val="en-AU"/>
        </w:rPr>
      </w:pPr>
      <w:r w:rsidRPr="00F82C8D">
        <w:rPr>
          <w:lang w:val="en-AU"/>
        </w:rPr>
        <w:t xml:space="preserve">The term ‘natural disaster’ has its ordinary meaning within the </w:t>
      </w:r>
      <w:r w:rsidR="00D360AB" w:rsidRPr="00F82C8D">
        <w:rPr>
          <w:lang w:val="en-AU"/>
        </w:rPr>
        <w:t>safeguard rule</w:t>
      </w:r>
      <w:r w:rsidRPr="00F82C8D">
        <w:rPr>
          <w:lang w:val="en-AU"/>
        </w:rPr>
        <w:t xml:space="preserve">. The word ‘disaster’ is defined by the Macquarie Dictionary as: </w:t>
      </w:r>
    </w:p>
    <w:p w:rsidR="00527595" w:rsidRPr="00F82C8D" w:rsidRDefault="00527595" w:rsidP="002E625A">
      <w:pPr>
        <w:pStyle w:val="ListBullet"/>
      </w:pPr>
      <w:r w:rsidRPr="00F82C8D">
        <w:t>an event, as a flood, fire, explosion, etc., which devastates a community and is beyond the scope of the community's own resources to manage, requiring assistance on a national scale to restore safe conditions, functioning communications and a continuing livelihood for the people.</w:t>
      </w:r>
    </w:p>
    <w:p w:rsidR="00527595" w:rsidRPr="00F82C8D" w:rsidRDefault="00527595" w:rsidP="00625D31">
      <w:pPr>
        <w:pStyle w:val="ListParagraph"/>
        <w:rPr>
          <w:lang w:val="en-AU"/>
        </w:rPr>
      </w:pPr>
      <w:r w:rsidRPr="00F82C8D">
        <w:rPr>
          <w:lang w:val="en-AU"/>
        </w:rPr>
        <w:t>The word ‘natural’ distinguishes disasters from environmental causes from those caused by human factors. For example, acts of war or terrorism are not considered natural disasters as they are caused by human activity. Severe weather conditions or events, such as wildfires, cyclones or floods, are to be considered natural disasters as their origins are not purely human in nature. There is some similarity between the meaning of natural disaster and the concept of an ‘Act of God’. An Act of God is commonly conceived to be exclusively due to natural causes and unable to be prevented by any amount of foresight and care reasonably to be expected.</w:t>
      </w:r>
    </w:p>
    <w:p w:rsidR="00527595" w:rsidRPr="00F82C8D" w:rsidRDefault="00527595" w:rsidP="00527595">
      <w:pPr>
        <w:pStyle w:val="Heading4"/>
        <w:rPr>
          <w:lang w:val="en-AU"/>
        </w:rPr>
      </w:pPr>
      <w:r w:rsidRPr="00F82C8D">
        <w:rPr>
          <w:lang w:val="en-AU"/>
        </w:rPr>
        <w:t>Determining whether criminal activity has occurred</w:t>
      </w:r>
    </w:p>
    <w:p w:rsidR="00527595" w:rsidRPr="00F82C8D" w:rsidRDefault="00527595" w:rsidP="00625D31">
      <w:pPr>
        <w:pStyle w:val="ListParagraph"/>
        <w:rPr>
          <w:lang w:val="en-AU"/>
        </w:rPr>
      </w:pPr>
      <w:r w:rsidRPr="00F82C8D">
        <w:rPr>
          <w:lang w:val="en-AU"/>
        </w:rPr>
        <w:t>The Regulator can form the opinion that criminal activity has resulted in an excess emissions situation for the purposes of processing exemption declaration applications independently from any trial or conviction of a criminal offence. In other words, a criminal conviction is not necessary in order for the Regulator, as an administrative body, to have reasonable cause to believe that criminal activity has occurred so that it can make an exemption declaration. The opinion of the Regulator as to the occurrence of criminal activity will turn on the nature and quality of the facts and circumstances before it. Where the Regulator forms an opinion that criminal activity has occurred or that a responsible emitter is complicit in criminal activity, it does not and could not amount to a finding of criminal guilt akin to a court’s decision.</w:t>
      </w:r>
    </w:p>
    <w:p w:rsidR="00527595" w:rsidRPr="00F82C8D" w:rsidRDefault="00527595" w:rsidP="00625D31">
      <w:pPr>
        <w:pStyle w:val="ListParagraph"/>
        <w:rPr>
          <w:lang w:val="en-AU"/>
        </w:rPr>
      </w:pPr>
      <w:r w:rsidRPr="00F82C8D">
        <w:rPr>
          <w:lang w:val="en-AU"/>
        </w:rPr>
        <w:t>Where the Regulator forms an opinion about the existence of criminal activi</w:t>
      </w:r>
      <w:r w:rsidR="00C15083" w:rsidRPr="00F82C8D">
        <w:rPr>
          <w:lang w:val="en-AU"/>
        </w:rPr>
        <w:t>ty for the purposes of processing</w:t>
      </w:r>
      <w:r w:rsidRPr="00F82C8D">
        <w:rPr>
          <w:lang w:val="en-AU"/>
        </w:rPr>
        <w:t xml:space="preserve"> an exemption application, appeal is possible through the Administrative Appeals Tribunal. </w:t>
      </w:r>
      <w:r w:rsidRPr="00F82C8D">
        <w:rPr>
          <w:b/>
          <w:i/>
          <w:sz w:val="20"/>
          <w:lang w:val="en-AU"/>
        </w:rPr>
        <w:t xml:space="preserve">[section </w:t>
      </w:r>
      <w:r w:rsidRPr="00F82C8D">
        <w:rPr>
          <w:rStyle w:val="Emphasis"/>
        </w:rPr>
        <w:t>56 of the Act]</w:t>
      </w:r>
    </w:p>
    <w:p w:rsidR="00527595" w:rsidRPr="00F82C8D" w:rsidRDefault="00527595">
      <w:r w:rsidRPr="00F82C8D">
        <w:rPr>
          <w:i/>
          <w:lang w:val="en-AU"/>
        </w:rPr>
        <w:t>Further information</w:t>
      </w:r>
    </w:p>
    <w:p w:rsidR="00527595" w:rsidRPr="00F82C8D" w:rsidRDefault="00527595" w:rsidP="00625D31">
      <w:pPr>
        <w:pStyle w:val="ListParagraph"/>
        <w:rPr>
          <w:lang w:val="en-AU"/>
        </w:rPr>
      </w:pPr>
      <w:r w:rsidRPr="00F82C8D">
        <w:rPr>
          <w:lang w:val="en-AU"/>
        </w:rPr>
        <w:t xml:space="preserve">The Regulator may require that a responsible emitter provides further information in relation to their application for an exemption declaration. </w:t>
      </w:r>
      <w:r w:rsidR="00BA732C" w:rsidRPr="00F82C8D">
        <w:rPr>
          <w:b/>
          <w:i/>
          <w:sz w:val="20"/>
          <w:lang w:val="en-AU"/>
        </w:rPr>
        <w:t>[section </w:t>
      </w:r>
      <w:r w:rsidR="00CA34A6" w:rsidRPr="00F82C8D">
        <w:rPr>
          <w:b/>
          <w:i/>
          <w:sz w:val="20"/>
          <w:lang w:val="en-AU"/>
        </w:rPr>
        <w:t>61</w:t>
      </w:r>
      <w:r w:rsidRPr="00F82C8D">
        <w:rPr>
          <w:b/>
          <w:i/>
          <w:sz w:val="20"/>
          <w:lang w:val="en-AU"/>
        </w:rPr>
        <w:t>]</w:t>
      </w:r>
      <w:r w:rsidRPr="00F82C8D">
        <w:rPr>
          <w:lang w:val="en-AU"/>
        </w:rPr>
        <w:t xml:space="preserve"> If the Regulator’s request includes a deadline by which the further information must be given and the applicant fails to meet this deadline, the Regulator is not obliged to take any further action with respect to the application. </w:t>
      </w:r>
      <w:r w:rsidR="00F77D66" w:rsidRPr="00F82C8D">
        <w:rPr>
          <w:b/>
          <w:i/>
          <w:sz w:val="20"/>
          <w:lang w:val="en-AU"/>
        </w:rPr>
        <w:t>[subsection 61</w:t>
      </w:r>
      <w:r w:rsidRPr="00F82C8D">
        <w:rPr>
          <w:b/>
          <w:i/>
          <w:sz w:val="20"/>
          <w:lang w:val="en-AU"/>
        </w:rPr>
        <w:t>(2)]</w:t>
      </w:r>
    </w:p>
    <w:p w:rsidR="00527595" w:rsidRPr="00F82C8D" w:rsidRDefault="00527595" w:rsidP="00527595">
      <w:pPr>
        <w:rPr>
          <w:rFonts w:cs="Times New Roman"/>
          <w:i/>
          <w:lang w:val="en-AU"/>
        </w:rPr>
      </w:pPr>
      <w:r w:rsidRPr="00F82C8D">
        <w:rPr>
          <w:rFonts w:cs="Times New Roman"/>
          <w:i/>
          <w:lang w:val="en-AU"/>
        </w:rPr>
        <w:t>Decision making criteria</w:t>
      </w:r>
    </w:p>
    <w:p w:rsidR="00102AC8" w:rsidRPr="00F82C8D" w:rsidRDefault="00527595" w:rsidP="00102AC8">
      <w:pPr>
        <w:pStyle w:val="ListParagraph"/>
        <w:rPr>
          <w:lang w:val="en-AU"/>
        </w:rPr>
      </w:pPr>
      <w:r w:rsidRPr="00F82C8D">
        <w:rPr>
          <w:lang w:val="en-AU"/>
        </w:rPr>
        <w:t xml:space="preserve">The Regulator must make an exemption declaration if the four criteria for making one have been satisfied. </w:t>
      </w:r>
      <w:r w:rsidR="00F77D66" w:rsidRPr="00F82C8D">
        <w:rPr>
          <w:b/>
          <w:i/>
          <w:sz w:val="20"/>
          <w:lang w:val="en-AU"/>
        </w:rPr>
        <w:t>[</w:t>
      </w:r>
      <w:r w:rsidR="00CA34A6" w:rsidRPr="00F82C8D">
        <w:rPr>
          <w:b/>
          <w:i/>
          <w:sz w:val="20"/>
          <w:lang w:val="en-AU"/>
        </w:rPr>
        <w:t>subsection</w:t>
      </w:r>
      <w:r w:rsidR="00F77D66" w:rsidRPr="00F82C8D">
        <w:rPr>
          <w:b/>
          <w:i/>
          <w:sz w:val="20"/>
          <w:lang w:val="en-AU"/>
        </w:rPr>
        <w:t xml:space="preserve"> 62</w:t>
      </w:r>
      <w:r w:rsidRPr="00F82C8D">
        <w:rPr>
          <w:b/>
          <w:i/>
          <w:sz w:val="20"/>
          <w:lang w:val="en-AU"/>
        </w:rPr>
        <w:t>(2)]</w:t>
      </w:r>
      <w:r w:rsidRPr="00F82C8D">
        <w:rPr>
          <w:lang w:val="en-AU"/>
        </w:rPr>
        <w:t xml:space="preserve"> The first criterion is that the net emissions number, excluding any decreases resulting from the surrender of prescribed units, exceeds the baseline emissions number for the monitoring period. </w:t>
      </w:r>
      <w:r w:rsidR="00F77D66" w:rsidRPr="00F82C8D">
        <w:rPr>
          <w:b/>
          <w:i/>
          <w:sz w:val="20"/>
          <w:lang w:val="en-AU"/>
        </w:rPr>
        <w:t>[paragraph 62</w:t>
      </w:r>
      <w:r w:rsidRPr="00F82C8D">
        <w:rPr>
          <w:b/>
          <w:i/>
          <w:sz w:val="20"/>
          <w:lang w:val="en-AU"/>
        </w:rPr>
        <w:t>(2)(</w:t>
      </w:r>
      <w:r w:rsidR="00983E3A" w:rsidRPr="00F82C8D">
        <w:rPr>
          <w:b/>
          <w:i/>
          <w:sz w:val="20"/>
          <w:lang w:val="en-AU"/>
        </w:rPr>
        <w:t>a</w:t>
      </w:r>
      <w:r w:rsidRPr="00F82C8D">
        <w:rPr>
          <w:b/>
          <w:i/>
          <w:sz w:val="20"/>
          <w:lang w:val="en-AU"/>
        </w:rPr>
        <w:t>)]</w:t>
      </w:r>
      <w:r w:rsidRPr="00F82C8D">
        <w:rPr>
          <w:lang w:val="en-AU"/>
        </w:rPr>
        <w:t xml:space="preserve"> The second criterion is that the baseline exceedance mentioned in the first criterion must be the direct result of a natural disaster or criminal activity</w:t>
      </w:r>
      <w:r w:rsidR="00185927" w:rsidRPr="00F82C8D">
        <w:rPr>
          <w:lang w:val="en-AU"/>
        </w:rPr>
        <w:t>.</w:t>
      </w:r>
      <w:r w:rsidR="00983E3A" w:rsidRPr="00F82C8D">
        <w:rPr>
          <w:b/>
          <w:i/>
          <w:sz w:val="20"/>
          <w:lang w:val="en-AU"/>
        </w:rPr>
        <w:t xml:space="preserve"> [paragraph 62(2)(b)]</w:t>
      </w:r>
      <w:r w:rsidR="00394E74" w:rsidRPr="00F82C8D">
        <w:rPr>
          <w:lang w:val="en-AU"/>
        </w:rPr>
        <w:t xml:space="preserve"> </w:t>
      </w:r>
      <w:r w:rsidRPr="00F82C8D">
        <w:rPr>
          <w:lang w:val="en-AU"/>
        </w:rPr>
        <w:t xml:space="preserve">The third criterion is that, if the exemption declaration is sought for an excess emissions situation resulting from criminal activity, the responsible emitter cannot have been complicit in the criminal activity. </w:t>
      </w:r>
      <w:r w:rsidR="00983E3A" w:rsidRPr="00F82C8D">
        <w:rPr>
          <w:b/>
          <w:i/>
          <w:sz w:val="20"/>
          <w:lang w:val="en-AU"/>
        </w:rPr>
        <w:t>[subparagraph 62</w:t>
      </w:r>
      <w:r w:rsidRPr="00F82C8D">
        <w:rPr>
          <w:b/>
          <w:i/>
          <w:sz w:val="20"/>
          <w:lang w:val="en-AU"/>
        </w:rPr>
        <w:t>(2)(c)(iii)]</w:t>
      </w:r>
      <w:r w:rsidRPr="00F82C8D">
        <w:rPr>
          <w:lang w:val="en-AU"/>
        </w:rPr>
        <w:t xml:space="preserve"> The responsible emitter does not have to have been found guilty of a criminal offence for the Regulator to have reasonable cause to believe that the responsible emitter was complicit in criminal activity</w:t>
      </w:r>
      <w:r w:rsidR="00185927" w:rsidRPr="00F82C8D">
        <w:rPr>
          <w:lang w:val="en-AU"/>
        </w:rPr>
        <w:t>.</w:t>
      </w:r>
      <w:r w:rsidR="00F77D66" w:rsidRPr="00F82C8D">
        <w:rPr>
          <w:lang w:val="en-AU"/>
        </w:rPr>
        <w:t xml:space="preserve"> </w:t>
      </w:r>
    </w:p>
    <w:p w:rsidR="00527595" w:rsidRPr="00F82C8D" w:rsidRDefault="00527595" w:rsidP="00625D31">
      <w:pPr>
        <w:pStyle w:val="ListParagraph"/>
        <w:rPr>
          <w:lang w:val="en-AU"/>
        </w:rPr>
      </w:pPr>
      <w:r w:rsidRPr="00F82C8D">
        <w:rPr>
          <w:lang w:val="en-AU"/>
        </w:rPr>
        <w:t xml:space="preserve">The final criterion is that the responsible emitter must have taken reasonable steps to mitigate the risks of the natural disaster or criminal activity resulting in the excess emissions situation </w:t>
      </w:r>
      <w:r w:rsidR="00185927" w:rsidRPr="00F82C8D">
        <w:rPr>
          <w:lang w:val="en-AU"/>
        </w:rPr>
        <w:t xml:space="preserve">both </w:t>
      </w:r>
      <w:r w:rsidRPr="00F82C8D">
        <w:rPr>
          <w:lang w:val="en-AU"/>
        </w:rPr>
        <w:t xml:space="preserve">before </w:t>
      </w:r>
      <w:r w:rsidR="00185927" w:rsidRPr="00F82C8D">
        <w:rPr>
          <w:lang w:val="en-AU"/>
        </w:rPr>
        <w:t xml:space="preserve">and after </w:t>
      </w:r>
      <w:r w:rsidRPr="00F82C8D">
        <w:rPr>
          <w:lang w:val="en-AU"/>
        </w:rPr>
        <w:t xml:space="preserve">the event. </w:t>
      </w:r>
      <w:r w:rsidR="00983E3A" w:rsidRPr="00F82C8D">
        <w:rPr>
          <w:rStyle w:val="Emphasis"/>
        </w:rPr>
        <w:t>[paragraph</w:t>
      </w:r>
      <w:r w:rsidR="008322CE" w:rsidRPr="00F82C8D">
        <w:rPr>
          <w:rStyle w:val="Emphasis"/>
        </w:rPr>
        <w:t>s 62(2)(c) and</w:t>
      </w:r>
      <w:r w:rsidR="00983E3A" w:rsidRPr="00F82C8D">
        <w:rPr>
          <w:rStyle w:val="Emphasis"/>
        </w:rPr>
        <w:t xml:space="preserve"> 62</w:t>
      </w:r>
      <w:r w:rsidRPr="00F82C8D">
        <w:rPr>
          <w:rStyle w:val="Emphasis"/>
        </w:rPr>
        <w:t>(</w:t>
      </w:r>
      <w:r w:rsidR="00983E3A" w:rsidRPr="00F82C8D">
        <w:rPr>
          <w:rStyle w:val="Emphasis"/>
        </w:rPr>
        <w:t>2)(d</w:t>
      </w:r>
      <w:r w:rsidRPr="00F82C8D">
        <w:rPr>
          <w:rStyle w:val="Emphasis"/>
        </w:rPr>
        <w:t>)]</w:t>
      </w:r>
      <w:r w:rsidRPr="00F82C8D">
        <w:rPr>
          <w:lang w:val="en-AU"/>
        </w:rPr>
        <w:t xml:space="preserve"> Such reasonable steps </w:t>
      </w:r>
      <w:r w:rsidR="00185927" w:rsidRPr="00F82C8D">
        <w:rPr>
          <w:lang w:val="en-AU"/>
        </w:rPr>
        <w:t xml:space="preserve">before an event </w:t>
      </w:r>
      <w:r w:rsidRPr="00F82C8D">
        <w:rPr>
          <w:lang w:val="en-AU"/>
        </w:rPr>
        <w:t xml:space="preserve">could include industrial design aimed at improving resilience to extreme weather conditions, procedures for greenhouse gas management during natural disasters, security arrangements or emergency shut-down </w:t>
      </w:r>
      <w:r w:rsidR="00C15083" w:rsidRPr="00F82C8D">
        <w:rPr>
          <w:lang w:val="en-AU"/>
        </w:rPr>
        <w:t>procedures</w:t>
      </w:r>
      <w:r w:rsidRPr="00F82C8D">
        <w:rPr>
          <w:lang w:val="en-AU"/>
        </w:rPr>
        <w:t xml:space="preserve">. </w:t>
      </w:r>
      <w:r w:rsidR="00185927" w:rsidRPr="00F82C8D">
        <w:rPr>
          <w:lang w:val="en-AU"/>
        </w:rPr>
        <w:t xml:space="preserve">Reasonable steps after an event occurs </w:t>
      </w:r>
      <w:r w:rsidR="005E6BB3" w:rsidRPr="00F82C8D">
        <w:rPr>
          <w:lang w:val="en-AU"/>
        </w:rPr>
        <w:t>include promptly acting to replace damaged emissions reduction equipment, low emissions fuel sources or taking reasonable actions to limit emissions in the remaining part of the applicable monitoring period.</w:t>
      </w:r>
    </w:p>
    <w:p w:rsidR="00527595" w:rsidRPr="00F82C8D" w:rsidRDefault="00527595" w:rsidP="00527595">
      <w:pPr>
        <w:keepNext/>
        <w:rPr>
          <w:rFonts w:cs="Times New Roman"/>
          <w:i/>
          <w:lang w:val="en-AU"/>
        </w:rPr>
      </w:pPr>
      <w:r w:rsidRPr="00F82C8D">
        <w:rPr>
          <w:rFonts w:cs="Times New Roman"/>
          <w:i/>
          <w:lang w:val="en-AU"/>
        </w:rPr>
        <w:t>Timing</w:t>
      </w:r>
    </w:p>
    <w:p w:rsidR="00527595" w:rsidRPr="00F82C8D" w:rsidRDefault="00527595" w:rsidP="00625D31">
      <w:pPr>
        <w:pStyle w:val="ListParagraph"/>
        <w:rPr>
          <w:lang w:val="en-AU"/>
        </w:rPr>
      </w:pPr>
      <w:r w:rsidRPr="00F82C8D">
        <w:rPr>
          <w:lang w:val="en-AU"/>
        </w:rPr>
        <w:t>Unless otherwise agreed with the Regulator, exemption declaration applications must be lodged with the Regulator prior to the 31 October following the end of the monitoring period for which the exemption declaration is sought.</w:t>
      </w:r>
      <w:r w:rsidR="000A7B10" w:rsidRPr="00F82C8D">
        <w:rPr>
          <w:lang w:val="en-AU"/>
        </w:rPr>
        <w:t xml:space="preserve"> </w:t>
      </w:r>
      <w:r w:rsidR="00F77D66" w:rsidRPr="00F82C8D">
        <w:rPr>
          <w:b/>
          <w:i/>
          <w:sz w:val="20"/>
          <w:lang w:val="en-AU"/>
        </w:rPr>
        <w:t>[subsection 6</w:t>
      </w:r>
      <w:r w:rsidR="00983E3A" w:rsidRPr="00F82C8D">
        <w:rPr>
          <w:b/>
          <w:i/>
          <w:sz w:val="20"/>
          <w:lang w:val="en-AU"/>
        </w:rPr>
        <w:t>0(3</w:t>
      </w:r>
      <w:r w:rsidRPr="00F82C8D">
        <w:rPr>
          <w:b/>
          <w:i/>
          <w:sz w:val="20"/>
          <w:lang w:val="en-AU"/>
        </w:rPr>
        <w:t>)]</w:t>
      </w:r>
      <w:r w:rsidRPr="00F82C8D">
        <w:rPr>
          <w:lang w:val="en-AU"/>
        </w:rPr>
        <w:t xml:space="preserve"> T</w:t>
      </w:r>
      <w:r w:rsidR="00983E3A" w:rsidRPr="00F82C8D">
        <w:rPr>
          <w:lang w:val="en-AU"/>
        </w:rPr>
        <w:t>his allows a minimum period of four</w:t>
      </w:r>
      <w:r w:rsidRPr="00F82C8D">
        <w:rPr>
          <w:lang w:val="en-AU"/>
        </w:rPr>
        <w:t xml:space="preserve"> months between the event triggering the exemption declaration eligibility and the application deadline. </w:t>
      </w:r>
    </w:p>
    <w:p w:rsidR="00527595" w:rsidRPr="00F82C8D" w:rsidRDefault="00527595" w:rsidP="00625D31">
      <w:pPr>
        <w:pStyle w:val="ListParagraph"/>
        <w:rPr>
          <w:lang w:val="en-AU"/>
        </w:rPr>
      </w:pPr>
      <w:r w:rsidRPr="00F82C8D">
        <w:rPr>
          <w:lang w:val="en-AU"/>
        </w:rPr>
        <w:t xml:space="preserve">In return, the Regulator must take all reasonable steps to ensure that a decision is made on the application within 60 days after the application was made, or, if the Regulator required the applicant to give further information under subsection 50(1), within 60 days after the applicant gave the Regulator the information </w:t>
      </w:r>
      <w:r w:rsidRPr="00F82C8D">
        <w:rPr>
          <w:b/>
          <w:i/>
          <w:sz w:val="20"/>
          <w:lang w:val="en-AU"/>
        </w:rPr>
        <w:t>[subs</w:t>
      </w:r>
      <w:r w:rsidR="00074D46" w:rsidRPr="00F82C8D">
        <w:rPr>
          <w:b/>
          <w:i/>
          <w:sz w:val="20"/>
          <w:lang w:val="en-AU"/>
        </w:rPr>
        <w:t>ection 62</w:t>
      </w:r>
      <w:r w:rsidRPr="00F82C8D">
        <w:rPr>
          <w:b/>
          <w:i/>
          <w:sz w:val="20"/>
          <w:lang w:val="en-AU"/>
        </w:rPr>
        <w:t>(3)]</w:t>
      </w:r>
      <w:r w:rsidRPr="00F82C8D">
        <w:rPr>
          <w:lang w:val="en-AU"/>
        </w:rPr>
        <w:t xml:space="preserve"> These deadlines ensure adequate notice of the application result before the 1 March compliance date (see subsection 22XF(1) of the Act).</w:t>
      </w:r>
    </w:p>
    <w:p w:rsidR="00547C09" w:rsidRPr="00F82C8D" w:rsidRDefault="00547C09" w:rsidP="00547C09">
      <w:pPr>
        <w:pStyle w:val="Heading3"/>
      </w:pPr>
      <w:bookmarkStart w:id="136" w:name="_Toc430272694"/>
      <w:r w:rsidRPr="00F82C8D">
        <w:t>63 Revocation of exemption declaration because of false or misleading information</w:t>
      </w:r>
      <w:bookmarkEnd w:id="136"/>
    </w:p>
    <w:p w:rsidR="00064FDC" w:rsidRPr="00F82C8D" w:rsidRDefault="008D0791" w:rsidP="008D0791">
      <w:pPr>
        <w:pStyle w:val="ListParagraph"/>
      </w:pPr>
      <w:r w:rsidRPr="00F82C8D">
        <w:t>There may be grounds for the Regulator to revoke an exemption declaration i</w:t>
      </w:r>
      <w:r w:rsidR="00F143B0" w:rsidRPr="00F82C8D">
        <w:t xml:space="preserve">f </w:t>
      </w:r>
      <w:r w:rsidR="00064FDC" w:rsidRPr="00F82C8D">
        <w:t>information provided by the responsible emitter in connection with the making of an exemption declaration was false or misl</w:t>
      </w:r>
      <w:r w:rsidR="00F143B0" w:rsidRPr="00F82C8D">
        <w:t>e</w:t>
      </w:r>
      <w:r w:rsidRPr="00F82C8D">
        <w:t xml:space="preserve">ading in a material particular. </w:t>
      </w:r>
      <w:r w:rsidR="00F143B0" w:rsidRPr="00F82C8D">
        <w:t>Material particular means that the Regulator may not have decided to make the exemption declaration if the information in</w:t>
      </w:r>
      <w:r w:rsidRPr="00F82C8D">
        <w:t xml:space="preserve"> question ha</w:t>
      </w:r>
      <w:r w:rsidR="00BF2323" w:rsidRPr="00F82C8D">
        <w:t>d</w:t>
      </w:r>
      <w:r w:rsidRPr="00F82C8D">
        <w:t xml:space="preserve"> not been provided. </w:t>
      </w:r>
      <w:r w:rsidRPr="00F82C8D">
        <w:rPr>
          <w:b/>
          <w:i/>
          <w:sz w:val="20"/>
          <w:lang w:val="en-AU"/>
        </w:rPr>
        <w:t>[subsection 63(1)]</w:t>
      </w:r>
      <w:r w:rsidRPr="00F82C8D">
        <w:rPr>
          <w:lang w:val="en-AU"/>
        </w:rPr>
        <w:t xml:space="preserve"> </w:t>
      </w:r>
      <w:r w:rsidR="00F143B0" w:rsidRPr="00F82C8D">
        <w:t xml:space="preserve">  </w:t>
      </w:r>
    </w:p>
    <w:p w:rsidR="00547C09" w:rsidRPr="00F82C8D" w:rsidRDefault="00F143B0" w:rsidP="008D0791">
      <w:pPr>
        <w:pStyle w:val="ListParagraph"/>
      </w:pPr>
      <w:r w:rsidRPr="00F82C8D">
        <w:t>The Regulator will notify the</w:t>
      </w:r>
      <w:r w:rsidR="008D0791" w:rsidRPr="00F82C8D">
        <w:t xml:space="preserve"> relevant</w:t>
      </w:r>
      <w:r w:rsidR="00EA0563" w:rsidRPr="00F82C8D">
        <w:t xml:space="preserve"> responsible emitter of </w:t>
      </w:r>
      <w:r w:rsidR="00AC4B7C" w:rsidRPr="00F82C8D">
        <w:t>its</w:t>
      </w:r>
      <w:r w:rsidR="00EA0563" w:rsidRPr="00F82C8D">
        <w:t xml:space="preserve"> </w:t>
      </w:r>
      <w:r w:rsidR="00AC4B7C" w:rsidRPr="00F82C8D">
        <w:t>intention to</w:t>
      </w:r>
      <w:r w:rsidR="00EA0563" w:rsidRPr="00F82C8D">
        <w:t xml:space="preserve"> revo</w:t>
      </w:r>
      <w:r w:rsidR="00AC4B7C" w:rsidRPr="00F82C8D">
        <w:t xml:space="preserve">ke </w:t>
      </w:r>
      <w:r w:rsidR="008D0791" w:rsidRPr="00F82C8D">
        <w:t xml:space="preserve">their exemption declaration </w:t>
      </w:r>
      <w:r w:rsidR="00BF2323" w:rsidRPr="00F82C8D">
        <w:t>and give them</w:t>
      </w:r>
      <w:r w:rsidRPr="00F82C8D">
        <w:t xml:space="preserve"> </w:t>
      </w:r>
      <w:r w:rsidR="00EA0563" w:rsidRPr="00F82C8D">
        <w:t xml:space="preserve">the opportunity to </w:t>
      </w:r>
      <w:r w:rsidR="00064FDC" w:rsidRPr="00F82C8D">
        <w:t>provide comments by a date specified in the notice. Within</w:t>
      </w:r>
      <w:r w:rsidR="006225E5" w:rsidRPr="00F82C8D">
        <w:t xml:space="preserve"> 30 calendar days of this date, </w:t>
      </w:r>
      <w:r w:rsidR="00064FDC" w:rsidRPr="00F82C8D">
        <w:t xml:space="preserve">the Regulator will </w:t>
      </w:r>
      <w:r w:rsidR="008D0791" w:rsidRPr="00F82C8D">
        <w:t>use all reasonable endeavours</w:t>
      </w:r>
      <w:r w:rsidR="00064FDC" w:rsidRPr="00F82C8D">
        <w:t xml:space="preserve"> to </w:t>
      </w:r>
      <w:r w:rsidR="008D0791" w:rsidRPr="00F82C8D">
        <w:t>decide</w:t>
      </w:r>
      <w:r w:rsidR="00064FDC" w:rsidRPr="00F82C8D">
        <w:t xml:space="preserve"> </w:t>
      </w:r>
      <w:r w:rsidR="006225E5" w:rsidRPr="00F82C8D">
        <w:t xml:space="preserve">to </w:t>
      </w:r>
      <w:r w:rsidR="00064FDC" w:rsidRPr="00F82C8D">
        <w:t>revoke</w:t>
      </w:r>
      <w:r w:rsidR="006225E5" w:rsidRPr="00F82C8D">
        <w:t>, or not,</w:t>
      </w:r>
      <w:r w:rsidR="00064FDC" w:rsidRPr="00F82C8D">
        <w:t xml:space="preserve"> the exemption declaration</w:t>
      </w:r>
      <w:r w:rsidR="006225E5" w:rsidRPr="00F82C8D">
        <w:t xml:space="preserve"> </w:t>
      </w:r>
      <w:r w:rsidR="008D0791" w:rsidRPr="00F82C8D">
        <w:t xml:space="preserve">considering any comments </w:t>
      </w:r>
      <w:r w:rsidRPr="00F82C8D">
        <w:t xml:space="preserve">received by </w:t>
      </w:r>
      <w:r w:rsidR="00AC4B7C" w:rsidRPr="00F82C8D">
        <w:t xml:space="preserve">the due date in the notice. </w:t>
      </w:r>
      <w:r w:rsidR="008D0791" w:rsidRPr="00F82C8D">
        <w:rPr>
          <w:b/>
          <w:i/>
          <w:sz w:val="20"/>
          <w:lang w:val="en-AU"/>
        </w:rPr>
        <w:t>[subsections 63(2) and 63(3)]</w:t>
      </w:r>
      <w:r w:rsidR="008D0791" w:rsidRPr="00F82C8D">
        <w:rPr>
          <w:lang w:val="en-AU"/>
        </w:rPr>
        <w:t xml:space="preserve"> </w:t>
      </w:r>
      <w:r w:rsidR="008D0791" w:rsidRPr="00F82C8D">
        <w:t xml:space="preserve">  </w:t>
      </w:r>
    </w:p>
    <w:p w:rsidR="00547C09" w:rsidRPr="00F82C8D" w:rsidRDefault="00AC4B7C" w:rsidP="006225E5">
      <w:pPr>
        <w:pStyle w:val="ListParagraph"/>
      </w:pPr>
      <w:r w:rsidRPr="00F82C8D">
        <w:t>If the Regulator revoke</w:t>
      </w:r>
      <w:r w:rsidR="006225E5" w:rsidRPr="00F82C8D">
        <w:t>s</w:t>
      </w:r>
      <w:r w:rsidRPr="00F82C8D">
        <w:t xml:space="preserve"> </w:t>
      </w:r>
      <w:r w:rsidR="006225E5" w:rsidRPr="00F82C8D">
        <w:t>a</w:t>
      </w:r>
      <w:r w:rsidRPr="00F82C8D">
        <w:t xml:space="preserve"> declaration, then it must </w:t>
      </w:r>
      <w:r w:rsidR="006225E5" w:rsidRPr="00F82C8D">
        <w:t>notify</w:t>
      </w:r>
      <w:r w:rsidRPr="00F82C8D">
        <w:t xml:space="preserve"> the responsible emitter </w:t>
      </w:r>
      <w:r w:rsidR="006225E5" w:rsidRPr="00F82C8D">
        <w:t>about this and publish details of the revocation of the declaration on its website.</w:t>
      </w:r>
      <w:r w:rsidR="00942D59" w:rsidRPr="00F82C8D">
        <w:t xml:space="preserve"> </w:t>
      </w:r>
      <w:r w:rsidR="006225E5" w:rsidRPr="00F82C8D">
        <w:rPr>
          <w:b/>
          <w:i/>
          <w:sz w:val="20"/>
          <w:lang w:val="en-AU"/>
        </w:rPr>
        <w:t>[subsection 63(4)]</w:t>
      </w:r>
      <w:r w:rsidR="006225E5" w:rsidRPr="00F82C8D">
        <w:t xml:space="preserve"> </w:t>
      </w:r>
      <w:r w:rsidR="003C796B" w:rsidRPr="00F82C8D">
        <w:t>The revocation would take effect at least 30 days after notification, providing time for a responsible emitter to surrender credits to avoid any non-compliance.</w:t>
      </w:r>
    </w:p>
    <w:p w:rsidR="00527595" w:rsidRPr="00F82C8D" w:rsidRDefault="00F209CA" w:rsidP="00527595">
      <w:pPr>
        <w:pStyle w:val="Heading2"/>
        <w:rPr>
          <w:lang w:bidi="ar-SA"/>
        </w:rPr>
      </w:pPr>
      <w:bookmarkStart w:id="137" w:name="_Toc431975856"/>
      <w:r w:rsidRPr="00F82C8D">
        <w:rPr>
          <w:lang w:bidi="ar-SA"/>
        </w:rPr>
        <w:t>Division 2</w:t>
      </w:r>
      <w:r w:rsidRPr="00F82C8D">
        <w:t>—</w:t>
      </w:r>
      <w:r w:rsidR="00527595" w:rsidRPr="00F82C8D">
        <w:rPr>
          <w:lang w:bidi="ar-SA"/>
        </w:rPr>
        <w:t>Declared multi-year periods</w:t>
      </w:r>
      <w:bookmarkEnd w:id="137"/>
    </w:p>
    <w:p w:rsidR="006903B0" w:rsidRPr="00F82C8D" w:rsidRDefault="006225E5">
      <w:pPr>
        <w:pStyle w:val="Heading3"/>
      </w:pPr>
      <w:r w:rsidRPr="00F82C8D">
        <w:t>Sections</w:t>
      </w:r>
      <w:r w:rsidR="00942D59" w:rsidRPr="00F82C8D">
        <w:t xml:space="preserve"> </w:t>
      </w:r>
      <w:r w:rsidRPr="00F82C8D">
        <w:t xml:space="preserve">64, 65, </w:t>
      </w:r>
      <w:r w:rsidR="00F209CA" w:rsidRPr="00F82C8D">
        <w:t>66</w:t>
      </w:r>
      <w:r w:rsidRPr="00F82C8D">
        <w:t xml:space="preserve"> and 67</w:t>
      </w:r>
      <w:r w:rsidR="00F209CA" w:rsidRPr="00F82C8D">
        <w:t xml:space="preserve">: Declared multi-year periods </w:t>
      </w:r>
    </w:p>
    <w:p w:rsidR="00527595" w:rsidRPr="00F82C8D" w:rsidRDefault="00527595" w:rsidP="00625D31">
      <w:pPr>
        <w:pStyle w:val="ListParagraph"/>
        <w:rPr>
          <w:rStyle w:val="Emphasis"/>
          <w:b w:val="0"/>
          <w:i w:val="0"/>
          <w:sz w:val="24"/>
        </w:rPr>
      </w:pPr>
      <w:r w:rsidRPr="00F82C8D">
        <w:rPr>
          <w:lang w:val="en-AU"/>
        </w:rPr>
        <w:t xml:space="preserve">The Regulator can declare that a monitoring period </w:t>
      </w:r>
      <w:r w:rsidR="006225E5" w:rsidRPr="00F82C8D">
        <w:rPr>
          <w:lang w:val="en-AU"/>
        </w:rPr>
        <w:t>could be</w:t>
      </w:r>
      <w:r w:rsidRPr="00F82C8D">
        <w:rPr>
          <w:lang w:val="en-AU"/>
        </w:rPr>
        <w:t xml:space="preserve"> two or three financial years</w:t>
      </w:r>
      <w:r w:rsidR="006225E5" w:rsidRPr="00F82C8D">
        <w:rPr>
          <w:lang w:val="en-AU"/>
        </w:rPr>
        <w:t xml:space="preserve"> under a declared multi-year period</w:t>
      </w:r>
      <w:r w:rsidRPr="00F82C8D">
        <w:rPr>
          <w:lang w:val="en-AU"/>
        </w:rPr>
        <w:t xml:space="preserve">, instead of the default single financial year. </w:t>
      </w:r>
      <w:r w:rsidR="00074D46" w:rsidRPr="00F82C8D">
        <w:rPr>
          <w:rStyle w:val="Emphasis"/>
        </w:rPr>
        <w:t>[paragraphs 6</w:t>
      </w:r>
      <w:r w:rsidR="006225E5" w:rsidRPr="00F82C8D">
        <w:rPr>
          <w:rStyle w:val="Emphasis"/>
        </w:rPr>
        <w:t>7</w:t>
      </w:r>
      <w:r w:rsidRPr="00F82C8D">
        <w:rPr>
          <w:rStyle w:val="Emphasis"/>
        </w:rPr>
        <w:t>(3)]</w:t>
      </w:r>
      <w:r w:rsidRPr="00F82C8D">
        <w:rPr>
          <w:lang w:val="en-AU"/>
        </w:rPr>
        <w:t xml:space="preserve"> Such a declaration, known as a </w:t>
      </w:r>
      <w:r w:rsidR="006225E5" w:rsidRPr="00F82C8D">
        <w:rPr>
          <w:lang w:val="en-AU"/>
        </w:rPr>
        <w:t>multi-year</w:t>
      </w:r>
      <w:r w:rsidRPr="00F82C8D">
        <w:rPr>
          <w:lang w:val="en-AU"/>
        </w:rPr>
        <w:t xml:space="preserve"> period declaration, is subject to review by the Administrative Appeals Tribunal. </w:t>
      </w:r>
      <w:r w:rsidRPr="00F82C8D">
        <w:rPr>
          <w:rStyle w:val="Emphasis"/>
        </w:rPr>
        <w:t>[section 56 of the Act]</w:t>
      </w:r>
    </w:p>
    <w:p w:rsidR="000E7C58" w:rsidRPr="00F82C8D" w:rsidRDefault="00060E26" w:rsidP="00060E26">
      <w:pPr>
        <w:pStyle w:val="ListParagraph"/>
      </w:pPr>
      <w:r w:rsidRPr="00F82C8D">
        <w:rPr>
          <w:rStyle w:val="Emphasis"/>
          <w:b w:val="0"/>
          <w:bCs w:val="0"/>
          <w:i w:val="0"/>
          <w:iCs/>
          <w:sz w:val="24"/>
        </w:rPr>
        <w:t xml:space="preserve">If the responsible emitter changes during the declared multi-year period, then the </w:t>
      </w:r>
      <w:r w:rsidR="000E7C58" w:rsidRPr="00F82C8D">
        <w:rPr>
          <w:rStyle w:val="Emphasis"/>
          <w:b w:val="0"/>
          <w:bCs w:val="0"/>
          <w:i w:val="0"/>
          <w:iCs/>
          <w:sz w:val="24"/>
        </w:rPr>
        <w:t>monitoring period</w:t>
      </w:r>
      <w:r w:rsidR="006F5DC3" w:rsidRPr="00F82C8D">
        <w:rPr>
          <w:rStyle w:val="Emphasis"/>
          <w:b w:val="0"/>
          <w:bCs w:val="0"/>
          <w:i w:val="0"/>
          <w:iCs/>
          <w:sz w:val="24"/>
        </w:rPr>
        <w:t xml:space="preserve"> will be shorter</w:t>
      </w:r>
      <w:r w:rsidR="003F1624" w:rsidRPr="00F82C8D">
        <w:rPr>
          <w:rStyle w:val="Emphasis"/>
          <w:b w:val="0"/>
          <w:bCs w:val="0"/>
          <w:i w:val="0"/>
          <w:iCs/>
          <w:sz w:val="24"/>
        </w:rPr>
        <w:t xml:space="preserve"> </w:t>
      </w:r>
      <w:r w:rsidR="006F5DC3" w:rsidRPr="00F82C8D">
        <w:rPr>
          <w:rStyle w:val="Emphasis"/>
          <w:b w:val="0"/>
          <w:bCs w:val="0"/>
          <w:i w:val="0"/>
          <w:iCs/>
          <w:sz w:val="24"/>
        </w:rPr>
        <w:t>than the declaration.</w:t>
      </w:r>
      <w:r w:rsidRPr="00F82C8D">
        <w:rPr>
          <w:rStyle w:val="Emphasis"/>
          <w:b w:val="0"/>
          <w:bCs w:val="0"/>
          <w:i w:val="0"/>
          <w:iCs/>
          <w:sz w:val="24"/>
        </w:rPr>
        <w:t xml:space="preserve"> In this case, </w:t>
      </w:r>
      <w:r w:rsidR="000E7C58" w:rsidRPr="00F82C8D">
        <w:rPr>
          <w:rStyle w:val="Emphasis"/>
          <w:b w:val="0"/>
          <w:bCs w:val="0"/>
          <w:i w:val="0"/>
          <w:iCs/>
          <w:sz w:val="24"/>
        </w:rPr>
        <w:t>the previous responsible emitter would be covered by a monitoring period that began when the</w:t>
      </w:r>
      <w:r w:rsidRPr="00F82C8D">
        <w:rPr>
          <w:rStyle w:val="Emphasis"/>
          <w:b w:val="0"/>
          <w:bCs w:val="0"/>
          <w:i w:val="0"/>
          <w:iCs/>
          <w:sz w:val="24"/>
        </w:rPr>
        <w:t xml:space="preserve"> declared</w:t>
      </w:r>
      <w:r w:rsidR="000E7C58" w:rsidRPr="00F82C8D">
        <w:rPr>
          <w:rStyle w:val="Emphasis"/>
          <w:b w:val="0"/>
          <w:bCs w:val="0"/>
          <w:i w:val="0"/>
          <w:iCs/>
          <w:sz w:val="24"/>
        </w:rPr>
        <w:t xml:space="preserve"> </w:t>
      </w:r>
      <w:r w:rsidRPr="00F82C8D">
        <w:rPr>
          <w:rStyle w:val="Emphasis"/>
          <w:b w:val="0"/>
          <w:bCs w:val="0"/>
          <w:i w:val="0"/>
          <w:iCs/>
          <w:sz w:val="24"/>
        </w:rPr>
        <w:t>multi-year</w:t>
      </w:r>
      <w:r w:rsidR="000E7C58" w:rsidRPr="00F82C8D">
        <w:rPr>
          <w:rStyle w:val="Emphasis"/>
          <w:b w:val="0"/>
          <w:bCs w:val="0"/>
          <w:i w:val="0"/>
          <w:iCs/>
          <w:sz w:val="24"/>
        </w:rPr>
        <w:t xml:space="preserve"> period</w:t>
      </w:r>
      <w:r w:rsidRPr="00F82C8D">
        <w:rPr>
          <w:rStyle w:val="Emphasis"/>
          <w:b w:val="0"/>
          <w:bCs w:val="0"/>
          <w:i w:val="0"/>
          <w:iCs/>
          <w:sz w:val="24"/>
        </w:rPr>
        <w:t xml:space="preserve"> started</w:t>
      </w:r>
      <w:r w:rsidR="000E7C58" w:rsidRPr="00F82C8D">
        <w:rPr>
          <w:rStyle w:val="Emphasis"/>
          <w:b w:val="0"/>
          <w:bCs w:val="0"/>
          <w:i w:val="0"/>
          <w:iCs/>
          <w:sz w:val="24"/>
        </w:rPr>
        <w:t xml:space="preserve"> and ends on the day that they ceased</w:t>
      </w:r>
      <w:r w:rsidRPr="00F82C8D">
        <w:rPr>
          <w:rStyle w:val="Emphasis"/>
          <w:b w:val="0"/>
          <w:bCs w:val="0"/>
          <w:i w:val="0"/>
          <w:iCs/>
          <w:sz w:val="24"/>
        </w:rPr>
        <w:t xml:space="preserve"> being the responsible emitter (which</w:t>
      </w:r>
      <w:r w:rsidR="003F1624" w:rsidRPr="00F82C8D">
        <w:rPr>
          <w:rStyle w:val="Emphasis"/>
          <w:b w:val="0"/>
          <w:bCs w:val="0"/>
          <w:i w:val="0"/>
          <w:iCs/>
          <w:sz w:val="24"/>
        </w:rPr>
        <w:t xml:space="preserve"> in this scenario</w:t>
      </w:r>
      <w:r w:rsidRPr="00F82C8D">
        <w:rPr>
          <w:rStyle w:val="Emphasis"/>
          <w:b w:val="0"/>
          <w:bCs w:val="0"/>
          <w:i w:val="0"/>
          <w:iCs/>
          <w:sz w:val="24"/>
        </w:rPr>
        <w:t xml:space="preserve"> would be </w:t>
      </w:r>
      <w:r w:rsidR="000E7C58" w:rsidRPr="00F82C8D">
        <w:rPr>
          <w:rStyle w:val="Emphasis"/>
          <w:b w:val="0"/>
          <w:bCs w:val="0"/>
          <w:i w:val="0"/>
          <w:iCs/>
          <w:sz w:val="24"/>
        </w:rPr>
        <w:t xml:space="preserve">part way through the </w:t>
      </w:r>
      <w:r w:rsidR="003F1624" w:rsidRPr="00F82C8D">
        <w:rPr>
          <w:rStyle w:val="Emphasis"/>
          <w:b w:val="0"/>
          <w:bCs w:val="0"/>
          <w:i w:val="0"/>
          <w:iCs/>
          <w:sz w:val="24"/>
        </w:rPr>
        <w:t xml:space="preserve">declared </w:t>
      </w:r>
      <w:r w:rsidR="000E7C58" w:rsidRPr="00F82C8D">
        <w:rPr>
          <w:rStyle w:val="Emphasis"/>
          <w:b w:val="0"/>
          <w:bCs w:val="0"/>
          <w:i w:val="0"/>
          <w:iCs/>
          <w:sz w:val="24"/>
        </w:rPr>
        <w:t>multi-year period</w:t>
      </w:r>
      <w:r w:rsidRPr="00F82C8D">
        <w:rPr>
          <w:rStyle w:val="Emphasis"/>
          <w:b w:val="0"/>
          <w:bCs w:val="0"/>
          <w:i w:val="0"/>
          <w:iCs/>
          <w:sz w:val="24"/>
        </w:rPr>
        <w:t>)</w:t>
      </w:r>
      <w:r w:rsidR="000E7C58" w:rsidRPr="00F82C8D">
        <w:rPr>
          <w:rStyle w:val="Emphasis"/>
          <w:b w:val="0"/>
          <w:bCs w:val="0"/>
          <w:i w:val="0"/>
          <w:iCs/>
          <w:sz w:val="24"/>
        </w:rPr>
        <w:t xml:space="preserve">. The new responsible emitter would have a monitoring period that begins on the day they became the responsible emitter and finishes on expiry of the multi-year period declaration, unless the declaration </w:t>
      </w:r>
      <w:r w:rsidRPr="00F82C8D">
        <w:rPr>
          <w:rStyle w:val="Emphasis"/>
          <w:b w:val="0"/>
          <w:bCs w:val="0"/>
          <w:i w:val="0"/>
          <w:iCs/>
          <w:sz w:val="24"/>
        </w:rPr>
        <w:t>is</w:t>
      </w:r>
      <w:r w:rsidR="000E7C58" w:rsidRPr="00F82C8D">
        <w:rPr>
          <w:rStyle w:val="Emphasis"/>
          <w:b w:val="0"/>
          <w:bCs w:val="0"/>
          <w:i w:val="0"/>
          <w:iCs/>
          <w:sz w:val="24"/>
        </w:rPr>
        <w:t xml:space="preserve"> revoked</w:t>
      </w:r>
      <w:r w:rsidRPr="00F82C8D">
        <w:rPr>
          <w:rStyle w:val="Emphasis"/>
          <w:b w:val="0"/>
          <w:bCs w:val="0"/>
          <w:i w:val="0"/>
          <w:iCs/>
          <w:sz w:val="24"/>
        </w:rPr>
        <w:t xml:space="preserve"> on their request</w:t>
      </w:r>
      <w:r w:rsidR="000E7C58" w:rsidRPr="00F82C8D">
        <w:rPr>
          <w:rStyle w:val="Emphasis"/>
          <w:b w:val="0"/>
          <w:bCs w:val="0"/>
          <w:i w:val="0"/>
          <w:iCs/>
          <w:sz w:val="24"/>
        </w:rPr>
        <w:t>.</w:t>
      </w:r>
    </w:p>
    <w:p w:rsidR="005608B7" w:rsidRPr="00F82C8D" w:rsidRDefault="006225E5" w:rsidP="00625D31">
      <w:pPr>
        <w:pStyle w:val="ListParagraph"/>
        <w:rPr>
          <w:lang w:val="en-AU"/>
        </w:rPr>
      </w:pPr>
      <w:r w:rsidRPr="00F82C8D">
        <w:rPr>
          <w:lang w:val="en-AU"/>
        </w:rPr>
        <w:t>Multi-year</w:t>
      </w:r>
      <w:r w:rsidR="00527595" w:rsidRPr="00F82C8D">
        <w:rPr>
          <w:lang w:val="en-AU"/>
        </w:rPr>
        <w:t xml:space="preserve"> period declarations may only be made </w:t>
      </w:r>
      <w:r w:rsidR="003F1624" w:rsidRPr="00F82C8D">
        <w:rPr>
          <w:lang w:val="en-AU"/>
        </w:rPr>
        <w:t xml:space="preserve">based </w:t>
      </w:r>
      <w:r w:rsidR="00527595" w:rsidRPr="00F82C8D">
        <w:rPr>
          <w:lang w:val="en-AU"/>
        </w:rPr>
        <w:t xml:space="preserve">on </w:t>
      </w:r>
      <w:r w:rsidR="003F1624" w:rsidRPr="00F82C8D">
        <w:rPr>
          <w:lang w:val="en-AU"/>
        </w:rPr>
        <w:t xml:space="preserve">an </w:t>
      </w:r>
      <w:r w:rsidR="00527595" w:rsidRPr="00F82C8D">
        <w:rPr>
          <w:lang w:val="en-AU"/>
        </w:rPr>
        <w:t xml:space="preserve">application by the responsible emitter. </w:t>
      </w:r>
      <w:r w:rsidRPr="00F82C8D">
        <w:rPr>
          <w:b/>
          <w:i/>
          <w:sz w:val="20"/>
          <w:lang w:val="en-AU"/>
        </w:rPr>
        <w:t>[section 65</w:t>
      </w:r>
      <w:r w:rsidR="00527595" w:rsidRPr="00F82C8D">
        <w:rPr>
          <w:b/>
          <w:i/>
          <w:sz w:val="20"/>
          <w:lang w:val="en-AU"/>
        </w:rPr>
        <w:t>]</w:t>
      </w:r>
      <w:r w:rsidR="00527595" w:rsidRPr="00F82C8D">
        <w:rPr>
          <w:lang w:val="en-AU"/>
        </w:rPr>
        <w:t xml:space="preserve"> Applications will only be considered for facilities whose covered emissions are likely to exceed the baseline emissions number for the monitoring period in force at the time of application. </w:t>
      </w:r>
      <w:r w:rsidR="00BA732C" w:rsidRPr="00F82C8D">
        <w:rPr>
          <w:b/>
          <w:i/>
          <w:sz w:val="20"/>
          <w:lang w:val="en-AU"/>
        </w:rPr>
        <w:t>[</w:t>
      </w:r>
      <w:r w:rsidR="00CA34A6" w:rsidRPr="00F82C8D">
        <w:rPr>
          <w:b/>
          <w:i/>
          <w:sz w:val="20"/>
          <w:lang w:val="en-AU"/>
        </w:rPr>
        <w:t>subsection</w:t>
      </w:r>
      <w:r w:rsidR="00BA732C" w:rsidRPr="00F82C8D">
        <w:rPr>
          <w:b/>
          <w:i/>
          <w:sz w:val="20"/>
          <w:lang w:val="en-AU"/>
        </w:rPr>
        <w:t> </w:t>
      </w:r>
      <w:r w:rsidRPr="00F82C8D">
        <w:rPr>
          <w:b/>
          <w:i/>
          <w:sz w:val="20"/>
          <w:lang w:val="en-AU"/>
        </w:rPr>
        <w:t>67</w:t>
      </w:r>
      <w:r w:rsidR="00527595" w:rsidRPr="00F82C8D">
        <w:rPr>
          <w:b/>
          <w:i/>
          <w:sz w:val="20"/>
          <w:lang w:val="en-AU"/>
        </w:rPr>
        <w:t>(2)]</w:t>
      </w:r>
      <w:r w:rsidR="00394E74" w:rsidRPr="00F82C8D">
        <w:rPr>
          <w:lang w:val="en-AU"/>
        </w:rPr>
        <w:t xml:space="preserve"> </w:t>
      </w:r>
    </w:p>
    <w:p w:rsidR="00527595" w:rsidRPr="00F82C8D" w:rsidRDefault="00A039DA" w:rsidP="00625D31">
      <w:pPr>
        <w:pStyle w:val="ListParagraph"/>
        <w:rPr>
          <w:lang w:val="en-AU"/>
        </w:rPr>
      </w:pPr>
      <w:r w:rsidRPr="00F82C8D">
        <w:rPr>
          <w:lang w:val="en-AU"/>
        </w:rPr>
        <w:t>A</w:t>
      </w:r>
      <w:r w:rsidR="005608B7" w:rsidRPr="00F82C8D">
        <w:rPr>
          <w:lang w:val="en-AU"/>
        </w:rPr>
        <w:t>n application</w:t>
      </w:r>
      <w:r w:rsidRPr="00F82C8D">
        <w:rPr>
          <w:lang w:val="en-AU"/>
        </w:rPr>
        <w:t xml:space="preserve"> cannot be made if </w:t>
      </w:r>
      <w:r w:rsidR="0095107D" w:rsidRPr="00F82C8D">
        <w:rPr>
          <w:lang w:val="en-AU"/>
        </w:rPr>
        <w:t xml:space="preserve">the declaration would overlap with a previous multi-year period declaration or </w:t>
      </w:r>
      <w:r w:rsidR="005608B7" w:rsidRPr="00F82C8D">
        <w:rPr>
          <w:lang w:val="en-AU"/>
        </w:rPr>
        <w:t xml:space="preserve">the applicant has already applied for a variation to the baseline determination because of a reduction in </w:t>
      </w:r>
      <w:r w:rsidR="00BB7C53" w:rsidRPr="00F82C8D">
        <w:rPr>
          <w:lang w:val="en-AU"/>
        </w:rPr>
        <w:t>emissions intens</w:t>
      </w:r>
      <w:r w:rsidR="005608B7" w:rsidRPr="00F82C8D">
        <w:rPr>
          <w:lang w:val="en-AU"/>
        </w:rPr>
        <w:t xml:space="preserve">ity </w:t>
      </w:r>
      <w:r w:rsidR="0095107D" w:rsidRPr="00F82C8D">
        <w:rPr>
          <w:lang w:val="en-AU"/>
        </w:rPr>
        <w:t xml:space="preserve">unless the Regulator refused to make the variation </w:t>
      </w:r>
      <w:r w:rsidR="005608B7" w:rsidRPr="00F82C8D">
        <w:rPr>
          <w:lang w:val="en-AU"/>
        </w:rPr>
        <w:t xml:space="preserve">(see section headed </w:t>
      </w:r>
      <w:fldSimple w:instr=" REF _Ref427572806 \h  \* MERGEFORMAT ">
        <w:r w:rsidR="00F16B1F" w:rsidRPr="00F16B1F">
          <w:rPr>
            <w:i/>
            <w:lang w:val="en-AU"/>
          </w:rPr>
          <w:t>Subdivision 6</w:t>
        </w:r>
        <w:r w:rsidR="00F16B1F" w:rsidRPr="00F16B1F">
          <w:rPr>
            <w:i/>
          </w:rPr>
          <w:t>—</w:t>
        </w:r>
        <w:r w:rsidR="00F16B1F" w:rsidRPr="00F16B1F">
          <w:rPr>
            <w:i/>
            <w:lang w:val="en-AU"/>
          </w:rPr>
          <w:t>Variation of baseline determination for reduction in emissions intensity</w:t>
        </w:r>
      </w:fldSimple>
      <w:r w:rsidR="005608B7" w:rsidRPr="00F82C8D">
        <w:rPr>
          <w:lang w:val="en-AU"/>
        </w:rPr>
        <w:t xml:space="preserve"> on page </w:t>
      </w:r>
      <w:r w:rsidR="00744D5E" w:rsidRPr="00F82C8D">
        <w:rPr>
          <w:lang w:val="en-AU"/>
        </w:rPr>
        <w:fldChar w:fldCharType="begin"/>
      </w:r>
      <w:r w:rsidR="005608B7" w:rsidRPr="00F82C8D">
        <w:rPr>
          <w:lang w:val="en-AU"/>
        </w:rPr>
        <w:instrText xml:space="preserve"> PAGEREF _Ref427572809 \h </w:instrText>
      </w:r>
      <w:r w:rsidR="00744D5E" w:rsidRPr="00F82C8D">
        <w:rPr>
          <w:lang w:val="en-AU"/>
        </w:rPr>
      </w:r>
      <w:r w:rsidR="00744D5E" w:rsidRPr="00F82C8D">
        <w:rPr>
          <w:lang w:val="en-AU"/>
        </w:rPr>
        <w:fldChar w:fldCharType="separate"/>
      </w:r>
      <w:r w:rsidR="00F16B1F">
        <w:rPr>
          <w:noProof/>
          <w:lang w:val="en-AU"/>
        </w:rPr>
        <w:t>78</w:t>
      </w:r>
      <w:r w:rsidR="00744D5E" w:rsidRPr="00F82C8D">
        <w:rPr>
          <w:lang w:val="en-AU"/>
        </w:rPr>
        <w:fldChar w:fldCharType="end"/>
      </w:r>
      <w:r w:rsidR="005608B7" w:rsidRPr="00F82C8D">
        <w:rPr>
          <w:lang w:val="en-AU"/>
        </w:rPr>
        <w:t xml:space="preserve"> of the </w:t>
      </w:r>
      <w:r w:rsidR="00D360AB" w:rsidRPr="00F82C8D">
        <w:rPr>
          <w:lang w:val="en-AU"/>
        </w:rPr>
        <w:t>Exp</w:t>
      </w:r>
      <w:r w:rsidR="0095107D" w:rsidRPr="00F82C8D">
        <w:rPr>
          <w:lang w:val="en-AU"/>
        </w:rPr>
        <w:t>lanatory Statement).</w:t>
      </w:r>
      <w:r w:rsidR="005608B7" w:rsidRPr="00F82C8D">
        <w:rPr>
          <w:lang w:val="en-AU"/>
        </w:rPr>
        <w:t xml:space="preserve"> </w:t>
      </w:r>
      <w:r w:rsidR="0095107D" w:rsidRPr="00F82C8D">
        <w:rPr>
          <w:b/>
          <w:i/>
          <w:sz w:val="20"/>
          <w:lang w:val="en-AU"/>
        </w:rPr>
        <w:t>[subsection 65</w:t>
      </w:r>
      <w:r w:rsidR="00D1669E" w:rsidRPr="00F82C8D">
        <w:rPr>
          <w:b/>
          <w:i/>
          <w:sz w:val="20"/>
          <w:lang w:val="en-AU"/>
        </w:rPr>
        <w:t>(2)]</w:t>
      </w:r>
      <w:r w:rsidR="0095107D" w:rsidRPr="00F82C8D">
        <w:rPr>
          <w:lang w:val="en-AU"/>
        </w:rPr>
        <w:t xml:space="preserve"> </w:t>
      </w:r>
      <w:r w:rsidR="004C5E5E" w:rsidRPr="00F82C8D">
        <w:rPr>
          <w:lang w:val="en-AU"/>
        </w:rPr>
        <w:t>This avoids there being two approaches being simultaneously implemented in response to an excess emissions situation.</w:t>
      </w:r>
    </w:p>
    <w:p w:rsidR="00060E26" w:rsidRPr="00F82C8D" w:rsidRDefault="00527595" w:rsidP="00625D31">
      <w:pPr>
        <w:pStyle w:val="ListParagraph"/>
        <w:rPr>
          <w:lang w:val="en-AU"/>
        </w:rPr>
      </w:pPr>
      <w:r w:rsidRPr="00F82C8D">
        <w:rPr>
          <w:lang w:val="en-AU"/>
        </w:rPr>
        <w:t xml:space="preserve">The Regulator will specify the process, including the form, of the </w:t>
      </w:r>
      <w:r w:rsidR="001B2098" w:rsidRPr="00F82C8D">
        <w:rPr>
          <w:lang w:val="en-AU"/>
        </w:rPr>
        <w:t>application,</w:t>
      </w:r>
      <w:r w:rsidRPr="00F82C8D">
        <w:rPr>
          <w:lang w:val="en-AU"/>
        </w:rPr>
        <w:t xml:space="preserve"> however applications must state why a </w:t>
      </w:r>
      <w:r w:rsidR="0095107D" w:rsidRPr="00F82C8D">
        <w:rPr>
          <w:lang w:val="en-AU"/>
        </w:rPr>
        <w:t>multi-year</w:t>
      </w:r>
      <w:r w:rsidRPr="00F82C8D">
        <w:rPr>
          <w:lang w:val="en-AU"/>
        </w:rPr>
        <w:t xml:space="preserve"> period declaration should be made</w:t>
      </w:r>
      <w:r w:rsidR="0095107D" w:rsidRPr="00F82C8D">
        <w:rPr>
          <w:lang w:val="en-AU"/>
        </w:rPr>
        <w:t xml:space="preserve">. </w:t>
      </w:r>
      <w:r w:rsidRPr="00F82C8D">
        <w:rPr>
          <w:lang w:val="en-AU"/>
        </w:rPr>
        <w:t xml:space="preserve">This statement should explain how the </w:t>
      </w:r>
      <w:r w:rsidR="0095107D" w:rsidRPr="00F82C8D">
        <w:rPr>
          <w:lang w:val="en-AU"/>
        </w:rPr>
        <w:t>multi-year</w:t>
      </w:r>
      <w:r w:rsidRPr="00F82C8D">
        <w:rPr>
          <w:lang w:val="en-AU"/>
        </w:rPr>
        <w:t xml:space="preserve"> period declaration sought would enable the responsible emitter to avoid an excess emissions situation</w:t>
      </w:r>
      <w:r w:rsidR="0095107D" w:rsidRPr="00F82C8D">
        <w:rPr>
          <w:lang w:val="en-AU"/>
        </w:rPr>
        <w:t xml:space="preserve"> for the first year of the declared multi-year period</w:t>
      </w:r>
      <w:r w:rsidRPr="00F82C8D">
        <w:rPr>
          <w:lang w:val="en-AU"/>
        </w:rPr>
        <w:t xml:space="preserve">. </w:t>
      </w:r>
      <w:r w:rsidR="0095107D" w:rsidRPr="00F82C8D">
        <w:rPr>
          <w:b/>
          <w:i/>
          <w:sz w:val="20"/>
          <w:lang w:val="en-AU"/>
        </w:rPr>
        <w:t>[subsection 65</w:t>
      </w:r>
      <w:r w:rsidR="00074D46" w:rsidRPr="00F82C8D">
        <w:rPr>
          <w:b/>
          <w:i/>
          <w:sz w:val="20"/>
          <w:lang w:val="en-AU"/>
        </w:rPr>
        <w:t>(3</w:t>
      </w:r>
      <w:r w:rsidR="0095107D" w:rsidRPr="00F82C8D">
        <w:rPr>
          <w:b/>
          <w:i/>
          <w:sz w:val="20"/>
          <w:lang w:val="en-AU"/>
        </w:rPr>
        <w:t>)</w:t>
      </w:r>
      <w:r w:rsidRPr="00F82C8D">
        <w:rPr>
          <w:b/>
          <w:i/>
          <w:sz w:val="20"/>
          <w:lang w:val="en-AU"/>
        </w:rPr>
        <w:t>]</w:t>
      </w:r>
      <w:r w:rsidRPr="00F82C8D">
        <w:rPr>
          <w:lang w:val="en-AU"/>
        </w:rPr>
        <w:t xml:space="preserve"> </w:t>
      </w:r>
    </w:p>
    <w:p w:rsidR="00527595" w:rsidRPr="00F82C8D" w:rsidRDefault="00411EFA" w:rsidP="00625D31">
      <w:pPr>
        <w:pStyle w:val="ListParagraph"/>
        <w:rPr>
          <w:lang w:val="en-AU"/>
        </w:rPr>
      </w:pPr>
      <w:r w:rsidRPr="00F82C8D">
        <w:rPr>
          <w:lang w:val="en-AU"/>
        </w:rPr>
        <w:t>Once the</w:t>
      </w:r>
      <w:r w:rsidR="00527595" w:rsidRPr="00F82C8D">
        <w:rPr>
          <w:lang w:val="en-AU"/>
        </w:rPr>
        <w:t xml:space="preserve"> Regulator</w:t>
      </w:r>
      <w:r w:rsidRPr="00F82C8D">
        <w:rPr>
          <w:lang w:val="en-AU"/>
        </w:rPr>
        <w:t xml:space="preserve"> has</w:t>
      </w:r>
      <w:r w:rsidR="00527595" w:rsidRPr="00F82C8D">
        <w:rPr>
          <w:lang w:val="en-AU"/>
        </w:rPr>
        <w:t xml:space="preserve"> refuse</w:t>
      </w:r>
      <w:r w:rsidRPr="00F82C8D">
        <w:rPr>
          <w:lang w:val="en-AU"/>
        </w:rPr>
        <w:t>d or approved</w:t>
      </w:r>
      <w:r w:rsidR="00527595" w:rsidRPr="00F82C8D">
        <w:rPr>
          <w:lang w:val="en-AU"/>
        </w:rPr>
        <w:t xml:space="preserve"> an application to make a </w:t>
      </w:r>
      <w:r w:rsidR="0095107D" w:rsidRPr="00F82C8D">
        <w:rPr>
          <w:lang w:val="en-AU"/>
        </w:rPr>
        <w:t>multi-year</w:t>
      </w:r>
      <w:r w:rsidR="00527595" w:rsidRPr="00F82C8D">
        <w:rPr>
          <w:lang w:val="en-AU"/>
        </w:rPr>
        <w:t xml:space="preserve"> period declaration, the Regulator must notify the appli</w:t>
      </w:r>
      <w:r w:rsidRPr="00F82C8D">
        <w:rPr>
          <w:lang w:val="en-AU"/>
        </w:rPr>
        <w:t xml:space="preserve">cant in writing of its decision. If the decision was to make the declaration then details must be published on the Regulator’s website. </w:t>
      </w:r>
      <w:r w:rsidRPr="00F82C8D">
        <w:rPr>
          <w:b/>
          <w:i/>
          <w:sz w:val="20"/>
          <w:lang w:val="en-AU"/>
        </w:rPr>
        <w:t xml:space="preserve">[subsections 67(5) and 67(6)]  </w:t>
      </w:r>
    </w:p>
    <w:p w:rsidR="00527595" w:rsidRPr="00F82C8D" w:rsidRDefault="00527595">
      <w:pPr>
        <w:pStyle w:val="Heading4"/>
      </w:pPr>
      <w:r w:rsidRPr="00F82C8D">
        <w:rPr>
          <w:lang w:val="en-AU"/>
        </w:rPr>
        <w:t>Further information</w:t>
      </w:r>
    </w:p>
    <w:p w:rsidR="00527595" w:rsidRPr="00F82C8D" w:rsidRDefault="00527595" w:rsidP="00625D31">
      <w:pPr>
        <w:pStyle w:val="ListParagraph"/>
        <w:rPr>
          <w:lang w:val="en-AU"/>
        </w:rPr>
      </w:pPr>
      <w:r w:rsidRPr="00F82C8D">
        <w:rPr>
          <w:lang w:val="en-AU"/>
        </w:rPr>
        <w:t xml:space="preserve">The Regulator may require that a responsible emitter provides further information in relation to their application for a </w:t>
      </w:r>
      <w:r w:rsidR="00060E26" w:rsidRPr="00F82C8D">
        <w:rPr>
          <w:lang w:val="en-AU"/>
        </w:rPr>
        <w:t>multi-year</w:t>
      </w:r>
      <w:r w:rsidRPr="00F82C8D">
        <w:rPr>
          <w:lang w:val="en-AU"/>
        </w:rPr>
        <w:t xml:space="preserve"> period declaration. </w:t>
      </w:r>
      <w:r w:rsidR="0095107D" w:rsidRPr="00F82C8D">
        <w:rPr>
          <w:b/>
          <w:i/>
          <w:sz w:val="20"/>
          <w:lang w:val="en-AU"/>
        </w:rPr>
        <w:t>[section 66</w:t>
      </w:r>
      <w:r w:rsidRPr="00F82C8D">
        <w:rPr>
          <w:b/>
          <w:i/>
          <w:sz w:val="20"/>
          <w:lang w:val="en-AU"/>
        </w:rPr>
        <w:t>]</w:t>
      </w:r>
      <w:r w:rsidRPr="00F82C8D">
        <w:rPr>
          <w:lang w:val="en-AU"/>
        </w:rPr>
        <w:t xml:space="preserve"> If the Regulator’s request includes a deadline by which the further information must be given and the applicant fails to meet this deadline, the Regulator is not obliged to take any further action with respect to the application. </w:t>
      </w:r>
      <w:r w:rsidR="0095107D" w:rsidRPr="00F82C8D">
        <w:rPr>
          <w:b/>
          <w:i/>
          <w:sz w:val="20"/>
          <w:lang w:val="en-AU"/>
        </w:rPr>
        <w:t>[subsection 66</w:t>
      </w:r>
      <w:r w:rsidR="00074D46" w:rsidRPr="00F82C8D">
        <w:rPr>
          <w:b/>
          <w:i/>
          <w:sz w:val="20"/>
          <w:lang w:val="en-AU"/>
        </w:rPr>
        <w:t>(</w:t>
      </w:r>
      <w:r w:rsidRPr="00F82C8D">
        <w:rPr>
          <w:b/>
          <w:i/>
          <w:sz w:val="20"/>
          <w:lang w:val="en-AU"/>
        </w:rPr>
        <w:t>2)]</w:t>
      </w:r>
    </w:p>
    <w:p w:rsidR="00527595" w:rsidRPr="00F82C8D" w:rsidRDefault="00527595" w:rsidP="00527595">
      <w:pPr>
        <w:pStyle w:val="Heading4"/>
        <w:rPr>
          <w:lang w:val="en-AU"/>
        </w:rPr>
      </w:pPr>
      <w:r w:rsidRPr="00F82C8D">
        <w:rPr>
          <w:lang w:val="en-AU"/>
        </w:rPr>
        <w:t>Decision making criteria</w:t>
      </w:r>
    </w:p>
    <w:p w:rsidR="00644B15" w:rsidRPr="00F82C8D" w:rsidRDefault="00CA34A6" w:rsidP="00147BF0">
      <w:pPr>
        <w:pStyle w:val="ListParagraph"/>
        <w:rPr>
          <w:lang w:val="en-AU"/>
        </w:rPr>
      </w:pPr>
      <w:r w:rsidRPr="00F82C8D">
        <w:rPr>
          <w:lang w:val="en-AU"/>
        </w:rPr>
        <w:t xml:space="preserve">The Regulator has discretion regarding whether or not to make a </w:t>
      </w:r>
      <w:r w:rsidR="00644B15" w:rsidRPr="00F82C8D">
        <w:rPr>
          <w:lang w:val="en-AU"/>
        </w:rPr>
        <w:t>multi-year</w:t>
      </w:r>
      <w:r w:rsidRPr="00F82C8D">
        <w:rPr>
          <w:lang w:val="en-AU"/>
        </w:rPr>
        <w:t xml:space="preserve"> period declaration. Relevant considerations include the responsible emitter’s compliance history </w:t>
      </w:r>
      <w:r w:rsidR="0095107D" w:rsidRPr="00F82C8D">
        <w:rPr>
          <w:b/>
          <w:i/>
          <w:sz w:val="20"/>
          <w:lang w:val="en-AU"/>
        </w:rPr>
        <w:t>[paragraph 67</w:t>
      </w:r>
      <w:r w:rsidRPr="00F82C8D">
        <w:rPr>
          <w:b/>
          <w:i/>
          <w:sz w:val="20"/>
          <w:lang w:val="en-AU"/>
        </w:rPr>
        <w:t>(2)(a)]</w:t>
      </w:r>
      <w:r w:rsidRPr="00F82C8D">
        <w:rPr>
          <w:lang w:val="en-AU"/>
        </w:rPr>
        <w:t>, the strength of the evidence provided that the requested</w:t>
      </w:r>
      <w:r w:rsidR="00BC1ECE" w:rsidRPr="00F82C8D">
        <w:rPr>
          <w:lang w:val="en-AU"/>
        </w:rPr>
        <w:t xml:space="preserve"> declared</w:t>
      </w:r>
      <w:r w:rsidRPr="00F82C8D">
        <w:rPr>
          <w:lang w:val="en-AU"/>
        </w:rPr>
        <w:t xml:space="preserve"> multi-year period would enable the responsible emitter to avoid an excess emissions situation </w:t>
      </w:r>
      <w:r w:rsidR="000E7C58" w:rsidRPr="00F82C8D">
        <w:rPr>
          <w:b/>
          <w:i/>
          <w:sz w:val="20"/>
          <w:lang w:val="en-AU"/>
        </w:rPr>
        <w:t>[subsection 67</w:t>
      </w:r>
      <w:r w:rsidRPr="00F82C8D">
        <w:rPr>
          <w:b/>
          <w:i/>
          <w:sz w:val="20"/>
          <w:lang w:val="en-AU"/>
        </w:rPr>
        <w:t>(2(b)]</w:t>
      </w:r>
      <w:r w:rsidRPr="00F82C8D">
        <w:rPr>
          <w:lang w:val="en-AU"/>
        </w:rPr>
        <w:t xml:space="preserve"> and whether the responsible emitter has proposed to enter an enforceable undertaking </w:t>
      </w:r>
      <w:r w:rsidR="00BC1ECE" w:rsidRPr="00F82C8D">
        <w:rPr>
          <w:b/>
          <w:i/>
          <w:sz w:val="20"/>
          <w:lang w:val="en-AU"/>
        </w:rPr>
        <w:t>[paragraph </w:t>
      </w:r>
      <w:r w:rsidR="000E7C58" w:rsidRPr="00F82C8D">
        <w:rPr>
          <w:b/>
          <w:i/>
          <w:sz w:val="20"/>
          <w:lang w:val="en-AU"/>
        </w:rPr>
        <w:t>67</w:t>
      </w:r>
      <w:r w:rsidRPr="00F82C8D">
        <w:rPr>
          <w:b/>
          <w:i/>
          <w:sz w:val="20"/>
          <w:lang w:val="en-AU"/>
        </w:rPr>
        <w:t>(2)(c)].</w:t>
      </w:r>
      <w:r w:rsidRPr="00F82C8D">
        <w:rPr>
          <w:lang w:val="en-AU"/>
        </w:rPr>
        <w:t xml:space="preserve"> If an enforceable undertaking has been proposed, the matters prescribed in the undertaking could include measures aiming to reduce the covered emissions of the facility, the net emissions number, or both.</w:t>
      </w:r>
      <w:r w:rsidR="00942D59" w:rsidRPr="00F82C8D">
        <w:rPr>
          <w:lang w:val="en-AU"/>
        </w:rPr>
        <w:t xml:space="preserve"> </w:t>
      </w:r>
      <w:r w:rsidR="00644B15" w:rsidRPr="00F82C8D">
        <w:rPr>
          <w:lang w:val="en-AU"/>
        </w:rPr>
        <w:t>Generally, it is expected that a responsible emitter would only propose to enter an enforceable undertaking due to having a history of noncompliance. This would help reassure the Regulator that measures for avoiding an excess emissions situation will be implemented despite a history of noncompliance.</w:t>
      </w:r>
    </w:p>
    <w:p w:rsidR="00DB293E" w:rsidRPr="00F82C8D" w:rsidRDefault="00CA34A6">
      <w:pPr>
        <w:pStyle w:val="Quote"/>
      </w:pPr>
      <w:r w:rsidRPr="00F82C8D">
        <w:t xml:space="preserve">For example, a measure specified in an enforceable undertaking proposed in conjunction with a </w:t>
      </w:r>
      <w:r w:rsidR="00E11FB8" w:rsidRPr="00F82C8D">
        <w:t xml:space="preserve">multi-year </w:t>
      </w:r>
      <w:r w:rsidRPr="00F82C8D">
        <w:t>period declaration application may aim to reduce the scope 1 emissions of the facility. Alternatively, it could outline a plan to acquire and surrender</w:t>
      </w:r>
      <w:r w:rsidR="007329DC" w:rsidRPr="00F82C8D">
        <w:t xml:space="preserve"> prescribed units. In </w:t>
      </w:r>
      <w:r w:rsidR="00BA6BE0" w:rsidRPr="00F82C8D">
        <w:t xml:space="preserve">addition </w:t>
      </w:r>
      <w:r w:rsidR="007329DC" w:rsidRPr="00F82C8D">
        <w:t xml:space="preserve">to these criteria, the Regulator may consider other matters it considers relevant. </w:t>
      </w:r>
      <w:r w:rsidR="00FB39D6" w:rsidRPr="00F82C8D">
        <w:rPr>
          <w:b/>
          <w:i/>
          <w:sz w:val="20"/>
        </w:rPr>
        <w:t xml:space="preserve">[paragraph </w:t>
      </w:r>
      <w:r w:rsidR="000E7C58" w:rsidRPr="00F82C8D">
        <w:rPr>
          <w:b/>
          <w:i/>
          <w:sz w:val="20"/>
        </w:rPr>
        <w:t>67</w:t>
      </w:r>
      <w:r w:rsidRPr="00F82C8D">
        <w:rPr>
          <w:b/>
          <w:i/>
          <w:sz w:val="20"/>
        </w:rPr>
        <w:t>(2)(d)]</w:t>
      </w:r>
    </w:p>
    <w:p w:rsidR="00CA34A6" w:rsidRPr="00F82C8D" w:rsidRDefault="000E7C58" w:rsidP="00CA34A6">
      <w:pPr>
        <w:rPr>
          <w:rFonts w:cs="Times New Roman"/>
          <w:i/>
          <w:lang w:val="en-AU"/>
        </w:rPr>
      </w:pPr>
      <w:r w:rsidRPr="00F82C8D">
        <w:rPr>
          <w:rFonts w:cs="Times New Roman"/>
          <w:i/>
          <w:lang w:val="en-AU"/>
        </w:rPr>
        <w:t>Timing</w:t>
      </w:r>
    </w:p>
    <w:p w:rsidR="00CA34A6" w:rsidRPr="00F82C8D" w:rsidRDefault="00CA34A6" w:rsidP="00CA34A6">
      <w:pPr>
        <w:pStyle w:val="ListParagraph"/>
        <w:rPr>
          <w:lang w:val="en-AU"/>
        </w:rPr>
      </w:pPr>
      <w:r w:rsidRPr="00F82C8D">
        <w:rPr>
          <w:lang w:val="en-AU"/>
        </w:rPr>
        <w:t xml:space="preserve">A </w:t>
      </w:r>
      <w:r w:rsidR="000E7C58" w:rsidRPr="00F82C8D">
        <w:rPr>
          <w:lang w:val="en-AU"/>
        </w:rPr>
        <w:t>multi-year</w:t>
      </w:r>
      <w:r w:rsidRPr="00F82C8D">
        <w:rPr>
          <w:lang w:val="en-AU"/>
        </w:rPr>
        <w:t xml:space="preserve"> period declaration application must be lodged with the Regulator prior to the 31 October following the end of the first financial year </w:t>
      </w:r>
      <w:r w:rsidR="00871376" w:rsidRPr="00F82C8D">
        <w:rPr>
          <w:lang w:val="en-AU"/>
        </w:rPr>
        <w:t>of</w:t>
      </w:r>
      <w:r w:rsidRPr="00F82C8D">
        <w:rPr>
          <w:lang w:val="en-AU"/>
        </w:rPr>
        <w:t xml:space="preserve"> </w:t>
      </w:r>
      <w:r w:rsidR="00871376" w:rsidRPr="00F82C8D">
        <w:rPr>
          <w:lang w:val="en-AU"/>
        </w:rPr>
        <w:t xml:space="preserve">the </w:t>
      </w:r>
      <w:r w:rsidR="00942D59" w:rsidRPr="00F82C8D">
        <w:rPr>
          <w:lang w:val="en-AU"/>
        </w:rPr>
        <w:t>requested multi</w:t>
      </w:r>
      <w:r w:rsidR="000E7C58" w:rsidRPr="00F82C8D">
        <w:rPr>
          <w:lang w:val="en-AU"/>
        </w:rPr>
        <w:t>-year</w:t>
      </w:r>
      <w:r w:rsidRPr="00F82C8D">
        <w:rPr>
          <w:lang w:val="en-AU"/>
        </w:rPr>
        <w:t xml:space="preserve"> period. </w:t>
      </w:r>
      <w:r w:rsidRPr="00F82C8D">
        <w:rPr>
          <w:b/>
          <w:i/>
          <w:sz w:val="20"/>
          <w:lang w:val="en-AU"/>
        </w:rPr>
        <w:t>[subsection 6</w:t>
      </w:r>
      <w:r w:rsidR="000E7C58" w:rsidRPr="00F82C8D">
        <w:rPr>
          <w:b/>
          <w:i/>
          <w:sz w:val="20"/>
          <w:lang w:val="en-AU"/>
        </w:rPr>
        <w:t>5</w:t>
      </w:r>
      <w:r w:rsidRPr="00F82C8D">
        <w:rPr>
          <w:b/>
          <w:i/>
          <w:sz w:val="20"/>
          <w:lang w:val="en-AU"/>
        </w:rPr>
        <w:t>(4)]</w:t>
      </w:r>
      <w:r w:rsidR="00942D59" w:rsidRPr="00F82C8D">
        <w:rPr>
          <w:lang w:val="en-AU"/>
        </w:rPr>
        <w:t xml:space="preserve"> </w:t>
      </w:r>
      <w:r w:rsidR="00871376" w:rsidRPr="00F82C8D">
        <w:rPr>
          <w:lang w:val="en-AU"/>
        </w:rPr>
        <w:t xml:space="preserve">However, if the responsible emitter provides reasons why it was impractical to meet the 31 October deadline, the Regulator may accept an application made no later than 1 February after the deadline. </w:t>
      </w:r>
      <w:r w:rsidR="00871376" w:rsidRPr="00F82C8D">
        <w:rPr>
          <w:b/>
          <w:i/>
          <w:sz w:val="20"/>
          <w:lang w:val="en-AU"/>
        </w:rPr>
        <w:t>[subsection 65(6)]</w:t>
      </w:r>
      <w:r w:rsidR="00871376" w:rsidRPr="00F82C8D">
        <w:rPr>
          <w:lang w:val="en-AU"/>
        </w:rPr>
        <w:t xml:space="preserve">  </w:t>
      </w:r>
    </w:p>
    <w:p w:rsidR="00CA34A6" w:rsidRPr="00F82C8D" w:rsidRDefault="00CA34A6" w:rsidP="00CA34A6">
      <w:pPr>
        <w:pStyle w:val="ListParagraph"/>
        <w:rPr>
          <w:lang w:val="en-AU"/>
        </w:rPr>
      </w:pPr>
      <w:r w:rsidRPr="00F82C8D">
        <w:rPr>
          <w:lang w:val="en-AU"/>
        </w:rPr>
        <w:t>In return, the Regulator must take all reasonable steps to ensure that a decision is made on the application within 60 days after the application was made, or, if the Regulator required the applicant to give further</w:t>
      </w:r>
      <w:r w:rsidR="000E7C58" w:rsidRPr="00F82C8D">
        <w:rPr>
          <w:lang w:val="en-AU"/>
        </w:rPr>
        <w:t xml:space="preserve"> information under subsection 66</w:t>
      </w:r>
      <w:r w:rsidRPr="00F82C8D">
        <w:rPr>
          <w:lang w:val="en-AU"/>
        </w:rPr>
        <w:t xml:space="preserve">(1), within 60 days after the applicant gave the Regulator the information </w:t>
      </w:r>
      <w:r w:rsidR="00871376" w:rsidRPr="00F82C8D">
        <w:rPr>
          <w:b/>
          <w:i/>
          <w:sz w:val="20"/>
          <w:lang w:val="en-AU"/>
        </w:rPr>
        <w:t>[subsection 67</w:t>
      </w:r>
      <w:r w:rsidRPr="00F82C8D">
        <w:rPr>
          <w:b/>
          <w:i/>
          <w:sz w:val="20"/>
          <w:lang w:val="en-AU"/>
        </w:rPr>
        <w:t>(4)]</w:t>
      </w:r>
      <w:r w:rsidRPr="00F82C8D">
        <w:rPr>
          <w:lang w:val="en-AU"/>
        </w:rPr>
        <w:t xml:space="preserve"> These deadlines</w:t>
      </w:r>
      <w:r w:rsidR="00871376" w:rsidRPr="00F82C8D">
        <w:rPr>
          <w:lang w:val="en-AU"/>
        </w:rPr>
        <w:t xml:space="preserve"> help</w:t>
      </w:r>
      <w:r w:rsidRPr="00F82C8D">
        <w:rPr>
          <w:lang w:val="en-AU"/>
        </w:rPr>
        <w:t xml:space="preserve"> ensure adequate notice of the application result bef</w:t>
      </w:r>
      <w:r w:rsidR="0051284B" w:rsidRPr="00F82C8D">
        <w:rPr>
          <w:lang w:val="en-AU"/>
        </w:rPr>
        <w:t>ore the 1 March compliance date, set out in subsection </w:t>
      </w:r>
      <w:r w:rsidRPr="00F82C8D">
        <w:rPr>
          <w:lang w:val="en-AU"/>
        </w:rPr>
        <w:t>22XF(1) of the Act</w:t>
      </w:r>
      <w:r w:rsidR="0051284B" w:rsidRPr="00F82C8D">
        <w:rPr>
          <w:lang w:val="en-AU"/>
        </w:rPr>
        <w:t>.</w:t>
      </w:r>
    </w:p>
    <w:p w:rsidR="00411EFA" w:rsidRPr="00F82C8D" w:rsidRDefault="009D5450" w:rsidP="00554A41">
      <w:pPr>
        <w:pStyle w:val="Heading3"/>
      </w:pPr>
      <w:bookmarkStart w:id="138" w:name="_Toc430594827"/>
      <w:r w:rsidRPr="00F82C8D">
        <w:t xml:space="preserve">Section 68: </w:t>
      </w:r>
      <w:r w:rsidR="00411EFA" w:rsidRPr="00F82C8D">
        <w:t xml:space="preserve">Variation or revocation of </w:t>
      </w:r>
      <w:r w:rsidR="00943791" w:rsidRPr="00F82C8D">
        <w:t>multi-year period declaration</w:t>
      </w:r>
      <w:r w:rsidR="00411EFA" w:rsidRPr="00F82C8D">
        <w:t xml:space="preserve"> on request</w:t>
      </w:r>
      <w:bookmarkEnd w:id="138"/>
    </w:p>
    <w:p w:rsidR="00554A41" w:rsidRPr="00F82C8D" w:rsidRDefault="00D25A9D" w:rsidP="002145D9">
      <w:pPr>
        <w:pStyle w:val="ListParagraph"/>
      </w:pPr>
      <w:r w:rsidRPr="00F82C8D">
        <w:t xml:space="preserve">The responsible emitter for a facility with a multi-year period declaration in force, can apply to the Regulator to have it changed or revoked. The possible changes are to increase a two year period to three years, or to decrease a three year period to two years. </w:t>
      </w:r>
      <w:r w:rsidRPr="00F82C8D">
        <w:rPr>
          <w:b/>
          <w:i/>
          <w:sz w:val="20"/>
        </w:rPr>
        <w:t>[subsection 68(1)]</w:t>
      </w:r>
      <w:r w:rsidRPr="00F82C8D">
        <w:t xml:space="preserve"> An example of where this provision could be useful is if the responsible emitter for a facility changes midway through a multi-year period declaration and the new responsible emitter wishes to avoid an excess emissions situation in a different way.</w:t>
      </w:r>
    </w:p>
    <w:p w:rsidR="00D25A9D" w:rsidRPr="00F82C8D" w:rsidRDefault="009E23FC" w:rsidP="002145D9">
      <w:pPr>
        <w:pStyle w:val="ListParagraph"/>
        <w:rPr>
          <w:lang w:val="en-AU"/>
        </w:rPr>
      </w:pPr>
      <w:r w:rsidRPr="00F82C8D">
        <w:rPr>
          <w:lang w:val="en-AU"/>
        </w:rPr>
        <w:t>An</w:t>
      </w:r>
      <w:r w:rsidR="00D25A9D" w:rsidRPr="00F82C8D">
        <w:rPr>
          <w:lang w:val="en-AU"/>
        </w:rPr>
        <w:t xml:space="preserve"> application </w:t>
      </w:r>
      <w:r w:rsidRPr="00F82C8D">
        <w:rPr>
          <w:lang w:val="en-AU"/>
        </w:rPr>
        <w:t>must include the reasons for the requested</w:t>
      </w:r>
      <w:r w:rsidR="00D25A9D" w:rsidRPr="00F82C8D">
        <w:rPr>
          <w:lang w:val="en-AU"/>
        </w:rPr>
        <w:t xml:space="preserve"> change or </w:t>
      </w:r>
      <w:r w:rsidR="00BF2323" w:rsidRPr="00F82C8D">
        <w:rPr>
          <w:lang w:val="en-AU"/>
        </w:rPr>
        <w:t>revocation of</w:t>
      </w:r>
      <w:r w:rsidRPr="00F82C8D">
        <w:rPr>
          <w:lang w:val="en-AU"/>
        </w:rPr>
        <w:t xml:space="preserve"> the multi-year period declaration, and if relevant, include the written consent of others that could be impacted by the change or revocation. </w:t>
      </w:r>
      <w:r w:rsidR="002145D9" w:rsidRPr="00F82C8D">
        <w:rPr>
          <w:b/>
          <w:i/>
          <w:sz w:val="20"/>
        </w:rPr>
        <w:t>[subsection 68(2)]</w:t>
      </w:r>
    </w:p>
    <w:p w:rsidR="002145D9" w:rsidRPr="00F82C8D" w:rsidRDefault="009E23FC" w:rsidP="00BF2323">
      <w:pPr>
        <w:pStyle w:val="Quote"/>
      </w:pPr>
      <w:r w:rsidRPr="00F82C8D">
        <w:t>For example, a designated large facility with a multi-year monitoring period is being sold. The incumbent responsible emitter has agreed as a condition of the sale to revoke the multi-year period declaration.</w:t>
      </w:r>
      <w:r w:rsidR="00942D59" w:rsidRPr="00F82C8D">
        <w:t xml:space="preserve"> </w:t>
      </w:r>
      <w:r w:rsidRPr="00F82C8D">
        <w:t>The application must include written consent</w:t>
      </w:r>
      <w:r w:rsidR="00BF2323" w:rsidRPr="00F82C8D">
        <w:t xml:space="preserve"> of the revocation from the person who will be the responsible emitter following the sale</w:t>
      </w:r>
      <w:r w:rsidRPr="00F82C8D">
        <w:t xml:space="preserve">. </w:t>
      </w:r>
    </w:p>
    <w:p w:rsidR="00BF2323" w:rsidRPr="00F82C8D" w:rsidRDefault="00BF2323" w:rsidP="00BF2323">
      <w:pPr>
        <w:pStyle w:val="ListParagraph"/>
        <w:rPr>
          <w:lang w:val="en-AU"/>
        </w:rPr>
      </w:pPr>
      <w:r w:rsidRPr="00F82C8D">
        <w:rPr>
          <w:lang w:val="en-AU"/>
        </w:rPr>
        <w:t xml:space="preserve">Once the Regulator has decided to accept or not the application, they must provide written notice of their decision to the application. If the decision was to accept the application, then the Regulator must also publish the details of the varied or revoked declaration on its website. </w:t>
      </w:r>
      <w:r w:rsidRPr="00F82C8D">
        <w:rPr>
          <w:b/>
          <w:i/>
          <w:sz w:val="20"/>
        </w:rPr>
        <w:t>[subsections 68(4) and 68(5)]</w:t>
      </w:r>
    </w:p>
    <w:p w:rsidR="009D5450" w:rsidRPr="00F82C8D" w:rsidRDefault="009D5450" w:rsidP="00554A41">
      <w:pPr>
        <w:pStyle w:val="Heading3"/>
      </w:pPr>
      <w:bookmarkStart w:id="139" w:name="_Toc430594828"/>
      <w:r w:rsidRPr="00F82C8D">
        <w:t xml:space="preserve">Section 69: </w:t>
      </w:r>
      <w:r w:rsidR="00634E16" w:rsidRPr="00F82C8D">
        <w:t>R</w:t>
      </w:r>
      <w:r w:rsidRPr="00F82C8D">
        <w:t>evocation of multi-year period declaration because of false or misleading information</w:t>
      </w:r>
      <w:bookmarkEnd w:id="139"/>
    </w:p>
    <w:p w:rsidR="00BF2323" w:rsidRPr="00F82C8D" w:rsidRDefault="00BF2323" w:rsidP="00BF2323">
      <w:pPr>
        <w:pStyle w:val="ListParagraph"/>
        <w:numPr>
          <w:ilvl w:val="1"/>
          <w:numId w:val="47"/>
        </w:numPr>
      </w:pPr>
      <w:r w:rsidRPr="00F82C8D">
        <w:t>There may be grounds for the Regulator to revoke a multi-year period declaration if information provided by the responsible emitter in connection with the making of the declaration was false or misleading in a material particular. Material particular means that the Regulator may not have decided to make the multi-year period declaration if the information in question had</w:t>
      </w:r>
      <w:r w:rsidR="00942D59" w:rsidRPr="00F82C8D">
        <w:t xml:space="preserve"> </w:t>
      </w:r>
      <w:r w:rsidRPr="00F82C8D">
        <w:t xml:space="preserve">not been provided. </w:t>
      </w:r>
      <w:r w:rsidRPr="00F82C8D">
        <w:rPr>
          <w:b/>
          <w:i/>
          <w:sz w:val="20"/>
          <w:lang w:val="en-AU"/>
        </w:rPr>
        <w:t>[subsection 69(1)]</w:t>
      </w:r>
      <w:r w:rsidRPr="00F82C8D">
        <w:rPr>
          <w:lang w:val="en-AU"/>
        </w:rPr>
        <w:t xml:space="preserve"> </w:t>
      </w:r>
      <w:r w:rsidRPr="00F82C8D">
        <w:t xml:space="preserve">  </w:t>
      </w:r>
    </w:p>
    <w:p w:rsidR="00BF2323" w:rsidRPr="00F82C8D" w:rsidRDefault="00BF2323" w:rsidP="00BF2323">
      <w:pPr>
        <w:pStyle w:val="ListParagraph"/>
      </w:pPr>
      <w:r w:rsidRPr="00F82C8D">
        <w:t xml:space="preserve">The Regulator will notify the relevant responsible emitter of its intention to revoke their declaration and give them the opportunity to provide comments by a date specified in the notice. Within 30 calendar days of this date, the Regulator will use all reasonable endeavours to decide to revoke, or not, the multi-year period declaration considering any comments received by the due date in the notice. </w:t>
      </w:r>
      <w:r w:rsidRPr="00F82C8D">
        <w:rPr>
          <w:b/>
          <w:i/>
          <w:sz w:val="20"/>
          <w:lang w:val="en-AU"/>
        </w:rPr>
        <w:t>[subsections 69(2) and 69(3)]</w:t>
      </w:r>
      <w:r w:rsidRPr="00F82C8D">
        <w:rPr>
          <w:lang w:val="en-AU"/>
        </w:rPr>
        <w:t xml:space="preserve"> </w:t>
      </w:r>
      <w:r w:rsidRPr="00F82C8D">
        <w:t xml:space="preserve">  </w:t>
      </w:r>
    </w:p>
    <w:p w:rsidR="00411EFA" w:rsidRPr="00F82C8D" w:rsidRDefault="00BF2323" w:rsidP="00554A41">
      <w:pPr>
        <w:pStyle w:val="ListParagraph"/>
      </w:pPr>
      <w:r w:rsidRPr="00F82C8D">
        <w:t>If the Regulator revokes a declaration, then it must notify the responsible emitter about this and publish details of the revocation of the declaration on its website.</w:t>
      </w:r>
      <w:r w:rsidR="00942D59" w:rsidRPr="00F82C8D">
        <w:t xml:space="preserve"> </w:t>
      </w:r>
      <w:r w:rsidRPr="00F82C8D">
        <w:rPr>
          <w:b/>
          <w:i/>
          <w:sz w:val="20"/>
          <w:lang w:val="en-AU"/>
        </w:rPr>
        <w:t>[subsection 69(4)]</w:t>
      </w:r>
      <w:r w:rsidRPr="00F82C8D">
        <w:rPr>
          <w:lang w:val="en-AU"/>
        </w:rPr>
        <w:t xml:space="preserve"> </w:t>
      </w:r>
      <w:r w:rsidRPr="00F82C8D">
        <w:t xml:space="preserve">  </w:t>
      </w:r>
    </w:p>
    <w:p w:rsidR="00773D53" w:rsidRPr="00F82C8D" w:rsidRDefault="00773D53" w:rsidP="00773D53">
      <w:pPr>
        <w:pStyle w:val="Heading2"/>
        <w:rPr>
          <w:lang w:bidi="ar-SA"/>
        </w:rPr>
      </w:pPr>
      <w:bookmarkStart w:id="140" w:name="_Toc431975857"/>
      <w:r w:rsidRPr="00F82C8D">
        <w:rPr>
          <w:lang w:bidi="ar-SA"/>
        </w:rPr>
        <w:t xml:space="preserve">Division </w:t>
      </w:r>
      <w:r w:rsidR="00D6727F" w:rsidRPr="00F82C8D">
        <w:rPr>
          <w:lang w:bidi="ar-SA"/>
        </w:rPr>
        <w:t>3</w:t>
      </w:r>
      <w:r w:rsidRPr="00F82C8D">
        <w:t>—</w:t>
      </w:r>
      <w:r w:rsidRPr="00F82C8D">
        <w:rPr>
          <w:lang w:bidi="ar-SA"/>
        </w:rPr>
        <w:t>Notification and publication requirements</w:t>
      </w:r>
      <w:bookmarkEnd w:id="140"/>
    </w:p>
    <w:p w:rsidR="00773D53" w:rsidRPr="00F82C8D" w:rsidRDefault="005D4BF6" w:rsidP="00773D53">
      <w:pPr>
        <w:pStyle w:val="Heading3"/>
      </w:pPr>
      <w:r w:rsidRPr="00F82C8D">
        <w:t xml:space="preserve">Section </w:t>
      </w:r>
      <w:r w:rsidR="00BF2323" w:rsidRPr="00F82C8D">
        <w:t>70</w:t>
      </w:r>
      <w:r w:rsidR="00773D53" w:rsidRPr="00F82C8D">
        <w:t xml:space="preserve">: Operation of this Division </w:t>
      </w:r>
    </w:p>
    <w:p w:rsidR="00773D53" w:rsidRPr="00F82C8D" w:rsidRDefault="00773D53" w:rsidP="00625D31">
      <w:pPr>
        <w:pStyle w:val="ListParagraph"/>
        <w:rPr>
          <w:lang w:val="en-AU"/>
        </w:rPr>
      </w:pPr>
      <w:r w:rsidRPr="00F82C8D">
        <w:rPr>
          <w:lang w:val="en-AU"/>
        </w:rPr>
        <w:t>This division provides for advisory notices and the general publication of information about the safeguard mechanism.</w:t>
      </w:r>
    </w:p>
    <w:p w:rsidR="00527595" w:rsidRPr="00F82C8D" w:rsidRDefault="00BF2323" w:rsidP="00527595">
      <w:pPr>
        <w:pStyle w:val="Heading3"/>
        <w:rPr>
          <w:lang w:bidi="ar-SA"/>
        </w:rPr>
      </w:pPr>
      <w:r w:rsidRPr="00F82C8D">
        <w:rPr>
          <w:lang w:bidi="ar-SA"/>
        </w:rPr>
        <w:t>Section 71</w:t>
      </w:r>
      <w:r w:rsidR="00773D53" w:rsidRPr="00F82C8D">
        <w:rPr>
          <w:lang w:bidi="ar-SA"/>
        </w:rPr>
        <w:t xml:space="preserve">: </w:t>
      </w:r>
      <w:r w:rsidR="00527595" w:rsidRPr="00F82C8D">
        <w:rPr>
          <w:lang w:bidi="ar-SA"/>
        </w:rPr>
        <w:t>Advisory notices</w:t>
      </w:r>
    </w:p>
    <w:p w:rsidR="00527595" w:rsidRPr="00F82C8D" w:rsidRDefault="00527595" w:rsidP="00625D31">
      <w:pPr>
        <w:pStyle w:val="ListParagraph"/>
        <w:rPr>
          <w:lang w:val="en-AU"/>
        </w:rPr>
      </w:pPr>
      <w:r w:rsidRPr="00F82C8D">
        <w:rPr>
          <w:lang w:val="en-AU"/>
        </w:rPr>
        <w:t>The Regulator has broad discretion over the content of the advisory notices it provides to responsible emitters in the course of administering the safeguard mechanism</w:t>
      </w:r>
      <w:r w:rsidR="00EB29A9" w:rsidRPr="00F82C8D">
        <w:rPr>
          <w:lang w:val="en-AU"/>
        </w:rPr>
        <w:t>, as stipulated under section 22XP of the Act</w:t>
      </w:r>
      <w:r w:rsidR="00BA732C" w:rsidRPr="00F82C8D">
        <w:rPr>
          <w:lang w:val="en-AU"/>
        </w:rPr>
        <w:t>.</w:t>
      </w:r>
      <w:r w:rsidRPr="00F82C8D">
        <w:rPr>
          <w:lang w:val="en-AU"/>
        </w:rPr>
        <w:t xml:space="preserve"> There are, however, certain matters about a facility that the Regulator must notify the responsible emitter </w:t>
      </w:r>
      <w:r w:rsidR="005D4BF6" w:rsidRPr="00F82C8D">
        <w:rPr>
          <w:b/>
          <w:i/>
          <w:sz w:val="20"/>
          <w:lang w:val="en-AU"/>
        </w:rPr>
        <w:t xml:space="preserve">[subsection </w:t>
      </w:r>
      <w:r w:rsidR="00BF2323" w:rsidRPr="00F82C8D">
        <w:rPr>
          <w:b/>
          <w:i/>
          <w:sz w:val="20"/>
          <w:lang w:val="en-AU"/>
        </w:rPr>
        <w:t>71</w:t>
      </w:r>
      <w:r w:rsidRPr="00F82C8D">
        <w:rPr>
          <w:b/>
          <w:i/>
          <w:sz w:val="20"/>
          <w:lang w:val="en-AU"/>
        </w:rPr>
        <w:t>(1)]</w:t>
      </w:r>
    </w:p>
    <w:p w:rsidR="00527595" w:rsidRPr="00F82C8D" w:rsidRDefault="00527595" w:rsidP="00527595">
      <w:pPr>
        <w:pStyle w:val="Heading4"/>
        <w:rPr>
          <w:lang w:val="en-AU"/>
        </w:rPr>
      </w:pPr>
      <w:r w:rsidRPr="00F82C8D">
        <w:rPr>
          <w:lang w:val="en-AU"/>
        </w:rPr>
        <w:t>Certain net emissions number increases and decreases</w:t>
      </w:r>
    </w:p>
    <w:p w:rsidR="00CA34A6" w:rsidRPr="00F82C8D" w:rsidRDefault="00CA34A6" w:rsidP="00147BF0">
      <w:pPr>
        <w:pStyle w:val="ListParagraph"/>
        <w:rPr>
          <w:lang w:val="en-AU"/>
        </w:rPr>
      </w:pPr>
      <w:r w:rsidRPr="00F82C8D">
        <w:rPr>
          <w:lang w:val="en-AU"/>
        </w:rPr>
        <w:t xml:space="preserve">The Regulator must notify the responsible emitter that the net emissions number of their facility has increased because </w:t>
      </w:r>
      <w:r w:rsidR="006B6C36" w:rsidRPr="00F82C8D">
        <w:rPr>
          <w:lang w:val="en-AU"/>
        </w:rPr>
        <w:t xml:space="preserve">ACCUs </w:t>
      </w:r>
      <w:r w:rsidRPr="00F82C8D">
        <w:rPr>
          <w:lang w:val="en-AU"/>
        </w:rPr>
        <w:t xml:space="preserve">were issued in relation to the facility </w:t>
      </w:r>
      <w:bookmarkStart w:id="141" w:name="OLE_LINK7"/>
      <w:r w:rsidRPr="00F82C8D">
        <w:rPr>
          <w:lang w:val="en-AU"/>
        </w:rPr>
        <w:t>in accord</w:t>
      </w:r>
      <w:r w:rsidR="006B6C36" w:rsidRPr="00F82C8D">
        <w:rPr>
          <w:lang w:val="en-AU"/>
        </w:rPr>
        <w:t>ance with subsection </w:t>
      </w:r>
      <w:r w:rsidRPr="00F82C8D">
        <w:rPr>
          <w:lang w:val="en-AU"/>
        </w:rPr>
        <w:t xml:space="preserve">22XK(4) of the Act. </w:t>
      </w:r>
      <w:bookmarkEnd w:id="141"/>
      <w:r w:rsidRPr="00F82C8D">
        <w:rPr>
          <w:b/>
          <w:i/>
          <w:sz w:val="20"/>
          <w:lang w:val="en-AU"/>
        </w:rPr>
        <w:t xml:space="preserve">[subsection </w:t>
      </w:r>
      <w:r w:rsidR="00BF2323" w:rsidRPr="00F82C8D">
        <w:rPr>
          <w:b/>
          <w:i/>
          <w:sz w:val="20"/>
          <w:lang w:val="en-AU"/>
        </w:rPr>
        <w:t>71</w:t>
      </w:r>
      <w:r w:rsidRPr="00F82C8D">
        <w:rPr>
          <w:b/>
          <w:i/>
          <w:sz w:val="20"/>
          <w:lang w:val="en-AU"/>
        </w:rPr>
        <w:t>(1)(a)]</w:t>
      </w:r>
      <w:r w:rsidRPr="00F82C8D">
        <w:rPr>
          <w:lang w:val="en-AU"/>
        </w:rPr>
        <w:t xml:space="preserve"> This notice must include the unique identifiers of each </w:t>
      </w:r>
      <w:r w:rsidR="006B6C36" w:rsidRPr="00F82C8D">
        <w:rPr>
          <w:lang w:val="en-AU"/>
        </w:rPr>
        <w:t>ACCUs</w:t>
      </w:r>
      <w:r w:rsidRPr="00F82C8D">
        <w:rPr>
          <w:lang w:val="en-AU"/>
        </w:rPr>
        <w:t xml:space="preserve"> were issued in relation to the facility </w:t>
      </w:r>
      <w:r w:rsidRPr="00F82C8D">
        <w:rPr>
          <w:b/>
          <w:i/>
          <w:sz w:val="20"/>
          <w:lang w:val="en-AU"/>
        </w:rPr>
        <w:t>[subsection </w:t>
      </w:r>
      <w:r w:rsidR="00BF2323" w:rsidRPr="00F82C8D">
        <w:rPr>
          <w:b/>
          <w:i/>
          <w:sz w:val="20"/>
          <w:lang w:val="en-AU"/>
        </w:rPr>
        <w:t>71</w:t>
      </w:r>
      <w:r w:rsidRPr="00F82C8D">
        <w:rPr>
          <w:b/>
          <w:i/>
          <w:sz w:val="20"/>
          <w:lang w:val="en-AU"/>
        </w:rPr>
        <w:t>(2)]</w:t>
      </w:r>
      <w:r w:rsidRPr="00F82C8D">
        <w:rPr>
          <w:lang w:val="en-AU"/>
        </w:rPr>
        <w:t xml:space="preserve"> </w:t>
      </w:r>
    </w:p>
    <w:p w:rsidR="00CA34A6" w:rsidRPr="00F82C8D" w:rsidRDefault="00CA34A6" w:rsidP="00CA34A6">
      <w:pPr>
        <w:pStyle w:val="ListParagraph"/>
        <w:rPr>
          <w:lang w:val="en-AU"/>
        </w:rPr>
      </w:pPr>
      <w:r w:rsidRPr="00F82C8D">
        <w:rPr>
          <w:lang w:val="en-AU"/>
        </w:rPr>
        <w:t xml:space="preserve">The Regulator must also notify the responsible emitter that the net emissions number of their facility has decreased as a result of deemed surrender in accordance with subsection 22XN(9) of the Act. </w:t>
      </w:r>
      <w:r w:rsidRPr="00F82C8D">
        <w:rPr>
          <w:b/>
          <w:i/>
          <w:sz w:val="20"/>
          <w:lang w:val="en-AU"/>
        </w:rPr>
        <w:t>[subsection </w:t>
      </w:r>
      <w:r w:rsidR="00BF2323" w:rsidRPr="00F82C8D">
        <w:rPr>
          <w:b/>
          <w:i/>
          <w:sz w:val="20"/>
          <w:lang w:val="en-AU"/>
        </w:rPr>
        <w:t>71</w:t>
      </w:r>
      <w:r w:rsidR="006B6C36" w:rsidRPr="00F82C8D">
        <w:rPr>
          <w:b/>
          <w:i/>
          <w:sz w:val="20"/>
          <w:lang w:val="en-AU"/>
        </w:rPr>
        <w:t>(</w:t>
      </w:r>
      <w:r w:rsidRPr="00F82C8D">
        <w:rPr>
          <w:b/>
          <w:i/>
          <w:sz w:val="20"/>
          <w:lang w:val="en-AU"/>
        </w:rPr>
        <w:t>1)(b)]</w:t>
      </w:r>
      <w:r w:rsidRPr="00F82C8D">
        <w:rPr>
          <w:lang w:val="en-AU"/>
        </w:rPr>
        <w:t xml:space="preserve"> This notice must include the unique identifiers of each Australian Carbon Credit Units deemed to have been surrendered in relation to the facility </w:t>
      </w:r>
      <w:r w:rsidR="006B6C36" w:rsidRPr="00F82C8D">
        <w:rPr>
          <w:b/>
          <w:i/>
          <w:sz w:val="20"/>
          <w:lang w:val="en-AU"/>
        </w:rPr>
        <w:t xml:space="preserve">[subsection </w:t>
      </w:r>
      <w:r w:rsidR="00BF2323" w:rsidRPr="00F82C8D">
        <w:rPr>
          <w:b/>
          <w:i/>
          <w:sz w:val="20"/>
          <w:lang w:val="en-AU"/>
        </w:rPr>
        <w:t>71</w:t>
      </w:r>
      <w:r w:rsidRPr="00F82C8D">
        <w:rPr>
          <w:b/>
          <w:i/>
          <w:sz w:val="20"/>
          <w:lang w:val="en-AU"/>
        </w:rPr>
        <w:t>(2)]</w:t>
      </w:r>
      <w:r w:rsidRPr="00F82C8D">
        <w:rPr>
          <w:lang w:val="en-AU"/>
        </w:rPr>
        <w:t xml:space="preserve"> </w:t>
      </w:r>
    </w:p>
    <w:p w:rsidR="00CA34A6" w:rsidRPr="00F82C8D" w:rsidRDefault="00CA34A6" w:rsidP="00CA34A6">
      <w:pPr>
        <w:pStyle w:val="ListParagraph"/>
        <w:rPr>
          <w:lang w:val="en-AU"/>
        </w:rPr>
      </w:pPr>
      <w:r w:rsidRPr="00F82C8D">
        <w:rPr>
          <w:lang w:val="en-AU"/>
        </w:rPr>
        <w:t xml:space="preserve">These mandatory notification requirements provide responsible emitters with the transparency necessary to manage their net emissions number and hence their duty to avoid an excess emissions situation. The Regulator may also notify responsible emitters of other information that promotes this goal, or that they determine to be otherwise useful in administering the safeguard provisions </w:t>
      </w:r>
      <w:r w:rsidRPr="00F82C8D">
        <w:rPr>
          <w:b/>
          <w:i/>
          <w:sz w:val="20"/>
          <w:lang w:val="en-AU"/>
        </w:rPr>
        <w:t xml:space="preserve">[subsection </w:t>
      </w:r>
      <w:r w:rsidR="00BF2323" w:rsidRPr="00F82C8D">
        <w:rPr>
          <w:b/>
          <w:i/>
          <w:sz w:val="20"/>
          <w:lang w:val="en-AU"/>
        </w:rPr>
        <w:t>71</w:t>
      </w:r>
      <w:r w:rsidRPr="00F82C8D">
        <w:rPr>
          <w:b/>
          <w:i/>
          <w:sz w:val="20"/>
          <w:lang w:val="en-AU"/>
        </w:rPr>
        <w:t>(3)]</w:t>
      </w:r>
    </w:p>
    <w:p w:rsidR="00552B33" w:rsidRPr="00F82C8D" w:rsidRDefault="00B738D1">
      <w:pPr>
        <w:pStyle w:val="ListParagraph"/>
        <w:rPr>
          <w:lang w:val="en-AU"/>
        </w:rPr>
      </w:pPr>
      <w:r w:rsidRPr="00F82C8D">
        <w:rPr>
          <w:lang w:val="en-AU"/>
        </w:rPr>
        <w:t xml:space="preserve">The safeguard rule enables a responsible emitter to request the Regulator to provide them with reports submitted under the Act that are potentially relevant to the making or variation of their baseline determination. </w:t>
      </w:r>
      <w:r w:rsidRPr="00F82C8D">
        <w:rPr>
          <w:b/>
          <w:i/>
          <w:sz w:val="20"/>
          <w:lang w:val="en-AU"/>
        </w:rPr>
        <w:t>[subsection 71(4)]</w:t>
      </w:r>
      <w:r w:rsidRPr="00F82C8D">
        <w:rPr>
          <w:lang w:val="en-AU"/>
        </w:rPr>
        <w:t xml:space="preserve"> This provision is particularly useful for situations that the responsible emitter has changed and secrecy provisions may have prevented the Regulator from giving the responsible emitter </w:t>
      </w:r>
      <w:r w:rsidR="00C420C8" w:rsidRPr="00F82C8D">
        <w:rPr>
          <w:lang w:val="en-AU"/>
        </w:rPr>
        <w:t>the requested</w:t>
      </w:r>
      <w:r w:rsidRPr="00F82C8D">
        <w:rPr>
          <w:lang w:val="en-AU"/>
        </w:rPr>
        <w:t xml:space="preserve"> reports.</w:t>
      </w:r>
    </w:p>
    <w:p w:rsidR="00527595" w:rsidRPr="00F82C8D" w:rsidRDefault="006B6C36" w:rsidP="00527595">
      <w:pPr>
        <w:pStyle w:val="Heading3"/>
        <w:rPr>
          <w:lang w:bidi="ar-SA"/>
        </w:rPr>
      </w:pPr>
      <w:r w:rsidRPr="00F82C8D">
        <w:rPr>
          <w:lang w:bidi="ar-SA"/>
        </w:rPr>
        <w:t xml:space="preserve">Section </w:t>
      </w:r>
      <w:r w:rsidR="00BF2323" w:rsidRPr="00F82C8D">
        <w:rPr>
          <w:lang w:bidi="ar-SA"/>
        </w:rPr>
        <w:t>72</w:t>
      </w:r>
      <w:r w:rsidR="00773D53" w:rsidRPr="00F82C8D">
        <w:rPr>
          <w:lang w:bidi="ar-SA"/>
        </w:rPr>
        <w:t xml:space="preserve">: </w:t>
      </w:r>
      <w:r w:rsidRPr="00F82C8D">
        <w:rPr>
          <w:lang w:bidi="ar-SA"/>
        </w:rPr>
        <w:t>P</w:t>
      </w:r>
      <w:r w:rsidR="00527595" w:rsidRPr="00F82C8D">
        <w:rPr>
          <w:lang w:bidi="ar-SA"/>
        </w:rPr>
        <w:t>ublication</w:t>
      </w:r>
    </w:p>
    <w:p w:rsidR="00C20F81" w:rsidRPr="00F82C8D" w:rsidRDefault="00452C1F" w:rsidP="00625D31">
      <w:pPr>
        <w:pStyle w:val="ListParagraph"/>
        <w:rPr>
          <w:lang w:val="en-AU"/>
        </w:rPr>
      </w:pPr>
      <w:r w:rsidRPr="00F82C8D">
        <w:rPr>
          <w:lang w:val="en-AU"/>
        </w:rPr>
        <w:t>The Regulator must publish certain</w:t>
      </w:r>
      <w:r w:rsidR="00527595" w:rsidRPr="00F82C8D">
        <w:rPr>
          <w:lang w:val="en-AU"/>
        </w:rPr>
        <w:t xml:space="preserve"> information about designated large facilities.</w:t>
      </w:r>
      <w:r w:rsidR="00061889" w:rsidRPr="00F82C8D">
        <w:rPr>
          <w:lang w:val="en-AU"/>
        </w:rPr>
        <w:t xml:space="preserve"> The timing for publishing information follows when </w:t>
      </w:r>
      <w:r w:rsidRPr="00F82C8D">
        <w:rPr>
          <w:lang w:val="en-AU"/>
        </w:rPr>
        <w:t>updated</w:t>
      </w:r>
      <w:r w:rsidR="00061889" w:rsidRPr="00F82C8D">
        <w:rPr>
          <w:lang w:val="en-AU"/>
        </w:rPr>
        <w:t xml:space="preserve"> information </w:t>
      </w:r>
      <w:r w:rsidR="004C77F4" w:rsidRPr="00F82C8D">
        <w:rPr>
          <w:lang w:val="en-AU"/>
        </w:rPr>
        <w:t>becomes</w:t>
      </w:r>
      <w:r w:rsidR="00061889" w:rsidRPr="00F82C8D">
        <w:rPr>
          <w:lang w:val="en-AU"/>
        </w:rPr>
        <w:t xml:space="preserve"> available. Covered emissions information is only </w:t>
      </w:r>
      <w:r w:rsidR="004C77F4" w:rsidRPr="00F82C8D">
        <w:rPr>
          <w:lang w:val="en-AU"/>
        </w:rPr>
        <w:t>required to</w:t>
      </w:r>
      <w:r w:rsidR="00061889" w:rsidRPr="00F82C8D">
        <w:rPr>
          <w:lang w:val="en-AU"/>
        </w:rPr>
        <w:t xml:space="preserve"> be published after </w:t>
      </w:r>
      <w:r w:rsidR="004C77F4" w:rsidRPr="00F82C8D">
        <w:rPr>
          <w:lang w:val="en-AU"/>
        </w:rPr>
        <w:t>facilities’</w:t>
      </w:r>
      <w:r w:rsidR="00061889" w:rsidRPr="00F82C8D">
        <w:rPr>
          <w:lang w:val="en-AU"/>
        </w:rPr>
        <w:t xml:space="preserve"> report</w:t>
      </w:r>
      <w:r w:rsidR="004C77F4" w:rsidRPr="00F82C8D">
        <w:rPr>
          <w:lang w:val="en-AU"/>
        </w:rPr>
        <w:t>s</w:t>
      </w:r>
      <w:r w:rsidR="00061889" w:rsidRPr="00F82C8D">
        <w:rPr>
          <w:lang w:val="en-AU"/>
        </w:rPr>
        <w:t xml:space="preserve"> ha</w:t>
      </w:r>
      <w:r w:rsidR="004C77F4" w:rsidRPr="00F82C8D">
        <w:rPr>
          <w:lang w:val="en-AU"/>
        </w:rPr>
        <w:t>ve</w:t>
      </w:r>
      <w:r w:rsidR="00061889" w:rsidRPr="00F82C8D">
        <w:rPr>
          <w:lang w:val="en-AU"/>
        </w:rPr>
        <w:t xml:space="preserve"> been submitted under the Act. Information on the net emissions number and </w:t>
      </w:r>
      <w:r w:rsidR="00C20F81" w:rsidRPr="00F82C8D">
        <w:rPr>
          <w:lang w:val="en-AU"/>
        </w:rPr>
        <w:t xml:space="preserve">surrendering of prescribed carbon units is only required </w:t>
      </w:r>
      <w:r w:rsidR="004C77F4" w:rsidRPr="00F82C8D">
        <w:rPr>
          <w:lang w:val="en-AU"/>
        </w:rPr>
        <w:t xml:space="preserve">to be published </w:t>
      </w:r>
      <w:r w:rsidR="00C20F81" w:rsidRPr="00F82C8D">
        <w:rPr>
          <w:lang w:val="en-AU"/>
        </w:rPr>
        <w:t xml:space="preserve">following the 1 March compliance date for the relevant monitoring period. </w:t>
      </w:r>
      <w:r w:rsidR="004C77F4" w:rsidRPr="00F82C8D">
        <w:rPr>
          <w:rStyle w:val="Emphasis"/>
        </w:rPr>
        <w:t>[subsectio</w:t>
      </w:r>
      <w:r w:rsidR="006B6C36" w:rsidRPr="00F82C8D">
        <w:rPr>
          <w:rStyle w:val="Emphasis"/>
        </w:rPr>
        <w:t xml:space="preserve">n </w:t>
      </w:r>
      <w:r w:rsidR="00BF2323" w:rsidRPr="00F82C8D">
        <w:rPr>
          <w:rStyle w:val="Emphasis"/>
        </w:rPr>
        <w:t>72</w:t>
      </w:r>
      <w:r w:rsidR="006B6C36" w:rsidRPr="00F82C8D">
        <w:rPr>
          <w:rStyle w:val="Emphasis"/>
        </w:rPr>
        <w:t xml:space="preserve">(2) and </w:t>
      </w:r>
      <w:r w:rsidR="00CB51FF" w:rsidRPr="00F82C8D">
        <w:rPr>
          <w:rStyle w:val="Emphasis"/>
        </w:rPr>
        <w:t>72</w:t>
      </w:r>
      <w:r w:rsidR="004C77F4" w:rsidRPr="00F82C8D">
        <w:rPr>
          <w:rStyle w:val="Emphasis"/>
        </w:rPr>
        <w:t>(3)]</w:t>
      </w:r>
    </w:p>
    <w:p w:rsidR="00527595" w:rsidRPr="00F82C8D" w:rsidRDefault="00527595" w:rsidP="00625D31">
      <w:pPr>
        <w:pStyle w:val="ListParagraph"/>
        <w:rPr>
          <w:lang w:val="en-AU"/>
        </w:rPr>
      </w:pPr>
      <w:r w:rsidRPr="00F82C8D">
        <w:rPr>
          <w:lang w:val="en-AU"/>
        </w:rPr>
        <w:t>For each monitoring period,</w:t>
      </w:r>
      <w:r w:rsidR="00FF2D73" w:rsidRPr="00F82C8D">
        <w:rPr>
          <w:lang w:val="en-AU"/>
        </w:rPr>
        <w:t xml:space="preserve"> in relation to a</w:t>
      </w:r>
      <w:r w:rsidR="00913751" w:rsidRPr="00F82C8D">
        <w:rPr>
          <w:lang w:val="en-AU"/>
        </w:rPr>
        <w:t xml:space="preserve"> designated large</w:t>
      </w:r>
      <w:r w:rsidR="00FF2D73" w:rsidRPr="00F82C8D">
        <w:rPr>
          <w:lang w:val="en-AU"/>
        </w:rPr>
        <w:t xml:space="preserve"> facility</w:t>
      </w:r>
      <w:r w:rsidRPr="00F82C8D">
        <w:rPr>
          <w:lang w:val="en-AU"/>
        </w:rPr>
        <w:t xml:space="preserve"> this information includes </w:t>
      </w:r>
      <w:r w:rsidRPr="00F82C8D">
        <w:rPr>
          <w:b/>
          <w:i/>
          <w:sz w:val="20"/>
          <w:lang w:val="en-AU"/>
        </w:rPr>
        <w:t xml:space="preserve">[paragraphs </w:t>
      </w:r>
      <w:r w:rsidR="00CB51FF" w:rsidRPr="00F82C8D">
        <w:rPr>
          <w:b/>
          <w:i/>
          <w:sz w:val="20"/>
          <w:lang w:val="en-AU"/>
        </w:rPr>
        <w:t>72</w:t>
      </w:r>
      <w:r w:rsidR="00913751" w:rsidRPr="00F82C8D">
        <w:rPr>
          <w:b/>
          <w:i/>
          <w:sz w:val="20"/>
          <w:lang w:val="en-AU"/>
        </w:rPr>
        <w:t>(1)(a</w:t>
      </w:r>
      <w:r w:rsidRPr="00F82C8D">
        <w:rPr>
          <w:b/>
          <w:i/>
          <w:sz w:val="20"/>
          <w:lang w:val="en-AU"/>
        </w:rPr>
        <w:t>)]</w:t>
      </w:r>
      <w:r w:rsidRPr="00F82C8D">
        <w:rPr>
          <w:lang w:val="en-AU"/>
        </w:rPr>
        <w:t>:</w:t>
      </w:r>
    </w:p>
    <w:p w:rsidR="00DB293E" w:rsidRPr="00F82C8D" w:rsidRDefault="00527595">
      <w:pPr>
        <w:pStyle w:val="ListBullet"/>
      </w:pPr>
      <w:r w:rsidRPr="00F82C8D">
        <w:t>the responsible emitter</w:t>
      </w:r>
    </w:p>
    <w:p w:rsidR="00DB293E" w:rsidRPr="00F82C8D" w:rsidRDefault="00527595">
      <w:pPr>
        <w:pStyle w:val="ListBullet"/>
      </w:pPr>
      <w:r w:rsidRPr="00F82C8D">
        <w:t>covered emissions</w:t>
      </w:r>
    </w:p>
    <w:p w:rsidR="00DB293E" w:rsidRPr="00F82C8D" w:rsidRDefault="00527595">
      <w:pPr>
        <w:pStyle w:val="ListBullet"/>
      </w:pPr>
      <w:r w:rsidRPr="00F82C8D">
        <w:t xml:space="preserve">surrendered prescribed </w:t>
      </w:r>
      <w:r w:rsidR="00AD7848" w:rsidRPr="00F82C8D">
        <w:t xml:space="preserve">carbon </w:t>
      </w:r>
      <w:r w:rsidRPr="00F82C8D">
        <w:t>units</w:t>
      </w:r>
    </w:p>
    <w:p w:rsidR="00DB293E" w:rsidRPr="00F82C8D" w:rsidRDefault="00527595">
      <w:pPr>
        <w:pStyle w:val="ListBullet"/>
      </w:pPr>
      <w:r w:rsidRPr="00F82C8D">
        <w:t>the baseline emissions number</w:t>
      </w:r>
    </w:p>
    <w:p w:rsidR="00DB293E" w:rsidRPr="00F82C8D" w:rsidRDefault="00FF2D73">
      <w:pPr>
        <w:pStyle w:val="ListBullet"/>
      </w:pPr>
      <w:r w:rsidRPr="00F82C8D">
        <w:t xml:space="preserve">covered emissions from electricity generation </w:t>
      </w:r>
      <w:r w:rsidR="00913751" w:rsidRPr="00F82C8D">
        <w:t xml:space="preserve">on the basis that the year is not a sectoral-baseline financial year </w:t>
      </w:r>
      <w:r w:rsidRPr="00F82C8D">
        <w:t>(for facilities that are grid-connected electricity generators)</w:t>
      </w:r>
    </w:p>
    <w:p w:rsidR="00DB293E" w:rsidRPr="00F82C8D" w:rsidRDefault="00527595">
      <w:pPr>
        <w:pStyle w:val="ListBullet"/>
      </w:pPr>
      <w:r w:rsidRPr="00F82C8D">
        <w:t>the start and end dates of the monitoring period</w:t>
      </w:r>
      <w:r w:rsidR="00BF2B75" w:rsidRPr="00F82C8D">
        <w:t xml:space="preserve">, declared multi-year period </w:t>
      </w:r>
      <w:r w:rsidR="00FF2D73" w:rsidRPr="00F82C8D">
        <w:t xml:space="preserve">and </w:t>
      </w:r>
      <w:r w:rsidRPr="00F82C8D">
        <w:t>exemption declaration (if any has been made)</w:t>
      </w:r>
      <w:r w:rsidR="0014208F" w:rsidRPr="00F82C8D">
        <w:t>.</w:t>
      </w:r>
    </w:p>
    <w:p w:rsidR="00913751" w:rsidRPr="00F82C8D" w:rsidRDefault="00A30699" w:rsidP="00913751">
      <w:pPr>
        <w:pStyle w:val="ListParagraph"/>
      </w:pPr>
      <w:r w:rsidRPr="00F82C8D">
        <w:t xml:space="preserve">The approach to publication of information under the safeguard mechanism is to ensure that commercially sensitive data is not published, but sufficient data is released to allow the public to assess progress against safeguard mechanism objectives. </w:t>
      </w:r>
      <w:r w:rsidR="00913751" w:rsidRPr="00F82C8D">
        <w:t xml:space="preserve">In relation to each grid-connected electricity generator, irrespective if they are a designated large facility or not, the Regulator will publish the generator’s covered emissions from electricity generation on the basis that the year is not a sectoral-baseline financial year. </w:t>
      </w:r>
      <w:r w:rsidR="00913751" w:rsidRPr="00F82C8D">
        <w:rPr>
          <w:rStyle w:val="Emphasis"/>
        </w:rPr>
        <w:t xml:space="preserve">[paragraphs </w:t>
      </w:r>
      <w:r w:rsidR="00CB51FF" w:rsidRPr="00F82C8D">
        <w:rPr>
          <w:rStyle w:val="Emphasis"/>
        </w:rPr>
        <w:t>72</w:t>
      </w:r>
      <w:r w:rsidR="00913751" w:rsidRPr="00F82C8D">
        <w:rPr>
          <w:rStyle w:val="Emphasis"/>
        </w:rPr>
        <w:t>(1)(c)]</w:t>
      </w:r>
      <w:r w:rsidR="008322CE" w:rsidRPr="00F82C8D">
        <w:rPr>
          <w:lang w:val="en-AU"/>
        </w:rPr>
        <w:t xml:space="preserve"> This is important for assessing whether the sectoral-baseline has been breached.</w:t>
      </w:r>
    </w:p>
    <w:p w:rsidR="00527595" w:rsidRPr="00F82C8D" w:rsidRDefault="00527595" w:rsidP="00625D31">
      <w:pPr>
        <w:pStyle w:val="ListParagraph"/>
        <w:rPr>
          <w:lang w:val="en-AU"/>
        </w:rPr>
      </w:pPr>
      <w:r w:rsidRPr="00F82C8D">
        <w:rPr>
          <w:lang w:val="en-AU"/>
        </w:rPr>
        <w:t xml:space="preserve">If an excess emissions situation exists in relation to the facility for the monitoring period, the Regulator must also publish </w:t>
      </w:r>
      <w:r w:rsidR="00AD7848" w:rsidRPr="00F82C8D">
        <w:rPr>
          <w:b/>
          <w:i/>
          <w:sz w:val="20"/>
          <w:lang w:val="en-AU"/>
        </w:rPr>
        <w:t xml:space="preserve">[paragraph </w:t>
      </w:r>
      <w:r w:rsidR="00CB51FF" w:rsidRPr="00F82C8D">
        <w:rPr>
          <w:b/>
          <w:i/>
          <w:sz w:val="20"/>
          <w:lang w:val="en-AU"/>
        </w:rPr>
        <w:t>72</w:t>
      </w:r>
      <w:r w:rsidRPr="00F82C8D">
        <w:rPr>
          <w:b/>
          <w:i/>
          <w:sz w:val="20"/>
          <w:lang w:val="en-AU"/>
        </w:rPr>
        <w:t>(1)(b)]</w:t>
      </w:r>
      <w:r w:rsidRPr="00F82C8D">
        <w:rPr>
          <w:lang w:val="en-AU"/>
        </w:rPr>
        <w:t>:</w:t>
      </w:r>
    </w:p>
    <w:p w:rsidR="00527595" w:rsidRPr="00F82C8D" w:rsidRDefault="00527595" w:rsidP="002E625A">
      <w:pPr>
        <w:pStyle w:val="ListBullet"/>
      </w:pPr>
      <w:r w:rsidRPr="00F82C8D">
        <w:t>the responsible emitter</w:t>
      </w:r>
    </w:p>
    <w:p w:rsidR="00DB293E" w:rsidRPr="00F82C8D" w:rsidRDefault="00527595">
      <w:pPr>
        <w:pStyle w:val="ListBullet"/>
      </w:pPr>
      <w:r w:rsidRPr="00F82C8D">
        <w:t>the start and end dates of the exc</w:t>
      </w:r>
      <w:r w:rsidR="009B5945" w:rsidRPr="00F82C8D">
        <w:t>ess emissions situation</w:t>
      </w:r>
      <w:r w:rsidRPr="00F82C8D">
        <w:t>.</w:t>
      </w:r>
    </w:p>
    <w:p w:rsidR="00527595" w:rsidRPr="00F82C8D" w:rsidRDefault="00527595">
      <w:pPr>
        <w:pStyle w:val="Heading4"/>
      </w:pPr>
      <w:r w:rsidRPr="00F82C8D">
        <w:rPr>
          <w:lang w:val="en-AU"/>
        </w:rPr>
        <w:t>Non-disclosure requests</w:t>
      </w:r>
    </w:p>
    <w:p w:rsidR="00EB29A9" w:rsidRPr="00F82C8D" w:rsidRDefault="00527595" w:rsidP="00625D31">
      <w:pPr>
        <w:pStyle w:val="ListParagraph"/>
        <w:rPr>
          <w:lang w:val="en-AU"/>
        </w:rPr>
      </w:pPr>
      <w:r w:rsidRPr="00F82C8D">
        <w:rPr>
          <w:lang w:val="en-AU"/>
        </w:rPr>
        <w:t>Entities reporting under the Act may request that information they report is not published if that information could reveal a trade secret or otherwise diminish or destroy the commercial value of the information</w:t>
      </w:r>
      <w:r w:rsidR="00EB29A9" w:rsidRPr="00F82C8D">
        <w:rPr>
          <w:lang w:val="en-AU"/>
        </w:rPr>
        <w:t xml:space="preserve"> (see subsection 25(1) of the Act). </w:t>
      </w:r>
      <w:r w:rsidRPr="00F82C8D">
        <w:rPr>
          <w:lang w:val="en-AU"/>
        </w:rPr>
        <w:t xml:space="preserve">Such requests should be made to the Regulator in writing and can relate to </w:t>
      </w:r>
      <w:r w:rsidR="00FF2D73" w:rsidRPr="00F82C8D">
        <w:rPr>
          <w:lang w:val="en-AU"/>
        </w:rPr>
        <w:t>information contained in reports submitted under the Act</w:t>
      </w:r>
      <w:r w:rsidR="00074D46" w:rsidRPr="00F82C8D">
        <w:rPr>
          <w:lang w:val="en-AU"/>
        </w:rPr>
        <w:t>.</w:t>
      </w:r>
      <w:r w:rsidR="00394E74" w:rsidRPr="00F82C8D">
        <w:rPr>
          <w:lang w:val="en-AU"/>
        </w:rPr>
        <w:t xml:space="preserve"> </w:t>
      </w:r>
    </w:p>
    <w:p w:rsidR="00EB29A9" w:rsidRPr="00F82C8D" w:rsidRDefault="00EB29A9" w:rsidP="00EB29A9">
      <w:pPr>
        <w:rPr>
          <w:lang w:val="en-AU"/>
        </w:rPr>
      </w:pPr>
    </w:p>
    <w:p w:rsidR="00527595" w:rsidRPr="00F82C8D" w:rsidRDefault="00EB29A9" w:rsidP="00EB29A9">
      <w:pPr>
        <w:tabs>
          <w:tab w:val="left" w:pos="8115"/>
        </w:tabs>
        <w:rPr>
          <w:lang w:val="en-AU"/>
        </w:rPr>
      </w:pPr>
      <w:r w:rsidRPr="00F82C8D">
        <w:rPr>
          <w:lang w:val="en-AU"/>
        </w:rPr>
        <w:tab/>
      </w:r>
    </w:p>
    <w:p w:rsidR="0042495B" w:rsidRPr="00F82C8D" w:rsidRDefault="0042495B" w:rsidP="0042495B">
      <w:pPr>
        <w:pStyle w:val="Heading1"/>
      </w:pPr>
      <w:bookmarkStart w:id="142" w:name="_Toc431975858"/>
      <w:r w:rsidRPr="00F82C8D">
        <w:t>Part 5</w:t>
      </w:r>
      <w:r w:rsidRPr="00F82C8D">
        <w:br/>
        <w:t>Registration, reporting and record</w:t>
      </w:r>
      <w:r w:rsidR="00AD7848" w:rsidRPr="00F82C8D">
        <w:t>-</w:t>
      </w:r>
      <w:r w:rsidRPr="00F82C8D">
        <w:t>keeping</w:t>
      </w:r>
      <w:bookmarkEnd w:id="142"/>
    </w:p>
    <w:p w:rsidR="0042495B" w:rsidRPr="00F82C8D" w:rsidRDefault="0042495B" w:rsidP="0042495B">
      <w:pPr>
        <w:pStyle w:val="Heading2"/>
      </w:pPr>
      <w:bookmarkStart w:id="143" w:name="_Toc426628855"/>
      <w:bookmarkStart w:id="144" w:name="_Toc428869944"/>
      <w:bookmarkStart w:id="145" w:name="_Toc431975859"/>
      <w:r w:rsidRPr="00F82C8D">
        <w:t>Outline of the Part</w:t>
      </w:r>
      <w:bookmarkEnd w:id="143"/>
      <w:bookmarkEnd w:id="144"/>
      <w:bookmarkEnd w:id="145"/>
    </w:p>
    <w:p w:rsidR="00F50F2E" w:rsidRPr="00F82C8D" w:rsidRDefault="00F50F2E" w:rsidP="00A1283B">
      <w:pPr>
        <w:pStyle w:val="ListParagraph"/>
        <w:numPr>
          <w:ilvl w:val="0"/>
          <w:numId w:val="10"/>
        </w:numPr>
        <w:rPr>
          <w:vanish/>
          <w:lang w:val="en-AU"/>
        </w:rPr>
      </w:pPr>
    </w:p>
    <w:p w:rsidR="00BC57DF" w:rsidRPr="00F82C8D" w:rsidRDefault="00BC57DF" w:rsidP="00F50F2E">
      <w:pPr>
        <w:pStyle w:val="ListParagraph"/>
        <w:rPr>
          <w:lang w:val="en-AU"/>
        </w:rPr>
      </w:pPr>
      <w:r w:rsidRPr="00F82C8D">
        <w:rPr>
          <w:lang w:val="en-AU"/>
        </w:rPr>
        <w:t>This Part provides an explanation of the registration, reporting and record</w:t>
      </w:r>
      <w:r w:rsidR="00AD7848" w:rsidRPr="00F82C8D">
        <w:rPr>
          <w:lang w:val="en-AU"/>
        </w:rPr>
        <w:t>-</w:t>
      </w:r>
      <w:r w:rsidRPr="00F82C8D">
        <w:rPr>
          <w:lang w:val="en-AU"/>
        </w:rPr>
        <w:t xml:space="preserve">keeping requirements set out in the </w:t>
      </w:r>
      <w:r w:rsidR="00D360AB" w:rsidRPr="00F82C8D">
        <w:rPr>
          <w:lang w:val="en-AU"/>
        </w:rPr>
        <w:t>safeguard rule</w:t>
      </w:r>
      <w:r w:rsidRPr="00F82C8D">
        <w:rPr>
          <w:lang w:val="en-AU"/>
        </w:rPr>
        <w:t xml:space="preserve">. </w:t>
      </w:r>
    </w:p>
    <w:p w:rsidR="00BC57DF" w:rsidRPr="00F82C8D" w:rsidRDefault="00BC57DF" w:rsidP="00625D31">
      <w:pPr>
        <w:pStyle w:val="ListParagraph"/>
        <w:rPr>
          <w:lang w:val="en-AU"/>
        </w:rPr>
      </w:pPr>
      <w:r w:rsidRPr="00F82C8D">
        <w:rPr>
          <w:lang w:val="en-AU"/>
        </w:rPr>
        <w:t>These requirements apply</w:t>
      </w:r>
      <w:r w:rsidR="00A468B4" w:rsidRPr="00F82C8D">
        <w:rPr>
          <w:lang w:val="en-AU"/>
        </w:rPr>
        <w:t xml:space="preserve"> to responsible emitters who will submit reports under section 22XB of the Act, once the amended Act commences. These respon</w:t>
      </w:r>
      <w:r w:rsidR="00FD52E4" w:rsidRPr="00F82C8D">
        <w:rPr>
          <w:lang w:val="en-AU"/>
        </w:rPr>
        <w:t>sible emitters will typically be</w:t>
      </w:r>
      <w:r w:rsidRPr="00F82C8D">
        <w:rPr>
          <w:lang w:val="en-AU"/>
        </w:rPr>
        <w:t xml:space="preserve"> </w:t>
      </w:r>
      <w:r w:rsidR="00A468B4" w:rsidRPr="00F82C8D">
        <w:rPr>
          <w:lang w:val="en-AU"/>
        </w:rPr>
        <w:t>trusts or non-constitutional corporations.</w:t>
      </w:r>
      <w:r w:rsidR="00394E74" w:rsidRPr="00F82C8D">
        <w:rPr>
          <w:lang w:val="en-AU"/>
        </w:rPr>
        <w:t xml:space="preserve"> </w:t>
      </w:r>
      <w:r w:rsidR="00A468B4" w:rsidRPr="00F82C8D">
        <w:rPr>
          <w:lang w:val="en-AU"/>
        </w:rPr>
        <w:t>Other responsible</w:t>
      </w:r>
      <w:r w:rsidR="00FD52E4" w:rsidRPr="00F82C8D">
        <w:rPr>
          <w:lang w:val="en-AU"/>
        </w:rPr>
        <w:t xml:space="preserve"> emitters that </w:t>
      </w:r>
      <w:r w:rsidR="00A468B4" w:rsidRPr="00F82C8D">
        <w:rPr>
          <w:lang w:val="en-AU"/>
        </w:rPr>
        <w:t xml:space="preserve">submit reports under sections </w:t>
      </w:r>
      <w:r w:rsidR="00A468B4" w:rsidRPr="00F82C8D">
        <w:t>19, 22G</w:t>
      </w:r>
      <w:r w:rsidR="00DF57B7" w:rsidRPr="00F82C8D">
        <w:t>,</w:t>
      </w:r>
      <w:r w:rsidR="00A468B4" w:rsidRPr="00F82C8D">
        <w:t xml:space="preserve"> 22X of the Act, such as</w:t>
      </w:r>
      <w:r w:rsidRPr="00F82C8D">
        <w:rPr>
          <w:lang w:val="en-AU"/>
        </w:rPr>
        <w:t xml:space="preserve"> controlling corporation </w:t>
      </w:r>
      <w:r w:rsidR="00A468B4" w:rsidRPr="00F82C8D">
        <w:rPr>
          <w:lang w:val="en-AU"/>
        </w:rPr>
        <w:t>or group entities</w:t>
      </w:r>
      <w:r w:rsidR="00C02E8E" w:rsidRPr="00F82C8D">
        <w:rPr>
          <w:lang w:val="en-AU"/>
        </w:rPr>
        <w:t>,</w:t>
      </w:r>
      <w:r w:rsidRPr="00F82C8D">
        <w:rPr>
          <w:lang w:val="en-AU"/>
        </w:rPr>
        <w:t xml:space="preserve"> have equivalent registration, reporting and record</w:t>
      </w:r>
      <w:r w:rsidR="00AD7848" w:rsidRPr="00F82C8D">
        <w:rPr>
          <w:lang w:val="en-AU"/>
        </w:rPr>
        <w:t>-</w:t>
      </w:r>
      <w:r w:rsidRPr="00F82C8D">
        <w:rPr>
          <w:lang w:val="en-AU"/>
        </w:rPr>
        <w:t>keeping r</w:t>
      </w:r>
      <w:r w:rsidR="00AC2D81" w:rsidRPr="00F82C8D">
        <w:rPr>
          <w:lang w:val="en-AU"/>
        </w:rPr>
        <w:t xml:space="preserve">equirements under the </w:t>
      </w:r>
      <w:r w:rsidR="00A468B4" w:rsidRPr="00F82C8D">
        <w:rPr>
          <w:lang w:val="en-AU"/>
        </w:rPr>
        <w:t>NGER Regulations</w:t>
      </w:r>
      <w:r w:rsidRPr="00F82C8D">
        <w:rPr>
          <w:lang w:val="en-AU"/>
        </w:rPr>
        <w:t>.</w:t>
      </w:r>
      <w:r w:rsidR="000A7B10" w:rsidRPr="00F82C8D">
        <w:rPr>
          <w:lang w:val="en-AU"/>
        </w:rPr>
        <w:t xml:space="preserve"> </w:t>
      </w:r>
    </w:p>
    <w:p w:rsidR="0042495B" w:rsidRPr="00F82C8D" w:rsidRDefault="00352D2B" w:rsidP="0042495B">
      <w:pPr>
        <w:pStyle w:val="Heading2"/>
      </w:pPr>
      <w:bookmarkStart w:id="146" w:name="_Toc431975860"/>
      <w:r w:rsidRPr="00F82C8D">
        <w:t>Division 1—</w:t>
      </w:r>
      <w:r w:rsidR="0042495B" w:rsidRPr="00F82C8D">
        <w:t>Registration</w:t>
      </w:r>
      <w:bookmarkEnd w:id="146"/>
    </w:p>
    <w:p w:rsidR="0042495B" w:rsidRPr="00F82C8D" w:rsidRDefault="0042495B" w:rsidP="00625D31">
      <w:pPr>
        <w:pStyle w:val="ListParagraph"/>
        <w:rPr>
          <w:lang w:val="en-AU"/>
        </w:rPr>
      </w:pPr>
      <w:r w:rsidRPr="00F82C8D">
        <w:t xml:space="preserve">Section 15B of the Act requires </w:t>
      </w:r>
      <w:r w:rsidRPr="00F82C8D">
        <w:rPr>
          <w:lang w:val="en-AU"/>
        </w:rPr>
        <w:t xml:space="preserve">responsible emitters of safeguard facilities who are not </w:t>
      </w:r>
      <w:r w:rsidR="00352D2B" w:rsidRPr="00F82C8D">
        <w:rPr>
          <w:lang w:val="en-AU"/>
        </w:rPr>
        <w:t>otherwise registered</w:t>
      </w:r>
      <w:r w:rsidRPr="00F82C8D">
        <w:rPr>
          <w:lang w:val="en-AU"/>
        </w:rPr>
        <w:t xml:space="preserve"> to apply to be registered under the Act. Once registered, the Act places obligations on responsible emitters such as for reporting and recordkeeping. </w:t>
      </w:r>
    </w:p>
    <w:p w:rsidR="0042495B" w:rsidRPr="00F82C8D" w:rsidRDefault="00352D2B" w:rsidP="0042495B">
      <w:pPr>
        <w:pStyle w:val="Heading3"/>
      </w:pPr>
      <w:r w:rsidRPr="00F82C8D">
        <w:t>Section 7</w:t>
      </w:r>
      <w:r w:rsidR="00CB51FF" w:rsidRPr="00F82C8D">
        <w:t>4</w:t>
      </w:r>
      <w:r w:rsidRPr="00F82C8D">
        <w:t xml:space="preserve">: </w:t>
      </w:r>
      <w:r w:rsidR="0042495B" w:rsidRPr="00F82C8D">
        <w:t>Application requirements</w:t>
      </w:r>
    </w:p>
    <w:p w:rsidR="0042495B" w:rsidRPr="00F82C8D" w:rsidRDefault="0042495B" w:rsidP="00625D31">
      <w:pPr>
        <w:pStyle w:val="ListParagraph"/>
      </w:pPr>
      <w:r w:rsidRPr="00F82C8D">
        <w:t>Paragraph 15B(4)(c) of the Act requires the safeguard rule to set out what information must be included in an application for registration. Other applications for registration under the Act must meet the information requirements set out in the NGER Regulations.</w:t>
      </w:r>
      <w:r w:rsidR="000A7B10" w:rsidRPr="00F82C8D">
        <w:t xml:space="preserve"> </w:t>
      </w:r>
    </w:p>
    <w:p w:rsidR="0042495B" w:rsidRPr="00F82C8D" w:rsidRDefault="0042495B" w:rsidP="00625D31">
      <w:pPr>
        <w:pStyle w:val="ListParagraph"/>
        <w:rPr>
          <w:rStyle w:val="Emphasis"/>
        </w:rPr>
      </w:pPr>
      <w:r w:rsidRPr="00F82C8D">
        <w:t xml:space="preserve">The </w:t>
      </w:r>
      <w:r w:rsidR="00736E21" w:rsidRPr="00F82C8D">
        <w:t xml:space="preserve">information required in </w:t>
      </w:r>
      <w:r w:rsidRPr="00F82C8D">
        <w:t xml:space="preserve">an application </w:t>
      </w:r>
      <w:r w:rsidR="00893FB8" w:rsidRPr="00F82C8D">
        <w:t>has</w:t>
      </w:r>
      <w:r w:rsidRPr="00F82C8D">
        <w:t xml:space="preserve"> been made equivalent to the requirements of other applications for registration under the A</w:t>
      </w:r>
      <w:r w:rsidR="00352D2B" w:rsidRPr="00F82C8D">
        <w:t>c</w:t>
      </w:r>
      <w:r w:rsidRPr="00F82C8D">
        <w:t xml:space="preserve">t, and limited to the information needed for the safeguard mechanism. This information is </w:t>
      </w:r>
      <w:r w:rsidRPr="00F82C8D">
        <w:rPr>
          <w:rStyle w:val="Emphasis"/>
        </w:rPr>
        <w:t>[subsections </w:t>
      </w:r>
      <w:r w:rsidR="00CB51FF" w:rsidRPr="00F82C8D">
        <w:rPr>
          <w:rStyle w:val="Emphasis"/>
        </w:rPr>
        <w:t>74</w:t>
      </w:r>
      <w:r w:rsidR="00AD7848" w:rsidRPr="00F82C8D">
        <w:rPr>
          <w:rStyle w:val="Emphasis"/>
        </w:rPr>
        <w:t xml:space="preserve">(1) and </w:t>
      </w:r>
      <w:r w:rsidR="00CB51FF" w:rsidRPr="00F82C8D">
        <w:rPr>
          <w:rStyle w:val="Emphasis"/>
        </w:rPr>
        <w:t>74</w:t>
      </w:r>
      <w:r w:rsidRPr="00F82C8D">
        <w:rPr>
          <w:rStyle w:val="Emphasis"/>
        </w:rPr>
        <w:t>(2)]</w:t>
      </w:r>
      <w:r w:rsidRPr="00F82C8D">
        <w:rPr>
          <w:rStyle w:val="Emphasis"/>
          <w:b w:val="0"/>
          <w:i w:val="0"/>
        </w:rPr>
        <w:t>:</w:t>
      </w:r>
    </w:p>
    <w:p w:rsidR="0042495B" w:rsidRPr="00F82C8D" w:rsidRDefault="0042495B" w:rsidP="002E625A">
      <w:pPr>
        <w:pStyle w:val="ListBullet"/>
      </w:pPr>
      <w:r w:rsidRPr="00F82C8D">
        <w:t>the applicant’s name and trading name (if any)</w:t>
      </w:r>
    </w:p>
    <w:p w:rsidR="00DB293E" w:rsidRPr="00F82C8D" w:rsidRDefault="0042495B">
      <w:pPr>
        <w:pStyle w:val="ListBullet"/>
      </w:pPr>
      <w:r w:rsidRPr="00F82C8D">
        <w:t>which section of the Act the applicant is applying under (which should be subsection 15B of the Act)</w:t>
      </w:r>
    </w:p>
    <w:p w:rsidR="00DB293E" w:rsidRPr="00F82C8D" w:rsidRDefault="0042495B">
      <w:pPr>
        <w:pStyle w:val="ListBullet"/>
      </w:pPr>
      <w:r w:rsidRPr="00F82C8D">
        <w:t>the year for which the applicant is first required to register</w:t>
      </w:r>
    </w:p>
    <w:p w:rsidR="00DB293E" w:rsidRPr="00F82C8D" w:rsidRDefault="0042495B">
      <w:pPr>
        <w:pStyle w:val="ListBullet"/>
      </w:pPr>
      <w:r w:rsidRPr="00F82C8D">
        <w:t>if a personal identification number has been issued by the Regulator to the applicant—the applicant’s personal identification number</w:t>
      </w:r>
    </w:p>
    <w:p w:rsidR="00DB293E" w:rsidRPr="00F82C8D" w:rsidRDefault="0042495B">
      <w:pPr>
        <w:pStyle w:val="ListBullet"/>
      </w:pPr>
      <w:r w:rsidRPr="00F82C8D">
        <w:t>if the applicant is a subsidiary of a controlling corporation registered under the Act—a statement to that effect, and the identifying details of the controlling corporation</w:t>
      </w:r>
    </w:p>
    <w:p w:rsidR="00552B33" w:rsidRPr="00F82C8D" w:rsidRDefault="00E073C6">
      <w:pPr>
        <w:pStyle w:val="ListBullet"/>
      </w:pPr>
      <w:r w:rsidRPr="00F82C8D">
        <w:t>i</w:t>
      </w:r>
      <w:r w:rsidR="00893FB8" w:rsidRPr="00F82C8D">
        <w:t>dentifying</w:t>
      </w:r>
      <w:r w:rsidR="0042495B" w:rsidRPr="00F82C8D">
        <w:t xml:space="preserve"> information if not previously given to the Regulator.</w:t>
      </w:r>
    </w:p>
    <w:p w:rsidR="0042495B" w:rsidRPr="00F82C8D" w:rsidRDefault="00352D2B" w:rsidP="0042495B">
      <w:pPr>
        <w:pStyle w:val="Heading2"/>
      </w:pPr>
      <w:bookmarkStart w:id="147" w:name="_Toc431975861"/>
      <w:r w:rsidRPr="00F82C8D">
        <w:t>Division 2—</w:t>
      </w:r>
      <w:r w:rsidR="0042495B" w:rsidRPr="00F82C8D">
        <w:t>Reporting</w:t>
      </w:r>
      <w:bookmarkEnd w:id="147"/>
    </w:p>
    <w:p w:rsidR="0042495B" w:rsidRPr="00F82C8D" w:rsidRDefault="0042495B" w:rsidP="00625D31">
      <w:pPr>
        <w:pStyle w:val="ListParagraph"/>
      </w:pPr>
      <w:r w:rsidRPr="00F82C8D">
        <w:t xml:space="preserve">The operation of the safeguard mechanism requires safeguard </w:t>
      </w:r>
      <w:r w:rsidR="00B00CCA" w:rsidRPr="00F82C8D">
        <w:t>facilities</w:t>
      </w:r>
      <w:r w:rsidR="0087296F" w:rsidRPr="00F82C8D">
        <w:t>’</w:t>
      </w:r>
      <w:r w:rsidR="00F614F3" w:rsidRPr="00F82C8D">
        <w:t xml:space="preserve"> </w:t>
      </w:r>
      <w:r w:rsidRPr="00F82C8D">
        <w:t>covered emissions to be reported on a financial year basis.</w:t>
      </w:r>
      <w:r w:rsidR="000A7B10" w:rsidRPr="00F82C8D">
        <w:t xml:space="preserve"> </w:t>
      </w:r>
      <w:r w:rsidRPr="00F82C8D">
        <w:t>Reporting requireme</w:t>
      </w:r>
      <w:r w:rsidR="00147BF0" w:rsidRPr="00F82C8D">
        <w:t>nts set out in sections 19, 22G</w:t>
      </w:r>
      <w:r w:rsidRPr="00F82C8D">
        <w:t xml:space="preserve">, 22X of the Act may apply to most but not all types of responsible emitters, such as those who are not a </w:t>
      </w:r>
      <w:r w:rsidR="00893FB8" w:rsidRPr="00F82C8D">
        <w:t>controlling</w:t>
      </w:r>
      <w:r w:rsidR="00FD52E4" w:rsidRPr="00F82C8D">
        <w:t xml:space="preserve"> </w:t>
      </w:r>
      <w:r w:rsidRPr="00F82C8D">
        <w:t xml:space="preserve">corporation or a group member. In </w:t>
      </w:r>
      <w:r w:rsidR="0087296F" w:rsidRPr="00F82C8D">
        <w:t>the</w:t>
      </w:r>
      <w:r w:rsidRPr="00F82C8D">
        <w:t xml:space="preserve"> situation</w:t>
      </w:r>
      <w:r w:rsidR="00FD52E4" w:rsidRPr="00F82C8D">
        <w:t xml:space="preserve"> that</w:t>
      </w:r>
      <w:r w:rsidR="0087296F" w:rsidRPr="00F82C8D">
        <w:t xml:space="preserve"> one of these sections does not apply to a responsible emitter</w:t>
      </w:r>
      <w:r w:rsidR="00B00CCA" w:rsidRPr="00F82C8D">
        <w:t>, t</w:t>
      </w:r>
      <w:r w:rsidR="002F7A37" w:rsidRPr="00F82C8D">
        <w:t>he</w:t>
      </w:r>
      <w:r w:rsidR="0087296F" w:rsidRPr="00F82C8D">
        <w:t>n</w:t>
      </w:r>
      <w:r w:rsidRPr="00F82C8D">
        <w:t xml:space="preserve">, the reporting requirements under section 22XB </w:t>
      </w:r>
      <w:r w:rsidR="00736E21" w:rsidRPr="00F82C8D">
        <w:t xml:space="preserve">of the Act </w:t>
      </w:r>
      <w:r w:rsidR="00F614F3" w:rsidRPr="00F82C8D">
        <w:t xml:space="preserve">will </w:t>
      </w:r>
      <w:r w:rsidRPr="00F82C8D">
        <w:t xml:space="preserve">apply to </w:t>
      </w:r>
      <w:r w:rsidR="00F614F3" w:rsidRPr="00F82C8D">
        <w:t>the</w:t>
      </w:r>
      <w:r w:rsidRPr="00F82C8D">
        <w:t xml:space="preserve"> responsible emitter. This Division of the </w:t>
      </w:r>
      <w:r w:rsidR="00D360AB" w:rsidRPr="00F82C8D">
        <w:t>safeguard rule</w:t>
      </w:r>
      <w:r w:rsidRPr="00F82C8D">
        <w:t xml:space="preserve"> sets out the information required in a section 22XB report.</w:t>
      </w:r>
    </w:p>
    <w:p w:rsidR="0042495B" w:rsidRPr="00F82C8D" w:rsidRDefault="00AC2D81" w:rsidP="0042495B">
      <w:pPr>
        <w:pStyle w:val="Heading3"/>
      </w:pPr>
      <w:r w:rsidRPr="00F82C8D">
        <w:t>Secti</w:t>
      </w:r>
      <w:r w:rsidR="00AD7848" w:rsidRPr="00F82C8D">
        <w:t>on 7</w:t>
      </w:r>
      <w:r w:rsidR="00CB51FF" w:rsidRPr="00F82C8D">
        <w:t>6</w:t>
      </w:r>
      <w:r w:rsidRPr="00F82C8D">
        <w:t xml:space="preserve">: </w:t>
      </w:r>
      <w:r w:rsidR="0042495B" w:rsidRPr="00F82C8D">
        <w:t>Required information</w:t>
      </w:r>
    </w:p>
    <w:p w:rsidR="0042495B" w:rsidRPr="00F82C8D" w:rsidRDefault="0042495B" w:rsidP="00625D31">
      <w:pPr>
        <w:pStyle w:val="ListParagraph"/>
        <w:rPr>
          <w:b/>
          <w:i/>
          <w:sz w:val="20"/>
        </w:rPr>
      </w:pPr>
      <w:r w:rsidRPr="00F82C8D">
        <w:t xml:space="preserve">The information required in a section 22XB report under the Act has been made equivalent to the requirements of other report types submitted under the Act and limited to the information needed for the safeguard mechanism. </w:t>
      </w:r>
    </w:p>
    <w:p w:rsidR="0042495B" w:rsidRPr="00F82C8D" w:rsidRDefault="0042495B" w:rsidP="00625D31">
      <w:pPr>
        <w:pStyle w:val="ListParagraph"/>
        <w:rPr>
          <w:b/>
          <w:i/>
          <w:sz w:val="20"/>
        </w:rPr>
      </w:pPr>
      <w:r w:rsidRPr="00F82C8D">
        <w:t xml:space="preserve">If the responsible emitter is </w:t>
      </w:r>
      <w:r w:rsidR="005E6BB3" w:rsidRPr="00F82C8D">
        <w:t xml:space="preserve">not </w:t>
      </w:r>
      <w:r w:rsidRPr="00F82C8D">
        <w:t xml:space="preserve">a corporation to which </w:t>
      </w:r>
      <w:r w:rsidR="005E6BB3" w:rsidRPr="00F82C8D">
        <w:t xml:space="preserve">Subdivision 4.4.2 and 4.4.3 </w:t>
      </w:r>
      <w:r w:rsidRPr="00F82C8D">
        <w:t xml:space="preserve">and regulations 4.04A and 4.27 of the of the </w:t>
      </w:r>
      <w:r w:rsidR="002D6B56" w:rsidRPr="00F82C8D">
        <w:t>NGER Regulations</w:t>
      </w:r>
      <w:r w:rsidR="00736E21" w:rsidRPr="00F82C8D">
        <w:t xml:space="preserve"> apply</w:t>
      </w:r>
      <w:r w:rsidRPr="00F82C8D">
        <w:rPr>
          <w:i/>
        </w:rPr>
        <w:t xml:space="preserve">, </w:t>
      </w:r>
      <w:r w:rsidRPr="00F82C8D">
        <w:t xml:space="preserve">then consistency in </w:t>
      </w:r>
      <w:r w:rsidR="0087296F" w:rsidRPr="00F82C8D">
        <w:t>reporting</w:t>
      </w:r>
      <w:r w:rsidR="008B6794" w:rsidRPr="00F82C8D">
        <w:t xml:space="preserve"> </w:t>
      </w:r>
      <w:r w:rsidRPr="00F82C8D">
        <w:t>requirements has been</w:t>
      </w:r>
      <w:r w:rsidR="000A7B10" w:rsidRPr="00F82C8D">
        <w:t xml:space="preserve"> </w:t>
      </w:r>
      <w:r w:rsidR="00FD52E4" w:rsidRPr="00F82C8D">
        <w:t>achieved by cross</w:t>
      </w:r>
      <w:r w:rsidR="00FD52E4" w:rsidRPr="00F82C8D">
        <w:noBreakHyphen/>
        <w:t>referencing</w:t>
      </w:r>
      <w:r w:rsidRPr="00F82C8D">
        <w:t xml:space="preserve"> to the requirements set out in</w:t>
      </w:r>
      <w:r w:rsidR="00854246" w:rsidRPr="00F82C8D">
        <w:t xml:space="preserve"> </w:t>
      </w:r>
      <w:r w:rsidRPr="00F82C8D">
        <w:t>Subdivision 4.4.2 and 4.4.3 and regulations 4.04A and 4.27</w:t>
      </w:r>
      <w:r w:rsidR="005E6BB3" w:rsidRPr="00F82C8D">
        <w:t xml:space="preserve"> as if the responsible emitter was such a corporation</w:t>
      </w:r>
      <w:r w:rsidRPr="00F82C8D">
        <w:t>.</w:t>
      </w:r>
      <w:r w:rsidR="00F840E7" w:rsidRPr="00F82C8D">
        <w:rPr>
          <w:rStyle w:val="Emphasis"/>
        </w:rPr>
        <w:t xml:space="preserve"> [paragraph </w:t>
      </w:r>
      <w:r w:rsidR="00CB51FF" w:rsidRPr="00F82C8D">
        <w:rPr>
          <w:rStyle w:val="Emphasis"/>
        </w:rPr>
        <w:t>76</w:t>
      </w:r>
      <w:r w:rsidR="00736E21" w:rsidRPr="00F82C8D">
        <w:rPr>
          <w:rStyle w:val="Emphasis"/>
        </w:rPr>
        <w:t>(1(b)</w:t>
      </w:r>
      <w:r w:rsidR="00122A2A" w:rsidRPr="00F82C8D">
        <w:rPr>
          <w:rStyle w:val="Emphasis"/>
        </w:rPr>
        <w:t>]</w:t>
      </w:r>
      <w:r w:rsidR="00D01E17" w:rsidRPr="00F82C8D">
        <w:t xml:space="preserve"> In</w:t>
      </w:r>
      <w:r w:rsidR="005E6BB3" w:rsidRPr="00F82C8D">
        <w:rPr>
          <w:bCs/>
          <w:iCs w:val="0"/>
        </w:rPr>
        <w:t xml:space="preserve"> par</w:t>
      </w:r>
      <w:r w:rsidR="002B3813" w:rsidRPr="00F82C8D">
        <w:rPr>
          <w:bCs/>
          <w:iCs w:val="0"/>
        </w:rPr>
        <w:t>ticular, the references in the NGER R</w:t>
      </w:r>
      <w:r w:rsidR="005E6BB3" w:rsidRPr="00F82C8D">
        <w:rPr>
          <w:bCs/>
          <w:iCs w:val="0"/>
        </w:rPr>
        <w:t>egulations to a ‘facility of the corporation’ would apply to the facility of the responsible emitter subject to reporting under section 22XB of the Act.</w:t>
      </w:r>
    </w:p>
    <w:p w:rsidR="0042495B" w:rsidRPr="00F82C8D" w:rsidRDefault="0042495B" w:rsidP="00625D31">
      <w:pPr>
        <w:pStyle w:val="ListParagraph"/>
        <w:rPr>
          <w:b/>
          <w:i/>
          <w:sz w:val="20"/>
        </w:rPr>
      </w:pPr>
      <w:r w:rsidRPr="00F82C8D">
        <w:t xml:space="preserve">Other information required in a report under section 22XB </w:t>
      </w:r>
      <w:r w:rsidR="00736E21" w:rsidRPr="00F82C8D">
        <w:t xml:space="preserve">of the Act </w:t>
      </w:r>
      <w:r w:rsidRPr="00F82C8D">
        <w:t>is</w:t>
      </w:r>
      <w:r w:rsidR="00736E21" w:rsidRPr="00F82C8D">
        <w:t>:</w:t>
      </w:r>
      <w:r w:rsidRPr="00F82C8D">
        <w:t xml:space="preserve"> </w:t>
      </w:r>
    </w:p>
    <w:p w:rsidR="0042495B" w:rsidRPr="00F82C8D" w:rsidRDefault="00D724EE" w:rsidP="002E625A">
      <w:pPr>
        <w:pStyle w:val="ListBullet"/>
      </w:pPr>
      <w:r w:rsidRPr="00F82C8D">
        <w:t>i</w:t>
      </w:r>
      <w:r w:rsidR="008B6794" w:rsidRPr="00F82C8D">
        <w:t>den</w:t>
      </w:r>
      <w:r w:rsidR="00F43541" w:rsidRPr="00F82C8D">
        <w:t>t</w:t>
      </w:r>
      <w:r w:rsidR="008B6794" w:rsidRPr="00F82C8D">
        <w:t>ifying</w:t>
      </w:r>
      <w:r w:rsidR="0042495B" w:rsidRPr="00F82C8D">
        <w:t xml:space="preserve"> information of the responsible emitter</w:t>
      </w:r>
    </w:p>
    <w:p w:rsidR="00552B33" w:rsidRPr="00F82C8D" w:rsidRDefault="00D724EE">
      <w:pPr>
        <w:pStyle w:val="ListBullet"/>
      </w:pPr>
      <w:r w:rsidRPr="00F82C8D">
        <w:t>c</w:t>
      </w:r>
      <w:r w:rsidR="008B6794" w:rsidRPr="00F82C8D">
        <w:t>overed</w:t>
      </w:r>
      <w:r w:rsidR="0042495B" w:rsidRPr="00F82C8D">
        <w:t xml:space="preserve"> emissions from the facility</w:t>
      </w:r>
    </w:p>
    <w:p w:rsidR="00552B33" w:rsidRPr="00F82C8D" w:rsidRDefault="00893FB8">
      <w:pPr>
        <w:pStyle w:val="ListBullet"/>
      </w:pPr>
      <w:r w:rsidRPr="00F82C8D">
        <w:t>if</w:t>
      </w:r>
      <w:r w:rsidR="0042495B" w:rsidRPr="00F82C8D">
        <w:t xml:space="preserve"> relevant, information about significant changes to the facility’s activity (explained in the </w:t>
      </w:r>
      <w:r w:rsidR="00EF0775" w:rsidRPr="00F82C8D">
        <w:t xml:space="preserve">following </w:t>
      </w:r>
      <w:r w:rsidR="002B3813" w:rsidRPr="00F82C8D">
        <w:t>section</w:t>
      </w:r>
      <w:r w:rsidR="001A14C1" w:rsidRPr="00F82C8D">
        <w:t>)</w:t>
      </w:r>
      <w:r w:rsidR="000953B0" w:rsidRPr="00F82C8D">
        <w:t>.</w:t>
      </w:r>
      <w:r w:rsidR="001A14C1" w:rsidRPr="00F82C8D">
        <w:t xml:space="preserve"> </w:t>
      </w:r>
      <w:r w:rsidR="00736E21" w:rsidRPr="00F82C8D">
        <w:rPr>
          <w:rStyle w:val="Emphasis"/>
        </w:rPr>
        <w:t>[paragraph</w:t>
      </w:r>
      <w:r w:rsidR="00122A2A" w:rsidRPr="00F82C8D">
        <w:rPr>
          <w:rStyle w:val="Emphasis"/>
        </w:rPr>
        <w:t>s</w:t>
      </w:r>
      <w:r w:rsidR="00736E21" w:rsidRPr="00F82C8D">
        <w:rPr>
          <w:rStyle w:val="Emphasis"/>
        </w:rPr>
        <w:t xml:space="preserve"> </w:t>
      </w:r>
      <w:r w:rsidR="00CB51FF" w:rsidRPr="00F82C8D">
        <w:rPr>
          <w:rStyle w:val="Emphasis"/>
        </w:rPr>
        <w:t>76</w:t>
      </w:r>
      <w:r w:rsidR="00854246" w:rsidRPr="00F82C8D">
        <w:rPr>
          <w:rStyle w:val="Emphasis"/>
        </w:rPr>
        <w:t>(1</w:t>
      </w:r>
      <w:r w:rsidR="00AD7848" w:rsidRPr="00F82C8D">
        <w:rPr>
          <w:rStyle w:val="Emphasis"/>
        </w:rPr>
        <w:t>)</w:t>
      </w:r>
      <w:r w:rsidR="00122A2A" w:rsidRPr="00F82C8D">
        <w:rPr>
          <w:rStyle w:val="Emphasis"/>
        </w:rPr>
        <w:t>(a</w:t>
      </w:r>
      <w:r w:rsidR="00AD7848" w:rsidRPr="00F82C8D">
        <w:rPr>
          <w:rStyle w:val="Emphasis"/>
        </w:rPr>
        <w:t xml:space="preserve">), </w:t>
      </w:r>
      <w:r w:rsidR="00CB51FF" w:rsidRPr="00F82C8D">
        <w:rPr>
          <w:rStyle w:val="Emphasis"/>
        </w:rPr>
        <w:t>76</w:t>
      </w:r>
      <w:r w:rsidR="00122A2A" w:rsidRPr="00F82C8D">
        <w:rPr>
          <w:rStyle w:val="Emphasis"/>
        </w:rPr>
        <w:t>(1</w:t>
      </w:r>
      <w:r w:rsidR="00AD7848" w:rsidRPr="00F82C8D">
        <w:rPr>
          <w:rStyle w:val="Emphasis"/>
        </w:rPr>
        <w:t>)</w:t>
      </w:r>
      <w:r w:rsidR="00122A2A" w:rsidRPr="00F82C8D">
        <w:rPr>
          <w:rStyle w:val="Emphasis"/>
        </w:rPr>
        <w:t xml:space="preserve">(c) </w:t>
      </w:r>
      <w:r w:rsidR="00854246" w:rsidRPr="00F82C8D">
        <w:rPr>
          <w:rStyle w:val="Emphasis"/>
        </w:rPr>
        <w:t xml:space="preserve">and </w:t>
      </w:r>
      <w:r w:rsidR="00CB51FF" w:rsidRPr="00F82C8D">
        <w:rPr>
          <w:rStyle w:val="Emphasis"/>
        </w:rPr>
        <w:t>76</w:t>
      </w:r>
      <w:r w:rsidR="00122A2A" w:rsidRPr="00F82C8D">
        <w:rPr>
          <w:rStyle w:val="Emphasis"/>
        </w:rPr>
        <w:t>(1</w:t>
      </w:r>
      <w:r w:rsidR="00AD7848" w:rsidRPr="00F82C8D">
        <w:rPr>
          <w:rStyle w:val="Emphasis"/>
        </w:rPr>
        <w:t>)</w:t>
      </w:r>
      <w:r w:rsidR="00122A2A" w:rsidRPr="00F82C8D">
        <w:rPr>
          <w:rStyle w:val="Emphasis"/>
        </w:rPr>
        <w:t>(</w:t>
      </w:r>
      <w:r w:rsidR="00F43541" w:rsidRPr="00F82C8D">
        <w:rPr>
          <w:rStyle w:val="Emphasis"/>
        </w:rPr>
        <w:t>d)]</w:t>
      </w:r>
    </w:p>
    <w:p w:rsidR="0042495B" w:rsidRPr="00F82C8D" w:rsidRDefault="00AD7848" w:rsidP="00FD52E4">
      <w:pPr>
        <w:pStyle w:val="Heading3"/>
      </w:pPr>
      <w:bookmarkStart w:id="148" w:name="_Ref426462671"/>
      <w:r w:rsidRPr="00F82C8D">
        <w:t>Section 7</w:t>
      </w:r>
      <w:r w:rsidR="00CB51FF" w:rsidRPr="00F82C8D">
        <w:t>7</w:t>
      </w:r>
      <w:r w:rsidR="00352D2B" w:rsidRPr="00F82C8D">
        <w:t xml:space="preserve">: </w:t>
      </w:r>
      <w:bookmarkStart w:id="149" w:name="_Ref427673732"/>
      <w:bookmarkStart w:id="150" w:name="_Ref426483570"/>
      <w:bookmarkEnd w:id="148"/>
      <w:r w:rsidR="0042495B" w:rsidRPr="00F82C8D">
        <w:t>Reporting a change in principal activity for facility</w:t>
      </w:r>
      <w:bookmarkEnd w:id="149"/>
      <w:bookmarkEnd w:id="150"/>
    </w:p>
    <w:p w:rsidR="0042495B" w:rsidRPr="00F82C8D" w:rsidRDefault="0042495B" w:rsidP="00625D31">
      <w:pPr>
        <w:pStyle w:val="ListParagraph"/>
        <w:rPr>
          <w:b/>
          <w:i/>
          <w:sz w:val="20"/>
        </w:rPr>
      </w:pPr>
      <w:r w:rsidRPr="00F82C8D">
        <w:rPr>
          <w:lang w:val="en-AU"/>
        </w:rPr>
        <w:t xml:space="preserve">A facility’s emissions reported under the Act are attributed to an industry sector for the purposes of the Act. </w:t>
      </w:r>
      <w:r w:rsidR="00C61DFD" w:rsidRPr="00F82C8D">
        <w:rPr>
          <w:lang w:val="en-AU"/>
        </w:rPr>
        <w:t>It i</w:t>
      </w:r>
      <w:r w:rsidR="00893FB8" w:rsidRPr="00F82C8D">
        <w:rPr>
          <w:lang w:val="en-AU"/>
        </w:rPr>
        <w:t>s</w:t>
      </w:r>
      <w:r w:rsidRPr="00F82C8D">
        <w:rPr>
          <w:lang w:val="en-AU"/>
        </w:rPr>
        <w:t xml:space="preserve"> important that </w:t>
      </w:r>
      <w:r w:rsidR="00893FB8" w:rsidRPr="00F82C8D">
        <w:rPr>
          <w:lang w:val="en-AU"/>
        </w:rPr>
        <w:t>emissions reported</w:t>
      </w:r>
      <w:r w:rsidRPr="00F82C8D">
        <w:rPr>
          <w:lang w:val="en-AU"/>
        </w:rPr>
        <w:t xml:space="preserve"> under section 22XB of the Act are also attributed to the correct </w:t>
      </w:r>
      <w:r w:rsidR="00893FB8" w:rsidRPr="00F82C8D">
        <w:rPr>
          <w:lang w:val="en-AU"/>
        </w:rPr>
        <w:t>industry</w:t>
      </w:r>
      <w:r w:rsidRPr="00F82C8D">
        <w:rPr>
          <w:lang w:val="en-AU"/>
        </w:rPr>
        <w:t xml:space="preserve"> sector. If the facility’s activity changes substantially, then this should be reported </w:t>
      </w:r>
      <w:r w:rsidR="00F43541" w:rsidRPr="00F82C8D">
        <w:rPr>
          <w:lang w:val="en-AU"/>
        </w:rPr>
        <w:t>as</w:t>
      </w:r>
      <w:r w:rsidRPr="00F82C8D">
        <w:rPr>
          <w:lang w:val="en-AU"/>
        </w:rPr>
        <w:t xml:space="preserve"> its emissions </w:t>
      </w:r>
      <w:r w:rsidR="00223E89" w:rsidRPr="00F82C8D">
        <w:rPr>
          <w:lang w:val="en-AU"/>
        </w:rPr>
        <w:t>may need to</w:t>
      </w:r>
      <w:r w:rsidRPr="00F82C8D">
        <w:rPr>
          <w:lang w:val="en-AU"/>
        </w:rPr>
        <w:t xml:space="preserve"> be attributed to a different industry sector.</w:t>
      </w:r>
      <w:r w:rsidR="000A7B10" w:rsidRPr="00F82C8D">
        <w:rPr>
          <w:lang w:val="en-AU"/>
        </w:rPr>
        <w:t xml:space="preserve"> </w:t>
      </w:r>
      <w:r w:rsidR="001E7FFD" w:rsidRPr="00F82C8D">
        <w:rPr>
          <w:lang w:val="en-AU"/>
        </w:rPr>
        <w:t>This requirement mirrors regulation 4.31 of the NGER Regulations.</w:t>
      </w:r>
    </w:p>
    <w:p w:rsidR="0042495B" w:rsidRPr="00F82C8D" w:rsidRDefault="0042495B" w:rsidP="00625D31">
      <w:pPr>
        <w:pStyle w:val="ListParagraph"/>
      </w:pPr>
      <w:r w:rsidRPr="00F82C8D">
        <w:rPr>
          <w:lang w:val="en-AU"/>
        </w:rPr>
        <w:t xml:space="preserve">The definition of principal activity is important to the requirements set out in section </w:t>
      </w:r>
      <w:r w:rsidR="00122A2A" w:rsidRPr="00F82C8D">
        <w:rPr>
          <w:lang w:val="en-AU"/>
        </w:rPr>
        <w:t>7</w:t>
      </w:r>
      <w:r w:rsidR="00EF0775" w:rsidRPr="00F82C8D">
        <w:rPr>
          <w:lang w:val="en-AU"/>
        </w:rPr>
        <w:t>4</w:t>
      </w:r>
      <w:r w:rsidRPr="00F82C8D">
        <w:rPr>
          <w:lang w:val="en-AU"/>
        </w:rPr>
        <w:t>. I</w:t>
      </w:r>
      <w:r w:rsidRPr="00F82C8D">
        <w:t>t means the facility’s activity that results in the production of a product or service that is produced for sale on the market and produces the most value for the facility out of any of the activities forming part of the facility.</w:t>
      </w:r>
      <w:r w:rsidR="00AD7848" w:rsidRPr="00F82C8D">
        <w:rPr>
          <w:rStyle w:val="Emphasis"/>
        </w:rPr>
        <w:t xml:space="preserve"> [subsection 7</w:t>
      </w:r>
      <w:r w:rsidR="00CB51FF" w:rsidRPr="00F82C8D">
        <w:rPr>
          <w:rStyle w:val="Emphasis"/>
        </w:rPr>
        <w:t>7</w:t>
      </w:r>
      <w:r w:rsidR="001C758C" w:rsidRPr="00F82C8D">
        <w:rPr>
          <w:rStyle w:val="Emphasis"/>
        </w:rPr>
        <w:t>(4)]</w:t>
      </w:r>
    </w:p>
    <w:p w:rsidR="0042495B" w:rsidRPr="00F82C8D" w:rsidRDefault="0042495B" w:rsidP="00625D31">
      <w:pPr>
        <w:pStyle w:val="ListParagraph"/>
        <w:rPr>
          <w:b/>
          <w:i/>
          <w:sz w:val="20"/>
        </w:rPr>
      </w:pPr>
      <w:r w:rsidRPr="00F82C8D">
        <w:rPr>
          <w:lang w:val="en-AU"/>
        </w:rPr>
        <w:t xml:space="preserve">To </w:t>
      </w:r>
      <w:r w:rsidR="00D724EE" w:rsidRPr="00F82C8D">
        <w:rPr>
          <w:lang w:val="en-AU"/>
        </w:rPr>
        <w:t>help avoid a reporting requirement for a temporary</w:t>
      </w:r>
      <w:r w:rsidRPr="00F82C8D">
        <w:rPr>
          <w:lang w:val="en-AU"/>
        </w:rPr>
        <w:t xml:space="preserve"> change in a principal activity</w:t>
      </w:r>
      <w:r w:rsidR="003B2168" w:rsidRPr="00F82C8D">
        <w:rPr>
          <w:lang w:val="en-AU"/>
        </w:rPr>
        <w:t xml:space="preserve">, </w:t>
      </w:r>
      <w:r w:rsidRPr="00F82C8D">
        <w:rPr>
          <w:lang w:val="en-AU"/>
        </w:rPr>
        <w:t>this reporting requirement only applies in the case that the facility’s activity changed more than 24 months ago.</w:t>
      </w:r>
      <w:r w:rsidR="000A7B10" w:rsidRPr="00F82C8D">
        <w:rPr>
          <w:lang w:val="en-AU"/>
        </w:rPr>
        <w:t xml:space="preserve"> </w:t>
      </w:r>
      <w:r w:rsidRPr="00F82C8D">
        <w:rPr>
          <w:lang w:val="en-AU"/>
        </w:rPr>
        <w:t xml:space="preserve">The requirement is </w:t>
      </w:r>
      <w:r w:rsidR="00122A2A" w:rsidRPr="00F82C8D">
        <w:rPr>
          <w:lang w:val="en-AU"/>
        </w:rPr>
        <w:t xml:space="preserve">for the responsible emitter </w:t>
      </w:r>
      <w:r w:rsidR="003B2168" w:rsidRPr="00F82C8D">
        <w:rPr>
          <w:lang w:val="en-AU"/>
        </w:rPr>
        <w:t>to</w:t>
      </w:r>
      <w:r w:rsidR="00122A2A" w:rsidRPr="00F82C8D">
        <w:rPr>
          <w:lang w:val="en-AU"/>
        </w:rPr>
        <w:t xml:space="preserve"> </w:t>
      </w:r>
      <w:r w:rsidR="00122A2A" w:rsidRPr="00F82C8D">
        <w:rPr>
          <w:rStyle w:val="Emphasis"/>
        </w:rPr>
        <w:t>[subsections 7</w:t>
      </w:r>
      <w:r w:rsidR="00CB51FF" w:rsidRPr="00F82C8D">
        <w:rPr>
          <w:rStyle w:val="Emphasis"/>
        </w:rPr>
        <w:t>7</w:t>
      </w:r>
      <w:r w:rsidR="00122A2A" w:rsidRPr="00F82C8D">
        <w:rPr>
          <w:rStyle w:val="Emphasis"/>
        </w:rPr>
        <w:t>(1), 7</w:t>
      </w:r>
      <w:r w:rsidR="00CB51FF" w:rsidRPr="00F82C8D">
        <w:rPr>
          <w:rStyle w:val="Emphasis"/>
        </w:rPr>
        <w:t>7</w:t>
      </w:r>
      <w:r w:rsidR="00122A2A" w:rsidRPr="00F82C8D">
        <w:rPr>
          <w:rStyle w:val="Emphasis"/>
        </w:rPr>
        <w:t>(2) and 7</w:t>
      </w:r>
      <w:r w:rsidR="00CB51FF" w:rsidRPr="00F82C8D">
        <w:rPr>
          <w:rStyle w:val="Emphasis"/>
        </w:rPr>
        <w:t>7</w:t>
      </w:r>
      <w:r w:rsidR="00122A2A" w:rsidRPr="00F82C8D">
        <w:rPr>
          <w:rStyle w:val="Emphasis"/>
        </w:rPr>
        <w:t>(</w:t>
      </w:r>
      <w:r w:rsidR="001C758C" w:rsidRPr="00F82C8D">
        <w:rPr>
          <w:rStyle w:val="Emphasis"/>
        </w:rPr>
        <w:t>3</w:t>
      </w:r>
      <w:r w:rsidR="00641172" w:rsidRPr="00F82C8D">
        <w:rPr>
          <w:rStyle w:val="Emphasis"/>
        </w:rPr>
        <w:t>)</w:t>
      </w:r>
      <w:r w:rsidR="00122A2A" w:rsidRPr="00F82C8D">
        <w:rPr>
          <w:rStyle w:val="Emphasis"/>
        </w:rPr>
        <w:t>]</w:t>
      </w:r>
      <w:r w:rsidR="00122A2A" w:rsidRPr="00F82C8D">
        <w:rPr>
          <w:rStyle w:val="Emphasis"/>
          <w:b w:val="0"/>
          <w:i w:val="0"/>
        </w:rPr>
        <w:t>:</w:t>
      </w:r>
    </w:p>
    <w:p w:rsidR="0042495B" w:rsidRPr="00F82C8D" w:rsidRDefault="00122A2A" w:rsidP="002E625A">
      <w:pPr>
        <w:pStyle w:val="ListBullet"/>
      </w:pPr>
      <w:r w:rsidRPr="00F82C8D">
        <w:t xml:space="preserve">identify </w:t>
      </w:r>
      <w:r w:rsidR="0042495B" w:rsidRPr="00F82C8D">
        <w:t xml:space="preserve">the new principal activity for the facility and the industry sector to which the principal activity is attributable in accordance with </w:t>
      </w:r>
      <w:r w:rsidR="0042495B" w:rsidRPr="00F82C8D">
        <w:rPr>
          <w:rFonts w:ascii="Helvetica Neue" w:hAnsi="Helvetica Neue"/>
        </w:rPr>
        <w:t>Subdivisions 2.4.2 and 2.4.3 of the</w:t>
      </w:r>
      <w:r w:rsidR="0042495B" w:rsidRPr="00F82C8D">
        <w:rPr>
          <w:rFonts w:ascii="Helvetica Neue" w:hAnsi="Helvetica Neue"/>
          <w:sz w:val="19"/>
        </w:rPr>
        <w:t xml:space="preserve"> </w:t>
      </w:r>
      <w:r w:rsidR="00336CE1" w:rsidRPr="00F82C8D">
        <w:t>NGER Regulations</w:t>
      </w:r>
    </w:p>
    <w:p w:rsidR="00552B33" w:rsidRPr="00F82C8D" w:rsidRDefault="00122A2A">
      <w:pPr>
        <w:pStyle w:val="ListBullet"/>
      </w:pPr>
      <w:r w:rsidRPr="00F82C8D">
        <w:t xml:space="preserve">record </w:t>
      </w:r>
      <w:r w:rsidR="0042495B" w:rsidRPr="00F82C8D">
        <w:t>the date that the principal activity changed</w:t>
      </w:r>
      <w:r w:rsidRPr="00F82C8D">
        <w:t xml:space="preserve"> and the new principal activity</w:t>
      </w:r>
    </w:p>
    <w:p w:rsidR="00552B33" w:rsidRPr="00F82C8D" w:rsidRDefault="00122A2A">
      <w:pPr>
        <w:pStyle w:val="ListBullet"/>
      </w:pPr>
      <w:r w:rsidRPr="00F82C8D">
        <w:t>report the new industry sector in the report for the reporting period that contains the date 24 month</w:t>
      </w:r>
      <w:r w:rsidR="00C61DFD" w:rsidRPr="00F82C8D">
        <w:t>s</w:t>
      </w:r>
      <w:r w:rsidRPr="00F82C8D">
        <w:t xml:space="preserve"> </w:t>
      </w:r>
      <w:r w:rsidR="00223E89" w:rsidRPr="00F82C8D">
        <w:t>after the date that</w:t>
      </w:r>
      <w:r w:rsidRPr="00F82C8D">
        <w:t xml:space="preserve"> t</w:t>
      </w:r>
      <w:r w:rsidR="00223E89" w:rsidRPr="00F82C8D">
        <w:t>h</w:t>
      </w:r>
      <w:r w:rsidRPr="00F82C8D">
        <w:t>e principal activity changed.</w:t>
      </w:r>
    </w:p>
    <w:p w:rsidR="00E2029D" w:rsidRPr="00F82C8D" w:rsidRDefault="00E2029D" w:rsidP="00E2029D">
      <w:pPr>
        <w:pStyle w:val="Heading2"/>
      </w:pPr>
      <w:bookmarkStart w:id="151" w:name="_Toc431975862"/>
      <w:r w:rsidRPr="00F82C8D">
        <w:t>Division 3—Record</w:t>
      </w:r>
      <w:r w:rsidR="007C5430" w:rsidRPr="00F82C8D">
        <w:t>-</w:t>
      </w:r>
      <w:r w:rsidRPr="00F82C8D">
        <w:t>keeping</w:t>
      </w:r>
      <w:bookmarkEnd w:id="151"/>
    </w:p>
    <w:p w:rsidR="00E2029D" w:rsidRPr="00F82C8D" w:rsidRDefault="007C5430" w:rsidP="00E2029D">
      <w:pPr>
        <w:pStyle w:val="Heading3"/>
      </w:pPr>
      <w:r w:rsidRPr="00F82C8D">
        <w:t>Section 7</w:t>
      </w:r>
      <w:r w:rsidR="00CB51FF" w:rsidRPr="00F82C8D">
        <w:t>8</w:t>
      </w:r>
      <w:r w:rsidR="00E2029D" w:rsidRPr="00F82C8D">
        <w:t>: Form of records</w:t>
      </w:r>
    </w:p>
    <w:p w:rsidR="006903B0" w:rsidRPr="00F82C8D" w:rsidRDefault="00E2029D" w:rsidP="00625D31">
      <w:pPr>
        <w:pStyle w:val="ListParagraph"/>
        <w:rPr>
          <w:b/>
          <w:bCs/>
          <w:i/>
          <w:sz w:val="20"/>
        </w:rPr>
      </w:pPr>
      <w:r w:rsidRPr="00F82C8D">
        <w:rPr>
          <w:lang w:val="en-AU"/>
        </w:rPr>
        <w:t xml:space="preserve">It is important that </w:t>
      </w:r>
      <w:r w:rsidRPr="00F82C8D">
        <w:t>records</w:t>
      </w:r>
      <w:r w:rsidRPr="00F82C8D">
        <w:rPr>
          <w:lang w:val="en-AU"/>
        </w:rPr>
        <w:t xml:space="preserve"> are kept to monitor compliance with the Act. These records must be kept in a form that is easily and quickly accessible for inspection and audit, as required by regulation 4.34 of the NGER Regulations. The form may be electronic or hard format.</w:t>
      </w:r>
      <w:r w:rsidR="00641172" w:rsidRPr="00F82C8D">
        <w:t xml:space="preserve"> </w:t>
      </w:r>
      <w:r w:rsidR="007C5430" w:rsidRPr="00F82C8D">
        <w:rPr>
          <w:rStyle w:val="Emphasis"/>
        </w:rPr>
        <w:t xml:space="preserve">[section </w:t>
      </w:r>
      <w:r w:rsidR="00CB51FF" w:rsidRPr="00F82C8D">
        <w:rPr>
          <w:rStyle w:val="Emphasis"/>
        </w:rPr>
        <w:t>78</w:t>
      </w:r>
      <w:r w:rsidR="00641172" w:rsidRPr="00F82C8D">
        <w:rPr>
          <w:rStyle w:val="Emphasis"/>
        </w:rPr>
        <w:t>]</w:t>
      </w:r>
    </w:p>
    <w:p w:rsidR="00062487" w:rsidRPr="00F82C8D" w:rsidRDefault="00062487" w:rsidP="00062487">
      <w:pPr>
        <w:pStyle w:val="Heading1"/>
      </w:pPr>
      <w:bookmarkStart w:id="152" w:name="_Toc431975863"/>
      <w:r w:rsidRPr="00F82C8D">
        <w:t>Schedule</w:t>
      </w:r>
      <w:r w:rsidR="002E625A" w:rsidRPr="00F82C8D">
        <w:t xml:space="preserve"> 1—Benchmark Emissions-Intensity Index</w:t>
      </w:r>
      <w:bookmarkEnd w:id="152"/>
      <w:r w:rsidR="002E625A" w:rsidRPr="00F82C8D" w:rsidDel="002E625A">
        <w:t xml:space="preserve"> </w:t>
      </w:r>
    </w:p>
    <w:p w:rsidR="00F50F2E" w:rsidRPr="00F82C8D" w:rsidRDefault="00F50F2E" w:rsidP="00A1283B">
      <w:pPr>
        <w:pStyle w:val="ListParagraph"/>
        <w:numPr>
          <w:ilvl w:val="0"/>
          <w:numId w:val="10"/>
        </w:numPr>
        <w:rPr>
          <w:vanish/>
        </w:rPr>
      </w:pPr>
      <w:bookmarkStart w:id="153" w:name="_Toc426122013"/>
    </w:p>
    <w:bookmarkEnd w:id="153"/>
    <w:p w:rsidR="00062487" w:rsidRPr="00F82C8D" w:rsidRDefault="00C61DFD" w:rsidP="00625D31">
      <w:pPr>
        <w:pStyle w:val="ListParagraph"/>
        <w:rPr>
          <w:rStyle w:val="Emphasis"/>
          <w:b w:val="0"/>
          <w:bCs w:val="0"/>
          <w:i w:val="0"/>
          <w:iCs/>
          <w:sz w:val="24"/>
        </w:rPr>
      </w:pPr>
      <w:r w:rsidRPr="00F82C8D">
        <w:rPr>
          <w:b/>
          <w:i/>
        </w:rPr>
        <w:t>Benchmark Emissions-Intensity Index</w:t>
      </w:r>
      <w:r w:rsidR="00062487" w:rsidRPr="00F82C8D">
        <w:rPr>
          <w:b/>
          <w:i/>
        </w:rPr>
        <w:t xml:space="preserve"> </w:t>
      </w:r>
      <w:r w:rsidR="002E625A" w:rsidRPr="00F82C8D">
        <w:t xml:space="preserve">is set out in Schedule 1 and </w:t>
      </w:r>
      <w:r w:rsidR="00062487" w:rsidRPr="00F82C8D">
        <w:t xml:space="preserve">means index of </w:t>
      </w:r>
      <w:r w:rsidR="00BB7C53" w:rsidRPr="00F82C8D">
        <w:t>emissions intens</w:t>
      </w:r>
      <w:r w:rsidR="00062487" w:rsidRPr="00F82C8D">
        <w:t>ity per unit of a production variable (including the benchmark capture efficiency rate for non-le</w:t>
      </w:r>
      <w:r w:rsidR="00E2029D" w:rsidRPr="00F82C8D">
        <w:t>gacy greenhouse gas emissions)</w:t>
      </w:r>
      <w:r w:rsidR="00062487" w:rsidRPr="00F82C8D">
        <w:t xml:space="preserve">. </w:t>
      </w:r>
      <w:r w:rsidR="000719F1" w:rsidRPr="00F82C8D">
        <w:rPr>
          <w:rStyle w:val="Emphasis"/>
        </w:rPr>
        <w:t xml:space="preserve">[section </w:t>
      </w:r>
      <w:r w:rsidR="00147BF0" w:rsidRPr="00F82C8D">
        <w:rPr>
          <w:rStyle w:val="Emphasis"/>
        </w:rPr>
        <w:t>4</w:t>
      </w:r>
      <w:r w:rsidR="000719F1" w:rsidRPr="00F82C8D">
        <w:rPr>
          <w:rStyle w:val="Emphasis"/>
        </w:rPr>
        <w:t>]</w:t>
      </w:r>
    </w:p>
    <w:p w:rsidR="00C16CB7" w:rsidRPr="00F82C8D" w:rsidRDefault="00062487" w:rsidP="00625D31">
      <w:pPr>
        <w:pStyle w:val="ListParagraph"/>
      </w:pPr>
      <w:r w:rsidRPr="00F82C8D">
        <w:t xml:space="preserve">This Schedule will set out benchmark levels of </w:t>
      </w:r>
      <w:r w:rsidR="00BB7C53" w:rsidRPr="00F82C8D">
        <w:t>emissions intens</w:t>
      </w:r>
      <w:r w:rsidRPr="00F82C8D">
        <w:t>ity per unit of a production variable for certain kinds of facilities</w:t>
      </w:r>
      <w:r w:rsidR="00C16CB7" w:rsidRPr="00F82C8D">
        <w:t>.</w:t>
      </w:r>
      <w:r w:rsidRPr="00F82C8D">
        <w:t xml:space="preserve"> </w:t>
      </w:r>
      <w:r w:rsidR="00C16CB7" w:rsidRPr="00F82C8D">
        <w:t>These facilities</w:t>
      </w:r>
      <w:r w:rsidR="0090142B" w:rsidRPr="00F82C8D">
        <w:t xml:space="preserve"> will </w:t>
      </w:r>
      <w:r w:rsidR="00C16CB7" w:rsidRPr="00F82C8D">
        <w:t>be</w:t>
      </w:r>
      <w:r w:rsidR="0090142B" w:rsidRPr="00F82C8D">
        <w:t xml:space="preserve"> those who are eligible for a benchmark-emissions baseline determination provided there is a benchmark </w:t>
      </w:r>
      <w:r w:rsidR="00BB7C53" w:rsidRPr="00F82C8D">
        <w:t>emissions intens</w:t>
      </w:r>
      <w:r w:rsidR="0090142B" w:rsidRPr="00F82C8D">
        <w:t>ity relevant to their facility.</w:t>
      </w:r>
      <w:r w:rsidR="00C16CB7" w:rsidRPr="00F82C8D">
        <w:t xml:space="preserve"> The </w:t>
      </w:r>
      <w:r w:rsidR="00BB7C53" w:rsidRPr="00F82C8D">
        <w:t>emissions intens</w:t>
      </w:r>
      <w:r w:rsidR="00F24E7E" w:rsidRPr="00F82C8D">
        <w:t>it</w:t>
      </w:r>
      <w:r w:rsidR="00C16CB7" w:rsidRPr="00F82C8D">
        <w:t>y values may be used to make either a benchmark-emissions baseline determination (see</w:t>
      </w:r>
      <w:r w:rsidR="00C61DFD" w:rsidRPr="00F82C8D">
        <w:t xml:space="preserve"> the section headed</w:t>
      </w:r>
      <w:r w:rsidR="00C16CB7" w:rsidRPr="00F82C8D">
        <w:t xml:space="preserve"> </w:t>
      </w:r>
      <w:fldSimple w:instr=" REF _Ref426634046 \h  \* MERGEFORMAT ">
        <w:r w:rsidR="00F16B1F" w:rsidRPr="00F16B1F">
          <w:rPr>
            <w:i/>
            <w:lang w:val="en-AU"/>
          </w:rPr>
          <w:t>Subdivision 4</w:t>
        </w:r>
        <w:r w:rsidR="00F16B1F" w:rsidRPr="00F16B1F">
          <w:rPr>
            <w:i/>
          </w:rPr>
          <w:t>—</w:t>
        </w:r>
        <w:r w:rsidR="00F16B1F" w:rsidRPr="00F16B1F">
          <w:rPr>
            <w:i/>
            <w:lang w:val="en-AU"/>
          </w:rPr>
          <w:t>Benchmark-emissions baselines determination</w:t>
        </w:r>
      </w:fldSimple>
      <w:r w:rsidR="00C06828" w:rsidRPr="00F82C8D">
        <w:t xml:space="preserve"> on page </w:t>
      </w:r>
      <w:r w:rsidR="00744D5E" w:rsidRPr="00F82C8D">
        <w:fldChar w:fldCharType="begin"/>
      </w:r>
      <w:r w:rsidR="00C06828" w:rsidRPr="00F82C8D">
        <w:instrText xml:space="preserve"> PAGEREF _Ref426634049 \h </w:instrText>
      </w:r>
      <w:r w:rsidR="00744D5E" w:rsidRPr="00F82C8D">
        <w:fldChar w:fldCharType="separate"/>
      </w:r>
      <w:r w:rsidR="00F16B1F">
        <w:rPr>
          <w:noProof/>
        </w:rPr>
        <w:t>61</w:t>
      </w:r>
      <w:r w:rsidR="00744D5E" w:rsidRPr="00F82C8D">
        <w:fldChar w:fldCharType="end"/>
      </w:r>
      <w:r w:rsidR="003F0BA5" w:rsidRPr="00F82C8D">
        <w:t xml:space="preserve"> of</w:t>
      </w:r>
      <w:r w:rsidR="004C00A9" w:rsidRPr="00F82C8D">
        <w:t xml:space="preserve"> the</w:t>
      </w:r>
      <w:r w:rsidR="00C61DFD" w:rsidRPr="00F82C8D">
        <w:t xml:space="preserve"> </w:t>
      </w:r>
      <w:r w:rsidR="00D360AB" w:rsidRPr="00F82C8D">
        <w:t>Exp</w:t>
      </w:r>
      <w:r w:rsidR="004C00A9" w:rsidRPr="00F82C8D">
        <w:t>lanatory Statement</w:t>
      </w:r>
      <w:r w:rsidR="00C16CB7" w:rsidRPr="00F82C8D">
        <w:t>) or a production-adjusted baseline determination (see</w:t>
      </w:r>
      <w:r w:rsidR="00C61DFD" w:rsidRPr="00F82C8D">
        <w:t xml:space="preserve"> the section headed</w:t>
      </w:r>
      <w:r w:rsidR="00C16CB7" w:rsidRPr="00F82C8D">
        <w:t xml:space="preserve"> </w:t>
      </w:r>
      <w:fldSimple w:instr=" REF _Ref426634113 \h  \* MERGEFORMAT ">
        <w:r w:rsidR="00F16B1F" w:rsidRPr="00F16B1F">
          <w:rPr>
            <w:i/>
            <w:lang w:val="en-AU"/>
          </w:rPr>
          <w:t>Subdivision</w:t>
        </w:r>
        <w:r w:rsidR="00F16B1F" w:rsidRPr="00F16B1F">
          <w:rPr>
            <w:i/>
          </w:rPr>
          <w:t xml:space="preserve"> </w:t>
        </w:r>
        <w:r w:rsidR="00F16B1F" w:rsidRPr="00F16B1F">
          <w:rPr>
            <w:i/>
            <w:lang w:val="en-AU"/>
          </w:rPr>
          <w:t>5—Production-adjusted baseline</w:t>
        </w:r>
        <w:r w:rsidR="00F16B1F" w:rsidRPr="00F82C8D">
          <w:rPr>
            <w:lang w:val="en-AU"/>
          </w:rPr>
          <w:t xml:space="preserve"> determination</w:t>
        </w:r>
      </w:fldSimple>
      <w:r w:rsidR="00C06828" w:rsidRPr="00F82C8D">
        <w:t xml:space="preserve"> on page </w:t>
      </w:r>
      <w:r w:rsidR="00744D5E" w:rsidRPr="00F82C8D">
        <w:fldChar w:fldCharType="begin"/>
      </w:r>
      <w:r w:rsidR="00C06828" w:rsidRPr="00F82C8D">
        <w:instrText xml:space="preserve"> PAGEREF _Ref426634109 \h </w:instrText>
      </w:r>
      <w:r w:rsidR="00744D5E" w:rsidRPr="00F82C8D">
        <w:fldChar w:fldCharType="separate"/>
      </w:r>
      <w:r w:rsidR="00F16B1F">
        <w:rPr>
          <w:noProof/>
        </w:rPr>
        <w:t>71</w:t>
      </w:r>
      <w:r w:rsidR="00744D5E" w:rsidRPr="00F82C8D">
        <w:fldChar w:fldCharType="end"/>
      </w:r>
      <w:r w:rsidR="00C06828" w:rsidRPr="00F82C8D">
        <w:t xml:space="preserve"> of</w:t>
      </w:r>
      <w:r w:rsidR="004C00A9" w:rsidRPr="00F82C8D">
        <w:t xml:space="preserve"> the</w:t>
      </w:r>
      <w:r w:rsidR="00C61DFD" w:rsidRPr="00F82C8D">
        <w:t xml:space="preserve"> </w:t>
      </w:r>
      <w:r w:rsidR="00D360AB" w:rsidRPr="00F82C8D">
        <w:t>Exp</w:t>
      </w:r>
      <w:r w:rsidR="004C00A9" w:rsidRPr="00F82C8D">
        <w:t>lanatory Statement</w:t>
      </w:r>
      <w:r w:rsidR="00C16CB7" w:rsidRPr="00F82C8D">
        <w:t xml:space="preserve">) for these kinds of </w:t>
      </w:r>
      <w:r w:rsidR="00C61DFD" w:rsidRPr="00F82C8D">
        <w:t>facilities</w:t>
      </w:r>
      <w:r w:rsidR="00C16CB7" w:rsidRPr="00F82C8D">
        <w:t xml:space="preserve">. </w:t>
      </w:r>
    </w:p>
    <w:p w:rsidR="00C16CB7" w:rsidRPr="00F82C8D" w:rsidRDefault="00C16CB7" w:rsidP="00C16CB7">
      <w:pPr>
        <w:pStyle w:val="Quote"/>
      </w:pPr>
      <w:r w:rsidRPr="00F82C8D">
        <w:t xml:space="preserve">For example, a possible benchmark </w:t>
      </w:r>
      <w:r w:rsidR="00BB7C53" w:rsidRPr="00F82C8D">
        <w:t>emissions intens</w:t>
      </w:r>
      <w:r w:rsidR="00F24E7E" w:rsidRPr="00F82C8D">
        <w:t>it</w:t>
      </w:r>
      <w:r w:rsidRPr="00F82C8D">
        <w:t>y applicable to coal mine facilities could be the quantity of covered emissions (t CO</w:t>
      </w:r>
      <w:r w:rsidR="00E073C6" w:rsidRPr="00F82C8D">
        <w:rPr>
          <w:vertAlign w:val="subscript"/>
        </w:rPr>
        <w:t>2</w:t>
      </w:r>
      <w:r w:rsidR="00E073C6" w:rsidRPr="00F82C8D">
        <w:t>-</w:t>
      </w:r>
      <w:r w:rsidR="00C06828" w:rsidRPr="00F82C8D">
        <w:t>e) per tonne of run</w:t>
      </w:r>
      <w:r w:rsidR="00C06828" w:rsidRPr="00F82C8D">
        <w:noBreakHyphen/>
      </w:r>
      <w:r w:rsidR="00F50F2E" w:rsidRPr="00F82C8D">
        <w:t>of-mine</w:t>
      </w:r>
      <w:r w:rsidRPr="00F82C8D">
        <w:t xml:space="preserve"> coal produced.</w:t>
      </w:r>
    </w:p>
    <w:p w:rsidR="00062487" w:rsidRPr="00F82C8D" w:rsidRDefault="00F50F2E" w:rsidP="00625D31">
      <w:pPr>
        <w:pStyle w:val="ListParagraph"/>
      </w:pPr>
      <w:r w:rsidRPr="00F82C8D">
        <w:t>This</w:t>
      </w:r>
      <w:r w:rsidR="00C16CB7" w:rsidRPr="00F82C8D">
        <w:t xml:space="preserve"> Schedule will also set out the benchmark capture efficiency rate for non-legacy greenhouse gas emissions which is needed to make a landfill-benchmark baseline determination for a landfill facility (see</w:t>
      </w:r>
      <w:r w:rsidR="001E5FAA" w:rsidRPr="00F82C8D">
        <w:t xml:space="preserve"> section headed</w:t>
      </w:r>
      <w:r w:rsidR="00C16CB7" w:rsidRPr="00F82C8D">
        <w:t xml:space="preserve"> </w:t>
      </w:r>
      <w:fldSimple w:instr=" REF _Ref426633933 \h  \* MERGEFORMAT ">
        <w:r w:rsidR="00F16B1F" w:rsidRPr="00F16B1F">
          <w:rPr>
            <w:rStyle w:val="IntenseEmphasis"/>
            <w:b w:val="0"/>
            <w:bCs w:val="0"/>
            <w:i/>
          </w:rPr>
          <w:t>Subdivision 7</w:t>
        </w:r>
        <w:r w:rsidR="00F16B1F" w:rsidRPr="00F16B1F">
          <w:rPr>
            <w:i/>
          </w:rPr>
          <w:t>—</w:t>
        </w:r>
        <w:r w:rsidR="00F16B1F" w:rsidRPr="00F16B1F">
          <w:rPr>
            <w:i/>
            <w:lang w:val="en-AU"/>
          </w:rPr>
          <w:t>Landfill-benchmark baseline determination</w:t>
        </w:r>
      </w:fldSimple>
      <w:r w:rsidR="00C06828" w:rsidRPr="00F82C8D">
        <w:t xml:space="preserve"> on </w:t>
      </w:r>
      <w:r w:rsidR="00C16CB7" w:rsidRPr="00F82C8D">
        <w:t>page</w:t>
      </w:r>
      <w:r w:rsidR="00C06828" w:rsidRPr="00F82C8D">
        <w:t xml:space="preserve"> </w:t>
      </w:r>
      <w:r w:rsidR="00744D5E" w:rsidRPr="00F82C8D">
        <w:fldChar w:fldCharType="begin"/>
      </w:r>
      <w:r w:rsidR="00C06828" w:rsidRPr="00F82C8D">
        <w:instrText xml:space="preserve"> PAGEREF _Ref426633949 \h </w:instrText>
      </w:r>
      <w:r w:rsidR="00744D5E" w:rsidRPr="00F82C8D">
        <w:fldChar w:fldCharType="separate"/>
      </w:r>
      <w:r w:rsidR="00F16B1F">
        <w:rPr>
          <w:noProof/>
        </w:rPr>
        <w:t>86</w:t>
      </w:r>
      <w:r w:rsidR="00744D5E" w:rsidRPr="00F82C8D">
        <w:fldChar w:fldCharType="end"/>
      </w:r>
      <w:r w:rsidR="00C16CB7" w:rsidRPr="00F82C8D">
        <w:t xml:space="preserve"> </w:t>
      </w:r>
      <w:r w:rsidR="003F0BA5" w:rsidRPr="00F82C8D">
        <w:t>of</w:t>
      </w:r>
      <w:r w:rsidR="004C00A9" w:rsidRPr="00F82C8D">
        <w:t xml:space="preserve"> the</w:t>
      </w:r>
      <w:r w:rsidR="00F37DA6" w:rsidRPr="00F82C8D">
        <w:t xml:space="preserve"> </w:t>
      </w:r>
      <w:r w:rsidR="00D360AB" w:rsidRPr="00F82C8D">
        <w:t>Exp</w:t>
      </w:r>
      <w:r w:rsidR="004C00A9" w:rsidRPr="00F82C8D">
        <w:t>lanatory Statement</w:t>
      </w:r>
      <w:r w:rsidR="00C16CB7" w:rsidRPr="00F82C8D">
        <w:t>).</w:t>
      </w:r>
    </w:p>
    <w:p w:rsidR="00062487" w:rsidRPr="00F82C8D" w:rsidRDefault="00C16CB7" w:rsidP="0090142B">
      <w:pPr>
        <w:pStyle w:val="Quote"/>
      </w:pPr>
      <w:r w:rsidRPr="00F82C8D">
        <w:t>For example, t</w:t>
      </w:r>
      <w:r w:rsidR="0090142B" w:rsidRPr="00F82C8D">
        <w:t>he benchmark capture efficiency rate applicable to landfill facilities would be expressed as the quantity of covered emissions (non-legacy greenhouse gas emissions) (t CH</w:t>
      </w:r>
      <w:r w:rsidR="0090142B" w:rsidRPr="00F82C8D">
        <w:rPr>
          <w:vertAlign w:val="subscript"/>
        </w:rPr>
        <w:t>4</w:t>
      </w:r>
      <w:r w:rsidR="0090142B" w:rsidRPr="00F82C8D">
        <w:t>) per quantity of</w:t>
      </w:r>
      <w:r w:rsidR="000A7B10" w:rsidRPr="00F82C8D">
        <w:t xml:space="preserve"> </w:t>
      </w:r>
      <w:r w:rsidR="0090142B" w:rsidRPr="00F82C8D">
        <w:t>non-legacy greenhouse gas emissions generated in the landfill (t CH</w:t>
      </w:r>
      <w:r w:rsidR="0090142B" w:rsidRPr="00F82C8D">
        <w:rPr>
          <w:vertAlign w:val="subscript"/>
        </w:rPr>
        <w:t>4</w:t>
      </w:r>
      <w:r w:rsidR="0090142B" w:rsidRPr="00F82C8D">
        <w:t>).</w:t>
      </w:r>
    </w:p>
    <w:p w:rsidR="0090142B" w:rsidRPr="00F82C8D" w:rsidRDefault="0090142B" w:rsidP="00625D31">
      <w:pPr>
        <w:pStyle w:val="ListParagraph"/>
        <w:rPr>
          <w:lang w:val="en-AU"/>
        </w:rPr>
      </w:pPr>
      <w:r w:rsidRPr="00F82C8D">
        <w:rPr>
          <w:lang w:val="en-AU"/>
        </w:rPr>
        <w:t xml:space="preserve">Benchmark </w:t>
      </w:r>
      <w:r w:rsidR="00BB7C53" w:rsidRPr="00F82C8D">
        <w:rPr>
          <w:lang w:val="en-AU"/>
        </w:rPr>
        <w:t>emissions intens</w:t>
      </w:r>
      <w:r w:rsidR="00F24E7E" w:rsidRPr="00F82C8D">
        <w:rPr>
          <w:lang w:val="en-AU"/>
        </w:rPr>
        <w:t>it</w:t>
      </w:r>
      <w:r w:rsidR="00C61DFD" w:rsidRPr="00F82C8D">
        <w:rPr>
          <w:lang w:val="en-AU"/>
        </w:rPr>
        <w:t>ies</w:t>
      </w:r>
      <w:r w:rsidRPr="00F82C8D">
        <w:rPr>
          <w:lang w:val="en-AU"/>
        </w:rPr>
        <w:t xml:space="preserve"> will be developed by the Department of the Environment, in consultation </w:t>
      </w:r>
      <w:r w:rsidR="00C16CB7" w:rsidRPr="00F82C8D">
        <w:rPr>
          <w:lang w:val="en-AU"/>
        </w:rPr>
        <w:t>with stakeholders</w:t>
      </w:r>
      <w:r w:rsidR="003A79A7">
        <w:rPr>
          <w:lang w:val="en-AU"/>
        </w:rPr>
        <w:t xml:space="preserve">. </w:t>
      </w:r>
      <w:r w:rsidRPr="00F82C8D">
        <w:rPr>
          <w:lang w:val="en-AU"/>
        </w:rPr>
        <w:t xml:space="preserve">The Minister has the final decision to include a benchmark </w:t>
      </w:r>
      <w:r w:rsidR="00BB7C53" w:rsidRPr="00F82C8D">
        <w:rPr>
          <w:lang w:val="en-AU"/>
        </w:rPr>
        <w:t>emissions intens</w:t>
      </w:r>
      <w:r w:rsidR="00F24E7E" w:rsidRPr="00F82C8D">
        <w:rPr>
          <w:lang w:val="en-AU"/>
        </w:rPr>
        <w:t>it</w:t>
      </w:r>
      <w:r w:rsidRPr="00F82C8D">
        <w:rPr>
          <w:lang w:val="en-AU"/>
        </w:rPr>
        <w:t xml:space="preserve">y in the </w:t>
      </w:r>
      <w:r w:rsidR="00C61DFD" w:rsidRPr="00F82C8D">
        <w:t>Benchmark Emissions-Intensity Index</w:t>
      </w:r>
      <w:r w:rsidR="00C95658" w:rsidRPr="00F82C8D">
        <w:t xml:space="preserve">, which </w:t>
      </w:r>
      <w:r w:rsidR="00C61DFD" w:rsidRPr="00F82C8D">
        <w:t>will be</w:t>
      </w:r>
      <w:r w:rsidRPr="00F82C8D">
        <w:t xml:space="preserve"> done through an amendment to the safeguard rule.</w:t>
      </w:r>
      <w:r w:rsidR="00BE0DCD" w:rsidRPr="00F82C8D">
        <w:t xml:space="preserve"> </w:t>
      </w:r>
    </w:p>
    <w:p w:rsidR="00062487" w:rsidRPr="00F82C8D" w:rsidRDefault="00062487" w:rsidP="00062487">
      <w:pPr>
        <w:rPr>
          <w:lang w:val="en-AU"/>
        </w:rPr>
      </w:pPr>
    </w:p>
    <w:p w:rsidR="0042495B" w:rsidRPr="00F82C8D" w:rsidRDefault="0042495B" w:rsidP="0042495B"/>
    <w:p w:rsidR="00C03E5E" w:rsidRPr="00F82C8D" w:rsidRDefault="007C3BAA" w:rsidP="00C03E5E">
      <w:pPr>
        <w:pStyle w:val="Heading1"/>
      </w:pPr>
      <w:bookmarkStart w:id="154" w:name="_Ref427857415"/>
      <w:bookmarkStart w:id="155" w:name="_Ref427857419"/>
      <w:bookmarkStart w:id="156" w:name="_Toc431975864"/>
      <w:r w:rsidRPr="00F82C8D">
        <w:t>Example scenarios</w:t>
      </w:r>
      <w:bookmarkEnd w:id="154"/>
      <w:bookmarkEnd w:id="155"/>
      <w:bookmarkEnd w:id="156"/>
    </w:p>
    <w:p w:rsidR="00B774D0" w:rsidRPr="00F82C8D" w:rsidRDefault="00B774D0" w:rsidP="005533CE">
      <w:pPr>
        <w:spacing w:before="240"/>
        <w:rPr>
          <w:rFonts w:cs="Times New Roman"/>
        </w:rPr>
      </w:pPr>
      <w:r w:rsidRPr="00F82C8D">
        <w:rPr>
          <w:rFonts w:eastAsia="Calibri" w:cs="Times New Roman"/>
          <w:szCs w:val="24"/>
          <w:lang w:val="en-AU" w:bidi="ar-SA"/>
        </w:rPr>
        <w:t xml:space="preserve">Example scenarios demonstrate how different baselines are made and relate to two fictitious companies—‘Gil Co’, a silicon manufacturer, and ‘Pear Co’, a bus company. The theoretical examples included in the scenarios have been simplified to illustrate the policy intent of the mechanics of the </w:t>
      </w:r>
      <w:r w:rsidRPr="00F82C8D">
        <w:rPr>
          <w:rFonts w:eastAsia="Calibri" w:cs="Times New Roman"/>
          <w:i/>
          <w:szCs w:val="24"/>
          <w:lang w:val="en-AU" w:bidi="ar-SA"/>
        </w:rPr>
        <w:t xml:space="preserve">National Greenhouse and Energy Reporting (Safeguard Mechanism) Rule 2015 </w:t>
      </w:r>
      <w:r w:rsidRPr="00F82C8D">
        <w:rPr>
          <w:rFonts w:eastAsia="Calibri" w:cs="Times New Roman"/>
          <w:szCs w:val="24"/>
          <w:lang w:val="en-AU" w:bidi="ar-SA"/>
        </w:rPr>
        <w:t xml:space="preserve">(the </w:t>
      </w:r>
      <w:r w:rsidR="00D360AB" w:rsidRPr="00F82C8D">
        <w:rPr>
          <w:rFonts w:eastAsia="Calibri" w:cs="Times New Roman"/>
          <w:szCs w:val="24"/>
          <w:lang w:val="en-AU" w:bidi="ar-SA"/>
        </w:rPr>
        <w:t>safeguard rule</w:t>
      </w:r>
      <w:r w:rsidRPr="00F82C8D">
        <w:rPr>
          <w:rFonts w:eastAsia="Calibri" w:cs="Times New Roman"/>
          <w:szCs w:val="24"/>
          <w:lang w:val="en-AU" w:bidi="ar-SA"/>
        </w:rPr>
        <w:t xml:space="preserve">). </w:t>
      </w:r>
      <w:r w:rsidRPr="00F82C8D">
        <w:rPr>
          <w:rFonts w:cs="Times New Roman"/>
        </w:rPr>
        <w:t>Stakeholders should seek their own advice on the application of the rules to their individual circumstances.</w:t>
      </w:r>
    </w:p>
    <w:p w:rsidR="00B774D0" w:rsidRPr="00F82C8D" w:rsidRDefault="00B774D0" w:rsidP="00B774D0">
      <w:pPr>
        <w:rPr>
          <w:rFonts w:eastAsia="Calibri" w:cs="Times New Roman"/>
          <w:szCs w:val="24"/>
          <w:lang w:val="en-AU" w:bidi="ar-SA"/>
        </w:rPr>
      </w:pPr>
      <w:r w:rsidRPr="00F82C8D">
        <w:rPr>
          <w:rFonts w:eastAsia="Calibri" w:cs="Times New Roman"/>
          <w:szCs w:val="24"/>
          <w:lang w:val="en-AU" w:bidi="ar-SA"/>
        </w:rPr>
        <w:t xml:space="preserve">Gil Co, who is the responsible emitter for Facility A, produces silicon and has reported under the </w:t>
      </w:r>
      <w:r w:rsidRPr="00F82C8D">
        <w:rPr>
          <w:rFonts w:eastAsia="Calibri" w:cs="Times New Roman"/>
          <w:i/>
          <w:szCs w:val="24"/>
          <w:lang w:val="en-AU" w:bidi="ar-SA"/>
        </w:rPr>
        <w:t xml:space="preserve">National Greenhouse and Energy Reporting Act 2007 </w:t>
      </w:r>
      <w:r w:rsidRPr="00F82C8D">
        <w:rPr>
          <w:rFonts w:eastAsia="Calibri" w:cs="Times New Roman"/>
          <w:szCs w:val="24"/>
          <w:lang w:val="en-AU" w:bidi="ar-SA"/>
        </w:rPr>
        <w:t>(the Act) since 200</w:t>
      </w:r>
      <w:r w:rsidR="003F1ABC" w:rsidRPr="00F82C8D">
        <w:rPr>
          <w:rFonts w:eastAsia="Calibri" w:cs="Times New Roman"/>
          <w:szCs w:val="24"/>
          <w:lang w:val="en-AU" w:bidi="ar-SA"/>
        </w:rPr>
        <w:t>9</w:t>
      </w:r>
      <w:r w:rsidRPr="00F82C8D">
        <w:rPr>
          <w:rFonts w:eastAsia="Calibri" w:cs="Times New Roman"/>
          <w:szCs w:val="24"/>
          <w:lang w:val="en-AU" w:bidi="ar-SA"/>
        </w:rPr>
        <w:t>-</w:t>
      </w:r>
      <w:r w:rsidR="003F1ABC" w:rsidRPr="00F82C8D">
        <w:rPr>
          <w:rFonts w:eastAsia="Calibri" w:cs="Times New Roman"/>
          <w:szCs w:val="24"/>
          <w:lang w:val="en-AU" w:bidi="ar-SA"/>
        </w:rPr>
        <w:t>10</w:t>
      </w:r>
      <w:r w:rsidRPr="00F82C8D">
        <w:rPr>
          <w:rFonts w:eastAsia="Calibri" w:cs="Times New Roman"/>
          <w:szCs w:val="24"/>
          <w:lang w:val="en-AU" w:bidi="ar-SA"/>
        </w:rPr>
        <w:t>. Example scenarios show how the following baselines are set for Gil Co:</w:t>
      </w:r>
    </w:p>
    <w:p w:rsidR="00B774D0" w:rsidRPr="00F82C8D" w:rsidRDefault="006F4DF5" w:rsidP="006F4DF5">
      <w:pPr>
        <w:numPr>
          <w:ilvl w:val="0"/>
          <w:numId w:val="22"/>
        </w:numPr>
        <w:contextualSpacing/>
        <w:rPr>
          <w:rFonts w:eastAsia="Calibri" w:cs="Times New Roman"/>
          <w:szCs w:val="24"/>
          <w:lang w:val="en-AU" w:bidi="ar-SA"/>
        </w:rPr>
      </w:pPr>
      <w:r w:rsidRPr="00F82C8D">
        <w:rPr>
          <w:rFonts w:eastAsia="Calibri" w:cs="Times New Roman"/>
          <w:szCs w:val="24"/>
          <w:lang w:val="en-AU" w:bidi="ar-SA"/>
        </w:rPr>
        <w:t>r</w:t>
      </w:r>
      <w:r w:rsidR="00B774D0" w:rsidRPr="00F82C8D">
        <w:rPr>
          <w:rFonts w:eastAsia="Calibri" w:cs="Times New Roman"/>
          <w:szCs w:val="24"/>
          <w:lang w:val="en-AU" w:bidi="ar-SA"/>
        </w:rPr>
        <w:t xml:space="preserve">eported-emissions baseline determination </w:t>
      </w:r>
    </w:p>
    <w:p w:rsidR="00B774D0" w:rsidRPr="00F82C8D" w:rsidRDefault="006F4DF5" w:rsidP="006F4DF5">
      <w:pPr>
        <w:numPr>
          <w:ilvl w:val="0"/>
          <w:numId w:val="22"/>
        </w:numPr>
        <w:contextualSpacing/>
        <w:rPr>
          <w:rFonts w:eastAsia="Calibri" w:cs="Times New Roman"/>
          <w:szCs w:val="24"/>
          <w:lang w:val="en-AU" w:bidi="ar-SA"/>
        </w:rPr>
      </w:pPr>
      <w:r w:rsidRPr="00F82C8D">
        <w:rPr>
          <w:rFonts w:eastAsia="Calibri" w:cs="Times New Roman"/>
          <w:szCs w:val="24"/>
          <w:lang w:val="en-AU" w:bidi="ar-SA"/>
        </w:rPr>
        <w:t>v</w:t>
      </w:r>
      <w:r w:rsidR="00B774D0" w:rsidRPr="00F82C8D">
        <w:rPr>
          <w:rFonts w:eastAsia="Calibri" w:cs="Times New Roman"/>
          <w:szCs w:val="24"/>
          <w:lang w:val="en-AU" w:bidi="ar-SA"/>
        </w:rPr>
        <w:t>ariation of baseline determination for reduction in emission</w:t>
      </w:r>
      <w:r w:rsidR="003F1ABC" w:rsidRPr="00F82C8D">
        <w:rPr>
          <w:rFonts w:eastAsia="Calibri" w:cs="Times New Roman"/>
          <w:szCs w:val="24"/>
          <w:lang w:val="en-AU" w:bidi="ar-SA"/>
        </w:rPr>
        <w:t xml:space="preserve">s </w:t>
      </w:r>
      <w:r w:rsidR="00B774D0" w:rsidRPr="00F82C8D">
        <w:rPr>
          <w:rFonts w:eastAsia="Calibri" w:cs="Times New Roman"/>
          <w:szCs w:val="24"/>
          <w:lang w:val="en-AU" w:bidi="ar-SA"/>
        </w:rPr>
        <w:t>intensity</w:t>
      </w:r>
    </w:p>
    <w:p w:rsidR="00B774D0" w:rsidRPr="00F82C8D" w:rsidRDefault="006F4DF5" w:rsidP="006F4DF5">
      <w:pPr>
        <w:numPr>
          <w:ilvl w:val="0"/>
          <w:numId w:val="22"/>
        </w:numPr>
        <w:contextualSpacing/>
        <w:rPr>
          <w:rFonts w:eastAsia="Calibri" w:cs="Times New Roman"/>
          <w:szCs w:val="24"/>
          <w:lang w:val="en-AU" w:bidi="ar-SA"/>
        </w:rPr>
      </w:pPr>
      <w:r w:rsidRPr="00F82C8D">
        <w:rPr>
          <w:rFonts w:eastAsia="Calibri" w:cs="Times New Roman"/>
          <w:szCs w:val="24"/>
          <w:lang w:val="en-AU" w:bidi="ar-SA"/>
        </w:rPr>
        <w:t>c</w:t>
      </w:r>
      <w:r w:rsidR="00B774D0" w:rsidRPr="00F82C8D">
        <w:rPr>
          <w:rFonts w:eastAsia="Calibri" w:cs="Times New Roman"/>
          <w:szCs w:val="24"/>
          <w:lang w:val="en-AU" w:bidi="ar-SA"/>
        </w:rPr>
        <w:t>alculated-emissions baseline determination (resulting from a significant expansion)</w:t>
      </w:r>
    </w:p>
    <w:p w:rsidR="00B774D0" w:rsidRPr="00F82C8D" w:rsidRDefault="006F4DF5" w:rsidP="006F4DF5">
      <w:pPr>
        <w:numPr>
          <w:ilvl w:val="0"/>
          <w:numId w:val="22"/>
        </w:numPr>
        <w:contextualSpacing/>
        <w:rPr>
          <w:rFonts w:eastAsia="Calibri" w:cs="Times New Roman"/>
          <w:szCs w:val="24"/>
          <w:lang w:val="en-AU" w:bidi="ar-SA"/>
        </w:rPr>
      </w:pPr>
      <w:r w:rsidRPr="00F82C8D">
        <w:rPr>
          <w:rFonts w:eastAsia="Calibri" w:cs="Times New Roman"/>
          <w:szCs w:val="24"/>
          <w:lang w:val="en-AU" w:bidi="ar-SA"/>
        </w:rPr>
        <w:t>p</w:t>
      </w:r>
      <w:r w:rsidR="00B774D0" w:rsidRPr="00F82C8D">
        <w:rPr>
          <w:rFonts w:eastAsia="Calibri" w:cs="Times New Roman"/>
          <w:szCs w:val="24"/>
          <w:lang w:val="en-AU" w:bidi="ar-SA"/>
        </w:rPr>
        <w:t>roduction-adjusted baseline determination.</w:t>
      </w:r>
    </w:p>
    <w:p w:rsidR="00B774D0" w:rsidRPr="00F82C8D" w:rsidRDefault="00B774D0" w:rsidP="007224C2">
      <w:pPr>
        <w:spacing w:before="360"/>
        <w:rPr>
          <w:rFonts w:cs="Times New Roman"/>
        </w:rPr>
      </w:pPr>
      <w:r w:rsidRPr="00F82C8D">
        <w:rPr>
          <w:rFonts w:eastAsia="Calibri" w:cs="Times New Roman"/>
          <w:lang w:bidi="ar-SA"/>
        </w:rPr>
        <w:t>Pear Co is the responsible emitter for five inter-state transport facilities, which have each reported under the Act over various time periods. The example scenario for Pear Co demonstrates how a r</w:t>
      </w:r>
      <w:r w:rsidRPr="00F82C8D">
        <w:rPr>
          <w:rFonts w:cs="Times New Roman"/>
        </w:rPr>
        <w:t>eported-emissions baseline</w:t>
      </w:r>
      <w:r w:rsidR="007224C2" w:rsidRPr="00F82C8D">
        <w:rPr>
          <w:rFonts w:cs="Times New Roman"/>
        </w:rPr>
        <w:t xml:space="preserve"> determination</w:t>
      </w:r>
      <w:r w:rsidRPr="00F82C8D">
        <w:rPr>
          <w:rFonts w:cs="Times New Roman"/>
        </w:rPr>
        <w:t xml:space="preserve"> is made for a transport facility that elects</w:t>
      </w:r>
      <w:r w:rsidR="005533CE" w:rsidRPr="00F82C8D">
        <w:rPr>
          <w:rFonts w:cs="Times New Roman"/>
        </w:rPr>
        <w:t xml:space="preserve"> to report on a national facility basis.</w:t>
      </w:r>
    </w:p>
    <w:p w:rsidR="00B774D0" w:rsidRPr="00F82C8D" w:rsidRDefault="00B774D0" w:rsidP="00B774D0">
      <w:pPr>
        <w:pStyle w:val="Heading2"/>
      </w:pPr>
      <w:bookmarkStart w:id="157" w:name="_Toc428260166"/>
      <w:bookmarkStart w:id="158" w:name="_Toc428868046"/>
      <w:bookmarkStart w:id="159" w:name="_Toc428869952"/>
      <w:bookmarkStart w:id="160" w:name="_Toc431293017"/>
      <w:bookmarkStart w:id="161" w:name="_Toc431293222"/>
      <w:bookmarkStart w:id="162" w:name="_Toc431973938"/>
      <w:bookmarkStart w:id="163" w:name="_Toc431975865"/>
      <w:r w:rsidRPr="00F82C8D">
        <w:t>Example scenarios for Gil Co</w:t>
      </w:r>
      <w:bookmarkEnd w:id="157"/>
      <w:bookmarkEnd w:id="158"/>
      <w:bookmarkEnd w:id="159"/>
      <w:bookmarkEnd w:id="160"/>
      <w:bookmarkEnd w:id="161"/>
      <w:bookmarkEnd w:id="162"/>
      <w:bookmarkEnd w:id="163"/>
    </w:p>
    <w:p w:rsidR="00B774D0" w:rsidRPr="00F82C8D" w:rsidRDefault="00B774D0" w:rsidP="00B774D0">
      <w:pPr>
        <w:pStyle w:val="Heading3"/>
        <w:rPr>
          <w:rFonts w:eastAsia="Times New Roman"/>
          <w:lang w:bidi="ar-SA"/>
        </w:rPr>
      </w:pPr>
      <w:r w:rsidRPr="00F82C8D">
        <w:rPr>
          <w:rFonts w:eastAsia="Times New Roman"/>
          <w:lang w:bidi="ar-SA"/>
        </w:rPr>
        <w:t xml:space="preserve">Reported-emissions baseline determination </w:t>
      </w:r>
      <w:r w:rsidRPr="00F82C8D">
        <w:t>(Part 3, Division 2, Subdivision 2)</w:t>
      </w:r>
    </w:p>
    <w:p w:rsidR="00B774D0" w:rsidRPr="00F82C8D" w:rsidRDefault="00B774D0" w:rsidP="00464595">
      <w:pPr>
        <w:numPr>
          <w:ilvl w:val="0"/>
          <w:numId w:val="22"/>
        </w:numPr>
        <w:contextualSpacing/>
        <w:rPr>
          <w:rFonts w:eastAsia="Calibri" w:cs="Times New Roman"/>
          <w:szCs w:val="24"/>
          <w:lang w:val="en-AU" w:bidi="ar-SA"/>
        </w:rPr>
      </w:pPr>
      <w:r w:rsidRPr="00F82C8D">
        <w:rPr>
          <w:rFonts w:eastAsia="Calibri" w:cs="Times New Roman"/>
          <w:szCs w:val="24"/>
          <w:lang w:val="en-AU" w:bidi="ar-SA"/>
        </w:rPr>
        <w:t>Gil Co, a silicon producer, has a single facility (Facility A).</w:t>
      </w:r>
    </w:p>
    <w:p w:rsidR="00B774D0" w:rsidRPr="00F82C8D" w:rsidRDefault="00B774D0" w:rsidP="00464595">
      <w:pPr>
        <w:numPr>
          <w:ilvl w:val="0"/>
          <w:numId w:val="22"/>
        </w:numPr>
        <w:contextualSpacing/>
        <w:rPr>
          <w:rFonts w:eastAsia="Calibri" w:cs="Times New Roman"/>
          <w:szCs w:val="24"/>
          <w:lang w:val="en-AU" w:bidi="ar-SA"/>
        </w:rPr>
      </w:pPr>
      <w:r w:rsidRPr="00F82C8D">
        <w:rPr>
          <w:rFonts w:eastAsia="Calibri" w:cs="Times New Roman"/>
          <w:szCs w:val="24"/>
          <w:lang w:val="en-AU" w:bidi="ar-SA"/>
        </w:rPr>
        <w:t>Gil Co has reported the emissions from Facility A under the Act every financial year since 200</w:t>
      </w:r>
      <w:r w:rsidR="003F1ABC" w:rsidRPr="00F82C8D">
        <w:rPr>
          <w:rFonts w:eastAsia="Calibri" w:cs="Times New Roman"/>
          <w:szCs w:val="24"/>
          <w:lang w:val="en-AU" w:bidi="ar-SA"/>
        </w:rPr>
        <w:t>9</w:t>
      </w:r>
      <w:r w:rsidRPr="00F82C8D">
        <w:rPr>
          <w:rFonts w:eastAsia="Calibri" w:cs="Times New Roman"/>
          <w:szCs w:val="24"/>
          <w:lang w:val="en-AU" w:bidi="ar-SA"/>
        </w:rPr>
        <w:t>-</w:t>
      </w:r>
      <w:r w:rsidR="003F1ABC" w:rsidRPr="00F82C8D">
        <w:rPr>
          <w:rFonts w:eastAsia="Calibri" w:cs="Times New Roman"/>
          <w:szCs w:val="24"/>
          <w:lang w:val="en-AU" w:bidi="ar-SA"/>
        </w:rPr>
        <w:t>10</w:t>
      </w:r>
      <w:r w:rsidRPr="00F82C8D">
        <w:rPr>
          <w:rFonts w:eastAsia="Calibri" w:cs="Times New Roman"/>
          <w:szCs w:val="24"/>
          <w:lang w:val="en-AU" w:bidi="ar-SA"/>
        </w:rPr>
        <w:t>.</w:t>
      </w:r>
      <w:r w:rsidR="00394E74" w:rsidRPr="00F82C8D">
        <w:rPr>
          <w:rFonts w:eastAsia="Calibri" w:cs="Times New Roman"/>
          <w:szCs w:val="24"/>
          <w:lang w:val="en-AU" w:bidi="ar-SA"/>
        </w:rPr>
        <w:t xml:space="preserve"> </w:t>
      </w:r>
    </w:p>
    <w:p w:rsidR="00B774D0" w:rsidRPr="00F82C8D" w:rsidRDefault="00B774D0" w:rsidP="00464595">
      <w:pPr>
        <w:numPr>
          <w:ilvl w:val="0"/>
          <w:numId w:val="22"/>
        </w:numPr>
        <w:spacing w:before="240"/>
        <w:contextualSpacing/>
        <w:rPr>
          <w:rFonts w:eastAsia="Calibri" w:cs="Times New Roman"/>
          <w:szCs w:val="24"/>
          <w:lang w:val="en-AU" w:bidi="ar-SA"/>
        </w:rPr>
      </w:pPr>
      <w:r w:rsidRPr="00F82C8D">
        <w:rPr>
          <w:rFonts w:eastAsia="Calibri" w:cs="Times New Roman"/>
          <w:szCs w:val="24"/>
          <w:lang w:val="en-AU" w:bidi="ar-SA"/>
        </w:rPr>
        <w:t xml:space="preserve">Its covered emissions are consistently above 100,000 t </w:t>
      </w:r>
      <w:r w:rsidRPr="00F82C8D">
        <w:rPr>
          <w:rFonts w:eastAsia="Calibri" w:cs="Times New Roman"/>
          <w:lang w:val="en-AU" w:bidi="ar-SA"/>
        </w:rPr>
        <w:t>CO</w:t>
      </w:r>
      <w:r w:rsidRPr="00F82C8D">
        <w:rPr>
          <w:rFonts w:eastAsia="Calibri" w:cs="Times New Roman"/>
          <w:vertAlign w:val="subscript"/>
          <w:lang w:val="en-AU" w:bidi="ar-SA"/>
        </w:rPr>
        <w:t>2</w:t>
      </w:r>
      <w:r w:rsidRPr="00F82C8D">
        <w:rPr>
          <w:rFonts w:eastAsia="Calibri" w:cs="Times New Roman"/>
          <w:szCs w:val="24"/>
          <w:lang w:val="en-AU" w:bidi="ar-SA"/>
        </w:rPr>
        <w:t xml:space="preserve">-e (see </w:t>
      </w:r>
      <w:fldSimple w:instr=" REF _Ref427919938 \h  \* MERGEFORMAT ">
        <w:r w:rsidR="00F16B1F" w:rsidRPr="00F16B1F">
          <w:rPr>
            <w:rFonts w:eastAsia="Calibri" w:cs="Times New Roman"/>
            <w:szCs w:val="24"/>
            <w:lang w:val="en-AU" w:bidi="ar-SA"/>
          </w:rPr>
          <w:t xml:space="preserve">Figure </w:t>
        </w:r>
        <w:r w:rsidR="00F16B1F" w:rsidRPr="00F16B1F">
          <w:rPr>
            <w:rFonts w:eastAsia="Calibri" w:cs="Times New Roman"/>
            <w:noProof/>
            <w:szCs w:val="24"/>
            <w:lang w:val="en-AU" w:bidi="ar-SA"/>
          </w:rPr>
          <w:t>4</w:t>
        </w:r>
      </w:fldSimple>
      <w:r w:rsidRPr="00F82C8D">
        <w:rPr>
          <w:rFonts w:eastAsia="Calibri" w:cs="Times New Roman"/>
          <w:szCs w:val="24"/>
          <w:lang w:val="en-AU" w:bidi="ar-SA"/>
        </w:rPr>
        <w:t>).</w:t>
      </w:r>
    </w:p>
    <w:p w:rsidR="00B774D0" w:rsidRPr="00F82C8D" w:rsidRDefault="00B774D0" w:rsidP="00B774D0">
      <w:pPr>
        <w:pStyle w:val="Caption"/>
        <w:rPr>
          <w:rFonts w:eastAsia="Calibri"/>
          <w:lang w:val="en-AU" w:bidi="ar-SA"/>
        </w:rPr>
      </w:pPr>
      <w:bookmarkStart w:id="164" w:name="_Ref427919938"/>
      <w:r w:rsidRPr="00F82C8D">
        <w:rPr>
          <w:rFonts w:eastAsia="Calibri"/>
          <w:lang w:val="en-AU" w:bidi="ar-SA"/>
        </w:rPr>
        <w:t xml:space="preserve">Figure </w:t>
      </w:r>
      <w:r w:rsidR="00744D5E" w:rsidRPr="00F82C8D">
        <w:rPr>
          <w:rFonts w:eastAsia="Calibri"/>
          <w:lang w:val="en-AU" w:bidi="ar-SA"/>
        </w:rPr>
        <w:fldChar w:fldCharType="begin"/>
      </w:r>
      <w:r w:rsidRPr="00F82C8D">
        <w:rPr>
          <w:rFonts w:eastAsia="Calibri"/>
          <w:lang w:val="en-AU" w:bidi="ar-SA"/>
        </w:rPr>
        <w:instrText xml:space="preserve"> SEQ Figure \* ARABIC </w:instrText>
      </w:r>
      <w:r w:rsidR="00744D5E" w:rsidRPr="00F82C8D">
        <w:rPr>
          <w:rFonts w:eastAsia="Calibri"/>
          <w:lang w:val="en-AU" w:bidi="ar-SA"/>
        </w:rPr>
        <w:fldChar w:fldCharType="separate"/>
      </w:r>
      <w:r w:rsidR="00F16B1F">
        <w:rPr>
          <w:rFonts w:eastAsia="Calibri"/>
          <w:noProof/>
          <w:lang w:val="en-AU" w:bidi="ar-SA"/>
        </w:rPr>
        <w:t>4</w:t>
      </w:r>
      <w:r w:rsidR="00744D5E" w:rsidRPr="00F82C8D">
        <w:rPr>
          <w:rFonts w:eastAsia="Calibri"/>
          <w:lang w:val="en-AU" w:bidi="ar-SA"/>
        </w:rPr>
        <w:fldChar w:fldCharType="end"/>
      </w:r>
      <w:bookmarkEnd w:id="164"/>
      <w:r w:rsidRPr="00F82C8D">
        <w:rPr>
          <w:rFonts w:eastAsia="Calibri"/>
          <w:lang w:val="en-AU" w:bidi="ar-SA"/>
        </w:rPr>
        <w:t>—</w:t>
      </w:r>
      <w:r w:rsidRPr="00F82C8D">
        <w:rPr>
          <w:rFonts w:eastAsia="Calibri"/>
          <w:lang w:bidi="ar-SA"/>
        </w:rPr>
        <w:t>Covered emissions over the five financial years beginning on 1 July 2009</w:t>
      </w:r>
    </w:p>
    <w:p w:rsidR="00B774D0" w:rsidRPr="00F82C8D" w:rsidRDefault="00E83730" w:rsidP="00B774D0">
      <w:pPr>
        <w:jc w:val="center"/>
        <w:rPr>
          <w:rFonts w:ascii="Calibri" w:eastAsia="Calibri" w:hAnsi="Calibri" w:cs="Times New Roman"/>
          <w:lang w:val="en-AU" w:bidi="ar-SA"/>
        </w:rPr>
      </w:pPr>
      <w:r w:rsidRPr="00F82C8D">
        <w:rPr>
          <w:rFonts w:ascii="Calibri" w:eastAsia="Calibri" w:hAnsi="Calibri" w:cs="Times New Roman"/>
          <w:noProof/>
          <w:lang w:val="en-AU" w:eastAsia="en-AU" w:bidi="ar-SA"/>
        </w:rPr>
        <w:drawing>
          <wp:inline distT="0" distB="0" distL="0" distR="0">
            <wp:extent cx="5273675" cy="3639820"/>
            <wp:effectExtent l="19050" t="0" r="317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7" cstate="print"/>
                    <a:srcRect/>
                    <a:stretch>
                      <a:fillRect/>
                    </a:stretch>
                  </pic:blipFill>
                  <pic:spPr bwMode="auto">
                    <a:xfrm>
                      <a:off x="0" y="0"/>
                      <a:ext cx="5273675" cy="3639820"/>
                    </a:xfrm>
                    <a:prstGeom prst="rect">
                      <a:avLst/>
                    </a:prstGeom>
                    <a:noFill/>
                  </pic:spPr>
                </pic:pic>
              </a:graphicData>
            </a:graphic>
          </wp:inline>
        </w:drawing>
      </w:r>
    </w:p>
    <w:p w:rsidR="00B774D0" w:rsidRPr="00F82C8D" w:rsidRDefault="00B774D0" w:rsidP="00B774D0">
      <w:pPr>
        <w:rPr>
          <w:rFonts w:eastAsia="Calibri" w:cs="Times New Roman"/>
          <w:lang w:val="en-AU" w:bidi="ar-SA"/>
        </w:rPr>
      </w:pPr>
      <w:r w:rsidRPr="00F82C8D">
        <w:rPr>
          <w:rFonts w:eastAsia="Calibri" w:cs="Times New Roman"/>
          <w:lang w:val="en-AU" w:bidi="ar-SA"/>
        </w:rPr>
        <w:t>In the above example, the Clean Energy Regulator (the Regulator) must make a reported-emissions baseline determination for Facility A because it meets the relevant criteria (paragraph 14(1)(a)), that is, emissions from Facility A were reported for every year from 2009-10 to 2013-14 and Facility A’s covered emissions exceeded 100,000 t CO</w:t>
      </w:r>
      <w:r w:rsidRPr="00F82C8D">
        <w:rPr>
          <w:rFonts w:eastAsia="Calibri" w:cs="Times New Roman"/>
          <w:vertAlign w:val="subscript"/>
          <w:lang w:val="en-AU" w:bidi="ar-SA"/>
        </w:rPr>
        <w:t>2</w:t>
      </w:r>
      <w:r w:rsidRPr="00F82C8D">
        <w:rPr>
          <w:rFonts w:eastAsia="Calibri" w:cs="Times New Roman"/>
          <w:lang w:val="en-AU" w:bidi="ar-SA"/>
        </w:rPr>
        <w:t>-e in at least one of these years.</w:t>
      </w:r>
      <w:r w:rsidR="00394E74" w:rsidRPr="00F82C8D">
        <w:rPr>
          <w:rFonts w:eastAsia="Calibri" w:cs="Times New Roman"/>
          <w:lang w:val="en-AU" w:bidi="ar-SA"/>
        </w:rPr>
        <w:t xml:space="preserve"> </w:t>
      </w:r>
    </w:p>
    <w:p w:rsidR="00B774D0" w:rsidRPr="00F82C8D" w:rsidRDefault="00B774D0" w:rsidP="00B774D0">
      <w:pPr>
        <w:rPr>
          <w:rFonts w:eastAsia="Calibri" w:cs="Times New Roman"/>
          <w:lang w:val="en-AU" w:bidi="ar-SA"/>
        </w:rPr>
      </w:pPr>
      <w:r w:rsidRPr="00F82C8D">
        <w:rPr>
          <w:rFonts w:eastAsia="Calibri" w:cs="Times New Roman"/>
          <w:lang w:val="en-AU" w:bidi="ar-SA"/>
        </w:rPr>
        <w:t>Prior to making the determination, the Regulator must provide written notice to Gil Co, who is the responsible emitter (section 16).</w:t>
      </w:r>
    </w:p>
    <w:p w:rsidR="00B774D0" w:rsidRPr="00F82C8D" w:rsidRDefault="00B774D0" w:rsidP="00B774D0">
      <w:pPr>
        <w:rPr>
          <w:rFonts w:eastAsia="Calibri" w:cs="Times New Roman"/>
          <w:lang w:val="en-AU" w:bidi="ar-SA"/>
        </w:rPr>
      </w:pPr>
      <w:r w:rsidRPr="00F82C8D">
        <w:rPr>
          <w:rFonts w:eastAsia="Calibri" w:cs="Times New Roman"/>
          <w:lang w:val="en-AU" w:bidi="ar-SA"/>
        </w:rPr>
        <w:t>The baseline emissions number for Facility A will be 133,605 t CO</w:t>
      </w:r>
      <w:r w:rsidRPr="00F82C8D">
        <w:rPr>
          <w:rFonts w:eastAsia="Calibri" w:cs="Times New Roman"/>
          <w:vertAlign w:val="subscript"/>
          <w:lang w:val="en-AU" w:bidi="ar-SA"/>
        </w:rPr>
        <w:t>2</w:t>
      </w:r>
      <w:r w:rsidRPr="00F82C8D">
        <w:rPr>
          <w:rFonts w:eastAsia="Calibri" w:cs="Times New Roman"/>
          <w:lang w:val="en-AU" w:bidi="ar-SA"/>
        </w:rPr>
        <w:t xml:space="preserve">-e per year, which is the </w:t>
      </w:r>
      <w:r w:rsidRPr="00F82C8D">
        <w:t xml:space="preserve">reported scope 1 emissions in 2010-11, as the </w:t>
      </w:r>
      <w:r w:rsidRPr="00F82C8D">
        <w:rPr>
          <w:rFonts w:eastAsia="Calibri" w:cs="Times New Roman"/>
          <w:lang w:val="en-AU" w:bidi="ar-SA"/>
        </w:rPr>
        <w:t>highest annual covered emissions during the five financial years beginning on 1 July 2009 (subsection 17(1)). This baseline emissions number will apply from 1 July 2016, which is when the safeguard mechanism commences (subsection 18(1)).</w:t>
      </w:r>
    </w:p>
    <w:p w:rsidR="00B774D0" w:rsidRPr="00F82C8D" w:rsidRDefault="00B774D0" w:rsidP="00B774D0">
      <w:pPr>
        <w:rPr>
          <w:rFonts w:eastAsia="Calibri" w:cs="Times New Roman"/>
          <w:lang w:val="en-AU" w:bidi="ar-SA"/>
        </w:rPr>
      </w:pPr>
      <w:r w:rsidRPr="00F82C8D">
        <w:rPr>
          <w:rFonts w:eastAsia="Calibri" w:cs="Times New Roman"/>
          <w:lang w:val="en-AU" w:bidi="ar-SA"/>
        </w:rPr>
        <w:t>This baseline determination continues to be in force until it is replaced by another baseline determination. It also comes back into force at the expiry of any subsequent determination (subsection 18(3)).</w:t>
      </w:r>
    </w:p>
    <w:p w:rsidR="00B774D0" w:rsidRPr="00F82C8D" w:rsidRDefault="001E363B" w:rsidP="00B774D0">
      <w:pPr>
        <w:pStyle w:val="Caption"/>
        <w:rPr>
          <w:rFonts w:cs="Arial"/>
        </w:rPr>
      </w:pPr>
      <w:r w:rsidRPr="00F82C8D">
        <w:t xml:space="preserve">Table </w:t>
      </w:r>
      <w:r w:rsidR="00744D5E" w:rsidRPr="00F82C8D">
        <w:fldChar w:fldCharType="begin"/>
      </w:r>
      <w:r w:rsidR="007329DC" w:rsidRPr="00F82C8D">
        <w:instrText xml:space="preserve"> SEQ Table \* ARABIC </w:instrText>
      </w:r>
      <w:r w:rsidR="00744D5E" w:rsidRPr="00F82C8D">
        <w:fldChar w:fldCharType="separate"/>
      </w:r>
      <w:r w:rsidR="00F16B1F">
        <w:rPr>
          <w:noProof/>
        </w:rPr>
        <w:t>2</w:t>
      </w:r>
      <w:r w:rsidR="00744D5E" w:rsidRPr="00F82C8D">
        <w:fldChar w:fldCharType="end"/>
      </w:r>
      <w:r w:rsidR="00D942D2" w:rsidRPr="00F82C8D">
        <w:rPr>
          <w:rFonts w:cs="Arial"/>
        </w:rPr>
        <w:t>—</w:t>
      </w:r>
      <w:r w:rsidR="00B774D0" w:rsidRPr="00F82C8D">
        <w:rPr>
          <w:rFonts w:cs="Arial"/>
        </w:rPr>
        <w:t>Key elements of a reported-emissions baseline determination</w:t>
      </w:r>
    </w:p>
    <w:tbl>
      <w:tblPr>
        <w:tblStyle w:val="TableGrid1"/>
        <w:tblW w:w="0" w:type="auto"/>
        <w:tblLook w:val="04A0"/>
      </w:tblPr>
      <w:tblGrid>
        <w:gridCol w:w="3261"/>
        <w:gridCol w:w="5873"/>
      </w:tblGrid>
      <w:tr w:rsidR="00B774D0" w:rsidRPr="00F82C8D" w:rsidTr="00F6082D">
        <w:tc>
          <w:tcPr>
            <w:tcW w:w="3261" w:type="dxa"/>
          </w:tcPr>
          <w:p w:rsidR="00B774D0" w:rsidRPr="00F82C8D" w:rsidRDefault="00B774D0" w:rsidP="00D942D2">
            <w:pPr>
              <w:spacing w:before="60" w:after="60"/>
              <w:jc w:val="center"/>
              <w:rPr>
                <w:rFonts w:ascii="Arial" w:hAnsi="Arial" w:cs="Arial"/>
                <w:b/>
                <w:sz w:val="20"/>
                <w:szCs w:val="20"/>
              </w:rPr>
            </w:pPr>
            <w:r w:rsidRPr="00F82C8D">
              <w:rPr>
                <w:rFonts w:ascii="Arial" w:hAnsi="Arial" w:cs="Arial"/>
                <w:b/>
                <w:sz w:val="20"/>
                <w:szCs w:val="20"/>
              </w:rPr>
              <w:t>Element</w:t>
            </w:r>
          </w:p>
        </w:tc>
        <w:tc>
          <w:tcPr>
            <w:tcW w:w="5873" w:type="dxa"/>
          </w:tcPr>
          <w:p w:rsidR="00B774D0" w:rsidRPr="00F82C8D" w:rsidRDefault="00B774D0" w:rsidP="00D942D2">
            <w:pPr>
              <w:spacing w:before="60" w:after="60"/>
              <w:jc w:val="center"/>
              <w:rPr>
                <w:rFonts w:ascii="Arial" w:hAnsi="Arial" w:cs="Arial"/>
                <w:b/>
                <w:sz w:val="20"/>
                <w:szCs w:val="20"/>
              </w:rPr>
            </w:pPr>
            <w:r w:rsidRPr="00F82C8D">
              <w:rPr>
                <w:rFonts w:ascii="Arial" w:hAnsi="Arial" w:cs="Arial"/>
                <w:b/>
                <w:sz w:val="20"/>
                <w:szCs w:val="20"/>
              </w:rPr>
              <w:t>Treatment and reference</w:t>
            </w:r>
          </w:p>
        </w:tc>
      </w:tr>
      <w:tr w:rsidR="00B774D0" w:rsidRPr="00F82C8D" w:rsidTr="00F6082D">
        <w:tc>
          <w:tcPr>
            <w:tcW w:w="3261"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 xml:space="preserve">Criteria </w:t>
            </w:r>
          </w:p>
          <w:p w:rsidR="00B774D0" w:rsidRPr="00F82C8D" w:rsidRDefault="00B774D0" w:rsidP="00D942D2">
            <w:pPr>
              <w:spacing w:before="60" w:after="60"/>
              <w:rPr>
                <w:rFonts w:ascii="Arial" w:hAnsi="Arial" w:cs="Arial"/>
                <w:i/>
                <w:sz w:val="20"/>
                <w:szCs w:val="20"/>
              </w:rPr>
            </w:pPr>
            <w:r w:rsidRPr="00F82C8D">
              <w:rPr>
                <w:rFonts w:ascii="Arial" w:hAnsi="Arial" w:cs="Arial"/>
                <w:i/>
                <w:sz w:val="20"/>
                <w:szCs w:val="20"/>
              </w:rPr>
              <w:t xml:space="preserve">Reported-emissions baseline determination </w:t>
            </w:r>
          </w:p>
        </w:tc>
        <w:tc>
          <w:tcPr>
            <w:tcW w:w="5873"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Relate to the availability of historical data (</w:t>
            </w:r>
            <w:r w:rsidR="005533CE" w:rsidRPr="00F82C8D">
              <w:rPr>
                <w:rFonts w:ascii="Arial" w:hAnsi="Arial" w:cs="Arial"/>
                <w:sz w:val="20"/>
                <w:szCs w:val="20"/>
              </w:rPr>
              <w:t>sub</w:t>
            </w:r>
            <w:r w:rsidRPr="00F82C8D">
              <w:rPr>
                <w:rFonts w:ascii="Arial" w:hAnsi="Arial" w:cs="Arial"/>
                <w:sz w:val="20"/>
                <w:szCs w:val="20"/>
              </w:rPr>
              <w:t>section 14</w:t>
            </w:r>
            <w:r w:rsidR="005533CE" w:rsidRPr="00F82C8D">
              <w:rPr>
                <w:rFonts w:ascii="Arial" w:hAnsi="Arial" w:cs="Arial"/>
                <w:sz w:val="20"/>
                <w:szCs w:val="20"/>
              </w:rPr>
              <w:t>(1)</w:t>
            </w:r>
            <w:r w:rsidRPr="00F82C8D">
              <w:rPr>
                <w:rFonts w:ascii="Arial" w:hAnsi="Arial" w:cs="Arial"/>
                <w:sz w:val="20"/>
                <w:szCs w:val="20"/>
              </w:rPr>
              <w:t>)</w:t>
            </w:r>
          </w:p>
        </w:tc>
      </w:tr>
      <w:tr w:rsidR="00B774D0" w:rsidRPr="00F82C8D" w:rsidTr="00F6082D">
        <w:tc>
          <w:tcPr>
            <w:tcW w:w="3261"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Application deadline</w:t>
            </w:r>
          </w:p>
        </w:tc>
        <w:tc>
          <w:tcPr>
            <w:tcW w:w="5873"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Not applicable</w:t>
            </w:r>
          </w:p>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This kind of baseline determination is made by the Regulator and not in response to an application.</w:t>
            </w:r>
          </w:p>
        </w:tc>
      </w:tr>
      <w:tr w:rsidR="00B774D0" w:rsidRPr="00F82C8D" w:rsidTr="00F6082D">
        <w:tc>
          <w:tcPr>
            <w:tcW w:w="3261"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Application information</w:t>
            </w:r>
          </w:p>
        </w:tc>
        <w:tc>
          <w:tcPr>
            <w:tcW w:w="5873"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Not applicable</w:t>
            </w:r>
          </w:p>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This kind of baseline determination is made by the Regulator and not in response to an application.</w:t>
            </w:r>
          </w:p>
        </w:tc>
      </w:tr>
      <w:tr w:rsidR="00B774D0" w:rsidRPr="00F82C8D" w:rsidTr="00F6082D">
        <w:tc>
          <w:tcPr>
            <w:tcW w:w="3261"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Audit requirement</w:t>
            </w:r>
          </w:p>
        </w:tc>
        <w:tc>
          <w:tcPr>
            <w:tcW w:w="5873"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Not applicable</w:t>
            </w:r>
          </w:p>
        </w:tc>
      </w:tr>
      <w:tr w:rsidR="00B774D0" w:rsidRPr="00F82C8D" w:rsidTr="00F6082D">
        <w:tc>
          <w:tcPr>
            <w:tcW w:w="3261"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Baseline emissions number</w:t>
            </w:r>
          </w:p>
        </w:tc>
        <w:tc>
          <w:tcPr>
            <w:tcW w:w="5873"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Based on the highest annual covered emissions during the five financial years beginning on 1 July 2009 (section 17)</w:t>
            </w:r>
          </w:p>
        </w:tc>
      </w:tr>
      <w:tr w:rsidR="00B774D0" w:rsidRPr="00F82C8D" w:rsidTr="00F6082D">
        <w:tc>
          <w:tcPr>
            <w:tcW w:w="3261"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Commencement</w:t>
            </w:r>
          </w:p>
        </w:tc>
        <w:tc>
          <w:tcPr>
            <w:tcW w:w="5873"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Commences on 1 July 2016 unless a calculated-emissions baseline has been made</w:t>
            </w:r>
            <w:r w:rsidR="0083680E" w:rsidRPr="00F82C8D">
              <w:rPr>
                <w:rFonts w:ascii="Arial" w:hAnsi="Arial" w:cs="Arial"/>
                <w:sz w:val="20"/>
                <w:szCs w:val="20"/>
              </w:rPr>
              <w:t xml:space="preserve"> with effect from 1 July 2016</w:t>
            </w:r>
            <w:r w:rsidRPr="00F82C8D">
              <w:rPr>
                <w:rFonts w:ascii="Arial" w:hAnsi="Arial" w:cs="Arial"/>
                <w:sz w:val="20"/>
                <w:szCs w:val="20"/>
              </w:rPr>
              <w:t xml:space="preserve"> (section</w:t>
            </w:r>
            <w:r w:rsidR="0068136C" w:rsidRPr="00F82C8D">
              <w:rPr>
                <w:rFonts w:ascii="Arial" w:hAnsi="Arial" w:cs="Arial"/>
                <w:sz w:val="20"/>
                <w:szCs w:val="20"/>
              </w:rPr>
              <w:t> </w:t>
            </w:r>
            <w:r w:rsidRPr="00F82C8D">
              <w:rPr>
                <w:rFonts w:ascii="Arial" w:hAnsi="Arial" w:cs="Arial"/>
                <w:sz w:val="20"/>
                <w:szCs w:val="20"/>
              </w:rPr>
              <w:t>18)</w:t>
            </w:r>
          </w:p>
        </w:tc>
      </w:tr>
      <w:tr w:rsidR="00B774D0" w:rsidRPr="00F82C8D" w:rsidTr="00F6082D">
        <w:tc>
          <w:tcPr>
            <w:tcW w:w="3261" w:type="dxa"/>
          </w:tcPr>
          <w:p w:rsidR="00B774D0" w:rsidRPr="00F82C8D" w:rsidRDefault="00B774D0" w:rsidP="00D942D2">
            <w:pPr>
              <w:spacing w:before="60" w:after="60"/>
              <w:rPr>
                <w:rFonts w:ascii="Arial" w:hAnsi="Arial" w:cs="Arial"/>
                <w:sz w:val="20"/>
                <w:szCs w:val="20"/>
              </w:rPr>
            </w:pPr>
            <w:r w:rsidRPr="00F82C8D">
              <w:rPr>
                <w:rFonts w:ascii="Arial" w:hAnsi="Arial" w:cs="Arial"/>
                <w:sz w:val="20"/>
                <w:szCs w:val="20"/>
              </w:rPr>
              <w:t>Expiry</w:t>
            </w:r>
          </w:p>
        </w:tc>
        <w:tc>
          <w:tcPr>
            <w:tcW w:w="5873" w:type="dxa"/>
          </w:tcPr>
          <w:p w:rsidR="00B774D0" w:rsidRPr="00F82C8D" w:rsidRDefault="00B774D0" w:rsidP="0068136C">
            <w:pPr>
              <w:spacing w:before="60" w:after="60"/>
              <w:rPr>
                <w:rFonts w:ascii="Arial" w:hAnsi="Arial" w:cs="Arial"/>
                <w:sz w:val="20"/>
                <w:szCs w:val="20"/>
              </w:rPr>
            </w:pPr>
            <w:r w:rsidRPr="00F82C8D">
              <w:rPr>
                <w:rFonts w:ascii="Arial" w:hAnsi="Arial" w:cs="Arial"/>
                <w:sz w:val="20"/>
                <w:szCs w:val="20"/>
              </w:rPr>
              <w:t xml:space="preserve">This determination continues to be in force until it is replaced by another determination. It </w:t>
            </w:r>
            <w:r w:rsidR="0068136C" w:rsidRPr="00F82C8D">
              <w:rPr>
                <w:rFonts w:ascii="Arial" w:hAnsi="Arial" w:cs="Arial"/>
                <w:sz w:val="20"/>
                <w:szCs w:val="20"/>
              </w:rPr>
              <w:t xml:space="preserve">may also </w:t>
            </w:r>
            <w:r w:rsidRPr="00F82C8D">
              <w:rPr>
                <w:rFonts w:ascii="Arial" w:hAnsi="Arial" w:cs="Arial"/>
                <w:sz w:val="20"/>
                <w:szCs w:val="20"/>
              </w:rPr>
              <w:t>com</w:t>
            </w:r>
            <w:r w:rsidR="0068136C" w:rsidRPr="00F82C8D">
              <w:rPr>
                <w:rFonts w:ascii="Arial" w:hAnsi="Arial" w:cs="Arial"/>
                <w:sz w:val="20"/>
                <w:szCs w:val="20"/>
              </w:rPr>
              <w:t>e</w:t>
            </w:r>
            <w:r w:rsidRPr="00F82C8D">
              <w:rPr>
                <w:rFonts w:ascii="Arial" w:hAnsi="Arial" w:cs="Arial"/>
                <w:sz w:val="20"/>
                <w:szCs w:val="20"/>
              </w:rPr>
              <w:t xml:space="preserve"> back into force at the expiry of a subsequent determination</w:t>
            </w:r>
            <w:r w:rsidR="0068136C" w:rsidRPr="00F82C8D">
              <w:rPr>
                <w:rFonts w:ascii="Arial" w:hAnsi="Arial" w:cs="Arial"/>
                <w:sz w:val="20"/>
                <w:szCs w:val="20"/>
              </w:rPr>
              <w:t>, depending on how many and which determinations have been made since the reported-emissions baseline was made</w:t>
            </w:r>
            <w:r w:rsidRPr="00F82C8D">
              <w:rPr>
                <w:rFonts w:ascii="Arial" w:hAnsi="Arial" w:cs="Arial"/>
                <w:sz w:val="20"/>
                <w:szCs w:val="20"/>
              </w:rPr>
              <w:t xml:space="preserve"> (section 18)</w:t>
            </w:r>
          </w:p>
        </w:tc>
      </w:tr>
    </w:tbl>
    <w:p w:rsidR="00B774D0" w:rsidRPr="00F82C8D" w:rsidRDefault="00B774D0" w:rsidP="00B774D0">
      <w:pPr>
        <w:pStyle w:val="Heading3"/>
        <w:rPr>
          <w:rFonts w:eastAsia="Times New Roman"/>
          <w:lang w:bidi="ar-SA"/>
        </w:rPr>
      </w:pPr>
      <w:r w:rsidRPr="00F82C8D">
        <w:rPr>
          <w:rFonts w:eastAsia="Times New Roman"/>
          <w:lang w:bidi="ar-SA"/>
        </w:rPr>
        <w:t>Variation of baseline determi</w:t>
      </w:r>
      <w:r w:rsidR="00D942D2" w:rsidRPr="00F82C8D">
        <w:rPr>
          <w:rFonts w:eastAsia="Times New Roman"/>
          <w:lang w:bidi="ar-SA"/>
        </w:rPr>
        <w:t xml:space="preserve">nation for reduction in emissions </w:t>
      </w:r>
      <w:r w:rsidRPr="00F82C8D">
        <w:rPr>
          <w:rFonts w:eastAsia="Times New Roman"/>
          <w:lang w:bidi="ar-SA"/>
        </w:rPr>
        <w:t xml:space="preserve">intensity </w:t>
      </w:r>
      <w:r w:rsidRPr="00F82C8D">
        <w:t>(Part 3, Division 2, Subdivision 6)</w:t>
      </w:r>
    </w:p>
    <w:p w:rsidR="00B774D0" w:rsidRPr="00F82C8D" w:rsidRDefault="00B774D0" w:rsidP="00464595">
      <w:pPr>
        <w:numPr>
          <w:ilvl w:val="0"/>
          <w:numId w:val="24"/>
        </w:numPr>
        <w:contextualSpacing/>
        <w:rPr>
          <w:rFonts w:eastAsia="Calibri" w:cs="Times New Roman"/>
          <w:lang w:val="en-AU" w:bidi="ar-SA"/>
        </w:rPr>
      </w:pPr>
      <w:r w:rsidRPr="00F82C8D">
        <w:rPr>
          <w:rFonts w:eastAsia="Calibri" w:cs="Times New Roman"/>
          <w:lang w:val="en-AU" w:bidi="ar-SA"/>
        </w:rPr>
        <w:t>In 2017-18 (the second year of the safeguard mechanism) Facility A’s covered emissions of 135,741 t CO</w:t>
      </w:r>
      <w:r w:rsidRPr="00F82C8D">
        <w:rPr>
          <w:rFonts w:eastAsia="Calibri" w:cs="Times New Roman"/>
          <w:vertAlign w:val="subscript"/>
          <w:lang w:val="en-AU" w:bidi="ar-SA"/>
        </w:rPr>
        <w:t>2</w:t>
      </w:r>
      <w:r w:rsidRPr="00F82C8D">
        <w:rPr>
          <w:rFonts w:eastAsia="Calibri" w:cs="Times New Roman"/>
          <w:lang w:val="en-AU" w:bidi="ar-SA"/>
        </w:rPr>
        <w:t>-e exceed the baseline emission</w:t>
      </w:r>
      <w:r w:rsidR="00E16219" w:rsidRPr="00F82C8D">
        <w:rPr>
          <w:rFonts w:eastAsia="Calibri" w:cs="Times New Roman"/>
          <w:lang w:val="en-AU" w:bidi="ar-SA"/>
        </w:rPr>
        <w:t>s</w:t>
      </w:r>
      <w:r w:rsidRPr="00F82C8D">
        <w:rPr>
          <w:rFonts w:eastAsia="Calibri" w:cs="Times New Roman"/>
          <w:lang w:val="en-AU" w:bidi="ar-SA"/>
        </w:rPr>
        <w:t xml:space="preserve"> number of 133,605 t CO</w:t>
      </w:r>
      <w:r w:rsidRPr="00F82C8D">
        <w:rPr>
          <w:rFonts w:eastAsia="Calibri" w:cs="Times New Roman"/>
          <w:vertAlign w:val="subscript"/>
          <w:lang w:val="en-AU" w:bidi="ar-SA"/>
        </w:rPr>
        <w:t>2</w:t>
      </w:r>
      <w:r w:rsidRPr="00F82C8D">
        <w:rPr>
          <w:rFonts w:eastAsia="Calibri" w:cs="Times New Roman"/>
          <w:lang w:val="en-AU" w:bidi="ar-SA"/>
        </w:rPr>
        <w:noBreakHyphen/>
        <w:t xml:space="preserve">e (see </w:t>
      </w:r>
      <w:fldSimple w:instr=" REF _Ref427920211 \h  \* MERGEFORMAT ">
        <w:r w:rsidR="00F16B1F" w:rsidRPr="00F16B1F">
          <w:rPr>
            <w:rFonts w:eastAsia="Calibri" w:cs="Times New Roman"/>
            <w:szCs w:val="24"/>
            <w:lang w:val="en-AU" w:bidi="ar-SA"/>
          </w:rPr>
          <w:t xml:space="preserve">Figure </w:t>
        </w:r>
        <w:r w:rsidR="00F16B1F" w:rsidRPr="00F16B1F">
          <w:rPr>
            <w:rFonts w:eastAsia="Calibri" w:cs="Times New Roman"/>
            <w:noProof/>
            <w:szCs w:val="24"/>
            <w:lang w:val="en-AU" w:bidi="ar-SA"/>
          </w:rPr>
          <w:t>5</w:t>
        </w:r>
      </w:fldSimple>
      <w:r w:rsidRPr="00F82C8D">
        <w:rPr>
          <w:rFonts w:eastAsia="Calibri" w:cs="Times New Roman"/>
          <w:szCs w:val="24"/>
          <w:lang w:val="en-AU" w:bidi="ar-SA"/>
        </w:rPr>
        <w:t>).</w:t>
      </w:r>
      <w:r w:rsidRPr="00F82C8D">
        <w:rPr>
          <w:rFonts w:eastAsia="Calibri" w:cs="Times New Roman"/>
          <w:sz w:val="28"/>
          <w:lang w:val="en-AU" w:bidi="ar-SA"/>
        </w:rPr>
        <w:t xml:space="preserve"> </w:t>
      </w:r>
      <w:r w:rsidRPr="00F82C8D">
        <w:rPr>
          <w:rFonts w:eastAsia="Calibri" w:cs="Times New Roman"/>
          <w:lang w:val="en-AU" w:bidi="ar-SA"/>
        </w:rPr>
        <w:t>The increase in emissions was a result of greater production of silicon at Facility A in 2017</w:t>
      </w:r>
      <w:r w:rsidRPr="00F82C8D">
        <w:rPr>
          <w:rFonts w:eastAsia="Calibri" w:cs="Times New Roman"/>
          <w:lang w:val="en-AU" w:bidi="ar-SA"/>
        </w:rPr>
        <w:noBreakHyphen/>
        <w:t>18.</w:t>
      </w:r>
      <w:r w:rsidR="00394E74" w:rsidRPr="00F82C8D">
        <w:rPr>
          <w:rFonts w:eastAsia="Calibri" w:cs="Times New Roman"/>
          <w:lang w:val="en-AU" w:bidi="ar-SA"/>
        </w:rPr>
        <w:t xml:space="preserve"> </w:t>
      </w:r>
    </w:p>
    <w:p w:rsidR="00B774D0" w:rsidRPr="00F82C8D" w:rsidRDefault="00B774D0" w:rsidP="00464595">
      <w:pPr>
        <w:numPr>
          <w:ilvl w:val="0"/>
          <w:numId w:val="24"/>
        </w:numPr>
        <w:contextualSpacing/>
        <w:rPr>
          <w:rFonts w:eastAsia="Calibri" w:cs="Times New Roman"/>
          <w:lang w:val="en-AU" w:bidi="ar-SA"/>
        </w:rPr>
      </w:pPr>
      <w:r w:rsidRPr="00F82C8D">
        <w:rPr>
          <w:rFonts w:eastAsia="Calibri" w:cs="Times New Roman"/>
          <w:lang w:val="en-AU" w:bidi="ar-SA"/>
        </w:rPr>
        <w:t>However, the emissions intensity (emissions per tonne of silicon) at Facility A also improved from 1.51 t CO</w:t>
      </w:r>
      <w:r w:rsidRPr="00F82C8D">
        <w:rPr>
          <w:rFonts w:eastAsia="Calibri" w:cs="Times New Roman"/>
          <w:vertAlign w:val="subscript"/>
          <w:lang w:val="en-AU" w:bidi="ar-SA"/>
        </w:rPr>
        <w:t>2</w:t>
      </w:r>
      <w:r w:rsidRPr="00F82C8D">
        <w:rPr>
          <w:rFonts w:eastAsia="Calibri" w:cs="Times New Roman"/>
          <w:lang w:val="en-AU" w:bidi="ar-SA"/>
        </w:rPr>
        <w:t>-e /t silicon in 2010-11 to 1.36 t CO</w:t>
      </w:r>
      <w:r w:rsidRPr="00F82C8D">
        <w:rPr>
          <w:rFonts w:eastAsia="Calibri" w:cs="Times New Roman"/>
          <w:vertAlign w:val="subscript"/>
          <w:lang w:val="en-AU" w:bidi="ar-SA"/>
        </w:rPr>
        <w:t>2</w:t>
      </w:r>
      <w:r w:rsidRPr="00F82C8D">
        <w:rPr>
          <w:rFonts w:eastAsia="Calibri" w:cs="Times New Roman"/>
          <w:lang w:val="en-AU" w:bidi="ar-SA"/>
        </w:rPr>
        <w:t>-e /t silicon in 2017-18.</w:t>
      </w:r>
    </w:p>
    <w:p w:rsidR="00B774D0" w:rsidRPr="00F82C8D" w:rsidRDefault="00B774D0" w:rsidP="00464595">
      <w:pPr>
        <w:numPr>
          <w:ilvl w:val="0"/>
          <w:numId w:val="24"/>
        </w:numPr>
        <w:contextualSpacing/>
        <w:rPr>
          <w:rFonts w:eastAsia="Calibri" w:cs="Times New Roman"/>
          <w:lang w:val="en-AU" w:bidi="ar-SA"/>
        </w:rPr>
      </w:pPr>
      <w:r w:rsidRPr="00F82C8D">
        <w:rPr>
          <w:rFonts w:eastAsia="Calibri" w:cs="Times New Roman"/>
          <w:lang w:val="en-AU" w:bidi="ar-SA"/>
        </w:rPr>
        <w:t>The total production and emissions intensity of Facility A for the period 2009-10 to 2017-18 is represente</w:t>
      </w:r>
      <w:r w:rsidRPr="00F82C8D">
        <w:rPr>
          <w:rFonts w:eastAsia="Calibri" w:cs="Times New Roman"/>
          <w:szCs w:val="24"/>
          <w:lang w:val="en-AU" w:bidi="ar-SA"/>
        </w:rPr>
        <w:t xml:space="preserve">d in </w:t>
      </w:r>
      <w:fldSimple w:instr=" REF _Ref427923666 \h  \* MERGEFORMAT ">
        <w:r w:rsidR="00F16B1F" w:rsidRPr="00F16B1F">
          <w:rPr>
            <w:rFonts w:eastAsia="Calibri" w:cs="Times New Roman"/>
            <w:szCs w:val="24"/>
            <w:lang w:val="en-AU" w:bidi="ar-SA"/>
          </w:rPr>
          <w:t xml:space="preserve">Figure </w:t>
        </w:r>
        <w:r w:rsidR="00F16B1F" w:rsidRPr="00F16B1F">
          <w:rPr>
            <w:rFonts w:eastAsia="Calibri" w:cs="Times New Roman"/>
            <w:noProof/>
            <w:szCs w:val="24"/>
            <w:lang w:val="en-AU" w:bidi="ar-SA"/>
          </w:rPr>
          <w:t>6</w:t>
        </w:r>
      </w:fldSimple>
      <w:r w:rsidR="00D942D2" w:rsidRPr="00F82C8D">
        <w:rPr>
          <w:rFonts w:eastAsia="Calibri" w:cs="Times New Roman"/>
          <w:szCs w:val="24"/>
          <w:lang w:val="en-AU" w:bidi="ar-SA"/>
        </w:rPr>
        <w:t>.</w:t>
      </w:r>
    </w:p>
    <w:p w:rsidR="00B774D0" w:rsidRPr="00F82C8D" w:rsidRDefault="00B774D0" w:rsidP="00B774D0">
      <w:pPr>
        <w:pStyle w:val="Caption"/>
        <w:rPr>
          <w:rFonts w:eastAsia="Calibri"/>
          <w:lang w:val="en-AU" w:bidi="ar-SA"/>
        </w:rPr>
      </w:pPr>
      <w:bookmarkStart w:id="165" w:name="_Ref427920211"/>
      <w:r w:rsidRPr="00F82C8D">
        <w:rPr>
          <w:rFonts w:eastAsia="Calibri"/>
          <w:lang w:val="en-AU" w:bidi="ar-SA"/>
        </w:rPr>
        <w:t xml:space="preserve">Figure </w:t>
      </w:r>
      <w:r w:rsidR="00744D5E" w:rsidRPr="00F82C8D">
        <w:rPr>
          <w:rFonts w:eastAsia="Calibri"/>
          <w:lang w:val="en-AU" w:bidi="ar-SA"/>
        </w:rPr>
        <w:fldChar w:fldCharType="begin"/>
      </w:r>
      <w:r w:rsidRPr="00F82C8D">
        <w:rPr>
          <w:rFonts w:eastAsia="Calibri"/>
          <w:lang w:val="en-AU" w:bidi="ar-SA"/>
        </w:rPr>
        <w:instrText xml:space="preserve"> SEQ Figure \* ARABIC </w:instrText>
      </w:r>
      <w:r w:rsidR="00744D5E" w:rsidRPr="00F82C8D">
        <w:rPr>
          <w:rFonts w:eastAsia="Calibri"/>
          <w:lang w:val="en-AU" w:bidi="ar-SA"/>
        </w:rPr>
        <w:fldChar w:fldCharType="separate"/>
      </w:r>
      <w:r w:rsidR="00F16B1F">
        <w:rPr>
          <w:rFonts w:eastAsia="Calibri"/>
          <w:noProof/>
          <w:lang w:val="en-AU" w:bidi="ar-SA"/>
        </w:rPr>
        <w:t>5</w:t>
      </w:r>
      <w:r w:rsidR="00744D5E" w:rsidRPr="00F82C8D">
        <w:rPr>
          <w:rFonts w:eastAsia="Calibri"/>
          <w:lang w:val="en-AU" w:bidi="ar-SA"/>
        </w:rPr>
        <w:fldChar w:fldCharType="end"/>
      </w:r>
      <w:bookmarkEnd w:id="165"/>
      <w:r w:rsidRPr="00F82C8D">
        <w:rPr>
          <w:rFonts w:eastAsia="Calibri"/>
          <w:lang w:val="en-AU" w:bidi="ar-SA"/>
        </w:rPr>
        <w:t>—</w:t>
      </w:r>
      <w:r w:rsidRPr="00F82C8D">
        <w:rPr>
          <w:rFonts w:eastAsia="Calibri"/>
          <w:lang w:bidi="ar-SA"/>
        </w:rPr>
        <w:t>Covered emissions over the period 2009-10 to 2017-18</w:t>
      </w:r>
    </w:p>
    <w:p w:rsidR="00B774D0" w:rsidRPr="00F82C8D" w:rsidRDefault="00744D5E" w:rsidP="00B774D0">
      <w:pPr>
        <w:jc w:val="center"/>
        <w:rPr>
          <w:rFonts w:ascii="Calibri" w:eastAsia="Calibri" w:hAnsi="Calibri" w:cs="Times New Roman"/>
          <w:lang w:val="en-AU" w:bidi="ar-SA"/>
        </w:rPr>
      </w:pPr>
      <w:r w:rsidRPr="00744D5E">
        <w:rPr>
          <w:rFonts w:ascii="Calibri" w:eastAsia="Calibri" w:hAnsi="Calibri" w:cs="Times New Roman"/>
          <w:noProof/>
          <w:color w:val="F79646" w:themeColor="accent6"/>
          <w:lang w:val="en-AU" w:eastAsia="en-AU" w:bidi="ar-SA"/>
        </w:rPr>
        <w:pict>
          <v:oval id="_x0000_s1051" style="position:absolute;left:0;text-align:left;margin-left:363.75pt;margin-top:23.9pt;width:52.5pt;height:36.75pt;z-index:251660288" filled="f" strokecolor="black [3213]" strokeweight="1pt">
            <v:stroke dashstyle="1 1" endcap="round"/>
          </v:oval>
        </w:pict>
      </w:r>
      <w:r w:rsidR="00E83730" w:rsidRPr="00F82C8D">
        <w:rPr>
          <w:rFonts w:ascii="Calibri" w:eastAsia="Calibri" w:hAnsi="Calibri" w:cs="Times New Roman"/>
          <w:noProof/>
          <w:lang w:val="en-AU" w:eastAsia="en-AU" w:bidi="ar-SA"/>
        </w:rPr>
        <w:drawing>
          <wp:inline distT="0" distB="0" distL="0" distR="0">
            <wp:extent cx="5017135" cy="3499485"/>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srcRect/>
                    <a:stretch>
                      <a:fillRect/>
                    </a:stretch>
                  </pic:blipFill>
                  <pic:spPr bwMode="auto">
                    <a:xfrm>
                      <a:off x="0" y="0"/>
                      <a:ext cx="5017135" cy="3499485"/>
                    </a:xfrm>
                    <a:prstGeom prst="rect">
                      <a:avLst/>
                    </a:prstGeom>
                    <a:noFill/>
                  </pic:spPr>
                </pic:pic>
              </a:graphicData>
            </a:graphic>
          </wp:inline>
        </w:drawing>
      </w:r>
    </w:p>
    <w:p w:rsidR="00B774D0" w:rsidRPr="00F82C8D" w:rsidRDefault="00B774D0" w:rsidP="00B774D0">
      <w:pPr>
        <w:ind w:left="720"/>
        <w:contextualSpacing/>
        <w:rPr>
          <w:rFonts w:ascii="Calibri" w:eastAsia="Calibri" w:hAnsi="Calibri" w:cs="Times New Roman"/>
          <w:lang w:val="en-AU" w:bidi="ar-SA"/>
        </w:rPr>
      </w:pPr>
    </w:p>
    <w:p w:rsidR="00B774D0" w:rsidRPr="00F82C8D" w:rsidRDefault="00B774D0" w:rsidP="00B774D0">
      <w:pPr>
        <w:pStyle w:val="Caption"/>
        <w:rPr>
          <w:rFonts w:eastAsia="Calibri"/>
          <w:lang w:val="en-AU" w:bidi="ar-SA"/>
        </w:rPr>
      </w:pPr>
      <w:bookmarkStart w:id="166" w:name="_Ref427923666"/>
      <w:r w:rsidRPr="00F82C8D">
        <w:rPr>
          <w:rFonts w:eastAsia="Calibri"/>
          <w:lang w:val="en-AU" w:bidi="ar-SA"/>
        </w:rPr>
        <w:t xml:space="preserve">Figure </w:t>
      </w:r>
      <w:r w:rsidR="00744D5E" w:rsidRPr="00F82C8D">
        <w:rPr>
          <w:rFonts w:eastAsia="Calibri"/>
          <w:lang w:val="en-AU" w:bidi="ar-SA"/>
        </w:rPr>
        <w:fldChar w:fldCharType="begin"/>
      </w:r>
      <w:r w:rsidRPr="00F82C8D">
        <w:rPr>
          <w:rFonts w:eastAsia="Calibri"/>
          <w:lang w:val="en-AU" w:bidi="ar-SA"/>
        </w:rPr>
        <w:instrText xml:space="preserve"> SEQ Figure \* ARABIC </w:instrText>
      </w:r>
      <w:r w:rsidR="00744D5E" w:rsidRPr="00F82C8D">
        <w:rPr>
          <w:rFonts w:eastAsia="Calibri"/>
          <w:lang w:val="en-AU" w:bidi="ar-SA"/>
        </w:rPr>
        <w:fldChar w:fldCharType="separate"/>
      </w:r>
      <w:r w:rsidR="00F16B1F">
        <w:rPr>
          <w:rFonts w:eastAsia="Calibri"/>
          <w:noProof/>
          <w:lang w:val="en-AU" w:bidi="ar-SA"/>
        </w:rPr>
        <w:t>6</w:t>
      </w:r>
      <w:r w:rsidR="00744D5E" w:rsidRPr="00F82C8D">
        <w:rPr>
          <w:rFonts w:eastAsia="Calibri"/>
          <w:lang w:val="en-AU" w:bidi="ar-SA"/>
        </w:rPr>
        <w:fldChar w:fldCharType="end"/>
      </w:r>
      <w:bookmarkEnd w:id="166"/>
      <w:r w:rsidRPr="00F82C8D">
        <w:rPr>
          <w:rFonts w:eastAsia="Calibri"/>
          <w:lang w:val="en-AU" w:bidi="ar-SA"/>
        </w:rPr>
        <w:t>—</w:t>
      </w:r>
      <w:r w:rsidRPr="00F82C8D">
        <w:rPr>
          <w:rFonts w:eastAsia="Calibri"/>
          <w:lang w:bidi="ar-SA"/>
        </w:rPr>
        <w:t>Production data and emissions intensity in 2010-11 and 2017-18</w:t>
      </w:r>
    </w:p>
    <w:p w:rsidR="00B774D0" w:rsidRPr="00F82C8D" w:rsidRDefault="00E83730" w:rsidP="00B774D0">
      <w:pPr>
        <w:jc w:val="center"/>
        <w:rPr>
          <w:rFonts w:ascii="Calibri" w:eastAsia="Calibri" w:hAnsi="Calibri" w:cs="Times New Roman"/>
          <w:lang w:val="en-AU" w:bidi="ar-SA"/>
        </w:rPr>
      </w:pPr>
      <w:r w:rsidRPr="00F82C8D">
        <w:rPr>
          <w:rFonts w:ascii="Calibri" w:eastAsia="Calibri" w:hAnsi="Calibri" w:cs="Times New Roman"/>
          <w:noProof/>
          <w:lang w:val="en-AU" w:eastAsia="en-AU" w:bidi="ar-SA"/>
        </w:rPr>
        <w:drawing>
          <wp:inline distT="0" distB="0" distL="0" distR="0">
            <wp:extent cx="5029835" cy="3651885"/>
            <wp:effectExtent l="1905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9" cstate="print"/>
                    <a:srcRect/>
                    <a:stretch>
                      <a:fillRect/>
                    </a:stretch>
                  </pic:blipFill>
                  <pic:spPr bwMode="auto">
                    <a:xfrm>
                      <a:off x="0" y="0"/>
                      <a:ext cx="5029835" cy="3651885"/>
                    </a:xfrm>
                    <a:prstGeom prst="rect">
                      <a:avLst/>
                    </a:prstGeom>
                    <a:noFill/>
                  </pic:spPr>
                </pic:pic>
              </a:graphicData>
            </a:graphic>
          </wp:inline>
        </w:drawing>
      </w:r>
    </w:p>
    <w:p w:rsidR="00B774D0" w:rsidRPr="00F82C8D" w:rsidRDefault="00B774D0" w:rsidP="00B774D0">
      <w:pPr>
        <w:spacing w:line="240" w:lineRule="auto"/>
        <w:jc w:val="center"/>
        <w:rPr>
          <w:rFonts w:ascii="Calibri" w:eastAsia="Calibri" w:hAnsi="Calibri" w:cs="Times New Roman"/>
          <w:b/>
          <w:bCs/>
          <w:color w:val="4F81BD"/>
          <w:sz w:val="18"/>
          <w:szCs w:val="18"/>
          <w:lang w:val="en-AU" w:bidi="ar-SA"/>
        </w:rPr>
      </w:pPr>
    </w:p>
    <w:p w:rsidR="00B774D0" w:rsidRPr="00F82C8D" w:rsidRDefault="00B774D0" w:rsidP="00B774D0">
      <w:pPr>
        <w:rPr>
          <w:rFonts w:eastAsia="Calibri" w:cs="Times New Roman"/>
          <w:lang w:val="en-AU" w:bidi="ar-SA"/>
        </w:rPr>
      </w:pPr>
      <w:r w:rsidRPr="00F82C8D">
        <w:rPr>
          <w:rFonts w:eastAsia="Calibri" w:cs="Times New Roman"/>
          <w:lang w:val="en-AU" w:bidi="ar-SA"/>
        </w:rPr>
        <w:t xml:space="preserve">To avoid an excess emissions situation, Gil Co is eligible to apply for a variation to Facility A’s baseline determination because of a reduction in </w:t>
      </w:r>
      <w:r w:rsidR="00E16219" w:rsidRPr="00F82C8D">
        <w:rPr>
          <w:rFonts w:eastAsia="Calibri" w:cs="Times New Roman"/>
          <w:lang w:val="en-AU" w:bidi="ar-SA"/>
        </w:rPr>
        <w:t xml:space="preserve">emissions </w:t>
      </w:r>
      <w:r w:rsidR="00BA6BE0" w:rsidRPr="00F82C8D">
        <w:rPr>
          <w:rFonts w:eastAsia="Calibri" w:cs="Times New Roman"/>
          <w:lang w:val="en-AU" w:bidi="ar-SA"/>
        </w:rPr>
        <w:t>intensity (section 46). Gil C</w:t>
      </w:r>
      <w:r w:rsidRPr="00F82C8D">
        <w:rPr>
          <w:rFonts w:eastAsia="Calibri" w:cs="Times New Roman"/>
          <w:lang w:val="en-AU" w:bidi="ar-SA"/>
        </w:rPr>
        <w:t>o must apply by 31 October 2018 (subsection 46(4)) and include information to demonstrate that Facility A meets the criteria (section 48) as well as an audit report (section</w:t>
      </w:r>
      <w:r w:rsidR="00CF25B8" w:rsidRPr="00F82C8D">
        <w:rPr>
          <w:rFonts w:eastAsia="Calibri" w:cs="Times New Roman"/>
          <w:lang w:val="en-AU" w:bidi="ar-SA"/>
        </w:rPr>
        <w:t> </w:t>
      </w:r>
      <w:r w:rsidRPr="00F82C8D">
        <w:rPr>
          <w:rFonts w:eastAsia="Calibri" w:cs="Times New Roman"/>
          <w:lang w:val="en-AU" w:bidi="ar-SA"/>
        </w:rPr>
        <w:t xml:space="preserve">49). The Regulator must be satisfied </w:t>
      </w:r>
      <w:r w:rsidR="0083680E" w:rsidRPr="00F82C8D">
        <w:rPr>
          <w:rFonts w:eastAsia="Calibri" w:cs="Times New Roman"/>
          <w:lang w:val="en-AU" w:bidi="ar-SA"/>
        </w:rPr>
        <w:t xml:space="preserve">that the </w:t>
      </w:r>
      <w:r w:rsidRPr="00F82C8D">
        <w:rPr>
          <w:rFonts w:eastAsia="Calibri" w:cs="Times New Roman"/>
          <w:lang w:val="en-AU" w:bidi="ar-SA"/>
        </w:rPr>
        <w:t xml:space="preserve">application </w:t>
      </w:r>
      <w:r w:rsidR="0083680E" w:rsidRPr="00F82C8D">
        <w:rPr>
          <w:rFonts w:eastAsia="Calibri" w:cs="Times New Roman"/>
          <w:lang w:val="en-AU" w:bidi="ar-SA"/>
        </w:rPr>
        <w:t xml:space="preserve">meets certain conditions </w:t>
      </w:r>
      <w:r w:rsidRPr="00F82C8D">
        <w:rPr>
          <w:rFonts w:eastAsia="Calibri" w:cs="Times New Roman"/>
          <w:lang w:val="en-AU" w:bidi="ar-SA"/>
        </w:rPr>
        <w:t>before making the determination (subsection 51(2)).</w:t>
      </w:r>
    </w:p>
    <w:p w:rsidR="00B774D0" w:rsidRPr="00F82C8D" w:rsidRDefault="00B774D0" w:rsidP="00B774D0">
      <w:pPr>
        <w:rPr>
          <w:rFonts w:eastAsia="Calibri" w:cs="Times New Roman"/>
          <w:lang w:val="en-AU" w:bidi="ar-SA"/>
        </w:rPr>
      </w:pPr>
      <w:r w:rsidRPr="00F82C8D">
        <w:rPr>
          <w:rFonts w:eastAsia="Calibri" w:cs="Times New Roman"/>
          <w:lang w:val="en-AU" w:bidi="ar-SA"/>
        </w:rPr>
        <w:t xml:space="preserve">In this example, Facility A meets the emissions intensity test because the emissions intensity of silicon production in 2017-18 is lower than the emissions intensity in the baseline intensity comparison year (2010-11) (subsection 47(1)). </w:t>
      </w:r>
    </w:p>
    <w:p w:rsidR="00B774D0" w:rsidRPr="00F82C8D" w:rsidRDefault="00B774D0" w:rsidP="00B774D0">
      <w:pPr>
        <w:rPr>
          <w:rFonts w:eastAsia="Calibri" w:cs="Times New Roman"/>
          <w:lang w:val="en-AU" w:bidi="ar-SA"/>
        </w:rPr>
      </w:pPr>
      <w:r w:rsidRPr="00F82C8D">
        <w:rPr>
          <w:rFonts w:eastAsia="Calibri" w:cs="Times New Roman"/>
          <w:lang w:val="en-AU" w:bidi="ar-SA"/>
        </w:rPr>
        <w:t xml:space="preserve">As a result, Facility A’s baseline </w:t>
      </w:r>
      <w:r w:rsidR="00E16219" w:rsidRPr="00F82C8D">
        <w:rPr>
          <w:rFonts w:eastAsia="Calibri" w:cs="Times New Roman"/>
          <w:lang w:val="en-AU" w:bidi="ar-SA"/>
        </w:rPr>
        <w:t xml:space="preserve">emissions </w:t>
      </w:r>
      <w:r w:rsidRPr="00F82C8D">
        <w:rPr>
          <w:rFonts w:eastAsia="Calibri" w:cs="Times New Roman"/>
          <w:lang w:val="en-AU" w:bidi="ar-SA"/>
        </w:rPr>
        <w:t>number for 2017-18 is revised to be 135,741 t CO</w:t>
      </w:r>
      <w:r w:rsidRPr="00F82C8D">
        <w:rPr>
          <w:rFonts w:eastAsia="Calibri" w:cs="Times New Roman"/>
          <w:vertAlign w:val="subscript"/>
          <w:lang w:val="en-AU" w:bidi="ar-SA"/>
        </w:rPr>
        <w:t>2</w:t>
      </w:r>
      <w:r w:rsidRPr="00F82C8D">
        <w:rPr>
          <w:rFonts w:eastAsia="Calibri" w:cs="Times New Roman"/>
          <w:lang w:val="en-AU" w:bidi="ar-SA"/>
        </w:rPr>
        <w:t xml:space="preserve">-e and therefore Facility A does not exceed its baseline </w:t>
      </w:r>
      <w:r w:rsidR="00E16219" w:rsidRPr="00F82C8D">
        <w:rPr>
          <w:rFonts w:eastAsia="Calibri" w:cs="Times New Roman"/>
          <w:lang w:val="en-AU" w:bidi="ar-SA"/>
        </w:rPr>
        <w:t xml:space="preserve">emissions </w:t>
      </w:r>
      <w:r w:rsidRPr="00F82C8D">
        <w:rPr>
          <w:rFonts w:eastAsia="Calibri" w:cs="Times New Roman"/>
          <w:lang w:val="en-AU" w:bidi="ar-SA"/>
        </w:rPr>
        <w:t>number (subsection 51(1)).</w:t>
      </w:r>
    </w:p>
    <w:p w:rsidR="00B774D0" w:rsidRPr="00F82C8D" w:rsidRDefault="00B774D0" w:rsidP="00B774D0">
      <w:pPr>
        <w:rPr>
          <w:rFonts w:cs="Times New Roman"/>
        </w:rPr>
      </w:pPr>
      <w:r w:rsidRPr="00F82C8D">
        <w:rPr>
          <w:rFonts w:cs="Times New Roman"/>
        </w:rPr>
        <w:t>The variation only applies to the baseline emissions number in a single financial year and the original baseline emissions number in the reported-emissions baseline determination (133,605 t CO</w:t>
      </w:r>
      <w:r w:rsidRPr="00F82C8D">
        <w:rPr>
          <w:rFonts w:cs="Times New Roman"/>
          <w:vertAlign w:val="subscript"/>
        </w:rPr>
        <w:t>2</w:t>
      </w:r>
      <w:r w:rsidRPr="00F82C8D">
        <w:rPr>
          <w:rFonts w:cs="Times New Roman"/>
        </w:rPr>
        <w:t>-e) applies again from 2018-19 (section 51 and paragraph 18(3)(b)).</w:t>
      </w:r>
    </w:p>
    <w:p w:rsidR="00B774D0" w:rsidRPr="00F82C8D" w:rsidRDefault="001E363B" w:rsidP="001E363B">
      <w:pPr>
        <w:pStyle w:val="Caption"/>
      </w:pPr>
      <w:r w:rsidRPr="00F82C8D">
        <w:t xml:space="preserve">Table </w:t>
      </w:r>
      <w:r w:rsidR="00744D5E" w:rsidRPr="00F82C8D">
        <w:fldChar w:fldCharType="begin"/>
      </w:r>
      <w:r w:rsidR="007329DC" w:rsidRPr="00F82C8D">
        <w:instrText xml:space="preserve"> SEQ Table \* ARABIC </w:instrText>
      </w:r>
      <w:r w:rsidR="00744D5E" w:rsidRPr="00F82C8D">
        <w:fldChar w:fldCharType="separate"/>
      </w:r>
      <w:r w:rsidR="00F16B1F">
        <w:rPr>
          <w:noProof/>
        </w:rPr>
        <w:t>3</w:t>
      </w:r>
      <w:r w:rsidR="00744D5E" w:rsidRPr="00F82C8D">
        <w:fldChar w:fldCharType="end"/>
      </w:r>
      <w:r w:rsidR="00D942D2" w:rsidRPr="00F82C8D">
        <w:t>—</w:t>
      </w:r>
      <w:r w:rsidR="00B774D0" w:rsidRPr="00F82C8D">
        <w:t xml:space="preserve">Key elements of a variation of baseline determination for reduction in </w:t>
      </w:r>
      <w:r w:rsidR="00E16219" w:rsidRPr="00F82C8D">
        <w:t xml:space="preserve">emissions </w:t>
      </w:r>
      <w:r w:rsidR="00B774D0" w:rsidRPr="00F82C8D">
        <w:t>intensity</w:t>
      </w:r>
    </w:p>
    <w:tbl>
      <w:tblPr>
        <w:tblStyle w:val="TableGrid1"/>
        <w:tblW w:w="0" w:type="auto"/>
        <w:tblLook w:val="04A0"/>
      </w:tblPr>
      <w:tblGrid>
        <w:gridCol w:w="3261"/>
        <w:gridCol w:w="5873"/>
      </w:tblGrid>
      <w:tr w:rsidR="00B774D0" w:rsidRPr="00F82C8D" w:rsidTr="00F6082D">
        <w:tc>
          <w:tcPr>
            <w:tcW w:w="3261" w:type="dxa"/>
          </w:tcPr>
          <w:p w:rsidR="00DB293E" w:rsidRPr="00F82C8D" w:rsidRDefault="00B774D0" w:rsidP="00807424">
            <w:pPr>
              <w:keepNext/>
              <w:spacing w:beforeLines="60" w:afterLines="60"/>
              <w:jc w:val="center"/>
              <w:rPr>
                <w:rFonts w:ascii="Arial" w:eastAsiaTheme="minorEastAsia" w:hAnsi="Arial" w:cs="Arial"/>
                <w:b/>
                <w:bCs/>
                <w:sz w:val="20"/>
                <w:szCs w:val="20"/>
                <w:lang w:val="en-US" w:bidi="en-US"/>
              </w:rPr>
            </w:pPr>
            <w:r w:rsidRPr="00F82C8D">
              <w:rPr>
                <w:rFonts w:ascii="Arial" w:hAnsi="Arial" w:cs="Arial"/>
                <w:b/>
                <w:sz w:val="20"/>
                <w:szCs w:val="20"/>
              </w:rPr>
              <w:t>Element</w:t>
            </w:r>
          </w:p>
        </w:tc>
        <w:tc>
          <w:tcPr>
            <w:tcW w:w="5873" w:type="dxa"/>
          </w:tcPr>
          <w:p w:rsidR="00DB293E" w:rsidRPr="00F82C8D" w:rsidRDefault="00B774D0" w:rsidP="00807424">
            <w:pPr>
              <w:keepNext/>
              <w:spacing w:beforeLines="60" w:afterLines="60"/>
              <w:jc w:val="center"/>
              <w:rPr>
                <w:rFonts w:ascii="Arial" w:eastAsiaTheme="minorEastAsia" w:hAnsi="Arial" w:cs="Arial"/>
                <w:b/>
                <w:bCs/>
                <w:sz w:val="20"/>
                <w:szCs w:val="20"/>
                <w:lang w:val="en-US" w:bidi="en-US"/>
              </w:rPr>
            </w:pPr>
            <w:r w:rsidRPr="00F82C8D">
              <w:rPr>
                <w:rFonts w:ascii="Arial" w:hAnsi="Arial" w:cs="Arial"/>
                <w:b/>
                <w:sz w:val="20"/>
                <w:szCs w:val="20"/>
              </w:rPr>
              <w:t>Treatment and reference</w:t>
            </w:r>
          </w:p>
        </w:tc>
      </w:tr>
      <w:tr w:rsidR="00B774D0" w:rsidRPr="00F82C8D" w:rsidTr="00F6082D">
        <w:tc>
          <w:tcPr>
            <w:tcW w:w="3261" w:type="dxa"/>
          </w:tcPr>
          <w:p w:rsidR="00DB293E" w:rsidRPr="00F82C8D" w:rsidRDefault="00B774D0" w:rsidP="00807424">
            <w:pPr>
              <w:spacing w:beforeLines="60" w:afterLines="60"/>
              <w:rPr>
                <w:rFonts w:ascii="Arial" w:eastAsiaTheme="minorEastAsia" w:hAnsi="Arial" w:cs="Arial"/>
                <w:b/>
                <w:bCs/>
                <w:sz w:val="20"/>
                <w:szCs w:val="20"/>
                <w:lang w:val="en-US" w:bidi="en-US"/>
              </w:rPr>
            </w:pPr>
            <w:r w:rsidRPr="00F82C8D">
              <w:rPr>
                <w:rFonts w:ascii="Arial" w:hAnsi="Arial" w:cs="Arial"/>
                <w:sz w:val="20"/>
                <w:szCs w:val="20"/>
              </w:rPr>
              <w:t>Criteria</w:t>
            </w:r>
          </w:p>
          <w:p w:rsidR="00DB293E" w:rsidRPr="00F82C8D" w:rsidRDefault="00B774D0" w:rsidP="00807424">
            <w:pPr>
              <w:spacing w:beforeLines="60" w:afterLines="60"/>
              <w:rPr>
                <w:rFonts w:ascii="Arial" w:eastAsiaTheme="minorEastAsia" w:hAnsi="Arial" w:cs="Arial"/>
                <w:b/>
                <w:bCs/>
                <w:i/>
                <w:sz w:val="20"/>
                <w:szCs w:val="20"/>
                <w:lang w:val="en-US" w:bidi="en-US"/>
              </w:rPr>
            </w:pPr>
            <w:r w:rsidRPr="00F82C8D">
              <w:rPr>
                <w:rFonts w:ascii="Arial" w:hAnsi="Arial" w:cs="Arial"/>
                <w:i/>
                <w:sz w:val="20"/>
                <w:szCs w:val="20"/>
              </w:rPr>
              <w:t xml:space="preserve">Variation of baseline determination for reduction in emissions intensity </w:t>
            </w:r>
          </w:p>
        </w:tc>
        <w:tc>
          <w:tcPr>
            <w:tcW w:w="5873" w:type="dxa"/>
          </w:tcPr>
          <w:p w:rsidR="00DB293E" w:rsidRPr="00F82C8D" w:rsidRDefault="00B774D0" w:rsidP="00807424">
            <w:pPr>
              <w:pStyle w:val="ListParagraph"/>
              <w:spacing w:beforeLines="60" w:afterLines="60"/>
              <w:ind w:left="0"/>
              <w:rPr>
                <w:rFonts w:ascii="Arial" w:eastAsiaTheme="minorEastAsia" w:hAnsi="Arial" w:cs="Arial"/>
                <w:sz w:val="20"/>
                <w:szCs w:val="20"/>
                <w:lang w:val="en-US" w:bidi="en-US"/>
              </w:rPr>
            </w:pPr>
            <w:r w:rsidRPr="00F82C8D">
              <w:rPr>
                <w:rFonts w:ascii="Arial" w:hAnsi="Arial" w:cs="Arial"/>
                <w:sz w:val="20"/>
                <w:szCs w:val="20"/>
              </w:rPr>
              <w:t>Relate to the facility having higher emissions than the baseline emissions number but a lower emissions intensity than the baseline intensity comparison year (expressed in tonnes CO</w:t>
            </w:r>
            <w:r w:rsidRPr="00F82C8D">
              <w:rPr>
                <w:rFonts w:ascii="Arial" w:hAnsi="Arial" w:cs="Arial"/>
                <w:sz w:val="20"/>
                <w:szCs w:val="20"/>
                <w:vertAlign w:val="subscript"/>
              </w:rPr>
              <w:t>2</w:t>
            </w:r>
            <w:r w:rsidRPr="00F82C8D">
              <w:rPr>
                <w:rFonts w:ascii="Arial" w:hAnsi="Arial" w:cs="Arial"/>
                <w:sz w:val="20"/>
                <w:szCs w:val="20"/>
              </w:rPr>
              <w:t>-e per unit of the production variable). The baseline intensity comparison year generally relates to the determination that currently applies to the facility (sections 4, 6 and 47)</w:t>
            </w:r>
          </w:p>
          <w:p w:rsidR="00DB293E" w:rsidRPr="00F82C8D" w:rsidRDefault="00B774D0" w:rsidP="00807424">
            <w:pPr>
              <w:pStyle w:val="ListParagraph"/>
              <w:spacing w:beforeLines="60" w:afterLines="60"/>
              <w:ind w:left="0"/>
              <w:rPr>
                <w:rFonts w:ascii="Arial" w:eastAsiaTheme="minorEastAsia" w:hAnsi="Arial" w:cs="Arial"/>
                <w:i/>
                <w:sz w:val="20"/>
                <w:szCs w:val="20"/>
                <w:lang w:val="en-US" w:bidi="en-US"/>
              </w:rPr>
            </w:pPr>
            <w:r w:rsidRPr="00F82C8D">
              <w:rPr>
                <w:rFonts w:ascii="Arial" w:hAnsi="Arial" w:cs="Arial"/>
                <w:i/>
                <w:sz w:val="20"/>
                <w:szCs w:val="20"/>
              </w:rPr>
              <w:t>Note: Where subsequent applications for a baseline variation are made, eligibility requires demonstrating that a facility’s emissions intensity is lower than that established as part of the previous variation.</w:t>
            </w:r>
          </w:p>
        </w:tc>
      </w:tr>
      <w:tr w:rsidR="00B774D0" w:rsidRPr="00F82C8D" w:rsidTr="00F6082D">
        <w:tc>
          <w:tcPr>
            <w:tcW w:w="3261"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Application deadline</w:t>
            </w:r>
          </w:p>
        </w:tc>
        <w:tc>
          <w:tcPr>
            <w:tcW w:w="5873"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Generally, no later than 31 October after the end of the financial year for which the baseline is to be varied (section 46).</w:t>
            </w:r>
          </w:p>
        </w:tc>
      </w:tr>
      <w:tr w:rsidR="00B774D0" w:rsidRPr="00F82C8D" w:rsidTr="00F6082D">
        <w:tc>
          <w:tcPr>
            <w:tcW w:w="3261"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Application information</w:t>
            </w:r>
          </w:p>
        </w:tc>
        <w:tc>
          <w:tcPr>
            <w:tcW w:w="5873"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Relate to the quantity and emissions-intensity of all production variables produced at the facility (section 48).</w:t>
            </w:r>
          </w:p>
        </w:tc>
      </w:tr>
      <w:tr w:rsidR="00B774D0" w:rsidRPr="00F82C8D" w:rsidTr="00F6082D">
        <w:tc>
          <w:tcPr>
            <w:tcW w:w="3261"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Audit requirement</w:t>
            </w:r>
          </w:p>
        </w:tc>
        <w:tc>
          <w:tcPr>
            <w:tcW w:w="5873"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Yes. The audit must, among other things, ensure that the emissions-intensity test is satisfied (section 49).</w:t>
            </w:r>
          </w:p>
        </w:tc>
      </w:tr>
      <w:tr w:rsidR="00B774D0" w:rsidRPr="00F82C8D" w:rsidTr="00F6082D">
        <w:tc>
          <w:tcPr>
            <w:tcW w:w="3261"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Baseline emissions number</w:t>
            </w:r>
          </w:p>
        </w:tc>
        <w:tc>
          <w:tcPr>
            <w:tcW w:w="5873"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Will be the covered emissions in the financial year for which the baseline is to be varied (section 51).</w:t>
            </w:r>
          </w:p>
        </w:tc>
      </w:tr>
      <w:tr w:rsidR="00B774D0" w:rsidRPr="00F82C8D" w:rsidTr="00F6082D">
        <w:tc>
          <w:tcPr>
            <w:tcW w:w="3261"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Commencement</w:t>
            </w:r>
          </w:p>
        </w:tc>
        <w:tc>
          <w:tcPr>
            <w:tcW w:w="5873"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On 1 July in the financial year for which the baseline is to be varied (section 51).</w:t>
            </w:r>
          </w:p>
        </w:tc>
      </w:tr>
      <w:tr w:rsidR="00B774D0" w:rsidRPr="00F82C8D" w:rsidTr="00F6082D">
        <w:tc>
          <w:tcPr>
            <w:tcW w:w="3261"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Expiry</w:t>
            </w:r>
          </w:p>
        </w:tc>
        <w:tc>
          <w:tcPr>
            <w:tcW w:w="5873"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The variation only applies to a single financial year (section 51).</w:t>
            </w:r>
          </w:p>
        </w:tc>
      </w:tr>
    </w:tbl>
    <w:p w:rsidR="00B774D0" w:rsidRPr="00F82C8D" w:rsidRDefault="00B774D0" w:rsidP="00B774D0">
      <w:pPr>
        <w:rPr>
          <w:rFonts w:ascii="Calibri" w:eastAsia="Calibri" w:hAnsi="Calibri" w:cs="Times New Roman"/>
          <w:lang w:val="en-AU" w:bidi="ar-SA"/>
        </w:rPr>
      </w:pPr>
    </w:p>
    <w:p w:rsidR="00B774D0" w:rsidRPr="00F82C8D" w:rsidRDefault="00B774D0" w:rsidP="00B774D0">
      <w:pPr>
        <w:pStyle w:val="Heading3"/>
        <w:rPr>
          <w:rFonts w:eastAsia="Times New Roman"/>
          <w:lang w:bidi="ar-SA"/>
        </w:rPr>
      </w:pPr>
      <w:r w:rsidRPr="00F82C8D">
        <w:rPr>
          <w:rFonts w:eastAsia="Times New Roman"/>
          <w:lang w:bidi="ar-SA"/>
        </w:rPr>
        <w:t>Calculated-</w:t>
      </w:r>
      <w:r w:rsidR="00E16219" w:rsidRPr="00F82C8D">
        <w:rPr>
          <w:rFonts w:eastAsia="Times New Roman"/>
          <w:lang w:bidi="ar-SA"/>
        </w:rPr>
        <w:t xml:space="preserve">emissions </w:t>
      </w:r>
      <w:r w:rsidRPr="00F82C8D">
        <w:rPr>
          <w:rFonts w:eastAsia="Times New Roman"/>
          <w:lang w:bidi="ar-SA"/>
        </w:rPr>
        <w:t xml:space="preserve">baseline determination (significant expansion) </w:t>
      </w:r>
      <w:r w:rsidRPr="00F82C8D">
        <w:t>(Part 3, Division 2, Subdivision 3)</w:t>
      </w:r>
    </w:p>
    <w:p w:rsidR="00B774D0" w:rsidRPr="00F82C8D" w:rsidRDefault="00B774D0" w:rsidP="00464595">
      <w:pPr>
        <w:numPr>
          <w:ilvl w:val="0"/>
          <w:numId w:val="22"/>
        </w:numPr>
        <w:contextualSpacing/>
        <w:rPr>
          <w:rFonts w:eastAsia="Calibri" w:cs="Times New Roman"/>
          <w:szCs w:val="24"/>
          <w:lang w:val="en-AU" w:bidi="ar-SA"/>
        </w:rPr>
      </w:pPr>
      <w:r w:rsidRPr="00F82C8D">
        <w:rPr>
          <w:rFonts w:eastAsia="Calibri" w:cs="Times New Roman"/>
          <w:szCs w:val="24"/>
          <w:lang w:val="en-AU" w:bidi="ar-SA"/>
        </w:rPr>
        <w:t>Over an eleven month period during 2018-19 Facility A significantly expanded its maximum productive capacity by over 50 per cent.</w:t>
      </w:r>
    </w:p>
    <w:p w:rsidR="00B774D0" w:rsidRPr="00F82C8D" w:rsidRDefault="00B774D0" w:rsidP="00464595">
      <w:pPr>
        <w:numPr>
          <w:ilvl w:val="0"/>
          <w:numId w:val="22"/>
        </w:numPr>
        <w:contextualSpacing/>
        <w:rPr>
          <w:rFonts w:eastAsia="Calibri" w:cs="Times New Roman"/>
          <w:szCs w:val="24"/>
          <w:lang w:val="en-AU" w:bidi="ar-SA"/>
        </w:rPr>
      </w:pPr>
      <w:r w:rsidRPr="00F82C8D">
        <w:rPr>
          <w:rFonts w:eastAsia="Calibri" w:cs="Times New Roman"/>
          <w:szCs w:val="24"/>
          <w:lang w:val="en-AU" w:bidi="ar-SA"/>
        </w:rPr>
        <w:t>The increase in production commences in 2019-20.</w:t>
      </w:r>
    </w:p>
    <w:p w:rsidR="00B774D0" w:rsidRPr="00F82C8D" w:rsidRDefault="00B774D0" w:rsidP="00464595">
      <w:pPr>
        <w:numPr>
          <w:ilvl w:val="0"/>
          <w:numId w:val="22"/>
        </w:numPr>
        <w:contextualSpacing/>
        <w:rPr>
          <w:rFonts w:cs="Times New Roman"/>
          <w:szCs w:val="24"/>
        </w:rPr>
      </w:pPr>
      <w:r w:rsidRPr="00F82C8D">
        <w:rPr>
          <w:rFonts w:eastAsia="Calibri" w:cs="Times New Roman"/>
          <w:szCs w:val="24"/>
          <w:lang w:val="en-AU" w:bidi="ar-SA"/>
        </w:rPr>
        <w:t xml:space="preserve">Gil Co reasonably expects that this expansion will cause its baseline </w:t>
      </w:r>
      <w:r w:rsidR="00E16219" w:rsidRPr="00F82C8D">
        <w:rPr>
          <w:rFonts w:eastAsia="Calibri" w:cs="Times New Roman"/>
          <w:szCs w:val="24"/>
          <w:lang w:val="en-AU" w:bidi="ar-SA"/>
        </w:rPr>
        <w:t xml:space="preserve">emissions </w:t>
      </w:r>
      <w:r w:rsidRPr="00F82C8D">
        <w:rPr>
          <w:rFonts w:eastAsia="Calibri" w:cs="Times New Roman"/>
          <w:szCs w:val="24"/>
          <w:lang w:val="en-AU" w:bidi="ar-SA"/>
        </w:rPr>
        <w:t>number to be exceeded in 2019-20 and would like a calculated-emissions baseline for the period 2019-20 to 2021-22.</w:t>
      </w:r>
    </w:p>
    <w:p w:rsidR="00B774D0" w:rsidRPr="00F82C8D" w:rsidRDefault="00B774D0" w:rsidP="00464595">
      <w:pPr>
        <w:numPr>
          <w:ilvl w:val="0"/>
          <w:numId w:val="22"/>
        </w:numPr>
        <w:contextualSpacing/>
        <w:rPr>
          <w:rFonts w:cs="Times New Roman"/>
          <w:szCs w:val="24"/>
        </w:rPr>
      </w:pPr>
      <w:r w:rsidRPr="00F82C8D">
        <w:rPr>
          <w:rFonts w:cs="Times New Roman"/>
          <w:szCs w:val="24"/>
        </w:rPr>
        <w:t>The total expected production and emissions intensity of Facility A for the period 2017</w:t>
      </w:r>
      <w:r w:rsidRPr="00F82C8D">
        <w:rPr>
          <w:rFonts w:cs="Times New Roman"/>
          <w:szCs w:val="24"/>
        </w:rPr>
        <w:noBreakHyphen/>
        <w:t xml:space="preserve">18 to 2021-22 is represented in </w:t>
      </w:r>
      <w:fldSimple w:instr=" REF _Ref427923808 \h  \* MERGEFORMAT ">
        <w:r w:rsidR="00F16B1F" w:rsidRPr="00F16B1F">
          <w:rPr>
            <w:rFonts w:eastAsia="Calibri" w:cs="Times New Roman"/>
            <w:szCs w:val="24"/>
            <w:lang w:val="en-AU" w:bidi="ar-SA"/>
          </w:rPr>
          <w:t xml:space="preserve">Figure </w:t>
        </w:r>
        <w:r w:rsidR="00F16B1F" w:rsidRPr="00F16B1F">
          <w:rPr>
            <w:rFonts w:eastAsia="Calibri" w:cs="Times New Roman"/>
            <w:noProof/>
            <w:szCs w:val="24"/>
            <w:lang w:val="en-AU" w:bidi="ar-SA"/>
          </w:rPr>
          <w:t>7</w:t>
        </w:r>
      </w:fldSimple>
      <w:r w:rsidR="00D942D2" w:rsidRPr="00F82C8D">
        <w:rPr>
          <w:rFonts w:cs="Times New Roman"/>
          <w:szCs w:val="24"/>
        </w:rPr>
        <w:t xml:space="preserve"> </w:t>
      </w:r>
      <w:r w:rsidRPr="00F82C8D">
        <w:rPr>
          <w:rFonts w:cs="Times New Roman"/>
          <w:szCs w:val="24"/>
        </w:rPr>
        <w:t>(</w:t>
      </w:r>
      <w:r w:rsidR="00D942D2" w:rsidRPr="00F82C8D">
        <w:rPr>
          <w:rFonts w:cs="Times New Roman"/>
          <w:szCs w:val="24"/>
        </w:rPr>
        <w:t>the production in 2017-18 and 2018</w:t>
      </w:r>
      <w:r w:rsidR="00D942D2" w:rsidRPr="00F82C8D">
        <w:rPr>
          <w:rFonts w:cs="Times New Roman"/>
          <w:szCs w:val="24"/>
        </w:rPr>
        <w:noBreakHyphen/>
      </w:r>
      <w:r w:rsidRPr="00F82C8D">
        <w:rPr>
          <w:rFonts w:cs="Times New Roman"/>
          <w:szCs w:val="24"/>
        </w:rPr>
        <w:t>19</w:t>
      </w:r>
      <w:r w:rsidR="00D942D2" w:rsidRPr="00F82C8D">
        <w:rPr>
          <w:rFonts w:cs="Times New Roman"/>
          <w:szCs w:val="24"/>
        </w:rPr>
        <w:t xml:space="preserve"> is</w:t>
      </w:r>
      <w:r w:rsidRPr="00F82C8D">
        <w:rPr>
          <w:rFonts w:cs="Times New Roman"/>
          <w:szCs w:val="24"/>
        </w:rPr>
        <w:t xml:space="preserve"> based upon actual data and the remaining three year based on forecasts).</w:t>
      </w:r>
    </w:p>
    <w:p w:rsidR="00B774D0" w:rsidRPr="00F82C8D" w:rsidRDefault="00B774D0" w:rsidP="00B774D0">
      <w:pPr>
        <w:ind w:left="720"/>
        <w:contextualSpacing/>
        <w:rPr>
          <w:rFonts w:ascii="Calibri" w:eastAsia="Calibri" w:hAnsi="Calibri" w:cs="Times New Roman"/>
          <w:lang w:val="en-AU" w:bidi="ar-SA"/>
        </w:rPr>
      </w:pPr>
    </w:p>
    <w:p w:rsidR="00B774D0" w:rsidRPr="00F82C8D" w:rsidRDefault="00B774D0" w:rsidP="00B774D0">
      <w:pPr>
        <w:pStyle w:val="Caption"/>
        <w:rPr>
          <w:rFonts w:eastAsia="Calibri"/>
          <w:lang w:val="en-AU" w:bidi="ar-SA"/>
        </w:rPr>
      </w:pPr>
      <w:bookmarkStart w:id="167" w:name="_Ref427923808"/>
      <w:r w:rsidRPr="00F82C8D">
        <w:rPr>
          <w:rFonts w:eastAsia="Calibri"/>
          <w:lang w:val="en-AU" w:bidi="ar-SA"/>
        </w:rPr>
        <w:t xml:space="preserve">Figure </w:t>
      </w:r>
      <w:r w:rsidR="00744D5E" w:rsidRPr="00F82C8D">
        <w:rPr>
          <w:rFonts w:eastAsia="Calibri"/>
          <w:lang w:val="en-AU" w:bidi="ar-SA"/>
        </w:rPr>
        <w:fldChar w:fldCharType="begin"/>
      </w:r>
      <w:r w:rsidRPr="00F82C8D">
        <w:rPr>
          <w:rFonts w:eastAsia="Calibri"/>
          <w:lang w:val="en-AU" w:bidi="ar-SA"/>
        </w:rPr>
        <w:instrText xml:space="preserve"> SEQ Figure \* ARABIC </w:instrText>
      </w:r>
      <w:r w:rsidR="00744D5E" w:rsidRPr="00F82C8D">
        <w:rPr>
          <w:rFonts w:eastAsia="Calibri"/>
          <w:lang w:val="en-AU" w:bidi="ar-SA"/>
        </w:rPr>
        <w:fldChar w:fldCharType="separate"/>
      </w:r>
      <w:r w:rsidR="00F16B1F">
        <w:rPr>
          <w:rFonts w:eastAsia="Calibri"/>
          <w:noProof/>
          <w:lang w:val="en-AU" w:bidi="ar-SA"/>
        </w:rPr>
        <w:t>7</w:t>
      </w:r>
      <w:r w:rsidR="00744D5E" w:rsidRPr="00F82C8D">
        <w:rPr>
          <w:rFonts w:eastAsia="Calibri"/>
          <w:lang w:val="en-AU" w:bidi="ar-SA"/>
        </w:rPr>
        <w:fldChar w:fldCharType="end"/>
      </w:r>
      <w:bookmarkEnd w:id="167"/>
      <w:r w:rsidRPr="00F82C8D">
        <w:rPr>
          <w:rFonts w:eastAsia="Calibri"/>
          <w:lang w:val="en-AU" w:bidi="ar-SA"/>
        </w:rPr>
        <w:t>—</w:t>
      </w:r>
      <w:r w:rsidRPr="00F82C8D">
        <w:rPr>
          <w:rFonts w:eastAsia="Calibri"/>
          <w:lang w:bidi="ar-SA"/>
        </w:rPr>
        <w:t>Production data and emissions intensity over the period 2017-18 to 2021-22</w:t>
      </w:r>
    </w:p>
    <w:p w:rsidR="00B774D0" w:rsidRPr="00F82C8D" w:rsidRDefault="00E83730" w:rsidP="009E1535">
      <w:pPr>
        <w:jc w:val="center"/>
        <w:rPr>
          <w:rFonts w:ascii="Calibri" w:eastAsia="Calibri" w:hAnsi="Calibri" w:cs="Times New Roman"/>
          <w:lang w:val="en-AU" w:bidi="ar-SA"/>
        </w:rPr>
      </w:pPr>
      <w:r w:rsidRPr="00F82C8D">
        <w:rPr>
          <w:rFonts w:ascii="Calibri" w:eastAsia="Calibri" w:hAnsi="Calibri" w:cs="Times New Roman"/>
          <w:noProof/>
          <w:lang w:val="en-AU" w:eastAsia="en-AU" w:bidi="ar-SA"/>
        </w:rPr>
        <w:drawing>
          <wp:inline distT="0" distB="0" distL="0" distR="0">
            <wp:extent cx="5108575" cy="3602990"/>
            <wp:effectExtent l="1905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0" cstate="print"/>
                    <a:srcRect/>
                    <a:stretch>
                      <a:fillRect/>
                    </a:stretch>
                  </pic:blipFill>
                  <pic:spPr bwMode="auto">
                    <a:xfrm>
                      <a:off x="0" y="0"/>
                      <a:ext cx="5108575" cy="3602990"/>
                    </a:xfrm>
                    <a:prstGeom prst="rect">
                      <a:avLst/>
                    </a:prstGeom>
                    <a:noFill/>
                  </pic:spPr>
                </pic:pic>
              </a:graphicData>
            </a:graphic>
          </wp:inline>
        </w:drawing>
      </w:r>
    </w:p>
    <w:p w:rsidR="00B774D0" w:rsidRPr="00F82C8D" w:rsidRDefault="00B774D0" w:rsidP="00B774D0">
      <w:pPr>
        <w:rPr>
          <w:rFonts w:eastAsia="Calibri" w:cs="Times New Roman"/>
          <w:lang w:val="en-AU" w:bidi="ar-SA"/>
        </w:rPr>
      </w:pPr>
      <w:r w:rsidRPr="00F82C8D">
        <w:rPr>
          <w:rFonts w:eastAsia="Calibri" w:cs="Times New Roman"/>
          <w:lang w:val="en-AU" w:bidi="ar-SA"/>
        </w:rPr>
        <w:t>In this example, Facility A would be eligible for a calculated-</w:t>
      </w:r>
      <w:r w:rsidR="00E16219" w:rsidRPr="00F82C8D">
        <w:rPr>
          <w:rFonts w:eastAsia="Calibri" w:cs="Times New Roman"/>
          <w:lang w:val="en-AU" w:bidi="ar-SA"/>
        </w:rPr>
        <w:t xml:space="preserve">emissions </w:t>
      </w:r>
      <w:r w:rsidRPr="00F82C8D">
        <w:rPr>
          <w:rFonts w:eastAsia="Calibri" w:cs="Times New Roman"/>
          <w:lang w:val="en-AU" w:bidi="ar-SA"/>
        </w:rPr>
        <w:t xml:space="preserve">baseline determination as it meets the </w:t>
      </w:r>
      <w:r w:rsidR="00F030B5" w:rsidRPr="00F82C8D">
        <w:rPr>
          <w:rFonts w:eastAsia="Calibri" w:cs="Times New Roman"/>
          <w:lang w:val="en-AU" w:bidi="ar-SA"/>
        </w:rPr>
        <w:t xml:space="preserve">significant expansion </w:t>
      </w:r>
      <w:r w:rsidRPr="00F82C8D">
        <w:rPr>
          <w:rFonts w:eastAsia="Calibri" w:cs="Times New Roman"/>
          <w:lang w:val="en-AU" w:bidi="ar-SA"/>
        </w:rPr>
        <w:t>criteria outlined in section 24, including:</w:t>
      </w:r>
    </w:p>
    <w:p w:rsidR="00B774D0" w:rsidRPr="00F82C8D" w:rsidRDefault="00B774D0" w:rsidP="00464595">
      <w:pPr>
        <w:numPr>
          <w:ilvl w:val="0"/>
          <w:numId w:val="25"/>
        </w:numPr>
        <w:contextualSpacing/>
        <w:rPr>
          <w:rFonts w:eastAsia="Calibri" w:cs="Times New Roman"/>
          <w:lang w:val="en-AU" w:bidi="ar-SA"/>
        </w:rPr>
      </w:pPr>
      <w:r w:rsidRPr="00F82C8D">
        <w:rPr>
          <w:rFonts w:eastAsia="Calibri" w:cs="Times New Roman"/>
          <w:lang w:val="en-AU" w:bidi="ar-SA"/>
        </w:rPr>
        <w:t>Facility A’s covered emissions are greater than 100,000 t CO</w:t>
      </w:r>
      <w:r w:rsidRPr="00F82C8D">
        <w:rPr>
          <w:rFonts w:eastAsia="Calibri" w:cs="Times New Roman"/>
          <w:vertAlign w:val="subscript"/>
          <w:lang w:val="en-AU" w:bidi="ar-SA"/>
        </w:rPr>
        <w:t>2</w:t>
      </w:r>
      <w:r w:rsidRPr="00F82C8D">
        <w:rPr>
          <w:rFonts w:eastAsia="Calibri" w:cs="Times New Roman"/>
          <w:lang w:val="en-AU" w:bidi="ar-SA"/>
        </w:rPr>
        <w:t>-e (s</w:t>
      </w:r>
      <w:r w:rsidR="00B542F6" w:rsidRPr="00F82C8D">
        <w:rPr>
          <w:rFonts w:eastAsia="Calibri" w:cs="Times New Roman"/>
          <w:lang w:val="en-AU" w:bidi="ar-SA"/>
        </w:rPr>
        <w:t>ubsection 24(7))</w:t>
      </w:r>
    </w:p>
    <w:p w:rsidR="00B774D0" w:rsidRPr="00F82C8D" w:rsidRDefault="00B542F6" w:rsidP="00464595">
      <w:pPr>
        <w:numPr>
          <w:ilvl w:val="0"/>
          <w:numId w:val="25"/>
        </w:numPr>
        <w:contextualSpacing/>
        <w:rPr>
          <w:rFonts w:eastAsia="Calibri" w:cs="Times New Roman"/>
          <w:lang w:val="en-AU" w:bidi="ar-SA"/>
        </w:rPr>
      </w:pPr>
      <w:r w:rsidRPr="00F82C8D">
        <w:rPr>
          <w:rFonts w:eastAsia="Calibri" w:cs="Times New Roman"/>
          <w:lang w:val="en-AU" w:bidi="ar-SA"/>
        </w:rPr>
        <w:t>t</w:t>
      </w:r>
      <w:r w:rsidR="00B774D0" w:rsidRPr="00F82C8D">
        <w:rPr>
          <w:rFonts w:eastAsia="Calibri" w:cs="Times New Roman"/>
          <w:lang w:val="en-AU" w:bidi="ar-SA"/>
        </w:rPr>
        <w:t xml:space="preserve">he increase in maximum productive capacity of the equipment installed and used at Facility A was greater than </w:t>
      </w:r>
      <w:r w:rsidRPr="00F82C8D">
        <w:rPr>
          <w:rFonts w:eastAsia="Calibri" w:cs="Times New Roman"/>
          <w:lang w:val="en-AU" w:bidi="ar-SA"/>
        </w:rPr>
        <w:t>20 per cent</w:t>
      </w:r>
      <w:r w:rsidR="007224C2" w:rsidRPr="00F82C8D">
        <w:rPr>
          <w:rFonts w:eastAsia="Calibri" w:cs="Times New Roman"/>
          <w:lang w:val="en-AU" w:bidi="ar-SA"/>
        </w:rPr>
        <w:t xml:space="preserve"> </w:t>
      </w:r>
      <w:r w:rsidR="00BA6BE0" w:rsidRPr="00F82C8D">
        <w:rPr>
          <w:rFonts w:eastAsia="Calibri" w:cs="Times New Roman"/>
          <w:lang w:val="en-AU" w:bidi="ar-SA"/>
        </w:rPr>
        <w:t>the maximum productive capacity</w:t>
      </w:r>
      <w:r w:rsidR="007224C2" w:rsidRPr="00F82C8D">
        <w:rPr>
          <w:rFonts w:eastAsia="Calibri" w:cs="Times New Roman"/>
          <w:lang w:val="en-AU" w:bidi="ar-SA"/>
        </w:rPr>
        <w:t xml:space="preserve"> before the significant expansion began (or relates to the production of a new production variable)</w:t>
      </w:r>
      <w:r w:rsidRPr="00F82C8D">
        <w:rPr>
          <w:rFonts w:eastAsia="Calibri" w:cs="Times New Roman"/>
          <w:lang w:val="en-AU" w:bidi="ar-SA"/>
        </w:rPr>
        <w:t xml:space="preserve"> (subsection 24(2))</w:t>
      </w:r>
    </w:p>
    <w:p w:rsidR="00B774D0" w:rsidRPr="00F82C8D" w:rsidRDefault="00B542F6" w:rsidP="00464595">
      <w:pPr>
        <w:numPr>
          <w:ilvl w:val="0"/>
          <w:numId w:val="25"/>
        </w:numPr>
        <w:contextualSpacing/>
        <w:rPr>
          <w:rFonts w:eastAsia="Calibri" w:cs="Times New Roman"/>
          <w:lang w:val="en-AU" w:bidi="ar-SA"/>
        </w:rPr>
      </w:pPr>
      <w:r w:rsidRPr="00F82C8D">
        <w:rPr>
          <w:rFonts w:eastAsia="Calibri" w:cs="Times New Roman"/>
          <w:lang w:val="en-AU" w:bidi="ar-SA"/>
        </w:rPr>
        <w:t>t</w:t>
      </w:r>
      <w:r w:rsidR="00B774D0" w:rsidRPr="00F82C8D">
        <w:rPr>
          <w:rFonts w:eastAsia="Calibri" w:cs="Times New Roman"/>
          <w:lang w:val="en-AU" w:bidi="ar-SA"/>
        </w:rPr>
        <w:t>he relevant expansion started after 1 July 2014 and was completed prior to the period to be covered by the calculated-</w:t>
      </w:r>
      <w:r w:rsidR="00E16219" w:rsidRPr="00F82C8D">
        <w:rPr>
          <w:rFonts w:eastAsia="Calibri" w:cs="Times New Roman"/>
          <w:lang w:val="en-AU" w:bidi="ar-SA"/>
        </w:rPr>
        <w:t xml:space="preserve">emissions </w:t>
      </w:r>
      <w:r w:rsidR="00B774D0" w:rsidRPr="00F82C8D">
        <w:rPr>
          <w:rFonts w:eastAsia="Calibri" w:cs="Times New Roman"/>
          <w:lang w:val="en-AU" w:bidi="ar-SA"/>
        </w:rPr>
        <w:t>baseline determination (subsection </w:t>
      </w:r>
      <w:r w:rsidRPr="00F82C8D">
        <w:rPr>
          <w:rFonts w:eastAsia="Calibri" w:cs="Times New Roman"/>
          <w:lang w:val="en-AU" w:bidi="ar-SA"/>
        </w:rPr>
        <w:t>24(5))</w:t>
      </w:r>
    </w:p>
    <w:p w:rsidR="00B774D0" w:rsidRPr="00F82C8D" w:rsidRDefault="00B542F6" w:rsidP="00464595">
      <w:pPr>
        <w:numPr>
          <w:ilvl w:val="0"/>
          <w:numId w:val="25"/>
        </w:numPr>
        <w:contextualSpacing/>
        <w:rPr>
          <w:rFonts w:eastAsia="Calibri" w:cs="Times New Roman"/>
          <w:lang w:val="en-AU" w:bidi="ar-SA"/>
        </w:rPr>
      </w:pPr>
      <w:r w:rsidRPr="00F82C8D">
        <w:rPr>
          <w:rFonts w:eastAsia="Calibri" w:cs="Times New Roman"/>
          <w:lang w:val="en-AU" w:bidi="ar-SA"/>
        </w:rPr>
        <w:t>a</w:t>
      </w:r>
      <w:r w:rsidR="00B774D0" w:rsidRPr="00F82C8D">
        <w:rPr>
          <w:rFonts w:eastAsia="Calibri" w:cs="Times New Roman"/>
          <w:lang w:val="en-AU" w:bidi="ar-SA"/>
        </w:rPr>
        <w:t xml:space="preserve"> calculated-emissions baseline determination </w:t>
      </w:r>
      <w:r w:rsidR="00B774D0" w:rsidRPr="00F82C8D">
        <w:t>is not currently in force for Facility A (subsection 24(9)).</w:t>
      </w:r>
    </w:p>
    <w:p w:rsidR="00B774D0" w:rsidRPr="00F82C8D" w:rsidRDefault="00B774D0" w:rsidP="00B774D0">
      <w:pPr>
        <w:ind w:left="720"/>
        <w:contextualSpacing/>
        <w:rPr>
          <w:rFonts w:eastAsia="Calibri" w:cs="Times New Roman"/>
          <w:lang w:val="en-AU" w:bidi="ar-SA"/>
        </w:rPr>
      </w:pPr>
    </w:p>
    <w:p w:rsidR="00B774D0" w:rsidRPr="00F82C8D" w:rsidRDefault="00B774D0" w:rsidP="00B774D0">
      <w:pPr>
        <w:rPr>
          <w:rFonts w:eastAsia="Calibri" w:cs="Times New Roman"/>
          <w:lang w:val="en-AU" w:bidi="ar-SA"/>
        </w:rPr>
      </w:pPr>
      <w:r w:rsidRPr="00F82C8D">
        <w:rPr>
          <w:rFonts w:eastAsia="Calibri" w:cs="Times New Roman"/>
          <w:lang w:val="en-AU" w:bidi="ar-SA"/>
        </w:rPr>
        <w:t>The baseline emissions number for Facility A will be calculated based on an audited assessment of Gil Co’s estimate of the highest expected production level of silicon and the expected emissions intensity of production over the proposed duration of the calculated-</w:t>
      </w:r>
      <w:r w:rsidR="00E16219" w:rsidRPr="00F82C8D">
        <w:rPr>
          <w:rFonts w:eastAsia="Calibri" w:cs="Times New Roman"/>
          <w:lang w:val="en-AU" w:bidi="ar-SA"/>
        </w:rPr>
        <w:t xml:space="preserve">emissions </w:t>
      </w:r>
      <w:r w:rsidRPr="00F82C8D">
        <w:rPr>
          <w:rFonts w:eastAsia="Calibri" w:cs="Times New Roman"/>
          <w:lang w:val="en-AU" w:bidi="ar-SA"/>
        </w:rPr>
        <w:t xml:space="preserve">baseline determination (2019-20 to 2021-22). </w:t>
      </w:r>
    </w:p>
    <w:p w:rsidR="00B774D0" w:rsidRPr="00F82C8D" w:rsidRDefault="00B774D0" w:rsidP="00B774D0">
      <w:pPr>
        <w:rPr>
          <w:rFonts w:eastAsia="Calibri" w:cs="Times New Roman"/>
          <w:lang w:val="en-AU" w:bidi="ar-SA"/>
        </w:rPr>
      </w:pPr>
      <w:r w:rsidRPr="00F82C8D">
        <w:rPr>
          <w:rFonts w:eastAsia="Calibri" w:cs="Times New Roman"/>
          <w:lang w:val="en-AU" w:bidi="ar-SA"/>
        </w:rPr>
        <w:t>In the relevant three year period, Gil Co estimates that production will be highest in 2021-22 with an estimated production of 148,000 tonnes of silicon. Based on the equipment and technology employed at Facility A and based on the emissions-intensity calculation criteria (section 6), Gil Co expects that the emissions intensity for the production of silicon</w:t>
      </w:r>
      <w:r w:rsidR="0083680E" w:rsidRPr="00F82C8D">
        <w:rPr>
          <w:rFonts w:eastAsia="Calibri" w:cs="Times New Roman"/>
          <w:lang w:val="en-AU" w:bidi="ar-SA"/>
        </w:rPr>
        <w:t xml:space="preserve"> in 2021</w:t>
      </w:r>
      <w:r w:rsidR="0083680E" w:rsidRPr="00F82C8D">
        <w:rPr>
          <w:rFonts w:eastAsia="Calibri" w:cs="Times New Roman"/>
          <w:lang w:val="en-AU" w:bidi="ar-SA"/>
        </w:rPr>
        <w:noBreakHyphen/>
        <w:t>22</w:t>
      </w:r>
      <w:r w:rsidRPr="00F82C8D">
        <w:rPr>
          <w:rFonts w:eastAsia="Calibri" w:cs="Times New Roman"/>
          <w:lang w:val="en-AU" w:bidi="ar-SA"/>
        </w:rPr>
        <w:t xml:space="preserve"> will be 1.55 t CO</w:t>
      </w:r>
      <w:r w:rsidRPr="00F82C8D">
        <w:rPr>
          <w:rFonts w:eastAsia="Calibri" w:cs="Times New Roman"/>
          <w:vertAlign w:val="subscript"/>
          <w:lang w:val="en-AU" w:bidi="ar-SA"/>
        </w:rPr>
        <w:t>2</w:t>
      </w:r>
      <w:r w:rsidRPr="00F82C8D">
        <w:rPr>
          <w:rFonts w:eastAsia="Calibri" w:cs="Times New Roman"/>
          <w:lang w:val="en-AU" w:bidi="ar-SA"/>
        </w:rPr>
        <w:t>-e per tonne of silicon. On this basis, the baseline emissions number for the duration of the calculated-</w:t>
      </w:r>
      <w:r w:rsidR="00E16219" w:rsidRPr="00F82C8D">
        <w:rPr>
          <w:rFonts w:eastAsia="Calibri" w:cs="Times New Roman"/>
          <w:lang w:val="en-AU" w:bidi="ar-SA"/>
        </w:rPr>
        <w:t xml:space="preserve">emissions </w:t>
      </w:r>
      <w:r w:rsidRPr="00F82C8D">
        <w:rPr>
          <w:rFonts w:eastAsia="Calibri" w:cs="Times New Roman"/>
          <w:lang w:val="en-AU" w:bidi="ar-SA"/>
        </w:rPr>
        <w:t>baseline determination would be 229,400</w:t>
      </w:r>
      <w:r w:rsidR="00F030B5" w:rsidRPr="00F82C8D">
        <w:rPr>
          <w:rFonts w:eastAsia="Calibri" w:cs="Times New Roman"/>
          <w:lang w:val="en-AU" w:bidi="ar-SA"/>
        </w:rPr>
        <w:t> </w:t>
      </w:r>
      <w:r w:rsidRPr="00F82C8D">
        <w:rPr>
          <w:rFonts w:eastAsia="Calibri" w:cs="Times New Roman"/>
          <w:lang w:val="en-AU" w:bidi="ar-SA"/>
        </w:rPr>
        <w:t>t CO</w:t>
      </w:r>
      <w:r w:rsidRPr="00F82C8D">
        <w:rPr>
          <w:rFonts w:eastAsia="Calibri" w:cs="Times New Roman"/>
          <w:vertAlign w:val="subscript"/>
          <w:lang w:val="en-AU" w:bidi="ar-SA"/>
        </w:rPr>
        <w:t>2</w:t>
      </w:r>
      <w:r w:rsidRPr="00F82C8D">
        <w:rPr>
          <w:rFonts w:eastAsia="Calibri" w:cs="Times New Roman"/>
          <w:lang w:val="en-AU" w:bidi="ar-SA"/>
        </w:rPr>
        <w:t xml:space="preserve">-e </w:t>
      </w:r>
      <w:r w:rsidRPr="00F82C8D">
        <w:rPr>
          <w:rFonts w:cs="Times New Roman"/>
        </w:rPr>
        <w:t>(i.e. 1.55 t CO</w:t>
      </w:r>
      <w:r w:rsidRPr="00F82C8D">
        <w:rPr>
          <w:rFonts w:cs="Times New Roman"/>
          <w:vertAlign w:val="subscript"/>
        </w:rPr>
        <w:t>2</w:t>
      </w:r>
      <w:r w:rsidRPr="00F82C8D">
        <w:rPr>
          <w:rFonts w:cs="Times New Roman"/>
        </w:rPr>
        <w:t>-e per t silicon × 148,000 t silicon) (subsection 30(3)).</w:t>
      </w:r>
      <w:r w:rsidRPr="00F82C8D">
        <w:rPr>
          <w:rFonts w:eastAsia="Calibri" w:cs="Times New Roman"/>
          <w:lang w:val="en-AU" w:bidi="ar-SA"/>
        </w:rPr>
        <w:t xml:space="preserve"> </w:t>
      </w:r>
    </w:p>
    <w:p w:rsidR="00B774D0" w:rsidRPr="00F82C8D" w:rsidRDefault="00B774D0" w:rsidP="00B774D0">
      <w:pPr>
        <w:rPr>
          <w:rFonts w:eastAsia="Calibri" w:cs="Times New Roman"/>
          <w:lang w:val="en-AU" w:bidi="ar-SA"/>
        </w:rPr>
      </w:pPr>
      <w:r w:rsidRPr="00F82C8D">
        <w:rPr>
          <w:rFonts w:eastAsia="Calibri" w:cs="Times New Roman"/>
          <w:lang w:val="en-AU" w:bidi="ar-SA"/>
        </w:rPr>
        <w:t>Gil Co must submit its application to the Regulator after 1 July 2018 and no later than 31 October 2020 (subsection 22(3)). As part of its application Gil Co must provide an audit report, which assesses, among other things whether the significant expansion criteria are satisfied (paragraph 22(2)(d) and section (28)).</w:t>
      </w:r>
      <w:r w:rsidR="00394E74" w:rsidRPr="00F82C8D">
        <w:rPr>
          <w:rFonts w:eastAsia="Calibri" w:cs="Times New Roman"/>
          <w:lang w:val="en-AU" w:bidi="ar-SA"/>
        </w:rPr>
        <w:t xml:space="preserve"> </w:t>
      </w:r>
      <w:r w:rsidRPr="00F82C8D">
        <w:rPr>
          <w:rFonts w:eastAsia="Calibri" w:cs="Times New Roman"/>
          <w:lang w:val="en-AU" w:bidi="ar-SA"/>
        </w:rPr>
        <w:t>The Regulator must be satisfied with the information provided in the application before making the determination (subsection 30(2)).</w:t>
      </w:r>
    </w:p>
    <w:p w:rsidR="00B774D0" w:rsidRPr="00F82C8D" w:rsidRDefault="00B774D0" w:rsidP="00B774D0">
      <w:pPr>
        <w:rPr>
          <w:rFonts w:eastAsia="Calibri" w:cs="Times New Roman"/>
          <w:lang w:val="en-AU" w:bidi="ar-SA"/>
        </w:rPr>
      </w:pPr>
      <w:r w:rsidRPr="00F82C8D">
        <w:rPr>
          <w:rFonts w:eastAsia="Calibri" w:cs="Times New Roman"/>
          <w:lang w:val="en-AU" w:bidi="ar-SA"/>
        </w:rPr>
        <w:t>The calculated-emissions baseline emissions number will apply from Gil Co’s requested start date of the determination (1 July 2019) and expires at the end of three years (section 31). From 1 July 2022 (expiry of the calculated-emissions baseline determination) the reported-emissions baseline determination comes back into force, unless Gil Co applies for a production-adjusted baseline determination (subsection 40(1)).</w:t>
      </w:r>
    </w:p>
    <w:p w:rsidR="00B774D0" w:rsidRPr="00F82C8D" w:rsidRDefault="001E363B" w:rsidP="001E363B">
      <w:pPr>
        <w:pStyle w:val="Caption"/>
      </w:pPr>
      <w:r w:rsidRPr="00F82C8D">
        <w:t xml:space="preserve">Table </w:t>
      </w:r>
      <w:r w:rsidR="00744D5E" w:rsidRPr="00F82C8D">
        <w:fldChar w:fldCharType="begin"/>
      </w:r>
      <w:r w:rsidR="007329DC" w:rsidRPr="00F82C8D">
        <w:instrText xml:space="preserve"> SEQ Table \* ARABIC </w:instrText>
      </w:r>
      <w:r w:rsidR="00744D5E" w:rsidRPr="00F82C8D">
        <w:fldChar w:fldCharType="separate"/>
      </w:r>
      <w:r w:rsidR="00F16B1F">
        <w:rPr>
          <w:noProof/>
        </w:rPr>
        <w:t>4</w:t>
      </w:r>
      <w:r w:rsidR="00744D5E" w:rsidRPr="00F82C8D">
        <w:fldChar w:fldCharType="end"/>
      </w:r>
      <w:r w:rsidR="009E1535" w:rsidRPr="00F82C8D">
        <w:t>—</w:t>
      </w:r>
      <w:r w:rsidR="00B774D0" w:rsidRPr="00F82C8D">
        <w:t>Key elements of a calculated-</w:t>
      </w:r>
      <w:r w:rsidR="00E16219" w:rsidRPr="00F82C8D">
        <w:t xml:space="preserve">emissions </w:t>
      </w:r>
      <w:r w:rsidR="00B774D0" w:rsidRPr="00F82C8D">
        <w:t>baseline determination (significant expansion)</w:t>
      </w:r>
    </w:p>
    <w:tbl>
      <w:tblPr>
        <w:tblStyle w:val="TableGrid1"/>
        <w:tblW w:w="0" w:type="auto"/>
        <w:tblLook w:val="04A0"/>
      </w:tblPr>
      <w:tblGrid>
        <w:gridCol w:w="2802"/>
        <w:gridCol w:w="6332"/>
      </w:tblGrid>
      <w:tr w:rsidR="00B774D0" w:rsidRPr="00F82C8D" w:rsidTr="00F6082D">
        <w:tc>
          <w:tcPr>
            <w:tcW w:w="2802" w:type="dxa"/>
          </w:tcPr>
          <w:p w:rsidR="00B774D0" w:rsidRPr="00F82C8D" w:rsidRDefault="00B774D0" w:rsidP="00807424">
            <w:pPr>
              <w:spacing w:beforeLines="60" w:afterLines="60"/>
              <w:jc w:val="center"/>
              <w:rPr>
                <w:rFonts w:ascii="Arial" w:hAnsi="Arial" w:cs="Arial"/>
                <w:b/>
                <w:sz w:val="20"/>
                <w:szCs w:val="20"/>
              </w:rPr>
            </w:pPr>
            <w:r w:rsidRPr="00F82C8D">
              <w:rPr>
                <w:rFonts w:ascii="Arial" w:hAnsi="Arial" w:cs="Arial"/>
                <w:b/>
                <w:sz w:val="20"/>
                <w:szCs w:val="20"/>
              </w:rPr>
              <w:t>Element</w:t>
            </w:r>
          </w:p>
        </w:tc>
        <w:tc>
          <w:tcPr>
            <w:tcW w:w="6332" w:type="dxa"/>
          </w:tcPr>
          <w:p w:rsidR="00DB293E" w:rsidRPr="00F82C8D" w:rsidRDefault="00B774D0" w:rsidP="00807424">
            <w:pPr>
              <w:spacing w:beforeLines="60" w:afterLines="60"/>
              <w:jc w:val="center"/>
              <w:rPr>
                <w:rFonts w:ascii="Arial" w:eastAsiaTheme="minorEastAsia" w:hAnsi="Arial" w:cs="Arial"/>
                <w:b/>
                <w:bCs/>
                <w:sz w:val="20"/>
                <w:szCs w:val="20"/>
                <w:lang w:val="en-US" w:bidi="en-US"/>
              </w:rPr>
            </w:pPr>
            <w:r w:rsidRPr="00F82C8D">
              <w:rPr>
                <w:rFonts w:ascii="Arial" w:hAnsi="Arial" w:cs="Arial"/>
                <w:b/>
                <w:sz w:val="20"/>
                <w:szCs w:val="20"/>
              </w:rPr>
              <w:t>Treatment and reference</w:t>
            </w:r>
          </w:p>
        </w:tc>
      </w:tr>
      <w:tr w:rsidR="00B774D0" w:rsidRPr="00F82C8D" w:rsidTr="00F6082D">
        <w:tc>
          <w:tcPr>
            <w:tcW w:w="2802"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Criteria</w:t>
            </w:r>
          </w:p>
          <w:p w:rsidR="00DB293E" w:rsidRPr="00F82C8D" w:rsidRDefault="00B774D0" w:rsidP="00807424">
            <w:pPr>
              <w:spacing w:beforeLines="60" w:afterLines="60"/>
              <w:rPr>
                <w:rFonts w:ascii="Arial" w:eastAsiaTheme="minorEastAsia" w:hAnsi="Arial" w:cs="Arial"/>
                <w:b/>
                <w:bCs/>
                <w:i/>
                <w:sz w:val="20"/>
                <w:szCs w:val="20"/>
                <w:lang w:val="en-US" w:bidi="en-US"/>
              </w:rPr>
            </w:pPr>
            <w:r w:rsidRPr="00F82C8D">
              <w:rPr>
                <w:rFonts w:ascii="Arial" w:hAnsi="Arial" w:cs="Arial"/>
                <w:i/>
                <w:sz w:val="20"/>
                <w:szCs w:val="20"/>
              </w:rPr>
              <w:t>Calculated-</w:t>
            </w:r>
            <w:r w:rsidR="00E16219" w:rsidRPr="00F82C8D">
              <w:rPr>
                <w:rFonts w:ascii="Arial" w:hAnsi="Arial" w:cs="Arial"/>
                <w:i/>
                <w:sz w:val="20"/>
                <w:szCs w:val="20"/>
              </w:rPr>
              <w:t xml:space="preserve">emissions </w:t>
            </w:r>
            <w:r w:rsidRPr="00F82C8D">
              <w:rPr>
                <w:rFonts w:ascii="Arial" w:hAnsi="Arial" w:cs="Arial"/>
                <w:i/>
                <w:sz w:val="20"/>
                <w:szCs w:val="20"/>
              </w:rPr>
              <w:t xml:space="preserve">baseline determination (significant expansion) </w:t>
            </w:r>
          </w:p>
        </w:tc>
        <w:tc>
          <w:tcPr>
            <w:tcW w:w="6332"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Relate to the timing of the significant expansion and whether the increase in maximum productive capacity is greater than 20 per cent (section 24).</w:t>
            </w:r>
          </w:p>
          <w:p w:rsidR="00DB293E" w:rsidRPr="00F82C8D" w:rsidRDefault="00B774D0" w:rsidP="00807424">
            <w:pPr>
              <w:spacing w:beforeLines="60" w:afterLines="60"/>
              <w:rPr>
                <w:rFonts w:ascii="Arial" w:eastAsiaTheme="minorEastAsia" w:hAnsi="Arial" w:cs="Arial"/>
                <w:i/>
                <w:sz w:val="20"/>
                <w:szCs w:val="20"/>
                <w:lang w:val="en-US" w:bidi="en-US"/>
              </w:rPr>
            </w:pPr>
            <w:r w:rsidRPr="00F82C8D">
              <w:rPr>
                <w:rFonts w:ascii="Arial" w:hAnsi="Arial" w:cs="Arial"/>
                <w:i/>
                <w:sz w:val="20"/>
                <w:szCs w:val="20"/>
              </w:rPr>
              <w:t>Note other criteria under the calculated-</w:t>
            </w:r>
            <w:r w:rsidR="00E16219" w:rsidRPr="00F82C8D">
              <w:rPr>
                <w:rFonts w:ascii="Arial" w:hAnsi="Arial" w:cs="Arial"/>
                <w:i/>
                <w:sz w:val="20"/>
                <w:szCs w:val="20"/>
              </w:rPr>
              <w:t xml:space="preserve">emissions </w:t>
            </w:r>
            <w:r w:rsidRPr="00F82C8D">
              <w:rPr>
                <w:rFonts w:ascii="Arial" w:hAnsi="Arial" w:cs="Arial"/>
                <w:i/>
                <w:sz w:val="20"/>
                <w:szCs w:val="20"/>
              </w:rPr>
              <w:t>baseline determination are set out in:</w:t>
            </w:r>
          </w:p>
          <w:p w:rsidR="00DB293E" w:rsidRPr="00F82C8D" w:rsidRDefault="00B774D0" w:rsidP="00807424">
            <w:pPr>
              <w:numPr>
                <w:ilvl w:val="0"/>
                <w:numId w:val="27"/>
              </w:numPr>
              <w:spacing w:beforeLines="60" w:afterLines="60"/>
              <w:rPr>
                <w:rFonts w:ascii="Arial" w:eastAsiaTheme="minorEastAsia" w:hAnsi="Arial" w:cs="Arial"/>
                <w:i/>
                <w:sz w:val="20"/>
                <w:szCs w:val="20"/>
                <w:lang w:val="en-US" w:bidi="en-US"/>
              </w:rPr>
            </w:pPr>
            <w:r w:rsidRPr="00F82C8D">
              <w:rPr>
                <w:rFonts w:ascii="Arial" w:hAnsi="Arial" w:cs="Arial"/>
                <w:i/>
                <w:sz w:val="20"/>
                <w:szCs w:val="20"/>
              </w:rPr>
              <w:t>Section 23 (new facility)</w:t>
            </w:r>
          </w:p>
          <w:p w:rsidR="00DB293E" w:rsidRPr="00F82C8D" w:rsidRDefault="00B774D0" w:rsidP="00807424">
            <w:pPr>
              <w:numPr>
                <w:ilvl w:val="0"/>
                <w:numId w:val="27"/>
              </w:numPr>
              <w:spacing w:beforeLines="60" w:afterLines="60"/>
              <w:rPr>
                <w:rFonts w:ascii="Arial" w:eastAsiaTheme="minorEastAsia" w:hAnsi="Arial" w:cs="Arial"/>
                <w:i/>
                <w:sz w:val="20"/>
                <w:szCs w:val="20"/>
                <w:lang w:val="en-US" w:bidi="en-US"/>
              </w:rPr>
            </w:pPr>
            <w:r w:rsidRPr="00F82C8D">
              <w:rPr>
                <w:rFonts w:ascii="Arial" w:hAnsi="Arial" w:cs="Arial"/>
                <w:i/>
                <w:sz w:val="20"/>
                <w:szCs w:val="20"/>
              </w:rPr>
              <w:t>Section 25 (inherent emissions variability)</w:t>
            </w:r>
          </w:p>
          <w:p w:rsidR="00DB293E" w:rsidRPr="00F82C8D" w:rsidRDefault="00B774D0" w:rsidP="00807424">
            <w:pPr>
              <w:numPr>
                <w:ilvl w:val="0"/>
                <w:numId w:val="27"/>
              </w:numPr>
              <w:spacing w:beforeLines="60" w:afterLines="60"/>
              <w:rPr>
                <w:rFonts w:ascii="Arial" w:eastAsiaTheme="minorEastAsia" w:hAnsi="Arial" w:cs="Arial"/>
                <w:sz w:val="20"/>
                <w:szCs w:val="20"/>
                <w:lang w:val="en-US" w:bidi="en-US"/>
              </w:rPr>
            </w:pPr>
            <w:r w:rsidRPr="00F82C8D">
              <w:rPr>
                <w:rFonts w:ascii="Arial" w:hAnsi="Arial" w:cs="Arial"/>
                <w:i/>
                <w:sz w:val="20"/>
                <w:szCs w:val="20"/>
              </w:rPr>
              <w:t>Section 26 (initial calculated baseline)</w:t>
            </w:r>
          </w:p>
        </w:tc>
      </w:tr>
      <w:tr w:rsidR="00B774D0" w:rsidRPr="00F82C8D" w:rsidTr="00F6082D">
        <w:tc>
          <w:tcPr>
            <w:tcW w:w="2802"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Application deadline</w:t>
            </w:r>
          </w:p>
        </w:tc>
        <w:tc>
          <w:tcPr>
            <w:tcW w:w="6332"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Generally, no earlier than 1 July in the year before the calculated baseline is to commence and not later than 31 October after the end of the first financial year in which the calculated baseline is to apply (section 22).</w:t>
            </w:r>
          </w:p>
        </w:tc>
      </w:tr>
      <w:tr w:rsidR="00B774D0" w:rsidRPr="00F82C8D" w:rsidTr="00F6082D">
        <w:tc>
          <w:tcPr>
            <w:tcW w:w="2802"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Application information</w:t>
            </w:r>
          </w:p>
        </w:tc>
        <w:tc>
          <w:tcPr>
            <w:tcW w:w="6332"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Relate to substantiating that the relevant criteria are satisfied and estimating the emissions intensity and highest expected production level over the period of the calculated-</w:t>
            </w:r>
            <w:r w:rsidR="00E16219" w:rsidRPr="00F82C8D">
              <w:rPr>
                <w:rFonts w:ascii="Arial" w:hAnsi="Arial" w:cs="Arial"/>
                <w:sz w:val="20"/>
                <w:szCs w:val="20"/>
              </w:rPr>
              <w:t xml:space="preserve">emissions </w:t>
            </w:r>
            <w:r w:rsidRPr="00F82C8D">
              <w:rPr>
                <w:rFonts w:ascii="Arial" w:hAnsi="Arial" w:cs="Arial"/>
                <w:sz w:val="20"/>
                <w:szCs w:val="20"/>
              </w:rPr>
              <w:t>baseline determination (section 27).</w:t>
            </w:r>
          </w:p>
        </w:tc>
      </w:tr>
      <w:tr w:rsidR="00B774D0" w:rsidRPr="00F82C8D" w:rsidTr="00F6082D">
        <w:tc>
          <w:tcPr>
            <w:tcW w:w="2802"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Audit requirement</w:t>
            </w:r>
          </w:p>
        </w:tc>
        <w:tc>
          <w:tcPr>
            <w:tcW w:w="6332"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Yes. The audit must, among other things, ensure that the criteria are satisfied and that the production and emissions intensity information is supported by historical data (section 28).</w:t>
            </w:r>
          </w:p>
        </w:tc>
      </w:tr>
      <w:tr w:rsidR="00B774D0" w:rsidRPr="00F82C8D" w:rsidTr="00F6082D">
        <w:tc>
          <w:tcPr>
            <w:tcW w:w="2802"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Baseline emissions number</w:t>
            </w:r>
          </w:p>
        </w:tc>
        <w:tc>
          <w:tcPr>
            <w:tcW w:w="6332"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Must be the quantity of expected high-point in production multiplied by the expected emissions intensity (expressed in tonnes CO</w:t>
            </w:r>
            <w:r w:rsidRPr="00F82C8D">
              <w:rPr>
                <w:rFonts w:ascii="Arial" w:hAnsi="Arial" w:cs="Arial"/>
                <w:sz w:val="20"/>
                <w:szCs w:val="20"/>
                <w:vertAlign w:val="subscript"/>
              </w:rPr>
              <w:t>2</w:t>
            </w:r>
            <w:r w:rsidRPr="00F82C8D">
              <w:rPr>
                <w:rFonts w:ascii="Arial" w:hAnsi="Arial" w:cs="Arial"/>
                <w:sz w:val="20"/>
                <w:szCs w:val="20"/>
              </w:rPr>
              <w:t>-e per unit of the produc</w:t>
            </w:r>
            <w:r w:rsidR="00F6082D" w:rsidRPr="00F82C8D">
              <w:rPr>
                <w:rFonts w:ascii="Arial" w:hAnsi="Arial" w:cs="Arial"/>
                <w:sz w:val="20"/>
                <w:szCs w:val="20"/>
              </w:rPr>
              <w:t>tion variable)(subsection 30(3)</w:t>
            </w:r>
            <w:r w:rsidRPr="00F82C8D">
              <w:rPr>
                <w:rFonts w:ascii="Arial" w:hAnsi="Arial" w:cs="Arial"/>
                <w:sz w:val="20"/>
                <w:szCs w:val="20"/>
              </w:rPr>
              <w:t>)</w:t>
            </w:r>
          </w:p>
        </w:tc>
      </w:tr>
      <w:tr w:rsidR="00B774D0" w:rsidRPr="00F82C8D" w:rsidTr="00F6082D">
        <w:tc>
          <w:tcPr>
            <w:tcW w:w="2802"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Commencement</w:t>
            </w:r>
          </w:p>
        </w:tc>
        <w:tc>
          <w:tcPr>
            <w:tcW w:w="6332" w:type="dxa"/>
          </w:tcPr>
          <w:p w:rsidR="00DB293E" w:rsidRPr="00F82C8D" w:rsidRDefault="00B774D0" w:rsidP="00807424">
            <w:pPr>
              <w:pStyle w:val="ListParagraph"/>
              <w:numPr>
                <w:ilvl w:val="0"/>
                <w:numId w:val="0"/>
              </w:numPr>
              <w:spacing w:beforeLines="60" w:afterLines="60"/>
              <w:rPr>
                <w:rFonts w:ascii="Arial" w:eastAsiaTheme="minorEastAsia" w:hAnsi="Arial" w:cs="Arial"/>
                <w:sz w:val="20"/>
                <w:szCs w:val="20"/>
                <w:lang w:val="en-US" w:bidi="en-US"/>
              </w:rPr>
            </w:pPr>
            <w:r w:rsidRPr="00F82C8D">
              <w:rPr>
                <w:rFonts w:ascii="Arial" w:hAnsi="Arial" w:cs="Arial"/>
                <w:sz w:val="20"/>
                <w:szCs w:val="20"/>
              </w:rPr>
              <w:t>Generally on 1 July in the financial year requested in the application.</w:t>
            </w:r>
            <w:r w:rsidR="00394E74" w:rsidRPr="00F82C8D">
              <w:rPr>
                <w:rFonts w:ascii="Arial" w:hAnsi="Arial" w:cs="Arial"/>
                <w:sz w:val="20"/>
                <w:szCs w:val="20"/>
              </w:rPr>
              <w:t xml:space="preserve"> </w:t>
            </w:r>
            <w:r w:rsidRPr="00F82C8D">
              <w:rPr>
                <w:rFonts w:ascii="Arial" w:hAnsi="Arial" w:cs="Arial"/>
                <w:sz w:val="20"/>
                <w:szCs w:val="20"/>
              </w:rPr>
              <w:t>For significant expansions, the determination will either start on the last year of, or the year immediately following, the relevant expansion period. The relevant expansion period is the period of which a significant expansion must be demonstrated (sections 24 and 31).</w:t>
            </w:r>
          </w:p>
        </w:tc>
      </w:tr>
      <w:tr w:rsidR="00B774D0" w:rsidRPr="00F82C8D" w:rsidTr="00F6082D">
        <w:tc>
          <w:tcPr>
            <w:tcW w:w="2802"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Expiry</w:t>
            </w:r>
          </w:p>
        </w:tc>
        <w:tc>
          <w:tcPr>
            <w:tcW w:w="6332" w:type="dxa"/>
          </w:tcPr>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Generally, three years after the requested start date. For large new facilities, the determination remains in force for five years.</w:t>
            </w:r>
          </w:p>
          <w:p w:rsidR="00DB293E" w:rsidRPr="00F82C8D" w:rsidRDefault="00B774D0" w:rsidP="00807424">
            <w:pPr>
              <w:spacing w:beforeLines="60" w:afterLines="60"/>
              <w:rPr>
                <w:rFonts w:ascii="Arial" w:eastAsiaTheme="minorEastAsia" w:hAnsi="Arial" w:cs="Arial"/>
                <w:sz w:val="20"/>
                <w:szCs w:val="20"/>
                <w:lang w:val="en-US" w:bidi="en-US"/>
              </w:rPr>
            </w:pPr>
            <w:r w:rsidRPr="00F82C8D">
              <w:rPr>
                <w:rFonts w:ascii="Arial" w:hAnsi="Arial" w:cs="Arial"/>
                <w:sz w:val="20"/>
                <w:szCs w:val="20"/>
              </w:rPr>
              <w:t>Once the calculated-emissions baseline determination expires the reported-emissions baseline determination comes back into force, unless another kind of baseline determination is made (section 31).</w:t>
            </w:r>
          </w:p>
        </w:tc>
      </w:tr>
    </w:tbl>
    <w:p w:rsidR="00B774D0" w:rsidRPr="00F82C8D" w:rsidRDefault="00D10671" w:rsidP="00B774D0">
      <w:pPr>
        <w:pStyle w:val="Heading3"/>
        <w:rPr>
          <w:rFonts w:eastAsia="Times New Roman"/>
          <w:lang w:bidi="ar-SA"/>
        </w:rPr>
      </w:pPr>
      <w:r w:rsidRPr="00F82C8D">
        <w:rPr>
          <w:rFonts w:eastAsia="Times New Roman"/>
          <w:lang w:bidi="ar-SA"/>
        </w:rPr>
        <w:t>Production-</w:t>
      </w:r>
      <w:r w:rsidR="00B774D0" w:rsidRPr="00F82C8D">
        <w:rPr>
          <w:rFonts w:eastAsia="Times New Roman"/>
          <w:lang w:bidi="ar-SA"/>
        </w:rPr>
        <w:t xml:space="preserve">adjusted baseline </w:t>
      </w:r>
      <w:r w:rsidR="00B774D0" w:rsidRPr="00F82C8D">
        <w:t>determination</w:t>
      </w:r>
      <w:r w:rsidR="00B774D0" w:rsidRPr="00F82C8D">
        <w:rPr>
          <w:rFonts w:eastAsia="Times New Roman"/>
          <w:lang w:bidi="ar-SA"/>
        </w:rPr>
        <w:t xml:space="preserve"> (significant expansion)</w:t>
      </w:r>
      <w:r w:rsidR="00B774D0" w:rsidRPr="00F82C8D">
        <w:rPr>
          <w:color w:val="4F81BD" w:themeColor="accent1"/>
          <w:sz w:val="22"/>
          <w:szCs w:val="22"/>
          <w:lang w:bidi="ar-SA"/>
        </w:rPr>
        <w:t xml:space="preserve"> </w:t>
      </w:r>
      <w:r w:rsidR="00B774D0" w:rsidRPr="00F82C8D">
        <w:rPr>
          <w:rFonts w:eastAsia="Times New Roman"/>
          <w:lang w:bidi="ar-SA"/>
        </w:rPr>
        <w:t>(Part 3, Division 2, Subdivision 5)</w:t>
      </w:r>
    </w:p>
    <w:p w:rsidR="00B774D0" w:rsidRPr="00F82C8D" w:rsidRDefault="00B774D0" w:rsidP="001E363B">
      <w:pPr>
        <w:spacing w:before="0"/>
        <w:contextualSpacing/>
      </w:pPr>
      <w:r w:rsidRPr="00F82C8D">
        <w:t xml:space="preserve">At the end of 2021-22 Facility A’s calculated-emissions baseline determination has expired and Gil Co applies for a production-adjusted baseline determination. </w:t>
      </w:r>
    </w:p>
    <w:p w:rsidR="00B774D0" w:rsidRPr="00F82C8D" w:rsidRDefault="00B774D0" w:rsidP="00B774D0">
      <w:pPr>
        <w:pStyle w:val="Caption"/>
        <w:rPr>
          <w:rFonts w:eastAsia="Calibri"/>
          <w:lang w:val="en-AU" w:bidi="ar-SA"/>
        </w:rPr>
      </w:pPr>
      <w:r w:rsidRPr="00F82C8D">
        <w:rPr>
          <w:rFonts w:eastAsia="Calibri"/>
          <w:lang w:val="en-AU" w:bidi="ar-SA"/>
        </w:rPr>
        <w:t xml:space="preserve">Figure </w:t>
      </w:r>
      <w:r w:rsidR="00744D5E" w:rsidRPr="00F82C8D">
        <w:rPr>
          <w:rFonts w:eastAsia="Calibri"/>
          <w:lang w:val="en-AU" w:bidi="ar-SA"/>
        </w:rPr>
        <w:fldChar w:fldCharType="begin"/>
      </w:r>
      <w:r w:rsidRPr="00F82C8D">
        <w:rPr>
          <w:rFonts w:eastAsia="Calibri"/>
          <w:lang w:val="en-AU" w:bidi="ar-SA"/>
        </w:rPr>
        <w:instrText xml:space="preserve"> SEQ Figure \* ARABIC </w:instrText>
      </w:r>
      <w:r w:rsidR="00744D5E" w:rsidRPr="00F82C8D">
        <w:rPr>
          <w:rFonts w:eastAsia="Calibri"/>
          <w:lang w:val="en-AU" w:bidi="ar-SA"/>
        </w:rPr>
        <w:fldChar w:fldCharType="separate"/>
      </w:r>
      <w:r w:rsidR="00F16B1F">
        <w:rPr>
          <w:rFonts w:eastAsia="Calibri"/>
          <w:noProof/>
          <w:lang w:val="en-AU" w:bidi="ar-SA"/>
        </w:rPr>
        <w:t>8</w:t>
      </w:r>
      <w:r w:rsidR="00744D5E" w:rsidRPr="00F82C8D">
        <w:rPr>
          <w:rFonts w:eastAsia="Calibri"/>
          <w:lang w:val="en-AU" w:bidi="ar-SA"/>
        </w:rPr>
        <w:fldChar w:fldCharType="end"/>
      </w:r>
      <w:r w:rsidRPr="00F82C8D">
        <w:rPr>
          <w:rFonts w:eastAsia="Calibri"/>
          <w:lang w:val="en-AU" w:bidi="ar-SA"/>
        </w:rPr>
        <w:t>—</w:t>
      </w:r>
      <w:r w:rsidRPr="00F82C8D">
        <w:rPr>
          <w:rFonts w:eastAsia="Calibri"/>
          <w:lang w:bidi="ar-SA"/>
        </w:rPr>
        <w:t>Covered emissions over the period 2018-19 to 2028-29</w:t>
      </w:r>
    </w:p>
    <w:p w:rsidR="00B774D0" w:rsidRPr="00F82C8D" w:rsidRDefault="00E83730" w:rsidP="009E1535">
      <w:pPr>
        <w:jc w:val="center"/>
        <w:rPr>
          <w:rFonts w:ascii="Calibri" w:eastAsia="Calibri" w:hAnsi="Calibri" w:cs="Times New Roman"/>
          <w:lang w:val="en-AU" w:bidi="ar-SA"/>
        </w:rPr>
      </w:pPr>
      <w:r w:rsidRPr="00F82C8D">
        <w:rPr>
          <w:rFonts w:ascii="Calibri" w:eastAsia="Calibri" w:hAnsi="Calibri" w:cs="Times New Roman"/>
          <w:noProof/>
          <w:lang w:val="en-AU" w:eastAsia="en-AU" w:bidi="ar-SA"/>
        </w:rPr>
        <w:drawing>
          <wp:inline distT="0" distB="0" distL="0" distR="0">
            <wp:extent cx="5187950" cy="3670300"/>
            <wp:effectExtent l="1905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1" cstate="print"/>
                    <a:srcRect/>
                    <a:stretch>
                      <a:fillRect/>
                    </a:stretch>
                  </pic:blipFill>
                  <pic:spPr bwMode="auto">
                    <a:xfrm>
                      <a:off x="0" y="0"/>
                      <a:ext cx="5187950" cy="3670300"/>
                    </a:xfrm>
                    <a:prstGeom prst="rect">
                      <a:avLst/>
                    </a:prstGeom>
                    <a:noFill/>
                  </pic:spPr>
                </pic:pic>
              </a:graphicData>
            </a:graphic>
          </wp:inline>
        </w:drawing>
      </w:r>
    </w:p>
    <w:p w:rsidR="00B774D0" w:rsidRPr="00F82C8D" w:rsidRDefault="00B774D0" w:rsidP="00B774D0">
      <w:pPr>
        <w:rPr>
          <w:rFonts w:eastAsia="Calibri" w:cs="Times New Roman"/>
          <w:szCs w:val="24"/>
          <w:lang w:val="en-AU" w:bidi="ar-SA"/>
        </w:rPr>
      </w:pPr>
      <w:r w:rsidRPr="00F82C8D">
        <w:rPr>
          <w:rFonts w:eastAsia="Calibri" w:cs="Times New Roman"/>
          <w:szCs w:val="24"/>
          <w:lang w:val="en-AU" w:bidi="ar-SA"/>
        </w:rPr>
        <w:t>Gil Co is eligible to apply for a production-adjusted baseline determination because Facility A had a calculated-emissions baseline determination and it has now expired (subsection</w:t>
      </w:r>
      <w:r w:rsidR="009E1535" w:rsidRPr="00F82C8D">
        <w:rPr>
          <w:rFonts w:eastAsia="Calibri" w:cs="Times New Roman"/>
          <w:szCs w:val="24"/>
          <w:lang w:val="en-AU" w:bidi="ar-SA"/>
        </w:rPr>
        <w:t> </w:t>
      </w:r>
      <w:r w:rsidRPr="00F82C8D">
        <w:rPr>
          <w:rFonts w:eastAsia="Calibri" w:cs="Times New Roman"/>
          <w:szCs w:val="24"/>
          <w:lang w:val="en-AU" w:bidi="ar-SA"/>
        </w:rPr>
        <w:t xml:space="preserve">40(1)). </w:t>
      </w:r>
    </w:p>
    <w:p w:rsidR="00B774D0" w:rsidRPr="00F82C8D" w:rsidRDefault="00B774D0" w:rsidP="00B774D0">
      <w:pPr>
        <w:rPr>
          <w:rFonts w:eastAsia="Calibri" w:cs="Times New Roman"/>
          <w:szCs w:val="24"/>
          <w:lang w:val="en-AU" w:bidi="ar-SA"/>
        </w:rPr>
      </w:pPr>
      <w:r w:rsidRPr="00F82C8D">
        <w:rPr>
          <w:rFonts w:eastAsia="Calibri" w:cs="Times New Roman"/>
          <w:szCs w:val="24"/>
          <w:lang w:val="en-AU" w:bidi="ar-SA"/>
        </w:rPr>
        <w:t>Gil Co has requested that the start date of the production-adjusted baseline determination is 1 July 2022 (paragraph 40(2)(b)).</w:t>
      </w:r>
    </w:p>
    <w:p w:rsidR="00B774D0" w:rsidRPr="00F82C8D" w:rsidRDefault="00B774D0" w:rsidP="00B774D0">
      <w:pPr>
        <w:rPr>
          <w:rFonts w:eastAsia="Calibri" w:cs="Times New Roman"/>
          <w:szCs w:val="24"/>
          <w:lang w:val="en-AU" w:bidi="ar-SA"/>
        </w:rPr>
      </w:pPr>
      <w:r w:rsidRPr="00F82C8D">
        <w:rPr>
          <w:rFonts w:eastAsia="Calibri" w:cs="Times New Roman"/>
          <w:szCs w:val="24"/>
          <w:lang w:val="en-AU" w:bidi="ar-SA"/>
        </w:rPr>
        <w:t xml:space="preserve">The baseline emissions number is </w:t>
      </w:r>
      <w:r w:rsidR="004926C2" w:rsidRPr="00F82C8D">
        <w:rPr>
          <w:rFonts w:eastAsia="Calibri" w:cs="Times New Roman"/>
          <w:szCs w:val="24"/>
          <w:lang w:val="en-AU" w:bidi="ar-SA"/>
        </w:rPr>
        <w:t>ascertained from</w:t>
      </w:r>
      <w:r w:rsidRPr="00F82C8D">
        <w:rPr>
          <w:rFonts w:eastAsia="Calibri" w:cs="Times New Roman"/>
          <w:szCs w:val="24"/>
          <w:lang w:val="en-AU" w:bidi="ar-SA"/>
        </w:rPr>
        <w:t xml:space="preserve">: </w:t>
      </w:r>
    </w:p>
    <w:p w:rsidR="00B774D0" w:rsidRPr="00F82C8D" w:rsidRDefault="00B774D0" w:rsidP="00464595">
      <w:pPr>
        <w:numPr>
          <w:ilvl w:val="0"/>
          <w:numId w:val="26"/>
        </w:numPr>
        <w:contextualSpacing/>
        <w:rPr>
          <w:rFonts w:eastAsia="Calibri" w:cs="Times New Roman"/>
          <w:szCs w:val="24"/>
          <w:lang w:val="en-AU" w:bidi="ar-SA"/>
        </w:rPr>
      </w:pPr>
      <w:r w:rsidRPr="00F82C8D">
        <w:rPr>
          <w:rFonts w:eastAsia="Calibri" w:cs="Times New Roman"/>
          <w:szCs w:val="24"/>
          <w:lang w:val="en-AU" w:bidi="ar-SA"/>
        </w:rPr>
        <w:t xml:space="preserve">the highest actual annual production during the period covered by the calculated-emissions baseline determination (section 4 and paragraph 41(1)(a))—141,045 tonnes silicon in 2021-22 </w:t>
      </w:r>
      <w:r w:rsidRPr="00F82C8D">
        <w:rPr>
          <w:rFonts w:cs="Times New Roman"/>
          <w:szCs w:val="24"/>
        </w:rPr>
        <w:t xml:space="preserve">(which was lower than the earlier </w:t>
      </w:r>
      <w:r w:rsidRPr="00F82C8D">
        <w:rPr>
          <w:rFonts w:cs="Times New Roman"/>
          <w:i/>
          <w:szCs w:val="24"/>
        </w:rPr>
        <w:t xml:space="preserve">estimate </w:t>
      </w:r>
      <w:r w:rsidRPr="00F82C8D">
        <w:rPr>
          <w:rFonts w:cs="Times New Roman"/>
          <w:szCs w:val="24"/>
        </w:rPr>
        <w:t xml:space="preserve">used for the calculated-emissions baseline determination), </w:t>
      </w:r>
      <w:r w:rsidRPr="00F82C8D">
        <w:rPr>
          <w:rFonts w:eastAsia="Calibri" w:cs="Times New Roman"/>
          <w:szCs w:val="24"/>
          <w:lang w:val="en-AU" w:bidi="ar-SA"/>
        </w:rPr>
        <w:t>and</w:t>
      </w:r>
    </w:p>
    <w:p w:rsidR="00B774D0" w:rsidRPr="00F82C8D" w:rsidRDefault="00B774D0" w:rsidP="00464595">
      <w:pPr>
        <w:numPr>
          <w:ilvl w:val="0"/>
          <w:numId w:val="26"/>
        </w:numPr>
        <w:contextualSpacing/>
        <w:rPr>
          <w:rFonts w:eastAsia="Calibri" w:cs="Times New Roman"/>
          <w:szCs w:val="24"/>
          <w:lang w:val="en-AU" w:bidi="ar-SA"/>
        </w:rPr>
      </w:pPr>
      <w:r w:rsidRPr="00F82C8D">
        <w:rPr>
          <w:rFonts w:eastAsia="Calibri" w:cs="Times New Roman"/>
          <w:szCs w:val="24"/>
          <w:lang w:val="en-AU" w:bidi="ar-SA"/>
        </w:rPr>
        <w:t xml:space="preserve">the expected emissions intensity per tonne of silicon, </w:t>
      </w:r>
      <w:r w:rsidR="00BA6BE0" w:rsidRPr="00F82C8D">
        <w:rPr>
          <w:rFonts w:eastAsia="Calibri" w:cs="Times New Roman"/>
          <w:szCs w:val="24"/>
          <w:lang w:val="en-AU" w:bidi="ar-SA"/>
        </w:rPr>
        <w:t>which is determined</w:t>
      </w:r>
      <w:r w:rsidRPr="00F82C8D">
        <w:rPr>
          <w:rFonts w:eastAsia="Calibri" w:cs="Times New Roman"/>
          <w:szCs w:val="24"/>
          <w:lang w:val="en-AU" w:bidi="ar-SA"/>
        </w:rPr>
        <w:t xml:space="preserve"> from the calculated-emissions baseline determination (para</w:t>
      </w:r>
      <w:r w:rsidR="004926C2" w:rsidRPr="00F82C8D">
        <w:rPr>
          <w:rFonts w:eastAsia="Calibri" w:cs="Times New Roman"/>
          <w:szCs w:val="24"/>
          <w:lang w:val="en-AU" w:bidi="ar-SA"/>
        </w:rPr>
        <w:t>graph 41(1)(b))—</w:t>
      </w:r>
      <w:r w:rsidRPr="00F82C8D">
        <w:rPr>
          <w:rFonts w:eastAsia="Calibri" w:cs="Times New Roman"/>
          <w:szCs w:val="24"/>
          <w:lang w:val="en-AU" w:bidi="ar-SA"/>
        </w:rPr>
        <w:t>1.55 t CO</w:t>
      </w:r>
      <w:r w:rsidRPr="00F82C8D">
        <w:rPr>
          <w:rFonts w:eastAsia="Calibri" w:cs="Times New Roman"/>
          <w:szCs w:val="24"/>
          <w:vertAlign w:val="subscript"/>
          <w:lang w:val="en-AU" w:bidi="ar-SA"/>
        </w:rPr>
        <w:t>2</w:t>
      </w:r>
      <w:r w:rsidRPr="00F82C8D">
        <w:rPr>
          <w:rFonts w:eastAsia="Calibri" w:cs="Times New Roman"/>
          <w:szCs w:val="24"/>
          <w:lang w:val="en-AU" w:bidi="ar-SA"/>
        </w:rPr>
        <w:t>-e/t silicon.</w:t>
      </w:r>
    </w:p>
    <w:p w:rsidR="00B774D0" w:rsidRPr="00F82C8D" w:rsidRDefault="00B774D0" w:rsidP="00B774D0">
      <w:pPr>
        <w:ind w:left="720"/>
        <w:contextualSpacing/>
        <w:rPr>
          <w:rFonts w:eastAsia="Calibri" w:cs="Times New Roman"/>
          <w:szCs w:val="24"/>
          <w:lang w:val="en-AU" w:bidi="ar-SA"/>
        </w:rPr>
      </w:pPr>
    </w:p>
    <w:p w:rsidR="00B774D0" w:rsidRPr="00F82C8D" w:rsidRDefault="00B774D0" w:rsidP="00B774D0">
      <w:pPr>
        <w:rPr>
          <w:rFonts w:eastAsia="Calibri" w:cs="Times New Roman"/>
          <w:szCs w:val="24"/>
          <w:lang w:val="en-AU" w:bidi="ar-SA"/>
        </w:rPr>
      </w:pPr>
      <w:r w:rsidRPr="00F82C8D">
        <w:rPr>
          <w:rFonts w:eastAsia="Calibri" w:cs="Times New Roman"/>
          <w:szCs w:val="24"/>
          <w:lang w:val="en-AU" w:bidi="ar-SA"/>
        </w:rPr>
        <w:t>On this basis the</w:t>
      </w:r>
      <w:r w:rsidR="007658FF" w:rsidRPr="00F82C8D">
        <w:rPr>
          <w:rFonts w:eastAsia="Calibri" w:cs="Times New Roman"/>
          <w:szCs w:val="24"/>
          <w:lang w:val="en-AU" w:bidi="ar-SA"/>
        </w:rPr>
        <w:t xml:space="preserve"> baseline emissions number for F</w:t>
      </w:r>
      <w:r w:rsidRPr="00F82C8D">
        <w:rPr>
          <w:rFonts w:eastAsia="Calibri" w:cs="Times New Roman"/>
          <w:szCs w:val="24"/>
          <w:lang w:val="en-AU" w:bidi="ar-SA"/>
        </w:rPr>
        <w:t xml:space="preserve">acility A under the production-adjusted baseline determination will be </w:t>
      </w:r>
      <w:r w:rsidRPr="00F82C8D">
        <w:rPr>
          <w:rFonts w:cs="Times New Roman"/>
          <w:szCs w:val="24"/>
        </w:rPr>
        <w:t>141,045</w:t>
      </w:r>
      <w:r w:rsidR="007B7A86" w:rsidRPr="00F82C8D">
        <w:rPr>
          <w:rFonts w:cs="Times New Roman"/>
          <w:szCs w:val="24"/>
        </w:rPr>
        <w:t xml:space="preserve"> t silicon</w:t>
      </w:r>
      <w:r w:rsidRPr="00F82C8D">
        <w:rPr>
          <w:rFonts w:cs="Times New Roman"/>
          <w:szCs w:val="24"/>
        </w:rPr>
        <w:t xml:space="preserve"> × 1.55</w:t>
      </w:r>
      <w:r w:rsidR="007B7A86" w:rsidRPr="00F82C8D">
        <w:rPr>
          <w:rFonts w:cs="Times New Roman"/>
          <w:szCs w:val="24"/>
        </w:rPr>
        <w:t xml:space="preserve"> </w:t>
      </w:r>
      <w:r w:rsidR="007B7A86" w:rsidRPr="00F82C8D">
        <w:rPr>
          <w:rFonts w:eastAsia="Calibri" w:cs="Times New Roman"/>
          <w:szCs w:val="24"/>
          <w:lang w:val="en-AU" w:bidi="ar-SA"/>
        </w:rPr>
        <w:t>t CO</w:t>
      </w:r>
      <w:r w:rsidR="007B7A86" w:rsidRPr="00F82C8D">
        <w:rPr>
          <w:rFonts w:eastAsia="Calibri" w:cs="Times New Roman"/>
          <w:szCs w:val="24"/>
          <w:vertAlign w:val="subscript"/>
          <w:lang w:val="en-AU" w:bidi="ar-SA"/>
        </w:rPr>
        <w:t>2</w:t>
      </w:r>
      <w:r w:rsidR="007B7A86" w:rsidRPr="00F82C8D">
        <w:rPr>
          <w:rFonts w:eastAsia="Calibri" w:cs="Times New Roman"/>
          <w:szCs w:val="24"/>
          <w:lang w:val="en-AU" w:bidi="ar-SA"/>
        </w:rPr>
        <w:t>-e/t silicon</w:t>
      </w:r>
      <w:r w:rsidRPr="00F82C8D">
        <w:rPr>
          <w:rFonts w:cs="Times New Roman"/>
          <w:szCs w:val="24"/>
        </w:rPr>
        <w:t xml:space="preserve"> = </w:t>
      </w:r>
      <w:r w:rsidRPr="00F82C8D">
        <w:rPr>
          <w:rFonts w:eastAsia="Calibri" w:cs="Times New Roman"/>
          <w:szCs w:val="24"/>
          <w:lang w:val="en-AU" w:bidi="ar-SA"/>
        </w:rPr>
        <w:t>218,620 t CO</w:t>
      </w:r>
      <w:r w:rsidRPr="00F82C8D">
        <w:rPr>
          <w:rFonts w:eastAsia="Calibri" w:cs="Times New Roman"/>
          <w:szCs w:val="24"/>
          <w:vertAlign w:val="subscript"/>
          <w:lang w:val="en-AU" w:bidi="ar-SA"/>
        </w:rPr>
        <w:t>2</w:t>
      </w:r>
      <w:r w:rsidRPr="00F82C8D">
        <w:rPr>
          <w:rFonts w:eastAsia="Calibri" w:cs="Times New Roman"/>
          <w:szCs w:val="24"/>
          <w:lang w:val="en-AU" w:bidi="ar-SA"/>
        </w:rPr>
        <w:t>-e (subsection 44(3)).</w:t>
      </w:r>
    </w:p>
    <w:p w:rsidR="00B774D0" w:rsidRPr="00F82C8D" w:rsidRDefault="00B774D0" w:rsidP="00B774D0">
      <w:pPr>
        <w:rPr>
          <w:rFonts w:eastAsia="Calibri" w:cs="Times New Roman"/>
          <w:szCs w:val="24"/>
          <w:lang w:val="en-AU" w:bidi="ar-SA"/>
        </w:rPr>
      </w:pPr>
      <w:r w:rsidRPr="00F82C8D">
        <w:rPr>
          <w:rFonts w:eastAsia="Calibri" w:cs="Times New Roman"/>
          <w:szCs w:val="24"/>
          <w:lang w:val="en-AU" w:bidi="ar-SA"/>
        </w:rPr>
        <w:t>Gil Co must submit its application to the Regulator after 1 July 2022 and no later than 31 October 2023 (subsection 40(3)). As part of its application Gil Co must provide an audit report, which assesses, among other things whether production figures are fairly stated and supported by historical data (</w:t>
      </w:r>
      <w:r w:rsidR="009E1535" w:rsidRPr="00F82C8D">
        <w:rPr>
          <w:rFonts w:eastAsia="Calibri" w:cs="Times New Roman"/>
          <w:szCs w:val="24"/>
          <w:lang w:val="en-AU" w:bidi="ar-SA"/>
        </w:rPr>
        <w:t>paragraph 40(2)(d) and section 42</w:t>
      </w:r>
      <w:r w:rsidRPr="00F82C8D">
        <w:rPr>
          <w:rFonts w:eastAsia="Calibri" w:cs="Times New Roman"/>
          <w:szCs w:val="24"/>
          <w:lang w:val="en-AU" w:bidi="ar-SA"/>
        </w:rPr>
        <w:t>).</w:t>
      </w:r>
      <w:r w:rsidR="00394E74" w:rsidRPr="00F82C8D">
        <w:rPr>
          <w:rFonts w:eastAsia="Calibri" w:cs="Times New Roman"/>
          <w:szCs w:val="24"/>
          <w:lang w:val="en-AU" w:bidi="ar-SA"/>
        </w:rPr>
        <w:t xml:space="preserve"> </w:t>
      </w:r>
      <w:r w:rsidRPr="00F82C8D">
        <w:rPr>
          <w:rFonts w:eastAsia="Calibri" w:cs="Times New Roman"/>
          <w:szCs w:val="24"/>
          <w:lang w:val="en-AU" w:bidi="ar-SA"/>
        </w:rPr>
        <w:t>The Regulator must be satisfied with the information provided in the application before making the determination (subsection 44(2)).</w:t>
      </w:r>
    </w:p>
    <w:p w:rsidR="00B774D0" w:rsidRPr="00F82C8D" w:rsidRDefault="001E363B" w:rsidP="001E363B">
      <w:pPr>
        <w:pStyle w:val="Caption"/>
      </w:pPr>
      <w:r w:rsidRPr="00F82C8D">
        <w:t xml:space="preserve">Table </w:t>
      </w:r>
      <w:r w:rsidR="00744D5E" w:rsidRPr="00F82C8D">
        <w:fldChar w:fldCharType="begin"/>
      </w:r>
      <w:r w:rsidR="007329DC" w:rsidRPr="00F82C8D">
        <w:instrText xml:space="preserve"> SEQ Table \* ARABIC </w:instrText>
      </w:r>
      <w:r w:rsidR="00744D5E" w:rsidRPr="00F82C8D">
        <w:fldChar w:fldCharType="separate"/>
      </w:r>
      <w:r w:rsidR="00F16B1F">
        <w:rPr>
          <w:noProof/>
        </w:rPr>
        <w:t>5</w:t>
      </w:r>
      <w:r w:rsidR="00744D5E" w:rsidRPr="00F82C8D">
        <w:fldChar w:fldCharType="end"/>
      </w:r>
      <w:r w:rsidR="009E1535" w:rsidRPr="00F82C8D">
        <w:t>—</w:t>
      </w:r>
      <w:r w:rsidR="00B774D0" w:rsidRPr="00F82C8D">
        <w:t>Key elements of a production-adjusted baseline determination</w:t>
      </w:r>
    </w:p>
    <w:tbl>
      <w:tblPr>
        <w:tblStyle w:val="TableGrid1"/>
        <w:tblW w:w="0" w:type="auto"/>
        <w:tblLook w:val="04A0"/>
      </w:tblPr>
      <w:tblGrid>
        <w:gridCol w:w="3261"/>
        <w:gridCol w:w="5873"/>
      </w:tblGrid>
      <w:tr w:rsidR="00B774D0" w:rsidRPr="00F82C8D" w:rsidTr="00F6082D">
        <w:tc>
          <w:tcPr>
            <w:tcW w:w="3261" w:type="dxa"/>
          </w:tcPr>
          <w:p w:rsidR="00B774D0" w:rsidRPr="00F82C8D" w:rsidRDefault="00B774D0" w:rsidP="00F6082D">
            <w:pPr>
              <w:spacing w:before="60" w:after="60"/>
              <w:jc w:val="center"/>
              <w:rPr>
                <w:rFonts w:ascii="Arial" w:hAnsi="Arial" w:cs="Arial"/>
                <w:b/>
                <w:sz w:val="20"/>
                <w:szCs w:val="20"/>
              </w:rPr>
            </w:pPr>
            <w:r w:rsidRPr="00F82C8D">
              <w:rPr>
                <w:rFonts w:ascii="Arial" w:hAnsi="Arial" w:cs="Arial"/>
                <w:b/>
                <w:sz w:val="20"/>
                <w:szCs w:val="20"/>
              </w:rPr>
              <w:t>Element</w:t>
            </w:r>
          </w:p>
        </w:tc>
        <w:tc>
          <w:tcPr>
            <w:tcW w:w="5873" w:type="dxa"/>
          </w:tcPr>
          <w:p w:rsidR="00B774D0" w:rsidRPr="00F82C8D" w:rsidRDefault="00B774D0" w:rsidP="00F6082D">
            <w:pPr>
              <w:spacing w:before="60" w:after="60"/>
              <w:jc w:val="center"/>
              <w:rPr>
                <w:rFonts w:ascii="Arial" w:hAnsi="Arial" w:cs="Arial"/>
                <w:b/>
                <w:sz w:val="20"/>
                <w:szCs w:val="20"/>
              </w:rPr>
            </w:pPr>
            <w:r w:rsidRPr="00F82C8D">
              <w:rPr>
                <w:rFonts w:ascii="Arial" w:hAnsi="Arial" w:cs="Arial"/>
                <w:b/>
                <w:sz w:val="20"/>
                <w:szCs w:val="20"/>
              </w:rPr>
              <w:t>Treatment and reference</w:t>
            </w:r>
          </w:p>
        </w:tc>
      </w:tr>
      <w:tr w:rsidR="00B774D0" w:rsidRPr="00F82C8D" w:rsidTr="00F6082D">
        <w:tc>
          <w:tcPr>
            <w:tcW w:w="3261"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Criteria</w:t>
            </w:r>
          </w:p>
          <w:p w:rsidR="00B774D0" w:rsidRPr="00F82C8D" w:rsidRDefault="00B774D0" w:rsidP="009E1535">
            <w:pPr>
              <w:spacing w:before="60" w:after="60"/>
              <w:rPr>
                <w:rFonts w:ascii="Arial" w:hAnsi="Arial" w:cs="Arial"/>
                <w:i/>
                <w:sz w:val="20"/>
                <w:szCs w:val="20"/>
              </w:rPr>
            </w:pPr>
            <w:r w:rsidRPr="00F82C8D">
              <w:rPr>
                <w:rFonts w:ascii="Arial" w:hAnsi="Arial" w:cs="Arial"/>
                <w:i/>
                <w:sz w:val="20"/>
                <w:szCs w:val="20"/>
              </w:rPr>
              <w:t>Production-adjusted baseline determination (significant expansion)</w:t>
            </w:r>
          </w:p>
        </w:tc>
        <w:tc>
          <w:tcPr>
            <w:tcW w:w="5873"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Relates to whether the facility has had a calculated-emissions baseline determination or has had, or could have been eligible for, a benchmark-emissions baseline determination (section 40).</w:t>
            </w:r>
          </w:p>
        </w:tc>
      </w:tr>
      <w:tr w:rsidR="00B774D0" w:rsidRPr="00F82C8D" w:rsidTr="00F6082D">
        <w:tc>
          <w:tcPr>
            <w:tcW w:w="3261"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Application deadline</w:t>
            </w:r>
          </w:p>
        </w:tc>
        <w:tc>
          <w:tcPr>
            <w:tcW w:w="5873"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Generally, no earlier than the requested start date of the determination and not later than 31 October after the end of the first financial year in which the production-adjusted baseline is to apply (section 40).</w:t>
            </w:r>
          </w:p>
        </w:tc>
      </w:tr>
      <w:tr w:rsidR="00B774D0" w:rsidRPr="00F82C8D" w:rsidTr="00F6082D">
        <w:tc>
          <w:tcPr>
            <w:tcW w:w="3261"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Application information</w:t>
            </w:r>
          </w:p>
        </w:tc>
        <w:tc>
          <w:tcPr>
            <w:tcW w:w="5873"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Relates to substantiating actual production level during the production assessment period (section 41).</w:t>
            </w:r>
          </w:p>
        </w:tc>
      </w:tr>
      <w:tr w:rsidR="00B774D0" w:rsidRPr="00F82C8D" w:rsidTr="00F6082D">
        <w:tc>
          <w:tcPr>
            <w:tcW w:w="3261"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Audit requirement</w:t>
            </w:r>
          </w:p>
        </w:tc>
        <w:tc>
          <w:tcPr>
            <w:tcW w:w="5873"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Yes. The audit must, among other things, ensure that the production information is supported by historical data (section 42).</w:t>
            </w:r>
          </w:p>
        </w:tc>
      </w:tr>
      <w:tr w:rsidR="00B774D0" w:rsidRPr="00F82C8D" w:rsidTr="00F6082D">
        <w:tc>
          <w:tcPr>
            <w:tcW w:w="3261"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Baseline emissions number</w:t>
            </w:r>
          </w:p>
        </w:tc>
        <w:tc>
          <w:tcPr>
            <w:tcW w:w="5873"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Generally based on production in the production assessment period multiplied by the expected emissions intensity (expressed in tonnes CO</w:t>
            </w:r>
            <w:r w:rsidRPr="00F82C8D">
              <w:rPr>
                <w:rFonts w:ascii="Arial" w:hAnsi="Arial" w:cs="Arial"/>
                <w:sz w:val="20"/>
                <w:szCs w:val="20"/>
                <w:vertAlign w:val="subscript"/>
              </w:rPr>
              <w:t>2</w:t>
            </w:r>
            <w:r w:rsidRPr="00F82C8D">
              <w:rPr>
                <w:rFonts w:ascii="Arial" w:hAnsi="Arial" w:cs="Arial"/>
                <w:sz w:val="20"/>
                <w:szCs w:val="20"/>
              </w:rPr>
              <w:t>-e per unit of the production variable). Separate calculations apply if the determination is to commence after a benchmark-emissions baseline determination (section 44).</w:t>
            </w:r>
          </w:p>
        </w:tc>
      </w:tr>
      <w:tr w:rsidR="00B774D0" w:rsidRPr="00F82C8D" w:rsidTr="00F6082D">
        <w:tc>
          <w:tcPr>
            <w:tcW w:w="3261"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Commencement</w:t>
            </w:r>
          </w:p>
        </w:tc>
        <w:tc>
          <w:tcPr>
            <w:tcW w:w="5873"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Generally on 1 July in the financial year requested in the application.</w:t>
            </w:r>
            <w:r w:rsidR="00394E74" w:rsidRPr="00F82C8D">
              <w:rPr>
                <w:rFonts w:ascii="Arial" w:hAnsi="Arial" w:cs="Arial"/>
                <w:sz w:val="20"/>
                <w:szCs w:val="20"/>
              </w:rPr>
              <w:t xml:space="preserve"> </w:t>
            </w:r>
            <w:r w:rsidRPr="00F82C8D">
              <w:rPr>
                <w:rFonts w:ascii="Arial" w:hAnsi="Arial" w:cs="Arial"/>
                <w:sz w:val="20"/>
                <w:szCs w:val="20"/>
              </w:rPr>
              <w:t>A later date is applied where the determination is made after the end of the financial year requested in the application (section 45).</w:t>
            </w:r>
          </w:p>
        </w:tc>
      </w:tr>
      <w:tr w:rsidR="00B774D0" w:rsidRPr="00F82C8D" w:rsidTr="00F6082D">
        <w:tc>
          <w:tcPr>
            <w:tcW w:w="3261"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Expiry</w:t>
            </w:r>
          </w:p>
        </w:tc>
        <w:tc>
          <w:tcPr>
            <w:tcW w:w="5873" w:type="dxa"/>
          </w:tcPr>
          <w:p w:rsidR="00B774D0" w:rsidRPr="00F82C8D" w:rsidRDefault="00B774D0" w:rsidP="009E1535">
            <w:pPr>
              <w:spacing w:before="60" w:after="60"/>
              <w:rPr>
                <w:rFonts w:ascii="Arial" w:hAnsi="Arial" w:cs="Arial"/>
                <w:sz w:val="20"/>
                <w:szCs w:val="20"/>
              </w:rPr>
            </w:pPr>
            <w:r w:rsidRPr="00F82C8D">
              <w:rPr>
                <w:rFonts w:ascii="Arial" w:hAnsi="Arial" w:cs="Arial"/>
                <w:sz w:val="20"/>
                <w:szCs w:val="20"/>
              </w:rPr>
              <w:t>This determination continues to be in force until it is replaced by another determination (section 45).</w:t>
            </w:r>
          </w:p>
        </w:tc>
      </w:tr>
    </w:tbl>
    <w:p w:rsidR="00B774D0" w:rsidRPr="00F82C8D" w:rsidRDefault="00B774D0" w:rsidP="00B774D0">
      <w:pPr>
        <w:rPr>
          <w:rFonts w:ascii="Calibri" w:eastAsia="Calibri" w:hAnsi="Calibri" w:cs="Times New Roman"/>
          <w:lang w:val="en-AU" w:bidi="ar-SA"/>
        </w:rPr>
      </w:pPr>
    </w:p>
    <w:p w:rsidR="00B774D0" w:rsidRPr="00F82C8D" w:rsidRDefault="00B774D0" w:rsidP="00CE657F">
      <w:pPr>
        <w:pStyle w:val="Heading3"/>
        <w:rPr>
          <w:rFonts w:eastAsia="Times New Roman"/>
          <w:lang w:bidi="ar-SA"/>
        </w:rPr>
      </w:pPr>
      <w:r w:rsidRPr="00F82C8D">
        <w:rPr>
          <w:rFonts w:eastAsia="Times New Roman"/>
          <w:lang w:bidi="ar-SA"/>
        </w:rPr>
        <w:t>Summary</w:t>
      </w:r>
    </w:p>
    <w:p w:rsidR="00B774D0" w:rsidRPr="00F82C8D" w:rsidRDefault="00744D5E" w:rsidP="00B774D0">
      <w:pPr>
        <w:rPr>
          <w:rFonts w:eastAsia="Calibri" w:cs="Times New Roman"/>
          <w:lang w:val="en-AU" w:bidi="ar-SA"/>
        </w:rPr>
      </w:pPr>
      <w:fldSimple w:instr=" REF _Ref427924054 \h  \* MERGEFORMAT ">
        <w:r w:rsidR="00F16B1F" w:rsidRPr="00F16B1F">
          <w:rPr>
            <w:rFonts w:eastAsia="Calibri" w:cs="Times New Roman"/>
            <w:szCs w:val="24"/>
            <w:lang w:val="en-AU" w:bidi="ar-SA"/>
          </w:rPr>
          <w:t xml:space="preserve">Figure </w:t>
        </w:r>
        <w:r w:rsidR="00F16B1F" w:rsidRPr="00F16B1F">
          <w:rPr>
            <w:rFonts w:eastAsia="Calibri" w:cs="Times New Roman"/>
            <w:noProof/>
            <w:szCs w:val="24"/>
            <w:lang w:val="en-AU" w:bidi="ar-SA"/>
          </w:rPr>
          <w:t>9</w:t>
        </w:r>
      </w:fldSimple>
      <w:r w:rsidR="009E1535" w:rsidRPr="00F82C8D">
        <w:rPr>
          <w:rFonts w:eastAsia="Calibri" w:cs="Times New Roman"/>
          <w:szCs w:val="24"/>
          <w:lang w:val="en-AU" w:bidi="ar-SA"/>
        </w:rPr>
        <w:t xml:space="preserve"> </w:t>
      </w:r>
      <w:r w:rsidR="00B774D0" w:rsidRPr="00F82C8D">
        <w:rPr>
          <w:rFonts w:eastAsia="Calibri" w:cs="Times New Roman"/>
          <w:szCs w:val="24"/>
          <w:lang w:val="en-AU" w:bidi="ar-SA"/>
        </w:rPr>
        <w:t>shows Facility A’s covered emissions and baselines over the period 2009-10 to</w:t>
      </w:r>
      <w:r w:rsidR="00B774D0" w:rsidRPr="00F82C8D">
        <w:rPr>
          <w:rFonts w:eastAsia="Calibri" w:cs="Times New Roman"/>
          <w:lang w:val="en-AU" w:bidi="ar-SA"/>
        </w:rPr>
        <w:t xml:space="preserve"> 2028-29, highlighting the years covered by each of the various types of baseline determinations and the changes to the baseline emissions number over the period. </w:t>
      </w:r>
    </w:p>
    <w:p w:rsidR="00DA7589" w:rsidRPr="00F82C8D" w:rsidRDefault="00DA7589" w:rsidP="00DA7589">
      <w:pPr>
        <w:pStyle w:val="Caption"/>
        <w:rPr>
          <w:rFonts w:eastAsia="Calibri"/>
          <w:lang w:bidi="ar-SA"/>
        </w:rPr>
      </w:pPr>
      <w:bookmarkStart w:id="168" w:name="_Ref427924054"/>
      <w:r w:rsidRPr="00F82C8D">
        <w:rPr>
          <w:rFonts w:eastAsia="Calibri"/>
          <w:lang w:val="en-AU" w:bidi="ar-SA"/>
        </w:rPr>
        <w:t xml:space="preserve">Figure </w:t>
      </w:r>
      <w:r w:rsidR="00744D5E" w:rsidRPr="00F82C8D">
        <w:rPr>
          <w:rFonts w:eastAsia="Calibri"/>
          <w:lang w:val="en-AU" w:bidi="ar-SA"/>
        </w:rPr>
        <w:fldChar w:fldCharType="begin"/>
      </w:r>
      <w:r w:rsidRPr="00F82C8D">
        <w:rPr>
          <w:rFonts w:eastAsia="Calibri"/>
          <w:lang w:val="en-AU" w:bidi="ar-SA"/>
        </w:rPr>
        <w:instrText xml:space="preserve"> SEQ Figure \* ARABIC </w:instrText>
      </w:r>
      <w:r w:rsidR="00744D5E" w:rsidRPr="00F82C8D">
        <w:rPr>
          <w:rFonts w:eastAsia="Calibri"/>
          <w:lang w:val="en-AU" w:bidi="ar-SA"/>
        </w:rPr>
        <w:fldChar w:fldCharType="separate"/>
      </w:r>
      <w:r w:rsidR="00F16B1F">
        <w:rPr>
          <w:rFonts w:eastAsia="Calibri"/>
          <w:noProof/>
          <w:lang w:val="en-AU" w:bidi="ar-SA"/>
        </w:rPr>
        <w:t>9</w:t>
      </w:r>
      <w:r w:rsidR="00744D5E" w:rsidRPr="00F82C8D">
        <w:rPr>
          <w:rFonts w:eastAsia="Calibri"/>
          <w:noProof/>
          <w:lang w:val="en-AU" w:bidi="ar-SA"/>
        </w:rPr>
        <w:fldChar w:fldCharType="end"/>
      </w:r>
      <w:bookmarkEnd w:id="168"/>
      <w:r w:rsidRPr="00F82C8D">
        <w:rPr>
          <w:rFonts w:eastAsia="Calibri"/>
          <w:lang w:val="en-AU" w:bidi="ar-SA"/>
        </w:rPr>
        <w:t>—</w:t>
      </w:r>
      <w:r w:rsidRPr="00F82C8D">
        <w:rPr>
          <w:rFonts w:eastAsia="Calibri"/>
          <w:lang w:bidi="ar-SA"/>
        </w:rPr>
        <w:t>Covered emissions and baseline emissions number</w:t>
      </w:r>
    </w:p>
    <w:p w:rsidR="00B774D0" w:rsidRPr="00F82C8D" w:rsidRDefault="00DA7589" w:rsidP="00DA7589">
      <w:pPr>
        <w:rPr>
          <w:rFonts w:eastAsia="Calibri" w:cs="Times New Roman"/>
          <w:lang w:val="en-AU" w:bidi="ar-SA"/>
        </w:rPr>
      </w:pPr>
      <w:r w:rsidRPr="00F82C8D">
        <w:rPr>
          <w:rFonts w:eastAsia="Calibri" w:cs="Times New Roman"/>
          <w:noProof/>
          <w:lang w:val="en-AU" w:eastAsia="en-AU" w:bidi="ar-SA"/>
        </w:rPr>
        <w:drawing>
          <wp:inline distT="0" distB="0" distL="0" distR="0">
            <wp:extent cx="5499100" cy="3749675"/>
            <wp:effectExtent l="19050" t="0" r="635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 cstate="print"/>
                    <a:srcRect/>
                    <a:stretch>
                      <a:fillRect/>
                    </a:stretch>
                  </pic:blipFill>
                  <pic:spPr bwMode="auto">
                    <a:xfrm>
                      <a:off x="0" y="0"/>
                      <a:ext cx="5499100" cy="3749675"/>
                    </a:xfrm>
                    <a:prstGeom prst="rect">
                      <a:avLst/>
                    </a:prstGeom>
                    <a:noFill/>
                  </pic:spPr>
                </pic:pic>
              </a:graphicData>
            </a:graphic>
          </wp:inline>
        </w:drawing>
      </w:r>
    </w:p>
    <w:tbl>
      <w:tblPr>
        <w:tblStyle w:val="TableGrid1"/>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
        <w:gridCol w:w="5954"/>
      </w:tblGrid>
      <w:tr w:rsidR="00B774D0" w:rsidRPr="00F82C8D" w:rsidTr="005533CE">
        <w:tc>
          <w:tcPr>
            <w:tcW w:w="250" w:type="dxa"/>
            <w:shd w:val="clear" w:color="auto" w:fill="C0504D"/>
          </w:tcPr>
          <w:p w:rsidR="00B774D0" w:rsidRPr="00F82C8D" w:rsidRDefault="00B774D0" w:rsidP="00464595">
            <w:pPr>
              <w:spacing w:before="0"/>
              <w:rPr>
                <w:rFonts w:ascii="Calibri" w:hAnsi="Calibri" w:cs="Times New Roman"/>
                <w:sz w:val="18"/>
              </w:rPr>
            </w:pPr>
          </w:p>
        </w:tc>
        <w:tc>
          <w:tcPr>
            <w:tcW w:w="5954" w:type="dxa"/>
          </w:tcPr>
          <w:p w:rsidR="00B774D0" w:rsidRPr="00F82C8D" w:rsidRDefault="00B774D0" w:rsidP="00464595">
            <w:pPr>
              <w:spacing w:before="0"/>
              <w:rPr>
                <w:rFonts w:ascii="Calibri" w:hAnsi="Calibri" w:cs="Times New Roman"/>
                <w:sz w:val="18"/>
              </w:rPr>
            </w:pPr>
            <w:r w:rsidRPr="00F82C8D">
              <w:rPr>
                <w:rFonts w:ascii="Calibri" w:hAnsi="Calibri" w:cs="Times New Roman"/>
                <w:sz w:val="18"/>
              </w:rPr>
              <w:t>Highest reported emissions in baseline period</w:t>
            </w:r>
          </w:p>
        </w:tc>
      </w:tr>
      <w:tr w:rsidR="00B774D0" w:rsidRPr="00F82C8D" w:rsidTr="005533CE">
        <w:trPr>
          <w:trHeight w:val="83"/>
        </w:trPr>
        <w:tc>
          <w:tcPr>
            <w:tcW w:w="250" w:type="dxa"/>
          </w:tcPr>
          <w:p w:rsidR="00B774D0" w:rsidRPr="00F82C8D" w:rsidRDefault="00B774D0" w:rsidP="00464595">
            <w:pPr>
              <w:spacing w:before="0"/>
              <w:rPr>
                <w:rFonts w:ascii="Calibri" w:hAnsi="Calibri" w:cs="Times New Roman"/>
                <w:sz w:val="18"/>
              </w:rPr>
            </w:pPr>
          </w:p>
        </w:tc>
        <w:tc>
          <w:tcPr>
            <w:tcW w:w="5954" w:type="dxa"/>
          </w:tcPr>
          <w:p w:rsidR="00B774D0" w:rsidRPr="00F82C8D" w:rsidRDefault="00B774D0" w:rsidP="00464595">
            <w:pPr>
              <w:spacing w:before="0"/>
              <w:rPr>
                <w:rFonts w:ascii="Calibri" w:hAnsi="Calibri" w:cs="Times New Roman"/>
                <w:sz w:val="10"/>
              </w:rPr>
            </w:pPr>
          </w:p>
        </w:tc>
      </w:tr>
      <w:tr w:rsidR="00B774D0" w:rsidRPr="00F82C8D" w:rsidTr="005533CE">
        <w:tc>
          <w:tcPr>
            <w:tcW w:w="250" w:type="dxa"/>
            <w:shd w:val="clear" w:color="auto" w:fill="F79646"/>
          </w:tcPr>
          <w:p w:rsidR="00B774D0" w:rsidRPr="00F82C8D" w:rsidRDefault="00B774D0" w:rsidP="00464595">
            <w:pPr>
              <w:spacing w:before="0"/>
              <w:rPr>
                <w:rFonts w:ascii="Calibri" w:hAnsi="Calibri" w:cs="Times New Roman"/>
                <w:sz w:val="18"/>
              </w:rPr>
            </w:pPr>
          </w:p>
        </w:tc>
        <w:tc>
          <w:tcPr>
            <w:tcW w:w="5954" w:type="dxa"/>
          </w:tcPr>
          <w:p w:rsidR="00B774D0" w:rsidRPr="00F82C8D" w:rsidRDefault="00B774D0" w:rsidP="00464595">
            <w:pPr>
              <w:spacing w:before="0"/>
              <w:rPr>
                <w:rFonts w:ascii="Calibri" w:hAnsi="Calibri" w:cs="Times New Roman"/>
                <w:sz w:val="18"/>
              </w:rPr>
            </w:pPr>
            <w:r w:rsidRPr="00F82C8D">
              <w:rPr>
                <w:rFonts w:ascii="Calibri" w:hAnsi="Calibri" w:cs="Times New Roman"/>
                <w:sz w:val="18"/>
              </w:rPr>
              <w:t>Years covered by reported-emissions baseline determinations</w:t>
            </w:r>
          </w:p>
        </w:tc>
      </w:tr>
      <w:tr w:rsidR="00B774D0" w:rsidRPr="00F82C8D" w:rsidTr="005533CE">
        <w:trPr>
          <w:trHeight w:val="83"/>
        </w:trPr>
        <w:tc>
          <w:tcPr>
            <w:tcW w:w="250" w:type="dxa"/>
          </w:tcPr>
          <w:p w:rsidR="00B774D0" w:rsidRPr="00F82C8D" w:rsidRDefault="00B774D0" w:rsidP="00464595">
            <w:pPr>
              <w:spacing w:before="0"/>
              <w:rPr>
                <w:rFonts w:ascii="Calibri" w:hAnsi="Calibri" w:cs="Times New Roman"/>
                <w:sz w:val="18"/>
              </w:rPr>
            </w:pPr>
          </w:p>
        </w:tc>
        <w:tc>
          <w:tcPr>
            <w:tcW w:w="5954" w:type="dxa"/>
          </w:tcPr>
          <w:p w:rsidR="00B774D0" w:rsidRPr="00F82C8D" w:rsidRDefault="00B774D0" w:rsidP="00464595">
            <w:pPr>
              <w:spacing w:before="0"/>
              <w:rPr>
                <w:rFonts w:ascii="Calibri" w:hAnsi="Calibri" w:cs="Times New Roman"/>
                <w:sz w:val="12"/>
              </w:rPr>
            </w:pPr>
          </w:p>
        </w:tc>
      </w:tr>
      <w:tr w:rsidR="00B774D0" w:rsidRPr="00F82C8D" w:rsidTr="005533CE">
        <w:tc>
          <w:tcPr>
            <w:tcW w:w="250" w:type="dxa"/>
            <w:shd w:val="clear" w:color="auto" w:fill="9BBB59"/>
          </w:tcPr>
          <w:p w:rsidR="00B774D0" w:rsidRPr="00F82C8D" w:rsidRDefault="00B774D0" w:rsidP="00464595">
            <w:pPr>
              <w:spacing w:before="0"/>
              <w:rPr>
                <w:rFonts w:ascii="Calibri" w:hAnsi="Calibri" w:cs="Times New Roman"/>
                <w:sz w:val="18"/>
              </w:rPr>
            </w:pPr>
          </w:p>
        </w:tc>
        <w:tc>
          <w:tcPr>
            <w:tcW w:w="5954" w:type="dxa"/>
          </w:tcPr>
          <w:p w:rsidR="00B774D0" w:rsidRPr="00F82C8D" w:rsidRDefault="00B774D0" w:rsidP="00464595">
            <w:pPr>
              <w:spacing w:before="0"/>
              <w:rPr>
                <w:rFonts w:ascii="Calibri" w:hAnsi="Calibri" w:cs="Times New Roman"/>
                <w:sz w:val="18"/>
              </w:rPr>
            </w:pPr>
            <w:r w:rsidRPr="00F82C8D">
              <w:rPr>
                <w:rFonts w:ascii="Calibri" w:hAnsi="Calibri" w:cs="Times New Roman"/>
                <w:sz w:val="18"/>
              </w:rPr>
              <w:t>Years covered by calculated-emissions baseline determinations</w:t>
            </w:r>
          </w:p>
        </w:tc>
      </w:tr>
      <w:tr w:rsidR="00B774D0" w:rsidRPr="00F82C8D" w:rsidTr="005533CE">
        <w:trPr>
          <w:trHeight w:val="83"/>
        </w:trPr>
        <w:tc>
          <w:tcPr>
            <w:tcW w:w="250" w:type="dxa"/>
          </w:tcPr>
          <w:p w:rsidR="00B774D0" w:rsidRPr="00F82C8D" w:rsidRDefault="00B774D0" w:rsidP="00464595">
            <w:pPr>
              <w:spacing w:before="0"/>
              <w:rPr>
                <w:rFonts w:ascii="Calibri" w:hAnsi="Calibri" w:cs="Times New Roman"/>
                <w:sz w:val="18"/>
              </w:rPr>
            </w:pPr>
          </w:p>
        </w:tc>
        <w:tc>
          <w:tcPr>
            <w:tcW w:w="5954" w:type="dxa"/>
          </w:tcPr>
          <w:p w:rsidR="00B774D0" w:rsidRPr="00F82C8D" w:rsidRDefault="00B774D0" w:rsidP="00464595">
            <w:pPr>
              <w:spacing w:before="0"/>
              <w:rPr>
                <w:rFonts w:ascii="Calibri" w:hAnsi="Calibri" w:cs="Times New Roman"/>
                <w:sz w:val="14"/>
              </w:rPr>
            </w:pPr>
          </w:p>
        </w:tc>
      </w:tr>
      <w:tr w:rsidR="00B774D0" w:rsidRPr="00F82C8D" w:rsidTr="005533CE">
        <w:tc>
          <w:tcPr>
            <w:tcW w:w="250" w:type="dxa"/>
            <w:shd w:val="clear" w:color="auto" w:fill="8064A2"/>
          </w:tcPr>
          <w:p w:rsidR="00B774D0" w:rsidRPr="00F82C8D" w:rsidRDefault="00B774D0" w:rsidP="00464595">
            <w:pPr>
              <w:spacing w:before="0"/>
              <w:rPr>
                <w:rFonts w:ascii="Calibri" w:hAnsi="Calibri" w:cs="Times New Roman"/>
                <w:sz w:val="18"/>
              </w:rPr>
            </w:pPr>
          </w:p>
        </w:tc>
        <w:tc>
          <w:tcPr>
            <w:tcW w:w="5954" w:type="dxa"/>
          </w:tcPr>
          <w:p w:rsidR="00B774D0" w:rsidRPr="00F82C8D" w:rsidRDefault="00B774D0" w:rsidP="00464595">
            <w:pPr>
              <w:spacing w:before="0"/>
              <w:rPr>
                <w:rFonts w:ascii="Calibri" w:hAnsi="Calibri" w:cs="Times New Roman"/>
                <w:sz w:val="18"/>
              </w:rPr>
            </w:pPr>
            <w:r w:rsidRPr="00F82C8D">
              <w:rPr>
                <w:rFonts w:ascii="Calibri" w:hAnsi="Calibri" w:cs="Times New Roman"/>
                <w:sz w:val="18"/>
              </w:rPr>
              <w:t>Years covered by production-adjusted baseline determinations</w:t>
            </w:r>
          </w:p>
        </w:tc>
      </w:tr>
      <w:tr w:rsidR="00B774D0" w:rsidRPr="00F82C8D" w:rsidTr="005533CE">
        <w:trPr>
          <w:trHeight w:val="83"/>
        </w:trPr>
        <w:tc>
          <w:tcPr>
            <w:tcW w:w="250" w:type="dxa"/>
          </w:tcPr>
          <w:p w:rsidR="00B774D0" w:rsidRPr="00F82C8D" w:rsidRDefault="00B774D0" w:rsidP="00464595">
            <w:pPr>
              <w:spacing w:before="0"/>
              <w:rPr>
                <w:rFonts w:ascii="Calibri" w:hAnsi="Calibri" w:cs="Times New Roman"/>
                <w:sz w:val="18"/>
              </w:rPr>
            </w:pPr>
          </w:p>
        </w:tc>
        <w:tc>
          <w:tcPr>
            <w:tcW w:w="5954" w:type="dxa"/>
          </w:tcPr>
          <w:p w:rsidR="00B774D0" w:rsidRPr="00F82C8D" w:rsidRDefault="00B774D0" w:rsidP="00464595">
            <w:pPr>
              <w:spacing w:before="0"/>
              <w:rPr>
                <w:rFonts w:ascii="Calibri" w:hAnsi="Calibri" w:cs="Times New Roman"/>
                <w:sz w:val="18"/>
              </w:rPr>
            </w:pPr>
          </w:p>
        </w:tc>
      </w:tr>
      <w:tr w:rsidR="00B774D0" w:rsidRPr="00F82C8D" w:rsidTr="005533CE">
        <w:tc>
          <w:tcPr>
            <w:tcW w:w="250" w:type="dxa"/>
            <w:shd w:val="clear" w:color="auto" w:fill="4F81BD"/>
          </w:tcPr>
          <w:p w:rsidR="00B774D0" w:rsidRPr="00F82C8D" w:rsidRDefault="00B774D0" w:rsidP="00464595">
            <w:pPr>
              <w:spacing w:before="0"/>
              <w:rPr>
                <w:rFonts w:ascii="Calibri" w:hAnsi="Calibri" w:cs="Times New Roman"/>
                <w:sz w:val="18"/>
              </w:rPr>
            </w:pPr>
          </w:p>
        </w:tc>
        <w:tc>
          <w:tcPr>
            <w:tcW w:w="5954" w:type="dxa"/>
          </w:tcPr>
          <w:p w:rsidR="00B774D0" w:rsidRPr="00F82C8D" w:rsidRDefault="00B774D0" w:rsidP="00464595">
            <w:pPr>
              <w:spacing w:before="0"/>
              <w:rPr>
                <w:rFonts w:ascii="Calibri" w:hAnsi="Calibri" w:cs="Times New Roman"/>
                <w:sz w:val="18"/>
              </w:rPr>
            </w:pPr>
            <w:r w:rsidRPr="00F82C8D">
              <w:rPr>
                <w:rFonts w:ascii="Calibri" w:hAnsi="Calibri" w:cs="Times New Roman"/>
                <w:sz w:val="18"/>
              </w:rPr>
              <w:t>Years not covered by the safeguard</w:t>
            </w:r>
          </w:p>
        </w:tc>
      </w:tr>
    </w:tbl>
    <w:p w:rsidR="00B774D0" w:rsidRPr="00F82C8D" w:rsidRDefault="00B774D0" w:rsidP="00464595">
      <w:pPr>
        <w:keepNext/>
        <w:spacing w:before="0" w:line="240" w:lineRule="auto"/>
        <w:jc w:val="center"/>
        <w:rPr>
          <w:rFonts w:ascii="Calibri" w:eastAsia="Calibri" w:hAnsi="Calibri" w:cs="Times New Roman"/>
          <w:b/>
          <w:bCs/>
          <w:color w:val="4F81BD"/>
          <w:sz w:val="18"/>
          <w:szCs w:val="18"/>
          <w:lang w:val="en-AU" w:bidi="ar-SA"/>
        </w:rPr>
      </w:pPr>
    </w:p>
    <w:p w:rsidR="00B774D0" w:rsidRPr="00F82C8D" w:rsidRDefault="00B774D0" w:rsidP="00B774D0">
      <w:pPr>
        <w:pStyle w:val="Heading3"/>
        <w:keepLines/>
        <w:spacing w:after="0" w:line="276" w:lineRule="auto"/>
        <w:rPr>
          <w:rStyle w:val="Heading2Char"/>
          <w:b/>
          <w:i w:val="0"/>
          <w:lang w:val="en-US"/>
        </w:rPr>
      </w:pPr>
      <w:bookmarkStart w:id="169" w:name="_Toc428260167"/>
      <w:bookmarkStart w:id="170" w:name="_Toc428868047"/>
      <w:bookmarkStart w:id="171" w:name="_Toc428869953"/>
      <w:bookmarkStart w:id="172" w:name="_Toc431293018"/>
      <w:bookmarkStart w:id="173" w:name="_Toc431293223"/>
      <w:bookmarkStart w:id="174" w:name="_Toc431973939"/>
      <w:bookmarkStart w:id="175" w:name="_Toc431975866"/>
      <w:r w:rsidRPr="00F82C8D">
        <w:rPr>
          <w:rStyle w:val="Heading2Char"/>
          <w:b/>
          <w:i w:val="0"/>
          <w:lang w:val="en-US"/>
        </w:rPr>
        <w:t>Example scenario for Pear Co</w:t>
      </w:r>
      <w:bookmarkEnd w:id="169"/>
      <w:bookmarkEnd w:id="170"/>
      <w:bookmarkEnd w:id="171"/>
      <w:bookmarkEnd w:id="172"/>
      <w:bookmarkEnd w:id="173"/>
      <w:bookmarkEnd w:id="174"/>
      <w:bookmarkEnd w:id="175"/>
    </w:p>
    <w:p w:rsidR="00B774D0" w:rsidRPr="00F82C8D" w:rsidRDefault="00B774D0" w:rsidP="00B774D0">
      <w:pPr>
        <w:pStyle w:val="Heading3"/>
        <w:keepLines/>
        <w:spacing w:after="0" w:line="276" w:lineRule="auto"/>
      </w:pPr>
      <w:r w:rsidRPr="00F82C8D">
        <w:t xml:space="preserve">Reported-emissions baseline setting for a transport facility that elects to report on a national basis </w:t>
      </w:r>
    </w:p>
    <w:p w:rsidR="00B774D0" w:rsidRPr="00F82C8D" w:rsidRDefault="00B774D0" w:rsidP="001E363B">
      <w:r w:rsidRPr="00F82C8D">
        <w:t xml:space="preserve">A corporation (Pear Co) provides a coach service that transports passengers within and between mainland Australian states. For the purpose of reporting under the Act, it operates </w:t>
      </w:r>
      <w:r w:rsidRPr="00F82C8D">
        <w:rPr>
          <w:i/>
        </w:rPr>
        <w:t>road passenger transport facilities</w:t>
      </w:r>
      <w:r w:rsidRPr="00F82C8D">
        <w:t xml:space="preserve"> that are defined for each of </w:t>
      </w:r>
      <w:r w:rsidR="007224C2" w:rsidRPr="00F82C8D">
        <w:t>these</w:t>
      </w:r>
      <w:r w:rsidRPr="00F82C8D">
        <w:t xml:space="preserve"> five </w:t>
      </w:r>
      <w:r w:rsidR="007224C2" w:rsidRPr="00F82C8D">
        <w:t>states: NSW, QLD, SA, VIC and WA</w:t>
      </w:r>
      <w:r w:rsidRPr="00F82C8D">
        <w:t>.</w:t>
      </w:r>
      <w:r w:rsidR="00394E74" w:rsidRPr="00F82C8D">
        <w:t xml:space="preserve"> </w:t>
      </w:r>
      <w:r w:rsidRPr="00F82C8D">
        <w:t>Pear Co is identified as the responsible emitter for each of these facilities.</w:t>
      </w:r>
    </w:p>
    <w:p w:rsidR="00B774D0" w:rsidRPr="00F82C8D" w:rsidRDefault="00B774D0" w:rsidP="001E363B">
      <w:r w:rsidRPr="00F82C8D">
        <w:t xml:space="preserve">Pear Co would like to opt-in to define its facilities on a national basis from 1 July 2016, which is enabled by the proposed amendments to the </w:t>
      </w:r>
      <w:r w:rsidR="009E1535" w:rsidRPr="00F82C8D">
        <w:t>NGER Regulations</w:t>
      </w:r>
      <w:r w:rsidRPr="00F82C8D">
        <w:t xml:space="preserve"> (proposed subregulation 2.19A). </w:t>
      </w:r>
    </w:p>
    <w:p w:rsidR="00B774D0" w:rsidRPr="00F82C8D" w:rsidRDefault="00B774D0" w:rsidP="001E363B">
      <w:r w:rsidRPr="00F82C8D">
        <w:t>Pear Co’s state facilities have reported under the Act for different lengths of time:</w:t>
      </w:r>
    </w:p>
    <w:p w:rsidR="00B774D0" w:rsidRPr="00F82C8D" w:rsidRDefault="00B774D0" w:rsidP="00464595">
      <w:pPr>
        <w:pStyle w:val="ListParagraph"/>
        <w:numPr>
          <w:ilvl w:val="0"/>
          <w:numId w:val="32"/>
        </w:numPr>
        <w:spacing w:before="0"/>
        <w:contextualSpacing/>
      </w:pPr>
      <w:r w:rsidRPr="00F82C8D">
        <w:t>the NSW, QLD and VIC transport facilities have reported for al</w:t>
      </w:r>
      <w:r w:rsidR="00B542F6" w:rsidRPr="00F82C8D">
        <w:t>l financial years since 2008-09</w:t>
      </w:r>
    </w:p>
    <w:p w:rsidR="00B774D0" w:rsidRPr="00F82C8D" w:rsidRDefault="00B774D0" w:rsidP="00464595">
      <w:pPr>
        <w:pStyle w:val="ListParagraph"/>
        <w:numPr>
          <w:ilvl w:val="0"/>
          <w:numId w:val="32"/>
        </w:numPr>
        <w:spacing w:before="0"/>
        <w:contextualSpacing/>
      </w:pPr>
      <w:r w:rsidRPr="00F82C8D">
        <w:t>the SA transport facility has reported each fi</w:t>
      </w:r>
      <w:r w:rsidR="00B542F6" w:rsidRPr="00F82C8D">
        <w:t>nancial year since 2010-11</w:t>
      </w:r>
    </w:p>
    <w:p w:rsidR="00B774D0" w:rsidRPr="00F82C8D" w:rsidRDefault="00B774D0" w:rsidP="00464595">
      <w:pPr>
        <w:pStyle w:val="ListParagraph"/>
        <w:numPr>
          <w:ilvl w:val="0"/>
          <w:numId w:val="32"/>
        </w:numPr>
        <w:spacing w:before="0"/>
        <w:contextualSpacing/>
      </w:pPr>
      <w:r w:rsidRPr="00F82C8D">
        <w:t xml:space="preserve">the WA facility has only reported since 2011-12. </w:t>
      </w:r>
    </w:p>
    <w:p w:rsidR="00B774D0" w:rsidRPr="00F82C8D" w:rsidRDefault="00B774D0" w:rsidP="00D10671">
      <w:r w:rsidRPr="00F82C8D">
        <w:t>The VIC facility has had covered emissions that are consistently above 100,000 t CO</w:t>
      </w:r>
      <w:r w:rsidRPr="00F82C8D">
        <w:rPr>
          <w:vertAlign w:val="subscript"/>
        </w:rPr>
        <w:t>2</w:t>
      </w:r>
      <w:r w:rsidRPr="00F82C8D">
        <w:t>-e. The QLD and NSW facilities have reported covered emissions above 100,000 t CO</w:t>
      </w:r>
      <w:r w:rsidRPr="00F82C8D">
        <w:rPr>
          <w:vertAlign w:val="subscript"/>
        </w:rPr>
        <w:t>2</w:t>
      </w:r>
      <w:r w:rsidRPr="00F82C8D">
        <w:t xml:space="preserve">-e for a number of financial years. </w:t>
      </w:r>
    </w:p>
    <w:p w:rsidR="00B774D0" w:rsidRPr="00F82C8D" w:rsidRDefault="00744D5E" w:rsidP="00D10671">
      <w:fldSimple w:instr=" REF _Ref427925053 \h  \* MERGEFORMAT ">
        <w:r w:rsidR="00F16B1F" w:rsidRPr="00F82C8D">
          <w:t xml:space="preserve">Table </w:t>
        </w:r>
        <w:r w:rsidR="00F16B1F">
          <w:rPr>
            <w:noProof/>
          </w:rPr>
          <w:t>6</w:t>
        </w:r>
      </w:fldSimple>
      <w:r w:rsidR="00AE3832" w:rsidRPr="00F82C8D">
        <w:t xml:space="preserve"> </w:t>
      </w:r>
      <w:r w:rsidR="00B774D0" w:rsidRPr="00F82C8D">
        <w:t>provides the covered emissions for each of the state-based transport facilities.</w:t>
      </w:r>
    </w:p>
    <w:p w:rsidR="00B774D0" w:rsidRPr="00F82C8D" w:rsidRDefault="00744D5E" w:rsidP="00D10671">
      <w:fldSimple w:instr=" REF _Ref427922406 \h  \* MERGEFORMAT ">
        <w:r w:rsidR="00F16B1F" w:rsidRPr="00F82C8D">
          <w:t xml:space="preserve">Figure </w:t>
        </w:r>
        <w:r w:rsidR="00F16B1F">
          <w:rPr>
            <w:noProof/>
          </w:rPr>
          <w:t>10</w:t>
        </w:r>
      </w:fldSimple>
      <w:r w:rsidR="00AE3832" w:rsidRPr="00F82C8D">
        <w:t xml:space="preserve"> </w:t>
      </w:r>
      <w:r w:rsidR="00B774D0" w:rsidRPr="00F82C8D">
        <w:t xml:space="preserve">and the final row in </w:t>
      </w:r>
      <w:fldSimple w:instr=" REF _Ref427925053 \h  \* MERGEFORMAT ">
        <w:r w:rsidR="00F16B1F" w:rsidRPr="00F82C8D">
          <w:t xml:space="preserve">Table </w:t>
        </w:r>
        <w:r w:rsidR="00F16B1F">
          <w:rPr>
            <w:noProof/>
          </w:rPr>
          <w:t>6</w:t>
        </w:r>
      </w:fldSimple>
      <w:r w:rsidR="00AE3832" w:rsidRPr="00F82C8D">
        <w:t xml:space="preserve"> </w:t>
      </w:r>
      <w:r w:rsidR="00B774D0" w:rsidRPr="00F82C8D">
        <w:t>shows Pear Co’s aggregated covered emissions from 2009-10 to 2013-14, calculated by summing together the covered emissions for each state-based transport facility.</w:t>
      </w:r>
    </w:p>
    <w:p w:rsidR="00B774D0" w:rsidRPr="00F82C8D" w:rsidRDefault="00B774D0" w:rsidP="00B774D0">
      <w:pPr>
        <w:pStyle w:val="Caption"/>
        <w:ind w:left="720"/>
      </w:pPr>
      <w:bookmarkStart w:id="176" w:name="_Ref427925053"/>
      <w:r w:rsidRPr="00F82C8D">
        <w:t xml:space="preserve">Table </w:t>
      </w:r>
      <w:r w:rsidR="00744D5E" w:rsidRPr="00F82C8D">
        <w:fldChar w:fldCharType="begin"/>
      </w:r>
      <w:r w:rsidR="007329DC" w:rsidRPr="00F82C8D">
        <w:instrText xml:space="preserve"> SEQ Table \* ARABIC </w:instrText>
      </w:r>
      <w:r w:rsidR="00744D5E" w:rsidRPr="00F82C8D">
        <w:fldChar w:fldCharType="separate"/>
      </w:r>
      <w:r w:rsidR="00F16B1F">
        <w:rPr>
          <w:noProof/>
        </w:rPr>
        <w:t>6</w:t>
      </w:r>
      <w:r w:rsidR="00744D5E" w:rsidRPr="00F82C8D">
        <w:fldChar w:fldCharType="end"/>
      </w:r>
      <w:bookmarkEnd w:id="176"/>
      <w:r w:rsidRPr="00F82C8D">
        <w:t>—Covered emissions for Pear Co’s state-based transport facilities</w:t>
      </w:r>
    </w:p>
    <w:tbl>
      <w:tblPr>
        <w:tblStyle w:val="TableGrid1"/>
        <w:tblW w:w="0" w:type="auto"/>
        <w:tblLook w:val="04A0"/>
      </w:tblPr>
      <w:tblGrid>
        <w:gridCol w:w="2636"/>
        <w:gridCol w:w="1228"/>
        <w:gridCol w:w="1211"/>
        <w:gridCol w:w="1211"/>
        <w:gridCol w:w="1211"/>
        <w:gridCol w:w="1211"/>
      </w:tblGrid>
      <w:tr w:rsidR="00B774D0" w:rsidRPr="00F82C8D" w:rsidTr="00F6082D">
        <w:tc>
          <w:tcPr>
            <w:tcW w:w="2636" w:type="dxa"/>
            <w:vMerge w:val="restart"/>
          </w:tcPr>
          <w:p w:rsidR="00B774D0" w:rsidRPr="00F82C8D" w:rsidRDefault="00F11607" w:rsidP="00807424">
            <w:pPr>
              <w:keepNext/>
              <w:spacing w:beforeLines="60" w:afterLines="60"/>
              <w:jc w:val="center"/>
              <w:rPr>
                <w:rFonts w:ascii="Arial" w:hAnsi="Arial" w:cs="Arial"/>
                <w:b/>
                <w:sz w:val="20"/>
                <w:szCs w:val="20"/>
              </w:rPr>
            </w:pPr>
            <w:r w:rsidRPr="00F82C8D">
              <w:rPr>
                <w:rFonts w:ascii="Arial" w:hAnsi="Arial" w:cs="Arial"/>
                <w:b/>
                <w:sz w:val="20"/>
                <w:szCs w:val="20"/>
              </w:rPr>
              <w:t>Pear Co s</w:t>
            </w:r>
            <w:r w:rsidR="00B774D0" w:rsidRPr="00F82C8D">
              <w:rPr>
                <w:rFonts w:ascii="Arial" w:hAnsi="Arial" w:cs="Arial"/>
                <w:b/>
                <w:sz w:val="20"/>
                <w:szCs w:val="20"/>
              </w:rPr>
              <w:t>tate transport facility</w:t>
            </w:r>
          </w:p>
        </w:tc>
        <w:tc>
          <w:tcPr>
            <w:tcW w:w="6072" w:type="dxa"/>
            <w:gridSpan w:val="5"/>
          </w:tcPr>
          <w:p w:rsidR="00DB293E" w:rsidRPr="00F82C8D" w:rsidRDefault="00B774D0" w:rsidP="00807424">
            <w:pPr>
              <w:keepNext/>
              <w:spacing w:beforeLines="60" w:afterLines="60"/>
              <w:jc w:val="center"/>
              <w:rPr>
                <w:rFonts w:ascii="Arial" w:eastAsiaTheme="minorEastAsia" w:hAnsi="Arial" w:cs="Arial"/>
                <w:b/>
                <w:bCs/>
                <w:sz w:val="20"/>
                <w:szCs w:val="20"/>
                <w:lang w:val="en-US" w:bidi="en-US"/>
              </w:rPr>
            </w:pPr>
            <w:r w:rsidRPr="00F82C8D">
              <w:rPr>
                <w:rFonts w:ascii="Arial" w:hAnsi="Arial" w:cs="Arial"/>
                <w:b/>
                <w:sz w:val="20"/>
                <w:szCs w:val="20"/>
              </w:rPr>
              <w:t>Covered emissions (t CO</w:t>
            </w:r>
            <w:r w:rsidRPr="00F82C8D">
              <w:rPr>
                <w:rFonts w:ascii="Arial" w:hAnsi="Arial" w:cs="Arial"/>
                <w:b/>
                <w:sz w:val="20"/>
                <w:szCs w:val="20"/>
                <w:vertAlign w:val="subscript"/>
              </w:rPr>
              <w:t>2</w:t>
            </w:r>
            <w:r w:rsidRPr="00F82C8D">
              <w:rPr>
                <w:rFonts w:ascii="Arial" w:hAnsi="Arial" w:cs="Arial"/>
                <w:b/>
                <w:sz w:val="20"/>
                <w:szCs w:val="20"/>
              </w:rPr>
              <w:t>-e)</w:t>
            </w:r>
          </w:p>
        </w:tc>
      </w:tr>
      <w:tr w:rsidR="00B774D0" w:rsidRPr="00F82C8D" w:rsidTr="00F6082D">
        <w:tc>
          <w:tcPr>
            <w:tcW w:w="2636" w:type="dxa"/>
            <w:vMerge/>
          </w:tcPr>
          <w:p w:rsidR="00DB293E" w:rsidRPr="00F82C8D" w:rsidRDefault="00DB293E" w:rsidP="00807424">
            <w:pPr>
              <w:keepNext/>
              <w:spacing w:beforeLines="60" w:afterLines="60"/>
              <w:rPr>
                <w:rFonts w:ascii="Arial" w:eastAsiaTheme="minorEastAsia" w:hAnsi="Arial" w:cs="Arial"/>
                <w:b/>
                <w:bCs/>
                <w:sz w:val="20"/>
                <w:szCs w:val="20"/>
                <w:lang w:val="en-US" w:bidi="en-US"/>
              </w:rPr>
            </w:pPr>
          </w:p>
        </w:tc>
        <w:tc>
          <w:tcPr>
            <w:tcW w:w="1228" w:type="dxa"/>
          </w:tcPr>
          <w:p w:rsidR="00DB293E" w:rsidRPr="00F82C8D" w:rsidRDefault="00B774D0" w:rsidP="00807424">
            <w:pPr>
              <w:keepNext/>
              <w:spacing w:beforeLines="60" w:afterLines="60"/>
              <w:jc w:val="center"/>
              <w:rPr>
                <w:rFonts w:ascii="Arial" w:eastAsiaTheme="minorEastAsia" w:hAnsi="Arial" w:cs="Arial"/>
                <w:b/>
                <w:sz w:val="20"/>
                <w:szCs w:val="20"/>
                <w:lang w:val="en-US" w:bidi="en-US"/>
              </w:rPr>
            </w:pPr>
            <w:r w:rsidRPr="00F82C8D">
              <w:rPr>
                <w:rFonts w:ascii="Arial" w:hAnsi="Arial" w:cs="Arial"/>
                <w:b/>
                <w:sz w:val="20"/>
                <w:szCs w:val="20"/>
              </w:rPr>
              <w:t>2009-10</w:t>
            </w:r>
          </w:p>
        </w:tc>
        <w:tc>
          <w:tcPr>
            <w:tcW w:w="1211" w:type="dxa"/>
          </w:tcPr>
          <w:p w:rsidR="00DB293E" w:rsidRPr="00F82C8D" w:rsidRDefault="00B774D0" w:rsidP="00807424">
            <w:pPr>
              <w:keepNext/>
              <w:spacing w:beforeLines="60" w:afterLines="60"/>
              <w:jc w:val="center"/>
              <w:rPr>
                <w:rFonts w:ascii="Arial" w:eastAsiaTheme="minorEastAsia" w:hAnsi="Arial" w:cs="Arial"/>
                <w:b/>
                <w:sz w:val="20"/>
                <w:szCs w:val="20"/>
                <w:lang w:val="en-US" w:bidi="en-US"/>
              </w:rPr>
            </w:pPr>
            <w:r w:rsidRPr="00F82C8D">
              <w:rPr>
                <w:rFonts w:ascii="Arial" w:hAnsi="Arial" w:cs="Arial"/>
                <w:b/>
                <w:sz w:val="20"/>
                <w:szCs w:val="20"/>
              </w:rPr>
              <w:t>2010-11</w:t>
            </w:r>
          </w:p>
        </w:tc>
        <w:tc>
          <w:tcPr>
            <w:tcW w:w="1211" w:type="dxa"/>
          </w:tcPr>
          <w:p w:rsidR="00DB293E" w:rsidRPr="00F82C8D" w:rsidRDefault="00B774D0" w:rsidP="00807424">
            <w:pPr>
              <w:keepNext/>
              <w:spacing w:beforeLines="60" w:afterLines="60"/>
              <w:jc w:val="center"/>
              <w:rPr>
                <w:rFonts w:ascii="Arial" w:eastAsiaTheme="minorEastAsia" w:hAnsi="Arial" w:cs="Arial"/>
                <w:b/>
                <w:sz w:val="20"/>
                <w:szCs w:val="20"/>
                <w:lang w:val="en-US" w:bidi="en-US"/>
              </w:rPr>
            </w:pPr>
            <w:r w:rsidRPr="00F82C8D">
              <w:rPr>
                <w:rFonts w:ascii="Arial" w:hAnsi="Arial" w:cs="Arial"/>
                <w:b/>
                <w:sz w:val="20"/>
                <w:szCs w:val="20"/>
              </w:rPr>
              <w:t>2011-12</w:t>
            </w:r>
          </w:p>
        </w:tc>
        <w:tc>
          <w:tcPr>
            <w:tcW w:w="1211" w:type="dxa"/>
          </w:tcPr>
          <w:p w:rsidR="00DB293E" w:rsidRPr="00F82C8D" w:rsidRDefault="00B774D0" w:rsidP="00807424">
            <w:pPr>
              <w:keepNext/>
              <w:spacing w:beforeLines="60" w:afterLines="60"/>
              <w:jc w:val="center"/>
              <w:rPr>
                <w:rFonts w:ascii="Arial" w:eastAsiaTheme="minorEastAsia" w:hAnsi="Arial" w:cs="Arial"/>
                <w:b/>
                <w:sz w:val="20"/>
                <w:szCs w:val="20"/>
                <w:lang w:val="en-US" w:bidi="en-US"/>
              </w:rPr>
            </w:pPr>
            <w:r w:rsidRPr="00F82C8D">
              <w:rPr>
                <w:rFonts w:ascii="Arial" w:hAnsi="Arial" w:cs="Arial"/>
                <w:b/>
                <w:sz w:val="20"/>
                <w:szCs w:val="20"/>
              </w:rPr>
              <w:t>2012-13</w:t>
            </w:r>
          </w:p>
        </w:tc>
        <w:tc>
          <w:tcPr>
            <w:tcW w:w="1211" w:type="dxa"/>
          </w:tcPr>
          <w:p w:rsidR="00DB293E" w:rsidRPr="00F82C8D" w:rsidRDefault="00B774D0" w:rsidP="00807424">
            <w:pPr>
              <w:keepNext/>
              <w:spacing w:beforeLines="60" w:afterLines="60"/>
              <w:jc w:val="center"/>
              <w:rPr>
                <w:rFonts w:ascii="Arial" w:eastAsiaTheme="minorEastAsia" w:hAnsi="Arial" w:cs="Arial"/>
                <w:b/>
                <w:sz w:val="20"/>
                <w:szCs w:val="20"/>
                <w:lang w:val="en-US" w:bidi="en-US"/>
              </w:rPr>
            </w:pPr>
            <w:r w:rsidRPr="00F82C8D">
              <w:rPr>
                <w:rFonts w:ascii="Arial" w:hAnsi="Arial" w:cs="Arial"/>
                <w:b/>
                <w:sz w:val="20"/>
                <w:szCs w:val="20"/>
              </w:rPr>
              <w:t>2013-14</w:t>
            </w:r>
          </w:p>
        </w:tc>
      </w:tr>
      <w:tr w:rsidR="00B774D0" w:rsidRPr="00F82C8D" w:rsidTr="00F6082D">
        <w:tc>
          <w:tcPr>
            <w:tcW w:w="2636" w:type="dxa"/>
          </w:tcPr>
          <w:p w:rsidR="00B774D0" w:rsidRPr="00F82C8D" w:rsidRDefault="00B774D0" w:rsidP="00807424">
            <w:pPr>
              <w:keepNext/>
              <w:spacing w:beforeLines="60" w:afterLines="60"/>
              <w:rPr>
                <w:rFonts w:ascii="Arial" w:hAnsi="Arial" w:cs="Arial"/>
                <w:sz w:val="20"/>
                <w:szCs w:val="20"/>
              </w:rPr>
            </w:pPr>
            <w:r w:rsidRPr="00F82C8D">
              <w:rPr>
                <w:rFonts w:ascii="Arial" w:hAnsi="Arial" w:cs="Arial"/>
                <w:sz w:val="20"/>
                <w:szCs w:val="20"/>
              </w:rPr>
              <w:t>NSW</w:t>
            </w:r>
          </w:p>
        </w:tc>
        <w:tc>
          <w:tcPr>
            <w:tcW w:w="1228"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110,120</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122,000</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112,034</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102,012</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95,023</w:t>
            </w:r>
          </w:p>
        </w:tc>
      </w:tr>
      <w:tr w:rsidR="00B774D0" w:rsidRPr="00F82C8D" w:rsidTr="00F6082D">
        <w:tc>
          <w:tcPr>
            <w:tcW w:w="2636" w:type="dxa"/>
          </w:tcPr>
          <w:p w:rsidR="00B774D0" w:rsidRPr="00F82C8D" w:rsidRDefault="00B774D0" w:rsidP="00807424">
            <w:pPr>
              <w:keepNext/>
              <w:spacing w:beforeLines="60" w:afterLines="60"/>
              <w:rPr>
                <w:rFonts w:ascii="Arial" w:hAnsi="Arial" w:cs="Arial"/>
                <w:sz w:val="20"/>
                <w:szCs w:val="20"/>
              </w:rPr>
            </w:pPr>
            <w:r w:rsidRPr="00F82C8D">
              <w:rPr>
                <w:rFonts w:ascii="Arial" w:hAnsi="Arial" w:cs="Arial"/>
                <w:sz w:val="20"/>
                <w:szCs w:val="20"/>
              </w:rPr>
              <w:t>QLD</w:t>
            </w:r>
          </w:p>
        </w:tc>
        <w:tc>
          <w:tcPr>
            <w:tcW w:w="1228"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95,650</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99,650</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128,956</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135,931</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127,605</w:t>
            </w:r>
          </w:p>
        </w:tc>
      </w:tr>
      <w:tr w:rsidR="00B774D0" w:rsidRPr="00F82C8D" w:rsidTr="00F6082D">
        <w:tc>
          <w:tcPr>
            <w:tcW w:w="2636" w:type="dxa"/>
          </w:tcPr>
          <w:p w:rsidR="00B774D0" w:rsidRPr="00F82C8D" w:rsidRDefault="00B774D0" w:rsidP="00807424">
            <w:pPr>
              <w:keepNext/>
              <w:spacing w:beforeLines="60" w:afterLines="60"/>
              <w:rPr>
                <w:rFonts w:ascii="Arial" w:hAnsi="Arial" w:cs="Arial"/>
                <w:sz w:val="20"/>
                <w:szCs w:val="20"/>
              </w:rPr>
            </w:pPr>
            <w:r w:rsidRPr="00F82C8D">
              <w:rPr>
                <w:rFonts w:ascii="Arial" w:hAnsi="Arial" w:cs="Arial"/>
                <w:sz w:val="20"/>
                <w:szCs w:val="20"/>
              </w:rPr>
              <w:t>SA</w:t>
            </w:r>
          </w:p>
        </w:tc>
        <w:tc>
          <w:tcPr>
            <w:tcW w:w="1228"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 </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5,694</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4,589</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5,787</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6,548</w:t>
            </w:r>
          </w:p>
        </w:tc>
      </w:tr>
      <w:tr w:rsidR="00B774D0" w:rsidRPr="00F82C8D" w:rsidTr="00F6082D">
        <w:tc>
          <w:tcPr>
            <w:tcW w:w="2636" w:type="dxa"/>
          </w:tcPr>
          <w:p w:rsidR="00B774D0" w:rsidRPr="00F82C8D" w:rsidRDefault="00B774D0" w:rsidP="00807424">
            <w:pPr>
              <w:keepNext/>
              <w:spacing w:beforeLines="60" w:afterLines="60"/>
              <w:rPr>
                <w:rFonts w:ascii="Arial" w:hAnsi="Arial" w:cs="Arial"/>
                <w:sz w:val="20"/>
                <w:szCs w:val="20"/>
              </w:rPr>
            </w:pPr>
            <w:r w:rsidRPr="00F82C8D">
              <w:rPr>
                <w:rFonts w:ascii="Arial" w:hAnsi="Arial" w:cs="Arial"/>
                <w:sz w:val="20"/>
                <w:szCs w:val="20"/>
              </w:rPr>
              <w:t>VIC</w:t>
            </w:r>
          </w:p>
        </w:tc>
        <w:tc>
          <w:tcPr>
            <w:tcW w:w="1228"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112,321</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130,210</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123,540</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119,650</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121,320</w:t>
            </w:r>
          </w:p>
        </w:tc>
      </w:tr>
      <w:tr w:rsidR="00B774D0" w:rsidRPr="00F82C8D" w:rsidTr="00F6082D">
        <w:tc>
          <w:tcPr>
            <w:tcW w:w="2636" w:type="dxa"/>
          </w:tcPr>
          <w:p w:rsidR="00B774D0" w:rsidRPr="00F82C8D" w:rsidRDefault="00B774D0" w:rsidP="00807424">
            <w:pPr>
              <w:keepNext/>
              <w:spacing w:beforeLines="60" w:afterLines="60"/>
              <w:rPr>
                <w:rFonts w:ascii="Arial" w:hAnsi="Arial" w:cs="Arial"/>
                <w:sz w:val="20"/>
                <w:szCs w:val="20"/>
              </w:rPr>
            </w:pPr>
            <w:r w:rsidRPr="00F82C8D">
              <w:rPr>
                <w:rFonts w:ascii="Arial" w:hAnsi="Arial" w:cs="Arial"/>
                <w:sz w:val="20"/>
                <w:szCs w:val="20"/>
              </w:rPr>
              <w:t>WA</w:t>
            </w:r>
          </w:p>
        </w:tc>
        <w:tc>
          <w:tcPr>
            <w:tcW w:w="1228"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 </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 </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11,063</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13,450</w:t>
            </w:r>
          </w:p>
        </w:tc>
        <w:tc>
          <w:tcPr>
            <w:tcW w:w="1211" w:type="dxa"/>
          </w:tcPr>
          <w:p w:rsidR="00DB293E" w:rsidRPr="00F82C8D" w:rsidRDefault="00B774D0" w:rsidP="00807424">
            <w:pPr>
              <w:keepNext/>
              <w:spacing w:beforeLines="60" w:afterLines="60"/>
              <w:jc w:val="right"/>
              <w:rPr>
                <w:rFonts w:ascii="Arial" w:eastAsiaTheme="minorEastAsia" w:hAnsi="Arial" w:cs="Arial"/>
                <w:sz w:val="20"/>
                <w:szCs w:val="20"/>
                <w:lang w:val="en-US" w:bidi="en-US"/>
              </w:rPr>
            </w:pPr>
            <w:r w:rsidRPr="00F82C8D">
              <w:rPr>
                <w:rFonts w:ascii="Arial" w:hAnsi="Arial" w:cs="Arial"/>
                <w:sz w:val="20"/>
                <w:szCs w:val="20"/>
              </w:rPr>
              <w:t>12,301</w:t>
            </w:r>
          </w:p>
        </w:tc>
      </w:tr>
      <w:tr w:rsidR="00B774D0" w:rsidRPr="00F82C8D" w:rsidTr="00F6082D">
        <w:tc>
          <w:tcPr>
            <w:tcW w:w="2636" w:type="dxa"/>
          </w:tcPr>
          <w:p w:rsidR="00B774D0" w:rsidRPr="00F82C8D" w:rsidRDefault="00B774D0" w:rsidP="00807424">
            <w:pPr>
              <w:keepNext/>
              <w:spacing w:beforeLines="60" w:afterLines="60"/>
              <w:rPr>
                <w:rFonts w:ascii="Arial" w:hAnsi="Arial" w:cs="Arial"/>
                <w:sz w:val="20"/>
                <w:szCs w:val="20"/>
              </w:rPr>
            </w:pPr>
            <w:r w:rsidRPr="00F82C8D">
              <w:rPr>
                <w:rFonts w:ascii="Arial" w:hAnsi="Arial" w:cs="Arial"/>
                <w:sz w:val="20"/>
                <w:szCs w:val="20"/>
              </w:rPr>
              <w:t>Aggregated covered emissions (t CO</w:t>
            </w:r>
            <w:r w:rsidRPr="00F82C8D">
              <w:rPr>
                <w:rFonts w:ascii="Arial" w:hAnsi="Arial" w:cs="Arial"/>
                <w:sz w:val="20"/>
                <w:szCs w:val="20"/>
                <w:vertAlign w:val="subscript"/>
              </w:rPr>
              <w:t>2</w:t>
            </w:r>
            <w:r w:rsidRPr="00F82C8D">
              <w:rPr>
                <w:rFonts w:ascii="Arial" w:hAnsi="Arial" w:cs="Arial"/>
                <w:sz w:val="20"/>
                <w:szCs w:val="20"/>
              </w:rPr>
              <w:t>-e)</w:t>
            </w:r>
          </w:p>
        </w:tc>
        <w:tc>
          <w:tcPr>
            <w:tcW w:w="1228" w:type="dxa"/>
          </w:tcPr>
          <w:p w:rsidR="00DB293E" w:rsidRPr="00F82C8D" w:rsidRDefault="00B774D0" w:rsidP="00807424">
            <w:pPr>
              <w:keepNext/>
              <w:spacing w:beforeLines="60" w:afterLines="60"/>
              <w:jc w:val="right"/>
              <w:rPr>
                <w:rFonts w:ascii="Arial" w:eastAsiaTheme="minorEastAsia" w:hAnsi="Arial" w:cs="Arial"/>
                <w:b/>
                <w:bCs/>
                <w:sz w:val="20"/>
                <w:szCs w:val="20"/>
                <w:lang w:val="en-US" w:bidi="en-US"/>
              </w:rPr>
            </w:pPr>
            <w:r w:rsidRPr="00F82C8D">
              <w:rPr>
                <w:rFonts w:ascii="Arial" w:hAnsi="Arial" w:cs="Arial"/>
                <w:b/>
                <w:bCs/>
                <w:sz w:val="20"/>
                <w:szCs w:val="20"/>
              </w:rPr>
              <w:t>318,091</w:t>
            </w:r>
          </w:p>
        </w:tc>
        <w:tc>
          <w:tcPr>
            <w:tcW w:w="1211" w:type="dxa"/>
          </w:tcPr>
          <w:p w:rsidR="00DB293E" w:rsidRPr="00F82C8D" w:rsidRDefault="00B774D0" w:rsidP="00807424">
            <w:pPr>
              <w:keepNext/>
              <w:spacing w:beforeLines="60" w:afterLines="60"/>
              <w:jc w:val="right"/>
              <w:rPr>
                <w:rFonts w:ascii="Arial" w:eastAsiaTheme="minorEastAsia" w:hAnsi="Arial" w:cs="Arial"/>
                <w:b/>
                <w:bCs/>
                <w:sz w:val="20"/>
                <w:szCs w:val="20"/>
                <w:lang w:val="en-US" w:bidi="en-US"/>
              </w:rPr>
            </w:pPr>
            <w:r w:rsidRPr="00F82C8D">
              <w:rPr>
                <w:rFonts w:ascii="Arial" w:hAnsi="Arial" w:cs="Arial"/>
                <w:b/>
                <w:bCs/>
                <w:sz w:val="20"/>
                <w:szCs w:val="20"/>
              </w:rPr>
              <w:t>357,554</w:t>
            </w:r>
          </w:p>
        </w:tc>
        <w:tc>
          <w:tcPr>
            <w:tcW w:w="1211" w:type="dxa"/>
          </w:tcPr>
          <w:p w:rsidR="00DB293E" w:rsidRPr="00F82C8D" w:rsidRDefault="00B774D0" w:rsidP="00807424">
            <w:pPr>
              <w:keepNext/>
              <w:spacing w:beforeLines="60" w:afterLines="60"/>
              <w:jc w:val="right"/>
              <w:rPr>
                <w:rFonts w:ascii="Arial" w:eastAsiaTheme="minorEastAsia" w:hAnsi="Arial" w:cs="Arial"/>
                <w:b/>
                <w:bCs/>
                <w:color w:val="FF0000"/>
                <w:sz w:val="20"/>
                <w:szCs w:val="20"/>
                <w:lang w:val="en-US" w:bidi="en-US"/>
              </w:rPr>
            </w:pPr>
            <w:r w:rsidRPr="00F82C8D">
              <w:rPr>
                <w:rFonts w:ascii="Arial" w:hAnsi="Arial" w:cs="Arial"/>
                <w:b/>
                <w:bCs/>
                <w:color w:val="FF0000"/>
                <w:sz w:val="20"/>
                <w:szCs w:val="20"/>
              </w:rPr>
              <w:t>380,182</w:t>
            </w:r>
          </w:p>
        </w:tc>
        <w:tc>
          <w:tcPr>
            <w:tcW w:w="1211" w:type="dxa"/>
          </w:tcPr>
          <w:p w:rsidR="00DB293E" w:rsidRPr="00F82C8D" w:rsidRDefault="00B774D0" w:rsidP="00807424">
            <w:pPr>
              <w:keepNext/>
              <w:spacing w:beforeLines="60" w:afterLines="60"/>
              <w:jc w:val="right"/>
              <w:rPr>
                <w:rFonts w:ascii="Arial" w:eastAsiaTheme="minorEastAsia" w:hAnsi="Arial" w:cs="Arial"/>
                <w:b/>
                <w:bCs/>
                <w:sz w:val="20"/>
                <w:szCs w:val="20"/>
                <w:lang w:val="en-US" w:bidi="en-US"/>
              </w:rPr>
            </w:pPr>
            <w:r w:rsidRPr="00F82C8D">
              <w:rPr>
                <w:rFonts w:ascii="Arial" w:hAnsi="Arial" w:cs="Arial"/>
                <w:b/>
                <w:bCs/>
                <w:sz w:val="20"/>
                <w:szCs w:val="20"/>
              </w:rPr>
              <w:t>376,830</w:t>
            </w:r>
          </w:p>
        </w:tc>
        <w:tc>
          <w:tcPr>
            <w:tcW w:w="1211" w:type="dxa"/>
          </w:tcPr>
          <w:p w:rsidR="00DB293E" w:rsidRPr="00F82C8D" w:rsidRDefault="00B774D0" w:rsidP="00807424">
            <w:pPr>
              <w:keepNext/>
              <w:spacing w:beforeLines="60" w:afterLines="60"/>
              <w:jc w:val="right"/>
              <w:rPr>
                <w:rFonts w:ascii="Arial" w:eastAsiaTheme="minorEastAsia" w:hAnsi="Arial" w:cs="Arial"/>
                <w:b/>
                <w:bCs/>
                <w:sz w:val="20"/>
                <w:szCs w:val="20"/>
                <w:lang w:val="en-US" w:bidi="en-US"/>
              </w:rPr>
            </w:pPr>
            <w:r w:rsidRPr="00F82C8D">
              <w:rPr>
                <w:rFonts w:ascii="Arial" w:hAnsi="Arial" w:cs="Arial"/>
                <w:b/>
                <w:bCs/>
                <w:sz w:val="20"/>
                <w:szCs w:val="20"/>
              </w:rPr>
              <w:t>362,797</w:t>
            </w:r>
          </w:p>
        </w:tc>
      </w:tr>
    </w:tbl>
    <w:p w:rsidR="00B774D0" w:rsidRPr="00F82C8D" w:rsidRDefault="00B774D0" w:rsidP="00B774D0"/>
    <w:p w:rsidR="00B774D0" w:rsidRPr="00F82C8D" w:rsidRDefault="00B774D0" w:rsidP="00B774D0">
      <w:pPr>
        <w:pStyle w:val="Caption"/>
      </w:pPr>
      <w:bookmarkStart w:id="177" w:name="_Ref427922406"/>
      <w:r w:rsidRPr="00F82C8D">
        <w:t xml:space="preserve">Figure </w:t>
      </w:r>
      <w:r w:rsidR="00744D5E" w:rsidRPr="00F82C8D">
        <w:fldChar w:fldCharType="begin"/>
      </w:r>
      <w:r w:rsidR="007329DC" w:rsidRPr="00F82C8D">
        <w:instrText xml:space="preserve"> SEQ Figure \* ARABIC </w:instrText>
      </w:r>
      <w:r w:rsidR="00744D5E" w:rsidRPr="00F82C8D">
        <w:fldChar w:fldCharType="separate"/>
      </w:r>
      <w:r w:rsidR="00F16B1F">
        <w:rPr>
          <w:noProof/>
        </w:rPr>
        <w:t>10</w:t>
      </w:r>
      <w:r w:rsidR="00744D5E" w:rsidRPr="00F82C8D">
        <w:fldChar w:fldCharType="end"/>
      </w:r>
      <w:bookmarkEnd w:id="177"/>
      <w:r w:rsidRPr="00F82C8D">
        <w:t xml:space="preserve">—Pear Co’s aggregated covered emissions </w:t>
      </w:r>
    </w:p>
    <w:p w:rsidR="00B774D0" w:rsidRPr="00F82C8D" w:rsidRDefault="00DA7589" w:rsidP="00B774D0">
      <w:pPr>
        <w:jc w:val="center"/>
      </w:pPr>
      <w:r w:rsidRPr="00F82C8D">
        <w:rPr>
          <w:noProof/>
          <w:lang w:val="en-AU" w:eastAsia="en-AU" w:bidi="ar-SA"/>
        </w:rPr>
        <w:drawing>
          <wp:inline distT="0" distB="0" distL="0" distR="0">
            <wp:extent cx="5755005" cy="3566160"/>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3" cstate="print"/>
                    <a:srcRect/>
                    <a:stretch>
                      <a:fillRect/>
                    </a:stretch>
                  </pic:blipFill>
                  <pic:spPr bwMode="auto">
                    <a:xfrm>
                      <a:off x="0" y="0"/>
                      <a:ext cx="5755005" cy="3566160"/>
                    </a:xfrm>
                    <a:prstGeom prst="rect">
                      <a:avLst/>
                    </a:prstGeom>
                    <a:noFill/>
                  </pic:spPr>
                </pic:pic>
              </a:graphicData>
            </a:graphic>
          </wp:inline>
        </w:drawing>
      </w:r>
    </w:p>
    <w:p w:rsidR="00B774D0" w:rsidRPr="00F82C8D" w:rsidRDefault="00B774D0" w:rsidP="00B774D0">
      <w:pPr>
        <w:rPr>
          <w:rFonts w:cs="Times New Roman"/>
          <w:szCs w:val="24"/>
        </w:rPr>
      </w:pPr>
      <w:r w:rsidRPr="00F82C8D">
        <w:rPr>
          <w:rFonts w:cs="Times New Roman"/>
          <w:szCs w:val="24"/>
        </w:rPr>
        <w:t xml:space="preserve">Pear Co decides to make a nomination to report emissions as a national facility under regulation 2.19A of the NGER Regulations. Pear Co makes the nomination on 1 March 2016, which </w:t>
      </w:r>
      <w:r w:rsidR="003F3B23" w:rsidRPr="00F82C8D">
        <w:rPr>
          <w:rFonts w:cs="Times New Roman"/>
          <w:szCs w:val="24"/>
        </w:rPr>
        <w:t xml:space="preserve">enables </w:t>
      </w:r>
      <w:r w:rsidRPr="00F82C8D">
        <w:rPr>
          <w:rFonts w:cs="Times New Roman"/>
          <w:szCs w:val="24"/>
        </w:rPr>
        <w:t xml:space="preserve">the national definition </w:t>
      </w:r>
      <w:r w:rsidR="003F3B23" w:rsidRPr="00F82C8D">
        <w:rPr>
          <w:rFonts w:cs="Times New Roman"/>
          <w:szCs w:val="24"/>
        </w:rPr>
        <w:t xml:space="preserve">to </w:t>
      </w:r>
      <w:r w:rsidRPr="00F82C8D">
        <w:rPr>
          <w:rFonts w:cs="Times New Roman"/>
          <w:szCs w:val="24"/>
        </w:rPr>
        <w:t xml:space="preserve">take effect </w:t>
      </w:r>
      <w:r w:rsidR="003F3B23" w:rsidRPr="00F82C8D">
        <w:rPr>
          <w:rFonts w:cs="Times New Roman"/>
          <w:szCs w:val="24"/>
        </w:rPr>
        <w:t xml:space="preserve">on 1 July </w:t>
      </w:r>
      <w:r w:rsidRPr="00F82C8D">
        <w:rPr>
          <w:rFonts w:cs="Times New Roman"/>
          <w:szCs w:val="24"/>
        </w:rPr>
        <w:t>2016</w:t>
      </w:r>
      <w:r w:rsidR="00F65BDD" w:rsidRPr="00F82C8D">
        <w:rPr>
          <w:rFonts w:cs="Times New Roman"/>
          <w:szCs w:val="24"/>
        </w:rPr>
        <w:t xml:space="preserve">, which is </w:t>
      </w:r>
      <w:r w:rsidR="003F3B23" w:rsidRPr="00F82C8D">
        <w:rPr>
          <w:rFonts w:cs="Times New Roman"/>
          <w:szCs w:val="24"/>
        </w:rPr>
        <w:t>when the</w:t>
      </w:r>
      <w:r w:rsidR="00942D59" w:rsidRPr="00F82C8D">
        <w:rPr>
          <w:rFonts w:cs="Times New Roman"/>
          <w:szCs w:val="24"/>
        </w:rPr>
        <w:t xml:space="preserve"> safeguard mechanism commences.</w:t>
      </w:r>
      <w:r w:rsidRPr="00F82C8D">
        <w:rPr>
          <w:rFonts w:cs="Times New Roman"/>
          <w:szCs w:val="24"/>
        </w:rPr>
        <w:t xml:space="preserve"> </w:t>
      </w:r>
      <w:r w:rsidR="003F3B23" w:rsidRPr="00F82C8D">
        <w:rPr>
          <w:rFonts w:cs="Times New Roman"/>
          <w:szCs w:val="24"/>
        </w:rPr>
        <w:t>Pear Co must apply before the scheme commences, if it wants the national definition to apply from the start of the scheme (</w:t>
      </w:r>
      <w:r w:rsidRPr="00F82C8D">
        <w:rPr>
          <w:rFonts w:cs="Times New Roman"/>
          <w:szCs w:val="24"/>
        </w:rPr>
        <w:t>subregulation 2.19A(4)</w:t>
      </w:r>
      <w:r w:rsidR="00F65BDD" w:rsidRPr="00F82C8D">
        <w:rPr>
          <w:rFonts w:cs="Times New Roman"/>
          <w:szCs w:val="24"/>
        </w:rPr>
        <w:t xml:space="preserve"> of the NGER Regulations</w:t>
      </w:r>
      <w:r w:rsidRPr="00F82C8D">
        <w:rPr>
          <w:rFonts w:cs="Times New Roman"/>
          <w:szCs w:val="24"/>
        </w:rPr>
        <w:t>).</w:t>
      </w:r>
      <w:r w:rsidR="003F3B23" w:rsidRPr="00F82C8D">
        <w:rPr>
          <w:rFonts w:cs="Times New Roman"/>
          <w:szCs w:val="24"/>
        </w:rPr>
        <w:t xml:space="preserve"> </w:t>
      </w:r>
    </w:p>
    <w:p w:rsidR="00B774D0" w:rsidRPr="00F82C8D" w:rsidRDefault="00B774D0" w:rsidP="00B774D0">
      <w:pPr>
        <w:rPr>
          <w:rFonts w:cs="Times New Roman"/>
          <w:szCs w:val="24"/>
        </w:rPr>
      </w:pPr>
      <w:r w:rsidRPr="00F82C8D">
        <w:rPr>
          <w:rFonts w:cs="Times New Roman"/>
          <w:szCs w:val="24"/>
        </w:rPr>
        <w:t xml:space="preserve">The Regulator makes a reported-emissions baseline determination for Pear Co’s national transport facility because it meets the criteria for interstate transport facilities (subsection 14(2)). </w:t>
      </w:r>
    </w:p>
    <w:p w:rsidR="00B774D0" w:rsidRPr="00F82C8D" w:rsidRDefault="00B774D0" w:rsidP="00B774D0">
      <w:pPr>
        <w:rPr>
          <w:rFonts w:cs="Times New Roman"/>
          <w:szCs w:val="24"/>
        </w:rPr>
      </w:pPr>
      <w:r w:rsidRPr="00F82C8D">
        <w:rPr>
          <w:rFonts w:cs="Times New Roman"/>
          <w:szCs w:val="24"/>
        </w:rPr>
        <w:t>Prior to making the determination, the Regulator provides written notice to Pear Co (section 16(1)).</w:t>
      </w:r>
    </w:p>
    <w:p w:rsidR="00B774D0" w:rsidRPr="00F82C8D" w:rsidRDefault="00B774D0" w:rsidP="00B774D0">
      <w:pPr>
        <w:rPr>
          <w:rFonts w:cs="Times New Roman"/>
          <w:szCs w:val="24"/>
        </w:rPr>
      </w:pPr>
      <w:r w:rsidRPr="00F82C8D">
        <w:rPr>
          <w:rFonts w:cs="Times New Roman"/>
          <w:szCs w:val="24"/>
        </w:rPr>
        <w:t>The baseline emissions number for the national facility definition is 380,182 t CO</w:t>
      </w:r>
      <w:r w:rsidRPr="00F82C8D">
        <w:rPr>
          <w:rFonts w:cs="Times New Roman"/>
          <w:szCs w:val="24"/>
          <w:vertAlign w:val="subscript"/>
        </w:rPr>
        <w:t>2</w:t>
      </w:r>
      <w:r w:rsidRPr="00F82C8D">
        <w:rPr>
          <w:rFonts w:cs="Times New Roman"/>
          <w:szCs w:val="24"/>
        </w:rPr>
        <w:t>-e, This is the aggregated annual emissions in 2011-12, which is the highest aggregated emissions during the five financial years beginning on 1 July 2009 (subsection 14(2) and 17(1)) (see</w:t>
      </w:r>
      <w:r w:rsidR="00394E74" w:rsidRPr="00F82C8D">
        <w:rPr>
          <w:rFonts w:cs="Times New Roman"/>
          <w:szCs w:val="24"/>
        </w:rPr>
        <w:t xml:space="preserve"> </w:t>
      </w:r>
      <w:fldSimple w:instr=" REF _Ref427922406 \h  \* MERGEFORMAT ">
        <w:r w:rsidR="00F16B1F" w:rsidRPr="00F16B1F">
          <w:rPr>
            <w:rFonts w:cs="Times New Roman"/>
            <w:szCs w:val="24"/>
          </w:rPr>
          <w:t xml:space="preserve">Figure </w:t>
        </w:r>
        <w:r w:rsidR="00F16B1F" w:rsidRPr="00F16B1F">
          <w:rPr>
            <w:rFonts w:cs="Times New Roman"/>
            <w:noProof/>
            <w:szCs w:val="24"/>
          </w:rPr>
          <w:t>10</w:t>
        </w:r>
      </w:fldSimple>
      <w:r w:rsidRPr="00F82C8D">
        <w:rPr>
          <w:rFonts w:cs="Times New Roman"/>
          <w:szCs w:val="24"/>
        </w:rPr>
        <w:t xml:space="preserve">). </w:t>
      </w:r>
    </w:p>
    <w:p w:rsidR="00B774D0" w:rsidRPr="00F82C8D" w:rsidRDefault="00B774D0" w:rsidP="00B774D0">
      <w:pPr>
        <w:rPr>
          <w:rFonts w:cs="Times New Roman"/>
          <w:szCs w:val="24"/>
        </w:rPr>
      </w:pPr>
      <w:r w:rsidRPr="00F82C8D">
        <w:rPr>
          <w:rFonts w:cs="Times New Roman"/>
          <w:szCs w:val="24"/>
        </w:rPr>
        <w:t xml:space="preserve">This baseline emissions number will apply from 1 July 2016, which is the date that Pear Co nominated to have the national facility definition apply and is after the date of nomination (subsection 18(2)). </w:t>
      </w:r>
    </w:p>
    <w:p w:rsidR="00B774D0" w:rsidRPr="00F82C8D" w:rsidRDefault="00B774D0" w:rsidP="00B774D0">
      <w:pPr>
        <w:rPr>
          <w:rFonts w:cs="Times New Roman"/>
          <w:szCs w:val="24"/>
        </w:rPr>
      </w:pPr>
      <w:r w:rsidRPr="00F82C8D">
        <w:rPr>
          <w:rFonts w:cs="Times New Roman"/>
          <w:szCs w:val="24"/>
        </w:rPr>
        <w:t>This reported-emissions baseline determination continues to apply until it is replaced by another baseline determination. It will reapply at the expiry of any subsequent determinations (section 18(3)).</w:t>
      </w:r>
    </w:p>
    <w:p w:rsidR="00B774D0" w:rsidRPr="00F82C8D" w:rsidRDefault="00B774D0" w:rsidP="00B774D0">
      <w:pPr>
        <w:pStyle w:val="Caption"/>
        <w:ind w:left="720"/>
      </w:pPr>
      <w:r w:rsidRPr="00F82C8D">
        <w:t xml:space="preserve">Table </w:t>
      </w:r>
      <w:r w:rsidR="00744D5E" w:rsidRPr="00F82C8D">
        <w:fldChar w:fldCharType="begin"/>
      </w:r>
      <w:r w:rsidR="007329DC" w:rsidRPr="00F82C8D">
        <w:instrText xml:space="preserve"> SEQ Table \* ARABIC </w:instrText>
      </w:r>
      <w:r w:rsidR="00744D5E" w:rsidRPr="00F82C8D">
        <w:fldChar w:fldCharType="separate"/>
      </w:r>
      <w:r w:rsidR="00F16B1F">
        <w:rPr>
          <w:noProof/>
        </w:rPr>
        <w:t>7</w:t>
      </w:r>
      <w:r w:rsidR="00744D5E" w:rsidRPr="00F82C8D">
        <w:fldChar w:fldCharType="end"/>
      </w:r>
      <w:r w:rsidRPr="00F82C8D">
        <w:t>—Key elements of baseline setting for a transport facility that elects to report on a national basis</w:t>
      </w:r>
    </w:p>
    <w:tbl>
      <w:tblPr>
        <w:tblStyle w:val="TableGrid1"/>
        <w:tblW w:w="0" w:type="auto"/>
        <w:tblLook w:val="04A0"/>
      </w:tblPr>
      <w:tblGrid>
        <w:gridCol w:w="3261"/>
        <w:gridCol w:w="5873"/>
      </w:tblGrid>
      <w:tr w:rsidR="00B774D0" w:rsidRPr="00F82C8D" w:rsidTr="00FD066A">
        <w:tc>
          <w:tcPr>
            <w:tcW w:w="3261" w:type="dxa"/>
          </w:tcPr>
          <w:p w:rsidR="00DB293E" w:rsidRPr="00F82C8D" w:rsidRDefault="00B774D0" w:rsidP="00807424">
            <w:pPr>
              <w:spacing w:beforeLines="60" w:afterLines="60"/>
              <w:ind w:left="-720"/>
              <w:jc w:val="center"/>
              <w:rPr>
                <w:rFonts w:ascii="Arial" w:eastAsiaTheme="minorEastAsia" w:hAnsi="Arial" w:cs="Arial"/>
                <w:b/>
                <w:bCs/>
                <w:sz w:val="20"/>
                <w:szCs w:val="20"/>
                <w:lang w:val="en-US" w:bidi="en-US"/>
              </w:rPr>
            </w:pPr>
            <w:r w:rsidRPr="00F82C8D">
              <w:rPr>
                <w:rFonts w:ascii="Arial" w:hAnsi="Arial" w:cs="Arial"/>
                <w:b/>
                <w:sz w:val="20"/>
                <w:szCs w:val="20"/>
              </w:rPr>
              <w:t>Element</w:t>
            </w:r>
          </w:p>
        </w:tc>
        <w:tc>
          <w:tcPr>
            <w:tcW w:w="5873" w:type="dxa"/>
          </w:tcPr>
          <w:p w:rsidR="00DB293E" w:rsidRPr="00F82C8D" w:rsidRDefault="00B774D0" w:rsidP="00807424">
            <w:pPr>
              <w:spacing w:beforeLines="60" w:afterLines="60"/>
              <w:ind w:left="-720"/>
              <w:jc w:val="center"/>
              <w:rPr>
                <w:rFonts w:ascii="Arial" w:eastAsiaTheme="minorEastAsia" w:hAnsi="Arial" w:cs="Arial"/>
                <w:b/>
                <w:bCs/>
                <w:sz w:val="20"/>
                <w:szCs w:val="20"/>
                <w:lang w:val="en-US" w:bidi="en-US"/>
              </w:rPr>
            </w:pPr>
            <w:r w:rsidRPr="00F82C8D">
              <w:rPr>
                <w:rFonts w:ascii="Arial" w:hAnsi="Arial" w:cs="Arial"/>
                <w:b/>
                <w:sz w:val="20"/>
                <w:szCs w:val="20"/>
              </w:rPr>
              <w:t>Treatment and reference</w:t>
            </w:r>
          </w:p>
        </w:tc>
      </w:tr>
      <w:tr w:rsidR="00B774D0" w:rsidRPr="00F82C8D" w:rsidTr="00FD066A">
        <w:tc>
          <w:tcPr>
            <w:tcW w:w="3261" w:type="dxa"/>
          </w:tcPr>
          <w:p w:rsidR="00DB293E" w:rsidRPr="00F82C8D" w:rsidRDefault="00B774D0" w:rsidP="00807424">
            <w:pPr>
              <w:pStyle w:val="ListParagraph"/>
              <w:spacing w:beforeLines="60" w:afterLines="60"/>
              <w:ind w:left="0"/>
              <w:rPr>
                <w:rFonts w:ascii="Arial" w:eastAsiaTheme="minorEastAsia" w:hAnsi="Arial" w:cs="Arial"/>
                <w:b/>
                <w:bCs/>
                <w:sz w:val="20"/>
                <w:szCs w:val="20"/>
                <w:lang w:val="en-US" w:bidi="en-US"/>
              </w:rPr>
            </w:pPr>
            <w:r w:rsidRPr="00F82C8D">
              <w:rPr>
                <w:rFonts w:ascii="Arial" w:hAnsi="Arial" w:cs="Arial"/>
                <w:sz w:val="20"/>
                <w:szCs w:val="20"/>
              </w:rPr>
              <w:t xml:space="preserve">Criteria </w:t>
            </w:r>
          </w:p>
          <w:p w:rsidR="00DB293E" w:rsidRPr="00F82C8D" w:rsidRDefault="00B774D0" w:rsidP="00807424">
            <w:pPr>
              <w:spacing w:beforeLines="60" w:afterLines="60"/>
              <w:rPr>
                <w:rFonts w:ascii="Arial" w:eastAsiaTheme="minorEastAsia" w:hAnsi="Arial" w:cs="Arial"/>
                <w:b/>
                <w:bCs/>
                <w:i/>
                <w:sz w:val="20"/>
                <w:szCs w:val="20"/>
                <w:lang w:val="en-US" w:bidi="en-US"/>
              </w:rPr>
            </w:pPr>
            <w:r w:rsidRPr="00F82C8D">
              <w:rPr>
                <w:rFonts w:ascii="Arial" w:hAnsi="Arial" w:cs="Arial"/>
                <w:i/>
                <w:sz w:val="20"/>
                <w:szCs w:val="20"/>
              </w:rPr>
              <w:t xml:space="preserve">Reported-emissions baseline determination </w:t>
            </w:r>
          </w:p>
        </w:tc>
        <w:tc>
          <w:tcPr>
            <w:tcW w:w="5873" w:type="dxa"/>
          </w:tcPr>
          <w:p w:rsidR="00DB293E" w:rsidRPr="00F82C8D" w:rsidRDefault="00B774D0" w:rsidP="00807424">
            <w:pPr>
              <w:pStyle w:val="ListParagraph"/>
              <w:spacing w:beforeLines="60" w:afterLines="60"/>
              <w:ind w:left="0"/>
              <w:rPr>
                <w:rFonts w:ascii="Arial" w:eastAsiaTheme="minorEastAsia" w:hAnsi="Arial" w:cs="Arial"/>
                <w:sz w:val="20"/>
                <w:szCs w:val="20"/>
                <w:lang w:val="en-US" w:bidi="en-US"/>
              </w:rPr>
            </w:pPr>
            <w:r w:rsidRPr="00F82C8D">
              <w:rPr>
                <w:rFonts w:ascii="Arial" w:hAnsi="Arial" w:cs="Arial"/>
                <w:sz w:val="20"/>
                <w:szCs w:val="20"/>
              </w:rPr>
              <w:t>Relate to the availability of historical data (subsection 14(1)) and having a national facility definition (subsection 14(2).</w:t>
            </w:r>
          </w:p>
        </w:tc>
      </w:tr>
      <w:tr w:rsidR="00B774D0" w:rsidRPr="00F82C8D" w:rsidTr="00FD066A">
        <w:tc>
          <w:tcPr>
            <w:tcW w:w="3261" w:type="dxa"/>
          </w:tcPr>
          <w:p w:rsidR="00DB293E" w:rsidRPr="00F82C8D" w:rsidRDefault="00B774D0" w:rsidP="00807424">
            <w:pPr>
              <w:pStyle w:val="ListParagraph"/>
              <w:spacing w:beforeLines="60" w:afterLines="60"/>
              <w:ind w:left="0"/>
              <w:rPr>
                <w:rFonts w:ascii="Arial" w:eastAsiaTheme="minorEastAsia" w:hAnsi="Arial" w:cs="Arial"/>
                <w:b/>
                <w:bCs/>
                <w:sz w:val="20"/>
                <w:szCs w:val="20"/>
                <w:lang w:val="en-US" w:bidi="en-US"/>
              </w:rPr>
            </w:pPr>
            <w:r w:rsidRPr="00F82C8D">
              <w:rPr>
                <w:rFonts w:ascii="Arial" w:hAnsi="Arial" w:cs="Arial"/>
                <w:sz w:val="20"/>
                <w:szCs w:val="20"/>
              </w:rPr>
              <w:t>Application deadline</w:t>
            </w:r>
          </w:p>
          <w:p w:rsidR="00DB293E" w:rsidRPr="00F82C8D" w:rsidRDefault="00B774D0" w:rsidP="00807424">
            <w:pPr>
              <w:pStyle w:val="ListParagraph"/>
              <w:spacing w:beforeLines="60" w:afterLines="60"/>
              <w:ind w:left="0"/>
              <w:rPr>
                <w:rFonts w:ascii="Arial" w:eastAsiaTheme="minorEastAsia" w:hAnsi="Arial" w:cs="Arial"/>
                <w:b/>
                <w:bCs/>
                <w:i/>
                <w:sz w:val="20"/>
                <w:szCs w:val="20"/>
                <w:lang w:val="en-US" w:bidi="en-US"/>
              </w:rPr>
            </w:pPr>
            <w:r w:rsidRPr="00F82C8D">
              <w:rPr>
                <w:rFonts w:ascii="Arial" w:hAnsi="Arial" w:cs="Arial"/>
                <w:i/>
                <w:sz w:val="20"/>
                <w:szCs w:val="20"/>
              </w:rPr>
              <w:t>National facility nomination</w:t>
            </w:r>
          </w:p>
        </w:tc>
        <w:tc>
          <w:tcPr>
            <w:tcW w:w="5873" w:type="dxa"/>
          </w:tcPr>
          <w:p w:rsidR="00DB293E" w:rsidRPr="00F82C8D" w:rsidRDefault="00B774D0" w:rsidP="00807424">
            <w:pPr>
              <w:pStyle w:val="ListParagraph"/>
              <w:spacing w:beforeLines="60" w:afterLines="60"/>
              <w:ind w:left="0"/>
              <w:rPr>
                <w:rFonts w:ascii="Arial" w:eastAsiaTheme="minorEastAsia" w:hAnsi="Arial" w:cs="Arial"/>
                <w:sz w:val="20"/>
                <w:szCs w:val="20"/>
                <w:lang w:val="en-US" w:bidi="en-US"/>
              </w:rPr>
            </w:pPr>
            <w:r w:rsidRPr="00F82C8D">
              <w:rPr>
                <w:rFonts w:ascii="Arial" w:hAnsi="Arial" w:cs="Arial"/>
                <w:sz w:val="20"/>
                <w:szCs w:val="20"/>
              </w:rPr>
              <w:t>The Regulator makes the baseline determination, but not</w:t>
            </w:r>
            <w:r w:rsidR="00B542F6" w:rsidRPr="00F82C8D">
              <w:rPr>
                <w:rFonts w:ascii="Arial" w:hAnsi="Arial" w:cs="Arial"/>
                <w:sz w:val="20"/>
                <w:szCs w:val="20"/>
              </w:rPr>
              <w:t xml:space="preserve"> in response to an application, </w:t>
            </w:r>
            <w:r w:rsidRPr="00F82C8D">
              <w:rPr>
                <w:rFonts w:ascii="Arial" w:hAnsi="Arial" w:cs="Arial"/>
                <w:sz w:val="20"/>
                <w:szCs w:val="20"/>
              </w:rPr>
              <w:t xml:space="preserve">however before a determination is made, the responsible emitter must make a nomination to report emissions for a national facility. </w:t>
            </w:r>
          </w:p>
          <w:p w:rsidR="00DB293E" w:rsidRPr="00F82C8D" w:rsidRDefault="00B774D0" w:rsidP="00807424">
            <w:pPr>
              <w:pStyle w:val="ListParagraph"/>
              <w:spacing w:beforeLines="60" w:afterLines="60"/>
              <w:ind w:left="0"/>
              <w:rPr>
                <w:rFonts w:ascii="Arial" w:eastAsiaTheme="minorEastAsia" w:hAnsi="Arial" w:cs="Arial"/>
                <w:sz w:val="20"/>
                <w:szCs w:val="20"/>
                <w:lang w:val="en-US" w:bidi="en-US"/>
              </w:rPr>
            </w:pPr>
            <w:r w:rsidRPr="00F82C8D">
              <w:rPr>
                <w:rFonts w:ascii="Arial" w:hAnsi="Arial" w:cs="Arial"/>
                <w:sz w:val="20"/>
                <w:szCs w:val="20"/>
              </w:rPr>
              <w:t>A nomination must be made before the year that the national definition will take effect and must take effect from 1 July of that financial year (</w:t>
            </w:r>
            <w:r w:rsidR="00F65BDD" w:rsidRPr="00F82C8D">
              <w:rPr>
                <w:rFonts w:ascii="Arial" w:hAnsi="Arial" w:cs="Arial"/>
                <w:sz w:val="20"/>
                <w:szCs w:val="20"/>
              </w:rPr>
              <w:t>r</w:t>
            </w:r>
            <w:r w:rsidRPr="00F82C8D">
              <w:rPr>
                <w:rFonts w:ascii="Arial" w:hAnsi="Arial" w:cs="Arial"/>
                <w:sz w:val="20"/>
                <w:szCs w:val="20"/>
              </w:rPr>
              <w:t>egulation 2.19A of the NGER Regulations). The facility nomination must be made in the form approved by the Regulator.</w:t>
            </w:r>
          </w:p>
        </w:tc>
      </w:tr>
      <w:tr w:rsidR="00B774D0" w:rsidRPr="00F82C8D" w:rsidTr="00FD066A">
        <w:tc>
          <w:tcPr>
            <w:tcW w:w="3261" w:type="dxa"/>
          </w:tcPr>
          <w:p w:rsidR="00DB293E" w:rsidRPr="00F82C8D" w:rsidRDefault="00B774D0" w:rsidP="00807424">
            <w:pPr>
              <w:pStyle w:val="ListParagraph"/>
              <w:spacing w:beforeLines="60" w:afterLines="60"/>
              <w:ind w:left="0"/>
              <w:rPr>
                <w:rFonts w:ascii="Arial" w:eastAsiaTheme="minorEastAsia" w:hAnsi="Arial" w:cs="Arial"/>
                <w:b/>
                <w:bCs/>
                <w:sz w:val="20"/>
                <w:szCs w:val="20"/>
                <w:lang w:val="en-US" w:bidi="en-US"/>
              </w:rPr>
            </w:pPr>
            <w:r w:rsidRPr="00F82C8D">
              <w:rPr>
                <w:rFonts w:ascii="Arial" w:hAnsi="Arial" w:cs="Arial"/>
                <w:sz w:val="20"/>
                <w:szCs w:val="20"/>
              </w:rPr>
              <w:t>Application information</w:t>
            </w:r>
          </w:p>
        </w:tc>
        <w:tc>
          <w:tcPr>
            <w:tcW w:w="5873" w:type="dxa"/>
          </w:tcPr>
          <w:p w:rsidR="00DB293E" w:rsidRPr="00F82C8D" w:rsidRDefault="00B774D0" w:rsidP="00807424">
            <w:pPr>
              <w:pStyle w:val="ListParagraph"/>
              <w:spacing w:beforeLines="60" w:afterLines="60"/>
              <w:ind w:left="0"/>
              <w:rPr>
                <w:rFonts w:ascii="Arial" w:eastAsiaTheme="minorEastAsia" w:hAnsi="Arial" w:cs="Arial"/>
                <w:sz w:val="20"/>
                <w:szCs w:val="20"/>
                <w:lang w:val="en-US" w:bidi="en-US"/>
              </w:rPr>
            </w:pPr>
            <w:r w:rsidRPr="00F82C8D">
              <w:rPr>
                <w:rFonts w:ascii="Arial" w:hAnsi="Arial" w:cs="Arial"/>
                <w:sz w:val="20"/>
                <w:szCs w:val="20"/>
              </w:rPr>
              <w:t>Not applicable.</w:t>
            </w:r>
          </w:p>
          <w:p w:rsidR="00DB293E" w:rsidRPr="00F82C8D" w:rsidRDefault="00B774D0" w:rsidP="00807424">
            <w:pPr>
              <w:pStyle w:val="ListParagraph"/>
              <w:spacing w:beforeLines="60" w:afterLines="60"/>
              <w:ind w:left="0"/>
              <w:rPr>
                <w:rFonts w:ascii="Arial" w:eastAsiaTheme="minorEastAsia" w:hAnsi="Arial" w:cs="Arial"/>
                <w:sz w:val="20"/>
                <w:szCs w:val="20"/>
                <w:lang w:val="en-US" w:bidi="en-US"/>
              </w:rPr>
            </w:pPr>
            <w:r w:rsidRPr="00F82C8D">
              <w:rPr>
                <w:rFonts w:ascii="Arial" w:hAnsi="Arial" w:cs="Arial"/>
                <w:sz w:val="20"/>
                <w:szCs w:val="20"/>
              </w:rPr>
              <w:t>This kind of baseline determination is made by the Regulator and not in response to an application.</w:t>
            </w:r>
          </w:p>
        </w:tc>
      </w:tr>
      <w:tr w:rsidR="00B774D0" w:rsidRPr="00F82C8D" w:rsidTr="00FD066A">
        <w:tc>
          <w:tcPr>
            <w:tcW w:w="3261" w:type="dxa"/>
          </w:tcPr>
          <w:p w:rsidR="00DB293E" w:rsidRPr="00F82C8D" w:rsidRDefault="00B774D0" w:rsidP="00807424">
            <w:pPr>
              <w:pStyle w:val="ListParagraph"/>
              <w:spacing w:beforeLines="60" w:afterLines="60"/>
              <w:ind w:left="0"/>
              <w:rPr>
                <w:rFonts w:ascii="Arial" w:eastAsiaTheme="minorEastAsia" w:hAnsi="Arial" w:cs="Arial"/>
                <w:b/>
                <w:bCs/>
                <w:sz w:val="20"/>
                <w:szCs w:val="20"/>
                <w:lang w:val="en-US" w:bidi="en-US"/>
              </w:rPr>
            </w:pPr>
            <w:r w:rsidRPr="00F82C8D">
              <w:rPr>
                <w:rFonts w:ascii="Arial" w:hAnsi="Arial" w:cs="Arial"/>
                <w:sz w:val="20"/>
                <w:szCs w:val="20"/>
              </w:rPr>
              <w:t>Audit requirement</w:t>
            </w:r>
          </w:p>
        </w:tc>
        <w:tc>
          <w:tcPr>
            <w:tcW w:w="5873" w:type="dxa"/>
          </w:tcPr>
          <w:p w:rsidR="00DB293E" w:rsidRPr="00F82C8D" w:rsidRDefault="00B774D0" w:rsidP="00807424">
            <w:pPr>
              <w:pStyle w:val="ListParagraph"/>
              <w:spacing w:beforeLines="60" w:afterLines="60"/>
              <w:ind w:left="0"/>
              <w:rPr>
                <w:rFonts w:ascii="Arial" w:eastAsiaTheme="minorEastAsia" w:hAnsi="Arial" w:cs="Arial"/>
                <w:sz w:val="20"/>
                <w:szCs w:val="20"/>
                <w:lang w:val="en-US" w:bidi="en-US"/>
              </w:rPr>
            </w:pPr>
            <w:r w:rsidRPr="00F82C8D">
              <w:rPr>
                <w:rFonts w:ascii="Arial" w:hAnsi="Arial" w:cs="Arial"/>
                <w:sz w:val="20"/>
                <w:szCs w:val="20"/>
              </w:rPr>
              <w:t>Not applicable.</w:t>
            </w:r>
          </w:p>
        </w:tc>
      </w:tr>
      <w:tr w:rsidR="00B774D0" w:rsidRPr="00F82C8D" w:rsidTr="00FD066A">
        <w:tc>
          <w:tcPr>
            <w:tcW w:w="3261" w:type="dxa"/>
          </w:tcPr>
          <w:p w:rsidR="00DB293E" w:rsidRPr="00F82C8D" w:rsidRDefault="00B774D0" w:rsidP="00807424">
            <w:pPr>
              <w:pStyle w:val="ListParagraph"/>
              <w:spacing w:beforeLines="60" w:afterLines="60"/>
              <w:ind w:left="0"/>
              <w:rPr>
                <w:rFonts w:ascii="Arial" w:eastAsiaTheme="minorEastAsia" w:hAnsi="Arial" w:cs="Arial"/>
                <w:b/>
                <w:bCs/>
                <w:sz w:val="20"/>
                <w:szCs w:val="20"/>
                <w:lang w:val="en-US" w:bidi="en-US"/>
              </w:rPr>
            </w:pPr>
            <w:r w:rsidRPr="00F82C8D">
              <w:rPr>
                <w:rFonts w:ascii="Arial" w:hAnsi="Arial" w:cs="Arial"/>
                <w:sz w:val="20"/>
                <w:szCs w:val="20"/>
              </w:rPr>
              <w:t>Baseline emissions number</w:t>
            </w:r>
          </w:p>
        </w:tc>
        <w:tc>
          <w:tcPr>
            <w:tcW w:w="5873" w:type="dxa"/>
          </w:tcPr>
          <w:p w:rsidR="00DB293E" w:rsidRPr="00F82C8D" w:rsidRDefault="00B774D0" w:rsidP="00807424">
            <w:pPr>
              <w:pStyle w:val="ListParagraph"/>
              <w:spacing w:beforeLines="60" w:afterLines="60"/>
              <w:ind w:left="0"/>
              <w:rPr>
                <w:rFonts w:ascii="Arial" w:eastAsiaTheme="minorEastAsia" w:hAnsi="Arial" w:cs="Arial"/>
                <w:sz w:val="20"/>
                <w:szCs w:val="20"/>
                <w:lang w:val="en-US" w:bidi="en-US"/>
              </w:rPr>
            </w:pPr>
            <w:r w:rsidRPr="00F82C8D">
              <w:rPr>
                <w:rFonts w:ascii="Arial" w:hAnsi="Arial" w:cs="Arial"/>
                <w:sz w:val="20"/>
                <w:szCs w:val="20"/>
              </w:rPr>
              <w:t>Based on the highest annual emissions of aggregated covered emissions from state based transport facilities that make up the national definition, during the five financial years beginning on 1 July 2009 (section 17).</w:t>
            </w:r>
          </w:p>
        </w:tc>
      </w:tr>
      <w:tr w:rsidR="00B774D0" w:rsidRPr="00F82C8D" w:rsidTr="00FD066A">
        <w:tc>
          <w:tcPr>
            <w:tcW w:w="3261" w:type="dxa"/>
          </w:tcPr>
          <w:p w:rsidR="00DB293E" w:rsidRPr="00F82C8D" w:rsidRDefault="00B774D0" w:rsidP="00807424">
            <w:pPr>
              <w:pStyle w:val="ListParagraph"/>
              <w:spacing w:beforeLines="60" w:afterLines="60"/>
              <w:ind w:left="0"/>
              <w:rPr>
                <w:rFonts w:ascii="Arial" w:eastAsiaTheme="minorEastAsia" w:hAnsi="Arial" w:cs="Arial"/>
                <w:b/>
                <w:bCs/>
                <w:sz w:val="20"/>
                <w:szCs w:val="20"/>
                <w:lang w:val="en-US" w:bidi="en-US"/>
              </w:rPr>
            </w:pPr>
            <w:r w:rsidRPr="00F82C8D">
              <w:rPr>
                <w:rFonts w:ascii="Arial" w:hAnsi="Arial" w:cs="Arial"/>
                <w:sz w:val="20"/>
                <w:szCs w:val="20"/>
              </w:rPr>
              <w:t>Commencement</w:t>
            </w:r>
          </w:p>
        </w:tc>
        <w:tc>
          <w:tcPr>
            <w:tcW w:w="5873" w:type="dxa"/>
          </w:tcPr>
          <w:p w:rsidR="00DB293E" w:rsidRPr="00F82C8D" w:rsidRDefault="00B774D0" w:rsidP="00807424">
            <w:pPr>
              <w:pStyle w:val="ListParagraph"/>
              <w:spacing w:beforeLines="60" w:afterLines="60"/>
              <w:ind w:left="0"/>
              <w:rPr>
                <w:rFonts w:ascii="Arial" w:eastAsiaTheme="minorEastAsia" w:hAnsi="Arial" w:cs="Arial"/>
                <w:sz w:val="20"/>
                <w:szCs w:val="20"/>
                <w:lang w:val="en-US" w:bidi="en-US"/>
              </w:rPr>
            </w:pPr>
            <w:r w:rsidRPr="00F82C8D">
              <w:rPr>
                <w:rFonts w:ascii="Arial" w:hAnsi="Arial" w:cs="Arial"/>
                <w:sz w:val="20"/>
                <w:szCs w:val="20"/>
              </w:rPr>
              <w:t>Commences on the first 1 July after the nomination is made. For Pear Co this is 1 July 2016 (section 18).</w:t>
            </w:r>
          </w:p>
        </w:tc>
      </w:tr>
      <w:tr w:rsidR="00B774D0" w:rsidRPr="00F82C8D" w:rsidTr="00FD066A">
        <w:tc>
          <w:tcPr>
            <w:tcW w:w="3261" w:type="dxa"/>
          </w:tcPr>
          <w:p w:rsidR="00DB293E" w:rsidRPr="00F82C8D" w:rsidRDefault="00B774D0" w:rsidP="00807424">
            <w:pPr>
              <w:pStyle w:val="ListParagraph"/>
              <w:spacing w:beforeLines="60" w:afterLines="60"/>
              <w:ind w:left="0"/>
              <w:rPr>
                <w:rFonts w:ascii="Arial" w:eastAsiaTheme="minorEastAsia" w:hAnsi="Arial" w:cs="Arial"/>
                <w:b/>
                <w:bCs/>
                <w:sz w:val="20"/>
                <w:szCs w:val="20"/>
                <w:lang w:val="en-US" w:bidi="en-US"/>
              </w:rPr>
            </w:pPr>
            <w:r w:rsidRPr="00F82C8D">
              <w:rPr>
                <w:rFonts w:ascii="Arial" w:hAnsi="Arial" w:cs="Arial"/>
                <w:sz w:val="20"/>
                <w:szCs w:val="20"/>
              </w:rPr>
              <w:t>Expiry</w:t>
            </w:r>
          </w:p>
        </w:tc>
        <w:tc>
          <w:tcPr>
            <w:tcW w:w="5873" w:type="dxa"/>
          </w:tcPr>
          <w:p w:rsidR="00B774D0" w:rsidRPr="00F82C8D" w:rsidRDefault="00B774D0" w:rsidP="00807424">
            <w:pPr>
              <w:spacing w:beforeLines="60" w:afterLines="60"/>
              <w:rPr>
                <w:rFonts w:ascii="Arial" w:hAnsi="Arial" w:cs="Arial"/>
                <w:sz w:val="20"/>
                <w:szCs w:val="20"/>
              </w:rPr>
            </w:pPr>
            <w:r w:rsidRPr="00F82C8D">
              <w:rPr>
                <w:rFonts w:ascii="Arial" w:hAnsi="Arial" w:cs="Arial"/>
                <w:sz w:val="20"/>
                <w:szCs w:val="20"/>
              </w:rPr>
              <w:t>This determination applies until it is replaced by another determination. It also comes back into force at the expiry of any subsequent determinations (section 18).</w:t>
            </w:r>
          </w:p>
        </w:tc>
      </w:tr>
    </w:tbl>
    <w:p w:rsidR="00B774D0" w:rsidRPr="00F82C8D" w:rsidRDefault="00B774D0" w:rsidP="00B774D0"/>
    <w:p w:rsidR="00B774D0" w:rsidRPr="00F82C8D" w:rsidRDefault="00B774D0" w:rsidP="00B774D0"/>
    <w:p w:rsidR="00BC45A8" w:rsidRPr="00F82C8D" w:rsidRDefault="00BC45A8" w:rsidP="00BC45A8">
      <w:pPr>
        <w:keepNext/>
        <w:spacing w:line="240" w:lineRule="auto"/>
        <w:jc w:val="center"/>
        <w:rPr>
          <w:rFonts w:ascii="Calibri" w:eastAsia="Calibri" w:hAnsi="Calibri" w:cs="Times New Roman"/>
          <w:b/>
          <w:bCs/>
          <w:color w:val="4F81BD"/>
          <w:sz w:val="18"/>
          <w:szCs w:val="18"/>
          <w:lang w:val="en-AU" w:bidi="ar-SA"/>
        </w:rPr>
      </w:pPr>
    </w:p>
    <w:p w:rsidR="00BC45A8" w:rsidRPr="00F82C8D" w:rsidRDefault="00BC45A8" w:rsidP="00BC45A8">
      <w:pPr>
        <w:rPr>
          <w:lang w:val="en-AU"/>
        </w:rPr>
      </w:pPr>
    </w:p>
    <w:p w:rsidR="00A3462C" w:rsidRPr="00F82C8D" w:rsidRDefault="00A3462C">
      <w:pPr>
        <w:rPr>
          <w:rFonts w:eastAsia="Calibri" w:cs="Times New Roman"/>
          <w:b/>
          <w:sz w:val="28"/>
          <w:szCs w:val="28"/>
          <w:lang w:val="en-AU" w:bidi="ar-SA"/>
        </w:rPr>
      </w:pPr>
      <w:r w:rsidRPr="00F82C8D">
        <w:rPr>
          <w:rFonts w:eastAsia="Calibri" w:cs="Times New Roman"/>
          <w:b/>
          <w:sz w:val="28"/>
          <w:szCs w:val="28"/>
          <w:lang w:val="en-AU" w:bidi="ar-SA"/>
        </w:rPr>
        <w:br w:type="page"/>
      </w:r>
    </w:p>
    <w:p w:rsidR="00DC2428" w:rsidRPr="00F82C8D" w:rsidRDefault="00DC2428" w:rsidP="005A3F65">
      <w:pPr>
        <w:pStyle w:val="Heading1"/>
        <w:pBdr>
          <w:top w:val="none" w:sz="0" w:space="0" w:color="auto"/>
          <w:bottom w:val="none" w:sz="0" w:space="0" w:color="auto"/>
        </w:pBdr>
        <w:jc w:val="center"/>
        <w:rPr>
          <w:rFonts w:eastAsia="Calibri"/>
          <w:lang w:bidi="ar-SA"/>
        </w:rPr>
      </w:pPr>
      <w:bookmarkStart w:id="178" w:name="_Ref427857344"/>
      <w:bookmarkStart w:id="179" w:name="_Toc431975867"/>
      <w:r w:rsidRPr="00F82C8D">
        <w:rPr>
          <w:rFonts w:eastAsia="Calibri"/>
          <w:lang w:bidi="ar-SA"/>
        </w:rPr>
        <w:t>Statement of Compatibility with Human Rights</w:t>
      </w:r>
      <w:bookmarkEnd w:id="178"/>
      <w:bookmarkEnd w:id="179"/>
    </w:p>
    <w:p w:rsidR="00DC2428" w:rsidRPr="00F82C8D" w:rsidRDefault="00DC2428" w:rsidP="00DC2428">
      <w:pPr>
        <w:spacing w:after="120"/>
        <w:jc w:val="center"/>
        <w:rPr>
          <w:rFonts w:eastAsia="Calibri" w:cs="Times New Roman"/>
          <w:szCs w:val="24"/>
          <w:lang w:val="en-AU" w:bidi="ar-SA"/>
        </w:rPr>
      </w:pPr>
      <w:r w:rsidRPr="00F82C8D">
        <w:rPr>
          <w:rFonts w:eastAsia="Calibri" w:cs="Times New Roman"/>
          <w:i/>
          <w:szCs w:val="24"/>
          <w:lang w:val="en-AU" w:bidi="ar-SA"/>
        </w:rPr>
        <w:t>Prepared in accordance with Part 3 of the Human Rights (Parliamentary Scrutiny) Act 2011</w:t>
      </w:r>
    </w:p>
    <w:p w:rsidR="00DC2428" w:rsidRPr="00F82C8D" w:rsidRDefault="00DC2428" w:rsidP="00DC2428">
      <w:pPr>
        <w:spacing w:after="120"/>
        <w:jc w:val="center"/>
        <w:rPr>
          <w:rFonts w:eastAsia="Calibri" w:cs="Times New Roman"/>
          <w:b/>
          <w:szCs w:val="24"/>
          <w:lang w:val="en-AU" w:bidi="ar-SA"/>
        </w:rPr>
      </w:pPr>
      <w:r w:rsidRPr="00F82C8D">
        <w:rPr>
          <w:rFonts w:eastAsia="Calibri" w:cs="Times New Roman"/>
          <w:b/>
          <w:szCs w:val="24"/>
          <w:lang w:val="en-AU" w:bidi="ar-SA"/>
        </w:rPr>
        <w:t xml:space="preserve">National Greenhouse and Energy Reporting (Safeguard Mechanism) Rule 2015 </w:t>
      </w:r>
    </w:p>
    <w:p w:rsidR="00DC2428" w:rsidRPr="00F82C8D" w:rsidRDefault="00DC2428" w:rsidP="00DC2428">
      <w:pPr>
        <w:spacing w:after="120"/>
        <w:jc w:val="center"/>
        <w:rPr>
          <w:rFonts w:eastAsia="Calibri" w:cs="Times New Roman"/>
          <w:szCs w:val="24"/>
          <w:lang w:val="en-AU" w:bidi="ar-SA"/>
        </w:rPr>
      </w:pPr>
      <w:r w:rsidRPr="00F82C8D">
        <w:rPr>
          <w:rFonts w:eastAsia="Calibri" w:cs="Times New Roman"/>
          <w:szCs w:val="24"/>
          <w:lang w:val="en-AU" w:bidi="ar-SA"/>
        </w:rPr>
        <w:t xml:space="preserve">This Legislative Instrument is compatible with the human rights and freedoms recognised or declared in the international instruments listed in section 3 of the </w:t>
      </w:r>
      <w:r w:rsidRPr="00F82C8D">
        <w:rPr>
          <w:rFonts w:eastAsia="Calibri" w:cs="Times New Roman"/>
          <w:i/>
          <w:szCs w:val="24"/>
          <w:lang w:val="en-AU" w:bidi="ar-SA"/>
        </w:rPr>
        <w:t>Human Rights (Parliamentary Scrutiny) Act 2011</w:t>
      </w:r>
      <w:r w:rsidRPr="00F82C8D">
        <w:rPr>
          <w:rFonts w:eastAsia="Calibri" w:cs="Times New Roman"/>
          <w:szCs w:val="24"/>
          <w:lang w:val="en-AU" w:bidi="ar-SA"/>
        </w:rPr>
        <w:t>.</w:t>
      </w:r>
    </w:p>
    <w:p w:rsidR="00DC2428" w:rsidRPr="00F82C8D" w:rsidRDefault="00DC2428" w:rsidP="00DC2428">
      <w:pPr>
        <w:spacing w:after="120"/>
        <w:jc w:val="both"/>
        <w:rPr>
          <w:rFonts w:eastAsia="Calibri" w:cs="Times New Roman"/>
          <w:b/>
          <w:szCs w:val="24"/>
          <w:lang w:val="en-AU" w:bidi="ar-SA"/>
        </w:rPr>
      </w:pPr>
      <w:r w:rsidRPr="00F82C8D">
        <w:rPr>
          <w:rFonts w:eastAsia="Calibri" w:cs="Times New Roman"/>
          <w:b/>
          <w:szCs w:val="24"/>
          <w:lang w:val="en-AU" w:bidi="ar-SA"/>
        </w:rPr>
        <w:t>Overview of the Legislative Instrument</w:t>
      </w:r>
    </w:p>
    <w:p w:rsidR="00DC2428" w:rsidRPr="00F82C8D" w:rsidRDefault="00DC2428" w:rsidP="00DC2428">
      <w:pPr>
        <w:spacing w:after="120"/>
        <w:rPr>
          <w:rFonts w:eastAsia="Calibri" w:cs="Times New Roman"/>
          <w:szCs w:val="24"/>
          <w:lang w:val="en-AU" w:bidi="ar-SA"/>
        </w:rPr>
      </w:pPr>
      <w:r w:rsidRPr="00F82C8D">
        <w:rPr>
          <w:rFonts w:eastAsia="Calibri" w:cs="Times New Roman"/>
          <w:szCs w:val="24"/>
          <w:lang w:val="en-AU" w:bidi="ar-SA"/>
        </w:rPr>
        <w:t xml:space="preserve">The safeguard mechanism, to commence in the </w:t>
      </w:r>
      <w:r w:rsidRPr="00F82C8D">
        <w:rPr>
          <w:rFonts w:eastAsia="Calibri" w:cs="Times New Roman"/>
          <w:i/>
          <w:szCs w:val="24"/>
          <w:lang w:val="en-AU" w:bidi="ar-SA"/>
        </w:rPr>
        <w:t>National Greenhouse and Energy Reporting Act 2007</w:t>
      </w:r>
      <w:r w:rsidRPr="00F82C8D">
        <w:rPr>
          <w:rFonts w:eastAsia="Calibri" w:cs="Times New Roman"/>
          <w:szCs w:val="24"/>
          <w:lang w:val="en-AU" w:bidi="ar-SA"/>
        </w:rPr>
        <w:t xml:space="preserve"> (the Act) on 1 July 2016, is dependent upon a number of legislative rules to be made by the Minister for the Environment under section 22XS of the Act.</w:t>
      </w:r>
    </w:p>
    <w:p w:rsidR="00DC2428" w:rsidRPr="00F82C8D" w:rsidRDefault="00DC2428" w:rsidP="00DC2428">
      <w:pPr>
        <w:spacing w:after="120"/>
        <w:rPr>
          <w:rFonts w:eastAsia="Calibri" w:cs="Times New Roman"/>
          <w:szCs w:val="24"/>
          <w:lang w:val="en-AU" w:bidi="ar-SA"/>
        </w:rPr>
      </w:pPr>
      <w:r w:rsidRPr="00F82C8D">
        <w:rPr>
          <w:rFonts w:eastAsia="Calibri" w:cs="Times New Roman"/>
          <w:szCs w:val="24"/>
          <w:lang w:val="en-AU" w:bidi="ar-SA"/>
        </w:rPr>
        <w:t xml:space="preserve">The </w:t>
      </w:r>
      <w:r w:rsidRPr="00F82C8D">
        <w:rPr>
          <w:rFonts w:eastAsia="Calibri" w:cs="Times New Roman"/>
          <w:i/>
          <w:szCs w:val="24"/>
          <w:lang w:val="en-AU" w:bidi="ar-SA"/>
        </w:rPr>
        <w:t>National Greenhouse and Energy Reporting (Safeguard Mechanism) Rule 2015</w:t>
      </w:r>
      <w:r w:rsidRPr="00F82C8D">
        <w:rPr>
          <w:rFonts w:eastAsia="Calibri" w:cs="Times New Roman"/>
          <w:szCs w:val="24"/>
          <w:lang w:val="en-AU" w:bidi="ar-SA"/>
        </w:rPr>
        <w:t xml:space="preserve"> (the </w:t>
      </w:r>
      <w:r w:rsidR="00D360AB" w:rsidRPr="00F82C8D">
        <w:rPr>
          <w:rFonts w:eastAsia="Calibri" w:cs="Times New Roman"/>
          <w:szCs w:val="24"/>
          <w:lang w:val="en-AU" w:bidi="ar-SA"/>
        </w:rPr>
        <w:t>safeguard rule</w:t>
      </w:r>
      <w:r w:rsidRPr="00F82C8D">
        <w:rPr>
          <w:rFonts w:eastAsia="Calibri" w:cs="Times New Roman"/>
          <w:szCs w:val="24"/>
          <w:lang w:val="en-AU" w:bidi="ar-SA"/>
        </w:rPr>
        <w:t xml:space="preserve">) </w:t>
      </w:r>
      <w:r w:rsidR="00B46498" w:rsidRPr="00F82C8D">
        <w:rPr>
          <w:rFonts w:eastAsia="Calibri" w:cs="Times New Roman"/>
          <w:szCs w:val="24"/>
          <w:lang w:val="en-AU" w:bidi="ar-SA"/>
        </w:rPr>
        <w:t>outlines</w:t>
      </w:r>
      <w:r w:rsidRPr="00F82C8D">
        <w:rPr>
          <w:rFonts w:eastAsia="Calibri" w:cs="Times New Roman"/>
          <w:szCs w:val="24"/>
          <w:lang w:val="en-AU" w:bidi="ar-SA"/>
        </w:rPr>
        <w:t xml:space="preserve"> key elements of a responsible emitter’s duty to avoid an excess emissions situation and provides detail on how a responsible emitter can meet that duty. The duty, established under the Act, requires responsible emitters to keep their net emissions number below their baseline emissions number. The primary role of the </w:t>
      </w:r>
      <w:r w:rsidR="00D360AB" w:rsidRPr="00F82C8D">
        <w:rPr>
          <w:rFonts w:eastAsia="Calibri" w:cs="Times New Roman"/>
          <w:szCs w:val="24"/>
          <w:lang w:val="en-AU" w:bidi="ar-SA"/>
        </w:rPr>
        <w:t>safeguard rule</w:t>
      </w:r>
      <w:r w:rsidRPr="00F82C8D">
        <w:rPr>
          <w:rFonts w:eastAsia="Calibri" w:cs="Times New Roman"/>
          <w:szCs w:val="24"/>
          <w:lang w:val="en-AU" w:bidi="ar-SA"/>
        </w:rPr>
        <w:t xml:space="preserve"> is the establishment of a baseline emissions number for a designated large facility and a range of information needs to be collected for the Regulator to determine the appropriate baseline emissions number for each facility.</w:t>
      </w:r>
    </w:p>
    <w:p w:rsidR="00DC2428" w:rsidRPr="00F82C8D" w:rsidRDefault="00DC2428" w:rsidP="00DC2428">
      <w:pPr>
        <w:spacing w:after="120"/>
        <w:rPr>
          <w:rFonts w:eastAsia="Calibri" w:cs="Times New Roman"/>
          <w:szCs w:val="24"/>
          <w:lang w:val="en-AU" w:bidi="ar-SA"/>
        </w:rPr>
      </w:pPr>
      <w:r w:rsidRPr="00F82C8D">
        <w:rPr>
          <w:rFonts w:eastAsia="Calibri" w:cs="Times New Roman"/>
          <w:szCs w:val="24"/>
          <w:lang w:val="en-AU" w:bidi="ar-SA"/>
        </w:rPr>
        <w:t xml:space="preserve">Responsible emitters are persons with operational control of a designated large facility, typically corporations or their group members. Operational control is defined in sections 11, 11A and 11B of the Act. The basic rule for operational control is that it is held by the person that has the greatest ability to introduce and implement operational environmental and health and safety policies for a facility. </w:t>
      </w:r>
    </w:p>
    <w:p w:rsidR="00DC2428" w:rsidRPr="00F82C8D" w:rsidRDefault="00DC2428" w:rsidP="00DC2428">
      <w:pPr>
        <w:spacing w:after="120"/>
        <w:rPr>
          <w:rFonts w:eastAsia="Calibri" w:cs="Times New Roman"/>
          <w:szCs w:val="24"/>
          <w:lang w:val="en-AU"/>
        </w:rPr>
      </w:pPr>
      <w:r w:rsidRPr="00F82C8D">
        <w:rPr>
          <w:rFonts w:eastAsia="Calibri" w:cs="Times New Roman"/>
          <w:szCs w:val="24"/>
          <w:lang w:val="en-AU" w:bidi="ar-SA"/>
        </w:rPr>
        <w:t xml:space="preserve">The </w:t>
      </w:r>
      <w:r w:rsidR="00D360AB" w:rsidRPr="00F82C8D">
        <w:rPr>
          <w:rFonts w:eastAsia="Calibri" w:cs="Times New Roman"/>
          <w:szCs w:val="24"/>
          <w:lang w:val="en-AU" w:bidi="ar-SA"/>
        </w:rPr>
        <w:t>safeguard rule</w:t>
      </w:r>
      <w:r w:rsidRPr="00F82C8D">
        <w:rPr>
          <w:rFonts w:eastAsia="Calibri" w:cs="Times New Roman"/>
          <w:szCs w:val="24"/>
          <w:lang w:val="en-AU" w:bidi="ar-SA"/>
        </w:rPr>
        <w:t xml:space="preserve"> establishes that a designated large facility is a </w:t>
      </w:r>
      <w:r w:rsidRPr="00F82C8D">
        <w:rPr>
          <w:rFonts w:eastAsia="Calibri" w:cs="Times New Roman"/>
          <w:szCs w:val="24"/>
          <w:lang w:val="en-AU"/>
        </w:rPr>
        <w:t xml:space="preserve">facility which, in a single financial year, reports 100,000 tonnes or more of direct emissions under the Act. The Government expects this threshold to </w:t>
      </w:r>
      <w:r w:rsidR="00B46498" w:rsidRPr="00F82C8D">
        <w:rPr>
          <w:rFonts w:eastAsia="Calibri" w:cs="Times New Roman"/>
          <w:szCs w:val="24"/>
          <w:lang w:val="en-AU"/>
        </w:rPr>
        <w:t>result in the coverage of</w:t>
      </w:r>
      <w:r w:rsidRPr="00F82C8D">
        <w:rPr>
          <w:rFonts w:eastAsia="Calibri" w:cs="Times New Roman"/>
          <w:szCs w:val="24"/>
          <w:lang w:val="en-AU"/>
        </w:rPr>
        <w:t xml:space="preserve"> </w:t>
      </w:r>
      <w:r w:rsidRPr="00F82C8D">
        <w:rPr>
          <w:rFonts w:cs="Times New Roman"/>
          <w:szCs w:val="24"/>
        </w:rPr>
        <w:t xml:space="preserve">around </w:t>
      </w:r>
      <w:r w:rsidRPr="00F82C8D">
        <w:rPr>
          <w:rFonts w:cs="Times New Roman"/>
          <w:color w:val="000000" w:themeColor="text1"/>
          <w:szCs w:val="24"/>
        </w:rPr>
        <w:t>140 large businesses.</w:t>
      </w:r>
    </w:p>
    <w:p w:rsidR="00DC2428" w:rsidRPr="00F82C8D" w:rsidRDefault="00DC2428" w:rsidP="00DC2428">
      <w:pPr>
        <w:spacing w:after="120"/>
        <w:rPr>
          <w:rFonts w:eastAsia="Calibri" w:cs="Times New Roman"/>
          <w:b/>
          <w:szCs w:val="24"/>
          <w:lang w:val="en-AU" w:bidi="ar-SA"/>
        </w:rPr>
      </w:pPr>
      <w:r w:rsidRPr="00F82C8D">
        <w:rPr>
          <w:rFonts w:eastAsia="Calibri" w:cs="Times New Roman"/>
          <w:b/>
          <w:szCs w:val="24"/>
          <w:lang w:val="en-AU" w:bidi="ar-SA"/>
        </w:rPr>
        <w:t>Human rights implications</w:t>
      </w:r>
    </w:p>
    <w:p w:rsidR="00DB293E" w:rsidRPr="00F82C8D" w:rsidRDefault="00DC2428">
      <w:pPr>
        <w:spacing w:after="0"/>
        <w:contextualSpacing/>
        <w:rPr>
          <w:rFonts w:cs="Times New Roman"/>
          <w:szCs w:val="24"/>
        </w:rPr>
      </w:pPr>
      <w:r w:rsidRPr="00F82C8D">
        <w:rPr>
          <w:rFonts w:eastAsia="Calibri" w:cs="Times New Roman"/>
          <w:color w:val="000000"/>
          <w:szCs w:val="24"/>
          <w:lang w:val="en-AU" w:bidi="ar-SA"/>
        </w:rPr>
        <w:t xml:space="preserve">The human right engaged by the </w:t>
      </w:r>
      <w:r w:rsidR="00D360AB" w:rsidRPr="00F82C8D">
        <w:rPr>
          <w:rFonts w:eastAsia="Calibri" w:cs="Times New Roman"/>
          <w:color w:val="000000"/>
          <w:szCs w:val="24"/>
          <w:lang w:val="en-AU" w:bidi="ar-SA"/>
        </w:rPr>
        <w:t>safeguard rule</w:t>
      </w:r>
      <w:r w:rsidR="00B46498" w:rsidRPr="00F82C8D">
        <w:rPr>
          <w:rFonts w:eastAsia="Calibri" w:cs="Times New Roman"/>
          <w:color w:val="000000"/>
          <w:szCs w:val="24"/>
          <w:lang w:val="en-AU" w:bidi="ar-SA"/>
        </w:rPr>
        <w:t xml:space="preserve"> are the following</w:t>
      </w:r>
      <w:r w:rsidRPr="00F82C8D">
        <w:rPr>
          <w:rFonts w:cs="Times New Roman"/>
          <w:i/>
          <w:szCs w:val="24"/>
        </w:rPr>
        <w:t xml:space="preserve"> </w:t>
      </w:r>
      <w:r w:rsidRPr="00F82C8D">
        <w:rPr>
          <w:rFonts w:cs="Times New Roman"/>
          <w:szCs w:val="24"/>
        </w:rPr>
        <w:t xml:space="preserve">privacy and reputation aspects (such as those protected by </w:t>
      </w:r>
      <w:r w:rsidRPr="00F82C8D">
        <w:rPr>
          <w:szCs w:val="24"/>
        </w:rPr>
        <w:t>Article 17(1) of the International Covenant on Civil and Political Rights)</w:t>
      </w:r>
      <w:r w:rsidRPr="00F82C8D">
        <w:rPr>
          <w:rFonts w:cs="Times New Roman"/>
          <w:szCs w:val="24"/>
        </w:rPr>
        <w:t>:</w:t>
      </w:r>
    </w:p>
    <w:p w:rsidR="00DB293E" w:rsidRPr="00F82C8D" w:rsidRDefault="00DC2428">
      <w:pPr>
        <w:pStyle w:val="ListParagraph"/>
        <w:keepLines w:val="0"/>
        <w:numPr>
          <w:ilvl w:val="0"/>
          <w:numId w:val="29"/>
        </w:numPr>
        <w:tabs>
          <w:tab w:val="clear" w:pos="0"/>
        </w:tabs>
        <w:autoSpaceDE w:val="0"/>
        <w:autoSpaceDN w:val="0"/>
        <w:adjustRightInd w:val="0"/>
        <w:spacing w:before="120" w:after="0" w:line="276" w:lineRule="auto"/>
        <w:ind w:left="357" w:hanging="357"/>
        <w:rPr>
          <w:rFonts w:eastAsia="Times New Roman"/>
        </w:rPr>
      </w:pPr>
      <w:r w:rsidRPr="00F82C8D">
        <w:rPr>
          <w:rFonts w:eastAsia="Times New Roman"/>
        </w:rPr>
        <w:t>Identifying facilities that are designated large facilities an</w:t>
      </w:r>
      <w:r w:rsidR="00B46498" w:rsidRPr="00F82C8D">
        <w:rPr>
          <w:rFonts w:eastAsia="Times New Roman"/>
        </w:rPr>
        <w:t xml:space="preserve">d quantifying the duty described </w:t>
      </w:r>
      <w:r w:rsidRPr="00F82C8D">
        <w:rPr>
          <w:rFonts w:eastAsia="Times New Roman"/>
        </w:rPr>
        <w:t>above, depends on responsible emitters registering and submitting reports under the Act.</w:t>
      </w:r>
      <w:r w:rsidR="00394E74" w:rsidRPr="00F82C8D">
        <w:rPr>
          <w:rFonts w:eastAsia="Times New Roman"/>
        </w:rPr>
        <w:t xml:space="preserve"> </w:t>
      </w:r>
      <w:r w:rsidRPr="00F82C8D">
        <w:rPr>
          <w:rFonts w:eastAsia="Times New Roman"/>
        </w:rPr>
        <w:t xml:space="preserve">The </w:t>
      </w:r>
      <w:r w:rsidR="00D360AB" w:rsidRPr="00F82C8D">
        <w:rPr>
          <w:rFonts w:eastAsia="Times New Roman"/>
        </w:rPr>
        <w:t>safeguard rule</w:t>
      </w:r>
      <w:r w:rsidRPr="00F82C8D">
        <w:rPr>
          <w:rFonts w:eastAsia="Times New Roman"/>
        </w:rPr>
        <w:t xml:space="preserve"> sets out the information to be included in a registration application under section 15B of the Act, which may include identifying information.</w:t>
      </w:r>
    </w:p>
    <w:p w:rsidR="00DB293E" w:rsidRPr="00F82C8D" w:rsidRDefault="00DC2428">
      <w:pPr>
        <w:pStyle w:val="ListParagraph"/>
        <w:keepLines w:val="0"/>
        <w:numPr>
          <w:ilvl w:val="0"/>
          <w:numId w:val="29"/>
        </w:numPr>
        <w:tabs>
          <w:tab w:val="clear" w:pos="0"/>
        </w:tabs>
        <w:autoSpaceDE w:val="0"/>
        <w:autoSpaceDN w:val="0"/>
        <w:adjustRightInd w:val="0"/>
        <w:spacing w:after="0" w:line="276" w:lineRule="auto"/>
        <w:ind w:left="360"/>
        <w:rPr>
          <w:rFonts w:eastAsia="Times New Roman"/>
        </w:rPr>
      </w:pPr>
      <w:r w:rsidRPr="00F82C8D">
        <w:rPr>
          <w:rFonts w:eastAsia="Times New Roman"/>
        </w:rPr>
        <w:t xml:space="preserve">Supporting transparency about the implementation of the safeguard rule, the </w:t>
      </w:r>
      <w:r w:rsidR="00D360AB" w:rsidRPr="00F82C8D">
        <w:rPr>
          <w:rFonts w:eastAsia="Times New Roman"/>
        </w:rPr>
        <w:t>safeguard rule</w:t>
      </w:r>
      <w:r w:rsidRPr="00F82C8D">
        <w:rPr>
          <w:rFonts w:eastAsia="Times New Roman"/>
        </w:rPr>
        <w:t xml:space="preserve"> requires the Clean Energy Regulator to publish information about designated large facilities. This information includes a responsible emitter’s duty to avoid </w:t>
      </w:r>
      <w:r w:rsidR="00B46498" w:rsidRPr="00F82C8D">
        <w:rPr>
          <w:rFonts w:eastAsia="Times New Roman"/>
        </w:rPr>
        <w:t>an</w:t>
      </w:r>
      <w:r w:rsidR="00FA0A03" w:rsidRPr="00F82C8D">
        <w:rPr>
          <w:rFonts w:eastAsia="Times New Roman"/>
        </w:rPr>
        <w:t xml:space="preserve"> </w:t>
      </w:r>
      <w:r w:rsidRPr="00F82C8D">
        <w:rPr>
          <w:rFonts w:eastAsia="Times New Roman"/>
        </w:rPr>
        <w:t>excess emissions situation and situations where the duty has not been met.</w:t>
      </w:r>
    </w:p>
    <w:p w:rsidR="00DB293E" w:rsidRPr="00F82C8D" w:rsidRDefault="00DB293E">
      <w:pPr>
        <w:pStyle w:val="ListParagraph"/>
        <w:keepLines w:val="0"/>
        <w:numPr>
          <w:ilvl w:val="0"/>
          <w:numId w:val="0"/>
        </w:numPr>
        <w:tabs>
          <w:tab w:val="clear" w:pos="0"/>
        </w:tabs>
        <w:autoSpaceDE w:val="0"/>
        <w:autoSpaceDN w:val="0"/>
        <w:adjustRightInd w:val="0"/>
        <w:spacing w:before="0" w:after="0" w:line="276" w:lineRule="auto"/>
        <w:ind w:left="720"/>
        <w:rPr>
          <w:rFonts w:eastAsia="Times New Roman"/>
        </w:rPr>
      </w:pPr>
    </w:p>
    <w:p w:rsidR="00DC2428" w:rsidRPr="00F82C8D" w:rsidRDefault="00DC2428" w:rsidP="00DC2428">
      <w:pPr>
        <w:autoSpaceDE w:val="0"/>
        <w:autoSpaceDN w:val="0"/>
        <w:adjustRightInd w:val="0"/>
        <w:rPr>
          <w:rFonts w:eastAsia="Times New Roman" w:cs="Times New Roman"/>
          <w:szCs w:val="24"/>
        </w:rPr>
      </w:pPr>
      <w:r w:rsidRPr="00F82C8D">
        <w:rPr>
          <w:rFonts w:eastAsia="Times New Roman" w:cs="Times New Roman"/>
          <w:bCs/>
          <w:szCs w:val="24"/>
        </w:rPr>
        <w:t xml:space="preserve">There is no likely impact on the human </w:t>
      </w:r>
      <w:r w:rsidRPr="00F82C8D">
        <w:rPr>
          <w:rFonts w:eastAsia="Times New Roman" w:cs="Times New Roman"/>
          <w:szCs w:val="24"/>
        </w:rPr>
        <w:t xml:space="preserve">right engaged, because the </w:t>
      </w:r>
      <w:r w:rsidR="00D360AB" w:rsidRPr="00F82C8D">
        <w:rPr>
          <w:rFonts w:eastAsia="Times New Roman" w:cs="Times New Roman"/>
          <w:szCs w:val="24"/>
        </w:rPr>
        <w:t>safeguard rule</w:t>
      </w:r>
      <w:r w:rsidRPr="00F82C8D">
        <w:rPr>
          <w:rFonts w:eastAsia="Times New Roman" w:cs="Times New Roman"/>
          <w:szCs w:val="24"/>
        </w:rPr>
        <w:t xml:space="preserve"> will apply to large facilities whose responsible emitters are only likely to be very large businesses, not individuals. Even in the </w:t>
      </w:r>
      <w:r w:rsidR="00B46498" w:rsidRPr="00F82C8D">
        <w:rPr>
          <w:rFonts w:eastAsia="Times New Roman" w:cs="Times New Roman"/>
          <w:szCs w:val="24"/>
        </w:rPr>
        <w:t xml:space="preserve">very </w:t>
      </w:r>
      <w:r w:rsidRPr="00F82C8D">
        <w:rPr>
          <w:rFonts w:eastAsia="Times New Roman" w:cs="Times New Roman"/>
          <w:szCs w:val="24"/>
        </w:rPr>
        <w:t xml:space="preserve">unlikely circumstance that an individual were to be a responsible emitter, information provided to the Clean Energy Regulator is protected by strict secrecy provisions in the </w:t>
      </w:r>
      <w:r w:rsidRPr="00F82C8D">
        <w:rPr>
          <w:rFonts w:eastAsia="Times New Roman" w:cs="Times New Roman"/>
          <w:i/>
          <w:szCs w:val="24"/>
        </w:rPr>
        <w:t>Clean Energy Regulator Act 2011</w:t>
      </w:r>
      <w:r w:rsidRPr="00F82C8D">
        <w:rPr>
          <w:rFonts w:eastAsia="Times New Roman" w:cs="Times New Roman"/>
          <w:szCs w:val="24"/>
        </w:rPr>
        <w:t xml:space="preserve"> as well as the </w:t>
      </w:r>
      <w:r w:rsidRPr="00F82C8D">
        <w:rPr>
          <w:rFonts w:eastAsia="Times New Roman" w:cs="Times New Roman"/>
          <w:i/>
          <w:szCs w:val="24"/>
        </w:rPr>
        <w:t xml:space="preserve">Privacy Act 1988. </w:t>
      </w:r>
      <w:r w:rsidRPr="00F82C8D">
        <w:rPr>
          <w:rFonts w:eastAsia="Times New Roman" w:cs="Times New Roman"/>
          <w:szCs w:val="24"/>
        </w:rPr>
        <w:t>The information that is published about the safeguard mechanism is often publically available from other sources, not of a personal nature and relates to the integrity of the safeguard mechanism. Accordingly, the requirements are considered reasonable and unlikely to limit or adversely impact human rights. In particular, any potential impacts on privacy or reputation are not unlawful or arbitrary.</w:t>
      </w:r>
    </w:p>
    <w:p w:rsidR="00DC2428" w:rsidRPr="00F82C8D" w:rsidRDefault="00DC2428" w:rsidP="00DC2428">
      <w:pPr>
        <w:spacing w:after="120"/>
        <w:rPr>
          <w:b/>
          <w:szCs w:val="24"/>
        </w:rPr>
      </w:pPr>
      <w:r w:rsidRPr="00F82C8D">
        <w:rPr>
          <w:b/>
          <w:szCs w:val="24"/>
        </w:rPr>
        <w:t xml:space="preserve">Conclusion </w:t>
      </w:r>
    </w:p>
    <w:p w:rsidR="00DC2428" w:rsidRPr="00F82C8D" w:rsidRDefault="00DC2428" w:rsidP="00DC2428">
      <w:pPr>
        <w:spacing w:after="120"/>
        <w:rPr>
          <w:szCs w:val="24"/>
          <w:lang w:val="en-GB"/>
        </w:rPr>
      </w:pPr>
      <w:r w:rsidRPr="00F82C8D">
        <w:rPr>
          <w:szCs w:val="24"/>
        </w:rPr>
        <w:t xml:space="preserve">The Legislative Instrument is compatible with human rights because </w:t>
      </w:r>
      <w:r w:rsidRPr="00F82C8D">
        <w:rPr>
          <w:szCs w:val="24"/>
          <w:lang w:val="en-GB"/>
        </w:rPr>
        <w:t>it is unlikely to limit human rights.</w:t>
      </w:r>
    </w:p>
    <w:p w:rsidR="00DC2428" w:rsidRPr="00F82C8D" w:rsidRDefault="00DC2428" w:rsidP="00DC2428">
      <w:pPr>
        <w:spacing w:after="120"/>
        <w:rPr>
          <w:szCs w:val="24"/>
          <w:lang w:val="en-GB"/>
        </w:rPr>
      </w:pPr>
    </w:p>
    <w:p w:rsidR="00DC2428" w:rsidRPr="00F82C8D" w:rsidRDefault="00DC2428" w:rsidP="00DC2428">
      <w:pPr>
        <w:spacing w:after="120"/>
        <w:rPr>
          <w:b/>
          <w:szCs w:val="24"/>
          <w:lang w:val="en-GB"/>
        </w:rPr>
      </w:pPr>
      <w:r w:rsidRPr="00F82C8D">
        <w:rPr>
          <w:b/>
          <w:szCs w:val="24"/>
          <w:lang w:val="en-GB"/>
        </w:rPr>
        <w:t>Greg Hunt</w:t>
      </w:r>
    </w:p>
    <w:p w:rsidR="00DC2428" w:rsidRDefault="00DC2428" w:rsidP="00DC2428">
      <w:pPr>
        <w:spacing w:after="120"/>
        <w:rPr>
          <w:rFonts w:eastAsia="Times New Roman" w:cs="Times New Roman"/>
          <w:b/>
          <w:szCs w:val="24"/>
        </w:rPr>
      </w:pPr>
      <w:r w:rsidRPr="00F82C8D">
        <w:rPr>
          <w:b/>
          <w:szCs w:val="24"/>
          <w:lang w:val="en-GB"/>
        </w:rPr>
        <w:t>Minister for the Environment</w:t>
      </w:r>
    </w:p>
    <w:p w:rsidR="00AC449C" w:rsidRPr="00820339" w:rsidRDefault="00AC449C" w:rsidP="00DC2428">
      <w:pPr>
        <w:spacing w:before="360" w:after="120"/>
        <w:jc w:val="center"/>
        <w:rPr>
          <w:rFonts w:cs="Times New Roman"/>
          <w:szCs w:val="24"/>
          <w:lang w:val="en-AU"/>
        </w:rPr>
      </w:pPr>
    </w:p>
    <w:sectPr w:rsidR="00AC449C" w:rsidRPr="00820339" w:rsidSect="00F900C9">
      <w:footerReference w:type="first" r:id="rId34"/>
      <w:pgSz w:w="11906" w:h="16838"/>
      <w:pgMar w:top="1276" w:right="1440" w:bottom="426"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47F" w:rsidRDefault="00B7047F" w:rsidP="008454F5">
      <w:pPr>
        <w:spacing w:after="0" w:line="240" w:lineRule="auto"/>
      </w:pPr>
      <w:r>
        <w:separator/>
      </w:r>
    </w:p>
  </w:endnote>
  <w:endnote w:type="continuationSeparator" w:id="0">
    <w:p w:rsidR="00B7047F" w:rsidRDefault="00B7047F" w:rsidP="00845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9" w:rsidRDefault="00FB7E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9" w:rsidRPr="008454F5" w:rsidRDefault="00744D5E" w:rsidP="00291FC7">
    <w:pPr>
      <w:pStyle w:val="Footer"/>
      <w:jc w:val="right"/>
      <w:rPr>
        <w:sz w:val="20"/>
        <w:szCs w:val="20"/>
      </w:rPr>
    </w:pPr>
    <w:r w:rsidRPr="008454F5">
      <w:rPr>
        <w:sz w:val="20"/>
        <w:szCs w:val="20"/>
      </w:rPr>
      <w:fldChar w:fldCharType="begin"/>
    </w:r>
    <w:r w:rsidR="00FB7EB9" w:rsidRPr="008454F5">
      <w:rPr>
        <w:sz w:val="20"/>
        <w:szCs w:val="20"/>
      </w:rPr>
      <w:instrText xml:space="preserve"> PAGE   \* MERGEFORMAT </w:instrText>
    </w:r>
    <w:r w:rsidRPr="008454F5">
      <w:rPr>
        <w:sz w:val="20"/>
        <w:szCs w:val="20"/>
      </w:rPr>
      <w:fldChar w:fldCharType="separate"/>
    </w:r>
    <w:r w:rsidR="00807424">
      <w:rPr>
        <w:noProof/>
        <w:sz w:val="20"/>
        <w:szCs w:val="20"/>
      </w:rPr>
      <w:t>1</w:t>
    </w:r>
    <w:r w:rsidRPr="008454F5">
      <w:rPr>
        <w:sz w:val="20"/>
        <w:szCs w:val="20"/>
      </w:rPr>
      <w:fldChar w:fldCharType="end"/>
    </w:r>
  </w:p>
  <w:p w:rsidR="00FB7EB9" w:rsidRPr="00233A10" w:rsidRDefault="00FB7EB9" w:rsidP="00291FC7">
    <w:pPr>
      <w:pStyle w:val="Footer"/>
      <w:jc w:val="cente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9" w:rsidRPr="00F900C9" w:rsidRDefault="00FB7EB9" w:rsidP="00F900C9">
    <w:pPr>
      <w:pStyle w:val="Footer"/>
      <w:jc w:val="center"/>
      <w:rPr>
        <w:b/>
      </w:rPr>
    </w:pPr>
    <w:r>
      <w:rPr>
        <w:b/>
      </w:rPr>
      <w:t>— FOR OFFICIAL USE ONLY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9" w:rsidRPr="00F83EF2" w:rsidRDefault="00FB7EB9" w:rsidP="00F44A00">
    <w:pPr>
      <w:pStyle w:val="Footer"/>
    </w:pPr>
    <w:r w:rsidRPr="00F83EF2">
      <w:tab/>
    </w:r>
    <w:fldSimple w:instr=" PAGE   \* MERGEFORMAT ">
      <w:r w:rsidR="008A76AE">
        <w:rPr>
          <w:noProof/>
        </w:rPr>
        <w:t>15</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9" w:rsidRPr="00CC194C" w:rsidRDefault="00744D5E" w:rsidP="00F44A00">
    <w:pPr>
      <w:pStyle w:val="Footer"/>
    </w:pPr>
    <w:fldSimple w:instr=" PAGE   \* MERGEFORMAT ">
      <w:r w:rsidR="00807424">
        <w:rPr>
          <w:noProof/>
        </w:rPr>
        <w:t>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9" w:rsidRPr="008454F5" w:rsidRDefault="00744D5E" w:rsidP="00F900C9">
    <w:pPr>
      <w:pStyle w:val="Footer"/>
      <w:jc w:val="right"/>
      <w:rPr>
        <w:sz w:val="20"/>
        <w:szCs w:val="20"/>
      </w:rPr>
    </w:pPr>
    <w:r w:rsidRPr="008454F5">
      <w:rPr>
        <w:sz w:val="20"/>
        <w:szCs w:val="20"/>
      </w:rPr>
      <w:fldChar w:fldCharType="begin"/>
    </w:r>
    <w:r w:rsidR="00FB7EB9" w:rsidRPr="008454F5">
      <w:rPr>
        <w:sz w:val="20"/>
        <w:szCs w:val="20"/>
      </w:rPr>
      <w:instrText xml:space="preserve"> PAGE   \* MERGEFORMAT </w:instrText>
    </w:r>
    <w:r w:rsidRPr="008454F5">
      <w:rPr>
        <w:sz w:val="20"/>
        <w:szCs w:val="20"/>
      </w:rPr>
      <w:fldChar w:fldCharType="separate"/>
    </w:r>
    <w:r w:rsidR="00807424">
      <w:rPr>
        <w:noProof/>
        <w:sz w:val="20"/>
        <w:szCs w:val="20"/>
      </w:rPr>
      <w:t>9</w:t>
    </w:r>
    <w:r w:rsidRPr="008454F5">
      <w:rPr>
        <w:sz w:val="20"/>
        <w:szCs w:val="20"/>
      </w:rPr>
      <w:fldChar w:fldCharType="end"/>
    </w:r>
  </w:p>
  <w:p w:rsidR="00FB7EB9" w:rsidRPr="00F900C9" w:rsidRDefault="00FB7EB9" w:rsidP="00F900C9">
    <w:pPr>
      <w:pStyle w:val="Footer"/>
      <w:jc w:val="center"/>
      <w:rPr>
        <w:b/>
      </w:rPr>
    </w:pPr>
    <w:r>
      <w:rPr>
        <w:b/>
      </w:rPr>
      <w:t>— FOR OFFICIAL USE ONLY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47F" w:rsidRDefault="00B7047F" w:rsidP="008454F5">
      <w:pPr>
        <w:spacing w:after="0" w:line="240" w:lineRule="auto"/>
      </w:pPr>
      <w:r>
        <w:separator/>
      </w:r>
    </w:p>
  </w:footnote>
  <w:footnote w:type="continuationSeparator" w:id="0">
    <w:p w:rsidR="00B7047F" w:rsidRDefault="00B7047F" w:rsidP="008454F5">
      <w:pPr>
        <w:spacing w:after="0" w:line="240" w:lineRule="auto"/>
      </w:pPr>
      <w:r>
        <w:continuationSeparator/>
      </w:r>
    </w:p>
  </w:footnote>
  <w:footnote w:id="1">
    <w:p w:rsidR="00FB7EB9" w:rsidRPr="00011C2A" w:rsidRDefault="00FB7EB9" w:rsidP="00F44A00">
      <w:pPr>
        <w:pStyle w:val="FootnoteText"/>
        <w:rPr>
          <w:rStyle w:val="FootnoteReference"/>
        </w:rPr>
      </w:pPr>
      <w:r w:rsidRPr="00011C2A">
        <w:rPr>
          <w:rStyle w:val="FootnoteReference"/>
          <w:sz w:val="18"/>
          <w:szCs w:val="18"/>
        </w:rPr>
        <w:footnoteRef/>
      </w:r>
      <w:r w:rsidRPr="00011C2A">
        <w:t xml:space="preserve"> This estimate is based on emissions data reported under the National Greenhouse and Energy Reporting Scheme by corporations </w:t>
      </w:r>
      <w:r>
        <w:t>and other legal entities in 2013</w:t>
      </w:r>
      <w:r>
        <w:noBreakHyphen/>
        <w:t>14</w:t>
      </w:r>
      <w:r w:rsidRPr="00011C2A">
        <w:t xml:space="preserve"> and </w:t>
      </w:r>
      <w:r>
        <w:t>includes facilities forecast to exceed the threshold in 2014</w:t>
      </w:r>
      <w:r>
        <w:noBreakHyphen/>
        <w:t>15</w:t>
      </w:r>
      <w:r w:rsidRPr="00011C2A">
        <w:t>.</w:t>
      </w:r>
      <w:r w:rsidRPr="00011C2A">
        <w:rPr>
          <w:rStyle w:val="FootnoteReferenc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9" w:rsidRDefault="00FB7E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9" w:rsidRDefault="00FB7E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EB9" w:rsidRDefault="00FB7E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nsid w:val="009B562A"/>
    <w:multiLevelType w:val="multilevel"/>
    <w:tmpl w:val="889C5E26"/>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12F0461"/>
    <w:multiLevelType w:val="hybridMultilevel"/>
    <w:tmpl w:val="621C4B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57621B"/>
    <w:multiLevelType w:val="multilevel"/>
    <w:tmpl w:val="4880AF70"/>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D81FFC"/>
    <w:multiLevelType w:val="hybridMultilevel"/>
    <w:tmpl w:val="D496268C"/>
    <w:lvl w:ilvl="0" w:tplc="5212D90A">
      <w:start w:val="1"/>
      <w:numFmt w:val="decimal"/>
      <w:pStyle w:val="Style1"/>
      <w:lvlText w:val="%1."/>
      <w:lvlJc w:val="left"/>
      <w:pPr>
        <w:tabs>
          <w:tab w:val="num" w:pos="720"/>
        </w:tabs>
        <w:ind w:left="720" w:hanging="360"/>
      </w:pPr>
      <w:rPr>
        <w:color w:val="000000"/>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0A1336FB"/>
    <w:multiLevelType w:val="hybridMultilevel"/>
    <w:tmpl w:val="F55EC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A044B2"/>
    <w:multiLevelType w:val="multilevel"/>
    <w:tmpl w:val="759422B2"/>
    <w:lvl w:ilvl="0">
      <w:start w:val="1"/>
      <w:numFmt w:val="decimal"/>
      <w:lvlText w:val="%1"/>
      <w:lvlJc w:val="left"/>
      <w:pPr>
        <w:ind w:left="720" w:hanging="720"/>
      </w:pPr>
      <w:rPr>
        <w:rFonts w:hint="default"/>
      </w:rPr>
    </w:lvl>
    <w:lvl w:ilvl="1">
      <w:start w:val="1"/>
      <w:numFmt w:val="bullet"/>
      <w:lvlText w:val=""/>
      <w:lvlJc w:val="left"/>
      <w:pPr>
        <w:ind w:left="1287" w:hanging="720"/>
      </w:pPr>
      <w:rPr>
        <w:rFonts w:ascii="Symbol" w:hAnsi="Symbol" w:hint="default"/>
        <w:b w:val="0"/>
        <w:i w:val="0"/>
        <w:color w:val="auto"/>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AE10187"/>
    <w:multiLevelType w:val="multilevel"/>
    <w:tmpl w:val="72825DAE"/>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B346C8B"/>
    <w:multiLevelType w:val="multilevel"/>
    <w:tmpl w:val="559249E8"/>
    <w:lvl w:ilvl="0">
      <w:start w:val="1"/>
      <w:numFmt w:val="upperLetter"/>
      <w:pStyle w:val="Level1"/>
      <w:lvlText w:val="%1"/>
      <w:lvlJc w:val="left"/>
      <w:pPr>
        <w:tabs>
          <w:tab w:val="num" w:pos="680"/>
        </w:tabs>
        <w:ind w:left="680" w:hanging="680"/>
      </w:pPr>
      <w:rPr>
        <w:rFonts w:ascii="Arial" w:hAnsi="Arial" w:hint="default"/>
        <w:sz w:val="20"/>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3"/>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9">
    <w:nsid w:val="19DB20A9"/>
    <w:multiLevelType w:val="multilevel"/>
    <w:tmpl w:val="759422B2"/>
    <w:lvl w:ilvl="0">
      <w:start w:val="1"/>
      <w:numFmt w:val="decimal"/>
      <w:lvlText w:val="%1"/>
      <w:lvlJc w:val="left"/>
      <w:pPr>
        <w:ind w:left="720" w:hanging="720"/>
      </w:pPr>
      <w:rPr>
        <w:rFonts w:hint="default"/>
      </w:rPr>
    </w:lvl>
    <w:lvl w:ilvl="1">
      <w:start w:val="1"/>
      <w:numFmt w:val="bullet"/>
      <w:lvlText w:val=""/>
      <w:lvlJc w:val="left"/>
      <w:pPr>
        <w:ind w:left="1287" w:hanging="720"/>
      </w:pPr>
      <w:rPr>
        <w:rFonts w:ascii="Symbol" w:hAnsi="Symbol" w:hint="default"/>
        <w:b w:val="0"/>
        <w:i w:val="0"/>
        <w:color w:val="auto"/>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B7D3D7C"/>
    <w:multiLevelType w:val="hybridMultilevel"/>
    <w:tmpl w:val="0EF4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CCC7863"/>
    <w:multiLevelType w:val="hybridMultilevel"/>
    <w:tmpl w:val="9CE22A48"/>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2">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F745BC2"/>
    <w:multiLevelType w:val="multilevel"/>
    <w:tmpl w:val="1848D26C"/>
    <w:lvl w:ilvl="0">
      <w:start w:val="1"/>
      <w:numFmt w:val="bullet"/>
      <w:pStyle w:val="ListBullet"/>
      <w:lvlText w:val=""/>
      <w:lvlJc w:val="left"/>
      <w:pPr>
        <w:ind w:left="-504" w:hanging="369"/>
      </w:pPr>
      <w:rPr>
        <w:rFonts w:ascii="Symbol" w:hAnsi="Symbol" w:hint="default"/>
      </w:rPr>
    </w:lvl>
    <w:lvl w:ilvl="1">
      <w:start w:val="1"/>
      <w:numFmt w:val="none"/>
      <w:pStyle w:val="ListBullet2"/>
      <w:lvlText w:val="-"/>
      <w:lvlJc w:val="left"/>
      <w:pPr>
        <w:ind w:left="-136" w:hanging="368"/>
      </w:pPr>
      <w:rPr>
        <w:rFonts w:hint="default"/>
      </w:rPr>
    </w:lvl>
    <w:lvl w:ilvl="2">
      <w:start w:val="1"/>
      <w:numFmt w:val="none"/>
      <w:pStyle w:val="ListBullet3"/>
      <w:lvlText w:val=":"/>
      <w:lvlJc w:val="left"/>
      <w:pPr>
        <w:ind w:left="233" w:hanging="369"/>
      </w:pPr>
      <w:rPr>
        <w:rFonts w:hint="default"/>
      </w:rPr>
    </w:lvl>
    <w:lvl w:ilvl="3">
      <w:start w:val="1"/>
      <w:numFmt w:val="none"/>
      <w:pStyle w:val="ListBullet4"/>
      <w:lvlText w:val=""/>
      <w:lvlJc w:val="left"/>
      <w:pPr>
        <w:ind w:left="601" w:hanging="368"/>
      </w:pPr>
      <w:rPr>
        <w:rFonts w:hint="default"/>
        <w:color w:val="auto"/>
      </w:rPr>
    </w:lvl>
    <w:lvl w:ilvl="4">
      <w:start w:val="1"/>
      <w:numFmt w:val="none"/>
      <w:pStyle w:val="ListBullet5"/>
      <w:lvlText w:val=""/>
      <w:lvlJc w:val="left"/>
      <w:pPr>
        <w:ind w:left="927" w:hanging="360"/>
      </w:pPr>
      <w:rPr>
        <w:rFonts w:hint="default"/>
        <w:color w:val="auto"/>
      </w:rPr>
    </w:lvl>
    <w:lvl w:ilvl="5">
      <w:start w:val="1"/>
      <w:numFmt w:val="none"/>
      <w:lvlText w:val=""/>
      <w:lvlJc w:val="left"/>
      <w:pPr>
        <w:ind w:left="1287" w:hanging="360"/>
      </w:pPr>
      <w:rPr>
        <w:rFonts w:hint="default"/>
        <w:color w:val="auto"/>
      </w:rPr>
    </w:lvl>
    <w:lvl w:ilvl="6">
      <w:start w:val="1"/>
      <w:numFmt w:val="none"/>
      <w:lvlText w:val=""/>
      <w:lvlJc w:val="left"/>
      <w:pPr>
        <w:ind w:left="1647" w:hanging="360"/>
      </w:pPr>
      <w:rPr>
        <w:rFonts w:hint="default"/>
        <w:color w:val="auto"/>
      </w:rPr>
    </w:lvl>
    <w:lvl w:ilvl="7">
      <w:start w:val="1"/>
      <w:numFmt w:val="none"/>
      <w:lvlText w:val=""/>
      <w:lvlJc w:val="left"/>
      <w:pPr>
        <w:ind w:left="2007" w:hanging="360"/>
      </w:pPr>
      <w:rPr>
        <w:rFonts w:hint="default"/>
        <w:color w:val="auto"/>
      </w:rPr>
    </w:lvl>
    <w:lvl w:ilvl="8">
      <w:start w:val="1"/>
      <w:numFmt w:val="none"/>
      <w:lvlText w:val=""/>
      <w:lvlJc w:val="left"/>
      <w:pPr>
        <w:ind w:left="2367" w:hanging="360"/>
      </w:pPr>
      <w:rPr>
        <w:rFonts w:hint="default"/>
        <w:color w:val="auto"/>
      </w:rPr>
    </w:lvl>
  </w:abstractNum>
  <w:abstractNum w:abstractNumId="14">
    <w:nsid w:val="20C01BCB"/>
    <w:multiLevelType w:val="hybridMultilevel"/>
    <w:tmpl w:val="D0480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836ED8"/>
    <w:multiLevelType w:val="hybridMultilevel"/>
    <w:tmpl w:val="3B92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7C72B00"/>
    <w:multiLevelType w:val="hybridMultilevel"/>
    <w:tmpl w:val="958A65AA"/>
    <w:lvl w:ilvl="0" w:tplc="0C090001">
      <w:start w:val="1"/>
      <w:numFmt w:val="bullet"/>
      <w:lvlText w:val=""/>
      <w:lvlJc w:val="left"/>
      <w:pPr>
        <w:ind w:left="2364" w:hanging="360"/>
      </w:pPr>
      <w:rPr>
        <w:rFonts w:ascii="Symbol" w:hAnsi="Symbol" w:hint="default"/>
      </w:rPr>
    </w:lvl>
    <w:lvl w:ilvl="1" w:tplc="0C090003" w:tentative="1">
      <w:start w:val="1"/>
      <w:numFmt w:val="bullet"/>
      <w:lvlText w:val="o"/>
      <w:lvlJc w:val="left"/>
      <w:pPr>
        <w:ind w:left="3084" w:hanging="360"/>
      </w:pPr>
      <w:rPr>
        <w:rFonts w:ascii="Courier New" w:hAnsi="Courier New" w:cs="Courier New" w:hint="default"/>
      </w:rPr>
    </w:lvl>
    <w:lvl w:ilvl="2" w:tplc="0C090005" w:tentative="1">
      <w:start w:val="1"/>
      <w:numFmt w:val="bullet"/>
      <w:lvlText w:val=""/>
      <w:lvlJc w:val="left"/>
      <w:pPr>
        <w:ind w:left="3804" w:hanging="360"/>
      </w:pPr>
      <w:rPr>
        <w:rFonts w:ascii="Wingdings" w:hAnsi="Wingdings" w:hint="default"/>
      </w:rPr>
    </w:lvl>
    <w:lvl w:ilvl="3" w:tplc="0C090001" w:tentative="1">
      <w:start w:val="1"/>
      <w:numFmt w:val="bullet"/>
      <w:lvlText w:val=""/>
      <w:lvlJc w:val="left"/>
      <w:pPr>
        <w:ind w:left="4524" w:hanging="360"/>
      </w:pPr>
      <w:rPr>
        <w:rFonts w:ascii="Symbol" w:hAnsi="Symbol" w:hint="default"/>
      </w:rPr>
    </w:lvl>
    <w:lvl w:ilvl="4" w:tplc="0C090003" w:tentative="1">
      <w:start w:val="1"/>
      <w:numFmt w:val="bullet"/>
      <w:lvlText w:val="o"/>
      <w:lvlJc w:val="left"/>
      <w:pPr>
        <w:ind w:left="5244" w:hanging="360"/>
      </w:pPr>
      <w:rPr>
        <w:rFonts w:ascii="Courier New" w:hAnsi="Courier New" w:cs="Courier New" w:hint="default"/>
      </w:rPr>
    </w:lvl>
    <w:lvl w:ilvl="5" w:tplc="0C090005" w:tentative="1">
      <w:start w:val="1"/>
      <w:numFmt w:val="bullet"/>
      <w:lvlText w:val=""/>
      <w:lvlJc w:val="left"/>
      <w:pPr>
        <w:ind w:left="5964" w:hanging="360"/>
      </w:pPr>
      <w:rPr>
        <w:rFonts w:ascii="Wingdings" w:hAnsi="Wingdings" w:hint="default"/>
      </w:rPr>
    </w:lvl>
    <w:lvl w:ilvl="6" w:tplc="0C090001" w:tentative="1">
      <w:start w:val="1"/>
      <w:numFmt w:val="bullet"/>
      <w:lvlText w:val=""/>
      <w:lvlJc w:val="left"/>
      <w:pPr>
        <w:ind w:left="6684" w:hanging="360"/>
      </w:pPr>
      <w:rPr>
        <w:rFonts w:ascii="Symbol" w:hAnsi="Symbol" w:hint="default"/>
      </w:rPr>
    </w:lvl>
    <w:lvl w:ilvl="7" w:tplc="0C090003" w:tentative="1">
      <w:start w:val="1"/>
      <w:numFmt w:val="bullet"/>
      <w:lvlText w:val="o"/>
      <w:lvlJc w:val="left"/>
      <w:pPr>
        <w:ind w:left="7404" w:hanging="360"/>
      </w:pPr>
      <w:rPr>
        <w:rFonts w:ascii="Courier New" w:hAnsi="Courier New" w:cs="Courier New" w:hint="default"/>
      </w:rPr>
    </w:lvl>
    <w:lvl w:ilvl="8" w:tplc="0C090005" w:tentative="1">
      <w:start w:val="1"/>
      <w:numFmt w:val="bullet"/>
      <w:lvlText w:val=""/>
      <w:lvlJc w:val="left"/>
      <w:pPr>
        <w:ind w:left="8124" w:hanging="360"/>
      </w:pPr>
      <w:rPr>
        <w:rFonts w:ascii="Wingdings" w:hAnsi="Wingdings" w:hint="default"/>
      </w:rPr>
    </w:lvl>
  </w:abstractNum>
  <w:abstractNum w:abstractNumId="17">
    <w:nsid w:val="3098052F"/>
    <w:multiLevelType w:val="multilevel"/>
    <w:tmpl w:val="C01EB9BE"/>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93A1E39"/>
    <w:multiLevelType w:val="multilevel"/>
    <w:tmpl w:val="C85C00C2"/>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D714D4B"/>
    <w:multiLevelType w:val="multilevel"/>
    <w:tmpl w:val="484032EC"/>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pStyle w:val="Diagram"/>
      <w:suff w:val="space"/>
      <w:lvlText w:val="Diagram %1.%3"/>
      <w:lvlJc w:val="left"/>
      <w:pPr>
        <w:ind w:left="1134" w:firstLine="0"/>
      </w:pPr>
      <w:rPr>
        <w:rFonts w:hint="default"/>
      </w:rPr>
    </w:lvl>
    <w:lvl w:ilvl="3">
      <w:start w:val="1"/>
      <w:numFmt w:val="decimal"/>
      <w:pStyle w:val="ExampleHeading"/>
      <w:suff w:val="space"/>
      <w:lvlText w:val="Example %1.%4"/>
      <w:lvlJc w:val="left"/>
      <w:pPr>
        <w:ind w:left="1134" w:firstLine="0"/>
      </w:pPr>
      <w:rPr>
        <w:rFonts w:hint="default"/>
      </w:rPr>
    </w:lvl>
    <w:lvl w:ilvl="4">
      <w:start w:val="1"/>
      <w:numFmt w:val="decimal"/>
      <w:pStyle w:val="TableHeadingoutsidetable"/>
      <w:suff w:val="space"/>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4E655D"/>
    <w:multiLevelType w:val="hybridMultilevel"/>
    <w:tmpl w:val="BE86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0596875"/>
    <w:multiLevelType w:val="hybridMultilevel"/>
    <w:tmpl w:val="BF70CD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4293494C"/>
    <w:multiLevelType w:val="hybridMultilevel"/>
    <w:tmpl w:val="679AF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5EE73EB"/>
    <w:multiLevelType w:val="multilevel"/>
    <w:tmpl w:val="C01EB9BE"/>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6C4018E"/>
    <w:multiLevelType w:val="multilevel"/>
    <w:tmpl w:val="C01EB9BE"/>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97375F5"/>
    <w:multiLevelType w:val="hybridMultilevel"/>
    <w:tmpl w:val="F4EC9A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97E1B39"/>
    <w:multiLevelType w:val="hybridMultilevel"/>
    <w:tmpl w:val="1D3608D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nsid w:val="4FF702AA"/>
    <w:multiLevelType w:val="multilevel"/>
    <w:tmpl w:val="0C090023"/>
    <w:name w:val="ChapterList"/>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nsid w:val="5CE45AA9"/>
    <w:multiLevelType w:val="hybridMultilevel"/>
    <w:tmpl w:val="8AEC1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392454"/>
    <w:multiLevelType w:val="multilevel"/>
    <w:tmpl w:val="C01EB9BE"/>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4A433FF"/>
    <w:multiLevelType w:val="multilevel"/>
    <w:tmpl w:val="D7CC5F76"/>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63F3ACE"/>
    <w:multiLevelType w:val="hybridMultilevel"/>
    <w:tmpl w:val="4ED21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738254F"/>
    <w:multiLevelType w:val="multilevel"/>
    <w:tmpl w:val="759422B2"/>
    <w:lvl w:ilvl="0">
      <w:start w:val="1"/>
      <w:numFmt w:val="decimal"/>
      <w:lvlText w:val="%1"/>
      <w:lvlJc w:val="left"/>
      <w:pPr>
        <w:ind w:left="720" w:hanging="720"/>
      </w:pPr>
      <w:rPr>
        <w:rFonts w:hint="default"/>
      </w:rPr>
    </w:lvl>
    <w:lvl w:ilvl="1">
      <w:start w:val="1"/>
      <w:numFmt w:val="bullet"/>
      <w:lvlText w:val=""/>
      <w:lvlJc w:val="left"/>
      <w:pPr>
        <w:ind w:left="1287" w:hanging="720"/>
      </w:pPr>
      <w:rPr>
        <w:rFonts w:ascii="Symbol" w:hAnsi="Symbol" w:hint="default"/>
        <w:b w:val="0"/>
        <w:i w:val="0"/>
        <w:color w:val="auto"/>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D5B1814"/>
    <w:multiLevelType w:val="hybridMultilevel"/>
    <w:tmpl w:val="F1C6F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03852F2"/>
    <w:multiLevelType w:val="multilevel"/>
    <w:tmpl w:val="C01EB9BE"/>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2C83816"/>
    <w:multiLevelType w:val="multilevel"/>
    <w:tmpl w:val="2242BABC"/>
    <w:lvl w:ilvl="0">
      <w:start w:val="1"/>
      <w:numFmt w:val="lowerRoman"/>
      <w:pStyle w:val="Bullet"/>
      <w:lvlText w:val="(%1)"/>
      <w:lvlJc w:val="left"/>
      <w:pPr>
        <w:tabs>
          <w:tab w:val="num" w:pos="520"/>
        </w:tabs>
        <w:ind w:left="520" w:hanging="520"/>
      </w:pPr>
      <w:rPr>
        <w:rFonts w:ascii="Calibri" w:eastAsia="Times New Roman" w:hAnsi="Calibri"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9">
    <w:nsid w:val="73F30A31"/>
    <w:multiLevelType w:val="hybridMultilevel"/>
    <w:tmpl w:val="4426E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64503EE"/>
    <w:multiLevelType w:val="multilevel"/>
    <w:tmpl w:val="654A47EC"/>
    <w:lvl w:ilvl="0">
      <w:start w:val="1"/>
      <w:numFmt w:val="decimal"/>
      <w:lvlText w:val="%1"/>
      <w:lvlJc w:val="left"/>
      <w:pPr>
        <w:ind w:left="720" w:hanging="720"/>
      </w:pPr>
      <w:rPr>
        <w:rFonts w:hint="default"/>
      </w:rPr>
    </w:lvl>
    <w:lvl w:ilvl="1">
      <w:start w:val="1"/>
      <w:numFmt w:val="decimal"/>
      <w:pStyle w:val="ListParagraph"/>
      <w:lvlText w:val="%1.%2"/>
      <w:lvlJc w:val="left"/>
      <w:pPr>
        <w:ind w:left="1287" w:hanging="720"/>
      </w:pPr>
      <w:rPr>
        <w:rFonts w:ascii="Times New Roman" w:hAnsi="Times New Roman" w:cs="Times New Roman" w:hint="default"/>
        <w:b w:val="0"/>
        <w:i w:val="0"/>
        <w:color w:val="auto"/>
        <w:sz w:val="24"/>
        <w:szCs w:val="24"/>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68A5854"/>
    <w:multiLevelType w:val="multilevel"/>
    <w:tmpl w:val="C85C00C2"/>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CAC208D"/>
    <w:multiLevelType w:val="multilevel"/>
    <w:tmpl w:val="484032EC"/>
    <w:numStyleLink w:val="ChapterList"/>
  </w:abstractNum>
  <w:num w:numId="1">
    <w:abstractNumId w:val="3"/>
  </w:num>
  <w:num w:numId="2">
    <w:abstractNumId w:val="38"/>
  </w:num>
  <w:num w:numId="3">
    <w:abstractNumId w:val="12"/>
  </w:num>
  <w:num w:numId="4">
    <w:abstractNumId w:val="4"/>
  </w:num>
  <w:num w:numId="5">
    <w:abstractNumId w:val="30"/>
  </w:num>
  <w:num w:numId="6">
    <w:abstractNumId w:val="20"/>
  </w:num>
  <w:num w:numId="7">
    <w:abstractNumId w:val="43"/>
  </w:num>
  <w:num w:numId="8">
    <w:abstractNumId w:val="13"/>
  </w:num>
  <w:num w:numId="9">
    <w:abstractNumId w:val="0"/>
  </w:num>
  <w:num w:numId="10">
    <w:abstractNumId w:val="41"/>
  </w:num>
  <w:num w:numId="11">
    <w:abstractNumId w:val="17"/>
  </w:num>
  <w:num w:numId="12">
    <w:abstractNumId w:val="8"/>
  </w:num>
  <w:num w:numId="13">
    <w:abstractNumId w:val="7"/>
  </w:num>
  <w:num w:numId="14">
    <w:abstractNumId w:val="18"/>
  </w:num>
  <w:num w:numId="15">
    <w:abstractNumId w:val="42"/>
  </w:num>
  <w:num w:numId="16">
    <w:abstractNumId w:val="37"/>
  </w:num>
  <w:num w:numId="17">
    <w:abstractNumId w:val="32"/>
  </w:num>
  <w:num w:numId="18">
    <w:abstractNumId w:val="27"/>
  </w:num>
  <w:num w:numId="19">
    <w:abstractNumId w:val="26"/>
  </w:num>
  <w:num w:numId="20">
    <w:abstractNumId w:val="15"/>
  </w:num>
  <w:num w:numId="21">
    <w:abstractNumId w:val="33"/>
  </w:num>
  <w:num w:numId="22">
    <w:abstractNumId w:val="34"/>
  </w:num>
  <w:num w:numId="23">
    <w:abstractNumId w:val="6"/>
  </w:num>
  <w:num w:numId="24">
    <w:abstractNumId w:val="10"/>
  </w:num>
  <w:num w:numId="25">
    <w:abstractNumId w:val="5"/>
  </w:num>
  <w:num w:numId="26">
    <w:abstractNumId w:val="25"/>
  </w:num>
  <w:num w:numId="27">
    <w:abstractNumId w:val="28"/>
  </w:num>
  <w:num w:numId="28">
    <w:abstractNumId w:val="31"/>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6"/>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24"/>
  </w:num>
  <w:num w:numId="36">
    <w:abstractNumId w:val="21"/>
  </w:num>
  <w:num w:numId="37">
    <w:abstractNumId w:val="19"/>
  </w:num>
  <w:num w:numId="38">
    <w:abstractNumId w:val="22"/>
  </w:num>
  <w:num w:numId="39">
    <w:abstractNumId w:val="41"/>
  </w:num>
  <w:num w:numId="40">
    <w:abstractNumId w:val="41"/>
  </w:num>
  <w:num w:numId="41">
    <w:abstractNumId w:val="9"/>
  </w:num>
  <w:num w:numId="42">
    <w:abstractNumId w:val="35"/>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6"/>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13"/>
  </w:num>
  <w:num w:numId="50">
    <w:abstractNumId w:val="13"/>
    <w:lvlOverride w:ilvl="0">
      <w:lvl w:ilvl="0">
        <w:start w:val="1"/>
        <w:numFmt w:val="bullet"/>
        <w:pStyle w:val="ListBullet"/>
        <w:lvlText w:val=""/>
        <w:lvlJc w:val="left"/>
        <w:pPr>
          <w:ind w:left="369" w:hanging="369"/>
        </w:pPr>
        <w:rPr>
          <w:rFonts w:ascii="Symbol" w:hAnsi="Symbol" w:hint="default"/>
        </w:rPr>
      </w:lvl>
    </w:lvlOverride>
  </w:num>
  <w:num w:numId="51">
    <w:abstractNumId w:val="41"/>
  </w:num>
  <w:num w:numId="52">
    <w:abstractNumId w:val="41"/>
  </w:num>
  <w:num w:numId="53">
    <w:abstractNumId w:val="13"/>
  </w:num>
  <w:num w:numId="54">
    <w:abstractNumId w:val="13"/>
  </w:num>
  <w:num w:numId="55">
    <w:abstractNumId w:val="41"/>
  </w:num>
  <w:num w:numId="56">
    <w:abstractNumId w:val="41"/>
  </w:num>
  <w:num w:numId="57">
    <w:abstractNumId w:val="41"/>
  </w:num>
  <w:num w:numId="58">
    <w:abstractNumId w:val="41"/>
  </w:num>
  <w:num w:numId="59">
    <w:abstractNumId w:val="41"/>
  </w:num>
  <w:num w:numId="60">
    <w:abstractNumId w:val="39"/>
  </w:num>
  <w:num w:numId="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docVars>
    <w:docVar w:name="_FSVPasteboard_" w:val="1"/>
  </w:docVars>
  <w:rsids>
    <w:rsidRoot w:val="009B6F92"/>
    <w:rsid w:val="00000546"/>
    <w:rsid w:val="000023B9"/>
    <w:rsid w:val="0000456A"/>
    <w:rsid w:val="0000523A"/>
    <w:rsid w:val="00005DBA"/>
    <w:rsid w:val="00007627"/>
    <w:rsid w:val="00010889"/>
    <w:rsid w:val="000109A3"/>
    <w:rsid w:val="00012AE1"/>
    <w:rsid w:val="00012D4B"/>
    <w:rsid w:val="0001544B"/>
    <w:rsid w:val="00015E96"/>
    <w:rsid w:val="00016019"/>
    <w:rsid w:val="00017BFC"/>
    <w:rsid w:val="0002013D"/>
    <w:rsid w:val="000204AB"/>
    <w:rsid w:val="00021AAE"/>
    <w:rsid w:val="00022B53"/>
    <w:rsid w:val="000230AB"/>
    <w:rsid w:val="0002374B"/>
    <w:rsid w:val="00023AB0"/>
    <w:rsid w:val="000246C3"/>
    <w:rsid w:val="00025B7F"/>
    <w:rsid w:val="000263DB"/>
    <w:rsid w:val="00027985"/>
    <w:rsid w:val="00031718"/>
    <w:rsid w:val="00031A3B"/>
    <w:rsid w:val="000323DB"/>
    <w:rsid w:val="00033A1F"/>
    <w:rsid w:val="00034CC6"/>
    <w:rsid w:val="00034F5D"/>
    <w:rsid w:val="0003584F"/>
    <w:rsid w:val="00036198"/>
    <w:rsid w:val="0003665B"/>
    <w:rsid w:val="00036991"/>
    <w:rsid w:val="000377D1"/>
    <w:rsid w:val="00037B20"/>
    <w:rsid w:val="00037E6B"/>
    <w:rsid w:val="00041428"/>
    <w:rsid w:val="000416A0"/>
    <w:rsid w:val="000423EC"/>
    <w:rsid w:val="00042CAE"/>
    <w:rsid w:val="00042FAF"/>
    <w:rsid w:val="000435A7"/>
    <w:rsid w:val="00043F60"/>
    <w:rsid w:val="000457DC"/>
    <w:rsid w:val="00046262"/>
    <w:rsid w:val="00046594"/>
    <w:rsid w:val="00046719"/>
    <w:rsid w:val="00046EE8"/>
    <w:rsid w:val="0004725F"/>
    <w:rsid w:val="00052C39"/>
    <w:rsid w:val="00053244"/>
    <w:rsid w:val="000537DE"/>
    <w:rsid w:val="0005449C"/>
    <w:rsid w:val="00054893"/>
    <w:rsid w:val="00054AC1"/>
    <w:rsid w:val="00054E75"/>
    <w:rsid w:val="00054E8E"/>
    <w:rsid w:val="00055048"/>
    <w:rsid w:val="00055B32"/>
    <w:rsid w:val="00055DB1"/>
    <w:rsid w:val="00056DEC"/>
    <w:rsid w:val="000573CD"/>
    <w:rsid w:val="000603AE"/>
    <w:rsid w:val="0006041F"/>
    <w:rsid w:val="000605BB"/>
    <w:rsid w:val="00060E26"/>
    <w:rsid w:val="00060F59"/>
    <w:rsid w:val="00060FE3"/>
    <w:rsid w:val="0006174A"/>
    <w:rsid w:val="00061889"/>
    <w:rsid w:val="00061DBB"/>
    <w:rsid w:val="00062487"/>
    <w:rsid w:val="000628B1"/>
    <w:rsid w:val="00062E82"/>
    <w:rsid w:val="000642F6"/>
    <w:rsid w:val="00064FDC"/>
    <w:rsid w:val="000652B0"/>
    <w:rsid w:val="00065FBF"/>
    <w:rsid w:val="0006719C"/>
    <w:rsid w:val="00067D0A"/>
    <w:rsid w:val="00070572"/>
    <w:rsid w:val="00070EDB"/>
    <w:rsid w:val="000719F1"/>
    <w:rsid w:val="00072050"/>
    <w:rsid w:val="000722A7"/>
    <w:rsid w:val="0007305B"/>
    <w:rsid w:val="00074D46"/>
    <w:rsid w:val="00075C35"/>
    <w:rsid w:val="00076438"/>
    <w:rsid w:val="0007657E"/>
    <w:rsid w:val="000767BF"/>
    <w:rsid w:val="0007756D"/>
    <w:rsid w:val="000776D0"/>
    <w:rsid w:val="00077CB4"/>
    <w:rsid w:val="000806B5"/>
    <w:rsid w:val="00080ED7"/>
    <w:rsid w:val="0008102F"/>
    <w:rsid w:val="00081A1C"/>
    <w:rsid w:val="00081B52"/>
    <w:rsid w:val="00082163"/>
    <w:rsid w:val="000823C9"/>
    <w:rsid w:val="000828C9"/>
    <w:rsid w:val="00083120"/>
    <w:rsid w:val="000835BF"/>
    <w:rsid w:val="00083A27"/>
    <w:rsid w:val="000842B8"/>
    <w:rsid w:val="000844E0"/>
    <w:rsid w:val="00084A4D"/>
    <w:rsid w:val="00084CD8"/>
    <w:rsid w:val="00085986"/>
    <w:rsid w:val="00086187"/>
    <w:rsid w:val="0008646D"/>
    <w:rsid w:val="000865CA"/>
    <w:rsid w:val="00087A2D"/>
    <w:rsid w:val="00087EF3"/>
    <w:rsid w:val="000900C7"/>
    <w:rsid w:val="00090E1F"/>
    <w:rsid w:val="0009132C"/>
    <w:rsid w:val="00092A86"/>
    <w:rsid w:val="00092B60"/>
    <w:rsid w:val="00093131"/>
    <w:rsid w:val="00093C43"/>
    <w:rsid w:val="000953B0"/>
    <w:rsid w:val="00095C73"/>
    <w:rsid w:val="00096283"/>
    <w:rsid w:val="00097F55"/>
    <w:rsid w:val="000A102C"/>
    <w:rsid w:val="000A1117"/>
    <w:rsid w:val="000A122F"/>
    <w:rsid w:val="000A1810"/>
    <w:rsid w:val="000A1A21"/>
    <w:rsid w:val="000A1B77"/>
    <w:rsid w:val="000A2397"/>
    <w:rsid w:val="000A2B8A"/>
    <w:rsid w:val="000A46F5"/>
    <w:rsid w:val="000A4F8D"/>
    <w:rsid w:val="000A53FF"/>
    <w:rsid w:val="000A69DE"/>
    <w:rsid w:val="000A7076"/>
    <w:rsid w:val="000A725D"/>
    <w:rsid w:val="000A784D"/>
    <w:rsid w:val="000A7B10"/>
    <w:rsid w:val="000B05C3"/>
    <w:rsid w:val="000B09FF"/>
    <w:rsid w:val="000B0CF6"/>
    <w:rsid w:val="000B0E09"/>
    <w:rsid w:val="000B140A"/>
    <w:rsid w:val="000B192D"/>
    <w:rsid w:val="000B1B7F"/>
    <w:rsid w:val="000B1EE5"/>
    <w:rsid w:val="000B2336"/>
    <w:rsid w:val="000B2B1D"/>
    <w:rsid w:val="000B503B"/>
    <w:rsid w:val="000B5537"/>
    <w:rsid w:val="000B5CC2"/>
    <w:rsid w:val="000B6CE0"/>
    <w:rsid w:val="000B72D6"/>
    <w:rsid w:val="000B7848"/>
    <w:rsid w:val="000C0D5C"/>
    <w:rsid w:val="000C1239"/>
    <w:rsid w:val="000C1E4A"/>
    <w:rsid w:val="000C2F53"/>
    <w:rsid w:val="000C37CE"/>
    <w:rsid w:val="000C3D50"/>
    <w:rsid w:val="000C3ECC"/>
    <w:rsid w:val="000C45BA"/>
    <w:rsid w:val="000C45D9"/>
    <w:rsid w:val="000C4FE0"/>
    <w:rsid w:val="000C55B2"/>
    <w:rsid w:val="000C59F0"/>
    <w:rsid w:val="000C624F"/>
    <w:rsid w:val="000C6FC2"/>
    <w:rsid w:val="000D0FEF"/>
    <w:rsid w:val="000D1EA9"/>
    <w:rsid w:val="000D256F"/>
    <w:rsid w:val="000D2AD2"/>
    <w:rsid w:val="000D2D31"/>
    <w:rsid w:val="000D3D4B"/>
    <w:rsid w:val="000D3FAF"/>
    <w:rsid w:val="000D52A2"/>
    <w:rsid w:val="000D580C"/>
    <w:rsid w:val="000D5BD7"/>
    <w:rsid w:val="000D6A91"/>
    <w:rsid w:val="000D7550"/>
    <w:rsid w:val="000E062A"/>
    <w:rsid w:val="000E147E"/>
    <w:rsid w:val="000E2160"/>
    <w:rsid w:val="000E3766"/>
    <w:rsid w:val="000E3D86"/>
    <w:rsid w:val="000E49DA"/>
    <w:rsid w:val="000E5315"/>
    <w:rsid w:val="000E6ADF"/>
    <w:rsid w:val="000E6FEE"/>
    <w:rsid w:val="000E7020"/>
    <w:rsid w:val="000E784E"/>
    <w:rsid w:val="000E7B58"/>
    <w:rsid w:val="000E7C58"/>
    <w:rsid w:val="000E7CB6"/>
    <w:rsid w:val="000F08AE"/>
    <w:rsid w:val="000F13B5"/>
    <w:rsid w:val="000F2F81"/>
    <w:rsid w:val="000F369B"/>
    <w:rsid w:val="000F52F8"/>
    <w:rsid w:val="000F5369"/>
    <w:rsid w:val="000F557B"/>
    <w:rsid w:val="000F5C58"/>
    <w:rsid w:val="000F6C11"/>
    <w:rsid w:val="000F74AD"/>
    <w:rsid w:val="000F7514"/>
    <w:rsid w:val="000F798B"/>
    <w:rsid w:val="000F7EC8"/>
    <w:rsid w:val="001000FA"/>
    <w:rsid w:val="001002CA"/>
    <w:rsid w:val="001006DF"/>
    <w:rsid w:val="00100B4A"/>
    <w:rsid w:val="0010296F"/>
    <w:rsid w:val="00102AC8"/>
    <w:rsid w:val="0010301D"/>
    <w:rsid w:val="0010340C"/>
    <w:rsid w:val="001040F2"/>
    <w:rsid w:val="00105035"/>
    <w:rsid w:val="0010695E"/>
    <w:rsid w:val="00106D48"/>
    <w:rsid w:val="001074A0"/>
    <w:rsid w:val="00107646"/>
    <w:rsid w:val="00110005"/>
    <w:rsid w:val="00110CCC"/>
    <w:rsid w:val="00110E07"/>
    <w:rsid w:val="001116D4"/>
    <w:rsid w:val="001121F7"/>
    <w:rsid w:val="001132F4"/>
    <w:rsid w:val="00113325"/>
    <w:rsid w:val="001135BE"/>
    <w:rsid w:val="00113EF4"/>
    <w:rsid w:val="00114361"/>
    <w:rsid w:val="0011464C"/>
    <w:rsid w:val="00114D67"/>
    <w:rsid w:val="00115395"/>
    <w:rsid w:val="001157BE"/>
    <w:rsid w:val="001169E2"/>
    <w:rsid w:val="00117077"/>
    <w:rsid w:val="0011728D"/>
    <w:rsid w:val="00117A33"/>
    <w:rsid w:val="00121792"/>
    <w:rsid w:val="001224C2"/>
    <w:rsid w:val="00122670"/>
    <w:rsid w:val="0012297F"/>
    <w:rsid w:val="00122A2A"/>
    <w:rsid w:val="00122E2B"/>
    <w:rsid w:val="00123998"/>
    <w:rsid w:val="00123C4D"/>
    <w:rsid w:val="00123D90"/>
    <w:rsid w:val="00123E1F"/>
    <w:rsid w:val="001260E3"/>
    <w:rsid w:val="0012615B"/>
    <w:rsid w:val="00130268"/>
    <w:rsid w:val="001305BE"/>
    <w:rsid w:val="00130BBC"/>
    <w:rsid w:val="00130EAA"/>
    <w:rsid w:val="0013151B"/>
    <w:rsid w:val="00132D63"/>
    <w:rsid w:val="00135D52"/>
    <w:rsid w:val="00135EDA"/>
    <w:rsid w:val="0013717A"/>
    <w:rsid w:val="00140BF2"/>
    <w:rsid w:val="001411EC"/>
    <w:rsid w:val="00141DE0"/>
    <w:rsid w:val="0014203F"/>
    <w:rsid w:val="0014208F"/>
    <w:rsid w:val="0014220B"/>
    <w:rsid w:val="0014255B"/>
    <w:rsid w:val="00142F94"/>
    <w:rsid w:val="00143D12"/>
    <w:rsid w:val="0014495B"/>
    <w:rsid w:val="00145981"/>
    <w:rsid w:val="00145B9A"/>
    <w:rsid w:val="001468BD"/>
    <w:rsid w:val="00146A3F"/>
    <w:rsid w:val="00147ACC"/>
    <w:rsid w:val="00147BF0"/>
    <w:rsid w:val="00150B39"/>
    <w:rsid w:val="00150DAD"/>
    <w:rsid w:val="00150E5A"/>
    <w:rsid w:val="00151277"/>
    <w:rsid w:val="00151DB8"/>
    <w:rsid w:val="001525AC"/>
    <w:rsid w:val="00152F82"/>
    <w:rsid w:val="001535DA"/>
    <w:rsid w:val="00153615"/>
    <w:rsid w:val="001540DB"/>
    <w:rsid w:val="00154141"/>
    <w:rsid w:val="00154630"/>
    <w:rsid w:val="00154693"/>
    <w:rsid w:val="0015485F"/>
    <w:rsid w:val="00155027"/>
    <w:rsid w:val="0015576D"/>
    <w:rsid w:val="00155E6A"/>
    <w:rsid w:val="00156FB6"/>
    <w:rsid w:val="001576F5"/>
    <w:rsid w:val="001631C1"/>
    <w:rsid w:val="00164611"/>
    <w:rsid w:val="0016764B"/>
    <w:rsid w:val="001678DD"/>
    <w:rsid w:val="00167FB7"/>
    <w:rsid w:val="00167FD3"/>
    <w:rsid w:val="0017045B"/>
    <w:rsid w:val="0017070A"/>
    <w:rsid w:val="00172E81"/>
    <w:rsid w:val="0017320E"/>
    <w:rsid w:val="00173BBF"/>
    <w:rsid w:val="00175561"/>
    <w:rsid w:val="00176A91"/>
    <w:rsid w:val="00177498"/>
    <w:rsid w:val="0018101F"/>
    <w:rsid w:val="00181048"/>
    <w:rsid w:val="0018164A"/>
    <w:rsid w:val="0018362C"/>
    <w:rsid w:val="00184E9D"/>
    <w:rsid w:val="00185927"/>
    <w:rsid w:val="001866E3"/>
    <w:rsid w:val="00186EA4"/>
    <w:rsid w:val="00191F88"/>
    <w:rsid w:val="00194987"/>
    <w:rsid w:val="00194C00"/>
    <w:rsid w:val="00196631"/>
    <w:rsid w:val="00196785"/>
    <w:rsid w:val="00196E37"/>
    <w:rsid w:val="001976CA"/>
    <w:rsid w:val="00197C3B"/>
    <w:rsid w:val="001A0E7E"/>
    <w:rsid w:val="001A14C1"/>
    <w:rsid w:val="001A1872"/>
    <w:rsid w:val="001A44F1"/>
    <w:rsid w:val="001A4ECB"/>
    <w:rsid w:val="001A53B3"/>
    <w:rsid w:val="001A56B0"/>
    <w:rsid w:val="001A5AC2"/>
    <w:rsid w:val="001A678F"/>
    <w:rsid w:val="001A7596"/>
    <w:rsid w:val="001A799B"/>
    <w:rsid w:val="001A7FA3"/>
    <w:rsid w:val="001B036F"/>
    <w:rsid w:val="001B0747"/>
    <w:rsid w:val="001B17E7"/>
    <w:rsid w:val="001B1828"/>
    <w:rsid w:val="001B2098"/>
    <w:rsid w:val="001B2545"/>
    <w:rsid w:val="001B2C11"/>
    <w:rsid w:val="001B56AE"/>
    <w:rsid w:val="001B763E"/>
    <w:rsid w:val="001B7F8C"/>
    <w:rsid w:val="001C0146"/>
    <w:rsid w:val="001C15BA"/>
    <w:rsid w:val="001C16E6"/>
    <w:rsid w:val="001C1ACC"/>
    <w:rsid w:val="001C2164"/>
    <w:rsid w:val="001C2489"/>
    <w:rsid w:val="001C258C"/>
    <w:rsid w:val="001C282E"/>
    <w:rsid w:val="001C2840"/>
    <w:rsid w:val="001C3AE8"/>
    <w:rsid w:val="001C40E7"/>
    <w:rsid w:val="001C4792"/>
    <w:rsid w:val="001C4823"/>
    <w:rsid w:val="001C4FF5"/>
    <w:rsid w:val="001C6CFA"/>
    <w:rsid w:val="001C758C"/>
    <w:rsid w:val="001C77F1"/>
    <w:rsid w:val="001D0BB7"/>
    <w:rsid w:val="001D138B"/>
    <w:rsid w:val="001D167F"/>
    <w:rsid w:val="001D2160"/>
    <w:rsid w:val="001D2BD4"/>
    <w:rsid w:val="001D35AD"/>
    <w:rsid w:val="001D448D"/>
    <w:rsid w:val="001D4843"/>
    <w:rsid w:val="001D4A22"/>
    <w:rsid w:val="001D509C"/>
    <w:rsid w:val="001D58C8"/>
    <w:rsid w:val="001D5C79"/>
    <w:rsid w:val="001D5EA3"/>
    <w:rsid w:val="001D612F"/>
    <w:rsid w:val="001D69A9"/>
    <w:rsid w:val="001D6B36"/>
    <w:rsid w:val="001D6F02"/>
    <w:rsid w:val="001D70F5"/>
    <w:rsid w:val="001D71A7"/>
    <w:rsid w:val="001E1318"/>
    <w:rsid w:val="001E15E9"/>
    <w:rsid w:val="001E1D6E"/>
    <w:rsid w:val="001E2678"/>
    <w:rsid w:val="001E2900"/>
    <w:rsid w:val="001E2EA4"/>
    <w:rsid w:val="001E337B"/>
    <w:rsid w:val="001E3596"/>
    <w:rsid w:val="001E363B"/>
    <w:rsid w:val="001E52A7"/>
    <w:rsid w:val="001E5495"/>
    <w:rsid w:val="001E5B0A"/>
    <w:rsid w:val="001E5B68"/>
    <w:rsid w:val="001E5FAA"/>
    <w:rsid w:val="001E7400"/>
    <w:rsid w:val="001E7FFD"/>
    <w:rsid w:val="001F0EDD"/>
    <w:rsid w:val="001F2B5E"/>
    <w:rsid w:val="001F3084"/>
    <w:rsid w:val="001F3BEE"/>
    <w:rsid w:val="001F3C82"/>
    <w:rsid w:val="001F3FDF"/>
    <w:rsid w:val="001F51DF"/>
    <w:rsid w:val="001F540D"/>
    <w:rsid w:val="001F5D66"/>
    <w:rsid w:val="001F6B90"/>
    <w:rsid w:val="001F70F3"/>
    <w:rsid w:val="001F7788"/>
    <w:rsid w:val="001F7D80"/>
    <w:rsid w:val="002006A6"/>
    <w:rsid w:val="00201EC4"/>
    <w:rsid w:val="00201F84"/>
    <w:rsid w:val="00203671"/>
    <w:rsid w:val="002043CD"/>
    <w:rsid w:val="00205426"/>
    <w:rsid w:val="002065C9"/>
    <w:rsid w:val="00207136"/>
    <w:rsid w:val="002071FE"/>
    <w:rsid w:val="00207567"/>
    <w:rsid w:val="00211337"/>
    <w:rsid w:val="002114A9"/>
    <w:rsid w:val="00212EAA"/>
    <w:rsid w:val="002145D9"/>
    <w:rsid w:val="002149FB"/>
    <w:rsid w:val="00215B0B"/>
    <w:rsid w:val="002166B4"/>
    <w:rsid w:val="0021782F"/>
    <w:rsid w:val="00220782"/>
    <w:rsid w:val="00222BD7"/>
    <w:rsid w:val="00222E3F"/>
    <w:rsid w:val="00222E87"/>
    <w:rsid w:val="00223571"/>
    <w:rsid w:val="00223E89"/>
    <w:rsid w:val="00223EC7"/>
    <w:rsid w:val="00224177"/>
    <w:rsid w:val="002245E0"/>
    <w:rsid w:val="00226305"/>
    <w:rsid w:val="002268DC"/>
    <w:rsid w:val="00226B2B"/>
    <w:rsid w:val="00230259"/>
    <w:rsid w:val="00231C0E"/>
    <w:rsid w:val="00232451"/>
    <w:rsid w:val="00233A10"/>
    <w:rsid w:val="002345B7"/>
    <w:rsid w:val="002356CC"/>
    <w:rsid w:val="002356E4"/>
    <w:rsid w:val="002365E6"/>
    <w:rsid w:val="00236FB3"/>
    <w:rsid w:val="00237212"/>
    <w:rsid w:val="00240595"/>
    <w:rsid w:val="00240CC1"/>
    <w:rsid w:val="002414B2"/>
    <w:rsid w:val="00241DC7"/>
    <w:rsid w:val="002422C1"/>
    <w:rsid w:val="002430A4"/>
    <w:rsid w:val="00243DBC"/>
    <w:rsid w:val="00244568"/>
    <w:rsid w:val="00244630"/>
    <w:rsid w:val="002465C1"/>
    <w:rsid w:val="002467DB"/>
    <w:rsid w:val="00246E09"/>
    <w:rsid w:val="00247708"/>
    <w:rsid w:val="00247849"/>
    <w:rsid w:val="00251D76"/>
    <w:rsid w:val="0025271B"/>
    <w:rsid w:val="002529DE"/>
    <w:rsid w:val="00253956"/>
    <w:rsid w:val="00255407"/>
    <w:rsid w:val="00256952"/>
    <w:rsid w:val="00256B2B"/>
    <w:rsid w:val="00256D4A"/>
    <w:rsid w:val="00257261"/>
    <w:rsid w:val="00260D4B"/>
    <w:rsid w:val="002614A0"/>
    <w:rsid w:val="0026287A"/>
    <w:rsid w:val="00262A70"/>
    <w:rsid w:val="00263095"/>
    <w:rsid w:val="00263886"/>
    <w:rsid w:val="00263925"/>
    <w:rsid w:val="00264DE5"/>
    <w:rsid w:val="00264E59"/>
    <w:rsid w:val="002654C4"/>
    <w:rsid w:val="00265AD8"/>
    <w:rsid w:val="00267D8D"/>
    <w:rsid w:val="00267E66"/>
    <w:rsid w:val="00267FD0"/>
    <w:rsid w:val="00271201"/>
    <w:rsid w:val="002724B3"/>
    <w:rsid w:val="00272C38"/>
    <w:rsid w:val="00272C43"/>
    <w:rsid w:val="0027300C"/>
    <w:rsid w:val="00273622"/>
    <w:rsid w:val="002737C8"/>
    <w:rsid w:val="00273E6A"/>
    <w:rsid w:val="00275D4E"/>
    <w:rsid w:val="00280408"/>
    <w:rsid w:val="0028051A"/>
    <w:rsid w:val="002806A3"/>
    <w:rsid w:val="00280ADA"/>
    <w:rsid w:val="00280EB4"/>
    <w:rsid w:val="002822D2"/>
    <w:rsid w:val="002824B8"/>
    <w:rsid w:val="00282ECF"/>
    <w:rsid w:val="0028342E"/>
    <w:rsid w:val="002838A2"/>
    <w:rsid w:val="00283E0C"/>
    <w:rsid w:val="002849C2"/>
    <w:rsid w:val="00290824"/>
    <w:rsid w:val="00291D4A"/>
    <w:rsid w:val="00291EB7"/>
    <w:rsid w:val="00291FC7"/>
    <w:rsid w:val="00292723"/>
    <w:rsid w:val="00292739"/>
    <w:rsid w:val="0029371B"/>
    <w:rsid w:val="00294005"/>
    <w:rsid w:val="0029498B"/>
    <w:rsid w:val="00296353"/>
    <w:rsid w:val="00296618"/>
    <w:rsid w:val="00297A06"/>
    <w:rsid w:val="002A07F4"/>
    <w:rsid w:val="002A0ACA"/>
    <w:rsid w:val="002A165F"/>
    <w:rsid w:val="002A16E8"/>
    <w:rsid w:val="002A3D84"/>
    <w:rsid w:val="002A46B5"/>
    <w:rsid w:val="002A49B7"/>
    <w:rsid w:val="002A52EB"/>
    <w:rsid w:val="002A5BB7"/>
    <w:rsid w:val="002A6A21"/>
    <w:rsid w:val="002A6A94"/>
    <w:rsid w:val="002A6AF7"/>
    <w:rsid w:val="002A6F33"/>
    <w:rsid w:val="002A7E0C"/>
    <w:rsid w:val="002B1E39"/>
    <w:rsid w:val="002B1F33"/>
    <w:rsid w:val="002B2FEA"/>
    <w:rsid w:val="002B3422"/>
    <w:rsid w:val="002B3724"/>
    <w:rsid w:val="002B3813"/>
    <w:rsid w:val="002B4DEC"/>
    <w:rsid w:val="002B539C"/>
    <w:rsid w:val="002B64FD"/>
    <w:rsid w:val="002B7544"/>
    <w:rsid w:val="002C0553"/>
    <w:rsid w:val="002C3266"/>
    <w:rsid w:val="002C37A0"/>
    <w:rsid w:val="002C4772"/>
    <w:rsid w:val="002C5A02"/>
    <w:rsid w:val="002C6177"/>
    <w:rsid w:val="002C6D07"/>
    <w:rsid w:val="002C6D14"/>
    <w:rsid w:val="002D1224"/>
    <w:rsid w:val="002D14F6"/>
    <w:rsid w:val="002D1634"/>
    <w:rsid w:val="002D1D06"/>
    <w:rsid w:val="002D213E"/>
    <w:rsid w:val="002D281C"/>
    <w:rsid w:val="002D29E6"/>
    <w:rsid w:val="002D4810"/>
    <w:rsid w:val="002D4DA6"/>
    <w:rsid w:val="002D64EE"/>
    <w:rsid w:val="002D6B56"/>
    <w:rsid w:val="002D6E6B"/>
    <w:rsid w:val="002D70A8"/>
    <w:rsid w:val="002D7C4F"/>
    <w:rsid w:val="002E0E44"/>
    <w:rsid w:val="002E184F"/>
    <w:rsid w:val="002E25B4"/>
    <w:rsid w:val="002E29DB"/>
    <w:rsid w:val="002E2BE1"/>
    <w:rsid w:val="002E30E9"/>
    <w:rsid w:val="002E36B9"/>
    <w:rsid w:val="002E3F8D"/>
    <w:rsid w:val="002E4ABD"/>
    <w:rsid w:val="002E4B47"/>
    <w:rsid w:val="002E5841"/>
    <w:rsid w:val="002E5A8E"/>
    <w:rsid w:val="002E5F7A"/>
    <w:rsid w:val="002E625A"/>
    <w:rsid w:val="002E68A4"/>
    <w:rsid w:val="002E69F3"/>
    <w:rsid w:val="002E6B9C"/>
    <w:rsid w:val="002F03A4"/>
    <w:rsid w:val="002F0E61"/>
    <w:rsid w:val="002F16FF"/>
    <w:rsid w:val="002F27A0"/>
    <w:rsid w:val="002F2FA1"/>
    <w:rsid w:val="002F462F"/>
    <w:rsid w:val="002F4A45"/>
    <w:rsid w:val="002F4CDF"/>
    <w:rsid w:val="002F6768"/>
    <w:rsid w:val="002F773D"/>
    <w:rsid w:val="002F7A37"/>
    <w:rsid w:val="00300B1D"/>
    <w:rsid w:val="0030111A"/>
    <w:rsid w:val="0030133C"/>
    <w:rsid w:val="00301F6E"/>
    <w:rsid w:val="00302AB6"/>
    <w:rsid w:val="00303C65"/>
    <w:rsid w:val="00305453"/>
    <w:rsid w:val="003057E6"/>
    <w:rsid w:val="00305971"/>
    <w:rsid w:val="00305A94"/>
    <w:rsid w:val="003068EC"/>
    <w:rsid w:val="00307B6B"/>
    <w:rsid w:val="00307C04"/>
    <w:rsid w:val="0031018B"/>
    <w:rsid w:val="00311A76"/>
    <w:rsid w:val="00312342"/>
    <w:rsid w:val="003124CD"/>
    <w:rsid w:val="003125DD"/>
    <w:rsid w:val="00312D53"/>
    <w:rsid w:val="00312FB1"/>
    <w:rsid w:val="0031328E"/>
    <w:rsid w:val="00313861"/>
    <w:rsid w:val="00313CBE"/>
    <w:rsid w:val="003152A3"/>
    <w:rsid w:val="003153D4"/>
    <w:rsid w:val="00315730"/>
    <w:rsid w:val="00315FD7"/>
    <w:rsid w:val="00316A9A"/>
    <w:rsid w:val="00316DB6"/>
    <w:rsid w:val="003171BA"/>
    <w:rsid w:val="0031720E"/>
    <w:rsid w:val="0031740D"/>
    <w:rsid w:val="00317879"/>
    <w:rsid w:val="00317EE9"/>
    <w:rsid w:val="00320A19"/>
    <w:rsid w:val="00321F20"/>
    <w:rsid w:val="00322123"/>
    <w:rsid w:val="00322B00"/>
    <w:rsid w:val="00323040"/>
    <w:rsid w:val="0032607C"/>
    <w:rsid w:val="00326D07"/>
    <w:rsid w:val="00327A14"/>
    <w:rsid w:val="00330A22"/>
    <w:rsid w:val="00330C0B"/>
    <w:rsid w:val="00330D8E"/>
    <w:rsid w:val="003318DE"/>
    <w:rsid w:val="00331E1A"/>
    <w:rsid w:val="003342F4"/>
    <w:rsid w:val="00334BBF"/>
    <w:rsid w:val="003354B4"/>
    <w:rsid w:val="003357B3"/>
    <w:rsid w:val="00335972"/>
    <w:rsid w:val="00336CE1"/>
    <w:rsid w:val="003378FC"/>
    <w:rsid w:val="00337953"/>
    <w:rsid w:val="0034047D"/>
    <w:rsid w:val="003415A5"/>
    <w:rsid w:val="00344459"/>
    <w:rsid w:val="00345E44"/>
    <w:rsid w:val="0034627C"/>
    <w:rsid w:val="00346766"/>
    <w:rsid w:val="00346805"/>
    <w:rsid w:val="00346A74"/>
    <w:rsid w:val="00347A6D"/>
    <w:rsid w:val="00347D23"/>
    <w:rsid w:val="00352B91"/>
    <w:rsid w:val="00352D2B"/>
    <w:rsid w:val="00353146"/>
    <w:rsid w:val="00353E88"/>
    <w:rsid w:val="00354588"/>
    <w:rsid w:val="0035568E"/>
    <w:rsid w:val="00355FC3"/>
    <w:rsid w:val="0035615A"/>
    <w:rsid w:val="00356162"/>
    <w:rsid w:val="003563D1"/>
    <w:rsid w:val="00356BBD"/>
    <w:rsid w:val="00357566"/>
    <w:rsid w:val="00357682"/>
    <w:rsid w:val="00357A8A"/>
    <w:rsid w:val="00357F1B"/>
    <w:rsid w:val="00360389"/>
    <w:rsid w:val="003606D5"/>
    <w:rsid w:val="00364978"/>
    <w:rsid w:val="00365E27"/>
    <w:rsid w:val="00366732"/>
    <w:rsid w:val="00367DF7"/>
    <w:rsid w:val="003707EB"/>
    <w:rsid w:val="00370E48"/>
    <w:rsid w:val="00371919"/>
    <w:rsid w:val="00372436"/>
    <w:rsid w:val="0037354B"/>
    <w:rsid w:val="00373847"/>
    <w:rsid w:val="00374AB0"/>
    <w:rsid w:val="00374C27"/>
    <w:rsid w:val="003768CD"/>
    <w:rsid w:val="00376B98"/>
    <w:rsid w:val="00377A72"/>
    <w:rsid w:val="00377CAF"/>
    <w:rsid w:val="00377EE6"/>
    <w:rsid w:val="00381F6E"/>
    <w:rsid w:val="0038223C"/>
    <w:rsid w:val="003823F0"/>
    <w:rsid w:val="00382BCD"/>
    <w:rsid w:val="003847A3"/>
    <w:rsid w:val="00386394"/>
    <w:rsid w:val="00386AB5"/>
    <w:rsid w:val="003908DA"/>
    <w:rsid w:val="0039118B"/>
    <w:rsid w:val="003924A1"/>
    <w:rsid w:val="003925DA"/>
    <w:rsid w:val="00394D71"/>
    <w:rsid w:val="00394E74"/>
    <w:rsid w:val="0039504D"/>
    <w:rsid w:val="003954F1"/>
    <w:rsid w:val="00395658"/>
    <w:rsid w:val="003960FE"/>
    <w:rsid w:val="00396291"/>
    <w:rsid w:val="0039693A"/>
    <w:rsid w:val="00397777"/>
    <w:rsid w:val="003A0308"/>
    <w:rsid w:val="003A0501"/>
    <w:rsid w:val="003A0F30"/>
    <w:rsid w:val="003A217D"/>
    <w:rsid w:val="003A28D9"/>
    <w:rsid w:val="003A29AE"/>
    <w:rsid w:val="003A2B6E"/>
    <w:rsid w:val="003A3D2A"/>
    <w:rsid w:val="003A53C1"/>
    <w:rsid w:val="003A56BC"/>
    <w:rsid w:val="003A74E8"/>
    <w:rsid w:val="003A79A7"/>
    <w:rsid w:val="003A79EC"/>
    <w:rsid w:val="003B04B0"/>
    <w:rsid w:val="003B0A77"/>
    <w:rsid w:val="003B0BE1"/>
    <w:rsid w:val="003B11C7"/>
    <w:rsid w:val="003B1558"/>
    <w:rsid w:val="003B1DC1"/>
    <w:rsid w:val="003B2168"/>
    <w:rsid w:val="003B252D"/>
    <w:rsid w:val="003B359E"/>
    <w:rsid w:val="003B3958"/>
    <w:rsid w:val="003B3BAB"/>
    <w:rsid w:val="003B52AD"/>
    <w:rsid w:val="003B52BC"/>
    <w:rsid w:val="003B5AAE"/>
    <w:rsid w:val="003B6042"/>
    <w:rsid w:val="003B72DC"/>
    <w:rsid w:val="003B7371"/>
    <w:rsid w:val="003C1D8B"/>
    <w:rsid w:val="003C4304"/>
    <w:rsid w:val="003C451C"/>
    <w:rsid w:val="003C4A6D"/>
    <w:rsid w:val="003C4B43"/>
    <w:rsid w:val="003C4F88"/>
    <w:rsid w:val="003C5589"/>
    <w:rsid w:val="003C70B2"/>
    <w:rsid w:val="003C796B"/>
    <w:rsid w:val="003C7E13"/>
    <w:rsid w:val="003D2542"/>
    <w:rsid w:val="003D2595"/>
    <w:rsid w:val="003D28F5"/>
    <w:rsid w:val="003D4477"/>
    <w:rsid w:val="003D51FB"/>
    <w:rsid w:val="003D5910"/>
    <w:rsid w:val="003D5B02"/>
    <w:rsid w:val="003D5D6A"/>
    <w:rsid w:val="003D70C1"/>
    <w:rsid w:val="003D77CC"/>
    <w:rsid w:val="003E091F"/>
    <w:rsid w:val="003E13D8"/>
    <w:rsid w:val="003E1C01"/>
    <w:rsid w:val="003E3880"/>
    <w:rsid w:val="003E3BD0"/>
    <w:rsid w:val="003E40B7"/>
    <w:rsid w:val="003E4BBA"/>
    <w:rsid w:val="003E5156"/>
    <w:rsid w:val="003E53DC"/>
    <w:rsid w:val="003E558B"/>
    <w:rsid w:val="003E6991"/>
    <w:rsid w:val="003E6BD4"/>
    <w:rsid w:val="003E72A8"/>
    <w:rsid w:val="003E79AD"/>
    <w:rsid w:val="003F0698"/>
    <w:rsid w:val="003F0BA5"/>
    <w:rsid w:val="003F1492"/>
    <w:rsid w:val="003F1624"/>
    <w:rsid w:val="003F198C"/>
    <w:rsid w:val="003F1ABC"/>
    <w:rsid w:val="003F1E8E"/>
    <w:rsid w:val="003F26F4"/>
    <w:rsid w:val="003F293D"/>
    <w:rsid w:val="003F3341"/>
    <w:rsid w:val="003F3984"/>
    <w:rsid w:val="003F3B23"/>
    <w:rsid w:val="003F4D5B"/>
    <w:rsid w:val="003F5511"/>
    <w:rsid w:val="003F5B11"/>
    <w:rsid w:val="003F6EEA"/>
    <w:rsid w:val="003F75FA"/>
    <w:rsid w:val="003F79BB"/>
    <w:rsid w:val="003F7A9D"/>
    <w:rsid w:val="004006D7"/>
    <w:rsid w:val="00400775"/>
    <w:rsid w:val="00400AF3"/>
    <w:rsid w:val="00400D95"/>
    <w:rsid w:val="00401892"/>
    <w:rsid w:val="004020A2"/>
    <w:rsid w:val="00402F3B"/>
    <w:rsid w:val="00403413"/>
    <w:rsid w:val="004040F6"/>
    <w:rsid w:val="004045B3"/>
    <w:rsid w:val="0040478D"/>
    <w:rsid w:val="00406786"/>
    <w:rsid w:val="00406BCD"/>
    <w:rsid w:val="00407720"/>
    <w:rsid w:val="004079DE"/>
    <w:rsid w:val="00407C19"/>
    <w:rsid w:val="004102F5"/>
    <w:rsid w:val="00411092"/>
    <w:rsid w:val="00411858"/>
    <w:rsid w:val="00411EFA"/>
    <w:rsid w:val="00412305"/>
    <w:rsid w:val="0041232E"/>
    <w:rsid w:val="004125E8"/>
    <w:rsid w:val="00412766"/>
    <w:rsid w:val="004127D3"/>
    <w:rsid w:val="00412BEB"/>
    <w:rsid w:val="00413E6D"/>
    <w:rsid w:val="00414174"/>
    <w:rsid w:val="004142D4"/>
    <w:rsid w:val="0041463E"/>
    <w:rsid w:val="00414C0E"/>
    <w:rsid w:val="00414D69"/>
    <w:rsid w:val="00415158"/>
    <w:rsid w:val="004166A0"/>
    <w:rsid w:val="004173C3"/>
    <w:rsid w:val="00417EB4"/>
    <w:rsid w:val="00421D7D"/>
    <w:rsid w:val="00421F1B"/>
    <w:rsid w:val="00422166"/>
    <w:rsid w:val="00422B0E"/>
    <w:rsid w:val="00422E09"/>
    <w:rsid w:val="004233AF"/>
    <w:rsid w:val="00423440"/>
    <w:rsid w:val="004243F8"/>
    <w:rsid w:val="0042495B"/>
    <w:rsid w:val="00424FBE"/>
    <w:rsid w:val="00425100"/>
    <w:rsid w:val="00425635"/>
    <w:rsid w:val="00425A3A"/>
    <w:rsid w:val="00425B69"/>
    <w:rsid w:val="00426A77"/>
    <w:rsid w:val="00426FD3"/>
    <w:rsid w:val="004270E7"/>
    <w:rsid w:val="00427159"/>
    <w:rsid w:val="0042765E"/>
    <w:rsid w:val="004304A4"/>
    <w:rsid w:val="00431A33"/>
    <w:rsid w:val="004325ED"/>
    <w:rsid w:val="0043556F"/>
    <w:rsid w:val="00436726"/>
    <w:rsid w:val="00436EFF"/>
    <w:rsid w:val="004378F0"/>
    <w:rsid w:val="00437F3D"/>
    <w:rsid w:val="00440630"/>
    <w:rsid w:val="004414DF"/>
    <w:rsid w:val="00442549"/>
    <w:rsid w:val="0044322B"/>
    <w:rsid w:val="0044371A"/>
    <w:rsid w:val="00444E04"/>
    <w:rsid w:val="0045093D"/>
    <w:rsid w:val="00450A97"/>
    <w:rsid w:val="00450CC0"/>
    <w:rsid w:val="004511FD"/>
    <w:rsid w:val="00451D7A"/>
    <w:rsid w:val="0045263B"/>
    <w:rsid w:val="00452C1F"/>
    <w:rsid w:val="00452D32"/>
    <w:rsid w:val="00452E05"/>
    <w:rsid w:val="00453083"/>
    <w:rsid w:val="004530C8"/>
    <w:rsid w:val="00453ECE"/>
    <w:rsid w:val="0045427F"/>
    <w:rsid w:val="004545BC"/>
    <w:rsid w:val="00454C1D"/>
    <w:rsid w:val="0045596D"/>
    <w:rsid w:val="0045674D"/>
    <w:rsid w:val="004568E9"/>
    <w:rsid w:val="004569F8"/>
    <w:rsid w:val="00461388"/>
    <w:rsid w:val="00461F03"/>
    <w:rsid w:val="0046256A"/>
    <w:rsid w:val="0046279C"/>
    <w:rsid w:val="00463950"/>
    <w:rsid w:val="00463D92"/>
    <w:rsid w:val="00464595"/>
    <w:rsid w:val="004651D0"/>
    <w:rsid w:val="00465824"/>
    <w:rsid w:val="00465973"/>
    <w:rsid w:val="0046746E"/>
    <w:rsid w:val="00470504"/>
    <w:rsid w:val="00470DBE"/>
    <w:rsid w:val="00470F96"/>
    <w:rsid w:val="0047179A"/>
    <w:rsid w:val="00471EAF"/>
    <w:rsid w:val="004721FE"/>
    <w:rsid w:val="00472A7A"/>
    <w:rsid w:val="00473A28"/>
    <w:rsid w:val="0047442F"/>
    <w:rsid w:val="00474481"/>
    <w:rsid w:val="00475A2F"/>
    <w:rsid w:val="00481C0B"/>
    <w:rsid w:val="00482C77"/>
    <w:rsid w:val="004831C5"/>
    <w:rsid w:val="00483411"/>
    <w:rsid w:val="00483F1C"/>
    <w:rsid w:val="0048403D"/>
    <w:rsid w:val="00484298"/>
    <w:rsid w:val="004851BA"/>
    <w:rsid w:val="004869EC"/>
    <w:rsid w:val="00487331"/>
    <w:rsid w:val="00490003"/>
    <w:rsid w:val="004914D8"/>
    <w:rsid w:val="00491A60"/>
    <w:rsid w:val="00491AAE"/>
    <w:rsid w:val="00491BCF"/>
    <w:rsid w:val="00491FA3"/>
    <w:rsid w:val="00492111"/>
    <w:rsid w:val="0049269E"/>
    <w:rsid w:val="004926C2"/>
    <w:rsid w:val="00493304"/>
    <w:rsid w:val="00493B07"/>
    <w:rsid w:val="00493B2C"/>
    <w:rsid w:val="00495195"/>
    <w:rsid w:val="004965BA"/>
    <w:rsid w:val="00496F13"/>
    <w:rsid w:val="004A0048"/>
    <w:rsid w:val="004A0366"/>
    <w:rsid w:val="004A0CC8"/>
    <w:rsid w:val="004A134E"/>
    <w:rsid w:val="004A142F"/>
    <w:rsid w:val="004A17BE"/>
    <w:rsid w:val="004A2C30"/>
    <w:rsid w:val="004A4012"/>
    <w:rsid w:val="004A4359"/>
    <w:rsid w:val="004A4C2B"/>
    <w:rsid w:val="004A63D4"/>
    <w:rsid w:val="004A6A9D"/>
    <w:rsid w:val="004A7114"/>
    <w:rsid w:val="004B00F7"/>
    <w:rsid w:val="004B022E"/>
    <w:rsid w:val="004B046F"/>
    <w:rsid w:val="004B16A8"/>
    <w:rsid w:val="004B3134"/>
    <w:rsid w:val="004B38DD"/>
    <w:rsid w:val="004B392C"/>
    <w:rsid w:val="004B393C"/>
    <w:rsid w:val="004B4719"/>
    <w:rsid w:val="004B4B68"/>
    <w:rsid w:val="004B6937"/>
    <w:rsid w:val="004B6C42"/>
    <w:rsid w:val="004B7896"/>
    <w:rsid w:val="004C00A9"/>
    <w:rsid w:val="004C0185"/>
    <w:rsid w:val="004C2CB7"/>
    <w:rsid w:val="004C33D6"/>
    <w:rsid w:val="004C344E"/>
    <w:rsid w:val="004C4675"/>
    <w:rsid w:val="004C54A1"/>
    <w:rsid w:val="004C57DD"/>
    <w:rsid w:val="004C5E5E"/>
    <w:rsid w:val="004C67B3"/>
    <w:rsid w:val="004C77F4"/>
    <w:rsid w:val="004D053F"/>
    <w:rsid w:val="004D0F7D"/>
    <w:rsid w:val="004D280E"/>
    <w:rsid w:val="004D389B"/>
    <w:rsid w:val="004D4229"/>
    <w:rsid w:val="004D4813"/>
    <w:rsid w:val="004D552F"/>
    <w:rsid w:val="004D57F6"/>
    <w:rsid w:val="004D77FE"/>
    <w:rsid w:val="004E1A1D"/>
    <w:rsid w:val="004E27AA"/>
    <w:rsid w:val="004E28AF"/>
    <w:rsid w:val="004E3483"/>
    <w:rsid w:val="004E47B6"/>
    <w:rsid w:val="004E49F2"/>
    <w:rsid w:val="004E5B5C"/>
    <w:rsid w:val="004E6C8C"/>
    <w:rsid w:val="004E6F5B"/>
    <w:rsid w:val="004E72F1"/>
    <w:rsid w:val="004E7308"/>
    <w:rsid w:val="004E74E3"/>
    <w:rsid w:val="004F07BB"/>
    <w:rsid w:val="004F0DCE"/>
    <w:rsid w:val="004F15CB"/>
    <w:rsid w:val="004F27E7"/>
    <w:rsid w:val="004F39BE"/>
    <w:rsid w:val="004F3B8D"/>
    <w:rsid w:val="004F3DE2"/>
    <w:rsid w:val="004F52BA"/>
    <w:rsid w:val="004F5C8A"/>
    <w:rsid w:val="004F636B"/>
    <w:rsid w:val="00502CB1"/>
    <w:rsid w:val="0050329E"/>
    <w:rsid w:val="005034CB"/>
    <w:rsid w:val="005050C8"/>
    <w:rsid w:val="005054A5"/>
    <w:rsid w:val="00505F58"/>
    <w:rsid w:val="00506552"/>
    <w:rsid w:val="00506A1C"/>
    <w:rsid w:val="005072D2"/>
    <w:rsid w:val="00507670"/>
    <w:rsid w:val="00507B16"/>
    <w:rsid w:val="00511EFB"/>
    <w:rsid w:val="0051284B"/>
    <w:rsid w:val="00512B3B"/>
    <w:rsid w:val="00512EDF"/>
    <w:rsid w:val="005131A4"/>
    <w:rsid w:val="005137B9"/>
    <w:rsid w:val="0051382B"/>
    <w:rsid w:val="00513C95"/>
    <w:rsid w:val="005145CA"/>
    <w:rsid w:val="005150F2"/>
    <w:rsid w:val="00515BE1"/>
    <w:rsid w:val="005160EC"/>
    <w:rsid w:val="005164C6"/>
    <w:rsid w:val="00521E60"/>
    <w:rsid w:val="005221C0"/>
    <w:rsid w:val="00522ED0"/>
    <w:rsid w:val="00523AC6"/>
    <w:rsid w:val="005254C7"/>
    <w:rsid w:val="00525DC6"/>
    <w:rsid w:val="005272A2"/>
    <w:rsid w:val="00527595"/>
    <w:rsid w:val="00527F57"/>
    <w:rsid w:val="005300CB"/>
    <w:rsid w:val="00530FF1"/>
    <w:rsid w:val="00532841"/>
    <w:rsid w:val="00533B3A"/>
    <w:rsid w:val="00535BC6"/>
    <w:rsid w:val="005374A4"/>
    <w:rsid w:val="00540725"/>
    <w:rsid w:val="00541597"/>
    <w:rsid w:val="0054179C"/>
    <w:rsid w:val="005447FF"/>
    <w:rsid w:val="00545AF7"/>
    <w:rsid w:val="0054640F"/>
    <w:rsid w:val="00547748"/>
    <w:rsid w:val="00547C09"/>
    <w:rsid w:val="00551199"/>
    <w:rsid w:val="005514D3"/>
    <w:rsid w:val="00551DDA"/>
    <w:rsid w:val="00552B33"/>
    <w:rsid w:val="005533CE"/>
    <w:rsid w:val="0055380F"/>
    <w:rsid w:val="00554A41"/>
    <w:rsid w:val="005551C9"/>
    <w:rsid w:val="00555696"/>
    <w:rsid w:val="0055673A"/>
    <w:rsid w:val="00557A7B"/>
    <w:rsid w:val="005605A4"/>
    <w:rsid w:val="005608B7"/>
    <w:rsid w:val="005612CF"/>
    <w:rsid w:val="005614FE"/>
    <w:rsid w:val="00562E97"/>
    <w:rsid w:val="00562FF3"/>
    <w:rsid w:val="00563199"/>
    <w:rsid w:val="00563381"/>
    <w:rsid w:val="00563744"/>
    <w:rsid w:val="005637D7"/>
    <w:rsid w:val="005658DA"/>
    <w:rsid w:val="005660DA"/>
    <w:rsid w:val="00566D5C"/>
    <w:rsid w:val="005672A1"/>
    <w:rsid w:val="0057018F"/>
    <w:rsid w:val="0057049A"/>
    <w:rsid w:val="00570884"/>
    <w:rsid w:val="0057197A"/>
    <w:rsid w:val="00571B96"/>
    <w:rsid w:val="00571F9C"/>
    <w:rsid w:val="00572462"/>
    <w:rsid w:val="00572D1E"/>
    <w:rsid w:val="005743BC"/>
    <w:rsid w:val="00575EEE"/>
    <w:rsid w:val="00576351"/>
    <w:rsid w:val="00576DD3"/>
    <w:rsid w:val="0057711B"/>
    <w:rsid w:val="005775D2"/>
    <w:rsid w:val="00577F6E"/>
    <w:rsid w:val="0058184A"/>
    <w:rsid w:val="00582172"/>
    <w:rsid w:val="0058337B"/>
    <w:rsid w:val="005834D3"/>
    <w:rsid w:val="005839C5"/>
    <w:rsid w:val="0058425D"/>
    <w:rsid w:val="00584871"/>
    <w:rsid w:val="005851AB"/>
    <w:rsid w:val="0058565C"/>
    <w:rsid w:val="00585A34"/>
    <w:rsid w:val="00585B8B"/>
    <w:rsid w:val="00586D41"/>
    <w:rsid w:val="00586EF0"/>
    <w:rsid w:val="00587A56"/>
    <w:rsid w:val="00587CB1"/>
    <w:rsid w:val="00587D6A"/>
    <w:rsid w:val="00587FFB"/>
    <w:rsid w:val="00590553"/>
    <w:rsid w:val="00590985"/>
    <w:rsid w:val="0059216C"/>
    <w:rsid w:val="00592B20"/>
    <w:rsid w:val="00592B42"/>
    <w:rsid w:val="00592BF6"/>
    <w:rsid w:val="00593450"/>
    <w:rsid w:val="00593A9E"/>
    <w:rsid w:val="0059522A"/>
    <w:rsid w:val="005957E5"/>
    <w:rsid w:val="00597312"/>
    <w:rsid w:val="00597914"/>
    <w:rsid w:val="005A1E40"/>
    <w:rsid w:val="005A22D0"/>
    <w:rsid w:val="005A2472"/>
    <w:rsid w:val="005A3843"/>
    <w:rsid w:val="005A3F65"/>
    <w:rsid w:val="005A43A1"/>
    <w:rsid w:val="005A5434"/>
    <w:rsid w:val="005A6DC1"/>
    <w:rsid w:val="005B12BB"/>
    <w:rsid w:val="005B17E4"/>
    <w:rsid w:val="005B224D"/>
    <w:rsid w:val="005B3DA5"/>
    <w:rsid w:val="005B5326"/>
    <w:rsid w:val="005B584E"/>
    <w:rsid w:val="005B585E"/>
    <w:rsid w:val="005B77F4"/>
    <w:rsid w:val="005C07AB"/>
    <w:rsid w:val="005C117A"/>
    <w:rsid w:val="005C14F1"/>
    <w:rsid w:val="005C1EE1"/>
    <w:rsid w:val="005C286A"/>
    <w:rsid w:val="005C28B3"/>
    <w:rsid w:val="005C320F"/>
    <w:rsid w:val="005C3A2F"/>
    <w:rsid w:val="005C4124"/>
    <w:rsid w:val="005C41AE"/>
    <w:rsid w:val="005C45EF"/>
    <w:rsid w:val="005C482B"/>
    <w:rsid w:val="005C5B3A"/>
    <w:rsid w:val="005C6466"/>
    <w:rsid w:val="005C68E6"/>
    <w:rsid w:val="005C6E56"/>
    <w:rsid w:val="005C6F1E"/>
    <w:rsid w:val="005D0016"/>
    <w:rsid w:val="005D05FD"/>
    <w:rsid w:val="005D085C"/>
    <w:rsid w:val="005D0985"/>
    <w:rsid w:val="005D0EFD"/>
    <w:rsid w:val="005D1A60"/>
    <w:rsid w:val="005D1F2F"/>
    <w:rsid w:val="005D2162"/>
    <w:rsid w:val="005D3643"/>
    <w:rsid w:val="005D4667"/>
    <w:rsid w:val="005D4734"/>
    <w:rsid w:val="005D4B72"/>
    <w:rsid w:val="005D4BF6"/>
    <w:rsid w:val="005D4E2F"/>
    <w:rsid w:val="005D4E9D"/>
    <w:rsid w:val="005D505C"/>
    <w:rsid w:val="005D5584"/>
    <w:rsid w:val="005D58D4"/>
    <w:rsid w:val="005D6065"/>
    <w:rsid w:val="005E136C"/>
    <w:rsid w:val="005E265C"/>
    <w:rsid w:val="005E3232"/>
    <w:rsid w:val="005E38E0"/>
    <w:rsid w:val="005E5031"/>
    <w:rsid w:val="005E5BDB"/>
    <w:rsid w:val="005E5D6A"/>
    <w:rsid w:val="005E5E0F"/>
    <w:rsid w:val="005E62D8"/>
    <w:rsid w:val="005E6BB3"/>
    <w:rsid w:val="005E72C3"/>
    <w:rsid w:val="005F0FC6"/>
    <w:rsid w:val="005F1394"/>
    <w:rsid w:val="005F1742"/>
    <w:rsid w:val="005F264E"/>
    <w:rsid w:val="005F29A8"/>
    <w:rsid w:val="005F2B4B"/>
    <w:rsid w:val="005F3326"/>
    <w:rsid w:val="005F3B85"/>
    <w:rsid w:val="005F5794"/>
    <w:rsid w:val="005F58DA"/>
    <w:rsid w:val="005F67C2"/>
    <w:rsid w:val="006005A8"/>
    <w:rsid w:val="00600CC9"/>
    <w:rsid w:val="0060251B"/>
    <w:rsid w:val="0060316E"/>
    <w:rsid w:val="0060553D"/>
    <w:rsid w:val="0060628A"/>
    <w:rsid w:val="00607688"/>
    <w:rsid w:val="00610223"/>
    <w:rsid w:val="006105AD"/>
    <w:rsid w:val="006109F8"/>
    <w:rsid w:val="00610EEA"/>
    <w:rsid w:val="006110D7"/>
    <w:rsid w:val="00611DB0"/>
    <w:rsid w:val="006122EB"/>
    <w:rsid w:val="00612363"/>
    <w:rsid w:val="00612422"/>
    <w:rsid w:val="006129BA"/>
    <w:rsid w:val="00613118"/>
    <w:rsid w:val="0061392F"/>
    <w:rsid w:val="006150C3"/>
    <w:rsid w:val="006151C9"/>
    <w:rsid w:val="006152A0"/>
    <w:rsid w:val="00616334"/>
    <w:rsid w:val="00617ABE"/>
    <w:rsid w:val="00620DB6"/>
    <w:rsid w:val="00621A37"/>
    <w:rsid w:val="006225E5"/>
    <w:rsid w:val="00622676"/>
    <w:rsid w:val="00622D84"/>
    <w:rsid w:val="0062312F"/>
    <w:rsid w:val="00623A13"/>
    <w:rsid w:val="00623B61"/>
    <w:rsid w:val="0062404E"/>
    <w:rsid w:val="00624467"/>
    <w:rsid w:val="00625B35"/>
    <w:rsid w:val="00625D31"/>
    <w:rsid w:val="00627ED4"/>
    <w:rsid w:val="00630076"/>
    <w:rsid w:val="00630699"/>
    <w:rsid w:val="006306FA"/>
    <w:rsid w:val="0063095B"/>
    <w:rsid w:val="00630EB8"/>
    <w:rsid w:val="00630F20"/>
    <w:rsid w:val="00633C6B"/>
    <w:rsid w:val="0063492A"/>
    <w:rsid w:val="00634E16"/>
    <w:rsid w:val="006352A0"/>
    <w:rsid w:val="00635E8F"/>
    <w:rsid w:val="0063609F"/>
    <w:rsid w:val="006366B3"/>
    <w:rsid w:val="006408D9"/>
    <w:rsid w:val="00641172"/>
    <w:rsid w:val="006413D4"/>
    <w:rsid w:val="00641AAE"/>
    <w:rsid w:val="0064250D"/>
    <w:rsid w:val="00642964"/>
    <w:rsid w:val="00643A28"/>
    <w:rsid w:val="00643E94"/>
    <w:rsid w:val="006445B6"/>
    <w:rsid w:val="00644B15"/>
    <w:rsid w:val="00644D53"/>
    <w:rsid w:val="00645410"/>
    <w:rsid w:val="00645810"/>
    <w:rsid w:val="00647992"/>
    <w:rsid w:val="0065012E"/>
    <w:rsid w:val="00650DE2"/>
    <w:rsid w:val="0065112B"/>
    <w:rsid w:val="00651E71"/>
    <w:rsid w:val="00652F4D"/>
    <w:rsid w:val="00652F66"/>
    <w:rsid w:val="00654006"/>
    <w:rsid w:val="0065595C"/>
    <w:rsid w:val="006560FA"/>
    <w:rsid w:val="00656A68"/>
    <w:rsid w:val="00657BBA"/>
    <w:rsid w:val="00660105"/>
    <w:rsid w:val="0066054B"/>
    <w:rsid w:val="006629DA"/>
    <w:rsid w:val="0066451D"/>
    <w:rsid w:val="00664CE6"/>
    <w:rsid w:val="00665490"/>
    <w:rsid w:val="0066619C"/>
    <w:rsid w:val="006667F5"/>
    <w:rsid w:val="006669E7"/>
    <w:rsid w:val="00667469"/>
    <w:rsid w:val="006720D8"/>
    <w:rsid w:val="00672A1D"/>
    <w:rsid w:val="00672C15"/>
    <w:rsid w:val="00672F74"/>
    <w:rsid w:val="00673104"/>
    <w:rsid w:val="00673262"/>
    <w:rsid w:val="006738CB"/>
    <w:rsid w:val="00674AA1"/>
    <w:rsid w:val="00675D44"/>
    <w:rsid w:val="00676E67"/>
    <w:rsid w:val="006777A9"/>
    <w:rsid w:val="00680B38"/>
    <w:rsid w:val="0068136C"/>
    <w:rsid w:val="00681BA5"/>
    <w:rsid w:val="0068282D"/>
    <w:rsid w:val="00682862"/>
    <w:rsid w:val="00683BAB"/>
    <w:rsid w:val="0068455A"/>
    <w:rsid w:val="00684593"/>
    <w:rsid w:val="0068471B"/>
    <w:rsid w:val="0068515D"/>
    <w:rsid w:val="00686E09"/>
    <w:rsid w:val="00687241"/>
    <w:rsid w:val="0068725A"/>
    <w:rsid w:val="00687447"/>
    <w:rsid w:val="00687D1F"/>
    <w:rsid w:val="00687D5D"/>
    <w:rsid w:val="006903B0"/>
    <w:rsid w:val="0069087A"/>
    <w:rsid w:val="00690E98"/>
    <w:rsid w:val="0069101A"/>
    <w:rsid w:val="00691236"/>
    <w:rsid w:val="00692811"/>
    <w:rsid w:val="00693015"/>
    <w:rsid w:val="006932F1"/>
    <w:rsid w:val="00693BE3"/>
    <w:rsid w:val="0069474B"/>
    <w:rsid w:val="0069495E"/>
    <w:rsid w:val="00695944"/>
    <w:rsid w:val="00696DDD"/>
    <w:rsid w:val="00697135"/>
    <w:rsid w:val="00697287"/>
    <w:rsid w:val="006972E5"/>
    <w:rsid w:val="006974E2"/>
    <w:rsid w:val="006A081E"/>
    <w:rsid w:val="006A0C3B"/>
    <w:rsid w:val="006A1C3A"/>
    <w:rsid w:val="006A1E74"/>
    <w:rsid w:val="006A2BF9"/>
    <w:rsid w:val="006A30ED"/>
    <w:rsid w:val="006A32FC"/>
    <w:rsid w:val="006A3635"/>
    <w:rsid w:val="006A3713"/>
    <w:rsid w:val="006A5570"/>
    <w:rsid w:val="006A6807"/>
    <w:rsid w:val="006A77BD"/>
    <w:rsid w:val="006A7A22"/>
    <w:rsid w:val="006B0640"/>
    <w:rsid w:val="006B0C80"/>
    <w:rsid w:val="006B1071"/>
    <w:rsid w:val="006B2E10"/>
    <w:rsid w:val="006B3904"/>
    <w:rsid w:val="006B3A99"/>
    <w:rsid w:val="006B3EE7"/>
    <w:rsid w:val="006B401C"/>
    <w:rsid w:val="006B42B4"/>
    <w:rsid w:val="006B4CF8"/>
    <w:rsid w:val="006B56E6"/>
    <w:rsid w:val="006B572B"/>
    <w:rsid w:val="006B5B0D"/>
    <w:rsid w:val="006B5BAD"/>
    <w:rsid w:val="006B61CD"/>
    <w:rsid w:val="006B63B1"/>
    <w:rsid w:val="006B6C36"/>
    <w:rsid w:val="006B6F03"/>
    <w:rsid w:val="006B7F0C"/>
    <w:rsid w:val="006C03F1"/>
    <w:rsid w:val="006C050B"/>
    <w:rsid w:val="006C076D"/>
    <w:rsid w:val="006C092A"/>
    <w:rsid w:val="006C17D8"/>
    <w:rsid w:val="006C1C47"/>
    <w:rsid w:val="006C2BAF"/>
    <w:rsid w:val="006C2E16"/>
    <w:rsid w:val="006C2EA7"/>
    <w:rsid w:val="006C54E1"/>
    <w:rsid w:val="006C56B9"/>
    <w:rsid w:val="006C5A29"/>
    <w:rsid w:val="006C62DE"/>
    <w:rsid w:val="006C757E"/>
    <w:rsid w:val="006C776F"/>
    <w:rsid w:val="006C7EC4"/>
    <w:rsid w:val="006C7EE7"/>
    <w:rsid w:val="006D0660"/>
    <w:rsid w:val="006D11CF"/>
    <w:rsid w:val="006D190E"/>
    <w:rsid w:val="006D1D38"/>
    <w:rsid w:val="006D2D36"/>
    <w:rsid w:val="006D2EED"/>
    <w:rsid w:val="006D408B"/>
    <w:rsid w:val="006D411C"/>
    <w:rsid w:val="006D4912"/>
    <w:rsid w:val="006D615D"/>
    <w:rsid w:val="006D75E3"/>
    <w:rsid w:val="006D7C0F"/>
    <w:rsid w:val="006D7D00"/>
    <w:rsid w:val="006E02A8"/>
    <w:rsid w:val="006E0960"/>
    <w:rsid w:val="006E0D25"/>
    <w:rsid w:val="006E1B5E"/>
    <w:rsid w:val="006E315A"/>
    <w:rsid w:val="006E404C"/>
    <w:rsid w:val="006E47D6"/>
    <w:rsid w:val="006E50BA"/>
    <w:rsid w:val="006E562A"/>
    <w:rsid w:val="006E5CE2"/>
    <w:rsid w:val="006E6D5E"/>
    <w:rsid w:val="006E7E7D"/>
    <w:rsid w:val="006F17E2"/>
    <w:rsid w:val="006F17EC"/>
    <w:rsid w:val="006F3775"/>
    <w:rsid w:val="006F44F5"/>
    <w:rsid w:val="006F4680"/>
    <w:rsid w:val="006F4DF5"/>
    <w:rsid w:val="006F50C0"/>
    <w:rsid w:val="006F5813"/>
    <w:rsid w:val="006F5DC3"/>
    <w:rsid w:val="006F701F"/>
    <w:rsid w:val="006F7420"/>
    <w:rsid w:val="006F751F"/>
    <w:rsid w:val="006F7C47"/>
    <w:rsid w:val="0070171A"/>
    <w:rsid w:val="00701933"/>
    <w:rsid w:val="00701D9B"/>
    <w:rsid w:val="00702A09"/>
    <w:rsid w:val="00702F7C"/>
    <w:rsid w:val="00703467"/>
    <w:rsid w:val="00704290"/>
    <w:rsid w:val="007049AF"/>
    <w:rsid w:val="00704F69"/>
    <w:rsid w:val="00704FCE"/>
    <w:rsid w:val="007057D8"/>
    <w:rsid w:val="007073B3"/>
    <w:rsid w:val="007073B8"/>
    <w:rsid w:val="00710809"/>
    <w:rsid w:val="00710867"/>
    <w:rsid w:val="00712048"/>
    <w:rsid w:val="00713724"/>
    <w:rsid w:val="007144D4"/>
    <w:rsid w:val="0071485F"/>
    <w:rsid w:val="0071498C"/>
    <w:rsid w:val="0071731F"/>
    <w:rsid w:val="0072019A"/>
    <w:rsid w:val="00720799"/>
    <w:rsid w:val="007224C2"/>
    <w:rsid w:val="00723076"/>
    <w:rsid w:val="00724AFA"/>
    <w:rsid w:val="007256E1"/>
    <w:rsid w:val="0072672C"/>
    <w:rsid w:val="00726A7A"/>
    <w:rsid w:val="0073020B"/>
    <w:rsid w:val="00730678"/>
    <w:rsid w:val="0073095F"/>
    <w:rsid w:val="00731914"/>
    <w:rsid w:val="00731F83"/>
    <w:rsid w:val="007326D4"/>
    <w:rsid w:val="00732862"/>
    <w:rsid w:val="007329DC"/>
    <w:rsid w:val="00732C78"/>
    <w:rsid w:val="00733ED6"/>
    <w:rsid w:val="00733F5D"/>
    <w:rsid w:val="00733FE2"/>
    <w:rsid w:val="00735CB2"/>
    <w:rsid w:val="00735D09"/>
    <w:rsid w:val="00736E21"/>
    <w:rsid w:val="00736EF2"/>
    <w:rsid w:val="007373CD"/>
    <w:rsid w:val="00740327"/>
    <w:rsid w:val="007403BF"/>
    <w:rsid w:val="00741401"/>
    <w:rsid w:val="007435F7"/>
    <w:rsid w:val="00743789"/>
    <w:rsid w:val="00743AD5"/>
    <w:rsid w:val="00743DAD"/>
    <w:rsid w:val="00743F83"/>
    <w:rsid w:val="00744647"/>
    <w:rsid w:val="00744ACB"/>
    <w:rsid w:val="00744D5E"/>
    <w:rsid w:val="00744E76"/>
    <w:rsid w:val="00745027"/>
    <w:rsid w:val="0074534D"/>
    <w:rsid w:val="007457F9"/>
    <w:rsid w:val="00745A5B"/>
    <w:rsid w:val="00746040"/>
    <w:rsid w:val="00746048"/>
    <w:rsid w:val="00746AC6"/>
    <w:rsid w:val="00750CE1"/>
    <w:rsid w:val="00751EFF"/>
    <w:rsid w:val="007528E0"/>
    <w:rsid w:val="0075366C"/>
    <w:rsid w:val="00753719"/>
    <w:rsid w:val="0075455E"/>
    <w:rsid w:val="007556AC"/>
    <w:rsid w:val="00755B0C"/>
    <w:rsid w:val="007569E4"/>
    <w:rsid w:val="007572AB"/>
    <w:rsid w:val="007578AD"/>
    <w:rsid w:val="00760281"/>
    <w:rsid w:val="0076063D"/>
    <w:rsid w:val="0076166C"/>
    <w:rsid w:val="00762314"/>
    <w:rsid w:val="007626B4"/>
    <w:rsid w:val="007646B9"/>
    <w:rsid w:val="007647A2"/>
    <w:rsid w:val="00764BA5"/>
    <w:rsid w:val="00764F09"/>
    <w:rsid w:val="007653EC"/>
    <w:rsid w:val="007658FF"/>
    <w:rsid w:val="00765CA5"/>
    <w:rsid w:val="007673FE"/>
    <w:rsid w:val="0076745A"/>
    <w:rsid w:val="00767711"/>
    <w:rsid w:val="0077021C"/>
    <w:rsid w:val="00770CD8"/>
    <w:rsid w:val="00771748"/>
    <w:rsid w:val="00771BAD"/>
    <w:rsid w:val="007731C3"/>
    <w:rsid w:val="0077395F"/>
    <w:rsid w:val="00773A70"/>
    <w:rsid w:val="00773D53"/>
    <w:rsid w:val="0077586C"/>
    <w:rsid w:val="00775E56"/>
    <w:rsid w:val="0077641D"/>
    <w:rsid w:val="0077659D"/>
    <w:rsid w:val="007770F5"/>
    <w:rsid w:val="00777F58"/>
    <w:rsid w:val="0078024A"/>
    <w:rsid w:val="0078027B"/>
    <w:rsid w:val="00780800"/>
    <w:rsid w:val="00780BB1"/>
    <w:rsid w:val="0078136F"/>
    <w:rsid w:val="007819E2"/>
    <w:rsid w:val="00783613"/>
    <w:rsid w:val="0078445C"/>
    <w:rsid w:val="00785FBD"/>
    <w:rsid w:val="00786A5A"/>
    <w:rsid w:val="00787AC6"/>
    <w:rsid w:val="0079061D"/>
    <w:rsid w:val="007909FF"/>
    <w:rsid w:val="007915AD"/>
    <w:rsid w:val="0079275E"/>
    <w:rsid w:val="00792C4E"/>
    <w:rsid w:val="0079300F"/>
    <w:rsid w:val="00793D0C"/>
    <w:rsid w:val="00794308"/>
    <w:rsid w:val="00794604"/>
    <w:rsid w:val="00794CD6"/>
    <w:rsid w:val="00795BF1"/>
    <w:rsid w:val="007961A0"/>
    <w:rsid w:val="00796E2D"/>
    <w:rsid w:val="007976ED"/>
    <w:rsid w:val="00797B76"/>
    <w:rsid w:val="007A2C33"/>
    <w:rsid w:val="007A2E0B"/>
    <w:rsid w:val="007A3BD6"/>
    <w:rsid w:val="007A489E"/>
    <w:rsid w:val="007A4AC4"/>
    <w:rsid w:val="007A5A15"/>
    <w:rsid w:val="007A65C4"/>
    <w:rsid w:val="007A6CEE"/>
    <w:rsid w:val="007A7F24"/>
    <w:rsid w:val="007B1551"/>
    <w:rsid w:val="007B17BF"/>
    <w:rsid w:val="007B1805"/>
    <w:rsid w:val="007B19CB"/>
    <w:rsid w:val="007B29B9"/>
    <w:rsid w:val="007B310D"/>
    <w:rsid w:val="007B366C"/>
    <w:rsid w:val="007B4FD6"/>
    <w:rsid w:val="007B5D3B"/>
    <w:rsid w:val="007B5E32"/>
    <w:rsid w:val="007B6407"/>
    <w:rsid w:val="007B642F"/>
    <w:rsid w:val="007B6C75"/>
    <w:rsid w:val="007B7217"/>
    <w:rsid w:val="007B7767"/>
    <w:rsid w:val="007B7A86"/>
    <w:rsid w:val="007C0353"/>
    <w:rsid w:val="007C0A10"/>
    <w:rsid w:val="007C0F2A"/>
    <w:rsid w:val="007C1953"/>
    <w:rsid w:val="007C1CEA"/>
    <w:rsid w:val="007C2047"/>
    <w:rsid w:val="007C2938"/>
    <w:rsid w:val="007C2EB8"/>
    <w:rsid w:val="007C323B"/>
    <w:rsid w:val="007C33EA"/>
    <w:rsid w:val="007C3BAA"/>
    <w:rsid w:val="007C3C29"/>
    <w:rsid w:val="007C4502"/>
    <w:rsid w:val="007C4E13"/>
    <w:rsid w:val="007C4F50"/>
    <w:rsid w:val="007C5430"/>
    <w:rsid w:val="007C6884"/>
    <w:rsid w:val="007C6BBD"/>
    <w:rsid w:val="007C7821"/>
    <w:rsid w:val="007C7C2B"/>
    <w:rsid w:val="007C7E9C"/>
    <w:rsid w:val="007D0B45"/>
    <w:rsid w:val="007D0B66"/>
    <w:rsid w:val="007D0D6C"/>
    <w:rsid w:val="007D223F"/>
    <w:rsid w:val="007D35D1"/>
    <w:rsid w:val="007D37E9"/>
    <w:rsid w:val="007D404B"/>
    <w:rsid w:val="007D543B"/>
    <w:rsid w:val="007D71D8"/>
    <w:rsid w:val="007D778C"/>
    <w:rsid w:val="007E1C8A"/>
    <w:rsid w:val="007E2052"/>
    <w:rsid w:val="007E299C"/>
    <w:rsid w:val="007E3412"/>
    <w:rsid w:val="007E4207"/>
    <w:rsid w:val="007E4A1D"/>
    <w:rsid w:val="007E5393"/>
    <w:rsid w:val="007E5484"/>
    <w:rsid w:val="007E67A7"/>
    <w:rsid w:val="007E7240"/>
    <w:rsid w:val="007E77F4"/>
    <w:rsid w:val="007F0186"/>
    <w:rsid w:val="007F19FE"/>
    <w:rsid w:val="007F215D"/>
    <w:rsid w:val="007F250C"/>
    <w:rsid w:val="007F255C"/>
    <w:rsid w:val="007F288A"/>
    <w:rsid w:val="007F3036"/>
    <w:rsid w:val="007F3057"/>
    <w:rsid w:val="007F3BF2"/>
    <w:rsid w:val="007F3D58"/>
    <w:rsid w:val="007F56C1"/>
    <w:rsid w:val="007F59D0"/>
    <w:rsid w:val="007F6ACC"/>
    <w:rsid w:val="007F6AEA"/>
    <w:rsid w:val="007F6D04"/>
    <w:rsid w:val="007F6D25"/>
    <w:rsid w:val="007F74B4"/>
    <w:rsid w:val="007F7B66"/>
    <w:rsid w:val="0080058C"/>
    <w:rsid w:val="008014FA"/>
    <w:rsid w:val="00801F4C"/>
    <w:rsid w:val="0080216E"/>
    <w:rsid w:val="00802242"/>
    <w:rsid w:val="0080235C"/>
    <w:rsid w:val="00803324"/>
    <w:rsid w:val="0080373B"/>
    <w:rsid w:val="00805314"/>
    <w:rsid w:val="00805ADD"/>
    <w:rsid w:val="00805BE1"/>
    <w:rsid w:val="0080702C"/>
    <w:rsid w:val="0080739A"/>
    <w:rsid w:val="00807424"/>
    <w:rsid w:val="00807FF4"/>
    <w:rsid w:val="00810FD8"/>
    <w:rsid w:val="0081163C"/>
    <w:rsid w:val="008136AA"/>
    <w:rsid w:val="0081414F"/>
    <w:rsid w:val="00814D5A"/>
    <w:rsid w:val="00815320"/>
    <w:rsid w:val="008174CC"/>
    <w:rsid w:val="00817ECE"/>
    <w:rsid w:val="00820339"/>
    <w:rsid w:val="00820C6E"/>
    <w:rsid w:val="00821573"/>
    <w:rsid w:val="00822121"/>
    <w:rsid w:val="00822FF7"/>
    <w:rsid w:val="00823027"/>
    <w:rsid w:val="00823C78"/>
    <w:rsid w:val="00824BA5"/>
    <w:rsid w:val="00825373"/>
    <w:rsid w:val="00826461"/>
    <w:rsid w:val="00827FC2"/>
    <w:rsid w:val="00830397"/>
    <w:rsid w:val="00830ED4"/>
    <w:rsid w:val="00831AC9"/>
    <w:rsid w:val="008322CE"/>
    <w:rsid w:val="008323E8"/>
    <w:rsid w:val="0083248C"/>
    <w:rsid w:val="0083376E"/>
    <w:rsid w:val="00833F39"/>
    <w:rsid w:val="0083680E"/>
    <w:rsid w:val="00837BC0"/>
    <w:rsid w:val="00840B78"/>
    <w:rsid w:val="00841CBD"/>
    <w:rsid w:val="008424B6"/>
    <w:rsid w:val="00843548"/>
    <w:rsid w:val="00843B01"/>
    <w:rsid w:val="00843CC3"/>
    <w:rsid w:val="00843F21"/>
    <w:rsid w:val="008447F5"/>
    <w:rsid w:val="00844F85"/>
    <w:rsid w:val="0084508D"/>
    <w:rsid w:val="008454F5"/>
    <w:rsid w:val="008457DA"/>
    <w:rsid w:val="00846A4E"/>
    <w:rsid w:val="00846E79"/>
    <w:rsid w:val="00850979"/>
    <w:rsid w:val="00850A41"/>
    <w:rsid w:val="00850B31"/>
    <w:rsid w:val="00851643"/>
    <w:rsid w:val="0085203F"/>
    <w:rsid w:val="00852AF7"/>
    <w:rsid w:val="00852DD7"/>
    <w:rsid w:val="00854246"/>
    <w:rsid w:val="008559CF"/>
    <w:rsid w:val="00855B5B"/>
    <w:rsid w:val="00856870"/>
    <w:rsid w:val="00857737"/>
    <w:rsid w:val="008610A4"/>
    <w:rsid w:val="00862177"/>
    <w:rsid w:val="008634B7"/>
    <w:rsid w:val="00864B5E"/>
    <w:rsid w:val="00865A20"/>
    <w:rsid w:val="0086790D"/>
    <w:rsid w:val="00867E8E"/>
    <w:rsid w:val="00871376"/>
    <w:rsid w:val="0087217F"/>
    <w:rsid w:val="0087296F"/>
    <w:rsid w:val="00874F8F"/>
    <w:rsid w:val="00875FC6"/>
    <w:rsid w:val="00876274"/>
    <w:rsid w:val="0087664A"/>
    <w:rsid w:val="008767B3"/>
    <w:rsid w:val="00876987"/>
    <w:rsid w:val="008770B8"/>
    <w:rsid w:val="008773F9"/>
    <w:rsid w:val="00880A6C"/>
    <w:rsid w:val="00881829"/>
    <w:rsid w:val="00882574"/>
    <w:rsid w:val="00883A46"/>
    <w:rsid w:val="00884518"/>
    <w:rsid w:val="00884674"/>
    <w:rsid w:val="00885D0C"/>
    <w:rsid w:val="00886224"/>
    <w:rsid w:val="00886337"/>
    <w:rsid w:val="00890768"/>
    <w:rsid w:val="00891152"/>
    <w:rsid w:val="00891541"/>
    <w:rsid w:val="00891B83"/>
    <w:rsid w:val="00893663"/>
    <w:rsid w:val="008936DD"/>
    <w:rsid w:val="00893FB8"/>
    <w:rsid w:val="00894720"/>
    <w:rsid w:val="00894B0E"/>
    <w:rsid w:val="008959D8"/>
    <w:rsid w:val="00895C47"/>
    <w:rsid w:val="00897222"/>
    <w:rsid w:val="00897234"/>
    <w:rsid w:val="00897428"/>
    <w:rsid w:val="00897D1C"/>
    <w:rsid w:val="008A0569"/>
    <w:rsid w:val="008A19FB"/>
    <w:rsid w:val="008A1CAB"/>
    <w:rsid w:val="008A1F66"/>
    <w:rsid w:val="008A24D8"/>
    <w:rsid w:val="008A4591"/>
    <w:rsid w:val="008A5DD0"/>
    <w:rsid w:val="008A7542"/>
    <w:rsid w:val="008A76AE"/>
    <w:rsid w:val="008A7ABF"/>
    <w:rsid w:val="008B04DF"/>
    <w:rsid w:val="008B0F66"/>
    <w:rsid w:val="008B14AD"/>
    <w:rsid w:val="008B3233"/>
    <w:rsid w:val="008B3D92"/>
    <w:rsid w:val="008B3EA7"/>
    <w:rsid w:val="008B5D6E"/>
    <w:rsid w:val="008B6794"/>
    <w:rsid w:val="008C021E"/>
    <w:rsid w:val="008C0619"/>
    <w:rsid w:val="008C1585"/>
    <w:rsid w:val="008C173E"/>
    <w:rsid w:val="008C1FD3"/>
    <w:rsid w:val="008C2348"/>
    <w:rsid w:val="008C2467"/>
    <w:rsid w:val="008C2D25"/>
    <w:rsid w:val="008C320B"/>
    <w:rsid w:val="008C3DF8"/>
    <w:rsid w:val="008C4050"/>
    <w:rsid w:val="008C46D6"/>
    <w:rsid w:val="008C4B8F"/>
    <w:rsid w:val="008C4D78"/>
    <w:rsid w:val="008C5FE1"/>
    <w:rsid w:val="008C65FC"/>
    <w:rsid w:val="008C69DD"/>
    <w:rsid w:val="008C69E3"/>
    <w:rsid w:val="008C6AE1"/>
    <w:rsid w:val="008C6D8D"/>
    <w:rsid w:val="008C7793"/>
    <w:rsid w:val="008C7EA3"/>
    <w:rsid w:val="008C7FB5"/>
    <w:rsid w:val="008D061B"/>
    <w:rsid w:val="008D0791"/>
    <w:rsid w:val="008D1010"/>
    <w:rsid w:val="008D116E"/>
    <w:rsid w:val="008D2B2C"/>
    <w:rsid w:val="008D4E07"/>
    <w:rsid w:val="008D54EE"/>
    <w:rsid w:val="008D5A2B"/>
    <w:rsid w:val="008D5A63"/>
    <w:rsid w:val="008D5D62"/>
    <w:rsid w:val="008D600F"/>
    <w:rsid w:val="008D737B"/>
    <w:rsid w:val="008E0860"/>
    <w:rsid w:val="008E0A07"/>
    <w:rsid w:val="008E4825"/>
    <w:rsid w:val="008E52F2"/>
    <w:rsid w:val="008E5CAD"/>
    <w:rsid w:val="008E77C2"/>
    <w:rsid w:val="008F0297"/>
    <w:rsid w:val="008F0602"/>
    <w:rsid w:val="008F1433"/>
    <w:rsid w:val="008F1C69"/>
    <w:rsid w:val="008F1D60"/>
    <w:rsid w:val="008F224B"/>
    <w:rsid w:val="008F34F3"/>
    <w:rsid w:val="008F3642"/>
    <w:rsid w:val="008F3E83"/>
    <w:rsid w:val="008F4703"/>
    <w:rsid w:val="008F4923"/>
    <w:rsid w:val="008F5627"/>
    <w:rsid w:val="008F5D06"/>
    <w:rsid w:val="008F63A0"/>
    <w:rsid w:val="008F674A"/>
    <w:rsid w:val="008F6773"/>
    <w:rsid w:val="009003CE"/>
    <w:rsid w:val="00900A31"/>
    <w:rsid w:val="00900BF2"/>
    <w:rsid w:val="0090142B"/>
    <w:rsid w:val="00901680"/>
    <w:rsid w:val="009020BD"/>
    <w:rsid w:val="00902E13"/>
    <w:rsid w:val="009037F4"/>
    <w:rsid w:val="00903973"/>
    <w:rsid w:val="009040F6"/>
    <w:rsid w:val="0090464A"/>
    <w:rsid w:val="009054E3"/>
    <w:rsid w:val="00906427"/>
    <w:rsid w:val="00912B41"/>
    <w:rsid w:val="00913538"/>
    <w:rsid w:val="00913710"/>
    <w:rsid w:val="00913751"/>
    <w:rsid w:val="00913BCD"/>
    <w:rsid w:val="00914738"/>
    <w:rsid w:val="009149CF"/>
    <w:rsid w:val="00914F35"/>
    <w:rsid w:val="009150FF"/>
    <w:rsid w:val="009151ED"/>
    <w:rsid w:val="00915509"/>
    <w:rsid w:val="00915705"/>
    <w:rsid w:val="00915AF6"/>
    <w:rsid w:val="00915E1B"/>
    <w:rsid w:val="00916C72"/>
    <w:rsid w:val="009174AF"/>
    <w:rsid w:val="00917717"/>
    <w:rsid w:val="00920363"/>
    <w:rsid w:val="00920364"/>
    <w:rsid w:val="0092078A"/>
    <w:rsid w:val="009207FF"/>
    <w:rsid w:val="00920A98"/>
    <w:rsid w:val="00920DB4"/>
    <w:rsid w:val="00922066"/>
    <w:rsid w:val="00923455"/>
    <w:rsid w:val="00923825"/>
    <w:rsid w:val="0092478A"/>
    <w:rsid w:val="00924C57"/>
    <w:rsid w:val="0092507E"/>
    <w:rsid w:val="00926743"/>
    <w:rsid w:val="00927842"/>
    <w:rsid w:val="009300BA"/>
    <w:rsid w:val="0093155B"/>
    <w:rsid w:val="00931932"/>
    <w:rsid w:val="00931A20"/>
    <w:rsid w:val="00932169"/>
    <w:rsid w:val="00935270"/>
    <w:rsid w:val="00935B48"/>
    <w:rsid w:val="009401A0"/>
    <w:rsid w:val="00940B61"/>
    <w:rsid w:val="009413A3"/>
    <w:rsid w:val="009417A8"/>
    <w:rsid w:val="00941A2E"/>
    <w:rsid w:val="00942206"/>
    <w:rsid w:val="00942D59"/>
    <w:rsid w:val="00942E39"/>
    <w:rsid w:val="00943435"/>
    <w:rsid w:val="00943647"/>
    <w:rsid w:val="00943715"/>
    <w:rsid w:val="00943791"/>
    <w:rsid w:val="00943E5C"/>
    <w:rsid w:val="009443DF"/>
    <w:rsid w:val="0094490F"/>
    <w:rsid w:val="009451E5"/>
    <w:rsid w:val="00945212"/>
    <w:rsid w:val="009456B3"/>
    <w:rsid w:val="0095093F"/>
    <w:rsid w:val="009509A3"/>
    <w:rsid w:val="0095107D"/>
    <w:rsid w:val="009513D4"/>
    <w:rsid w:val="00951583"/>
    <w:rsid w:val="009517EE"/>
    <w:rsid w:val="00951E9A"/>
    <w:rsid w:val="009530DA"/>
    <w:rsid w:val="0095393E"/>
    <w:rsid w:val="00953A01"/>
    <w:rsid w:val="00956343"/>
    <w:rsid w:val="00956D9C"/>
    <w:rsid w:val="00957878"/>
    <w:rsid w:val="00960D51"/>
    <w:rsid w:val="0096103D"/>
    <w:rsid w:val="00961062"/>
    <w:rsid w:val="00962A1C"/>
    <w:rsid w:val="00962F2E"/>
    <w:rsid w:val="0096533E"/>
    <w:rsid w:val="00965397"/>
    <w:rsid w:val="009664A2"/>
    <w:rsid w:val="0096690D"/>
    <w:rsid w:val="00966F3E"/>
    <w:rsid w:val="009675EE"/>
    <w:rsid w:val="00970345"/>
    <w:rsid w:val="00971600"/>
    <w:rsid w:val="00971892"/>
    <w:rsid w:val="00972C24"/>
    <w:rsid w:val="00973354"/>
    <w:rsid w:val="0097406B"/>
    <w:rsid w:val="0097521C"/>
    <w:rsid w:val="009755A3"/>
    <w:rsid w:val="00975CD1"/>
    <w:rsid w:val="0097668B"/>
    <w:rsid w:val="00976E75"/>
    <w:rsid w:val="0097727B"/>
    <w:rsid w:val="00977560"/>
    <w:rsid w:val="0098018C"/>
    <w:rsid w:val="00980470"/>
    <w:rsid w:val="00980487"/>
    <w:rsid w:val="009807A1"/>
    <w:rsid w:val="00980806"/>
    <w:rsid w:val="00982164"/>
    <w:rsid w:val="00983E3A"/>
    <w:rsid w:val="009872EF"/>
    <w:rsid w:val="00990148"/>
    <w:rsid w:val="00991E12"/>
    <w:rsid w:val="00993647"/>
    <w:rsid w:val="00993CB0"/>
    <w:rsid w:val="009963C2"/>
    <w:rsid w:val="009964DA"/>
    <w:rsid w:val="00996921"/>
    <w:rsid w:val="009A05D0"/>
    <w:rsid w:val="009A2334"/>
    <w:rsid w:val="009A2A17"/>
    <w:rsid w:val="009A384C"/>
    <w:rsid w:val="009A3904"/>
    <w:rsid w:val="009A3CD3"/>
    <w:rsid w:val="009A55D7"/>
    <w:rsid w:val="009A6E76"/>
    <w:rsid w:val="009A7681"/>
    <w:rsid w:val="009B0F14"/>
    <w:rsid w:val="009B24CA"/>
    <w:rsid w:val="009B3958"/>
    <w:rsid w:val="009B3D5F"/>
    <w:rsid w:val="009B4858"/>
    <w:rsid w:val="009B51CA"/>
    <w:rsid w:val="009B568B"/>
    <w:rsid w:val="009B58B4"/>
    <w:rsid w:val="009B5945"/>
    <w:rsid w:val="009B611B"/>
    <w:rsid w:val="009B642A"/>
    <w:rsid w:val="009B6F92"/>
    <w:rsid w:val="009B77FA"/>
    <w:rsid w:val="009C1782"/>
    <w:rsid w:val="009C17FD"/>
    <w:rsid w:val="009C1ABD"/>
    <w:rsid w:val="009C1B6A"/>
    <w:rsid w:val="009C3175"/>
    <w:rsid w:val="009C509C"/>
    <w:rsid w:val="009C5599"/>
    <w:rsid w:val="009C573E"/>
    <w:rsid w:val="009C642E"/>
    <w:rsid w:val="009C7859"/>
    <w:rsid w:val="009C7B5D"/>
    <w:rsid w:val="009D150D"/>
    <w:rsid w:val="009D189D"/>
    <w:rsid w:val="009D370F"/>
    <w:rsid w:val="009D5450"/>
    <w:rsid w:val="009D61CE"/>
    <w:rsid w:val="009D646B"/>
    <w:rsid w:val="009D6A8E"/>
    <w:rsid w:val="009D7BA6"/>
    <w:rsid w:val="009E0D77"/>
    <w:rsid w:val="009E1535"/>
    <w:rsid w:val="009E1991"/>
    <w:rsid w:val="009E1BB2"/>
    <w:rsid w:val="009E23FC"/>
    <w:rsid w:val="009E3395"/>
    <w:rsid w:val="009E4FD3"/>
    <w:rsid w:val="009E5A07"/>
    <w:rsid w:val="009E5D78"/>
    <w:rsid w:val="009E5E83"/>
    <w:rsid w:val="009E7130"/>
    <w:rsid w:val="009E7AAC"/>
    <w:rsid w:val="009F25E2"/>
    <w:rsid w:val="009F27B5"/>
    <w:rsid w:val="009F3362"/>
    <w:rsid w:val="009F3982"/>
    <w:rsid w:val="009F3E8D"/>
    <w:rsid w:val="009F4DDB"/>
    <w:rsid w:val="009F572A"/>
    <w:rsid w:val="009F63DD"/>
    <w:rsid w:val="009F6566"/>
    <w:rsid w:val="009F70FF"/>
    <w:rsid w:val="009F73BA"/>
    <w:rsid w:val="00A018EF"/>
    <w:rsid w:val="00A03033"/>
    <w:rsid w:val="00A039DA"/>
    <w:rsid w:val="00A03E3C"/>
    <w:rsid w:val="00A0450A"/>
    <w:rsid w:val="00A060AC"/>
    <w:rsid w:val="00A062BB"/>
    <w:rsid w:val="00A06319"/>
    <w:rsid w:val="00A070FC"/>
    <w:rsid w:val="00A07A4B"/>
    <w:rsid w:val="00A07CE3"/>
    <w:rsid w:val="00A10ADB"/>
    <w:rsid w:val="00A10B84"/>
    <w:rsid w:val="00A10E33"/>
    <w:rsid w:val="00A121C3"/>
    <w:rsid w:val="00A12285"/>
    <w:rsid w:val="00A1283B"/>
    <w:rsid w:val="00A138F3"/>
    <w:rsid w:val="00A13983"/>
    <w:rsid w:val="00A14459"/>
    <w:rsid w:val="00A1448E"/>
    <w:rsid w:val="00A1471D"/>
    <w:rsid w:val="00A151D1"/>
    <w:rsid w:val="00A1548C"/>
    <w:rsid w:val="00A16D55"/>
    <w:rsid w:val="00A20978"/>
    <w:rsid w:val="00A235EA"/>
    <w:rsid w:val="00A23970"/>
    <w:rsid w:val="00A23E6C"/>
    <w:rsid w:val="00A25136"/>
    <w:rsid w:val="00A254D6"/>
    <w:rsid w:val="00A26466"/>
    <w:rsid w:val="00A2646A"/>
    <w:rsid w:val="00A265E2"/>
    <w:rsid w:val="00A269D5"/>
    <w:rsid w:val="00A27CB8"/>
    <w:rsid w:val="00A3049A"/>
    <w:rsid w:val="00A30699"/>
    <w:rsid w:val="00A312B7"/>
    <w:rsid w:val="00A31EBF"/>
    <w:rsid w:val="00A32A0D"/>
    <w:rsid w:val="00A32A2A"/>
    <w:rsid w:val="00A331AA"/>
    <w:rsid w:val="00A33E49"/>
    <w:rsid w:val="00A340B5"/>
    <w:rsid w:val="00A3462C"/>
    <w:rsid w:val="00A355DE"/>
    <w:rsid w:val="00A35CF7"/>
    <w:rsid w:val="00A36613"/>
    <w:rsid w:val="00A37B97"/>
    <w:rsid w:val="00A41237"/>
    <w:rsid w:val="00A41753"/>
    <w:rsid w:val="00A417EA"/>
    <w:rsid w:val="00A421E1"/>
    <w:rsid w:val="00A4290E"/>
    <w:rsid w:val="00A4507C"/>
    <w:rsid w:val="00A45859"/>
    <w:rsid w:val="00A45C76"/>
    <w:rsid w:val="00A46099"/>
    <w:rsid w:val="00A46796"/>
    <w:rsid w:val="00A468B4"/>
    <w:rsid w:val="00A47D21"/>
    <w:rsid w:val="00A508FE"/>
    <w:rsid w:val="00A51BCE"/>
    <w:rsid w:val="00A5345C"/>
    <w:rsid w:val="00A55B75"/>
    <w:rsid w:val="00A56CF3"/>
    <w:rsid w:val="00A576E6"/>
    <w:rsid w:val="00A577E3"/>
    <w:rsid w:val="00A60122"/>
    <w:rsid w:val="00A62556"/>
    <w:rsid w:val="00A62910"/>
    <w:rsid w:val="00A62DC5"/>
    <w:rsid w:val="00A62F35"/>
    <w:rsid w:val="00A634C7"/>
    <w:rsid w:val="00A63ED6"/>
    <w:rsid w:val="00A6591F"/>
    <w:rsid w:val="00A67365"/>
    <w:rsid w:val="00A70330"/>
    <w:rsid w:val="00A70820"/>
    <w:rsid w:val="00A7095C"/>
    <w:rsid w:val="00A70FE5"/>
    <w:rsid w:val="00A7119D"/>
    <w:rsid w:val="00A7196A"/>
    <w:rsid w:val="00A71A43"/>
    <w:rsid w:val="00A7290B"/>
    <w:rsid w:val="00A73200"/>
    <w:rsid w:val="00A752AB"/>
    <w:rsid w:val="00A765AA"/>
    <w:rsid w:val="00A768EF"/>
    <w:rsid w:val="00A77112"/>
    <w:rsid w:val="00A772AC"/>
    <w:rsid w:val="00A77685"/>
    <w:rsid w:val="00A81C4D"/>
    <w:rsid w:val="00A82CD3"/>
    <w:rsid w:val="00A830BA"/>
    <w:rsid w:val="00A83973"/>
    <w:rsid w:val="00A849E1"/>
    <w:rsid w:val="00A84F26"/>
    <w:rsid w:val="00A872B4"/>
    <w:rsid w:val="00A879EB"/>
    <w:rsid w:val="00A9017E"/>
    <w:rsid w:val="00A902D3"/>
    <w:rsid w:val="00A90C18"/>
    <w:rsid w:val="00A91A7C"/>
    <w:rsid w:val="00A91FB3"/>
    <w:rsid w:val="00A920DF"/>
    <w:rsid w:val="00A92110"/>
    <w:rsid w:val="00A93432"/>
    <w:rsid w:val="00A93D2B"/>
    <w:rsid w:val="00A94C23"/>
    <w:rsid w:val="00A95784"/>
    <w:rsid w:val="00A95DE5"/>
    <w:rsid w:val="00A96892"/>
    <w:rsid w:val="00A969BF"/>
    <w:rsid w:val="00A97752"/>
    <w:rsid w:val="00A9792C"/>
    <w:rsid w:val="00AA03D9"/>
    <w:rsid w:val="00AA06B0"/>
    <w:rsid w:val="00AA0837"/>
    <w:rsid w:val="00AA12FB"/>
    <w:rsid w:val="00AA1735"/>
    <w:rsid w:val="00AA1C80"/>
    <w:rsid w:val="00AA22E2"/>
    <w:rsid w:val="00AA292E"/>
    <w:rsid w:val="00AA2A1A"/>
    <w:rsid w:val="00AA3848"/>
    <w:rsid w:val="00AA4A60"/>
    <w:rsid w:val="00AA53C9"/>
    <w:rsid w:val="00AA5AAE"/>
    <w:rsid w:val="00AA5D92"/>
    <w:rsid w:val="00AA6217"/>
    <w:rsid w:val="00AA634E"/>
    <w:rsid w:val="00AA6F1C"/>
    <w:rsid w:val="00AB042A"/>
    <w:rsid w:val="00AB0507"/>
    <w:rsid w:val="00AB1F20"/>
    <w:rsid w:val="00AB213E"/>
    <w:rsid w:val="00AB22B4"/>
    <w:rsid w:val="00AB230B"/>
    <w:rsid w:val="00AB47FC"/>
    <w:rsid w:val="00AB5557"/>
    <w:rsid w:val="00AB6C61"/>
    <w:rsid w:val="00AB73E2"/>
    <w:rsid w:val="00AB7983"/>
    <w:rsid w:val="00AB7997"/>
    <w:rsid w:val="00AC015E"/>
    <w:rsid w:val="00AC1829"/>
    <w:rsid w:val="00AC2D81"/>
    <w:rsid w:val="00AC2E26"/>
    <w:rsid w:val="00AC2E8F"/>
    <w:rsid w:val="00AC3571"/>
    <w:rsid w:val="00AC3BDC"/>
    <w:rsid w:val="00AC3E4E"/>
    <w:rsid w:val="00AC449C"/>
    <w:rsid w:val="00AC4B7C"/>
    <w:rsid w:val="00AC51FE"/>
    <w:rsid w:val="00AC5A04"/>
    <w:rsid w:val="00AC7108"/>
    <w:rsid w:val="00AC7EA8"/>
    <w:rsid w:val="00AD209C"/>
    <w:rsid w:val="00AD2194"/>
    <w:rsid w:val="00AD5818"/>
    <w:rsid w:val="00AD5E3F"/>
    <w:rsid w:val="00AD6763"/>
    <w:rsid w:val="00AD7848"/>
    <w:rsid w:val="00AD7E2F"/>
    <w:rsid w:val="00AE02A7"/>
    <w:rsid w:val="00AE3161"/>
    <w:rsid w:val="00AE3832"/>
    <w:rsid w:val="00AE432F"/>
    <w:rsid w:val="00AE4644"/>
    <w:rsid w:val="00AE6DBE"/>
    <w:rsid w:val="00AE749A"/>
    <w:rsid w:val="00AF2DFC"/>
    <w:rsid w:val="00AF4432"/>
    <w:rsid w:val="00AF4979"/>
    <w:rsid w:val="00AF4E28"/>
    <w:rsid w:val="00AF6322"/>
    <w:rsid w:val="00AF6963"/>
    <w:rsid w:val="00AF69B5"/>
    <w:rsid w:val="00B00A4E"/>
    <w:rsid w:val="00B00CCA"/>
    <w:rsid w:val="00B00FA7"/>
    <w:rsid w:val="00B0172A"/>
    <w:rsid w:val="00B01AAE"/>
    <w:rsid w:val="00B02700"/>
    <w:rsid w:val="00B03542"/>
    <w:rsid w:val="00B043BB"/>
    <w:rsid w:val="00B0445C"/>
    <w:rsid w:val="00B05E04"/>
    <w:rsid w:val="00B06725"/>
    <w:rsid w:val="00B0687A"/>
    <w:rsid w:val="00B071AD"/>
    <w:rsid w:val="00B072CB"/>
    <w:rsid w:val="00B106B8"/>
    <w:rsid w:val="00B11D8B"/>
    <w:rsid w:val="00B1243A"/>
    <w:rsid w:val="00B12773"/>
    <w:rsid w:val="00B12CBD"/>
    <w:rsid w:val="00B13A44"/>
    <w:rsid w:val="00B13E31"/>
    <w:rsid w:val="00B14061"/>
    <w:rsid w:val="00B1482D"/>
    <w:rsid w:val="00B14CF5"/>
    <w:rsid w:val="00B16281"/>
    <w:rsid w:val="00B20776"/>
    <w:rsid w:val="00B20A82"/>
    <w:rsid w:val="00B20FE0"/>
    <w:rsid w:val="00B215FF"/>
    <w:rsid w:val="00B24C30"/>
    <w:rsid w:val="00B26AD9"/>
    <w:rsid w:val="00B26C0D"/>
    <w:rsid w:val="00B26FCD"/>
    <w:rsid w:val="00B273CC"/>
    <w:rsid w:val="00B276C7"/>
    <w:rsid w:val="00B27E0F"/>
    <w:rsid w:val="00B301E0"/>
    <w:rsid w:val="00B30576"/>
    <w:rsid w:val="00B31158"/>
    <w:rsid w:val="00B31789"/>
    <w:rsid w:val="00B3427A"/>
    <w:rsid w:val="00B35733"/>
    <w:rsid w:val="00B374E6"/>
    <w:rsid w:val="00B379C3"/>
    <w:rsid w:val="00B40083"/>
    <w:rsid w:val="00B40F79"/>
    <w:rsid w:val="00B412FD"/>
    <w:rsid w:val="00B41570"/>
    <w:rsid w:val="00B419A8"/>
    <w:rsid w:val="00B41A10"/>
    <w:rsid w:val="00B41BAA"/>
    <w:rsid w:val="00B41BB4"/>
    <w:rsid w:val="00B4203F"/>
    <w:rsid w:val="00B4273B"/>
    <w:rsid w:val="00B427AA"/>
    <w:rsid w:val="00B429AD"/>
    <w:rsid w:val="00B43040"/>
    <w:rsid w:val="00B43722"/>
    <w:rsid w:val="00B4398E"/>
    <w:rsid w:val="00B44F6F"/>
    <w:rsid w:val="00B45043"/>
    <w:rsid w:val="00B4540A"/>
    <w:rsid w:val="00B4570E"/>
    <w:rsid w:val="00B46498"/>
    <w:rsid w:val="00B4684E"/>
    <w:rsid w:val="00B46AD4"/>
    <w:rsid w:val="00B47029"/>
    <w:rsid w:val="00B47953"/>
    <w:rsid w:val="00B47D7D"/>
    <w:rsid w:val="00B502DF"/>
    <w:rsid w:val="00B510DA"/>
    <w:rsid w:val="00B5171F"/>
    <w:rsid w:val="00B51791"/>
    <w:rsid w:val="00B52637"/>
    <w:rsid w:val="00B5340D"/>
    <w:rsid w:val="00B540E6"/>
    <w:rsid w:val="00B542F6"/>
    <w:rsid w:val="00B55E2F"/>
    <w:rsid w:val="00B562B6"/>
    <w:rsid w:val="00B56722"/>
    <w:rsid w:val="00B5723C"/>
    <w:rsid w:val="00B57FDD"/>
    <w:rsid w:val="00B60782"/>
    <w:rsid w:val="00B60A34"/>
    <w:rsid w:val="00B61F17"/>
    <w:rsid w:val="00B62F67"/>
    <w:rsid w:val="00B6309B"/>
    <w:rsid w:val="00B63461"/>
    <w:rsid w:val="00B63840"/>
    <w:rsid w:val="00B638B3"/>
    <w:rsid w:val="00B63B20"/>
    <w:rsid w:val="00B6410A"/>
    <w:rsid w:val="00B64A2B"/>
    <w:rsid w:val="00B64D6C"/>
    <w:rsid w:val="00B64DD9"/>
    <w:rsid w:val="00B64F1A"/>
    <w:rsid w:val="00B65169"/>
    <w:rsid w:val="00B654F5"/>
    <w:rsid w:val="00B6555B"/>
    <w:rsid w:val="00B66772"/>
    <w:rsid w:val="00B669BA"/>
    <w:rsid w:val="00B66A94"/>
    <w:rsid w:val="00B67425"/>
    <w:rsid w:val="00B67AEB"/>
    <w:rsid w:val="00B67ECD"/>
    <w:rsid w:val="00B7008F"/>
    <w:rsid w:val="00B7047F"/>
    <w:rsid w:val="00B7078C"/>
    <w:rsid w:val="00B71876"/>
    <w:rsid w:val="00B72173"/>
    <w:rsid w:val="00B73494"/>
    <w:rsid w:val="00B738D1"/>
    <w:rsid w:val="00B741A1"/>
    <w:rsid w:val="00B74510"/>
    <w:rsid w:val="00B74E5E"/>
    <w:rsid w:val="00B7594D"/>
    <w:rsid w:val="00B774D0"/>
    <w:rsid w:val="00B77CA2"/>
    <w:rsid w:val="00B77F47"/>
    <w:rsid w:val="00B80934"/>
    <w:rsid w:val="00B81CF1"/>
    <w:rsid w:val="00B83647"/>
    <w:rsid w:val="00B83BA5"/>
    <w:rsid w:val="00B84A1C"/>
    <w:rsid w:val="00B84BD2"/>
    <w:rsid w:val="00B85A7F"/>
    <w:rsid w:val="00B85B22"/>
    <w:rsid w:val="00B85E2B"/>
    <w:rsid w:val="00B863D4"/>
    <w:rsid w:val="00B86CA4"/>
    <w:rsid w:val="00B86F17"/>
    <w:rsid w:val="00B900F5"/>
    <w:rsid w:val="00B90C86"/>
    <w:rsid w:val="00B914B4"/>
    <w:rsid w:val="00B923B7"/>
    <w:rsid w:val="00B9275D"/>
    <w:rsid w:val="00B93447"/>
    <w:rsid w:val="00B943DF"/>
    <w:rsid w:val="00B944F9"/>
    <w:rsid w:val="00B962F1"/>
    <w:rsid w:val="00B97653"/>
    <w:rsid w:val="00BA02AF"/>
    <w:rsid w:val="00BA03A0"/>
    <w:rsid w:val="00BA0E0F"/>
    <w:rsid w:val="00BA3C85"/>
    <w:rsid w:val="00BA4046"/>
    <w:rsid w:val="00BA413A"/>
    <w:rsid w:val="00BA47B8"/>
    <w:rsid w:val="00BA59A0"/>
    <w:rsid w:val="00BA5E8A"/>
    <w:rsid w:val="00BA6BE0"/>
    <w:rsid w:val="00BA6C8E"/>
    <w:rsid w:val="00BA6D07"/>
    <w:rsid w:val="00BA732C"/>
    <w:rsid w:val="00BA7580"/>
    <w:rsid w:val="00BA78FD"/>
    <w:rsid w:val="00BB0271"/>
    <w:rsid w:val="00BB0548"/>
    <w:rsid w:val="00BB0938"/>
    <w:rsid w:val="00BB1C6B"/>
    <w:rsid w:val="00BB1D52"/>
    <w:rsid w:val="00BB23BC"/>
    <w:rsid w:val="00BB25E3"/>
    <w:rsid w:val="00BB2C80"/>
    <w:rsid w:val="00BB4B3E"/>
    <w:rsid w:val="00BB4BD1"/>
    <w:rsid w:val="00BB567C"/>
    <w:rsid w:val="00BB5B88"/>
    <w:rsid w:val="00BB6376"/>
    <w:rsid w:val="00BB6595"/>
    <w:rsid w:val="00BB7C53"/>
    <w:rsid w:val="00BC0415"/>
    <w:rsid w:val="00BC04D3"/>
    <w:rsid w:val="00BC05FB"/>
    <w:rsid w:val="00BC0BAB"/>
    <w:rsid w:val="00BC1B96"/>
    <w:rsid w:val="00BC1ECE"/>
    <w:rsid w:val="00BC20B6"/>
    <w:rsid w:val="00BC2B08"/>
    <w:rsid w:val="00BC45A8"/>
    <w:rsid w:val="00BC5250"/>
    <w:rsid w:val="00BC57DF"/>
    <w:rsid w:val="00BC634F"/>
    <w:rsid w:val="00BC7C39"/>
    <w:rsid w:val="00BD0B4E"/>
    <w:rsid w:val="00BD1775"/>
    <w:rsid w:val="00BD1B6D"/>
    <w:rsid w:val="00BD1C7A"/>
    <w:rsid w:val="00BD1F80"/>
    <w:rsid w:val="00BD2F88"/>
    <w:rsid w:val="00BD39BF"/>
    <w:rsid w:val="00BD432C"/>
    <w:rsid w:val="00BD501C"/>
    <w:rsid w:val="00BD5E65"/>
    <w:rsid w:val="00BD637C"/>
    <w:rsid w:val="00BD6AAC"/>
    <w:rsid w:val="00BD6CB1"/>
    <w:rsid w:val="00BD6EB7"/>
    <w:rsid w:val="00BE0233"/>
    <w:rsid w:val="00BE0DCD"/>
    <w:rsid w:val="00BE13D6"/>
    <w:rsid w:val="00BE14A2"/>
    <w:rsid w:val="00BE1C6F"/>
    <w:rsid w:val="00BE2214"/>
    <w:rsid w:val="00BE2611"/>
    <w:rsid w:val="00BE2991"/>
    <w:rsid w:val="00BE2AFB"/>
    <w:rsid w:val="00BE38E2"/>
    <w:rsid w:val="00BE4319"/>
    <w:rsid w:val="00BE43D0"/>
    <w:rsid w:val="00BE4CBA"/>
    <w:rsid w:val="00BE4E0D"/>
    <w:rsid w:val="00BE5A9F"/>
    <w:rsid w:val="00BE6B1C"/>
    <w:rsid w:val="00BE6B65"/>
    <w:rsid w:val="00BE7949"/>
    <w:rsid w:val="00BF0E43"/>
    <w:rsid w:val="00BF15CD"/>
    <w:rsid w:val="00BF1BEC"/>
    <w:rsid w:val="00BF2323"/>
    <w:rsid w:val="00BF2B75"/>
    <w:rsid w:val="00BF3AAB"/>
    <w:rsid w:val="00BF3CFA"/>
    <w:rsid w:val="00BF3FA1"/>
    <w:rsid w:val="00BF3FA9"/>
    <w:rsid w:val="00BF46AB"/>
    <w:rsid w:val="00BF49A9"/>
    <w:rsid w:val="00BF5045"/>
    <w:rsid w:val="00BF59CF"/>
    <w:rsid w:val="00BF705D"/>
    <w:rsid w:val="00C00308"/>
    <w:rsid w:val="00C00DC0"/>
    <w:rsid w:val="00C02AA9"/>
    <w:rsid w:val="00C02E8E"/>
    <w:rsid w:val="00C033BA"/>
    <w:rsid w:val="00C03D5E"/>
    <w:rsid w:val="00C03E5E"/>
    <w:rsid w:val="00C040A4"/>
    <w:rsid w:val="00C041EE"/>
    <w:rsid w:val="00C048A0"/>
    <w:rsid w:val="00C049F3"/>
    <w:rsid w:val="00C05865"/>
    <w:rsid w:val="00C06691"/>
    <w:rsid w:val="00C06828"/>
    <w:rsid w:val="00C06B73"/>
    <w:rsid w:val="00C07586"/>
    <w:rsid w:val="00C10F33"/>
    <w:rsid w:val="00C11F6C"/>
    <w:rsid w:val="00C127DC"/>
    <w:rsid w:val="00C146D3"/>
    <w:rsid w:val="00C14A8A"/>
    <w:rsid w:val="00C14CE7"/>
    <w:rsid w:val="00C15083"/>
    <w:rsid w:val="00C158EA"/>
    <w:rsid w:val="00C15E9C"/>
    <w:rsid w:val="00C163B9"/>
    <w:rsid w:val="00C16563"/>
    <w:rsid w:val="00C16C62"/>
    <w:rsid w:val="00C16CB7"/>
    <w:rsid w:val="00C17525"/>
    <w:rsid w:val="00C17991"/>
    <w:rsid w:val="00C2080F"/>
    <w:rsid w:val="00C20B3A"/>
    <w:rsid w:val="00C20EB5"/>
    <w:rsid w:val="00C20F81"/>
    <w:rsid w:val="00C219A7"/>
    <w:rsid w:val="00C2222F"/>
    <w:rsid w:val="00C2225E"/>
    <w:rsid w:val="00C22CEF"/>
    <w:rsid w:val="00C24288"/>
    <w:rsid w:val="00C24FC0"/>
    <w:rsid w:val="00C26F17"/>
    <w:rsid w:val="00C27D9A"/>
    <w:rsid w:val="00C3014A"/>
    <w:rsid w:val="00C31245"/>
    <w:rsid w:val="00C31B40"/>
    <w:rsid w:val="00C32162"/>
    <w:rsid w:val="00C322C6"/>
    <w:rsid w:val="00C325A0"/>
    <w:rsid w:val="00C33C80"/>
    <w:rsid w:val="00C34CFC"/>
    <w:rsid w:val="00C3568E"/>
    <w:rsid w:val="00C364B7"/>
    <w:rsid w:val="00C378F6"/>
    <w:rsid w:val="00C420C8"/>
    <w:rsid w:val="00C431DA"/>
    <w:rsid w:val="00C43258"/>
    <w:rsid w:val="00C43825"/>
    <w:rsid w:val="00C44A66"/>
    <w:rsid w:val="00C44ECE"/>
    <w:rsid w:val="00C45237"/>
    <w:rsid w:val="00C469AB"/>
    <w:rsid w:val="00C46D53"/>
    <w:rsid w:val="00C501BB"/>
    <w:rsid w:val="00C510BC"/>
    <w:rsid w:val="00C51313"/>
    <w:rsid w:val="00C52B80"/>
    <w:rsid w:val="00C52DA4"/>
    <w:rsid w:val="00C530AB"/>
    <w:rsid w:val="00C533BF"/>
    <w:rsid w:val="00C5342F"/>
    <w:rsid w:val="00C535F3"/>
    <w:rsid w:val="00C538B1"/>
    <w:rsid w:val="00C53DAD"/>
    <w:rsid w:val="00C57483"/>
    <w:rsid w:val="00C60FE3"/>
    <w:rsid w:val="00C61025"/>
    <w:rsid w:val="00C613BE"/>
    <w:rsid w:val="00C61B87"/>
    <w:rsid w:val="00C61DFD"/>
    <w:rsid w:val="00C62127"/>
    <w:rsid w:val="00C6214A"/>
    <w:rsid w:val="00C62765"/>
    <w:rsid w:val="00C62A92"/>
    <w:rsid w:val="00C63018"/>
    <w:rsid w:val="00C63501"/>
    <w:rsid w:val="00C6370A"/>
    <w:rsid w:val="00C64701"/>
    <w:rsid w:val="00C6514A"/>
    <w:rsid w:val="00C65152"/>
    <w:rsid w:val="00C65925"/>
    <w:rsid w:val="00C65EE6"/>
    <w:rsid w:val="00C65F04"/>
    <w:rsid w:val="00C662D8"/>
    <w:rsid w:val="00C66AF7"/>
    <w:rsid w:val="00C67FE8"/>
    <w:rsid w:val="00C705C3"/>
    <w:rsid w:val="00C713F1"/>
    <w:rsid w:val="00C7181C"/>
    <w:rsid w:val="00C71B06"/>
    <w:rsid w:val="00C729F2"/>
    <w:rsid w:val="00C7300F"/>
    <w:rsid w:val="00C73382"/>
    <w:rsid w:val="00C73830"/>
    <w:rsid w:val="00C74CB9"/>
    <w:rsid w:val="00C75618"/>
    <w:rsid w:val="00C7577D"/>
    <w:rsid w:val="00C7593C"/>
    <w:rsid w:val="00C76CF8"/>
    <w:rsid w:val="00C76EE8"/>
    <w:rsid w:val="00C76F41"/>
    <w:rsid w:val="00C77032"/>
    <w:rsid w:val="00C80A35"/>
    <w:rsid w:val="00C813BD"/>
    <w:rsid w:val="00C81663"/>
    <w:rsid w:val="00C82646"/>
    <w:rsid w:val="00C82CBD"/>
    <w:rsid w:val="00C83511"/>
    <w:rsid w:val="00C84943"/>
    <w:rsid w:val="00C86817"/>
    <w:rsid w:val="00C86ECF"/>
    <w:rsid w:val="00C90201"/>
    <w:rsid w:val="00C907BD"/>
    <w:rsid w:val="00C925EB"/>
    <w:rsid w:val="00C92757"/>
    <w:rsid w:val="00C93C26"/>
    <w:rsid w:val="00C93EA2"/>
    <w:rsid w:val="00C94E03"/>
    <w:rsid w:val="00C95658"/>
    <w:rsid w:val="00C96354"/>
    <w:rsid w:val="00C96502"/>
    <w:rsid w:val="00C96ADA"/>
    <w:rsid w:val="00C97810"/>
    <w:rsid w:val="00C97C08"/>
    <w:rsid w:val="00CA2367"/>
    <w:rsid w:val="00CA24EB"/>
    <w:rsid w:val="00CA3415"/>
    <w:rsid w:val="00CA34A6"/>
    <w:rsid w:val="00CA3D04"/>
    <w:rsid w:val="00CA43DA"/>
    <w:rsid w:val="00CA483E"/>
    <w:rsid w:val="00CA66B2"/>
    <w:rsid w:val="00CA66FE"/>
    <w:rsid w:val="00CA67CD"/>
    <w:rsid w:val="00CA6CA5"/>
    <w:rsid w:val="00CA774B"/>
    <w:rsid w:val="00CA7A60"/>
    <w:rsid w:val="00CA7A82"/>
    <w:rsid w:val="00CB1BD0"/>
    <w:rsid w:val="00CB25B8"/>
    <w:rsid w:val="00CB27F7"/>
    <w:rsid w:val="00CB2E3D"/>
    <w:rsid w:val="00CB3454"/>
    <w:rsid w:val="00CB3F4F"/>
    <w:rsid w:val="00CB51FF"/>
    <w:rsid w:val="00CB5299"/>
    <w:rsid w:val="00CB547C"/>
    <w:rsid w:val="00CB6040"/>
    <w:rsid w:val="00CB6407"/>
    <w:rsid w:val="00CB6B11"/>
    <w:rsid w:val="00CB785C"/>
    <w:rsid w:val="00CC0AA0"/>
    <w:rsid w:val="00CC0E9A"/>
    <w:rsid w:val="00CC10FE"/>
    <w:rsid w:val="00CC16B9"/>
    <w:rsid w:val="00CC1CC8"/>
    <w:rsid w:val="00CC206E"/>
    <w:rsid w:val="00CC32A7"/>
    <w:rsid w:val="00CC40C7"/>
    <w:rsid w:val="00CC4E83"/>
    <w:rsid w:val="00CC5278"/>
    <w:rsid w:val="00CC6987"/>
    <w:rsid w:val="00CC6E01"/>
    <w:rsid w:val="00CD019A"/>
    <w:rsid w:val="00CD02FC"/>
    <w:rsid w:val="00CD0401"/>
    <w:rsid w:val="00CD1B44"/>
    <w:rsid w:val="00CD1D93"/>
    <w:rsid w:val="00CD1EE7"/>
    <w:rsid w:val="00CD2571"/>
    <w:rsid w:val="00CD2B21"/>
    <w:rsid w:val="00CD2F74"/>
    <w:rsid w:val="00CD3220"/>
    <w:rsid w:val="00CD4C12"/>
    <w:rsid w:val="00CD5054"/>
    <w:rsid w:val="00CD5715"/>
    <w:rsid w:val="00CD6660"/>
    <w:rsid w:val="00CD675A"/>
    <w:rsid w:val="00CE01E2"/>
    <w:rsid w:val="00CE037D"/>
    <w:rsid w:val="00CE0760"/>
    <w:rsid w:val="00CE11FF"/>
    <w:rsid w:val="00CE1C2F"/>
    <w:rsid w:val="00CE23AE"/>
    <w:rsid w:val="00CE2B3B"/>
    <w:rsid w:val="00CE2F52"/>
    <w:rsid w:val="00CE2F8D"/>
    <w:rsid w:val="00CE3F5E"/>
    <w:rsid w:val="00CE4528"/>
    <w:rsid w:val="00CE657F"/>
    <w:rsid w:val="00CE6F86"/>
    <w:rsid w:val="00CE7AAA"/>
    <w:rsid w:val="00CE7BA2"/>
    <w:rsid w:val="00CF06CB"/>
    <w:rsid w:val="00CF0D71"/>
    <w:rsid w:val="00CF12F6"/>
    <w:rsid w:val="00CF21FE"/>
    <w:rsid w:val="00CF2321"/>
    <w:rsid w:val="00CF2333"/>
    <w:rsid w:val="00CF23C8"/>
    <w:rsid w:val="00CF25B8"/>
    <w:rsid w:val="00CF4852"/>
    <w:rsid w:val="00CF49EB"/>
    <w:rsid w:val="00CF50AD"/>
    <w:rsid w:val="00CF5390"/>
    <w:rsid w:val="00CF7E2C"/>
    <w:rsid w:val="00D003E4"/>
    <w:rsid w:val="00D015FA"/>
    <w:rsid w:val="00D01E17"/>
    <w:rsid w:val="00D02148"/>
    <w:rsid w:val="00D02457"/>
    <w:rsid w:val="00D032C9"/>
    <w:rsid w:val="00D032D4"/>
    <w:rsid w:val="00D037A0"/>
    <w:rsid w:val="00D03C6F"/>
    <w:rsid w:val="00D04EA8"/>
    <w:rsid w:val="00D051A2"/>
    <w:rsid w:val="00D066F7"/>
    <w:rsid w:val="00D071CB"/>
    <w:rsid w:val="00D07799"/>
    <w:rsid w:val="00D10671"/>
    <w:rsid w:val="00D115CD"/>
    <w:rsid w:val="00D13025"/>
    <w:rsid w:val="00D130F9"/>
    <w:rsid w:val="00D13D28"/>
    <w:rsid w:val="00D1543C"/>
    <w:rsid w:val="00D1562A"/>
    <w:rsid w:val="00D15DD5"/>
    <w:rsid w:val="00D1669E"/>
    <w:rsid w:val="00D2060F"/>
    <w:rsid w:val="00D20F9D"/>
    <w:rsid w:val="00D221F8"/>
    <w:rsid w:val="00D22F5E"/>
    <w:rsid w:val="00D23D76"/>
    <w:rsid w:val="00D23E8A"/>
    <w:rsid w:val="00D24B45"/>
    <w:rsid w:val="00D2537B"/>
    <w:rsid w:val="00D25A9D"/>
    <w:rsid w:val="00D2648B"/>
    <w:rsid w:val="00D26932"/>
    <w:rsid w:val="00D26B0C"/>
    <w:rsid w:val="00D26DED"/>
    <w:rsid w:val="00D2744B"/>
    <w:rsid w:val="00D301D7"/>
    <w:rsid w:val="00D303CC"/>
    <w:rsid w:val="00D309E8"/>
    <w:rsid w:val="00D30A43"/>
    <w:rsid w:val="00D30E02"/>
    <w:rsid w:val="00D30E81"/>
    <w:rsid w:val="00D31442"/>
    <w:rsid w:val="00D3333A"/>
    <w:rsid w:val="00D3366A"/>
    <w:rsid w:val="00D34970"/>
    <w:rsid w:val="00D351B3"/>
    <w:rsid w:val="00D360AB"/>
    <w:rsid w:val="00D3658C"/>
    <w:rsid w:val="00D36739"/>
    <w:rsid w:val="00D36C16"/>
    <w:rsid w:val="00D36EA6"/>
    <w:rsid w:val="00D37CAA"/>
    <w:rsid w:val="00D42409"/>
    <w:rsid w:val="00D42AE1"/>
    <w:rsid w:val="00D4325E"/>
    <w:rsid w:val="00D43D44"/>
    <w:rsid w:val="00D45587"/>
    <w:rsid w:val="00D45E69"/>
    <w:rsid w:val="00D47362"/>
    <w:rsid w:val="00D47EC6"/>
    <w:rsid w:val="00D47F56"/>
    <w:rsid w:val="00D502D3"/>
    <w:rsid w:val="00D51232"/>
    <w:rsid w:val="00D526C9"/>
    <w:rsid w:val="00D52B35"/>
    <w:rsid w:val="00D54E6B"/>
    <w:rsid w:val="00D561B3"/>
    <w:rsid w:val="00D57279"/>
    <w:rsid w:val="00D57DD3"/>
    <w:rsid w:val="00D607AE"/>
    <w:rsid w:val="00D611CA"/>
    <w:rsid w:val="00D62742"/>
    <w:rsid w:val="00D628FB"/>
    <w:rsid w:val="00D634D5"/>
    <w:rsid w:val="00D64079"/>
    <w:rsid w:val="00D648BB"/>
    <w:rsid w:val="00D65649"/>
    <w:rsid w:val="00D65833"/>
    <w:rsid w:val="00D65A8A"/>
    <w:rsid w:val="00D66482"/>
    <w:rsid w:val="00D6727F"/>
    <w:rsid w:val="00D70966"/>
    <w:rsid w:val="00D712E3"/>
    <w:rsid w:val="00D71CD2"/>
    <w:rsid w:val="00D71DDF"/>
    <w:rsid w:val="00D720A6"/>
    <w:rsid w:val="00D724EE"/>
    <w:rsid w:val="00D73854"/>
    <w:rsid w:val="00D7392B"/>
    <w:rsid w:val="00D74140"/>
    <w:rsid w:val="00D7414C"/>
    <w:rsid w:val="00D7445D"/>
    <w:rsid w:val="00D746EB"/>
    <w:rsid w:val="00D74B0D"/>
    <w:rsid w:val="00D74C43"/>
    <w:rsid w:val="00D74D5D"/>
    <w:rsid w:val="00D74DBC"/>
    <w:rsid w:val="00D75C12"/>
    <w:rsid w:val="00D7793E"/>
    <w:rsid w:val="00D81031"/>
    <w:rsid w:val="00D82906"/>
    <w:rsid w:val="00D83401"/>
    <w:rsid w:val="00D8371D"/>
    <w:rsid w:val="00D84338"/>
    <w:rsid w:val="00D84757"/>
    <w:rsid w:val="00D84EB3"/>
    <w:rsid w:val="00D85319"/>
    <w:rsid w:val="00D8538A"/>
    <w:rsid w:val="00D861D4"/>
    <w:rsid w:val="00D865B1"/>
    <w:rsid w:val="00D868D9"/>
    <w:rsid w:val="00D86F2B"/>
    <w:rsid w:val="00D87004"/>
    <w:rsid w:val="00D8763A"/>
    <w:rsid w:val="00D87A94"/>
    <w:rsid w:val="00D900A2"/>
    <w:rsid w:val="00D9064A"/>
    <w:rsid w:val="00D90ED5"/>
    <w:rsid w:val="00D93350"/>
    <w:rsid w:val="00D9355F"/>
    <w:rsid w:val="00D942D2"/>
    <w:rsid w:val="00D960BB"/>
    <w:rsid w:val="00D96641"/>
    <w:rsid w:val="00D96B88"/>
    <w:rsid w:val="00D9718E"/>
    <w:rsid w:val="00D973BB"/>
    <w:rsid w:val="00D978A3"/>
    <w:rsid w:val="00DA009C"/>
    <w:rsid w:val="00DA1489"/>
    <w:rsid w:val="00DA1760"/>
    <w:rsid w:val="00DA4F23"/>
    <w:rsid w:val="00DA53A5"/>
    <w:rsid w:val="00DA5515"/>
    <w:rsid w:val="00DA603B"/>
    <w:rsid w:val="00DA6AC7"/>
    <w:rsid w:val="00DA6D0A"/>
    <w:rsid w:val="00DA7342"/>
    <w:rsid w:val="00DA7589"/>
    <w:rsid w:val="00DA7A5E"/>
    <w:rsid w:val="00DB0D61"/>
    <w:rsid w:val="00DB14D2"/>
    <w:rsid w:val="00DB1A47"/>
    <w:rsid w:val="00DB2731"/>
    <w:rsid w:val="00DB293E"/>
    <w:rsid w:val="00DB2B3B"/>
    <w:rsid w:val="00DB3333"/>
    <w:rsid w:val="00DB3CF0"/>
    <w:rsid w:val="00DB522C"/>
    <w:rsid w:val="00DB604F"/>
    <w:rsid w:val="00DB60BC"/>
    <w:rsid w:val="00DB6228"/>
    <w:rsid w:val="00DB63DF"/>
    <w:rsid w:val="00DB65B1"/>
    <w:rsid w:val="00DC2275"/>
    <w:rsid w:val="00DC2428"/>
    <w:rsid w:val="00DC28C3"/>
    <w:rsid w:val="00DC2926"/>
    <w:rsid w:val="00DC387F"/>
    <w:rsid w:val="00DC3A3B"/>
    <w:rsid w:val="00DC542C"/>
    <w:rsid w:val="00DC68B8"/>
    <w:rsid w:val="00DC733B"/>
    <w:rsid w:val="00DC7E97"/>
    <w:rsid w:val="00DC7E9A"/>
    <w:rsid w:val="00DD0317"/>
    <w:rsid w:val="00DD0EFF"/>
    <w:rsid w:val="00DD1131"/>
    <w:rsid w:val="00DD14C8"/>
    <w:rsid w:val="00DD157D"/>
    <w:rsid w:val="00DD1D47"/>
    <w:rsid w:val="00DD1E55"/>
    <w:rsid w:val="00DD4544"/>
    <w:rsid w:val="00DD4950"/>
    <w:rsid w:val="00DD5328"/>
    <w:rsid w:val="00DD61D0"/>
    <w:rsid w:val="00DD6A25"/>
    <w:rsid w:val="00DD6D7E"/>
    <w:rsid w:val="00DE02F0"/>
    <w:rsid w:val="00DE12B6"/>
    <w:rsid w:val="00DE1BDA"/>
    <w:rsid w:val="00DE1E4B"/>
    <w:rsid w:val="00DE21E9"/>
    <w:rsid w:val="00DE23CB"/>
    <w:rsid w:val="00DE2CC4"/>
    <w:rsid w:val="00DE41AB"/>
    <w:rsid w:val="00DE45B3"/>
    <w:rsid w:val="00DE4B37"/>
    <w:rsid w:val="00DE5E11"/>
    <w:rsid w:val="00DE6990"/>
    <w:rsid w:val="00DE6F1D"/>
    <w:rsid w:val="00DE7191"/>
    <w:rsid w:val="00DE7302"/>
    <w:rsid w:val="00DE7AC6"/>
    <w:rsid w:val="00DF0E77"/>
    <w:rsid w:val="00DF0EDA"/>
    <w:rsid w:val="00DF1B4E"/>
    <w:rsid w:val="00DF3185"/>
    <w:rsid w:val="00DF31F2"/>
    <w:rsid w:val="00DF5183"/>
    <w:rsid w:val="00DF57B7"/>
    <w:rsid w:val="00DF66EC"/>
    <w:rsid w:val="00DF7A61"/>
    <w:rsid w:val="00DF7CBB"/>
    <w:rsid w:val="00DF7EE6"/>
    <w:rsid w:val="00E00846"/>
    <w:rsid w:val="00E00BEA"/>
    <w:rsid w:val="00E010E6"/>
    <w:rsid w:val="00E0158D"/>
    <w:rsid w:val="00E02E76"/>
    <w:rsid w:val="00E03949"/>
    <w:rsid w:val="00E04121"/>
    <w:rsid w:val="00E04A16"/>
    <w:rsid w:val="00E06290"/>
    <w:rsid w:val="00E073C6"/>
    <w:rsid w:val="00E10044"/>
    <w:rsid w:val="00E10248"/>
    <w:rsid w:val="00E1025C"/>
    <w:rsid w:val="00E10719"/>
    <w:rsid w:val="00E10E0E"/>
    <w:rsid w:val="00E11456"/>
    <w:rsid w:val="00E114ED"/>
    <w:rsid w:val="00E11BE2"/>
    <w:rsid w:val="00E11FB8"/>
    <w:rsid w:val="00E12170"/>
    <w:rsid w:val="00E123BB"/>
    <w:rsid w:val="00E126C5"/>
    <w:rsid w:val="00E130D9"/>
    <w:rsid w:val="00E133C5"/>
    <w:rsid w:val="00E13628"/>
    <w:rsid w:val="00E1387C"/>
    <w:rsid w:val="00E13950"/>
    <w:rsid w:val="00E16219"/>
    <w:rsid w:val="00E1623A"/>
    <w:rsid w:val="00E16252"/>
    <w:rsid w:val="00E17D3B"/>
    <w:rsid w:val="00E20114"/>
    <w:rsid w:val="00E2029D"/>
    <w:rsid w:val="00E204CE"/>
    <w:rsid w:val="00E20909"/>
    <w:rsid w:val="00E20E29"/>
    <w:rsid w:val="00E20FA7"/>
    <w:rsid w:val="00E236B1"/>
    <w:rsid w:val="00E23F03"/>
    <w:rsid w:val="00E25362"/>
    <w:rsid w:val="00E25724"/>
    <w:rsid w:val="00E2640A"/>
    <w:rsid w:val="00E27171"/>
    <w:rsid w:val="00E276C6"/>
    <w:rsid w:val="00E300D4"/>
    <w:rsid w:val="00E3033E"/>
    <w:rsid w:val="00E31DE1"/>
    <w:rsid w:val="00E3394F"/>
    <w:rsid w:val="00E33F53"/>
    <w:rsid w:val="00E340FB"/>
    <w:rsid w:val="00E348A3"/>
    <w:rsid w:val="00E34ECD"/>
    <w:rsid w:val="00E34FD9"/>
    <w:rsid w:val="00E35283"/>
    <w:rsid w:val="00E35BE1"/>
    <w:rsid w:val="00E360DC"/>
    <w:rsid w:val="00E36720"/>
    <w:rsid w:val="00E3697D"/>
    <w:rsid w:val="00E36B8D"/>
    <w:rsid w:val="00E36BDF"/>
    <w:rsid w:val="00E36D99"/>
    <w:rsid w:val="00E37839"/>
    <w:rsid w:val="00E41128"/>
    <w:rsid w:val="00E4115B"/>
    <w:rsid w:val="00E419F3"/>
    <w:rsid w:val="00E42879"/>
    <w:rsid w:val="00E43414"/>
    <w:rsid w:val="00E4349E"/>
    <w:rsid w:val="00E446E1"/>
    <w:rsid w:val="00E453C2"/>
    <w:rsid w:val="00E468A7"/>
    <w:rsid w:val="00E47729"/>
    <w:rsid w:val="00E47F88"/>
    <w:rsid w:val="00E5003F"/>
    <w:rsid w:val="00E53AF7"/>
    <w:rsid w:val="00E549C9"/>
    <w:rsid w:val="00E54E01"/>
    <w:rsid w:val="00E5545C"/>
    <w:rsid w:val="00E55694"/>
    <w:rsid w:val="00E5598E"/>
    <w:rsid w:val="00E55F99"/>
    <w:rsid w:val="00E56448"/>
    <w:rsid w:val="00E56513"/>
    <w:rsid w:val="00E571C4"/>
    <w:rsid w:val="00E57BAA"/>
    <w:rsid w:val="00E62CD8"/>
    <w:rsid w:val="00E63E53"/>
    <w:rsid w:val="00E647C0"/>
    <w:rsid w:val="00E64C96"/>
    <w:rsid w:val="00E64FF1"/>
    <w:rsid w:val="00E65C16"/>
    <w:rsid w:val="00E66C7D"/>
    <w:rsid w:val="00E67D2D"/>
    <w:rsid w:val="00E7013B"/>
    <w:rsid w:val="00E70CEB"/>
    <w:rsid w:val="00E70F94"/>
    <w:rsid w:val="00E71895"/>
    <w:rsid w:val="00E71BCA"/>
    <w:rsid w:val="00E71D81"/>
    <w:rsid w:val="00E72B75"/>
    <w:rsid w:val="00E73B57"/>
    <w:rsid w:val="00E76130"/>
    <w:rsid w:val="00E76659"/>
    <w:rsid w:val="00E77BD6"/>
    <w:rsid w:val="00E80767"/>
    <w:rsid w:val="00E80ADF"/>
    <w:rsid w:val="00E80AE7"/>
    <w:rsid w:val="00E80B7D"/>
    <w:rsid w:val="00E81A61"/>
    <w:rsid w:val="00E82487"/>
    <w:rsid w:val="00E83730"/>
    <w:rsid w:val="00E83CF3"/>
    <w:rsid w:val="00E83D25"/>
    <w:rsid w:val="00E843DE"/>
    <w:rsid w:val="00E850BC"/>
    <w:rsid w:val="00E85784"/>
    <w:rsid w:val="00E86E46"/>
    <w:rsid w:val="00E870D9"/>
    <w:rsid w:val="00E926AD"/>
    <w:rsid w:val="00E9586F"/>
    <w:rsid w:val="00E9587E"/>
    <w:rsid w:val="00E9659B"/>
    <w:rsid w:val="00E97B95"/>
    <w:rsid w:val="00EA0563"/>
    <w:rsid w:val="00EA0ADD"/>
    <w:rsid w:val="00EA257F"/>
    <w:rsid w:val="00EA2D52"/>
    <w:rsid w:val="00EA2F30"/>
    <w:rsid w:val="00EA4487"/>
    <w:rsid w:val="00EA614E"/>
    <w:rsid w:val="00EA7497"/>
    <w:rsid w:val="00EB079B"/>
    <w:rsid w:val="00EB117E"/>
    <w:rsid w:val="00EB209C"/>
    <w:rsid w:val="00EB228F"/>
    <w:rsid w:val="00EB2421"/>
    <w:rsid w:val="00EB29A9"/>
    <w:rsid w:val="00EB2E9D"/>
    <w:rsid w:val="00EB3A3A"/>
    <w:rsid w:val="00EB4551"/>
    <w:rsid w:val="00EB47BA"/>
    <w:rsid w:val="00EC22A7"/>
    <w:rsid w:val="00EC3C6D"/>
    <w:rsid w:val="00EC4298"/>
    <w:rsid w:val="00EC4C08"/>
    <w:rsid w:val="00EC4E3A"/>
    <w:rsid w:val="00EC52BA"/>
    <w:rsid w:val="00EC65C2"/>
    <w:rsid w:val="00EC6BCA"/>
    <w:rsid w:val="00ED066F"/>
    <w:rsid w:val="00ED0E77"/>
    <w:rsid w:val="00ED20A4"/>
    <w:rsid w:val="00ED2DF7"/>
    <w:rsid w:val="00ED3009"/>
    <w:rsid w:val="00ED3A8A"/>
    <w:rsid w:val="00ED3B25"/>
    <w:rsid w:val="00ED48E4"/>
    <w:rsid w:val="00ED499F"/>
    <w:rsid w:val="00ED4F70"/>
    <w:rsid w:val="00ED5814"/>
    <w:rsid w:val="00ED7B79"/>
    <w:rsid w:val="00EE204B"/>
    <w:rsid w:val="00EE23D8"/>
    <w:rsid w:val="00EE291A"/>
    <w:rsid w:val="00EE2C37"/>
    <w:rsid w:val="00EE3215"/>
    <w:rsid w:val="00EE34C8"/>
    <w:rsid w:val="00EE3DAC"/>
    <w:rsid w:val="00EE4330"/>
    <w:rsid w:val="00EE529C"/>
    <w:rsid w:val="00EE5306"/>
    <w:rsid w:val="00EE6172"/>
    <w:rsid w:val="00EE6904"/>
    <w:rsid w:val="00EE6E59"/>
    <w:rsid w:val="00EE77C3"/>
    <w:rsid w:val="00EE784E"/>
    <w:rsid w:val="00EE7C5A"/>
    <w:rsid w:val="00EF0752"/>
    <w:rsid w:val="00EF0775"/>
    <w:rsid w:val="00EF0A55"/>
    <w:rsid w:val="00EF0F27"/>
    <w:rsid w:val="00EF11CC"/>
    <w:rsid w:val="00EF16FF"/>
    <w:rsid w:val="00EF172C"/>
    <w:rsid w:val="00EF17F2"/>
    <w:rsid w:val="00EF2B68"/>
    <w:rsid w:val="00EF5593"/>
    <w:rsid w:val="00EF5833"/>
    <w:rsid w:val="00EF5BE7"/>
    <w:rsid w:val="00EF6750"/>
    <w:rsid w:val="00EF7B8A"/>
    <w:rsid w:val="00EF7F94"/>
    <w:rsid w:val="00F0170F"/>
    <w:rsid w:val="00F018A4"/>
    <w:rsid w:val="00F01B33"/>
    <w:rsid w:val="00F020CC"/>
    <w:rsid w:val="00F02147"/>
    <w:rsid w:val="00F0245D"/>
    <w:rsid w:val="00F02C24"/>
    <w:rsid w:val="00F030B5"/>
    <w:rsid w:val="00F0334C"/>
    <w:rsid w:val="00F03B8E"/>
    <w:rsid w:val="00F04742"/>
    <w:rsid w:val="00F050ED"/>
    <w:rsid w:val="00F05C5E"/>
    <w:rsid w:val="00F05F01"/>
    <w:rsid w:val="00F06176"/>
    <w:rsid w:val="00F07FC0"/>
    <w:rsid w:val="00F10630"/>
    <w:rsid w:val="00F11223"/>
    <w:rsid w:val="00F113EA"/>
    <w:rsid w:val="00F11607"/>
    <w:rsid w:val="00F11B86"/>
    <w:rsid w:val="00F143B0"/>
    <w:rsid w:val="00F146B5"/>
    <w:rsid w:val="00F14E55"/>
    <w:rsid w:val="00F15836"/>
    <w:rsid w:val="00F15A9F"/>
    <w:rsid w:val="00F16155"/>
    <w:rsid w:val="00F16B1F"/>
    <w:rsid w:val="00F16E03"/>
    <w:rsid w:val="00F1719A"/>
    <w:rsid w:val="00F17E84"/>
    <w:rsid w:val="00F209CA"/>
    <w:rsid w:val="00F2320D"/>
    <w:rsid w:val="00F236BC"/>
    <w:rsid w:val="00F23941"/>
    <w:rsid w:val="00F23948"/>
    <w:rsid w:val="00F2398C"/>
    <w:rsid w:val="00F24164"/>
    <w:rsid w:val="00F2441D"/>
    <w:rsid w:val="00F24E7E"/>
    <w:rsid w:val="00F26413"/>
    <w:rsid w:val="00F26F71"/>
    <w:rsid w:val="00F27826"/>
    <w:rsid w:val="00F3048D"/>
    <w:rsid w:val="00F306D8"/>
    <w:rsid w:val="00F31565"/>
    <w:rsid w:val="00F3231B"/>
    <w:rsid w:val="00F327E1"/>
    <w:rsid w:val="00F3339F"/>
    <w:rsid w:val="00F33448"/>
    <w:rsid w:val="00F33E32"/>
    <w:rsid w:val="00F33EE4"/>
    <w:rsid w:val="00F34D79"/>
    <w:rsid w:val="00F354D8"/>
    <w:rsid w:val="00F35C46"/>
    <w:rsid w:val="00F36155"/>
    <w:rsid w:val="00F3759C"/>
    <w:rsid w:val="00F37DA6"/>
    <w:rsid w:val="00F403A1"/>
    <w:rsid w:val="00F40436"/>
    <w:rsid w:val="00F40F8D"/>
    <w:rsid w:val="00F412ED"/>
    <w:rsid w:val="00F41320"/>
    <w:rsid w:val="00F41B79"/>
    <w:rsid w:val="00F42022"/>
    <w:rsid w:val="00F42E6D"/>
    <w:rsid w:val="00F42FCE"/>
    <w:rsid w:val="00F42FE1"/>
    <w:rsid w:val="00F43363"/>
    <w:rsid w:val="00F43541"/>
    <w:rsid w:val="00F439E9"/>
    <w:rsid w:val="00F44104"/>
    <w:rsid w:val="00F44A00"/>
    <w:rsid w:val="00F463B1"/>
    <w:rsid w:val="00F46774"/>
    <w:rsid w:val="00F47D7E"/>
    <w:rsid w:val="00F47FD5"/>
    <w:rsid w:val="00F50EE8"/>
    <w:rsid w:val="00F50F2E"/>
    <w:rsid w:val="00F5103C"/>
    <w:rsid w:val="00F519C0"/>
    <w:rsid w:val="00F52544"/>
    <w:rsid w:val="00F53DA3"/>
    <w:rsid w:val="00F5432E"/>
    <w:rsid w:val="00F54B39"/>
    <w:rsid w:val="00F55862"/>
    <w:rsid w:val="00F56B1A"/>
    <w:rsid w:val="00F6082D"/>
    <w:rsid w:val="00F61097"/>
    <w:rsid w:val="00F614F3"/>
    <w:rsid w:val="00F61B41"/>
    <w:rsid w:val="00F61C1C"/>
    <w:rsid w:val="00F61D59"/>
    <w:rsid w:val="00F61D75"/>
    <w:rsid w:val="00F62F50"/>
    <w:rsid w:val="00F634E0"/>
    <w:rsid w:val="00F63786"/>
    <w:rsid w:val="00F63975"/>
    <w:rsid w:val="00F63A3A"/>
    <w:rsid w:val="00F63C5E"/>
    <w:rsid w:val="00F6409D"/>
    <w:rsid w:val="00F65BDD"/>
    <w:rsid w:val="00F65F55"/>
    <w:rsid w:val="00F6689F"/>
    <w:rsid w:val="00F66CCF"/>
    <w:rsid w:val="00F67090"/>
    <w:rsid w:val="00F704EC"/>
    <w:rsid w:val="00F70C70"/>
    <w:rsid w:val="00F713A6"/>
    <w:rsid w:val="00F72D5E"/>
    <w:rsid w:val="00F72E12"/>
    <w:rsid w:val="00F741D4"/>
    <w:rsid w:val="00F7557A"/>
    <w:rsid w:val="00F779C8"/>
    <w:rsid w:val="00F77D66"/>
    <w:rsid w:val="00F77F4A"/>
    <w:rsid w:val="00F802CD"/>
    <w:rsid w:val="00F813A3"/>
    <w:rsid w:val="00F81B21"/>
    <w:rsid w:val="00F8241D"/>
    <w:rsid w:val="00F8270B"/>
    <w:rsid w:val="00F82C8D"/>
    <w:rsid w:val="00F830E1"/>
    <w:rsid w:val="00F83F82"/>
    <w:rsid w:val="00F840E7"/>
    <w:rsid w:val="00F84602"/>
    <w:rsid w:val="00F852F3"/>
    <w:rsid w:val="00F859AC"/>
    <w:rsid w:val="00F8620C"/>
    <w:rsid w:val="00F862B4"/>
    <w:rsid w:val="00F8640F"/>
    <w:rsid w:val="00F8688C"/>
    <w:rsid w:val="00F877B3"/>
    <w:rsid w:val="00F879F1"/>
    <w:rsid w:val="00F87E98"/>
    <w:rsid w:val="00F900C9"/>
    <w:rsid w:val="00F90660"/>
    <w:rsid w:val="00F90EA4"/>
    <w:rsid w:val="00F92BEE"/>
    <w:rsid w:val="00F93509"/>
    <w:rsid w:val="00F93B5D"/>
    <w:rsid w:val="00F93BAD"/>
    <w:rsid w:val="00F93D75"/>
    <w:rsid w:val="00F93EB5"/>
    <w:rsid w:val="00F946CC"/>
    <w:rsid w:val="00F96549"/>
    <w:rsid w:val="00F976D0"/>
    <w:rsid w:val="00FA0A03"/>
    <w:rsid w:val="00FA19C4"/>
    <w:rsid w:val="00FA4306"/>
    <w:rsid w:val="00FA55E8"/>
    <w:rsid w:val="00FA629B"/>
    <w:rsid w:val="00FA74A3"/>
    <w:rsid w:val="00FB14F5"/>
    <w:rsid w:val="00FB1C1C"/>
    <w:rsid w:val="00FB1CCF"/>
    <w:rsid w:val="00FB2705"/>
    <w:rsid w:val="00FB39D6"/>
    <w:rsid w:val="00FB3A59"/>
    <w:rsid w:val="00FB48C6"/>
    <w:rsid w:val="00FB55AB"/>
    <w:rsid w:val="00FB5DB8"/>
    <w:rsid w:val="00FB7EB9"/>
    <w:rsid w:val="00FC017B"/>
    <w:rsid w:val="00FC0763"/>
    <w:rsid w:val="00FC28E3"/>
    <w:rsid w:val="00FC3B2E"/>
    <w:rsid w:val="00FC3D3F"/>
    <w:rsid w:val="00FC4FCC"/>
    <w:rsid w:val="00FC5903"/>
    <w:rsid w:val="00FC6663"/>
    <w:rsid w:val="00FC6939"/>
    <w:rsid w:val="00FC73C1"/>
    <w:rsid w:val="00FD008B"/>
    <w:rsid w:val="00FD0395"/>
    <w:rsid w:val="00FD066A"/>
    <w:rsid w:val="00FD0AB3"/>
    <w:rsid w:val="00FD0D4B"/>
    <w:rsid w:val="00FD1AE8"/>
    <w:rsid w:val="00FD1B16"/>
    <w:rsid w:val="00FD2626"/>
    <w:rsid w:val="00FD2DEE"/>
    <w:rsid w:val="00FD3504"/>
    <w:rsid w:val="00FD36DF"/>
    <w:rsid w:val="00FD4E2B"/>
    <w:rsid w:val="00FD52E4"/>
    <w:rsid w:val="00FD5ACB"/>
    <w:rsid w:val="00FD6C41"/>
    <w:rsid w:val="00FD7608"/>
    <w:rsid w:val="00FE1624"/>
    <w:rsid w:val="00FE25E5"/>
    <w:rsid w:val="00FE2A3F"/>
    <w:rsid w:val="00FE2B88"/>
    <w:rsid w:val="00FE334E"/>
    <w:rsid w:val="00FE33B2"/>
    <w:rsid w:val="00FE3B2D"/>
    <w:rsid w:val="00FE51F9"/>
    <w:rsid w:val="00FE5B3D"/>
    <w:rsid w:val="00FE6673"/>
    <w:rsid w:val="00FE76EF"/>
    <w:rsid w:val="00FF04A2"/>
    <w:rsid w:val="00FF081D"/>
    <w:rsid w:val="00FF2D73"/>
    <w:rsid w:val="00FF3C60"/>
    <w:rsid w:val="00FF3C69"/>
    <w:rsid w:val="00FF5511"/>
    <w:rsid w:val="00FF636C"/>
    <w:rsid w:val="00FF7D3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3B"/>
    <w:pPr>
      <w:spacing w:before="120"/>
    </w:pPr>
    <w:rPr>
      <w:rFonts w:ascii="Times New Roman" w:hAnsi="Times New Roman"/>
      <w:sz w:val="24"/>
    </w:rPr>
  </w:style>
  <w:style w:type="paragraph" w:styleId="Heading1">
    <w:name w:val="heading 1"/>
    <w:basedOn w:val="Normal"/>
    <w:next w:val="Normal"/>
    <w:link w:val="Heading1Char"/>
    <w:uiPriority w:val="9"/>
    <w:qFormat/>
    <w:rsid w:val="00196785"/>
    <w:pPr>
      <w:pageBreakBefore/>
      <w:pBdr>
        <w:top w:val="single" w:sz="4" w:space="1" w:color="auto"/>
        <w:bottom w:val="single" w:sz="4" w:space="1" w:color="auto"/>
      </w:pBdr>
      <w:spacing w:before="480" w:after="0"/>
      <w:contextualSpacing/>
      <w:outlineLvl w:val="0"/>
    </w:pPr>
    <w:rPr>
      <w:rFonts w:asciiTheme="majorHAnsi" w:eastAsiaTheme="majorEastAsia" w:hAnsiTheme="majorHAnsi" w:cstheme="majorBidi"/>
      <w:b/>
      <w:bCs/>
      <w:i/>
      <w:sz w:val="40"/>
      <w:szCs w:val="28"/>
      <w:lang w:val="en-AU"/>
    </w:rPr>
  </w:style>
  <w:style w:type="paragraph" w:styleId="Heading2">
    <w:name w:val="heading 2"/>
    <w:basedOn w:val="Normal"/>
    <w:next w:val="Normal"/>
    <w:link w:val="Heading2Char"/>
    <w:uiPriority w:val="9"/>
    <w:unhideWhenUsed/>
    <w:qFormat/>
    <w:rsid w:val="00DB3333"/>
    <w:pPr>
      <w:keepNext/>
      <w:spacing w:before="240" w:after="12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2654C4"/>
    <w:pPr>
      <w:keepNext/>
      <w:spacing w:before="200" w:after="120" w:line="271" w:lineRule="auto"/>
      <w:outlineLvl w:val="2"/>
    </w:pPr>
    <w:rPr>
      <w:rFonts w:eastAsiaTheme="majorEastAsia" w:cs="Times New Roman"/>
      <w:b/>
      <w:bCs/>
      <w:i/>
      <w:szCs w:val="26"/>
      <w:lang w:val="en-AU"/>
    </w:rPr>
  </w:style>
  <w:style w:type="paragraph" w:styleId="Heading4">
    <w:name w:val="heading 4"/>
    <w:basedOn w:val="Normal"/>
    <w:next w:val="Normal"/>
    <w:link w:val="Heading4Char"/>
    <w:uiPriority w:val="9"/>
    <w:unhideWhenUsed/>
    <w:qFormat/>
    <w:rsid w:val="001E337B"/>
    <w:pPr>
      <w:keepNext/>
      <w:spacing w:before="200" w:after="24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45596D"/>
    <w:pPr>
      <w:keepNext/>
      <w:spacing w:before="200" w:after="0"/>
      <w:ind w:left="1287"/>
      <w:outlineLvl w:val="4"/>
    </w:pPr>
    <w:rPr>
      <w:rFonts w:eastAsiaTheme="majorEastAsia" w:cs="Times New Roman"/>
      <w:bCs/>
      <w:i/>
    </w:rPr>
  </w:style>
  <w:style w:type="paragraph" w:styleId="Heading6">
    <w:name w:val="heading 6"/>
    <w:basedOn w:val="Normal"/>
    <w:next w:val="Normal"/>
    <w:link w:val="Heading6Char"/>
    <w:uiPriority w:val="9"/>
    <w:unhideWhenUsed/>
    <w:qFormat/>
    <w:rsid w:val="005D1F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D1F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D1F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D1F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6785"/>
    <w:rPr>
      <w:rFonts w:asciiTheme="majorHAnsi" w:eastAsiaTheme="majorEastAsia" w:hAnsiTheme="majorHAnsi" w:cstheme="majorBidi"/>
      <w:b/>
      <w:bCs/>
      <w:i/>
      <w:sz w:val="40"/>
      <w:szCs w:val="28"/>
      <w:lang w:val="en-AU"/>
    </w:rPr>
  </w:style>
  <w:style w:type="paragraph" w:styleId="NormalWeb">
    <w:name w:val="Normal (Web)"/>
    <w:basedOn w:val="Normal"/>
    <w:uiPriority w:val="99"/>
    <w:unhideWhenUsed/>
    <w:rsid w:val="009B6F92"/>
    <w:pPr>
      <w:spacing w:before="100" w:beforeAutospacing="1" w:after="100" w:afterAutospacing="1" w:line="240" w:lineRule="auto"/>
    </w:pPr>
    <w:rPr>
      <w:rFonts w:eastAsia="Times New Roman"/>
      <w:szCs w:val="24"/>
      <w:lang w:eastAsia="en-AU"/>
    </w:rPr>
  </w:style>
  <w:style w:type="paragraph" w:styleId="ListParagraph">
    <w:name w:val="List Paragraph"/>
    <w:basedOn w:val="Normal"/>
    <w:link w:val="ListParagraphChar"/>
    <w:uiPriority w:val="34"/>
    <w:qFormat/>
    <w:rsid w:val="00625D31"/>
    <w:pPr>
      <w:keepLines/>
      <w:numPr>
        <w:ilvl w:val="1"/>
        <w:numId w:val="10"/>
      </w:numPr>
      <w:tabs>
        <w:tab w:val="left" w:pos="0"/>
      </w:tabs>
      <w:spacing w:before="240" w:after="120" w:line="240" w:lineRule="auto"/>
    </w:pPr>
    <w:rPr>
      <w:rFonts w:cs="Times New Roman"/>
      <w:iCs/>
      <w:szCs w:val="24"/>
    </w:rPr>
  </w:style>
  <w:style w:type="paragraph" w:customStyle="1" w:styleId="OutlineNumbered1">
    <w:name w:val="Outline Numbered 1"/>
    <w:basedOn w:val="Normal"/>
    <w:link w:val="OutlineNumbered1Char"/>
    <w:rsid w:val="00894B0E"/>
    <w:pPr>
      <w:numPr>
        <w:numId w:val="1"/>
      </w:numPr>
    </w:pPr>
  </w:style>
  <w:style w:type="character" w:customStyle="1" w:styleId="OutlineNumbered1Char">
    <w:name w:val="Outline Numbered 1 Char"/>
    <w:link w:val="OutlineNumbered1"/>
    <w:rsid w:val="00894B0E"/>
    <w:rPr>
      <w:rFonts w:ascii="Times New Roman" w:hAnsi="Times New Roman"/>
      <w:sz w:val="24"/>
    </w:rPr>
  </w:style>
  <w:style w:type="paragraph" w:customStyle="1" w:styleId="OutlineNumbered2">
    <w:name w:val="Outline Numbered 2"/>
    <w:basedOn w:val="Normal"/>
    <w:rsid w:val="00894B0E"/>
    <w:pPr>
      <w:numPr>
        <w:ilvl w:val="1"/>
        <w:numId w:val="1"/>
      </w:numPr>
    </w:pPr>
  </w:style>
  <w:style w:type="paragraph" w:customStyle="1" w:styleId="OutlineNumbered3">
    <w:name w:val="Outline Numbered 3"/>
    <w:basedOn w:val="Normal"/>
    <w:rsid w:val="00894B0E"/>
    <w:pPr>
      <w:numPr>
        <w:ilvl w:val="2"/>
        <w:numId w:val="1"/>
      </w:numPr>
    </w:pPr>
  </w:style>
  <w:style w:type="character" w:styleId="CommentReference">
    <w:name w:val="annotation reference"/>
    <w:uiPriority w:val="99"/>
    <w:unhideWhenUsed/>
    <w:rsid w:val="00894B0E"/>
    <w:rPr>
      <w:sz w:val="16"/>
      <w:szCs w:val="16"/>
    </w:rPr>
  </w:style>
  <w:style w:type="paragraph" w:styleId="CommentText">
    <w:name w:val="annotation text"/>
    <w:basedOn w:val="Normal"/>
    <w:link w:val="CommentTextChar"/>
    <w:uiPriority w:val="99"/>
    <w:unhideWhenUsed/>
    <w:rsid w:val="00894B0E"/>
    <w:pPr>
      <w:spacing w:line="240" w:lineRule="auto"/>
    </w:pPr>
    <w:rPr>
      <w:sz w:val="20"/>
      <w:szCs w:val="20"/>
    </w:rPr>
  </w:style>
  <w:style w:type="character" w:customStyle="1" w:styleId="CommentTextChar">
    <w:name w:val="Comment Text Char"/>
    <w:basedOn w:val="DefaultParagraphFont"/>
    <w:link w:val="CommentText"/>
    <w:uiPriority w:val="99"/>
    <w:rsid w:val="00894B0E"/>
  </w:style>
  <w:style w:type="paragraph" w:customStyle="1" w:styleId="P1">
    <w:name w:val="P1"/>
    <w:aliases w:val="(a)"/>
    <w:basedOn w:val="Normal"/>
    <w:rsid w:val="00894B0E"/>
    <w:pPr>
      <w:keepLines/>
      <w:tabs>
        <w:tab w:val="right" w:pos="1191"/>
      </w:tabs>
      <w:spacing w:before="60" w:after="0" w:line="260" w:lineRule="exact"/>
      <w:ind w:left="1418" w:hanging="1418"/>
      <w:jc w:val="both"/>
    </w:pPr>
    <w:rPr>
      <w:rFonts w:eastAsia="Times New Roman"/>
      <w:szCs w:val="24"/>
      <w:lang w:eastAsia="en-AU"/>
    </w:rPr>
  </w:style>
  <w:style w:type="paragraph" w:customStyle="1" w:styleId="Default">
    <w:name w:val="Default"/>
    <w:rsid w:val="00894B0E"/>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894B0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4B0E"/>
    <w:rPr>
      <w:rFonts w:ascii="Lucida Grande" w:hAnsi="Lucida Grande"/>
      <w:sz w:val="18"/>
      <w:szCs w:val="18"/>
    </w:rPr>
  </w:style>
  <w:style w:type="character" w:customStyle="1" w:styleId="CharSectno">
    <w:name w:val="CharSectno"/>
    <w:uiPriority w:val="99"/>
    <w:rsid w:val="0068282D"/>
  </w:style>
  <w:style w:type="paragraph" w:customStyle="1" w:styleId="HR">
    <w:name w:val="HR"/>
    <w:aliases w:val="Regulation Heading"/>
    <w:basedOn w:val="Normal"/>
    <w:next w:val="R1"/>
    <w:rsid w:val="0068282D"/>
    <w:pPr>
      <w:keepNext/>
      <w:keepLines/>
      <w:spacing w:before="360" w:after="0" w:line="240" w:lineRule="auto"/>
      <w:ind w:left="964" w:hanging="964"/>
    </w:pPr>
    <w:rPr>
      <w:rFonts w:ascii="Arial" w:eastAsia="Times New Roman" w:hAnsi="Arial"/>
      <w:b/>
      <w:szCs w:val="24"/>
      <w:lang w:eastAsia="en-AU"/>
    </w:rPr>
  </w:style>
  <w:style w:type="paragraph" w:customStyle="1" w:styleId="R1">
    <w:name w:val="R1"/>
    <w:aliases w:val="1. or 1.(1)"/>
    <w:basedOn w:val="Normal"/>
    <w:next w:val="Normal"/>
    <w:rsid w:val="0068282D"/>
    <w:pPr>
      <w:keepLines/>
      <w:tabs>
        <w:tab w:val="right" w:pos="794"/>
      </w:tabs>
      <w:spacing w:after="0" w:line="260" w:lineRule="exact"/>
      <w:ind w:left="964" w:hanging="964"/>
      <w:jc w:val="both"/>
    </w:pPr>
    <w:rPr>
      <w:rFonts w:eastAsia="Times New Roman"/>
      <w:szCs w:val="24"/>
      <w:lang w:eastAsia="en-AU"/>
    </w:rPr>
  </w:style>
  <w:style w:type="character" w:styleId="Hyperlink">
    <w:name w:val="Hyperlink"/>
    <w:uiPriority w:val="99"/>
    <w:rsid w:val="001E2EA4"/>
    <w:rPr>
      <w:color w:val="0000FF"/>
      <w:u w:val="single"/>
    </w:rPr>
  </w:style>
  <w:style w:type="paragraph" w:customStyle="1" w:styleId="R2">
    <w:name w:val="R2"/>
    <w:aliases w:val="(2)"/>
    <w:basedOn w:val="Normal"/>
    <w:rsid w:val="001E2EA4"/>
    <w:pPr>
      <w:keepLines/>
      <w:tabs>
        <w:tab w:val="right" w:pos="794"/>
      </w:tabs>
      <w:spacing w:before="180" w:after="0" w:line="260" w:lineRule="exact"/>
      <w:ind w:left="964" w:hanging="964"/>
      <w:jc w:val="both"/>
    </w:pPr>
    <w:rPr>
      <w:rFonts w:eastAsia="Times New Roman"/>
      <w:szCs w:val="24"/>
      <w:lang w:eastAsia="en-AU"/>
    </w:rPr>
  </w:style>
  <w:style w:type="paragraph" w:styleId="CommentSubject">
    <w:name w:val="annotation subject"/>
    <w:basedOn w:val="CommentText"/>
    <w:next w:val="CommentText"/>
    <w:link w:val="CommentSubjectChar"/>
    <w:uiPriority w:val="99"/>
    <w:semiHidden/>
    <w:unhideWhenUsed/>
    <w:rsid w:val="00E63E53"/>
    <w:pPr>
      <w:spacing w:line="276" w:lineRule="auto"/>
    </w:pPr>
    <w:rPr>
      <w:b/>
      <w:bCs/>
    </w:rPr>
  </w:style>
  <w:style w:type="character" w:customStyle="1" w:styleId="CommentSubjectChar">
    <w:name w:val="Comment Subject Char"/>
    <w:basedOn w:val="CommentTextChar"/>
    <w:link w:val="CommentSubject"/>
    <w:uiPriority w:val="99"/>
    <w:semiHidden/>
    <w:rsid w:val="00E63E53"/>
    <w:rPr>
      <w:b/>
      <w:bCs/>
    </w:rPr>
  </w:style>
  <w:style w:type="paragraph" w:styleId="Header">
    <w:name w:val="header"/>
    <w:basedOn w:val="Normal"/>
    <w:link w:val="HeaderChar"/>
    <w:uiPriority w:val="99"/>
    <w:unhideWhenUsed/>
    <w:rsid w:val="008454F5"/>
    <w:pPr>
      <w:tabs>
        <w:tab w:val="center" w:pos="4513"/>
        <w:tab w:val="right" w:pos="9026"/>
      </w:tabs>
    </w:pPr>
  </w:style>
  <w:style w:type="character" w:customStyle="1" w:styleId="HeaderChar">
    <w:name w:val="Header Char"/>
    <w:basedOn w:val="DefaultParagraphFont"/>
    <w:link w:val="Header"/>
    <w:uiPriority w:val="99"/>
    <w:rsid w:val="008454F5"/>
    <w:rPr>
      <w:sz w:val="22"/>
      <w:szCs w:val="22"/>
    </w:rPr>
  </w:style>
  <w:style w:type="paragraph" w:styleId="Footer">
    <w:name w:val="footer"/>
    <w:basedOn w:val="Normal"/>
    <w:link w:val="FooterChar"/>
    <w:uiPriority w:val="99"/>
    <w:unhideWhenUsed/>
    <w:rsid w:val="008454F5"/>
    <w:pPr>
      <w:tabs>
        <w:tab w:val="center" w:pos="4513"/>
        <w:tab w:val="right" w:pos="9026"/>
      </w:tabs>
    </w:pPr>
  </w:style>
  <w:style w:type="character" w:customStyle="1" w:styleId="FooterChar">
    <w:name w:val="Footer Char"/>
    <w:basedOn w:val="DefaultParagraphFont"/>
    <w:link w:val="Footer"/>
    <w:uiPriority w:val="99"/>
    <w:rsid w:val="008454F5"/>
    <w:rPr>
      <w:sz w:val="22"/>
      <w:szCs w:val="22"/>
    </w:rPr>
  </w:style>
  <w:style w:type="table" w:styleId="TableGrid">
    <w:name w:val="Table Grid"/>
    <w:basedOn w:val="TableNormal"/>
    <w:uiPriority w:val="59"/>
    <w:rsid w:val="006C757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inition">
    <w:name w:val="definition"/>
    <w:basedOn w:val="Normal"/>
    <w:rsid w:val="001C77F1"/>
    <w:pPr>
      <w:spacing w:before="80" w:after="0" w:line="260" w:lineRule="exact"/>
      <w:ind w:left="964"/>
      <w:jc w:val="both"/>
    </w:pPr>
    <w:rPr>
      <w:rFonts w:eastAsia="Times New Roman"/>
      <w:szCs w:val="24"/>
      <w:lang w:eastAsia="en-AU"/>
    </w:rPr>
  </w:style>
  <w:style w:type="paragraph" w:styleId="FootnoteText">
    <w:name w:val="footnote text"/>
    <w:basedOn w:val="Normal"/>
    <w:link w:val="FootnoteTextChar"/>
    <w:uiPriority w:val="99"/>
    <w:unhideWhenUsed/>
    <w:rsid w:val="005300CB"/>
    <w:rPr>
      <w:sz w:val="20"/>
      <w:szCs w:val="20"/>
    </w:rPr>
  </w:style>
  <w:style w:type="character" w:customStyle="1" w:styleId="FootnoteTextChar">
    <w:name w:val="Footnote Text Char"/>
    <w:basedOn w:val="DefaultParagraphFont"/>
    <w:link w:val="FootnoteText"/>
    <w:uiPriority w:val="99"/>
    <w:rsid w:val="005300CB"/>
    <w:rPr>
      <w:lang w:eastAsia="en-US"/>
    </w:rPr>
  </w:style>
  <w:style w:type="character" w:styleId="FootnoteReference">
    <w:name w:val="footnote reference"/>
    <w:aliases w:val="(NECG) Footnote Reference,(NECG) Footnote Reference1,(NECG) Footnote Reference2,o,Footnote Reference 1"/>
    <w:basedOn w:val="DefaultParagraphFont"/>
    <w:uiPriority w:val="99"/>
    <w:unhideWhenUsed/>
    <w:rsid w:val="005300CB"/>
    <w:rPr>
      <w:vertAlign w:val="superscript"/>
    </w:rPr>
  </w:style>
  <w:style w:type="character" w:styleId="FollowedHyperlink">
    <w:name w:val="FollowedHyperlink"/>
    <w:basedOn w:val="DefaultParagraphFont"/>
    <w:uiPriority w:val="99"/>
    <w:semiHidden/>
    <w:unhideWhenUsed/>
    <w:rsid w:val="0003584F"/>
    <w:rPr>
      <w:color w:val="800080" w:themeColor="followedHyperlink"/>
      <w:u w:val="single"/>
    </w:rPr>
  </w:style>
  <w:style w:type="paragraph" w:customStyle="1" w:styleId="Bullet">
    <w:name w:val="Bullet"/>
    <w:aliases w:val="b"/>
    <w:basedOn w:val="Normal"/>
    <w:link w:val="BulletChar"/>
    <w:rsid w:val="00E83D25"/>
    <w:pPr>
      <w:numPr>
        <w:numId w:val="2"/>
      </w:numPr>
      <w:spacing w:after="120"/>
    </w:pPr>
    <w:rPr>
      <w:rFonts w:eastAsia="Times New Roman"/>
    </w:rPr>
  </w:style>
  <w:style w:type="character" w:customStyle="1" w:styleId="BulletChar">
    <w:name w:val="Bullet Char"/>
    <w:aliases w:val="b Char"/>
    <w:basedOn w:val="DefaultParagraphFont"/>
    <w:link w:val="Bullet"/>
    <w:locked/>
    <w:rsid w:val="00E83D25"/>
    <w:rPr>
      <w:rFonts w:ascii="Times New Roman" w:eastAsia="Times New Roman" w:hAnsi="Times New Roman"/>
      <w:sz w:val="24"/>
    </w:rPr>
  </w:style>
  <w:style w:type="paragraph" w:customStyle="1" w:styleId="Dash">
    <w:name w:val="Dash"/>
    <w:basedOn w:val="Normal"/>
    <w:link w:val="DashChar"/>
    <w:rsid w:val="00E83D25"/>
    <w:pPr>
      <w:numPr>
        <w:ilvl w:val="1"/>
        <w:numId w:val="2"/>
      </w:numPr>
      <w:spacing w:after="120"/>
    </w:pPr>
    <w:rPr>
      <w:rFonts w:eastAsia="Times New Roman"/>
    </w:rPr>
  </w:style>
  <w:style w:type="paragraph" w:customStyle="1" w:styleId="DoubleDot">
    <w:name w:val="Double Dot"/>
    <w:basedOn w:val="Normal"/>
    <w:rsid w:val="00E83D25"/>
    <w:pPr>
      <w:numPr>
        <w:ilvl w:val="2"/>
        <w:numId w:val="2"/>
      </w:numPr>
      <w:spacing w:after="120"/>
    </w:pPr>
    <w:rPr>
      <w:rFonts w:eastAsia="Times New Roman"/>
    </w:rPr>
  </w:style>
  <w:style w:type="character" w:customStyle="1" w:styleId="DashChar">
    <w:name w:val="Dash Char"/>
    <w:basedOn w:val="DefaultParagraphFont"/>
    <w:link w:val="Dash"/>
    <w:locked/>
    <w:rsid w:val="00E83D25"/>
    <w:rPr>
      <w:rFonts w:ascii="Times New Roman" w:eastAsia="Times New Roman" w:hAnsi="Times New Roman"/>
      <w:sz w:val="24"/>
    </w:rPr>
  </w:style>
  <w:style w:type="numbering" w:styleId="111111">
    <w:name w:val="Outline List 2"/>
    <w:basedOn w:val="NoList"/>
    <w:rsid w:val="001040F2"/>
    <w:pPr>
      <w:numPr>
        <w:numId w:val="3"/>
      </w:numPr>
    </w:pPr>
  </w:style>
  <w:style w:type="paragraph" w:customStyle="1" w:styleId="Rc">
    <w:name w:val="Rc"/>
    <w:aliases w:val="Rn continued"/>
    <w:basedOn w:val="Normal"/>
    <w:next w:val="R2"/>
    <w:rsid w:val="001040F2"/>
    <w:pPr>
      <w:spacing w:before="60" w:after="0" w:line="260" w:lineRule="exact"/>
      <w:ind w:left="964"/>
      <w:jc w:val="both"/>
    </w:pPr>
    <w:rPr>
      <w:rFonts w:eastAsia="Times New Roman"/>
      <w:szCs w:val="24"/>
      <w:lang w:eastAsia="en-AU"/>
    </w:rPr>
  </w:style>
  <w:style w:type="paragraph" w:customStyle="1" w:styleId="Style1">
    <w:name w:val="Style1"/>
    <w:basedOn w:val="Normal"/>
    <w:link w:val="Style1Char"/>
    <w:rsid w:val="00016019"/>
    <w:pPr>
      <w:numPr>
        <w:numId w:val="4"/>
      </w:numPr>
      <w:spacing w:after="240" w:line="240" w:lineRule="auto"/>
    </w:pPr>
    <w:rPr>
      <w:rFonts w:eastAsia="Times New Roman"/>
      <w:szCs w:val="20"/>
      <w:lang w:eastAsia="en-AU"/>
    </w:rPr>
  </w:style>
  <w:style w:type="character" w:customStyle="1" w:styleId="Style1Char">
    <w:name w:val="Style1 Char"/>
    <w:link w:val="Style1"/>
    <w:rsid w:val="00016019"/>
    <w:rPr>
      <w:rFonts w:ascii="Times New Roman" w:eastAsia="Times New Roman" w:hAnsi="Times New Roman"/>
      <w:sz w:val="24"/>
      <w:szCs w:val="20"/>
      <w:lang w:eastAsia="en-AU"/>
    </w:rPr>
  </w:style>
  <w:style w:type="paragraph" w:customStyle="1" w:styleId="tPara">
    <w:name w:val="t_Para"/>
    <w:aliases w:val="paragraph,a"/>
    <w:basedOn w:val="Normal"/>
    <w:link w:val="paragraphChar"/>
    <w:qFormat/>
    <w:rsid w:val="00512B3B"/>
    <w:pPr>
      <w:keepLines/>
      <w:tabs>
        <w:tab w:val="right" w:pos="1531"/>
      </w:tabs>
      <w:spacing w:after="100" w:line="260" w:lineRule="exact"/>
      <w:ind w:left="1701" w:hanging="1701"/>
      <w:jc w:val="both"/>
    </w:pPr>
    <w:rPr>
      <w:rFonts w:eastAsia="Times New Roman"/>
      <w:szCs w:val="24"/>
      <w:lang w:eastAsia="en-AU"/>
    </w:rPr>
  </w:style>
  <w:style w:type="paragraph" w:customStyle="1" w:styleId="tSubpara">
    <w:name w:val="t_Subpara"/>
    <w:aliases w:val="paragraph(sub),aa"/>
    <w:basedOn w:val="Normal"/>
    <w:qFormat/>
    <w:rsid w:val="00512B3B"/>
    <w:pPr>
      <w:keepLines/>
      <w:tabs>
        <w:tab w:val="right" w:pos="2211"/>
      </w:tabs>
      <w:spacing w:after="100" w:line="260" w:lineRule="exact"/>
      <w:ind w:left="2410" w:hanging="2410"/>
      <w:jc w:val="both"/>
    </w:pPr>
    <w:rPr>
      <w:rFonts w:eastAsia="Times New Roman"/>
      <w:szCs w:val="24"/>
      <w:lang w:eastAsia="en-AU"/>
    </w:rPr>
  </w:style>
  <w:style w:type="paragraph" w:customStyle="1" w:styleId="tMain">
    <w:name w:val="t_Main"/>
    <w:aliases w:val="subsection,ss"/>
    <w:basedOn w:val="Normal"/>
    <w:link w:val="subsectionChar"/>
    <w:qFormat/>
    <w:rsid w:val="00512B3B"/>
    <w:pPr>
      <w:keepLines/>
      <w:tabs>
        <w:tab w:val="right" w:pos="794"/>
      </w:tabs>
      <w:spacing w:before="80" w:after="100" w:line="260" w:lineRule="exact"/>
      <w:ind w:left="964" w:hanging="964"/>
      <w:jc w:val="both"/>
    </w:pPr>
    <w:rPr>
      <w:rFonts w:eastAsia="Times New Roman"/>
      <w:szCs w:val="24"/>
      <w:lang w:eastAsia="en-AU"/>
    </w:rPr>
  </w:style>
  <w:style w:type="paragraph" w:customStyle="1" w:styleId="h2Part">
    <w:name w:val="h2_Part"/>
    <w:basedOn w:val="Heading2"/>
    <w:next w:val="Normal"/>
    <w:rsid w:val="00C73382"/>
    <w:pPr>
      <w:pageBreakBefore/>
      <w:spacing w:before="360" w:after="60" w:line="240" w:lineRule="auto"/>
      <w:ind w:left="2410" w:hanging="2410"/>
    </w:pPr>
    <w:rPr>
      <w:rFonts w:ascii="Arial" w:eastAsia="Times New Roman" w:hAnsi="Arial" w:cs="Arial"/>
      <w:bCs w:val="0"/>
      <w:iCs/>
      <w:sz w:val="36"/>
      <w:szCs w:val="22"/>
      <w:lang w:eastAsia="en-AU"/>
    </w:rPr>
  </w:style>
  <w:style w:type="character" w:customStyle="1" w:styleId="Heading2Char">
    <w:name w:val="Heading 2 Char"/>
    <w:basedOn w:val="DefaultParagraphFont"/>
    <w:link w:val="Heading2"/>
    <w:uiPriority w:val="9"/>
    <w:rsid w:val="00DB3333"/>
    <w:rPr>
      <w:rFonts w:asciiTheme="majorHAnsi" w:eastAsiaTheme="majorEastAsia" w:hAnsiTheme="majorHAnsi" w:cstheme="majorBidi"/>
      <w:b/>
      <w:bCs/>
      <w:sz w:val="28"/>
      <w:szCs w:val="26"/>
    </w:rPr>
  </w:style>
  <w:style w:type="paragraph" w:customStyle="1" w:styleId="tDefn">
    <w:name w:val="t_Defn"/>
    <w:aliases w:val="Definition,dd"/>
    <w:basedOn w:val="Normal"/>
    <w:rsid w:val="00C73382"/>
    <w:pPr>
      <w:spacing w:before="80" w:after="100" w:line="260" w:lineRule="exact"/>
      <w:ind w:left="964"/>
      <w:jc w:val="both"/>
    </w:pPr>
    <w:rPr>
      <w:rFonts w:eastAsia="Times New Roman"/>
      <w:szCs w:val="24"/>
      <w:lang w:eastAsia="en-AU"/>
    </w:rPr>
  </w:style>
  <w:style w:type="paragraph" w:customStyle="1" w:styleId="noteDrafter">
    <w:name w:val="note_Drafter"/>
    <w:basedOn w:val="Normal"/>
    <w:qFormat/>
    <w:rsid w:val="00C73382"/>
    <w:pPr>
      <w:spacing w:before="80" w:after="80" w:line="240" w:lineRule="auto"/>
    </w:pPr>
    <w:rPr>
      <w:rFonts w:eastAsia="Times New Roman"/>
      <w:color w:val="0070C0"/>
      <w:szCs w:val="24"/>
      <w:lang w:eastAsia="en-AU"/>
    </w:rPr>
  </w:style>
  <w:style w:type="paragraph" w:customStyle="1" w:styleId="h5Section">
    <w:name w:val="h5_Section"/>
    <w:aliases w:val="ActHead 5,s"/>
    <w:basedOn w:val="Heading5"/>
    <w:next w:val="Normal"/>
    <w:uiPriority w:val="99"/>
    <w:qFormat/>
    <w:rsid w:val="006C2BAF"/>
    <w:pPr>
      <w:spacing w:before="360" w:after="60" w:line="240" w:lineRule="auto"/>
      <w:ind w:left="964" w:hanging="964"/>
    </w:pPr>
    <w:rPr>
      <w:rFonts w:ascii="Arial" w:eastAsia="Times New Roman" w:hAnsi="Arial"/>
      <w:iCs/>
      <w:szCs w:val="26"/>
      <w:lang w:eastAsia="en-AU"/>
    </w:rPr>
  </w:style>
  <w:style w:type="character" w:customStyle="1" w:styleId="Heading5Char">
    <w:name w:val="Heading 5 Char"/>
    <w:basedOn w:val="DefaultParagraphFont"/>
    <w:link w:val="Heading5"/>
    <w:uiPriority w:val="9"/>
    <w:rsid w:val="0045596D"/>
    <w:rPr>
      <w:rFonts w:ascii="Times New Roman" w:eastAsiaTheme="majorEastAsia" w:hAnsi="Times New Roman" w:cs="Times New Roman"/>
      <w:bCs/>
      <w:i/>
      <w:sz w:val="24"/>
    </w:rPr>
  </w:style>
  <w:style w:type="paragraph" w:customStyle="1" w:styleId="h3Div">
    <w:name w:val="h3_Div"/>
    <w:aliases w:val="ActHead 3"/>
    <w:basedOn w:val="Heading3"/>
    <w:next w:val="Normal"/>
    <w:qFormat/>
    <w:rsid w:val="00155E6A"/>
    <w:pPr>
      <w:spacing w:before="360" w:after="60" w:line="240" w:lineRule="auto"/>
      <w:ind w:left="2410" w:hanging="2410"/>
    </w:pPr>
    <w:rPr>
      <w:rFonts w:ascii="Arial" w:eastAsia="Times New Roman" w:hAnsi="Arial" w:cs="Arial"/>
      <w:sz w:val="28"/>
      <w:lang w:eastAsia="en-AU"/>
    </w:rPr>
  </w:style>
  <w:style w:type="character" w:customStyle="1" w:styleId="Heading3Char">
    <w:name w:val="Heading 3 Char"/>
    <w:basedOn w:val="DefaultParagraphFont"/>
    <w:link w:val="Heading3"/>
    <w:uiPriority w:val="99"/>
    <w:rsid w:val="002654C4"/>
    <w:rPr>
      <w:rFonts w:ascii="Times New Roman" w:eastAsiaTheme="majorEastAsia" w:hAnsi="Times New Roman" w:cs="Times New Roman"/>
      <w:b/>
      <w:bCs/>
      <w:i/>
      <w:sz w:val="24"/>
      <w:szCs w:val="26"/>
      <w:lang w:val="en-AU"/>
    </w:rPr>
  </w:style>
  <w:style w:type="paragraph" w:customStyle="1" w:styleId="noteMain">
    <w:name w:val="note_Main"/>
    <w:basedOn w:val="tMain"/>
    <w:rsid w:val="00155E6A"/>
    <w:pPr>
      <w:spacing w:line="220" w:lineRule="exact"/>
    </w:pPr>
    <w:rPr>
      <w:sz w:val="20"/>
    </w:rPr>
  </w:style>
  <w:style w:type="paragraph" w:customStyle="1" w:styleId="h4Subdiv">
    <w:name w:val="h4_Subdiv"/>
    <w:basedOn w:val="Heading4"/>
    <w:next w:val="Normal"/>
    <w:autoRedefine/>
    <w:rsid w:val="00155E6A"/>
    <w:pPr>
      <w:spacing w:before="360" w:after="60" w:line="240" w:lineRule="auto"/>
      <w:ind w:left="2410" w:hanging="2410"/>
    </w:pPr>
    <w:rPr>
      <w:rFonts w:ascii="Arial" w:eastAsia="Times New Roman" w:hAnsi="Arial" w:cs="Times New Roman"/>
      <w:i w:val="0"/>
      <w:iCs w:val="0"/>
      <w:sz w:val="28"/>
      <w:szCs w:val="28"/>
      <w:lang w:eastAsia="en-AU"/>
    </w:rPr>
  </w:style>
  <w:style w:type="character" w:customStyle="1" w:styleId="Heading4Char">
    <w:name w:val="Heading 4 Char"/>
    <w:basedOn w:val="DefaultParagraphFont"/>
    <w:link w:val="Heading4"/>
    <w:uiPriority w:val="9"/>
    <w:rsid w:val="001E337B"/>
    <w:rPr>
      <w:rFonts w:ascii="Times New Roman" w:eastAsiaTheme="majorEastAsia" w:hAnsi="Times New Roman" w:cstheme="majorBidi"/>
      <w:bCs/>
      <w:i/>
      <w:iCs/>
      <w:sz w:val="24"/>
    </w:rPr>
  </w:style>
  <w:style w:type="paragraph" w:styleId="Caption">
    <w:name w:val="caption"/>
    <w:basedOn w:val="Normal"/>
    <w:next w:val="Normal"/>
    <w:uiPriority w:val="35"/>
    <w:unhideWhenUsed/>
    <w:qFormat/>
    <w:rsid w:val="0007756D"/>
    <w:pPr>
      <w:keepNext/>
      <w:spacing w:line="240" w:lineRule="auto"/>
      <w:jc w:val="center"/>
    </w:pPr>
    <w:rPr>
      <w:rFonts w:ascii="Arial" w:eastAsia="Times New Roman" w:hAnsi="Arial"/>
      <w:b/>
      <w:bCs/>
      <w:sz w:val="20"/>
      <w:szCs w:val="18"/>
    </w:rPr>
  </w:style>
  <w:style w:type="paragraph" w:customStyle="1" w:styleId="notePara">
    <w:name w:val="note_Para"/>
    <w:basedOn w:val="tPara"/>
    <w:rsid w:val="00251D76"/>
    <w:pPr>
      <w:spacing w:line="220" w:lineRule="exact"/>
    </w:pPr>
    <w:rPr>
      <w:sz w:val="20"/>
    </w:rPr>
  </w:style>
  <w:style w:type="character" w:customStyle="1" w:styleId="ssens">
    <w:name w:val="ssens"/>
    <w:basedOn w:val="DefaultParagraphFont"/>
    <w:rsid w:val="00251D76"/>
  </w:style>
  <w:style w:type="paragraph" w:customStyle="1" w:styleId="tSubsub">
    <w:name w:val="t_Subsub"/>
    <w:aliases w:val="paragraph(sub-sub)"/>
    <w:basedOn w:val="Normal"/>
    <w:rsid w:val="00D83401"/>
    <w:pPr>
      <w:tabs>
        <w:tab w:val="right" w:pos="2948"/>
      </w:tabs>
      <w:spacing w:after="100" w:line="260" w:lineRule="exact"/>
      <w:ind w:left="3119" w:hanging="3119"/>
      <w:jc w:val="both"/>
    </w:pPr>
    <w:rPr>
      <w:rFonts w:eastAsia="Times New Roman"/>
      <w:szCs w:val="24"/>
      <w:lang w:eastAsia="en-AU"/>
    </w:rPr>
  </w:style>
  <w:style w:type="character" w:customStyle="1" w:styleId="Heading6Char">
    <w:name w:val="Heading 6 Char"/>
    <w:basedOn w:val="DefaultParagraphFont"/>
    <w:link w:val="Heading6"/>
    <w:uiPriority w:val="9"/>
    <w:rsid w:val="005D1F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D1F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D1F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D1F2F"/>
    <w:rPr>
      <w:rFonts w:asciiTheme="majorHAnsi" w:eastAsiaTheme="majorEastAsia" w:hAnsiTheme="majorHAnsi" w:cstheme="majorBidi"/>
      <w:i/>
      <w:iCs/>
      <w:spacing w:val="5"/>
      <w:sz w:val="20"/>
      <w:szCs w:val="20"/>
    </w:rPr>
  </w:style>
  <w:style w:type="numbering" w:styleId="ArticleSection">
    <w:name w:val="Outline List 3"/>
    <w:basedOn w:val="NoList"/>
    <w:uiPriority w:val="99"/>
    <w:semiHidden/>
    <w:unhideWhenUsed/>
    <w:rsid w:val="00E123BB"/>
    <w:pPr>
      <w:numPr>
        <w:numId w:val="5"/>
      </w:numPr>
    </w:pPr>
  </w:style>
  <w:style w:type="paragraph" w:styleId="Revision">
    <w:name w:val="Revision"/>
    <w:hidden/>
    <w:uiPriority w:val="71"/>
    <w:rsid w:val="00055048"/>
  </w:style>
  <w:style w:type="character" w:styleId="EndnoteReference">
    <w:name w:val="endnote reference"/>
    <w:basedOn w:val="DefaultParagraphFont"/>
    <w:uiPriority w:val="99"/>
    <w:semiHidden/>
    <w:unhideWhenUsed/>
    <w:rsid w:val="00A95DE5"/>
    <w:rPr>
      <w:vertAlign w:val="superscript"/>
    </w:rPr>
  </w:style>
  <w:style w:type="paragraph" w:styleId="EndnoteText">
    <w:name w:val="endnote text"/>
    <w:basedOn w:val="Normal"/>
    <w:link w:val="EndnoteTextChar"/>
    <w:uiPriority w:val="99"/>
    <w:unhideWhenUsed/>
    <w:rsid w:val="00A95DE5"/>
    <w:pPr>
      <w:spacing w:after="0" w:line="240" w:lineRule="auto"/>
    </w:pPr>
    <w:rPr>
      <w:rFonts w:eastAsia="Times New Roman"/>
      <w:szCs w:val="20"/>
    </w:rPr>
  </w:style>
  <w:style w:type="character" w:customStyle="1" w:styleId="EndnoteTextChar">
    <w:name w:val="Endnote Text Char"/>
    <w:basedOn w:val="DefaultParagraphFont"/>
    <w:link w:val="EndnoteText"/>
    <w:uiPriority w:val="99"/>
    <w:rsid w:val="00A95DE5"/>
    <w:rPr>
      <w:rFonts w:eastAsia="Times New Roman"/>
      <w:sz w:val="22"/>
      <w:lang w:eastAsia="en-US"/>
    </w:rPr>
  </w:style>
  <w:style w:type="character" w:styleId="IntenseEmphasis">
    <w:name w:val="Intense Emphasis"/>
    <w:uiPriority w:val="21"/>
    <w:qFormat/>
    <w:rsid w:val="005D1F2F"/>
    <w:rPr>
      <w:b/>
      <w:bCs/>
    </w:rPr>
  </w:style>
  <w:style w:type="paragraph" w:styleId="TOCHeading">
    <w:name w:val="TOC Heading"/>
    <w:basedOn w:val="Heading1"/>
    <w:next w:val="Normal"/>
    <w:uiPriority w:val="39"/>
    <w:unhideWhenUsed/>
    <w:qFormat/>
    <w:rsid w:val="005D1F2F"/>
    <w:pPr>
      <w:outlineLvl w:val="9"/>
    </w:pPr>
  </w:style>
  <w:style w:type="paragraph" w:styleId="TOC1">
    <w:name w:val="toc 1"/>
    <w:basedOn w:val="Normal"/>
    <w:next w:val="Normal"/>
    <w:autoRedefine/>
    <w:uiPriority w:val="39"/>
    <w:unhideWhenUsed/>
    <w:rsid w:val="005D1F2F"/>
    <w:pPr>
      <w:spacing w:after="100"/>
    </w:pPr>
  </w:style>
  <w:style w:type="paragraph" w:styleId="Title">
    <w:name w:val="Title"/>
    <w:basedOn w:val="Normal"/>
    <w:next w:val="Normal"/>
    <w:link w:val="TitleChar"/>
    <w:uiPriority w:val="10"/>
    <w:qFormat/>
    <w:rsid w:val="005D1F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D1F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D1F2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5D1F2F"/>
    <w:rPr>
      <w:rFonts w:asciiTheme="majorHAnsi" w:eastAsiaTheme="majorEastAsia" w:hAnsiTheme="majorHAnsi" w:cstheme="majorBidi"/>
      <w:i/>
      <w:iCs/>
      <w:spacing w:val="13"/>
      <w:sz w:val="24"/>
      <w:szCs w:val="24"/>
    </w:rPr>
  </w:style>
  <w:style w:type="character" w:styleId="Strong">
    <w:name w:val="Strong"/>
    <w:uiPriority w:val="22"/>
    <w:qFormat/>
    <w:rsid w:val="005D1F2F"/>
    <w:rPr>
      <w:b/>
      <w:bCs/>
    </w:rPr>
  </w:style>
  <w:style w:type="character" w:styleId="Emphasis">
    <w:name w:val="Emphasis"/>
    <w:uiPriority w:val="20"/>
    <w:qFormat/>
    <w:rsid w:val="00DA603B"/>
    <w:rPr>
      <w:rFonts w:ascii="Times New Roman" w:hAnsi="Times New Roman"/>
      <w:b/>
      <w:bCs/>
      <w:i/>
      <w:iCs/>
      <w:spacing w:val="0"/>
      <w:sz w:val="20"/>
      <w:bdr w:val="none" w:sz="0" w:space="0" w:color="auto"/>
      <w:shd w:val="clear" w:color="auto" w:fill="auto"/>
    </w:rPr>
  </w:style>
  <w:style w:type="paragraph" w:styleId="NoSpacing">
    <w:name w:val="No Spacing"/>
    <w:basedOn w:val="Normal"/>
    <w:uiPriority w:val="1"/>
    <w:qFormat/>
    <w:rsid w:val="005D1F2F"/>
    <w:pPr>
      <w:spacing w:after="0" w:line="240" w:lineRule="auto"/>
    </w:pPr>
  </w:style>
  <w:style w:type="paragraph" w:styleId="Quote">
    <w:name w:val="Quote"/>
    <w:basedOn w:val="Normal"/>
    <w:next w:val="Normal"/>
    <w:link w:val="QuoteChar"/>
    <w:uiPriority w:val="29"/>
    <w:qFormat/>
    <w:rsid w:val="006A2BF9"/>
    <w:pPr>
      <w:spacing w:before="200" w:after="240" w:line="240" w:lineRule="auto"/>
      <w:ind w:left="1758" w:right="357"/>
    </w:pPr>
    <w:rPr>
      <w:rFonts w:cs="Times New Roman"/>
      <w:iCs/>
      <w:sz w:val="22"/>
      <w:lang w:val="en-AU"/>
    </w:rPr>
  </w:style>
  <w:style w:type="character" w:customStyle="1" w:styleId="QuoteChar">
    <w:name w:val="Quote Char"/>
    <w:basedOn w:val="DefaultParagraphFont"/>
    <w:link w:val="Quote"/>
    <w:uiPriority w:val="29"/>
    <w:rsid w:val="006A2BF9"/>
    <w:rPr>
      <w:rFonts w:ascii="Times New Roman" w:hAnsi="Times New Roman" w:cs="Times New Roman"/>
      <w:iCs/>
      <w:lang w:val="en-AU"/>
    </w:rPr>
  </w:style>
  <w:style w:type="paragraph" w:styleId="IntenseQuote">
    <w:name w:val="Intense Quote"/>
    <w:basedOn w:val="Normal"/>
    <w:next w:val="Normal"/>
    <w:link w:val="IntenseQuoteChar"/>
    <w:uiPriority w:val="30"/>
    <w:qFormat/>
    <w:rsid w:val="005D1F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D1F2F"/>
    <w:rPr>
      <w:b/>
      <w:bCs/>
      <w:i/>
      <w:iCs/>
    </w:rPr>
  </w:style>
  <w:style w:type="character" w:styleId="SubtleEmphasis">
    <w:name w:val="Subtle Emphasis"/>
    <w:uiPriority w:val="19"/>
    <w:qFormat/>
    <w:rsid w:val="005D1F2F"/>
    <w:rPr>
      <w:i/>
      <w:iCs/>
    </w:rPr>
  </w:style>
  <w:style w:type="character" w:styleId="SubtleReference">
    <w:name w:val="Subtle Reference"/>
    <w:uiPriority w:val="31"/>
    <w:qFormat/>
    <w:rsid w:val="005D1F2F"/>
    <w:rPr>
      <w:smallCaps/>
    </w:rPr>
  </w:style>
  <w:style w:type="character" w:styleId="IntenseReference">
    <w:name w:val="Intense Reference"/>
    <w:uiPriority w:val="32"/>
    <w:qFormat/>
    <w:rsid w:val="005D1F2F"/>
    <w:rPr>
      <w:smallCaps/>
      <w:spacing w:val="5"/>
      <w:u w:val="single"/>
    </w:rPr>
  </w:style>
  <w:style w:type="character" w:styleId="BookTitle">
    <w:name w:val="Book Title"/>
    <w:uiPriority w:val="33"/>
    <w:qFormat/>
    <w:rsid w:val="005D1F2F"/>
    <w:rPr>
      <w:i/>
      <w:iCs/>
      <w:smallCaps/>
      <w:spacing w:val="5"/>
    </w:rPr>
  </w:style>
  <w:style w:type="paragraph" w:styleId="TOC2">
    <w:name w:val="toc 2"/>
    <w:basedOn w:val="Normal"/>
    <w:next w:val="Normal"/>
    <w:autoRedefine/>
    <w:uiPriority w:val="39"/>
    <w:unhideWhenUsed/>
    <w:rsid w:val="009D189D"/>
    <w:pPr>
      <w:spacing w:after="100"/>
      <w:ind w:left="220"/>
    </w:pPr>
  </w:style>
  <w:style w:type="paragraph" w:styleId="TOC3">
    <w:name w:val="toc 3"/>
    <w:basedOn w:val="Normal"/>
    <w:next w:val="Normal"/>
    <w:autoRedefine/>
    <w:uiPriority w:val="39"/>
    <w:unhideWhenUsed/>
    <w:rsid w:val="009D189D"/>
    <w:pPr>
      <w:spacing w:after="100"/>
      <w:ind w:left="440"/>
    </w:pPr>
  </w:style>
  <w:style w:type="paragraph" w:customStyle="1" w:styleId="ChapterHeading">
    <w:name w:val="Chapter Heading"/>
    <w:next w:val="Heading2"/>
    <w:rsid w:val="00DE21E9"/>
    <w:pPr>
      <w:numPr>
        <w:numId w:val="7"/>
      </w:num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val="en-AU" w:eastAsia="en-AU" w:bidi="ar-SA"/>
    </w:rPr>
  </w:style>
  <w:style w:type="paragraph" w:customStyle="1" w:styleId="TableHeadingoutsidetable">
    <w:name w:val="Table Heading (outside table)"/>
    <w:basedOn w:val="Heading4"/>
    <w:rsid w:val="00DE21E9"/>
    <w:pPr>
      <w:numPr>
        <w:ilvl w:val="4"/>
        <w:numId w:val="7"/>
      </w:numPr>
      <w:spacing w:before="120" w:after="120" w:line="240" w:lineRule="auto"/>
    </w:pPr>
    <w:rPr>
      <w:rFonts w:eastAsia="Times New Roman" w:cs="Times New Roman"/>
      <w:bCs w:val="0"/>
      <w:i w:val="0"/>
      <w:iCs w:val="0"/>
      <w:szCs w:val="20"/>
      <w:lang w:val="en-AU" w:eastAsia="en-AU" w:bidi="ar-SA"/>
    </w:rPr>
  </w:style>
  <w:style w:type="paragraph" w:customStyle="1" w:styleId="base-text-paragraph">
    <w:name w:val="base-text-paragraph"/>
    <w:basedOn w:val="Normal"/>
    <w:link w:val="base-text-paragraphChar"/>
    <w:rsid w:val="00DE21E9"/>
    <w:pPr>
      <w:numPr>
        <w:ilvl w:val="1"/>
        <w:numId w:val="7"/>
      </w:numPr>
      <w:spacing w:after="120" w:line="240" w:lineRule="auto"/>
    </w:pPr>
    <w:rPr>
      <w:rFonts w:eastAsia="Times New Roman" w:cs="Times New Roman"/>
      <w:szCs w:val="20"/>
      <w:lang w:val="en-AU" w:eastAsia="en-AU" w:bidi="ar-SA"/>
    </w:rPr>
  </w:style>
  <w:style w:type="paragraph" w:customStyle="1" w:styleId="ExampleHeading">
    <w:name w:val="Example Heading"/>
    <w:basedOn w:val="Normal"/>
    <w:next w:val="Normal"/>
    <w:rsid w:val="00DE21E9"/>
    <w:pPr>
      <w:keepNext/>
      <w:numPr>
        <w:ilvl w:val="3"/>
        <w:numId w:val="7"/>
      </w:numPr>
      <w:spacing w:after="120" w:line="240" w:lineRule="auto"/>
    </w:pPr>
    <w:rPr>
      <w:rFonts w:eastAsia="Times New Roman" w:cs="Times New Roman"/>
      <w:b/>
      <w:szCs w:val="20"/>
      <w:lang w:val="en-AU" w:eastAsia="en-AU" w:bidi="ar-SA"/>
    </w:rPr>
  </w:style>
  <w:style w:type="paragraph" w:customStyle="1" w:styleId="Diagram">
    <w:name w:val="Diagram"/>
    <w:basedOn w:val="Normal"/>
    <w:next w:val="Normal"/>
    <w:rsid w:val="00DE21E9"/>
    <w:pPr>
      <w:keepNext/>
      <w:numPr>
        <w:ilvl w:val="2"/>
        <w:numId w:val="7"/>
      </w:numPr>
      <w:spacing w:after="0" w:line="240" w:lineRule="auto"/>
    </w:pPr>
    <w:rPr>
      <w:rFonts w:eastAsia="Times New Roman" w:cs="Times New Roman"/>
      <w:b/>
      <w:szCs w:val="20"/>
      <w:lang w:val="en-AU" w:eastAsia="en-AU" w:bidi="ar-SA"/>
    </w:rPr>
  </w:style>
  <w:style w:type="character" w:customStyle="1" w:styleId="base-text-paragraphChar">
    <w:name w:val="base-text-paragraph Char"/>
    <w:basedOn w:val="DefaultParagraphFont"/>
    <w:link w:val="base-text-paragraph"/>
    <w:rsid w:val="00DE21E9"/>
    <w:rPr>
      <w:rFonts w:ascii="Times New Roman" w:eastAsia="Times New Roman" w:hAnsi="Times New Roman" w:cs="Times New Roman"/>
      <w:sz w:val="24"/>
      <w:szCs w:val="20"/>
      <w:lang w:val="en-AU" w:eastAsia="en-AU" w:bidi="ar-SA"/>
    </w:rPr>
  </w:style>
  <w:style w:type="numbering" w:customStyle="1" w:styleId="ChapterList">
    <w:name w:val="ChapterList"/>
    <w:uiPriority w:val="99"/>
    <w:rsid w:val="00DE21E9"/>
    <w:pPr>
      <w:numPr>
        <w:numId w:val="6"/>
      </w:numPr>
    </w:pPr>
  </w:style>
  <w:style w:type="paragraph" w:styleId="ListBullet">
    <w:name w:val="List Bullet"/>
    <w:basedOn w:val="Normal"/>
    <w:uiPriority w:val="99"/>
    <w:unhideWhenUsed/>
    <w:qFormat/>
    <w:rsid w:val="00422E09"/>
    <w:pPr>
      <w:numPr>
        <w:numId w:val="8"/>
      </w:numPr>
      <w:spacing w:after="120" w:line="240" w:lineRule="auto"/>
      <w:ind w:left="1673"/>
    </w:pPr>
    <w:rPr>
      <w:rFonts w:eastAsia="Calibri" w:cs="Times New Roman"/>
      <w:szCs w:val="24"/>
      <w:lang w:val="en-AU" w:bidi="ar-SA"/>
    </w:rPr>
  </w:style>
  <w:style w:type="paragraph" w:styleId="ListBullet2">
    <w:name w:val="List Bullet 2"/>
    <w:basedOn w:val="Normal"/>
    <w:uiPriority w:val="99"/>
    <w:unhideWhenUsed/>
    <w:rsid w:val="00BC57DF"/>
    <w:pPr>
      <w:numPr>
        <w:ilvl w:val="1"/>
        <w:numId w:val="8"/>
      </w:numPr>
    </w:pPr>
    <w:rPr>
      <w:rFonts w:ascii="Arial" w:eastAsia="Calibri" w:hAnsi="Arial" w:cs="Times New Roman"/>
      <w:lang w:val="en-AU" w:bidi="ar-SA"/>
    </w:rPr>
  </w:style>
  <w:style w:type="paragraph" w:styleId="ListBullet3">
    <w:name w:val="List Bullet 3"/>
    <w:basedOn w:val="Normal"/>
    <w:uiPriority w:val="99"/>
    <w:unhideWhenUsed/>
    <w:rsid w:val="00BC57DF"/>
    <w:pPr>
      <w:numPr>
        <w:ilvl w:val="2"/>
        <w:numId w:val="8"/>
      </w:numPr>
    </w:pPr>
    <w:rPr>
      <w:rFonts w:ascii="Arial" w:eastAsia="Calibri" w:hAnsi="Arial" w:cs="Times New Roman"/>
      <w:lang w:val="en-AU" w:bidi="ar-SA"/>
    </w:rPr>
  </w:style>
  <w:style w:type="paragraph" w:styleId="ListBullet4">
    <w:name w:val="List Bullet 4"/>
    <w:basedOn w:val="Normal"/>
    <w:uiPriority w:val="99"/>
    <w:unhideWhenUsed/>
    <w:rsid w:val="00BC57DF"/>
    <w:pPr>
      <w:numPr>
        <w:ilvl w:val="3"/>
        <w:numId w:val="8"/>
      </w:numPr>
    </w:pPr>
    <w:rPr>
      <w:rFonts w:ascii="Arial" w:eastAsia="Calibri" w:hAnsi="Arial" w:cs="Times New Roman"/>
      <w:lang w:val="en-AU" w:bidi="ar-SA"/>
    </w:rPr>
  </w:style>
  <w:style w:type="paragraph" w:styleId="ListBullet5">
    <w:name w:val="List Bullet 5"/>
    <w:basedOn w:val="Normal"/>
    <w:uiPriority w:val="99"/>
    <w:unhideWhenUsed/>
    <w:rsid w:val="00BC57DF"/>
    <w:pPr>
      <w:numPr>
        <w:ilvl w:val="4"/>
        <w:numId w:val="8"/>
      </w:numPr>
    </w:pPr>
    <w:rPr>
      <w:rFonts w:ascii="Arial" w:eastAsia="Calibri" w:hAnsi="Arial" w:cs="Times New Roman"/>
      <w:lang w:val="en-AU" w:bidi="ar-SA"/>
    </w:rPr>
  </w:style>
  <w:style w:type="paragraph" w:customStyle="1" w:styleId="base-text-paragraphnonumbers">
    <w:name w:val="base-text-paragraphnonumbers"/>
    <w:basedOn w:val="Normal"/>
    <w:rsid w:val="003057E6"/>
    <w:pPr>
      <w:spacing w:before="100" w:beforeAutospacing="1" w:after="100" w:afterAutospacing="1" w:line="240" w:lineRule="auto"/>
    </w:pPr>
    <w:rPr>
      <w:rFonts w:eastAsia="Times New Roman" w:cs="Times New Roman"/>
      <w:szCs w:val="24"/>
      <w:lang w:val="en-AU" w:eastAsia="en-AU" w:bidi="ar-SA"/>
    </w:rPr>
  </w:style>
  <w:style w:type="character" w:customStyle="1" w:styleId="ListParagraphChar">
    <w:name w:val="List Paragraph Char"/>
    <w:link w:val="ListParagraph"/>
    <w:uiPriority w:val="34"/>
    <w:rsid w:val="00625D31"/>
    <w:rPr>
      <w:rFonts w:ascii="Times New Roman" w:hAnsi="Times New Roman" w:cs="Times New Roman"/>
      <w:iCs/>
      <w:sz w:val="24"/>
      <w:szCs w:val="24"/>
    </w:rPr>
  </w:style>
  <w:style w:type="paragraph" w:customStyle="1" w:styleId="h6Subsec">
    <w:name w:val="h6_Subsec"/>
    <w:aliases w:val="SubsectionHead,ssh"/>
    <w:basedOn w:val="Normal"/>
    <w:next w:val="tMain"/>
    <w:rsid w:val="00A14459"/>
    <w:pPr>
      <w:keepNext/>
      <w:keepLines/>
      <w:spacing w:before="240" w:after="0" w:line="240" w:lineRule="auto"/>
      <w:ind w:left="1134"/>
    </w:pPr>
    <w:rPr>
      <w:rFonts w:eastAsia="Times New Roman" w:cs="Times New Roman"/>
      <w:i/>
      <w:szCs w:val="20"/>
      <w:lang w:val="en-AU" w:eastAsia="en-AU" w:bidi="ar-SA"/>
    </w:rPr>
  </w:style>
  <w:style w:type="character" w:customStyle="1" w:styleId="subsectionChar">
    <w:name w:val="subsection Char"/>
    <w:aliases w:val="ss Char"/>
    <w:link w:val="tMain"/>
    <w:locked/>
    <w:rsid w:val="00A14459"/>
    <w:rPr>
      <w:rFonts w:ascii="Times New Roman" w:eastAsia="Times New Roman" w:hAnsi="Times New Roman"/>
      <w:sz w:val="24"/>
      <w:szCs w:val="24"/>
      <w:lang w:eastAsia="en-AU"/>
    </w:rPr>
  </w:style>
  <w:style w:type="character" w:customStyle="1" w:styleId="paragraphChar">
    <w:name w:val="paragraph Char"/>
    <w:aliases w:val="a Char"/>
    <w:link w:val="tPara"/>
    <w:rsid w:val="00A14459"/>
    <w:rPr>
      <w:rFonts w:ascii="Times New Roman" w:eastAsia="Times New Roman" w:hAnsi="Times New Roman"/>
      <w:sz w:val="24"/>
      <w:szCs w:val="24"/>
      <w:lang w:eastAsia="en-AU"/>
    </w:rPr>
  </w:style>
  <w:style w:type="numbering" w:customStyle="1" w:styleId="BulletList">
    <w:name w:val="Bullet List"/>
    <w:uiPriority w:val="99"/>
    <w:rsid w:val="007E67A7"/>
    <w:pPr>
      <w:numPr>
        <w:numId w:val="9"/>
      </w:numPr>
    </w:pPr>
  </w:style>
  <w:style w:type="paragraph" w:customStyle="1" w:styleId="shortt">
    <w:name w:val="shortt"/>
    <w:basedOn w:val="Normal"/>
    <w:rsid w:val="00931A20"/>
    <w:pPr>
      <w:spacing w:before="100" w:beforeAutospacing="1" w:after="100" w:afterAutospacing="1" w:line="240" w:lineRule="auto"/>
    </w:pPr>
    <w:rPr>
      <w:rFonts w:eastAsia="Times New Roman" w:cs="Times New Roman"/>
      <w:szCs w:val="24"/>
      <w:lang w:val="en-AU" w:eastAsia="en-AU" w:bidi="ar-SA"/>
    </w:rPr>
  </w:style>
  <w:style w:type="character" w:styleId="PlaceholderText">
    <w:name w:val="Placeholder Text"/>
    <w:basedOn w:val="DefaultParagraphFont"/>
    <w:uiPriority w:val="67"/>
    <w:rsid w:val="00F6409D"/>
    <w:rPr>
      <w:color w:val="808080"/>
    </w:rPr>
  </w:style>
  <w:style w:type="paragraph" w:customStyle="1" w:styleId="sbContents">
    <w:name w:val="sb_Contents"/>
    <w:basedOn w:val="Normal"/>
    <w:qFormat/>
    <w:rsid w:val="00FE1624"/>
    <w:pPr>
      <w:spacing w:after="0" w:line="160" w:lineRule="exact"/>
    </w:pPr>
    <w:rPr>
      <w:rFonts w:eastAsia="Calibri" w:cs="Times New Roman"/>
      <w:sz w:val="16"/>
      <w:szCs w:val="20"/>
      <w:lang w:val="en-AU" w:bidi="ar-SA"/>
    </w:rPr>
  </w:style>
  <w:style w:type="paragraph" w:customStyle="1" w:styleId="base-text-paragraphnonumbers0">
    <w:name w:val="base-text-paragraph no numbers"/>
    <w:basedOn w:val="Normal"/>
    <w:rsid w:val="0097727B"/>
    <w:pPr>
      <w:spacing w:after="120" w:line="240" w:lineRule="auto"/>
      <w:ind w:left="1134"/>
    </w:pPr>
    <w:rPr>
      <w:rFonts w:eastAsia="Times New Roman" w:cs="Times New Roman"/>
      <w:lang w:val="en-AU" w:eastAsia="en-AU" w:bidi="ar-SA"/>
    </w:rPr>
  </w:style>
  <w:style w:type="paragraph" w:customStyle="1" w:styleId="h5SchItem">
    <w:name w:val="h5_Sch_Item"/>
    <w:basedOn w:val="Normal"/>
    <w:next w:val="Normal"/>
    <w:qFormat/>
    <w:rsid w:val="00BC57DF"/>
    <w:pPr>
      <w:keepNext/>
      <w:keepLines/>
      <w:spacing w:before="360" w:after="60" w:line="240" w:lineRule="auto"/>
      <w:ind w:left="964" w:hanging="964"/>
    </w:pPr>
    <w:rPr>
      <w:rFonts w:ascii="Arial" w:eastAsia="Times New Roman" w:hAnsi="Arial" w:cs="Arial"/>
      <w:b/>
      <w:bCs/>
      <w:kern w:val="32"/>
      <w:szCs w:val="32"/>
      <w:lang w:val="en-AU" w:eastAsia="en-AU" w:bidi="ar-SA"/>
    </w:rPr>
  </w:style>
  <w:style w:type="paragraph" w:customStyle="1" w:styleId="nMain">
    <w:name w:val="n_Main"/>
    <w:basedOn w:val="Normal"/>
    <w:qFormat/>
    <w:rsid w:val="00BC57DF"/>
    <w:pPr>
      <w:keepLines/>
      <w:tabs>
        <w:tab w:val="right" w:pos="1531"/>
      </w:tabs>
      <w:spacing w:after="100" w:line="220" w:lineRule="exact"/>
      <w:ind w:left="1701" w:hanging="1701"/>
    </w:pPr>
    <w:rPr>
      <w:rFonts w:eastAsia="Calibri" w:cs="Arial"/>
      <w:iCs/>
      <w:sz w:val="20"/>
      <w:lang w:val="en-AU" w:bidi="ar-SA"/>
    </w:rPr>
  </w:style>
  <w:style w:type="paragraph" w:customStyle="1" w:styleId="h1Chap">
    <w:name w:val="h1_Chap"/>
    <w:aliases w:val="ActHead 1"/>
    <w:basedOn w:val="Normal"/>
    <w:next w:val="Normal"/>
    <w:qFormat/>
    <w:rsid w:val="00BC57DF"/>
    <w:pPr>
      <w:keepNext/>
      <w:keepLines/>
      <w:spacing w:after="0" w:line="240" w:lineRule="auto"/>
      <w:ind w:left="1134" w:hanging="1134"/>
      <w:outlineLvl w:val="0"/>
    </w:pPr>
    <w:rPr>
      <w:rFonts w:eastAsia="Times New Roman" w:cs="Times New Roman"/>
      <w:b/>
      <w:kern w:val="28"/>
      <w:sz w:val="36"/>
      <w:szCs w:val="20"/>
      <w:lang w:val="en-AU" w:eastAsia="en-AU" w:bidi="ar-SA"/>
    </w:rPr>
  </w:style>
  <w:style w:type="paragraph" w:customStyle="1" w:styleId="ttSigDate">
    <w:name w:val="tt_Sig_Date"/>
    <w:basedOn w:val="Normal"/>
    <w:qFormat/>
    <w:rsid w:val="005F0FC6"/>
    <w:pPr>
      <w:tabs>
        <w:tab w:val="left" w:pos="2220"/>
      </w:tabs>
      <w:spacing w:before="300" w:after="1000" w:line="300" w:lineRule="atLeast"/>
    </w:pPr>
    <w:rPr>
      <w:rFonts w:eastAsia="Calibri" w:cs="Times New Roman"/>
      <w:szCs w:val="20"/>
      <w:lang w:val="en-AU" w:bidi="ar-SA"/>
    </w:rPr>
  </w:style>
  <w:style w:type="paragraph" w:customStyle="1" w:styleId="Level1">
    <w:name w:val="Level 1"/>
    <w:basedOn w:val="Normal"/>
    <w:rsid w:val="00F44A00"/>
    <w:pPr>
      <w:numPr>
        <w:numId w:val="12"/>
      </w:numPr>
      <w:spacing w:after="140" w:line="280" w:lineRule="atLeast"/>
      <w:outlineLvl w:val="0"/>
    </w:pPr>
    <w:rPr>
      <w:rFonts w:eastAsia="Times New Roman" w:cs="Angsana New"/>
      <w:szCs w:val="24"/>
      <w:lang w:eastAsia="zh-CN" w:bidi="th-TH"/>
    </w:rPr>
  </w:style>
  <w:style w:type="paragraph" w:customStyle="1" w:styleId="Level2">
    <w:name w:val="Level 2"/>
    <w:basedOn w:val="Normal"/>
    <w:rsid w:val="00F44A00"/>
    <w:pPr>
      <w:numPr>
        <w:ilvl w:val="1"/>
        <w:numId w:val="12"/>
      </w:numPr>
      <w:tabs>
        <w:tab w:val="clear" w:pos="1361"/>
      </w:tabs>
      <w:spacing w:after="140" w:line="280" w:lineRule="atLeast"/>
      <w:outlineLvl w:val="1"/>
    </w:pPr>
    <w:rPr>
      <w:rFonts w:eastAsia="Times New Roman" w:cs="Angsana New"/>
      <w:szCs w:val="24"/>
      <w:lang w:eastAsia="zh-CN" w:bidi="th-TH"/>
    </w:rPr>
  </w:style>
  <w:style w:type="paragraph" w:customStyle="1" w:styleId="Level3">
    <w:name w:val="Level 3"/>
    <w:basedOn w:val="Normal"/>
    <w:rsid w:val="00F44A00"/>
    <w:pPr>
      <w:numPr>
        <w:ilvl w:val="2"/>
        <w:numId w:val="12"/>
      </w:numPr>
      <w:tabs>
        <w:tab w:val="clear" w:pos="2041"/>
      </w:tabs>
      <w:spacing w:after="140" w:line="280" w:lineRule="atLeast"/>
      <w:outlineLvl w:val="2"/>
    </w:pPr>
    <w:rPr>
      <w:rFonts w:eastAsia="Times New Roman" w:cs="Angsana New"/>
      <w:szCs w:val="24"/>
      <w:lang w:eastAsia="zh-CN" w:bidi="th-TH"/>
    </w:rPr>
  </w:style>
  <w:style w:type="table" w:customStyle="1" w:styleId="TableGrid1">
    <w:name w:val="Table Grid1"/>
    <w:basedOn w:val="TableNormal"/>
    <w:next w:val="TableGrid"/>
    <w:uiPriority w:val="59"/>
    <w:rsid w:val="00BC45A8"/>
    <w:pPr>
      <w:spacing w:after="0" w:line="240" w:lineRule="auto"/>
    </w:pPr>
    <w:rPr>
      <w:rFonts w:eastAsia="Calibri"/>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next w:val="LightList-Accent12"/>
    <w:uiPriority w:val="61"/>
    <w:rsid w:val="00BC45A8"/>
    <w:pPr>
      <w:spacing w:after="0" w:line="240" w:lineRule="auto"/>
    </w:pPr>
    <w:rPr>
      <w:rFonts w:eastAsia="Calibri"/>
      <w:lang w:val="en-AU"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6"/>
    <w:rsid w:val="00BC45A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Para">
    <w:name w:val="n_Para"/>
    <w:basedOn w:val="Normal"/>
    <w:qFormat/>
    <w:rsid w:val="00EC52BA"/>
    <w:pPr>
      <w:keepLines/>
      <w:tabs>
        <w:tab w:val="right" w:pos="2211"/>
      </w:tabs>
      <w:spacing w:before="0" w:after="100" w:line="220" w:lineRule="exact"/>
      <w:ind w:left="2410" w:hanging="2410"/>
    </w:pPr>
    <w:rPr>
      <w:rFonts w:eastAsia="Calibri" w:cs="Times New Roman"/>
      <w:sz w:val="20"/>
      <w:szCs w:val="20"/>
      <w:lang w:val="en-AU" w:bidi="ar-SA"/>
    </w:rPr>
  </w:style>
  <w:style w:type="character" w:customStyle="1" w:styleId="CharPartText">
    <w:name w:val="CharPartText"/>
    <w:basedOn w:val="DefaultParagraphFont"/>
    <w:uiPriority w:val="1"/>
    <w:qFormat/>
    <w:rsid w:val="00EC52BA"/>
  </w:style>
</w:styles>
</file>

<file path=word/webSettings.xml><?xml version="1.0" encoding="utf-8"?>
<w:webSettings xmlns:r="http://schemas.openxmlformats.org/officeDocument/2006/relationships" xmlns:w="http://schemas.openxmlformats.org/wordprocessingml/2006/main">
  <w:divs>
    <w:div w:id="104732137">
      <w:bodyDiv w:val="1"/>
      <w:marLeft w:val="0"/>
      <w:marRight w:val="0"/>
      <w:marTop w:val="0"/>
      <w:marBottom w:val="0"/>
      <w:divBdr>
        <w:top w:val="none" w:sz="0" w:space="0" w:color="auto"/>
        <w:left w:val="none" w:sz="0" w:space="0" w:color="auto"/>
        <w:bottom w:val="none" w:sz="0" w:space="0" w:color="auto"/>
        <w:right w:val="none" w:sz="0" w:space="0" w:color="auto"/>
      </w:divBdr>
      <w:divsChild>
        <w:div w:id="314380559">
          <w:marLeft w:val="0"/>
          <w:marRight w:val="0"/>
          <w:marTop w:val="0"/>
          <w:marBottom w:val="0"/>
          <w:divBdr>
            <w:top w:val="none" w:sz="0" w:space="0" w:color="auto"/>
            <w:left w:val="none" w:sz="0" w:space="0" w:color="auto"/>
            <w:bottom w:val="none" w:sz="0" w:space="0" w:color="auto"/>
            <w:right w:val="none" w:sz="0" w:space="0" w:color="auto"/>
          </w:divBdr>
          <w:divsChild>
            <w:div w:id="1990279093">
              <w:marLeft w:val="0"/>
              <w:marRight w:val="0"/>
              <w:marTop w:val="0"/>
              <w:marBottom w:val="0"/>
              <w:divBdr>
                <w:top w:val="none" w:sz="0" w:space="0" w:color="auto"/>
                <w:left w:val="none" w:sz="0" w:space="0" w:color="auto"/>
                <w:bottom w:val="none" w:sz="0" w:space="0" w:color="auto"/>
                <w:right w:val="none" w:sz="0" w:space="0" w:color="auto"/>
              </w:divBdr>
              <w:divsChild>
                <w:div w:id="331372049">
                  <w:marLeft w:val="0"/>
                  <w:marRight w:val="0"/>
                  <w:marTop w:val="0"/>
                  <w:marBottom w:val="0"/>
                  <w:divBdr>
                    <w:top w:val="none" w:sz="0" w:space="0" w:color="auto"/>
                    <w:left w:val="none" w:sz="0" w:space="0" w:color="auto"/>
                    <w:bottom w:val="none" w:sz="0" w:space="0" w:color="auto"/>
                    <w:right w:val="none" w:sz="0" w:space="0" w:color="auto"/>
                  </w:divBdr>
                  <w:divsChild>
                    <w:div w:id="1137799076">
                      <w:marLeft w:val="0"/>
                      <w:marRight w:val="0"/>
                      <w:marTop w:val="0"/>
                      <w:marBottom w:val="0"/>
                      <w:divBdr>
                        <w:top w:val="none" w:sz="0" w:space="0" w:color="auto"/>
                        <w:left w:val="none" w:sz="0" w:space="0" w:color="auto"/>
                        <w:bottom w:val="none" w:sz="0" w:space="0" w:color="auto"/>
                        <w:right w:val="none" w:sz="0" w:space="0" w:color="auto"/>
                      </w:divBdr>
                      <w:divsChild>
                        <w:div w:id="468283568">
                          <w:marLeft w:val="0"/>
                          <w:marRight w:val="0"/>
                          <w:marTop w:val="0"/>
                          <w:marBottom w:val="0"/>
                          <w:divBdr>
                            <w:top w:val="single" w:sz="4" w:space="0" w:color="828282"/>
                            <w:left w:val="single" w:sz="4" w:space="0" w:color="828282"/>
                            <w:bottom w:val="single" w:sz="4" w:space="0" w:color="828282"/>
                            <w:right w:val="single" w:sz="4" w:space="0" w:color="828282"/>
                          </w:divBdr>
                          <w:divsChild>
                            <w:div w:id="1464347802">
                              <w:marLeft w:val="0"/>
                              <w:marRight w:val="0"/>
                              <w:marTop w:val="0"/>
                              <w:marBottom w:val="0"/>
                              <w:divBdr>
                                <w:top w:val="none" w:sz="0" w:space="0" w:color="auto"/>
                                <w:left w:val="none" w:sz="0" w:space="0" w:color="auto"/>
                                <w:bottom w:val="none" w:sz="0" w:space="0" w:color="auto"/>
                                <w:right w:val="none" w:sz="0" w:space="0" w:color="auto"/>
                              </w:divBdr>
                              <w:divsChild>
                                <w:div w:id="753094040">
                                  <w:marLeft w:val="0"/>
                                  <w:marRight w:val="0"/>
                                  <w:marTop w:val="0"/>
                                  <w:marBottom w:val="0"/>
                                  <w:divBdr>
                                    <w:top w:val="none" w:sz="0" w:space="0" w:color="auto"/>
                                    <w:left w:val="none" w:sz="0" w:space="0" w:color="auto"/>
                                    <w:bottom w:val="none" w:sz="0" w:space="0" w:color="auto"/>
                                    <w:right w:val="none" w:sz="0" w:space="0" w:color="auto"/>
                                  </w:divBdr>
                                  <w:divsChild>
                                    <w:div w:id="1211964135">
                                      <w:marLeft w:val="0"/>
                                      <w:marRight w:val="0"/>
                                      <w:marTop w:val="0"/>
                                      <w:marBottom w:val="0"/>
                                      <w:divBdr>
                                        <w:top w:val="none" w:sz="0" w:space="0" w:color="auto"/>
                                        <w:left w:val="none" w:sz="0" w:space="0" w:color="auto"/>
                                        <w:bottom w:val="none" w:sz="0" w:space="0" w:color="auto"/>
                                        <w:right w:val="none" w:sz="0" w:space="0" w:color="auto"/>
                                      </w:divBdr>
                                      <w:divsChild>
                                        <w:div w:id="43214820">
                                          <w:marLeft w:val="0"/>
                                          <w:marRight w:val="0"/>
                                          <w:marTop w:val="0"/>
                                          <w:marBottom w:val="0"/>
                                          <w:divBdr>
                                            <w:top w:val="none" w:sz="0" w:space="0" w:color="auto"/>
                                            <w:left w:val="none" w:sz="0" w:space="0" w:color="auto"/>
                                            <w:bottom w:val="none" w:sz="0" w:space="0" w:color="auto"/>
                                            <w:right w:val="none" w:sz="0" w:space="0" w:color="auto"/>
                                          </w:divBdr>
                                          <w:divsChild>
                                            <w:div w:id="1775006241">
                                              <w:marLeft w:val="0"/>
                                              <w:marRight w:val="0"/>
                                              <w:marTop w:val="0"/>
                                              <w:marBottom w:val="0"/>
                                              <w:divBdr>
                                                <w:top w:val="none" w:sz="0" w:space="0" w:color="auto"/>
                                                <w:left w:val="none" w:sz="0" w:space="0" w:color="auto"/>
                                                <w:bottom w:val="none" w:sz="0" w:space="0" w:color="auto"/>
                                                <w:right w:val="none" w:sz="0" w:space="0" w:color="auto"/>
                                              </w:divBdr>
                                              <w:divsChild>
                                                <w:div w:id="1356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35720">
      <w:bodyDiv w:val="1"/>
      <w:marLeft w:val="0"/>
      <w:marRight w:val="0"/>
      <w:marTop w:val="0"/>
      <w:marBottom w:val="0"/>
      <w:divBdr>
        <w:top w:val="none" w:sz="0" w:space="0" w:color="auto"/>
        <w:left w:val="none" w:sz="0" w:space="0" w:color="auto"/>
        <w:bottom w:val="none" w:sz="0" w:space="0" w:color="auto"/>
        <w:right w:val="none" w:sz="0" w:space="0" w:color="auto"/>
      </w:divBdr>
      <w:divsChild>
        <w:div w:id="1858691199">
          <w:marLeft w:val="0"/>
          <w:marRight w:val="0"/>
          <w:marTop w:val="0"/>
          <w:marBottom w:val="0"/>
          <w:divBdr>
            <w:top w:val="none" w:sz="0" w:space="0" w:color="auto"/>
            <w:left w:val="none" w:sz="0" w:space="0" w:color="auto"/>
            <w:bottom w:val="none" w:sz="0" w:space="0" w:color="auto"/>
            <w:right w:val="none" w:sz="0" w:space="0" w:color="auto"/>
          </w:divBdr>
          <w:divsChild>
            <w:div w:id="958879453">
              <w:marLeft w:val="-204"/>
              <w:marRight w:val="-204"/>
              <w:marTop w:val="0"/>
              <w:marBottom w:val="0"/>
              <w:divBdr>
                <w:top w:val="none" w:sz="0" w:space="0" w:color="auto"/>
                <w:left w:val="none" w:sz="0" w:space="0" w:color="auto"/>
                <w:bottom w:val="none" w:sz="0" w:space="0" w:color="auto"/>
                <w:right w:val="none" w:sz="0" w:space="0" w:color="auto"/>
              </w:divBdr>
              <w:divsChild>
                <w:div w:id="1431775923">
                  <w:marLeft w:val="-204"/>
                  <w:marRight w:val="-204"/>
                  <w:marTop w:val="0"/>
                  <w:marBottom w:val="0"/>
                  <w:divBdr>
                    <w:top w:val="none" w:sz="0" w:space="0" w:color="auto"/>
                    <w:left w:val="none" w:sz="0" w:space="0" w:color="auto"/>
                    <w:bottom w:val="none" w:sz="0" w:space="0" w:color="auto"/>
                    <w:right w:val="none" w:sz="0" w:space="0" w:color="auto"/>
                  </w:divBdr>
                  <w:divsChild>
                    <w:div w:id="428745983">
                      <w:marLeft w:val="0"/>
                      <w:marRight w:val="0"/>
                      <w:marTop w:val="0"/>
                      <w:marBottom w:val="0"/>
                      <w:divBdr>
                        <w:top w:val="none" w:sz="0" w:space="0" w:color="auto"/>
                        <w:left w:val="none" w:sz="0" w:space="0" w:color="auto"/>
                        <w:bottom w:val="none" w:sz="0" w:space="0" w:color="auto"/>
                        <w:right w:val="none" w:sz="0" w:space="0" w:color="auto"/>
                      </w:divBdr>
                      <w:divsChild>
                        <w:div w:id="1777749138">
                          <w:marLeft w:val="0"/>
                          <w:marRight w:val="0"/>
                          <w:marTop w:val="0"/>
                          <w:marBottom w:val="0"/>
                          <w:divBdr>
                            <w:top w:val="none" w:sz="0" w:space="0" w:color="auto"/>
                            <w:left w:val="none" w:sz="0" w:space="0" w:color="auto"/>
                            <w:bottom w:val="none" w:sz="0" w:space="0" w:color="auto"/>
                            <w:right w:val="none" w:sz="0" w:space="0" w:color="auto"/>
                          </w:divBdr>
                          <w:divsChild>
                            <w:div w:id="956568450">
                              <w:marLeft w:val="0"/>
                              <w:marRight w:val="0"/>
                              <w:marTop w:val="0"/>
                              <w:marBottom w:val="0"/>
                              <w:divBdr>
                                <w:top w:val="none" w:sz="0" w:space="0" w:color="auto"/>
                                <w:left w:val="none" w:sz="0" w:space="0" w:color="auto"/>
                                <w:bottom w:val="none" w:sz="0" w:space="0" w:color="auto"/>
                                <w:right w:val="none" w:sz="0" w:space="0" w:color="auto"/>
                              </w:divBdr>
                              <w:divsChild>
                                <w:div w:id="1921213822">
                                  <w:marLeft w:val="0"/>
                                  <w:marRight w:val="0"/>
                                  <w:marTop w:val="0"/>
                                  <w:marBottom w:val="0"/>
                                  <w:divBdr>
                                    <w:top w:val="none" w:sz="0" w:space="0" w:color="auto"/>
                                    <w:left w:val="none" w:sz="0" w:space="0" w:color="auto"/>
                                    <w:bottom w:val="none" w:sz="0" w:space="0" w:color="auto"/>
                                    <w:right w:val="none" w:sz="0" w:space="0" w:color="auto"/>
                                  </w:divBdr>
                                  <w:divsChild>
                                    <w:div w:id="1304040382">
                                      <w:marLeft w:val="0"/>
                                      <w:marRight w:val="0"/>
                                      <w:marTop w:val="0"/>
                                      <w:marBottom w:val="0"/>
                                      <w:divBdr>
                                        <w:top w:val="none" w:sz="0" w:space="0" w:color="auto"/>
                                        <w:left w:val="none" w:sz="0" w:space="0" w:color="auto"/>
                                        <w:bottom w:val="none" w:sz="0" w:space="0" w:color="auto"/>
                                        <w:right w:val="none" w:sz="0" w:space="0" w:color="auto"/>
                                      </w:divBdr>
                                      <w:divsChild>
                                        <w:div w:id="1432241859">
                                          <w:marLeft w:val="0"/>
                                          <w:marRight w:val="0"/>
                                          <w:marTop w:val="0"/>
                                          <w:marBottom w:val="0"/>
                                          <w:divBdr>
                                            <w:top w:val="none" w:sz="0" w:space="0" w:color="auto"/>
                                            <w:left w:val="none" w:sz="0" w:space="0" w:color="auto"/>
                                            <w:bottom w:val="none" w:sz="0" w:space="0" w:color="auto"/>
                                            <w:right w:val="none" w:sz="0" w:space="0" w:color="auto"/>
                                          </w:divBdr>
                                          <w:divsChild>
                                            <w:div w:id="810634451">
                                              <w:marLeft w:val="0"/>
                                              <w:marRight w:val="0"/>
                                              <w:marTop w:val="0"/>
                                              <w:marBottom w:val="0"/>
                                              <w:divBdr>
                                                <w:top w:val="none" w:sz="0" w:space="0" w:color="auto"/>
                                                <w:left w:val="none" w:sz="0" w:space="0" w:color="auto"/>
                                                <w:bottom w:val="none" w:sz="0" w:space="0" w:color="auto"/>
                                                <w:right w:val="none" w:sz="0" w:space="0" w:color="auto"/>
                                              </w:divBdr>
                                              <w:divsChild>
                                                <w:div w:id="500660621">
                                                  <w:marLeft w:val="0"/>
                                                  <w:marRight w:val="0"/>
                                                  <w:marTop w:val="0"/>
                                                  <w:marBottom w:val="0"/>
                                                  <w:divBdr>
                                                    <w:top w:val="none" w:sz="0" w:space="0" w:color="auto"/>
                                                    <w:left w:val="none" w:sz="0" w:space="0" w:color="auto"/>
                                                    <w:bottom w:val="none" w:sz="0" w:space="0" w:color="auto"/>
                                                    <w:right w:val="none" w:sz="0" w:space="0" w:color="auto"/>
                                                  </w:divBdr>
                                                  <w:divsChild>
                                                    <w:div w:id="148450962">
                                                      <w:marLeft w:val="0"/>
                                                      <w:marRight w:val="0"/>
                                                      <w:marTop w:val="0"/>
                                                      <w:marBottom w:val="0"/>
                                                      <w:divBdr>
                                                        <w:top w:val="none" w:sz="0" w:space="0" w:color="auto"/>
                                                        <w:left w:val="none" w:sz="0" w:space="0" w:color="auto"/>
                                                        <w:bottom w:val="none" w:sz="0" w:space="0" w:color="auto"/>
                                                        <w:right w:val="none" w:sz="0" w:space="0" w:color="auto"/>
                                                      </w:divBdr>
                                                      <w:divsChild>
                                                        <w:div w:id="1729112190">
                                                          <w:marLeft w:val="0"/>
                                                          <w:marRight w:val="0"/>
                                                          <w:marTop w:val="0"/>
                                                          <w:marBottom w:val="0"/>
                                                          <w:divBdr>
                                                            <w:top w:val="none" w:sz="0" w:space="0" w:color="auto"/>
                                                            <w:left w:val="none" w:sz="0" w:space="0" w:color="auto"/>
                                                            <w:bottom w:val="none" w:sz="0" w:space="0" w:color="auto"/>
                                                            <w:right w:val="none" w:sz="0" w:space="0" w:color="auto"/>
                                                          </w:divBdr>
                                                          <w:divsChild>
                                                            <w:div w:id="7538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437704">
      <w:bodyDiv w:val="1"/>
      <w:marLeft w:val="0"/>
      <w:marRight w:val="0"/>
      <w:marTop w:val="0"/>
      <w:marBottom w:val="0"/>
      <w:divBdr>
        <w:top w:val="none" w:sz="0" w:space="0" w:color="auto"/>
        <w:left w:val="none" w:sz="0" w:space="0" w:color="auto"/>
        <w:bottom w:val="none" w:sz="0" w:space="0" w:color="auto"/>
        <w:right w:val="none" w:sz="0" w:space="0" w:color="auto"/>
      </w:divBdr>
    </w:div>
    <w:div w:id="173806591">
      <w:bodyDiv w:val="1"/>
      <w:marLeft w:val="0"/>
      <w:marRight w:val="0"/>
      <w:marTop w:val="0"/>
      <w:marBottom w:val="0"/>
      <w:divBdr>
        <w:top w:val="none" w:sz="0" w:space="0" w:color="auto"/>
        <w:left w:val="none" w:sz="0" w:space="0" w:color="auto"/>
        <w:bottom w:val="none" w:sz="0" w:space="0" w:color="auto"/>
        <w:right w:val="none" w:sz="0" w:space="0" w:color="auto"/>
      </w:divBdr>
    </w:div>
    <w:div w:id="197471789">
      <w:bodyDiv w:val="1"/>
      <w:marLeft w:val="0"/>
      <w:marRight w:val="0"/>
      <w:marTop w:val="0"/>
      <w:marBottom w:val="0"/>
      <w:divBdr>
        <w:top w:val="none" w:sz="0" w:space="0" w:color="auto"/>
        <w:left w:val="none" w:sz="0" w:space="0" w:color="auto"/>
        <w:bottom w:val="none" w:sz="0" w:space="0" w:color="auto"/>
        <w:right w:val="none" w:sz="0" w:space="0" w:color="auto"/>
      </w:divBdr>
    </w:div>
    <w:div w:id="272396065">
      <w:bodyDiv w:val="1"/>
      <w:marLeft w:val="0"/>
      <w:marRight w:val="0"/>
      <w:marTop w:val="0"/>
      <w:marBottom w:val="0"/>
      <w:divBdr>
        <w:top w:val="none" w:sz="0" w:space="0" w:color="auto"/>
        <w:left w:val="none" w:sz="0" w:space="0" w:color="auto"/>
        <w:bottom w:val="none" w:sz="0" w:space="0" w:color="auto"/>
        <w:right w:val="none" w:sz="0" w:space="0" w:color="auto"/>
      </w:divBdr>
    </w:div>
    <w:div w:id="272635840">
      <w:bodyDiv w:val="1"/>
      <w:marLeft w:val="0"/>
      <w:marRight w:val="0"/>
      <w:marTop w:val="0"/>
      <w:marBottom w:val="0"/>
      <w:divBdr>
        <w:top w:val="none" w:sz="0" w:space="0" w:color="auto"/>
        <w:left w:val="none" w:sz="0" w:space="0" w:color="auto"/>
        <w:bottom w:val="none" w:sz="0" w:space="0" w:color="auto"/>
        <w:right w:val="none" w:sz="0" w:space="0" w:color="auto"/>
      </w:divBdr>
    </w:div>
    <w:div w:id="606349643">
      <w:bodyDiv w:val="1"/>
      <w:marLeft w:val="0"/>
      <w:marRight w:val="0"/>
      <w:marTop w:val="0"/>
      <w:marBottom w:val="0"/>
      <w:divBdr>
        <w:top w:val="none" w:sz="0" w:space="0" w:color="auto"/>
        <w:left w:val="none" w:sz="0" w:space="0" w:color="auto"/>
        <w:bottom w:val="none" w:sz="0" w:space="0" w:color="auto"/>
        <w:right w:val="none" w:sz="0" w:space="0" w:color="auto"/>
      </w:divBdr>
      <w:divsChild>
        <w:div w:id="690497313">
          <w:marLeft w:val="0"/>
          <w:marRight w:val="0"/>
          <w:marTop w:val="0"/>
          <w:marBottom w:val="0"/>
          <w:divBdr>
            <w:top w:val="none" w:sz="0" w:space="0" w:color="auto"/>
            <w:left w:val="none" w:sz="0" w:space="0" w:color="auto"/>
            <w:bottom w:val="none" w:sz="0" w:space="0" w:color="auto"/>
            <w:right w:val="none" w:sz="0" w:space="0" w:color="auto"/>
          </w:divBdr>
        </w:div>
      </w:divsChild>
    </w:div>
    <w:div w:id="770660525">
      <w:bodyDiv w:val="1"/>
      <w:marLeft w:val="0"/>
      <w:marRight w:val="0"/>
      <w:marTop w:val="0"/>
      <w:marBottom w:val="0"/>
      <w:divBdr>
        <w:top w:val="none" w:sz="0" w:space="0" w:color="auto"/>
        <w:left w:val="none" w:sz="0" w:space="0" w:color="auto"/>
        <w:bottom w:val="none" w:sz="0" w:space="0" w:color="auto"/>
        <w:right w:val="none" w:sz="0" w:space="0" w:color="auto"/>
      </w:divBdr>
    </w:div>
    <w:div w:id="791478802">
      <w:bodyDiv w:val="1"/>
      <w:marLeft w:val="0"/>
      <w:marRight w:val="0"/>
      <w:marTop w:val="0"/>
      <w:marBottom w:val="0"/>
      <w:divBdr>
        <w:top w:val="none" w:sz="0" w:space="0" w:color="auto"/>
        <w:left w:val="none" w:sz="0" w:space="0" w:color="auto"/>
        <w:bottom w:val="none" w:sz="0" w:space="0" w:color="auto"/>
        <w:right w:val="none" w:sz="0" w:space="0" w:color="auto"/>
      </w:divBdr>
    </w:div>
    <w:div w:id="944118573">
      <w:bodyDiv w:val="1"/>
      <w:marLeft w:val="0"/>
      <w:marRight w:val="0"/>
      <w:marTop w:val="0"/>
      <w:marBottom w:val="0"/>
      <w:divBdr>
        <w:top w:val="none" w:sz="0" w:space="0" w:color="auto"/>
        <w:left w:val="none" w:sz="0" w:space="0" w:color="auto"/>
        <w:bottom w:val="none" w:sz="0" w:space="0" w:color="auto"/>
        <w:right w:val="none" w:sz="0" w:space="0" w:color="auto"/>
      </w:divBdr>
    </w:div>
    <w:div w:id="957567842">
      <w:bodyDiv w:val="1"/>
      <w:marLeft w:val="0"/>
      <w:marRight w:val="0"/>
      <w:marTop w:val="0"/>
      <w:marBottom w:val="0"/>
      <w:divBdr>
        <w:top w:val="none" w:sz="0" w:space="0" w:color="auto"/>
        <w:left w:val="none" w:sz="0" w:space="0" w:color="auto"/>
        <w:bottom w:val="none" w:sz="0" w:space="0" w:color="auto"/>
        <w:right w:val="none" w:sz="0" w:space="0" w:color="auto"/>
      </w:divBdr>
    </w:div>
    <w:div w:id="1033190431">
      <w:bodyDiv w:val="1"/>
      <w:marLeft w:val="0"/>
      <w:marRight w:val="0"/>
      <w:marTop w:val="0"/>
      <w:marBottom w:val="0"/>
      <w:divBdr>
        <w:top w:val="none" w:sz="0" w:space="0" w:color="auto"/>
        <w:left w:val="none" w:sz="0" w:space="0" w:color="auto"/>
        <w:bottom w:val="none" w:sz="0" w:space="0" w:color="auto"/>
        <w:right w:val="none" w:sz="0" w:space="0" w:color="auto"/>
      </w:divBdr>
    </w:div>
    <w:div w:id="1071611285">
      <w:bodyDiv w:val="1"/>
      <w:marLeft w:val="0"/>
      <w:marRight w:val="0"/>
      <w:marTop w:val="0"/>
      <w:marBottom w:val="0"/>
      <w:divBdr>
        <w:top w:val="none" w:sz="0" w:space="0" w:color="auto"/>
        <w:left w:val="none" w:sz="0" w:space="0" w:color="auto"/>
        <w:bottom w:val="none" w:sz="0" w:space="0" w:color="auto"/>
        <w:right w:val="none" w:sz="0" w:space="0" w:color="auto"/>
      </w:divBdr>
    </w:div>
    <w:div w:id="1091701880">
      <w:bodyDiv w:val="1"/>
      <w:marLeft w:val="0"/>
      <w:marRight w:val="0"/>
      <w:marTop w:val="0"/>
      <w:marBottom w:val="0"/>
      <w:divBdr>
        <w:top w:val="none" w:sz="0" w:space="0" w:color="auto"/>
        <w:left w:val="none" w:sz="0" w:space="0" w:color="auto"/>
        <w:bottom w:val="none" w:sz="0" w:space="0" w:color="auto"/>
        <w:right w:val="none" w:sz="0" w:space="0" w:color="auto"/>
      </w:divBdr>
    </w:div>
    <w:div w:id="1136525646">
      <w:bodyDiv w:val="1"/>
      <w:marLeft w:val="0"/>
      <w:marRight w:val="0"/>
      <w:marTop w:val="0"/>
      <w:marBottom w:val="0"/>
      <w:divBdr>
        <w:top w:val="none" w:sz="0" w:space="0" w:color="auto"/>
        <w:left w:val="none" w:sz="0" w:space="0" w:color="auto"/>
        <w:bottom w:val="none" w:sz="0" w:space="0" w:color="auto"/>
        <w:right w:val="none" w:sz="0" w:space="0" w:color="auto"/>
      </w:divBdr>
    </w:div>
    <w:div w:id="1200242329">
      <w:bodyDiv w:val="1"/>
      <w:marLeft w:val="0"/>
      <w:marRight w:val="0"/>
      <w:marTop w:val="0"/>
      <w:marBottom w:val="0"/>
      <w:divBdr>
        <w:top w:val="none" w:sz="0" w:space="0" w:color="auto"/>
        <w:left w:val="none" w:sz="0" w:space="0" w:color="auto"/>
        <w:bottom w:val="none" w:sz="0" w:space="0" w:color="auto"/>
        <w:right w:val="none" w:sz="0" w:space="0" w:color="auto"/>
      </w:divBdr>
    </w:div>
    <w:div w:id="1231305878">
      <w:bodyDiv w:val="1"/>
      <w:marLeft w:val="0"/>
      <w:marRight w:val="0"/>
      <w:marTop w:val="0"/>
      <w:marBottom w:val="0"/>
      <w:divBdr>
        <w:top w:val="none" w:sz="0" w:space="0" w:color="auto"/>
        <w:left w:val="none" w:sz="0" w:space="0" w:color="auto"/>
        <w:bottom w:val="none" w:sz="0" w:space="0" w:color="auto"/>
        <w:right w:val="none" w:sz="0" w:space="0" w:color="auto"/>
      </w:divBdr>
    </w:div>
    <w:div w:id="1833179627">
      <w:bodyDiv w:val="1"/>
      <w:marLeft w:val="0"/>
      <w:marRight w:val="0"/>
      <w:marTop w:val="0"/>
      <w:marBottom w:val="0"/>
      <w:divBdr>
        <w:top w:val="none" w:sz="0" w:space="0" w:color="auto"/>
        <w:left w:val="none" w:sz="0" w:space="0" w:color="auto"/>
        <w:bottom w:val="none" w:sz="0" w:space="0" w:color="auto"/>
        <w:right w:val="none" w:sz="0" w:space="0" w:color="auto"/>
      </w:divBdr>
      <w:divsChild>
        <w:div w:id="1886330104">
          <w:marLeft w:val="0"/>
          <w:marRight w:val="0"/>
          <w:marTop w:val="0"/>
          <w:marBottom w:val="0"/>
          <w:divBdr>
            <w:top w:val="none" w:sz="0" w:space="0" w:color="auto"/>
            <w:left w:val="none" w:sz="0" w:space="0" w:color="auto"/>
            <w:bottom w:val="none" w:sz="0" w:space="0" w:color="auto"/>
            <w:right w:val="none" w:sz="0" w:space="0" w:color="auto"/>
          </w:divBdr>
          <w:divsChild>
            <w:div w:id="323633193">
              <w:marLeft w:val="0"/>
              <w:marRight w:val="0"/>
              <w:marTop w:val="0"/>
              <w:marBottom w:val="0"/>
              <w:divBdr>
                <w:top w:val="none" w:sz="0" w:space="0" w:color="auto"/>
                <w:left w:val="none" w:sz="0" w:space="0" w:color="auto"/>
                <w:bottom w:val="none" w:sz="0" w:space="0" w:color="auto"/>
                <w:right w:val="none" w:sz="0" w:space="0" w:color="auto"/>
              </w:divBdr>
              <w:divsChild>
                <w:div w:id="918098272">
                  <w:marLeft w:val="0"/>
                  <w:marRight w:val="0"/>
                  <w:marTop w:val="0"/>
                  <w:marBottom w:val="0"/>
                  <w:divBdr>
                    <w:top w:val="none" w:sz="0" w:space="0" w:color="auto"/>
                    <w:left w:val="none" w:sz="0" w:space="0" w:color="auto"/>
                    <w:bottom w:val="none" w:sz="0" w:space="0" w:color="auto"/>
                    <w:right w:val="none" w:sz="0" w:space="0" w:color="auto"/>
                  </w:divBdr>
                  <w:divsChild>
                    <w:div w:id="1888184048">
                      <w:marLeft w:val="0"/>
                      <w:marRight w:val="0"/>
                      <w:marTop w:val="0"/>
                      <w:marBottom w:val="0"/>
                      <w:divBdr>
                        <w:top w:val="none" w:sz="0" w:space="0" w:color="auto"/>
                        <w:left w:val="none" w:sz="0" w:space="0" w:color="auto"/>
                        <w:bottom w:val="none" w:sz="0" w:space="0" w:color="auto"/>
                        <w:right w:val="none" w:sz="0" w:space="0" w:color="auto"/>
                      </w:divBdr>
                      <w:divsChild>
                        <w:div w:id="957444220">
                          <w:marLeft w:val="0"/>
                          <w:marRight w:val="0"/>
                          <w:marTop w:val="0"/>
                          <w:marBottom w:val="0"/>
                          <w:divBdr>
                            <w:top w:val="single" w:sz="4" w:space="0" w:color="828282"/>
                            <w:left w:val="single" w:sz="4" w:space="0" w:color="828282"/>
                            <w:bottom w:val="single" w:sz="4" w:space="0" w:color="828282"/>
                            <w:right w:val="single" w:sz="4" w:space="0" w:color="828282"/>
                          </w:divBdr>
                          <w:divsChild>
                            <w:div w:id="1160733327">
                              <w:marLeft w:val="0"/>
                              <w:marRight w:val="0"/>
                              <w:marTop w:val="0"/>
                              <w:marBottom w:val="0"/>
                              <w:divBdr>
                                <w:top w:val="none" w:sz="0" w:space="0" w:color="auto"/>
                                <w:left w:val="none" w:sz="0" w:space="0" w:color="auto"/>
                                <w:bottom w:val="none" w:sz="0" w:space="0" w:color="auto"/>
                                <w:right w:val="none" w:sz="0" w:space="0" w:color="auto"/>
                              </w:divBdr>
                              <w:divsChild>
                                <w:div w:id="475494897">
                                  <w:marLeft w:val="0"/>
                                  <w:marRight w:val="0"/>
                                  <w:marTop w:val="0"/>
                                  <w:marBottom w:val="0"/>
                                  <w:divBdr>
                                    <w:top w:val="none" w:sz="0" w:space="0" w:color="auto"/>
                                    <w:left w:val="none" w:sz="0" w:space="0" w:color="auto"/>
                                    <w:bottom w:val="none" w:sz="0" w:space="0" w:color="auto"/>
                                    <w:right w:val="none" w:sz="0" w:space="0" w:color="auto"/>
                                  </w:divBdr>
                                  <w:divsChild>
                                    <w:div w:id="875115711">
                                      <w:marLeft w:val="0"/>
                                      <w:marRight w:val="0"/>
                                      <w:marTop w:val="0"/>
                                      <w:marBottom w:val="0"/>
                                      <w:divBdr>
                                        <w:top w:val="none" w:sz="0" w:space="0" w:color="auto"/>
                                        <w:left w:val="none" w:sz="0" w:space="0" w:color="auto"/>
                                        <w:bottom w:val="none" w:sz="0" w:space="0" w:color="auto"/>
                                        <w:right w:val="none" w:sz="0" w:space="0" w:color="auto"/>
                                      </w:divBdr>
                                      <w:divsChild>
                                        <w:div w:id="73017782">
                                          <w:marLeft w:val="0"/>
                                          <w:marRight w:val="0"/>
                                          <w:marTop w:val="0"/>
                                          <w:marBottom w:val="0"/>
                                          <w:divBdr>
                                            <w:top w:val="none" w:sz="0" w:space="0" w:color="auto"/>
                                            <w:left w:val="none" w:sz="0" w:space="0" w:color="auto"/>
                                            <w:bottom w:val="none" w:sz="0" w:space="0" w:color="auto"/>
                                            <w:right w:val="none" w:sz="0" w:space="0" w:color="auto"/>
                                          </w:divBdr>
                                          <w:divsChild>
                                            <w:div w:id="123932343">
                                              <w:marLeft w:val="0"/>
                                              <w:marRight w:val="0"/>
                                              <w:marTop w:val="0"/>
                                              <w:marBottom w:val="0"/>
                                              <w:divBdr>
                                                <w:top w:val="none" w:sz="0" w:space="0" w:color="auto"/>
                                                <w:left w:val="none" w:sz="0" w:space="0" w:color="auto"/>
                                                <w:bottom w:val="none" w:sz="0" w:space="0" w:color="auto"/>
                                                <w:right w:val="none" w:sz="0" w:space="0" w:color="auto"/>
                                              </w:divBdr>
                                              <w:divsChild>
                                                <w:div w:id="6966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497859">
      <w:bodyDiv w:val="1"/>
      <w:marLeft w:val="0"/>
      <w:marRight w:val="0"/>
      <w:marTop w:val="0"/>
      <w:marBottom w:val="0"/>
      <w:divBdr>
        <w:top w:val="none" w:sz="0" w:space="0" w:color="auto"/>
        <w:left w:val="none" w:sz="0" w:space="0" w:color="auto"/>
        <w:bottom w:val="none" w:sz="0" w:space="0" w:color="auto"/>
        <w:right w:val="none" w:sz="0" w:space="0" w:color="auto"/>
      </w:divBdr>
    </w:div>
    <w:div w:id="1923836087">
      <w:bodyDiv w:val="1"/>
      <w:marLeft w:val="0"/>
      <w:marRight w:val="0"/>
      <w:marTop w:val="0"/>
      <w:marBottom w:val="0"/>
      <w:divBdr>
        <w:top w:val="none" w:sz="0" w:space="0" w:color="auto"/>
        <w:left w:val="none" w:sz="0" w:space="0" w:color="auto"/>
        <w:bottom w:val="none" w:sz="0" w:space="0" w:color="auto"/>
        <w:right w:val="none" w:sz="0" w:space="0" w:color="auto"/>
      </w:divBdr>
    </w:div>
    <w:div w:id="1996951533">
      <w:bodyDiv w:val="1"/>
      <w:marLeft w:val="0"/>
      <w:marRight w:val="0"/>
      <w:marTop w:val="0"/>
      <w:marBottom w:val="0"/>
      <w:divBdr>
        <w:top w:val="none" w:sz="0" w:space="0" w:color="auto"/>
        <w:left w:val="none" w:sz="0" w:space="0" w:color="auto"/>
        <w:bottom w:val="none" w:sz="0" w:space="0" w:color="auto"/>
        <w:right w:val="none" w:sz="0" w:space="0" w:color="auto"/>
      </w:divBdr>
    </w:div>
    <w:div w:id="2076851483">
      <w:bodyDiv w:val="1"/>
      <w:marLeft w:val="0"/>
      <w:marRight w:val="0"/>
      <w:marTop w:val="0"/>
      <w:marBottom w:val="0"/>
      <w:divBdr>
        <w:top w:val="none" w:sz="0" w:space="0" w:color="auto"/>
        <w:left w:val="none" w:sz="0" w:space="0" w:color="auto"/>
        <w:bottom w:val="none" w:sz="0" w:space="0" w:color="auto"/>
        <w:right w:val="none" w:sz="0" w:space="0" w:color="auto"/>
      </w:divBdr>
    </w:div>
    <w:div w:id="211635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5.xml"/><Relationship Id="rId33"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4.xml"/><Relationship Id="rId32"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2.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Description xmlns="d8430d0f-47e2-4fb7-b3bb-dd4f7c79b414" xsi:nil="true"/>
    <RecordNumber xmlns="d8430d0f-47e2-4fb7-b3bb-dd4f7c79b414">000779707</RecordNumber>
    <Approval xmlns="d8430d0f-47e2-4fb7-b3bb-dd4f7c79b414" xsi:nil="true"/>
    <Function xmlns="d8430d0f-47e2-4fb7-b3bb-dd4f7c79b414"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PIRE Document" ma:contentTypeID="0x01010053158623521E02459344FD72CDD99ED600A2D584079BA05F4D9A356B4AB3380BE2" ma:contentTypeVersion="5" ma:contentTypeDescription="SPIRE Document" ma:contentTypeScope="" ma:versionID="af84dedaa935f91c922229985d57632e">
  <xsd:schema xmlns:xsd="http://www.w3.org/2001/XMLSchema" xmlns:xs="http://www.w3.org/2001/XMLSchema" xmlns:p="http://schemas.microsoft.com/office/2006/metadata/properties" xmlns:ns2="d8430d0f-47e2-4fb7-b3bb-dd4f7c79b414" xmlns:ns3="http://schemas.microsoft.com/sharepoint/v4" targetNamespace="http://schemas.microsoft.com/office/2006/metadata/properties" ma:root="true" ma:fieldsID="41facc1ace94bf4d9ca5cd5b93ac8379" ns2:_="" ns3:_="">
    <xsd:import namespace="d8430d0f-47e2-4fb7-b3bb-dd4f7c79b414"/>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30d0f-47e2-4fb7-b3bb-dd4f7c79b414"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D4261-8A97-41B2-8840-80077BF57073}">
  <ds:schemaRefs>
    <ds:schemaRef ds:uri="http://schemas.microsoft.com/sharepoint/events"/>
  </ds:schemaRefs>
</ds:datastoreItem>
</file>

<file path=customXml/itemProps10.xml><?xml version="1.0" encoding="utf-8"?>
<ds:datastoreItem xmlns:ds="http://schemas.openxmlformats.org/officeDocument/2006/customXml" ds:itemID="{EA573184-C7C2-46FE-8B59-1B6B662AF8E0}">
  <ds:schemaRefs>
    <ds:schemaRef ds:uri="http://schemas.openxmlformats.org/officeDocument/2006/bibliography"/>
  </ds:schemaRefs>
</ds:datastoreItem>
</file>

<file path=customXml/itemProps11.xml><?xml version="1.0" encoding="utf-8"?>
<ds:datastoreItem xmlns:ds="http://schemas.openxmlformats.org/officeDocument/2006/customXml" ds:itemID="{028F686C-62FC-4974-9F4D-66287A9D89F4}">
  <ds:schemaRefs>
    <ds:schemaRef ds:uri="http://schemas.openxmlformats.org/officeDocument/2006/bibliography"/>
  </ds:schemaRefs>
</ds:datastoreItem>
</file>

<file path=customXml/itemProps2.xml><?xml version="1.0" encoding="utf-8"?>
<ds:datastoreItem xmlns:ds="http://schemas.openxmlformats.org/officeDocument/2006/customXml" ds:itemID="{1510E1C3-69F8-4AA8-9FBE-8E5417977F47}">
  <ds:schemaRefs>
    <ds:schemaRef ds:uri="http://schemas.microsoft.com/office/2006/metadata/properties"/>
    <ds:schemaRef ds:uri="http://schemas.microsoft.com/office/infopath/2007/PartnerControls"/>
    <ds:schemaRef ds:uri="d8430d0f-47e2-4fb7-b3bb-dd4f7c79b414"/>
    <ds:schemaRef ds:uri="http://schemas.microsoft.com/sharepoint/v4"/>
  </ds:schemaRefs>
</ds:datastoreItem>
</file>

<file path=customXml/itemProps3.xml><?xml version="1.0" encoding="utf-8"?>
<ds:datastoreItem xmlns:ds="http://schemas.openxmlformats.org/officeDocument/2006/customXml" ds:itemID="{DAECD76F-9051-438E-B1C8-FE040538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30d0f-47e2-4fb7-b3bb-dd4f7c79b4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BF2B5-0AD2-43A3-AFE8-40993502CFD3}">
  <ds:schemaRefs>
    <ds:schemaRef ds:uri="http://schemas.openxmlformats.org/officeDocument/2006/bibliography"/>
  </ds:schemaRefs>
</ds:datastoreItem>
</file>

<file path=customXml/itemProps5.xml><?xml version="1.0" encoding="utf-8"?>
<ds:datastoreItem xmlns:ds="http://schemas.openxmlformats.org/officeDocument/2006/customXml" ds:itemID="{A9D8FC47-E031-4341-9971-4F96D2C22C61}">
  <ds:schemaRefs>
    <ds:schemaRef ds:uri="http://schemas.openxmlformats.org/officeDocument/2006/bibliography"/>
  </ds:schemaRefs>
</ds:datastoreItem>
</file>

<file path=customXml/itemProps6.xml><?xml version="1.0" encoding="utf-8"?>
<ds:datastoreItem xmlns:ds="http://schemas.openxmlformats.org/officeDocument/2006/customXml" ds:itemID="{B8A12924-0F35-460F-B7CC-5F75F2B77318}">
  <ds:schemaRefs>
    <ds:schemaRef ds:uri="http://schemas.microsoft.com/office/2006/metadata/customXsn"/>
  </ds:schemaRefs>
</ds:datastoreItem>
</file>

<file path=customXml/itemProps7.xml><?xml version="1.0" encoding="utf-8"?>
<ds:datastoreItem xmlns:ds="http://schemas.openxmlformats.org/officeDocument/2006/customXml" ds:itemID="{F3598E40-28BC-46A9-BF16-6A2374F77231}">
  <ds:schemaRefs>
    <ds:schemaRef ds:uri="http://schemas.openxmlformats.org/officeDocument/2006/bibliography"/>
  </ds:schemaRefs>
</ds:datastoreItem>
</file>

<file path=customXml/itemProps8.xml><?xml version="1.0" encoding="utf-8"?>
<ds:datastoreItem xmlns:ds="http://schemas.openxmlformats.org/officeDocument/2006/customXml" ds:itemID="{768F1ED0-6AE4-46CE-9B71-33B057B17D9A}">
  <ds:schemaRefs>
    <ds:schemaRef ds:uri="http://schemas.microsoft.com/sharepoint/v3/contenttype/forms"/>
  </ds:schemaRefs>
</ds:datastoreItem>
</file>

<file path=customXml/itemProps9.xml><?xml version="1.0" encoding="utf-8"?>
<ds:datastoreItem xmlns:ds="http://schemas.openxmlformats.org/officeDocument/2006/customXml" ds:itemID="{B77A6224-46A0-4E46-B042-CDA5B689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44751</Words>
  <Characters>255087</Characters>
  <Application>Microsoft Office Word</Application>
  <DocSecurity>0</DocSecurity>
  <Lines>2125</Lines>
  <Paragraphs>598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2015-10-05T23:38:00Z</dcterms:created>
  <dcterms:modified xsi:type="dcterms:W3CDTF">2015-10-07T00:02:00Z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RecordPoint_RecordNumberSubmitted">
    <vt:lpwstr>000779707</vt:lpwstr>
  </property>
  <property fmtid="{D5CDD505-2E9C-101B-9397-08002B2CF9AE}" pid="4" name="RecordPoint_ActiveItemListId">
    <vt:lpwstr>{e9b5567f-32ab-441a-8cf3-eadbae10a51f}</vt:lpwstr>
  </property>
  <property fmtid="{D5CDD505-2E9C-101B-9397-08002B2CF9AE}" pid="5" name="ContentTypeId">
    <vt:lpwstr>0x01010053158623521E02459344FD72CDD99ED600A2D584079BA05F4D9A356B4AB3380BE2</vt:lpwstr>
  </property>
  <property fmtid="{D5CDD505-2E9C-101B-9397-08002B2CF9AE}" pid="6" name="RecordPoint_ActiveItemUniqueId">
    <vt:lpwstr>{7e69296e-c0b0-4e9f-a38c-77897e742f4b}</vt:lpwstr>
  </property>
  <property fmtid="{D5CDD505-2E9C-101B-9397-08002B2CF9AE}" pid="7" name="RecordPoint_SubmissionCompleted">
    <vt:lpwstr>2015-10-07T09:44:38.0204552+11:00</vt:lpwstr>
  </property>
  <property fmtid="{D5CDD505-2E9C-101B-9397-08002B2CF9AE}" pid="8" name="RecordPoint_RecordFormat">
    <vt:lpwstr/>
  </property>
  <property fmtid="{D5CDD505-2E9C-101B-9397-08002B2CF9AE}" pid="9" name="RecordPoint_ActiveItemMoved">
    <vt:lpwstr/>
  </property>
  <property fmtid="{D5CDD505-2E9C-101B-9397-08002B2CF9AE}" pid="10" name="RecordPoint_ActiveItemWebId">
    <vt:lpwstr>{95896362-88ff-4a5a-baa5-b7ccbdc85523}</vt:lpwstr>
  </property>
  <property fmtid="{D5CDD505-2E9C-101B-9397-08002B2CF9AE}" pid="11" name="RecordPoint_WorkflowType">
    <vt:lpwstr>ActiveSubmitStub</vt:lpwstr>
  </property>
  <property fmtid="{D5CDD505-2E9C-101B-9397-08002B2CF9AE}" pid="12" name="RecordPoint_ActiveItemSiteId">
    <vt:lpwstr>{65a9c67d-8621-4daf-8c18-51b91f4b20f6}</vt:lpwstr>
  </property>
</Properties>
</file>